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1CC67" w14:textId="77777777" w:rsidR="00105A85" w:rsidRDefault="00105A85" w:rsidP="00105A85">
      <w:pPr>
        <w:pStyle w:val="BDocStart"/>
      </w:pPr>
      <w:sdt>
        <w:sdtPr>
          <w:tag w:val="unit.start.head"/>
          <w:id w:val="-1504889435"/>
          <w:lock w:val="sdtLocked"/>
          <w:placeholder>
            <w:docPart w:val="3B8579CA897D44E8BD8273B8A2897B64"/>
          </w:placeholder>
          <w15:appearance w15:val="hidden"/>
        </w:sdtPr>
        <w:sdtContent>
          <w:r>
            <w:t>Unit.Start</w:t>
          </w:r>
        </w:sdtContent>
      </w:sdt>
    </w:p>
    <w:sdt>
      <w:sdtPr>
        <w:rPr>
          <w:rStyle w:val="BContentControl"/>
        </w:rPr>
        <w:alias w:val="unit.start"/>
        <w:tag w:val="Unit1"/>
        <w:id w:val="-814100677"/>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34BB7CB6" w14:textId="77777777" w:rsidR="00105A85" w:rsidRDefault="00105A85" w:rsidP="00105A85">
          <w:pPr>
            <w:pStyle w:val="BNormal"/>
          </w:pPr>
          <w:sdt>
            <w:sdtPr>
              <w:rPr>
                <w:rStyle w:val="BContentControl"/>
              </w:rPr>
              <w:alias w:val="acct.code"/>
              <w:tag w:val="acct.code"/>
              <w:id w:val="1753079092"/>
              <w:lock w:val="sdtLocked"/>
              <w:placeholder>
                <w:docPart w:val="D763A12F54274CF593ED61AC6C1E9B0D"/>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585901963"/>
              <w:lock w:val="sdtLocked"/>
              <w:placeholder>
                <w:docPart w:val="10AB5438C3484F558983FCF01102A04C"/>
              </w:placeholder>
              <w:dataBinding w:prefixMappings="xmlns:ns0='http://www.bna.com/gateway/unit.start' " w:xpath="/ns0:document[1]/ns0:unit.start[1]/@bna.id.prefix" w:storeItemID="{B04FCA99-13B0-422B-ADC9-9491644FA79D}"/>
              <w15:appearance w15:val="tags"/>
              <w:text/>
            </w:sdtPr>
            <w:sdtContent>
              <w:r>
                <w:rPr>
                  <w:rStyle w:val="BContentControl"/>
                </w:rPr>
                <w:t>5</w:t>
              </w:r>
            </w:sdtContent>
          </w:sdt>
          <w:r w:rsidRPr="00105A85">
            <w:rPr>
              <w:rStyle w:val="BContentControl"/>
            </w:rPr>
            <w:t xml:space="preserve"> </w:t>
          </w:r>
          <w:sdt>
            <w:sdtPr>
              <w:rPr>
                <w:rStyle w:val="BContentControl"/>
              </w:rPr>
              <w:alias w:val="class.code*"/>
              <w:tag w:val="class.code"/>
              <w:id w:val="1836263041"/>
              <w:lock w:val="sdtLocked"/>
              <w:placeholder>
                <w:docPart w:val="EAE1460F78F4451AA786FD3A00CF436C"/>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105A85">
            <w:rPr>
              <w:rStyle w:val="BContentControl"/>
            </w:rPr>
            <w:t xml:space="preserve"> </w:t>
          </w:r>
          <w:sdt>
            <w:sdtPr>
              <w:rPr>
                <w:rStyle w:val="BContentControl"/>
              </w:rPr>
              <w:alias w:val="class.name*"/>
              <w:tag w:val="class.name"/>
              <w:id w:val="-1474903840"/>
              <w:lock w:val="sdtLocked"/>
              <w:placeholder>
                <w:docPart w:val="896572641D0D4B0BAE33E3B867418D5E"/>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105A85">
            <w:rPr>
              <w:rStyle w:val="BContentControl"/>
            </w:rPr>
            <w:t xml:space="preserve"> </w:t>
          </w:r>
          <w:sdt>
            <w:sdtPr>
              <w:rPr>
                <w:rStyle w:val="BContentControl"/>
              </w:rPr>
              <w:alias w:val="copyright.owner"/>
              <w:tag w:val="copyright.owner"/>
              <w:id w:val="46966785"/>
              <w:lock w:val="sdtLocked"/>
              <w:placeholder>
                <w:docPart w:val="7B95C07F63CE45B7BBEA1A593CCC1F1E"/>
              </w:placeholder>
              <w:dataBinding w:prefixMappings="xmlns:ns0='http://www.bna.com/gateway/unit.start' " w:xpath="/ns0:document[1]/ns0:unit.start[1]/@copyright.owner" w:storeItemID="{B04FCA99-13B0-422B-ADC9-9491644FA79D}"/>
              <w15:appearance w15:val="tags"/>
              <w:text/>
            </w:sdtPr>
            <w:sdtContent>
              <w:r w:rsidRPr="00105A85">
                <w:rPr>
                  <w:rStyle w:val="BContentControl"/>
                </w:rPr>
                <w:t>enter text</w:t>
              </w:r>
            </w:sdtContent>
          </w:sdt>
          <w:r w:rsidRPr="00105A85">
            <w:rPr>
              <w:rStyle w:val="BContentControl"/>
            </w:rPr>
            <w:t xml:space="preserve"> </w:t>
          </w:r>
          <w:sdt>
            <w:sdtPr>
              <w:rPr>
                <w:rStyle w:val="BContentControl"/>
              </w:rPr>
              <w:alias w:val="date"/>
              <w:tag w:val="date"/>
              <w:id w:val="1883743797"/>
              <w:lock w:val="sdtLocked"/>
              <w:placeholder>
                <w:docPart w:val="BD923CEF0F9343F8A81549FB45418745"/>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105A85">
            <w:rPr>
              <w:rStyle w:val="BContentControl"/>
            </w:rPr>
            <w:t xml:space="preserve"> </w:t>
          </w:r>
          <w:sdt>
            <w:sdtPr>
              <w:rPr>
                <w:rStyle w:val="BContentControl"/>
              </w:rPr>
              <w:alias w:val="folio"/>
              <w:tag w:val="folio"/>
              <w:id w:val="-1432804"/>
              <w:lock w:val="sdtLocked"/>
              <w:placeholder>
                <w:docPart w:val="2EDEC40868EF429186907B96F272BA21"/>
              </w:placeholder>
              <w:dataBinding w:prefixMappings="xmlns:ns0='http://www.bna.com/gateway/unit.start' " w:xpath="/ns0:document[1]/ns0:unit.start[1]/@folio" w:storeItemID="{B04FCA99-13B0-422B-ADC9-9491644FA79D}"/>
              <w15:appearance w15:val="tags"/>
              <w:text/>
            </w:sdtPr>
            <w:sdtContent>
              <w:r>
                <w:rPr>
                  <w:rStyle w:val="BContentControl"/>
                </w:rPr>
                <w:t>201</w:t>
              </w:r>
            </w:sdtContent>
          </w:sdt>
          <w:r w:rsidRPr="00105A85">
            <w:rPr>
              <w:rStyle w:val="BContentControl"/>
            </w:rPr>
            <w:t xml:space="preserve"> </w:t>
          </w:r>
          <w:sdt>
            <w:sdtPr>
              <w:rPr>
                <w:rStyle w:val="BContentControl"/>
              </w:rPr>
              <w:alias w:val="part.name"/>
              <w:tag w:val="part.name"/>
              <w:id w:val="511954116"/>
              <w:lock w:val="sdtLocked"/>
              <w:placeholder>
                <w:docPart w:val="59FD74E3BC0645AF9D9CC4DB88A2783C"/>
              </w:placeholder>
              <w:dataBinding w:prefixMappings="xmlns:ns0='http://www.bna.com/gateway/unit.start' " w:xpath="/ns0:document[1]/ns0:unit.start[1]/@part.name" w:storeItemID="{B04FCA99-13B0-422B-ADC9-9491644FA79D}"/>
              <w15:appearance w15:val="tags"/>
              <w:text/>
            </w:sdtPr>
            <w:sdtContent>
              <w:r>
                <w:rPr>
                  <w:rStyle w:val="BContentControl"/>
                </w:rPr>
                <w:t>Part I. General Principles And State Law Applications</w:t>
              </w:r>
            </w:sdtContent>
          </w:sdt>
          <w:r w:rsidRPr="00105A85">
            <w:rPr>
              <w:rStyle w:val="BContentControl"/>
            </w:rPr>
            <w:t xml:space="preserve"> </w:t>
          </w:r>
          <w:sdt>
            <w:sdtPr>
              <w:rPr>
                <w:rStyle w:val="BContentControl"/>
              </w:rPr>
              <w:alias w:val="part.num"/>
              <w:tag w:val="part.num"/>
              <w:id w:val="-237182413"/>
              <w:lock w:val="sdtLocked"/>
              <w:placeholder>
                <w:docPart w:val="B92A4910F26841D687BBE5E1E3A0C31E"/>
              </w:placeholder>
              <w:dataBinding w:prefixMappings="xmlns:ns0='http://www.bna.com/gateway/unit.start' " w:xpath="/ns0:document[1]/ns0:unit.start[1]/@part.num" w:storeItemID="{B04FCA99-13B0-422B-ADC9-9491644FA79D}"/>
              <w15:appearance w15:val="tags"/>
              <w:text/>
            </w:sdtPr>
            <w:sdtContent>
              <w:r>
                <w:rPr>
                  <w:rStyle w:val="BContentControl"/>
                </w:rPr>
                <w:t>1</w:t>
              </w:r>
            </w:sdtContent>
          </w:sdt>
          <w:r w:rsidRPr="00105A85">
            <w:rPr>
              <w:rStyle w:val="BContentControl"/>
            </w:rPr>
            <w:t xml:space="preserve"> </w:t>
          </w:r>
          <w:sdt>
            <w:sdtPr>
              <w:rPr>
                <w:rStyle w:val="BContentControl"/>
              </w:rPr>
              <w:alias w:val="subpart.name"/>
              <w:tag w:val="subpart.name"/>
              <w:id w:val="-1737701437"/>
              <w:lock w:val="sdtLocked"/>
              <w:placeholder>
                <w:docPart w:val="BB44BD83BC2C4FE6B1B5F09DC46E1E10"/>
              </w:placeholder>
              <w:dataBinding w:prefixMappings="xmlns:ns0='http://www.bna.com/gateway/unit.start' " w:xpath="/ns0:document[1]/ns0:unit.start[1]/@subpart.name" w:storeItemID="{B04FCA99-13B0-422B-ADC9-9491644FA79D}"/>
              <w15:appearance w15:val="tags"/>
              <w:text/>
            </w:sdtPr>
            <w:sdtContent>
              <w:r w:rsidRPr="00105A85">
                <w:rPr>
                  <w:rStyle w:val="BContentControl"/>
                </w:rPr>
                <w:t>enter text</w:t>
              </w:r>
            </w:sdtContent>
          </w:sdt>
          <w:r w:rsidRPr="00105A85">
            <w:rPr>
              <w:rStyle w:val="BContentControl"/>
            </w:rPr>
            <w:t xml:space="preserve"> </w:t>
          </w:r>
          <w:sdt>
            <w:sdtPr>
              <w:rPr>
                <w:rStyle w:val="BContentControl"/>
              </w:rPr>
              <w:alias w:val="pdm.name"/>
              <w:tag w:val="pdm.name"/>
              <w:id w:val="855003603"/>
              <w:lock w:val="sdtLocked"/>
              <w:placeholder>
                <w:docPart w:val="35898A7A82464034A0F302BE9F989609"/>
              </w:placeholder>
              <w:dataBinding w:prefixMappings="xmlns:ns0='http://www.bna.com/gateway/unit.start' " w:xpath="/ns0:document[1]/ns0:unit.start[1]/@pdm.name" w:storeItemID="{B04FCA99-13B0-422B-ADC9-9491644FA79D}"/>
              <w15:appearance w15:val="tags"/>
              <w:text/>
            </w:sdtPr>
            <w:sdtContent>
              <w:r>
                <w:rPr>
                  <w:rStyle w:val="BContentControl"/>
                </w:rPr>
                <w:t>Chap05</w:t>
              </w:r>
            </w:sdtContent>
          </w:sdt>
          <w:r w:rsidRPr="00105A85">
            <w:rPr>
              <w:rStyle w:val="BContentControl"/>
            </w:rPr>
            <w:t xml:space="preserve"> </w:t>
          </w:r>
          <w:sdt>
            <w:sdtPr>
              <w:rPr>
                <w:rStyle w:val="BContentControl"/>
              </w:rPr>
              <w:alias w:val="publication.name"/>
              <w:tag w:val="publication.name"/>
              <w:id w:val="-367835244"/>
              <w:lock w:val="sdtLocked"/>
              <w:placeholder>
                <w:docPart w:val="29E41AF7D3334346863A4AAC5DA9B67B"/>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105A85">
            <w:rPr>
              <w:rStyle w:val="BContentControl"/>
            </w:rPr>
            <w:t xml:space="preserve"> </w:t>
          </w:r>
          <w:sdt>
            <w:sdtPr>
              <w:rPr>
                <w:rStyle w:val="BContentControl"/>
              </w:rPr>
              <w:alias w:val="service.code*"/>
              <w:tag w:val="mUnit1"/>
              <w:id w:val="-51390746"/>
              <w:lock w:val="sdtLocked"/>
              <w:placeholder>
                <w:docPart w:val="6950B10D75B34D1BA0163B334A35458E"/>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105A85">
            <w:rPr>
              <w:rStyle w:val="BContentControl"/>
            </w:rPr>
            <w:t xml:space="preserve"> </w:t>
          </w:r>
          <w:sdt>
            <w:sdtPr>
              <w:rPr>
                <w:rStyle w:val="BContentControl"/>
              </w:rPr>
              <w:alias w:val="supplement"/>
              <w:tag w:val="supplement"/>
              <w:id w:val="-169808496"/>
              <w:lock w:val="sdtLocked"/>
              <w:placeholder>
                <w:docPart w:val="3A0E0BB7EDB14B20B886D0D9F6244990"/>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105A85">
            <w:rPr>
              <w:rStyle w:val="BContentControl"/>
            </w:rPr>
            <w:t xml:space="preserve"> </w:t>
          </w:r>
          <w:sdt>
            <w:sdtPr>
              <w:rPr>
                <w:rStyle w:val="BContentControl"/>
              </w:rPr>
              <w:alias w:val="unit.code"/>
              <w:tag w:val="unit.code"/>
              <w:id w:val="1012729003"/>
              <w:lock w:val="sdtLocked"/>
              <w:placeholder>
                <w:docPart w:val="42D1871E414245D0B526884852A2AD5C"/>
              </w:placeholder>
              <w:dataBinding w:prefixMappings="xmlns:ns0='http://www.bna.com/gateway/unit.start' " w:xpath="/ns0:document[1]/ns0:unit.start[1]/@unit.code" w:storeItemID="{B04FCA99-13B0-422B-ADC9-9491644FA79D}"/>
              <w15:appearance w15:val="tags"/>
              <w:text/>
            </w:sdtPr>
            <w:sdtContent>
              <w:r>
                <w:rPr>
                  <w:rStyle w:val="BContentControl"/>
                </w:rPr>
                <w:t>main0005</w:t>
              </w:r>
            </w:sdtContent>
          </w:sdt>
          <w:r w:rsidRPr="00105A85">
            <w:rPr>
              <w:rStyle w:val="BContentControl"/>
            </w:rPr>
            <w:t xml:space="preserve"> </w:t>
          </w:r>
          <w:sdt>
            <w:sdtPr>
              <w:rPr>
                <w:rStyle w:val="BContentControl"/>
              </w:rPr>
              <w:alias w:val="unit.name*"/>
              <w:tag w:val="unit.name"/>
              <w:id w:val="-1333523611"/>
              <w:lock w:val="sdtLocked"/>
              <w:placeholder>
                <w:docPart w:val="9FAC363D8D0B4541B353619A8A28B61E"/>
              </w:placeholder>
              <w:dataBinding w:prefixMappings="xmlns:ns0='http://www.bna.com/gateway/unit.start' " w:xpath="/ns0:document[1]/ns0:unit.start[1]/@unit.name" w:storeItemID="{B04FCA99-13B0-422B-ADC9-9491644FA79D}"/>
              <w15:appearance w15:val="tags"/>
              <w:text/>
            </w:sdtPr>
            <w:sdtContent>
              <w:r>
                <w:rPr>
                  <w:rStyle w:val="BContentControl"/>
                </w:rPr>
                <w:t>Chapter 5. State Law Remedies for Dilution</w:t>
              </w:r>
            </w:sdtContent>
          </w:sdt>
          <w:r w:rsidRPr="00105A85">
            <w:rPr>
              <w:rStyle w:val="BContentControl"/>
            </w:rPr>
            <w:t xml:space="preserve"> </w:t>
          </w:r>
          <w:sdt>
            <w:sdtPr>
              <w:rPr>
                <w:rStyle w:val="BContentControl"/>
              </w:rPr>
              <w:alias w:val="volume.num"/>
              <w:tag w:val="volume.num"/>
              <w:id w:val="-371619862"/>
              <w:lock w:val="sdtLocked"/>
              <w:placeholder>
                <w:docPart w:val="74B39DF5A27941B59AEBCAB0EC30A4C5"/>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17AC1E2C" w14:textId="77777777" w:rsidR="00105A85" w:rsidRPr="00105A85" w:rsidRDefault="00105A85" w:rsidP="00105A85">
      <w:pPr>
        <w:pStyle w:val="BDocStart"/>
      </w:pPr>
      <w:sdt>
        <w:sdtPr>
          <w:tag w:val="DocStart"/>
          <w:id w:val="-75672279"/>
          <w:lock w:val="sdtLocked"/>
          <w:placeholder>
            <w:docPart w:val="003DA370477947EB9C9D8AB62E2DFEFE"/>
          </w:placeholder>
          <w15:appearance w15:val="hidden"/>
        </w:sdtPr>
        <w:sdtContent>
          <w:r>
            <w:t>Document</w:t>
          </w:r>
        </w:sdtContent>
      </w:sdt>
    </w:p>
    <w:p w14:paraId="410E3F79" w14:textId="77777777" w:rsidR="00AF6C63" w:rsidRDefault="00AF6C63" w:rsidP="00390C9B">
      <w:pPr>
        <w:pStyle w:val="chaptertitle"/>
        <w:spacing w:after="0" w:line="240" w:lineRule="auto"/>
        <w:rPr>
          <w:rFonts w:ascii="Times New Roman" w:hAnsi="Times New Roman" w:cs="Times New Roman"/>
          <w:i/>
          <w:sz w:val="22"/>
          <w:szCs w:val="22"/>
        </w:rPr>
      </w:pPr>
      <w:r w:rsidRPr="00903803">
        <w:rPr>
          <w:rFonts w:ascii="Times New Roman" w:hAnsi="Times New Roman" w:cs="Times New Roman"/>
        </w:rPr>
        <w:t>Chapter 5</w:t>
      </w:r>
      <w:r>
        <w:rPr>
          <w:rFonts w:ascii="Times New Roman" w:hAnsi="Times New Roman" w:cs="Times New Roman"/>
        </w:rPr>
        <w:t>.</w:t>
      </w:r>
      <w:r w:rsidRPr="00930490">
        <w:rPr>
          <w:rFonts w:ascii="Times New Roman" w:hAnsi="Times New Roman" w:cs="Times New Roman"/>
        </w:rPr>
        <w:t xml:space="preserve"> </w:t>
      </w:r>
      <w:r w:rsidRPr="00903803">
        <w:rPr>
          <w:rFonts w:ascii="Times New Roman" w:hAnsi="Times New Roman" w:cs="Times New Roman"/>
        </w:rPr>
        <w:t>State Law Remedies for Dilution</w:t>
      </w:r>
    </w:p>
    <w:p w14:paraId="5AA5D55B" w14:textId="77777777" w:rsidR="00AF6C63" w:rsidRDefault="00AF6C63" w:rsidP="00390C9B">
      <w:pPr>
        <w:pStyle w:val="chaptertitle"/>
        <w:spacing w:after="0" w:line="240" w:lineRule="auto"/>
        <w:rPr>
          <w:rFonts w:ascii="Times New Roman" w:hAnsi="Times New Roman" w:cs="Times New Roman"/>
          <w:i/>
          <w:sz w:val="22"/>
          <w:szCs w:val="22"/>
        </w:rPr>
      </w:pPr>
    </w:p>
    <w:p w14:paraId="26F6DA14" w14:textId="77777777" w:rsidR="00AF6C63" w:rsidRDefault="00AF6C63" w:rsidP="00390C9B">
      <w:pPr>
        <w:pStyle w:val="chaptertitle"/>
        <w:spacing w:after="0" w:line="240" w:lineRule="auto"/>
        <w:rPr>
          <w:rFonts w:ascii="Times New Roman" w:hAnsi="Times New Roman" w:cs="Times New Roman"/>
          <w:i/>
          <w:sz w:val="22"/>
          <w:szCs w:val="22"/>
        </w:rPr>
      </w:pPr>
      <w:r w:rsidRPr="00390C9B">
        <w:rPr>
          <w:rFonts w:ascii="Times New Roman" w:hAnsi="Times New Roman" w:cs="Times New Roman"/>
          <w:i/>
          <w:sz w:val="22"/>
          <w:szCs w:val="22"/>
        </w:rPr>
        <w:t xml:space="preserve">This chapter is current through May </w:t>
      </w:r>
      <w:r>
        <w:rPr>
          <w:rFonts w:ascii="Times New Roman" w:hAnsi="Times New Roman" w:cs="Times New Roman"/>
          <w:i/>
          <w:sz w:val="22"/>
          <w:szCs w:val="22"/>
        </w:rPr>
        <w:t>2025</w:t>
      </w:r>
    </w:p>
    <w:p w14:paraId="6718F8D2" w14:textId="77777777" w:rsidR="00AF6C63" w:rsidRDefault="00AF6C63" w:rsidP="00930490">
      <w:pPr>
        <w:pStyle w:val="ChapterNum"/>
        <w:ind w:firstLine="0"/>
        <w:rPr>
          <w:sz w:val="22"/>
          <w:szCs w:val="22"/>
        </w:rPr>
      </w:pPr>
    </w:p>
    <w:p w14:paraId="440E7C09" w14:textId="77777777" w:rsidR="00AF6C63" w:rsidRDefault="00AF6C63" w:rsidP="00930490">
      <w:pPr>
        <w:pStyle w:val="ChapterNum"/>
        <w:ind w:firstLine="0"/>
        <w:rPr>
          <w:sz w:val="22"/>
          <w:szCs w:val="22"/>
        </w:rPr>
      </w:pPr>
      <w:hyperlink r:id="rId13" w:history="1">
        <w:r w:rsidRPr="00BF0E98">
          <w:rPr>
            <w:rStyle w:val="Hyperlink"/>
            <w:sz w:val="22"/>
            <w:szCs w:val="22"/>
          </w:rPr>
          <w:t>David Welkowitz</w:t>
        </w:r>
      </w:hyperlink>
      <w:r>
        <w:rPr>
          <w:rStyle w:val="FootnoteReference"/>
          <w:rFonts w:eastAsiaTheme="majorEastAsia"/>
          <w:sz w:val="22"/>
          <w:szCs w:val="22"/>
        </w:rPr>
        <w:footnoteReference w:id="1"/>
      </w:r>
    </w:p>
    <w:p w14:paraId="7AB946BF" w14:textId="77777777" w:rsidR="00AF6C63" w:rsidRDefault="00AF6C63" w:rsidP="00930490">
      <w:pPr>
        <w:pStyle w:val="ChapterNum"/>
        <w:ind w:firstLine="0"/>
        <w:rPr>
          <w:i/>
          <w:sz w:val="22"/>
          <w:szCs w:val="22"/>
        </w:rPr>
      </w:pPr>
      <w:r>
        <w:rPr>
          <w:i/>
          <w:sz w:val="22"/>
          <w:szCs w:val="22"/>
        </w:rPr>
        <w:t>Whittier Law School, Costa Mesa, CA</w:t>
      </w:r>
    </w:p>
    <w:p w14:paraId="30DC19A7" w14:textId="77777777" w:rsidR="00AF6C63" w:rsidRDefault="00AF6C63" w:rsidP="009A46F6">
      <w:pPr>
        <w:pStyle w:val="ChapterNum"/>
        <w:ind w:firstLine="0"/>
        <w:rPr>
          <w:i/>
          <w:sz w:val="22"/>
          <w:szCs w:val="22"/>
        </w:rPr>
      </w:pPr>
      <w:r>
        <w:rPr>
          <w:i/>
          <w:sz w:val="22"/>
          <w:szCs w:val="22"/>
        </w:rPr>
        <w:tab/>
      </w:r>
    </w:p>
    <w:p w14:paraId="06D0F6B6" w14:textId="77777777" w:rsidR="00AF6C63" w:rsidRDefault="00AF6C63" w:rsidP="00390C9B">
      <w:pPr>
        <w:pStyle w:val="chaptertitle"/>
        <w:spacing w:after="0" w:line="240" w:lineRule="auto"/>
        <w:rPr>
          <w:rFonts w:ascii="Times New Roman" w:eastAsia="Arial Unicode MS" w:hAnsi="Times New Roman" w:cs="Times New Roman"/>
          <w:sz w:val="22"/>
          <w:szCs w:val="22"/>
        </w:rPr>
      </w:pPr>
      <w:r w:rsidRPr="00390C9B">
        <w:rPr>
          <w:rFonts w:ascii="Times New Roman" w:eastAsia="Arial Unicode MS" w:hAnsi="Times New Roman" w:cs="Times New Roman"/>
          <w:sz w:val="22"/>
          <w:szCs w:val="22"/>
        </w:rPr>
        <w:t>Disclaimer:  The opinions expressed here are solely those of the author and should not be construed as representing the opinions, </w:t>
      </w:r>
      <w:r w:rsidRPr="00390C9B">
        <w:rPr>
          <w:rFonts w:ascii="Times New Roman" w:eastAsia="Arial Unicode MS" w:hAnsi="Times New Roman" w:cs="Times New Roman"/>
          <w:sz w:val="22"/>
          <w:szCs w:val="22"/>
          <w:shd w:val="clear" w:color="auto" w:fill="FFFFFF"/>
        </w:rPr>
        <w:t>directly or indirectly, of</w:t>
      </w:r>
      <w:r w:rsidRPr="00390C9B">
        <w:rPr>
          <w:rFonts w:ascii="Times New Roman" w:eastAsia="Arial Unicode MS" w:hAnsi="Times New Roman" w:cs="Times New Roman"/>
          <w:sz w:val="22"/>
          <w:szCs w:val="22"/>
        </w:rPr>
        <w:t> the U.S. Copyright Office.</w:t>
      </w:r>
    </w:p>
    <w:p w14:paraId="19954BD5" w14:textId="77777777" w:rsidR="00AF6C63" w:rsidRPr="00390C9B" w:rsidRDefault="00AF6C63" w:rsidP="00390C9B">
      <w:pPr>
        <w:pStyle w:val="chaptertitle"/>
        <w:spacing w:after="0" w:line="240" w:lineRule="auto"/>
        <w:rPr>
          <w:rFonts w:ascii="Times New Roman" w:eastAsia="Arial Unicode MS" w:hAnsi="Times New Roman" w:cs="Times New Roman"/>
        </w:rPr>
      </w:pPr>
    </w:p>
    <w:p w14:paraId="0F8AE833" w14:textId="77777777" w:rsidR="00AF6C63" w:rsidRPr="00903803" w:rsidRDefault="00AF6C63" w:rsidP="00C07DC0">
      <w:pPr>
        <w:pStyle w:val="toc10"/>
        <w:rPr>
          <w:rFonts w:cs="Times New Roman"/>
        </w:rPr>
      </w:pPr>
      <w:r w:rsidRPr="00903803">
        <w:rPr>
          <w:rFonts w:cs="Times New Roman"/>
        </w:rPr>
        <w:tab/>
        <w:t>I.</w:t>
      </w:r>
      <w:r w:rsidRPr="00903803">
        <w:rPr>
          <w:rFonts w:cs="Times New Roman"/>
          <w:b/>
          <w:bCs/>
        </w:rPr>
        <w:tab/>
      </w:r>
      <w:r w:rsidRPr="00903803">
        <w:rPr>
          <w:rFonts w:cs="Times New Roman"/>
        </w:rPr>
        <w:t>Injunctive Relief in General</w:t>
      </w:r>
      <w:r w:rsidRPr="00903803">
        <w:rPr>
          <w:rFonts w:cs="Times New Roman"/>
        </w:rPr>
        <w:tab/>
      </w:r>
      <w:r w:rsidRPr="00903803">
        <w:rPr>
          <w:rFonts w:cs="Times New Roman"/>
        </w:rPr>
        <w:tab/>
        <w:t>201</w:t>
      </w:r>
    </w:p>
    <w:p w14:paraId="5EFA9A62" w14:textId="77777777" w:rsidR="00AF6C63" w:rsidRPr="00903803" w:rsidRDefault="00AF6C63" w:rsidP="00C07DC0">
      <w:pPr>
        <w:pStyle w:val="toc10"/>
        <w:rPr>
          <w:rFonts w:cs="Times New Roman"/>
        </w:rPr>
      </w:pPr>
      <w:r w:rsidRPr="00903803">
        <w:rPr>
          <w:rFonts w:cs="Times New Roman"/>
        </w:rPr>
        <w:tab/>
        <w:t>II.</w:t>
      </w:r>
      <w:r w:rsidRPr="00903803">
        <w:rPr>
          <w:rFonts w:cs="Times New Roman"/>
          <w:b/>
          <w:bCs/>
        </w:rPr>
        <w:tab/>
      </w:r>
      <w:r w:rsidRPr="00903803">
        <w:rPr>
          <w:rFonts w:cs="Times New Roman"/>
        </w:rPr>
        <w:t>The Geographic Scope of Injunctive</w:t>
      </w:r>
      <w:r w:rsidRPr="00903803">
        <w:rPr>
          <w:rFonts w:cs="Times New Roman"/>
          <w:b/>
          <w:bCs/>
        </w:rPr>
        <w:t xml:space="preserve"> </w:t>
      </w:r>
      <w:r w:rsidRPr="00903803">
        <w:rPr>
          <w:rFonts w:cs="Times New Roman"/>
        </w:rPr>
        <w:t>Relief</w:t>
      </w:r>
      <w:r w:rsidRPr="00903803">
        <w:rPr>
          <w:rFonts w:cs="Times New Roman"/>
        </w:rPr>
        <w:tab/>
      </w:r>
      <w:r w:rsidRPr="00903803">
        <w:rPr>
          <w:rFonts w:cs="Times New Roman"/>
          <w:b/>
          <w:bCs/>
        </w:rPr>
        <w:tab/>
      </w:r>
      <w:r w:rsidRPr="00903803">
        <w:rPr>
          <w:rFonts w:cs="Times New Roman"/>
        </w:rPr>
        <w:t>202</w:t>
      </w:r>
    </w:p>
    <w:p w14:paraId="4F0181BC" w14:textId="77777777" w:rsidR="00AF6C63" w:rsidRPr="00903803" w:rsidRDefault="00AF6C63" w:rsidP="00C07DC0">
      <w:pPr>
        <w:pStyle w:val="toc20"/>
        <w:rPr>
          <w:rFonts w:cs="Times New Roman"/>
        </w:rPr>
      </w:pPr>
      <w:r w:rsidRPr="00903803">
        <w:rPr>
          <w:rFonts w:cs="Times New Roman"/>
        </w:rPr>
        <w:t>A.</w:t>
      </w:r>
      <w:r w:rsidRPr="00903803">
        <w:rPr>
          <w:rFonts w:cs="Times New Roman"/>
          <w:b/>
          <w:bCs/>
        </w:rPr>
        <w:tab/>
      </w:r>
      <w:r w:rsidRPr="00903803">
        <w:rPr>
          <w:rFonts w:cs="Times New Roman"/>
        </w:rPr>
        <w:t>Injunctions Under the TDRA Can Extend</w:t>
      </w:r>
      <w:r w:rsidRPr="00903803">
        <w:rPr>
          <w:rFonts w:cs="Times New Roman"/>
          <w:b/>
          <w:bCs/>
        </w:rPr>
        <w:t xml:space="preserve"> </w:t>
      </w:r>
      <w:r w:rsidRPr="00903803">
        <w:rPr>
          <w:rFonts w:cs="Times New Roman"/>
        </w:rPr>
        <w:t>Nationwide</w:t>
      </w:r>
      <w:r w:rsidRPr="00903803">
        <w:rPr>
          <w:rFonts w:cs="Times New Roman"/>
        </w:rPr>
        <w:tab/>
      </w:r>
      <w:r w:rsidRPr="00903803">
        <w:rPr>
          <w:rFonts w:cs="Times New Roman"/>
        </w:rPr>
        <w:tab/>
        <w:t>203</w:t>
      </w:r>
    </w:p>
    <w:p w14:paraId="07DAE4DD" w14:textId="77777777" w:rsidR="00AF6C63" w:rsidRPr="00903803" w:rsidRDefault="00AF6C63" w:rsidP="00C07DC0">
      <w:pPr>
        <w:pStyle w:val="toc20"/>
        <w:rPr>
          <w:rFonts w:cs="Times New Roman"/>
        </w:rPr>
      </w:pPr>
      <w:r w:rsidRPr="00903803">
        <w:rPr>
          <w:rFonts w:cs="Times New Roman"/>
        </w:rPr>
        <w:t>B.</w:t>
      </w:r>
      <w:r w:rsidRPr="00903803">
        <w:rPr>
          <w:rFonts w:cs="Times New Roman"/>
          <w:b/>
          <w:bCs/>
        </w:rPr>
        <w:tab/>
      </w:r>
      <w:r w:rsidRPr="00903803">
        <w:rPr>
          <w:rFonts w:cs="Times New Roman"/>
        </w:rPr>
        <w:t>Injunctions Under State Laws: A Limited</w:t>
      </w:r>
      <w:r w:rsidRPr="00903803">
        <w:rPr>
          <w:rFonts w:cs="Times New Roman"/>
          <w:b/>
          <w:bCs/>
        </w:rPr>
        <w:t xml:space="preserve"> </w:t>
      </w:r>
      <w:r w:rsidRPr="00903803">
        <w:rPr>
          <w:rFonts w:cs="Times New Roman"/>
        </w:rPr>
        <w:t>Geographic</w:t>
      </w:r>
      <w:r w:rsidRPr="00903803">
        <w:rPr>
          <w:rFonts w:cs="Times New Roman"/>
        </w:rPr>
        <w:br/>
        <w:t>Reach</w:t>
      </w:r>
      <w:r w:rsidRPr="00903803">
        <w:rPr>
          <w:rFonts w:cs="Times New Roman"/>
        </w:rPr>
        <w:tab/>
      </w:r>
      <w:r w:rsidRPr="00903803">
        <w:rPr>
          <w:rFonts w:cs="Times New Roman"/>
        </w:rPr>
        <w:tab/>
        <w:t>204</w:t>
      </w:r>
    </w:p>
    <w:p w14:paraId="738AA469" w14:textId="77777777" w:rsidR="00AF6C63" w:rsidRPr="00903803" w:rsidRDefault="00AF6C63" w:rsidP="00C07DC0">
      <w:pPr>
        <w:pStyle w:val="toc30"/>
        <w:rPr>
          <w:rFonts w:cs="Times New Roman"/>
        </w:rPr>
      </w:pPr>
      <w:r w:rsidRPr="00903803">
        <w:rPr>
          <w:rFonts w:cs="Times New Roman"/>
        </w:rPr>
        <w:t>1.</w:t>
      </w:r>
      <w:r w:rsidRPr="00903803">
        <w:rPr>
          <w:rFonts w:cs="Times New Roman"/>
          <w:b/>
          <w:bCs/>
        </w:rPr>
        <w:tab/>
      </w:r>
      <w:r w:rsidRPr="00903803">
        <w:rPr>
          <w:rFonts w:cs="Times New Roman"/>
        </w:rPr>
        <w:t>State Laws Patterned After the 1992,</w:t>
      </w:r>
      <w:r w:rsidRPr="00903803">
        <w:rPr>
          <w:rFonts w:cs="Times New Roman"/>
          <w:b/>
          <w:bCs/>
        </w:rPr>
        <w:t xml:space="preserve"> </w:t>
      </w:r>
      <w:r w:rsidRPr="00903803">
        <w:rPr>
          <w:rFonts w:cs="Times New Roman"/>
        </w:rPr>
        <w:t>1996, and</w:t>
      </w:r>
      <w:r w:rsidRPr="00903803">
        <w:rPr>
          <w:rFonts w:cs="Times New Roman"/>
        </w:rPr>
        <w:br/>
        <w:t>2007 Model Bills</w:t>
      </w:r>
      <w:r w:rsidRPr="00903803">
        <w:rPr>
          <w:rFonts w:cs="Times New Roman"/>
        </w:rPr>
        <w:tab/>
      </w:r>
      <w:r w:rsidRPr="00903803">
        <w:rPr>
          <w:rFonts w:cs="Times New Roman"/>
          <w:b/>
          <w:bCs/>
        </w:rPr>
        <w:tab/>
      </w:r>
      <w:r w:rsidRPr="00903803">
        <w:rPr>
          <w:rFonts w:cs="Times New Roman"/>
        </w:rPr>
        <w:t>204</w:t>
      </w:r>
    </w:p>
    <w:p w14:paraId="28D23DD7" w14:textId="77777777" w:rsidR="00AF6C63" w:rsidRPr="00903803" w:rsidRDefault="00AF6C63" w:rsidP="00C07DC0">
      <w:pPr>
        <w:pStyle w:val="toc30"/>
        <w:rPr>
          <w:rFonts w:cs="Times New Roman"/>
        </w:rPr>
      </w:pPr>
      <w:r w:rsidRPr="00903803">
        <w:rPr>
          <w:rFonts w:cs="Times New Roman"/>
        </w:rPr>
        <w:t>2.</w:t>
      </w:r>
      <w:r w:rsidRPr="00903803">
        <w:rPr>
          <w:rFonts w:cs="Times New Roman"/>
          <w:b/>
          <w:bCs/>
        </w:rPr>
        <w:tab/>
      </w:r>
      <w:r w:rsidRPr="00903803">
        <w:rPr>
          <w:rFonts w:cs="Times New Roman"/>
        </w:rPr>
        <w:t>State Laws Patterned After the 1964</w:t>
      </w:r>
      <w:r w:rsidRPr="00903803">
        <w:rPr>
          <w:rFonts w:cs="Times New Roman"/>
          <w:b/>
          <w:bCs/>
        </w:rPr>
        <w:t xml:space="preserve"> </w:t>
      </w:r>
      <w:r w:rsidRPr="00903803">
        <w:rPr>
          <w:rFonts w:cs="Times New Roman"/>
        </w:rPr>
        <w:t>Model Bill</w:t>
      </w:r>
      <w:r w:rsidRPr="00903803">
        <w:rPr>
          <w:rFonts w:cs="Times New Roman"/>
        </w:rPr>
        <w:tab/>
      </w:r>
      <w:r w:rsidRPr="00903803">
        <w:rPr>
          <w:rFonts w:cs="Times New Roman"/>
        </w:rPr>
        <w:tab/>
        <w:t>205</w:t>
      </w:r>
    </w:p>
    <w:p w14:paraId="249B37F3" w14:textId="77777777" w:rsidR="00AF6C63" w:rsidRPr="00903803" w:rsidRDefault="00AF6C63" w:rsidP="00C07DC0">
      <w:pPr>
        <w:pStyle w:val="toc10"/>
        <w:rPr>
          <w:rFonts w:cs="Times New Roman"/>
        </w:rPr>
      </w:pPr>
      <w:r w:rsidRPr="00903803">
        <w:rPr>
          <w:rFonts w:cs="Times New Roman"/>
        </w:rPr>
        <w:tab/>
        <w:t>III.</w:t>
      </w:r>
      <w:r w:rsidRPr="00903803">
        <w:rPr>
          <w:rFonts w:cs="Times New Roman"/>
          <w:b/>
          <w:bCs/>
        </w:rPr>
        <w:tab/>
      </w:r>
      <w:r w:rsidRPr="00903803">
        <w:rPr>
          <w:rFonts w:cs="Times New Roman"/>
        </w:rPr>
        <w:t>Noninjunctive Relief</w:t>
      </w:r>
      <w:r w:rsidRPr="00903803">
        <w:rPr>
          <w:rFonts w:cs="Times New Roman"/>
        </w:rPr>
        <w:tab/>
      </w:r>
      <w:r w:rsidRPr="00903803">
        <w:rPr>
          <w:rFonts w:cs="Times New Roman"/>
        </w:rPr>
        <w:tab/>
        <w:t>208</w:t>
      </w:r>
    </w:p>
    <w:p w14:paraId="71BE2CC2" w14:textId="77777777" w:rsidR="00AF6C63" w:rsidRPr="00903803" w:rsidRDefault="00AF6C63" w:rsidP="00C07DC0">
      <w:pPr>
        <w:pStyle w:val="toc20"/>
        <w:rPr>
          <w:rFonts w:cs="Times New Roman"/>
        </w:rPr>
      </w:pPr>
      <w:r w:rsidRPr="00903803">
        <w:rPr>
          <w:rFonts w:cs="Times New Roman"/>
        </w:rPr>
        <w:t>A.</w:t>
      </w:r>
      <w:r w:rsidRPr="00903803">
        <w:rPr>
          <w:rFonts w:cs="Times New Roman"/>
          <w:b/>
          <w:bCs/>
        </w:rPr>
        <w:tab/>
      </w:r>
      <w:r w:rsidRPr="00903803">
        <w:rPr>
          <w:rFonts w:cs="Times New Roman"/>
        </w:rPr>
        <w:t>Damages as a Remedy</w:t>
      </w:r>
      <w:r w:rsidRPr="00903803">
        <w:rPr>
          <w:rFonts w:cs="Times New Roman"/>
        </w:rPr>
        <w:tab/>
      </w:r>
      <w:r w:rsidRPr="00903803">
        <w:rPr>
          <w:rFonts w:cs="Times New Roman"/>
        </w:rPr>
        <w:tab/>
        <w:t>208</w:t>
      </w:r>
    </w:p>
    <w:p w14:paraId="27C7F342" w14:textId="77777777" w:rsidR="00AF6C63" w:rsidRPr="00903803" w:rsidRDefault="00AF6C63" w:rsidP="00C07DC0">
      <w:pPr>
        <w:pStyle w:val="toc20"/>
        <w:rPr>
          <w:rFonts w:cs="Times New Roman"/>
        </w:rPr>
      </w:pPr>
      <w:r w:rsidRPr="00903803">
        <w:rPr>
          <w:rFonts w:cs="Times New Roman"/>
        </w:rPr>
        <w:t>B.</w:t>
      </w:r>
      <w:r w:rsidRPr="00903803">
        <w:rPr>
          <w:rFonts w:cs="Times New Roman"/>
          <w:b/>
          <w:bCs/>
        </w:rPr>
        <w:tab/>
      </w:r>
      <w:r w:rsidRPr="00903803">
        <w:rPr>
          <w:rFonts w:cs="Times New Roman"/>
        </w:rPr>
        <w:t>Other Forms of Relief</w:t>
      </w:r>
      <w:r w:rsidRPr="00903803">
        <w:rPr>
          <w:rFonts w:cs="Times New Roman"/>
        </w:rPr>
        <w:tab/>
      </w:r>
      <w:r w:rsidRPr="00903803">
        <w:rPr>
          <w:rFonts w:cs="Times New Roman"/>
        </w:rPr>
        <w:tab/>
        <w:t>212</w:t>
      </w:r>
    </w:p>
    <w:p w14:paraId="3CCBEA4B" w14:textId="77777777" w:rsidR="00AF6C63" w:rsidRPr="00903803" w:rsidRDefault="00AF6C63" w:rsidP="00C07DC0">
      <w:pPr>
        <w:pStyle w:val="toc20"/>
        <w:rPr>
          <w:rFonts w:cs="Times New Roman"/>
        </w:rPr>
      </w:pPr>
      <w:r w:rsidRPr="00903803">
        <w:rPr>
          <w:rFonts w:cs="Times New Roman"/>
        </w:rPr>
        <w:t>C.</w:t>
      </w:r>
      <w:r w:rsidRPr="00903803">
        <w:rPr>
          <w:rFonts w:cs="Times New Roman"/>
          <w:b/>
          <w:bCs/>
        </w:rPr>
        <w:tab/>
      </w:r>
      <w:r w:rsidRPr="00903803">
        <w:rPr>
          <w:rFonts w:cs="Times New Roman"/>
        </w:rPr>
        <w:t>Disclaimers as a Remedy</w:t>
      </w:r>
      <w:r w:rsidRPr="00903803">
        <w:rPr>
          <w:rFonts w:cs="Times New Roman"/>
        </w:rPr>
        <w:tab/>
      </w:r>
      <w:r w:rsidRPr="00903803">
        <w:rPr>
          <w:rFonts w:cs="Times New Roman"/>
        </w:rPr>
        <w:tab/>
        <w:t>212</w:t>
      </w:r>
    </w:p>
    <w:p w14:paraId="75E80560" w14:textId="77777777" w:rsidR="00AF6C63" w:rsidRPr="00903803" w:rsidRDefault="00AF6C63" w:rsidP="00C07DC0">
      <w:pPr>
        <w:pStyle w:val="toc20"/>
        <w:rPr>
          <w:rFonts w:cs="Times New Roman"/>
        </w:rPr>
      </w:pPr>
      <w:r w:rsidRPr="00903803">
        <w:rPr>
          <w:rFonts w:cs="Times New Roman"/>
        </w:rPr>
        <w:t>D.</w:t>
      </w:r>
      <w:r w:rsidRPr="00903803">
        <w:rPr>
          <w:rFonts w:cs="Times New Roman"/>
          <w:b/>
          <w:bCs/>
        </w:rPr>
        <w:tab/>
      </w:r>
      <w:r w:rsidRPr="00903803">
        <w:rPr>
          <w:rFonts w:cs="Times New Roman"/>
        </w:rPr>
        <w:t>Attorneys’ Fees in Dilution Cases</w:t>
      </w:r>
      <w:r w:rsidRPr="00903803">
        <w:rPr>
          <w:rFonts w:cs="Times New Roman"/>
        </w:rPr>
        <w:tab/>
      </w:r>
      <w:r w:rsidRPr="00903803">
        <w:rPr>
          <w:rFonts w:cs="Times New Roman"/>
        </w:rPr>
        <w:tab/>
        <w:t>212</w:t>
      </w:r>
    </w:p>
    <w:p w14:paraId="612334AD" w14:textId="77777777" w:rsidR="00AF6C63" w:rsidRPr="00903803" w:rsidRDefault="00AF6C63" w:rsidP="00C07DC0">
      <w:pPr>
        <w:pStyle w:val="1stLevelHeadII"/>
        <w:rPr>
          <w:rFonts w:cs="Times New Roman"/>
        </w:rPr>
      </w:pPr>
      <w:r w:rsidRPr="00903803">
        <w:rPr>
          <w:rFonts w:cs="Times New Roman"/>
        </w:rPr>
        <w:t>I.</w:t>
      </w:r>
      <w:r w:rsidRPr="00903803">
        <w:rPr>
          <w:rFonts w:cs="Times New Roman"/>
        </w:rPr>
        <w:t> </w:t>
      </w:r>
      <w:r w:rsidRPr="00903803">
        <w:rPr>
          <w:rFonts w:cs="Times New Roman"/>
        </w:rPr>
        <w:t xml:space="preserve">Injunctive Relief in </w:t>
      </w:r>
      <w:commentRangeStart w:id="1"/>
      <w:r w:rsidRPr="00903803">
        <w:rPr>
          <w:rFonts w:cs="Times New Roman"/>
        </w:rPr>
        <w:t>General</w:t>
      </w:r>
      <w:commentRangeEnd w:id="1"/>
      <w:r>
        <w:rPr>
          <w:rStyle w:val="CommentReference"/>
          <w:rFonts w:eastAsiaTheme="minorHAnsi" w:cstheme="minorBidi"/>
          <w:b w:val="0"/>
          <w:bCs w:val="0"/>
          <w:smallCaps w:val="0"/>
          <w:color w:val="auto"/>
        </w:rPr>
        <w:commentReference w:id="1"/>
      </w:r>
    </w:p>
    <w:p w14:paraId="1EA8B3FB" w14:textId="77777777" w:rsidR="00AF6C63" w:rsidRPr="00903803" w:rsidRDefault="00AF6C63" w:rsidP="00C07DC0">
      <w:pPr>
        <w:pStyle w:val="text"/>
      </w:pPr>
      <w:r w:rsidRPr="00903803">
        <w:t>In the vast majority of dilution cases, under both state law and the Trademark Dilution Revision Act of 2006 (TDRA),</w:t>
      </w:r>
      <w:r w:rsidRPr="00903803">
        <w:rPr>
          <w:vertAlign w:val="superscript"/>
        </w:rPr>
        <w:footnoteReference w:id="2"/>
      </w:r>
      <w:r w:rsidRPr="00903803">
        <w:t xml:space="preserve"> the remedy for a successful plaintiff is an injunction. Under the original model of state dilution statutes, injunctions were the only remedy provided in the law: “Likelihood of injury to business reputation or of dilution of the distinctive quality of a mark … shall be a ground for injunctive relief … .”</w:t>
      </w:r>
      <w:r w:rsidRPr="00903803">
        <w:rPr>
          <w:vertAlign w:val="superscript"/>
        </w:rPr>
        <w:footnoteReference w:id="3"/>
      </w:r>
      <w:r w:rsidRPr="00903803">
        <w:t xml:space="preserve"> In states with statutes based on that model, injunctions are the exclusive remedy for violations of the statute.</w:t>
      </w:r>
    </w:p>
    <w:p w14:paraId="490D6393" w14:textId="77777777" w:rsidR="00AF6C63" w:rsidRPr="00903803" w:rsidRDefault="00AF6C63" w:rsidP="00C07DC0">
      <w:pPr>
        <w:pStyle w:val="text"/>
      </w:pPr>
      <w:r w:rsidRPr="00903803">
        <w:t>The TDRA, and the 1992, 1996, and 2007 Model State Trademark Bills, also provide that injunctions are to be the usual remedy.</w:t>
      </w:r>
      <w:r w:rsidRPr="00903803">
        <w:rPr>
          <w:vertAlign w:val="superscript"/>
        </w:rPr>
        <w:footnoteReference w:id="4"/>
      </w:r>
      <w:r w:rsidRPr="00903803">
        <w:t xml:space="preserve"> Thus, in all dilution cases, the primary remedy will be an injunction. However, this is not the exclusive remedy allowed for dilution under the TDRA or state statutes based on these more recent Model Bills. If the famous mark owner shows that the defendant intended to harm the reputation of the famous mark or trade on the goodwill of the famous mark, damages may be awarded.</w:t>
      </w:r>
      <w:r w:rsidRPr="00903803">
        <w:rPr>
          <w:vertAlign w:val="superscript"/>
        </w:rPr>
        <w:footnoteReference w:id="5"/>
      </w:r>
      <w:r w:rsidRPr="00903803">
        <w:t xml:space="preserve"> Most state dilution statutes now have remedy provisions that are the same as or very similar to those in the TDRA or the Federal Trademark Dilution Act (FTDA).</w:t>
      </w:r>
      <w:r w:rsidRPr="00903803">
        <w:rPr>
          <w:vertAlign w:val="superscript"/>
        </w:rPr>
        <w:footnoteReference w:id="6"/>
      </w:r>
      <w:r w:rsidRPr="00903803">
        <w:t xml:space="preserve"> However, under all of these statutes, noninjunctive remedies are available only under rather stringent circumstances, as discussed below in Section III.</w:t>
      </w:r>
    </w:p>
    <w:p w14:paraId="21B1CB81" w14:textId="77777777" w:rsidR="00AF6C63" w:rsidRPr="00903803" w:rsidRDefault="00AF6C63" w:rsidP="00C07DC0">
      <w:pPr>
        <w:pStyle w:val="text"/>
      </w:pPr>
      <w:r w:rsidRPr="00903803">
        <w:t>Injunctive relief is an equitable remedy and normally is subject to the usual restrictions on such relief, such as the need to balance the hardships to the parties that would be imposed by the injunction and the need to find irreparable harm.</w:t>
      </w:r>
      <w:r w:rsidRPr="00903803">
        <w:rPr>
          <w:vertAlign w:val="superscript"/>
        </w:rPr>
        <w:footnoteReference w:id="7"/>
      </w:r>
      <w:r w:rsidRPr="00903803">
        <w:t xml:space="preserve"> However, in a few states, the law has been interpreted to mandate an injunction if a violation of the dilution statute is found, regardless of the other equities</w:t>
      </w:r>
      <w:commentRangeStart w:id="2"/>
      <w:r w:rsidRPr="00903803">
        <w:t>.</w:t>
      </w:r>
      <w:r w:rsidRPr="00903803">
        <w:rPr>
          <w:vertAlign w:val="superscript"/>
        </w:rPr>
        <w:footnoteReference w:id="8"/>
      </w:r>
      <w:commentRangeEnd w:id="2"/>
      <w:r>
        <w:rPr>
          <w:rStyle w:val="CommentReference"/>
          <w:rFonts w:cstheme="minorBidi"/>
        </w:rPr>
        <w:commentReference w:id="2"/>
      </w:r>
    </w:p>
    <w:p w14:paraId="3CD8EA2E" w14:textId="77777777" w:rsidR="00AF6C63" w:rsidRPr="00903803" w:rsidRDefault="00AF6C63" w:rsidP="00C07DC0">
      <w:pPr>
        <w:pStyle w:val="1stLevelHeadII"/>
        <w:rPr>
          <w:rFonts w:cs="Times New Roman"/>
        </w:rPr>
      </w:pPr>
      <w:r w:rsidRPr="00903803">
        <w:rPr>
          <w:rFonts w:cs="Times New Roman"/>
        </w:rPr>
        <w:t>II.</w:t>
      </w:r>
      <w:r w:rsidRPr="00903803">
        <w:rPr>
          <w:rFonts w:cs="Times New Roman"/>
        </w:rPr>
        <w:t> </w:t>
      </w:r>
      <w:r w:rsidRPr="00903803">
        <w:rPr>
          <w:rFonts w:cs="Times New Roman"/>
        </w:rPr>
        <w:t>The Geographic Scope of Injunctive Relief</w:t>
      </w:r>
    </w:p>
    <w:p w14:paraId="689CCA23" w14:textId="77777777" w:rsidR="00AF6C63" w:rsidRPr="00903803" w:rsidRDefault="00AF6C63" w:rsidP="00C07DC0">
      <w:pPr>
        <w:pStyle w:val="text"/>
      </w:pPr>
      <w:r w:rsidRPr="00903803">
        <w:t>Until 1996, when the FTDA became effective, the only basis for dilution protection was state law. Even today, state dilution laws have a role to play in protecting trademarks.</w:t>
      </w:r>
      <w:r w:rsidRPr="00903803">
        <w:rPr>
          <w:vertAlign w:val="superscript"/>
        </w:rPr>
        <w:footnoteReference w:id="9"/>
      </w:r>
      <w:r w:rsidRPr="00903803">
        <w:t xml:space="preserve"> The FTDA does not preempt state dilution laws, and many state laws protect trademarks from dilution under circumstances in which the FTDA would not provide protection.</w:t>
      </w:r>
      <w:r w:rsidRPr="00903803">
        <w:rPr>
          <w:vertAlign w:val="superscript"/>
        </w:rPr>
        <w:footnoteReference w:id="10"/>
      </w:r>
      <w:r w:rsidRPr="00903803">
        <w:t xml:space="preserve"> However, when a court determines that an injunction is warranted, particularly under a state law, the proper territorial scope of the injunction may be questioned. Specifically, if an injunction is issued pursuant to a state law, should that injunction reach conduct in a state where the defendant’s actions would not violate any state laws?</w:t>
      </w:r>
    </w:p>
    <w:p w14:paraId="6203A257" w14:textId="77777777" w:rsidR="00AF6C63" w:rsidRPr="00903803" w:rsidRDefault="00AF6C63" w:rsidP="00C07DC0">
      <w:pPr>
        <w:pStyle w:val="2ndLevelHeadA"/>
        <w:rPr>
          <w:rFonts w:cs="Times New Roman"/>
        </w:rPr>
      </w:pPr>
      <w:r w:rsidRPr="00903803">
        <w:rPr>
          <w:rFonts w:cs="Times New Roman"/>
        </w:rPr>
        <w:t>A.</w:t>
      </w:r>
      <w:r w:rsidRPr="00903803">
        <w:rPr>
          <w:rFonts w:cs="Times New Roman"/>
        </w:rPr>
        <w:tab/>
        <w:t>Injunctions Under the TDRA Can Extend Nationwide</w:t>
      </w:r>
    </w:p>
    <w:p w14:paraId="4077C696" w14:textId="77777777" w:rsidR="00AF6C63" w:rsidRPr="00903803" w:rsidRDefault="00AF6C63" w:rsidP="00C07DC0">
      <w:pPr>
        <w:pStyle w:val="text"/>
      </w:pPr>
      <w:r w:rsidRPr="00903803">
        <w:t xml:space="preserve">An injunction under the TDRA poses no geographic problem within the United States. The scope of the TDRA is national, and an injunction issued for a violation of that statute may reach as far as Congress’s authority permits. There may be a question of scope if the injunction reaches </w:t>
      </w:r>
      <w:r w:rsidRPr="00903803">
        <w:rPr>
          <w:i/>
          <w:iCs/>
        </w:rPr>
        <w:t>beyond</w:t>
      </w:r>
      <w:r w:rsidRPr="00903803">
        <w:t xml:space="preserve"> the United States. Trademark law generally is considered territorial: one country’s laws ordinarily do not purport to reach into another country.</w:t>
      </w:r>
      <w:r w:rsidRPr="00903803">
        <w:rPr>
          <w:vertAlign w:val="superscript"/>
        </w:rPr>
        <w:footnoteReference w:id="11"/>
      </w:r>
      <w:r w:rsidRPr="00903803">
        <w:t xml:space="preserve"> Cases have permitted injunctions issued under the Lanham Act to reach beyond the borders of the United States,</w:t>
      </w:r>
      <w:r w:rsidRPr="00903803">
        <w:rPr>
          <w:vertAlign w:val="superscript"/>
        </w:rPr>
        <w:footnoteReference w:id="12"/>
      </w:r>
      <w:r w:rsidRPr="00903803">
        <w:t xml:space="preserve"> but the U.S. courts’ ability to reach activity beyond the United States is not unlimited.</w:t>
      </w:r>
      <w:r w:rsidRPr="00903803">
        <w:rPr>
          <w:vertAlign w:val="superscript"/>
        </w:rPr>
        <w:footnoteReference w:id="13"/>
      </w:r>
      <w:r w:rsidRPr="00903803">
        <w:t xml:space="preserve"> A complete discussion of the scope of this extraterritorial power is beyond the scope of this text. However, practitioners are cautioned that injunctions reaching activities unconnected with the United States are not favored.</w:t>
      </w:r>
    </w:p>
    <w:p w14:paraId="4E0A404F" w14:textId="77777777" w:rsidR="00AF6C63" w:rsidRPr="00903803" w:rsidRDefault="00AF6C63" w:rsidP="00C07DC0">
      <w:pPr>
        <w:pStyle w:val="2ndLevelHeadA"/>
        <w:rPr>
          <w:rFonts w:cs="Times New Roman"/>
        </w:rPr>
      </w:pPr>
      <w:r w:rsidRPr="00903803">
        <w:rPr>
          <w:rFonts w:cs="Times New Roman"/>
        </w:rPr>
        <w:t>B.</w:t>
      </w:r>
      <w:r w:rsidRPr="00903803">
        <w:rPr>
          <w:rFonts w:cs="Times New Roman"/>
        </w:rPr>
        <w:tab/>
        <w:t>Injunctions Under State Laws: A Limited Geographic Reach</w:t>
      </w:r>
    </w:p>
    <w:p w14:paraId="7A51EC0A" w14:textId="77777777" w:rsidR="00AF6C63" w:rsidRPr="00903803" w:rsidRDefault="00AF6C63" w:rsidP="00C07DC0">
      <w:pPr>
        <w:pStyle w:val="text"/>
      </w:pPr>
      <w:r w:rsidRPr="00903803">
        <w:t>The reach of state statutes is complicated by two factors. First, not all states have dilution laws.</w:t>
      </w:r>
      <w:r w:rsidRPr="00903803">
        <w:rPr>
          <w:vertAlign w:val="superscript"/>
        </w:rPr>
        <w:footnoteReference w:id="14"/>
      </w:r>
      <w:r w:rsidRPr="00903803">
        <w:t xml:space="preserve"> Thus, a national injunction issued pursuant to a state law may reach activities in other states that are perfectly lawful in those other states. Second, state laws vary. Even in states with identically worded laws, the courts do not interpret them in the same way.</w:t>
      </w:r>
      <w:r w:rsidRPr="00903803">
        <w:rPr>
          <w:vertAlign w:val="superscript"/>
        </w:rPr>
        <w:footnoteReference w:id="15"/>
      </w:r>
      <w:r w:rsidRPr="00903803">
        <w:t xml:space="preserve"> In the case of dilution laws, there are two somewhat different varieties of state laws: those patterned after the original Massachusetts law (and the 1964 Model Bill) and those patterned after the 1992, 1996, and 2007 Model Bills. As discussed below, these two categories may yield very different results regarding the geographic scope of injunctions.</w:t>
      </w:r>
    </w:p>
    <w:p w14:paraId="33D93791" w14:textId="77777777" w:rsidR="00AF6C63" w:rsidRPr="00903803" w:rsidRDefault="00AF6C63" w:rsidP="00C07DC0">
      <w:pPr>
        <w:pStyle w:val="3rdLevelHead1"/>
        <w:rPr>
          <w:rFonts w:cs="Times New Roman"/>
        </w:rPr>
      </w:pPr>
      <w:r w:rsidRPr="00903803">
        <w:rPr>
          <w:rFonts w:cs="Times New Roman"/>
        </w:rPr>
        <w:t>1.</w:t>
      </w:r>
      <w:r w:rsidRPr="00903803">
        <w:rPr>
          <w:rFonts w:cs="Times New Roman"/>
        </w:rPr>
        <w:tab/>
        <w:t>State Laws Patterned After the 1992, 1996, and 2007 Model Bills</w:t>
      </w:r>
    </w:p>
    <w:p w14:paraId="2F3579F0" w14:textId="77777777" w:rsidR="00AF6C63" w:rsidRPr="00903803" w:rsidRDefault="00AF6C63" w:rsidP="00C07DC0">
      <w:pPr>
        <w:pStyle w:val="text"/>
      </w:pPr>
      <w:r w:rsidRPr="00903803">
        <w:t>In all but four states, if the dilution law is patterned after the 1992, 1996, or 2007 Model Bill, the statute limits the scope of injunctive relief to the boundaries of the state.</w:t>
      </w:r>
      <w:r w:rsidRPr="00903803">
        <w:rPr>
          <w:vertAlign w:val="superscript"/>
        </w:rPr>
        <w:footnoteReference w:id="16"/>
      </w:r>
      <w:r w:rsidRPr="00903803">
        <w:t xml:space="preserve"> The majority of statutes contain essentially the same wording: “The owner of a famous mark shall be entitled only to injunctive relief </w:t>
      </w:r>
      <w:r w:rsidRPr="00903803">
        <w:rPr>
          <w:i/>
          <w:iCs/>
        </w:rPr>
        <w:t xml:space="preserve">in this state </w:t>
      </w:r>
      <w:r w:rsidRPr="00903803">
        <w:t>in an action brought under this section … .”</w:t>
      </w:r>
      <w:r w:rsidRPr="00903803">
        <w:rPr>
          <w:vertAlign w:val="superscript"/>
        </w:rPr>
        <w:footnoteReference w:id="17"/>
      </w:r>
      <w:r w:rsidRPr="00903803">
        <w:t xml:space="preserve"> This language was inserted in the Model Bill in recognition of the issues of interstate comity that arise from extraterritorial injunctions.</w:t>
      </w:r>
      <w:r w:rsidRPr="00903803">
        <w:rPr>
          <w:vertAlign w:val="superscript"/>
        </w:rPr>
        <w:footnoteReference w:id="18"/>
      </w:r>
      <w:r w:rsidRPr="00903803">
        <w:t xml:space="preserve"> The Model Bill language was revised in 2007 to make the limitation even more explicit: it now limits the scope of any injunction to “the geographic area in which the mark is found to have become famous prior to commencement of the junior use, but not beyond the borders of this state.”</w:t>
      </w:r>
      <w:r w:rsidRPr="00903803">
        <w:rPr>
          <w:vertAlign w:val="superscript"/>
        </w:rPr>
        <w:footnoteReference w:id="19"/>
      </w:r>
      <w:r w:rsidRPr="00903803">
        <w:t xml:space="preserve"> Under this provision, an injunction may be limited to less than the state if the mark is famous in only a portion of the state.</w:t>
      </w:r>
      <w:r w:rsidRPr="00903803">
        <w:rPr>
          <w:vertAlign w:val="superscript"/>
        </w:rPr>
        <w:footnoteReference w:id="20"/>
      </w:r>
      <w:r w:rsidRPr="00903803">
        <w:t xml:space="preserve"> Four of the newer state statutes do not contain the “in this state” language or any other limiting language. Thus, they are not self-limiting. The availability of an extraterritorial injunction in those states probably would be analyzed in the same manner as states whose statutes are patterned after the 1964 Model Bill, which is discussed in Section II.B.2, below. A court might also conclude that the better rule was the Model Bill rule and limit injunctions accordingly.</w:t>
      </w:r>
    </w:p>
    <w:p w14:paraId="3193B1DF" w14:textId="77777777" w:rsidR="00AF6C63" w:rsidRPr="00903803" w:rsidRDefault="00AF6C63" w:rsidP="00C07DC0">
      <w:pPr>
        <w:pStyle w:val="3rdLevelHead1"/>
        <w:rPr>
          <w:rFonts w:cs="Times New Roman"/>
        </w:rPr>
      </w:pPr>
      <w:r w:rsidRPr="00903803">
        <w:rPr>
          <w:rFonts w:cs="Times New Roman"/>
        </w:rPr>
        <w:t>2.</w:t>
      </w:r>
      <w:r w:rsidRPr="00903803">
        <w:rPr>
          <w:rFonts w:cs="Times New Roman"/>
        </w:rPr>
        <w:tab/>
        <w:t>State Laws Patterned After the 1964 Model Bill</w:t>
      </w:r>
    </w:p>
    <w:p w14:paraId="0A1B8F02" w14:textId="77777777" w:rsidR="00AF6C63" w:rsidRPr="00903803" w:rsidRDefault="00AF6C63" w:rsidP="00C07DC0">
      <w:pPr>
        <w:pStyle w:val="text"/>
      </w:pPr>
      <w:r w:rsidRPr="00903803">
        <w:t>State laws patterned after the 1964 Model Bill simply authorize the issuance of an injunction upon a showing of likelihood of dilution. Any limitations on the territorial scope of injunctions under those laws must come from sources other than the statute itself.</w:t>
      </w:r>
    </w:p>
    <w:p w14:paraId="5E49EEC8" w14:textId="77777777" w:rsidR="00AF6C63" w:rsidRPr="00903803" w:rsidRDefault="00AF6C63" w:rsidP="00C07DC0">
      <w:pPr>
        <w:pStyle w:val="text"/>
      </w:pPr>
      <w:r w:rsidRPr="00903803">
        <w:t>Most courts faced with the question have held that courts may issue nationwide injunctions based on violations of state dilution laws.</w:t>
      </w:r>
      <w:r w:rsidRPr="00903803">
        <w:rPr>
          <w:vertAlign w:val="superscript"/>
        </w:rPr>
        <w:footnoteReference w:id="21"/>
      </w:r>
      <w:r w:rsidRPr="00903803">
        <w:t xml:space="preserve"> Courts also have issued nationwide injunctions based on other state unfair competition laws.</w:t>
      </w:r>
      <w:r w:rsidRPr="00903803">
        <w:rPr>
          <w:vertAlign w:val="superscript"/>
        </w:rPr>
        <w:footnoteReference w:id="22"/>
      </w:r>
      <w:r w:rsidRPr="00903803">
        <w:t xml:space="preserve"> Doctrinal support for these injunctions is based on the concept that a court of equity can command compliance from an </w:t>
      </w:r>
      <w:r w:rsidRPr="00903803">
        <w:softHyphen/>
        <w:t>individual over whom it has jurisdiction.</w:t>
      </w:r>
      <w:r w:rsidRPr="00903803">
        <w:rPr>
          <w:vertAlign w:val="superscript"/>
        </w:rPr>
        <w:footnoteReference w:id="23"/>
      </w:r>
      <w:r w:rsidRPr="00903803">
        <w:t xml:space="preserve"> This principle also is embodied in the </w:t>
      </w:r>
      <w:r w:rsidRPr="00903803">
        <w:rPr>
          <w:i/>
          <w:iCs/>
        </w:rPr>
        <w:t>Restatement (Second) of Conflict of Laws</w:t>
      </w:r>
      <w:r w:rsidRPr="00903803">
        <w:t>.</w:t>
      </w:r>
      <w:r w:rsidRPr="00903803">
        <w:rPr>
          <w:vertAlign w:val="superscript"/>
        </w:rPr>
        <w:footnoteReference w:id="24"/>
      </w:r>
    </w:p>
    <w:p w14:paraId="555A4B31" w14:textId="77777777" w:rsidR="00AF6C63" w:rsidRPr="00903803" w:rsidRDefault="00AF6C63" w:rsidP="00C07DC0">
      <w:pPr>
        <w:pStyle w:val="text"/>
      </w:pPr>
      <w:r w:rsidRPr="00903803">
        <w:t xml:space="preserve">In a few cases, courts have refused to issue nationwide injunctions. The most notable is </w:t>
      </w:r>
      <w:r w:rsidRPr="00903803">
        <w:rPr>
          <w:i/>
          <w:iCs/>
        </w:rPr>
        <w:t>Hyatt Corp</w:t>
      </w:r>
      <w:r w:rsidRPr="00903803">
        <w:t>.</w:t>
      </w:r>
      <w:r w:rsidRPr="00903803">
        <w:rPr>
          <w:i/>
          <w:iCs/>
        </w:rPr>
        <w:t xml:space="preserve"> v</w:t>
      </w:r>
      <w:r w:rsidRPr="00903803">
        <w:t>.</w:t>
      </w:r>
      <w:r w:rsidRPr="00903803">
        <w:rPr>
          <w:i/>
          <w:iCs/>
        </w:rPr>
        <w:t xml:space="preserve"> Hyatt Legal Services</w:t>
      </w:r>
      <w:r w:rsidRPr="00903803">
        <w:t>.</w:t>
      </w:r>
      <w:r w:rsidRPr="00903803">
        <w:rPr>
          <w:vertAlign w:val="superscript"/>
        </w:rPr>
        <w:footnoteReference w:id="25"/>
      </w:r>
      <w:r w:rsidRPr="00903803">
        <w:t xml:space="preserve"> In </w:t>
      </w:r>
      <w:r w:rsidRPr="00903803">
        <w:rPr>
          <w:i/>
          <w:iCs/>
        </w:rPr>
        <w:t>Hyatt</w:t>
      </w:r>
      <w:r w:rsidRPr="00903803">
        <w:t>, the court balked at issuing a nationwide injunction for violations of the Illinois dilution law because the injunction would conflict with the Commerce Clause of the U.S. Constitution.</w:t>
      </w:r>
      <w:r w:rsidRPr="00903803">
        <w:rPr>
          <w:vertAlign w:val="superscript"/>
        </w:rPr>
        <w:footnoteReference w:id="26"/>
      </w:r>
      <w:r w:rsidRPr="00903803">
        <w:t xml:space="preserve"> The court cited two possible grounds for refusing a nationwide injunction. The proposed injunction could be a direct interference with commerce in another state, in which case it would be prohibited.</w:t>
      </w:r>
      <w:r w:rsidRPr="00903803">
        <w:rPr>
          <w:vertAlign w:val="superscript"/>
        </w:rPr>
        <w:footnoteReference w:id="27"/>
      </w:r>
      <w:r w:rsidRPr="00903803">
        <w:t xml:space="preserve"> Alternatively, the court found that an injunction would have a significant, if incidental, effect on interstate commerce where the local benefits were small and where the local benefits could be achieved with far less impact on interstate commerce.</w:t>
      </w:r>
      <w:r w:rsidRPr="00903803">
        <w:rPr>
          <w:vertAlign w:val="superscript"/>
        </w:rPr>
        <w:footnoteReference w:id="28"/>
      </w:r>
      <w:r w:rsidRPr="00903803">
        <w:t xml:space="preserve"> The court noted that the local interests were purely economic, unrelated to health and safety.</w:t>
      </w:r>
      <w:r w:rsidRPr="00903803">
        <w:rPr>
          <w:vertAlign w:val="superscript"/>
        </w:rPr>
        <w:footnoteReference w:id="29"/>
      </w:r>
      <w:r w:rsidRPr="00903803">
        <w:t xml:space="preserve"> It further noted that, as a matter of comity, courts should be hesitant to issue injunctions where other states have not prohibited the conduct being enjoined.</w:t>
      </w:r>
      <w:r w:rsidRPr="00903803">
        <w:rPr>
          <w:vertAlign w:val="superscript"/>
        </w:rPr>
        <w:footnoteReference w:id="30"/>
      </w:r>
      <w:r w:rsidRPr="00903803">
        <w:t xml:space="preserve"> Ultimately, however, the court merely stayed its issuance of the nationwide injunction for a month, allowing the defendant time to appeal to the Seventh Circuit on this issue.</w:t>
      </w:r>
      <w:r w:rsidRPr="00903803">
        <w:rPr>
          <w:vertAlign w:val="superscript"/>
        </w:rPr>
        <w:footnoteReference w:id="31"/>
      </w:r>
    </w:p>
    <w:p w14:paraId="04037D28" w14:textId="77777777" w:rsidR="00AF6C63" w:rsidRPr="00903803" w:rsidRDefault="00AF6C63" w:rsidP="00C07DC0">
      <w:pPr>
        <w:pStyle w:val="text"/>
      </w:pPr>
      <w:r w:rsidRPr="00903803">
        <w:rPr>
          <w:i/>
          <w:iCs/>
        </w:rPr>
        <w:t>Hyatt</w:t>
      </w:r>
      <w:r w:rsidRPr="00903803">
        <w:t xml:space="preserve"> relied solely on the Commerce Clause. Arguably, other constitutional principles also support the refusal to issue nationwide injunctions.</w:t>
      </w:r>
      <w:r w:rsidRPr="00903803">
        <w:rPr>
          <w:vertAlign w:val="superscript"/>
        </w:rPr>
        <w:footnoteReference w:id="32"/>
      </w:r>
      <w:r w:rsidRPr="00903803">
        <w:t xml:space="preserve"> In various cases discussing personal jurisdiction, the Supreme Court has indicated that interstate territorial concerns may limit the ability of state courts to impose their authority on out-of-state defendants.</w:t>
      </w:r>
      <w:r w:rsidRPr="00903803">
        <w:rPr>
          <w:vertAlign w:val="superscript"/>
        </w:rPr>
        <w:footnoteReference w:id="33"/>
      </w:r>
      <w:r w:rsidRPr="00903803">
        <w:t xml:space="preserve"> There are also statements in intellectual property cases indicating the Court’s understanding that state regulation ends at the state line.</w:t>
      </w:r>
      <w:r w:rsidRPr="00903803">
        <w:rPr>
          <w:vertAlign w:val="superscript"/>
        </w:rPr>
        <w:footnoteReference w:id="34"/>
      </w:r>
      <w:r w:rsidRPr="00903803">
        <w:t xml:space="preserve"> In short, cogent arguments can be made that states are without authority to use their dilution laws to regulate activity occurring wholly outside their borders, particularly where other states do not choose to prohibit the same activity.</w:t>
      </w:r>
    </w:p>
    <w:p w14:paraId="14E51FA8" w14:textId="77777777" w:rsidR="00AF6C63" w:rsidRPr="00903803" w:rsidRDefault="00AF6C63" w:rsidP="00C07DC0">
      <w:pPr>
        <w:pStyle w:val="text"/>
      </w:pPr>
      <w:r w:rsidRPr="00903803">
        <w:t xml:space="preserve">Another basis for limiting injunctions is suggested by </w:t>
      </w:r>
      <w:r w:rsidRPr="00903803">
        <w:rPr>
          <w:i/>
          <w:iCs/>
        </w:rPr>
        <w:t>Deere &amp; Co</w:t>
      </w:r>
      <w:r w:rsidRPr="00903803">
        <w:t>.</w:t>
      </w:r>
      <w:r w:rsidRPr="00903803">
        <w:rPr>
          <w:i/>
          <w:iCs/>
        </w:rPr>
        <w:t xml:space="preserve"> v</w:t>
      </w:r>
      <w:r w:rsidRPr="00903803">
        <w:t>.</w:t>
      </w:r>
      <w:r w:rsidRPr="00903803">
        <w:rPr>
          <w:i/>
          <w:iCs/>
        </w:rPr>
        <w:t xml:space="preserve"> MTD Products, Inc</w:t>
      </w:r>
      <w:r w:rsidRPr="00903803">
        <w:t>.</w:t>
      </w:r>
      <w:r w:rsidRPr="00903803">
        <w:rPr>
          <w:vertAlign w:val="superscript"/>
        </w:rPr>
        <w:footnoteReference w:id="35"/>
      </w:r>
      <w:r w:rsidRPr="00903803">
        <w:t xml:space="preserve"> In that case, as in </w:t>
      </w:r>
      <w:r w:rsidRPr="00903803">
        <w:rPr>
          <w:i/>
          <w:iCs/>
        </w:rPr>
        <w:t>Hyatt</w:t>
      </w:r>
      <w:r w:rsidRPr="00903803">
        <w:t>, the district court was considering the proper relief on remand from an appellate court that indicated that the district court had the authority to issue a nationwide injunction.</w:t>
      </w:r>
      <w:r w:rsidRPr="00903803">
        <w:rPr>
          <w:vertAlign w:val="superscript"/>
        </w:rPr>
        <w:footnoteReference w:id="36"/>
      </w:r>
      <w:r w:rsidRPr="00903803">
        <w:t xml:space="preserve"> Rather than relying on constitutional grounds, however, the district court looked to comity interests and found that they “strongly favor a limited injunction.”</w:t>
      </w:r>
      <w:r w:rsidRPr="00903803">
        <w:rPr>
          <w:vertAlign w:val="superscript"/>
        </w:rPr>
        <w:footnoteReference w:id="37"/>
      </w:r>
      <w:r w:rsidRPr="00903803">
        <w:t xml:space="preserve"> The court noted that at that time, only about half the states had dilution statutes and the defendant’s home state of Ohio lacked one.</w:t>
      </w:r>
      <w:r w:rsidRPr="00903803">
        <w:rPr>
          <w:vertAlign w:val="superscript"/>
        </w:rPr>
        <w:footnoteReference w:id="38"/>
      </w:r>
      <w:r w:rsidRPr="00903803">
        <w:t xml:space="preserve"> Moreover, neither party was based in New York, meaning New York law was being used to protect a nonlocal citizen.</w:t>
      </w:r>
      <w:r w:rsidRPr="00903803">
        <w:rPr>
          <w:vertAlign w:val="superscript"/>
        </w:rPr>
        <w:footnoteReference w:id="39"/>
      </w:r>
      <w:r w:rsidRPr="00903803">
        <w:t xml:space="preserve"> Finally, the court cited the breadth of the injunction and the relative novelty of the legal theory as factors weighing against a nationwide injunction.</w:t>
      </w:r>
      <w:r w:rsidRPr="00903803">
        <w:rPr>
          <w:vertAlign w:val="superscript"/>
        </w:rPr>
        <w:footnoteReference w:id="40"/>
      </w:r>
      <w:r w:rsidRPr="00903803">
        <w:t xml:space="preserve"> Another New York case indicated that relief beyond the borders of New York would be unavailable, but did not state a reason for its conclusion.</w:t>
      </w:r>
      <w:r w:rsidRPr="00903803">
        <w:rPr>
          <w:vertAlign w:val="superscript"/>
        </w:rPr>
        <w:footnoteReference w:id="41"/>
      </w:r>
    </w:p>
    <w:p w14:paraId="34FC2562" w14:textId="77777777" w:rsidR="00AF6C63" w:rsidRPr="00903803" w:rsidRDefault="00AF6C63" w:rsidP="00C07DC0">
      <w:pPr>
        <w:pStyle w:val="text"/>
      </w:pPr>
      <w:r w:rsidRPr="00903803">
        <w:t>A Texas federal court issued a nationwide injunction against a Canadian company based solely on violations of the Texas dilution law.</w:t>
      </w:r>
      <w:r w:rsidRPr="00903803">
        <w:rPr>
          <w:vertAlign w:val="superscript"/>
        </w:rPr>
        <w:footnoteReference w:id="42"/>
      </w:r>
      <w:r w:rsidRPr="00903803">
        <w:t xml:space="preserve"> Several aspects of this case were noteworthy. First, the injunction acted nationally, although the plaintiff operated in only seven states.</w:t>
      </w:r>
      <w:r w:rsidRPr="00903803">
        <w:rPr>
          <w:vertAlign w:val="superscript"/>
        </w:rPr>
        <w:footnoteReference w:id="43"/>
      </w:r>
      <w:r w:rsidRPr="00903803">
        <w:t xml:space="preserve"> Although the court acknowledged the “complex choice of law issues” raised by such an injunction under state law (which it held were waived by the parties), it found that the difficulties of enforcing a geographically limited injunction outweighed the comity issues.</w:t>
      </w:r>
      <w:r w:rsidRPr="00903803">
        <w:rPr>
          <w:vertAlign w:val="superscript"/>
        </w:rPr>
        <w:footnoteReference w:id="44"/>
      </w:r>
      <w:r w:rsidRPr="00903803">
        <w:t xml:space="preserve"> Second, the injunction did not entirely bar the defendant from using its offending mark; it required the defendant to use it in conjunction with the entire corporate name and required a disclaimer.</w:t>
      </w:r>
      <w:r w:rsidRPr="00903803">
        <w:rPr>
          <w:vertAlign w:val="superscript"/>
        </w:rPr>
        <w:footnoteReference w:id="45"/>
      </w:r>
    </w:p>
    <w:p w14:paraId="4832E0AA" w14:textId="77777777" w:rsidR="00AF6C63" w:rsidRPr="00903803" w:rsidRDefault="00AF6C63" w:rsidP="00C07DC0">
      <w:pPr>
        <w:pStyle w:val="text"/>
      </w:pPr>
      <w:r w:rsidRPr="00903803">
        <w:t>The use of comity interests as a factor in determining the scope of an injunction is appropriate. Injunctions are an equitable remedy, subject to the sound discretion of the issuing court.</w:t>
      </w:r>
      <w:r w:rsidRPr="00903803">
        <w:rPr>
          <w:vertAlign w:val="superscript"/>
        </w:rPr>
        <w:footnoteReference w:id="46"/>
      </w:r>
      <w:r w:rsidRPr="00903803">
        <w:t xml:space="preserve"> The Model Bills, except the 1964 version, and the TDRA all expressly state that any injunctive relief is “subject to the principles of equity.”</w:t>
      </w:r>
      <w:r w:rsidRPr="00903803">
        <w:rPr>
          <w:vertAlign w:val="superscript"/>
        </w:rPr>
        <w:footnoteReference w:id="47"/>
      </w:r>
      <w:r w:rsidRPr="00903803">
        <w:t xml:space="preserve"> Indeed, these comity concerns led the drafters of the Model Bill (and almost all the state laws that use its structure) to limit the availability of injunctive relief to a state’s borders. This development should give other states reason to hesitate before issuing nationwide injunctions. It is now clear that, even among states with dilution laws, nationwide relief will not necessarily be reciprocal. Moreover, if some states are willing to issue nationwide injunctions while others are not, it will promote forum shopping solely for the purpose of avoiding the limits on the scope of relief. This subverts the limits and policies that are embodied in the newer state statutes and could lead to unnecessary interstate friction.</w:t>
      </w:r>
    </w:p>
    <w:p w14:paraId="62E1BF35" w14:textId="77777777" w:rsidR="00AF6C63" w:rsidRPr="00903803" w:rsidRDefault="00AF6C63" w:rsidP="00C07DC0">
      <w:pPr>
        <w:pStyle w:val="1stLevelHeadII"/>
        <w:rPr>
          <w:rFonts w:cs="Times New Roman"/>
        </w:rPr>
      </w:pPr>
      <w:r w:rsidRPr="00903803">
        <w:rPr>
          <w:rFonts w:cs="Times New Roman"/>
        </w:rPr>
        <w:t>III.</w:t>
      </w:r>
      <w:r w:rsidRPr="00903803">
        <w:rPr>
          <w:rFonts w:cs="Times New Roman"/>
        </w:rPr>
        <w:t> </w:t>
      </w:r>
      <w:r w:rsidRPr="00903803">
        <w:rPr>
          <w:rFonts w:cs="Times New Roman"/>
        </w:rPr>
        <w:t>Noninjunctive Relief</w:t>
      </w:r>
    </w:p>
    <w:p w14:paraId="09715236" w14:textId="77777777" w:rsidR="00AF6C63" w:rsidRPr="00903803" w:rsidRDefault="00AF6C63" w:rsidP="00C07DC0">
      <w:pPr>
        <w:pStyle w:val="text"/>
      </w:pPr>
      <w:r w:rsidRPr="00903803">
        <w:t>Statutes similar to the 1964 Model Bill do not permit an award of damages.</w:t>
      </w:r>
      <w:r w:rsidRPr="00903803">
        <w:rPr>
          <w:vertAlign w:val="superscript"/>
        </w:rPr>
        <w:footnoteReference w:id="48"/>
      </w:r>
      <w:r w:rsidRPr="00903803">
        <w:t xml:space="preserve"> The FTDA and the newer state statutes do not limit the available remedies to injunctions. These statutes permit the award of other forms of relief, such as damages and attorneys’ fees, but only in limited circumstances.</w:t>
      </w:r>
    </w:p>
    <w:p w14:paraId="5B6BA20E" w14:textId="77777777" w:rsidR="00AF6C63" w:rsidRPr="00903803" w:rsidRDefault="00AF6C63" w:rsidP="00C07DC0">
      <w:pPr>
        <w:pStyle w:val="2ndLevelHeadA"/>
        <w:rPr>
          <w:rFonts w:cs="Times New Roman"/>
        </w:rPr>
      </w:pPr>
      <w:r w:rsidRPr="00903803">
        <w:rPr>
          <w:rFonts w:cs="Times New Roman"/>
        </w:rPr>
        <w:t>A.</w:t>
      </w:r>
      <w:r w:rsidRPr="00903803">
        <w:rPr>
          <w:rFonts w:cs="Times New Roman"/>
        </w:rPr>
        <w:tab/>
        <w:t>Damages as a Remedy</w:t>
      </w:r>
    </w:p>
    <w:p w14:paraId="4B34D504" w14:textId="77777777" w:rsidR="00AF6C63" w:rsidRPr="00903803" w:rsidRDefault="00AF6C63" w:rsidP="00C07DC0">
      <w:pPr>
        <w:pStyle w:val="text"/>
      </w:pPr>
      <w:r w:rsidRPr="00903803">
        <w:t>In all jurisdictions where damages may be awarded for dilution,</w:t>
      </w:r>
      <w:r w:rsidRPr="00903803">
        <w:rPr>
          <w:vertAlign w:val="superscript"/>
        </w:rPr>
        <w:footnoteReference w:id="49"/>
      </w:r>
      <w:r w:rsidRPr="00903803">
        <w:t xml:space="preserve"> such awards are subject to fairly strict limitations. The TDRA’s language sets the general tone. Under the TDRA, if the defendant “willfully intended to trade on the recognition of the famous mark” or “willfully intended to harm the reputation of the famous mark,” then damages and other remedies available under the statute may be awarded.</w:t>
      </w:r>
      <w:r w:rsidRPr="00903803">
        <w:rPr>
          <w:vertAlign w:val="superscript"/>
        </w:rPr>
        <w:footnoteReference w:id="50"/>
      </w:r>
      <w:r w:rsidRPr="00903803">
        <w:t xml:space="preserve"> The award of noninjunctive relief is “subject to the discretion of the court and the principles of equity.”</w:t>
      </w:r>
      <w:r w:rsidRPr="00903803">
        <w:rPr>
          <w:vertAlign w:val="superscript"/>
        </w:rPr>
        <w:footnoteReference w:id="51"/>
      </w:r>
      <w:r w:rsidRPr="00903803">
        <w:t xml:space="preserve"> Most newer state statutes track the language of the </w:t>
      </w:r>
      <w:r w:rsidRPr="00903803">
        <w:rPr>
          <w:i/>
          <w:iCs/>
        </w:rPr>
        <w:t>original</w:t>
      </w:r>
      <w:r w:rsidRPr="00903803">
        <w:t xml:space="preserve"> FTDA and permit damage remedies only in cases of willful intent to trade on the plaintiff’s reputation or intent to cause dilution (as opposed to a willful intent to trade on the famous mark’s reputation or to cause harm to the famous mark’s reputation, which is the TDRA standard).</w:t>
      </w:r>
      <w:r w:rsidRPr="00903803">
        <w:rPr>
          <w:vertAlign w:val="superscript"/>
        </w:rPr>
        <w:footnoteReference w:id="52"/>
      </w:r>
      <w:r w:rsidRPr="00903803">
        <w:t xml:space="preserve"> The 2007 Model Bill is a bit differently worded, permitting damages against someone who “willfully intended to cause dilution.”</w:t>
      </w:r>
      <w:r w:rsidRPr="00903803">
        <w:rPr>
          <w:vertAlign w:val="superscript"/>
        </w:rPr>
        <w:footnoteReference w:id="53"/>
      </w:r>
      <w:r w:rsidRPr="00903803">
        <w:t xml:space="preserve"> This could actually prove to be limiting: there is a difference between intending to cause dilution and intending to trade on the reputation of the mark. The latter invokes free-riding principles (though one still must show dilution), while the former implies an actual intent to cause some harm to the mark, which may not be the purpose of the free rider. </w:t>
      </w:r>
    </w:p>
    <w:p w14:paraId="44DCE3CD" w14:textId="77777777" w:rsidR="00AF6C63" w:rsidRPr="00903803" w:rsidRDefault="00AF6C63" w:rsidP="00C07DC0">
      <w:pPr>
        <w:pStyle w:val="text"/>
      </w:pPr>
      <w:r w:rsidRPr="00903803">
        <w:t>Almost all of these statutes also make damages remedies subject to the court’s discretion “and the principles of equity.”</w:t>
      </w:r>
      <w:r w:rsidRPr="00903803">
        <w:rPr>
          <w:vertAlign w:val="superscript"/>
        </w:rPr>
        <w:footnoteReference w:id="54"/>
      </w:r>
      <w:r w:rsidRPr="00903803">
        <w:t xml:space="preserve"> This limitation means that damages are not automatically awarded, even in cases of willful violations of the dilution statute.</w:t>
      </w:r>
    </w:p>
    <w:p w14:paraId="691C1825" w14:textId="77777777" w:rsidR="00AF6C63" w:rsidRPr="00903803" w:rsidRDefault="00AF6C63" w:rsidP="00C07DC0">
      <w:pPr>
        <w:pStyle w:val="text"/>
      </w:pPr>
      <w:r w:rsidRPr="00903803">
        <w:t>The issue of what constitutes a “willful” violation has not yet been litigated under state statutes. However, some federal courts have interpreted Section 43(c)(5) (or its predecessor Section 43(c)(2)).</w:t>
      </w:r>
      <w:r w:rsidRPr="00903803">
        <w:rPr>
          <w:vertAlign w:val="superscript"/>
        </w:rPr>
        <w:footnoteReference w:id="55"/>
      </w:r>
    </w:p>
    <w:p w14:paraId="75D73A20" w14:textId="77777777" w:rsidR="00AF6C63" w:rsidRPr="00903803" w:rsidRDefault="00AF6C63" w:rsidP="00C07DC0">
      <w:pPr>
        <w:pStyle w:val="text"/>
      </w:pPr>
      <w:r w:rsidRPr="00903803">
        <w:t>Under the TDRA, if such willful conduct is shown, the successful claimant looks to Sections 35(a) and 36 of the Lanham Act for the details of available relief. With regard to damages, Section 35(a) permits recovery of “(1) defendant’s profits, (2) any damages sustained by the plaintiff, and (3) the costs of the action.”</w:t>
      </w:r>
      <w:r w:rsidRPr="00903803">
        <w:rPr>
          <w:vertAlign w:val="superscript"/>
        </w:rPr>
        <w:footnoteReference w:id="56"/>
      </w:r>
      <w:r w:rsidRPr="00903803">
        <w:t xml:space="preserve"> Because it is difficult to prove actual damages, such as reduction of sales, it is more likely that profits will be awarded where monetary relief is appropriate.</w:t>
      </w:r>
      <w:r w:rsidRPr="00903803">
        <w:rPr>
          <w:vertAlign w:val="superscript"/>
        </w:rPr>
        <w:footnoteReference w:id="57"/>
      </w:r>
      <w:r w:rsidRPr="00903803">
        <w:t xml:space="preserve"> Those state statutes permitting damage awards normally refer to an entitlement “to the remedies set forth in this Act,”</w:t>
      </w:r>
      <w:r w:rsidRPr="00903803">
        <w:rPr>
          <w:vertAlign w:val="superscript"/>
        </w:rPr>
        <w:footnoteReference w:id="58"/>
      </w:r>
      <w:r w:rsidRPr="00903803">
        <w:t xml:space="preserve"> meaning the remedies prescribed in another part of the state’s trademark statute. The remedies sections of the 1996 and 2007 Model Bills, after which most of the newer statutes are patterned, permit an award of “all profits derived from and/or all damages suffered by reason of [the wrongful conduct].”</w:t>
      </w:r>
      <w:r w:rsidRPr="00903803">
        <w:rPr>
          <w:vertAlign w:val="superscript"/>
        </w:rPr>
        <w:footnoteReference w:id="59"/>
      </w:r>
    </w:p>
    <w:p w14:paraId="5CDDD309" w14:textId="77777777" w:rsidR="00AF6C63" w:rsidRPr="00903803" w:rsidRDefault="00AF6C63" w:rsidP="00C07DC0">
      <w:pPr>
        <w:pStyle w:val="text"/>
      </w:pPr>
      <w:r w:rsidRPr="00903803">
        <w:t xml:space="preserve">There is an oddity in the Model Bill’s language, however. By its terms, the remedies section applies to the “owner of a mark </w:t>
      </w:r>
      <w:r w:rsidRPr="00903803">
        <w:rPr>
          <w:i/>
          <w:iCs/>
        </w:rPr>
        <w:t>registered</w:t>
      </w:r>
      <w:r w:rsidRPr="00903803">
        <w:t xml:space="preserve"> under this Act.”</w:t>
      </w:r>
      <w:r w:rsidRPr="00903803">
        <w:rPr>
          <w:vertAlign w:val="superscript"/>
        </w:rPr>
        <w:footnoteReference w:id="60"/>
      </w:r>
      <w:r w:rsidRPr="00903803">
        <w:t xml:space="preserve"> In most states, the dilution statute does not require the mark to be registered in order to receive protection.</w:t>
      </w:r>
      <w:r w:rsidRPr="00903803">
        <w:rPr>
          <w:vertAlign w:val="superscript"/>
        </w:rPr>
        <w:footnoteReference w:id="61"/>
      </w:r>
      <w:r w:rsidRPr="00903803">
        <w:t xml:space="preserve"> (In the Lanham Act, there is a specific reference to the TDRA in the remedies section, so registration is not an issue under federal law.) Most likely, this is an oversight in drafting. Since there is no other remedies section, imposing the registration requirement would make the dilution provision for damages far more complicated, and perhaps superfluous, a construction that should not be favored. However, such a construction, while probably unintended, is not irrational, since it could be (though it is unlikely) that legislators wished to encourage state registration. </w:t>
      </w:r>
    </w:p>
    <w:p w14:paraId="44F5F263" w14:textId="77777777" w:rsidR="00AF6C63" w:rsidRPr="00903803" w:rsidRDefault="00AF6C63" w:rsidP="00C07DC0">
      <w:pPr>
        <w:pStyle w:val="text"/>
      </w:pPr>
      <w:r w:rsidRPr="00903803">
        <w:t>Both the Lanham Act and the state statutes permit an enhancement of the damages award beyond the ordinary compensatory measures of profits or actual damages. In cases of actual damages, Section 35(a) of the Lanham Act authorizes an enhancement of the damages award up to a judgment of three times the amount of actual damages found. In the case of an award based on profits, the statute permits the court “in its discretion [to] enter judgment for such sum as the court shall find to be just, according to the circumstances of the case.” However, Section 35(a) contains a limitation on both such enhancements: “Such sum … shall constitute compensation and not a penalty.” Not only does this mean that punitive damages are not authorized, in the view of some courts it limits the enhancements to situations where the enhancements are made to adjust for unusual problems, such as the uncertainty of the damages.</w:t>
      </w:r>
      <w:r w:rsidRPr="00903803">
        <w:rPr>
          <w:vertAlign w:val="superscript"/>
        </w:rPr>
        <w:footnoteReference w:id="62"/>
      </w:r>
    </w:p>
    <w:p w14:paraId="2A608BF2" w14:textId="77777777" w:rsidR="00AF6C63" w:rsidRPr="00903803" w:rsidRDefault="00AF6C63" w:rsidP="00C07DC0">
      <w:pPr>
        <w:pStyle w:val="text"/>
      </w:pPr>
      <w:r w:rsidRPr="00903803">
        <w:t>The state statutes patterned after the 1992, 1996, and 2007 Model Bills provide for an enhancement of the damages as well. Like the Lanham Act, they authorize entry of judgment “for an amount not to exceed three times such profits and damages … .”</w:t>
      </w:r>
      <w:r w:rsidRPr="00903803">
        <w:rPr>
          <w:vertAlign w:val="superscript"/>
        </w:rPr>
        <w:footnoteReference w:id="63"/>
      </w:r>
      <w:r w:rsidRPr="00903803">
        <w:t xml:space="preserve"> Unlike the Lanham Act, these statutes contain no requirement that the enhancement be “compensation and not a penalty.” In fact, they permit enhancement only where the losing party acted “with knowledge or in bad faith or otherwise according to the circumstances of the case.”</w:t>
      </w:r>
      <w:r w:rsidRPr="00903803">
        <w:rPr>
          <w:vertAlign w:val="superscript"/>
        </w:rPr>
        <w:footnoteReference w:id="64"/>
      </w:r>
      <w:r w:rsidRPr="00903803">
        <w:t xml:space="preserve"> This language indicates that enhancements are perceived as punitive damages, not as compensation. The Alaska statute goes a step further, specifically authorizing the court to “</w:t>
      </w:r>
      <w:r w:rsidRPr="00903803">
        <w:rPr>
          <w:i/>
          <w:iCs/>
        </w:rPr>
        <w:t>also</w:t>
      </w:r>
      <w:r w:rsidRPr="00903803">
        <w:t xml:space="preserve"> enter judgment for punitive damages in an amount not to exceed three times the profits and damages.”</w:t>
      </w:r>
      <w:r w:rsidRPr="00903803">
        <w:rPr>
          <w:vertAlign w:val="superscript"/>
        </w:rPr>
        <w:footnoteReference w:id="65"/>
      </w:r>
      <w:r w:rsidRPr="00903803">
        <w:t xml:space="preserve"> This makes it clear that the punitive damages award stands apart from the compensatory and, </w:t>
      </w:r>
      <w:r w:rsidRPr="00903803">
        <w:rPr>
          <w:i/>
          <w:iCs/>
        </w:rPr>
        <w:t>by itself</w:t>
      </w:r>
      <w:r w:rsidRPr="00903803">
        <w:t>, can be up to three times the compensatory amount. These enhancements should not be automatic for even “willful” violations of the dilution statutes. “Bad faith” should be limited to the most egregious situations, where harm is intended or virtually certain to occur.</w:t>
      </w:r>
    </w:p>
    <w:p w14:paraId="54E57D6F" w14:textId="77777777" w:rsidR="00AF6C63" w:rsidRPr="00903803" w:rsidRDefault="00AF6C63" w:rsidP="00C07DC0">
      <w:pPr>
        <w:pStyle w:val="2ndLevelHeadA"/>
        <w:rPr>
          <w:rFonts w:cs="Times New Roman"/>
        </w:rPr>
      </w:pPr>
      <w:r w:rsidRPr="00903803">
        <w:rPr>
          <w:rFonts w:cs="Times New Roman"/>
        </w:rPr>
        <w:t>B.</w:t>
      </w:r>
      <w:r w:rsidRPr="00903803">
        <w:rPr>
          <w:rFonts w:cs="Times New Roman"/>
        </w:rPr>
        <w:tab/>
        <w:t>Other Forms of Relief</w:t>
      </w:r>
    </w:p>
    <w:p w14:paraId="0309DFD9" w14:textId="77777777" w:rsidR="00AF6C63" w:rsidRPr="00903803" w:rsidRDefault="00AF6C63" w:rsidP="00C07DC0">
      <w:pPr>
        <w:pStyle w:val="text"/>
      </w:pPr>
      <w:r w:rsidRPr="00903803">
        <w:t>Section 36 of the Lanham Act permits other forms of nonmonetary relief, namely, destruction of infringing articles.</w:t>
      </w:r>
      <w:r w:rsidRPr="00903803">
        <w:rPr>
          <w:vertAlign w:val="superscript"/>
        </w:rPr>
        <w:footnoteReference w:id="66"/>
      </w:r>
      <w:r w:rsidRPr="00903803">
        <w:t xml:space="preserve"> This remedy is also available in cases of willful dilution. State statutes based on newer versions of the Model Bill also contain provisions for destruction of “counterfeits or imitations.”</w:t>
      </w:r>
      <w:r w:rsidRPr="00903803">
        <w:rPr>
          <w:vertAlign w:val="superscript"/>
        </w:rPr>
        <w:footnoteReference w:id="67"/>
      </w:r>
      <w:r w:rsidRPr="00903803">
        <w:t xml:space="preserve"> Although the wording of such statutes is somewhat awkward to apply to a dilution claim, in most blurring cases this remedy would not raise a problem if the situation were egregious. In tarnishment cases, ordering destruction of magazines and similar articles raises free-speech issues. Assuming that destruction is an available remedy, courts should use their discretion to refuse the remedy when it will cause potential First Amendment problems.</w:t>
      </w:r>
    </w:p>
    <w:p w14:paraId="2CDD371D" w14:textId="77777777" w:rsidR="00AF6C63" w:rsidRPr="00903803" w:rsidRDefault="00AF6C63" w:rsidP="00C07DC0">
      <w:pPr>
        <w:pStyle w:val="2ndLevelHeadA"/>
        <w:rPr>
          <w:rFonts w:cs="Times New Roman"/>
        </w:rPr>
      </w:pPr>
      <w:r w:rsidRPr="00903803">
        <w:rPr>
          <w:rFonts w:cs="Times New Roman"/>
        </w:rPr>
        <w:t>C.</w:t>
      </w:r>
      <w:r w:rsidRPr="00903803">
        <w:rPr>
          <w:rFonts w:cs="Times New Roman"/>
        </w:rPr>
        <w:tab/>
        <w:t>Disclaimers as a Remedy</w:t>
      </w:r>
    </w:p>
    <w:p w14:paraId="3D981E9E" w14:textId="77777777" w:rsidR="00AF6C63" w:rsidRPr="00903803" w:rsidRDefault="00AF6C63" w:rsidP="00C07DC0">
      <w:pPr>
        <w:pStyle w:val="text"/>
      </w:pPr>
      <w:r w:rsidRPr="00903803">
        <w:t>Ordinarily, one would not imagine that a disclaimer would be an appropriate form of relief for dilution. Although a disclaimer might dispel any confusion between the two marks, it would, if anything, heighten public awareness that the mark symbolizes more than one source. Nevertheless, one court did include a disclaimer provision in its grant of limited injunctive relief under a state law.</w:t>
      </w:r>
      <w:r w:rsidRPr="00903803">
        <w:rPr>
          <w:vertAlign w:val="superscript"/>
        </w:rPr>
        <w:footnoteReference w:id="68"/>
      </w:r>
    </w:p>
    <w:p w14:paraId="0FDB5E08" w14:textId="77777777" w:rsidR="00AF6C63" w:rsidRPr="00903803" w:rsidRDefault="00AF6C63" w:rsidP="00C07DC0">
      <w:pPr>
        <w:pStyle w:val="2ndLevelHeadA"/>
        <w:rPr>
          <w:rFonts w:cs="Times New Roman"/>
        </w:rPr>
      </w:pPr>
      <w:r w:rsidRPr="00903803">
        <w:rPr>
          <w:rFonts w:cs="Times New Roman"/>
        </w:rPr>
        <w:t>D.</w:t>
      </w:r>
      <w:r w:rsidRPr="00903803">
        <w:rPr>
          <w:rFonts w:cs="Times New Roman"/>
        </w:rPr>
        <w:tab/>
        <w:t>Attorneys’ Fees in Dilution Cases</w:t>
      </w:r>
    </w:p>
    <w:p w14:paraId="6DB30915" w14:textId="77777777" w:rsidR="00AF6C63" w:rsidRPr="00903803" w:rsidRDefault="00AF6C63" w:rsidP="00C07DC0">
      <w:pPr>
        <w:pStyle w:val="text"/>
      </w:pPr>
      <w:r w:rsidRPr="00903803">
        <w:t>State laws and the Lanham Act take somewhat different paths when it comes to attorneys’ fees. Section 35(a) of the Lanham Act provides that attorneys’ fees are available only in “exceptional cases.”</w:t>
      </w:r>
      <w:r w:rsidRPr="00903803">
        <w:rPr>
          <w:vertAlign w:val="superscript"/>
        </w:rPr>
        <w:footnoteReference w:id="69"/>
      </w:r>
      <w:r w:rsidRPr="00903803">
        <w:t xml:space="preserve"> One might think that any case involving a willful violation would be exceptional, but this is not necessarily so. Tarnishment cases, in particular, often will involve an intent to trade on another’s reputation or goodwill, at least to some degree. Such cases are hardly “exceptional.” That does not mean that courts should never award attorneys’ fees in tarnishment cases. It does mean that courts must analyze these cases carefully and award fees only in the most egregious cases.</w:t>
      </w:r>
      <w:r w:rsidRPr="00903803">
        <w:rPr>
          <w:vertAlign w:val="superscript"/>
        </w:rPr>
        <w:footnoteReference w:id="70"/>
      </w:r>
    </w:p>
    <w:p w14:paraId="087062F8" w14:textId="77777777" w:rsidR="00AF6C63" w:rsidRPr="00903803" w:rsidRDefault="00AF6C63" w:rsidP="00C07DC0">
      <w:pPr>
        <w:pStyle w:val="text"/>
      </w:pPr>
      <w:r w:rsidRPr="00903803">
        <w:t>Almost all of the newer state statutes (i.e., those based on the 1992, 1996, or 2007 Model Bill) permit an award of attorneys’ fees for willful violations of the dilution statute.</w:t>
      </w:r>
      <w:r w:rsidRPr="00903803">
        <w:rPr>
          <w:vertAlign w:val="superscript"/>
        </w:rPr>
        <w:footnoteReference w:id="71"/>
      </w:r>
      <w:r w:rsidRPr="00903803">
        <w:t xml:space="preserve"> Clearly, these statutes have followed the Model Bills in this regard. The relevant provision of the Model Bill has not materially changed from the 1992 version to the 2007 version. Section 14 of the 2007 Model Bill provides, in relevant part:</w:t>
      </w:r>
    </w:p>
    <w:p w14:paraId="5A916CC7" w14:textId="77777777" w:rsidR="00AF6C63" w:rsidRPr="00903803" w:rsidRDefault="00AF6C63" w:rsidP="00C07DC0">
      <w:pPr>
        <w:pStyle w:val="Blockquoteflush"/>
      </w:pPr>
      <w:r w:rsidRPr="00903803">
        <w:t>The court, in its discretion, may enter judgment for an amount not to exceed three times such profits and damages and/or reasonable attorneys’ fees of the prevailing party in such cases where the court finds the other party committed such wrongful acts with knowledge or in bad faith or other-wise as according to the circumstances of the case.</w:t>
      </w:r>
      <w:r w:rsidRPr="00903803">
        <w:rPr>
          <w:vertAlign w:val="superscript"/>
        </w:rPr>
        <w:footnoteReference w:id="72"/>
      </w:r>
    </w:p>
    <w:p w14:paraId="18070056" w14:textId="77777777" w:rsidR="00AF6C63" w:rsidRPr="00903803" w:rsidRDefault="00AF6C63" w:rsidP="00C07DC0">
      <w:pPr>
        <w:pStyle w:val="text"/>
      </w:pPr>
      <w:r w:rsidRPr="00903803">
        <w:t>As a result, most state statutes do not limit awards of attorneys’ fees to “exceptional cases.”</w:t>
      </w:r>
      <w:r w:rsidRPr="00903803">
        <w:rPr>
          <w:vertAlign w:val="superscript"/>
        </w:rPr>
        <w:footnoteReference w:id="73"/>
      </w:r>
      <w:r w:rsidRPr="00903803">
        <w:t xml:space="preserve"> Instead, they permit such awards whenever enhanced damages would be available.</w:t>
      </w:r>
      <w:r w:rsidRPr="00903803">
        <w:rPr>
          <w:vertAlign w:val="superscript"/>
        </w:rPr>
        <w:footnoteReference w:id="74"/>
      </w:r>
      <w:r w:rsidRPr="00903803">
        <w:t xml:space="preserve"> In practice, these should be the exceptional cases. The requirement of “bad faith” or “knowledge” in these sections should go beyond the willfulness required for a compensatory damages award.</w:t>
      </w:r>
      <w:r w:rsidRPr="00903803">
        <w:rPr>
          <w:vertAlign w:val="superscript"/>
        </w:rPr>
        <w:footnoteReference w:id="75"/>
      </w:r>
    </w:p>
    <w:p w14:paraId="5FA4A840" w14:textId="77777777" w:rsidR="00AF6C63" w:rsidRPr="00903803" w:rsidRDefault="00AF6C63" w:rsidP="00C07DC0">
      <w:pPr>
        <w:pStyle w:val="text"/>
      </w:pPr>
      <w:r w:rsidRPr="00903803">
        <w:t>The older state statutes using the Massachusetts or 1964 Model Bill wording contain no references to attorneys’ fees or other remedies, apart from injunctions. Attorneys’ fees should not be available for violations of those statutes.</w:t>
      </w:r>
      <w:r w:rsidRPr="00903803">
        <w:rPr>
          <w:vertAlign w:val="superscript"/>
        </w:rPr>
        <w:footnoteReference w:id="76"/>
      </w:r>
      <w:r w:rsidRPr="00903803">
        <w:t xml:space="preserve"> Some states, however, will permit recovery of attorneys’ fees under other statutes that permit attorneys’ fees in a variety of situations.</w:t>
      </w:r>
      <w:r w:rsidRPr="00903803">
        <w:rPr>
          <w:vertAlign w:val="superscript"/>
        </w:rPr>
        <w:footnoteReference w:id="77"/>
      </w:r>
    </w:p>
    <w:p w14:paraId="4AD78441" w14:textId="77777777" w:rsidR="00AF6C63" w:rsidRPr="00903803" w:rsidRDefault="00AF6C63" w:rsidP="00C07DC0">
      <w:pPr>
        <w:pStyle w:val="text"/>
      </w:pPr>
    </w:p>
    <w:p w14:paraId="48F985C2" w14:textId="77777777" w:rsidR="00AF6C63" w:rsidRPr="00903803" w:rsidRDefault="00AF6C63" w:rsidP="00726678">
      <w:pPr>
        <w:widowControl w:val="0"/>
      </w:pPr>
    </w:p>
    <w:p w14:paraId="278D3CA5"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22CD5E40" w14:textId="77777777" w:rsidR="00AF6C63" w:rsidRDefault="00AF6C63" w:rsidP="00DB753C">
      <w:pPr>
        <w:pStyle w:val="CommentText"/>
      </w:pPr>
      <w:r>
        <w:rPr>
          <w:rStyle w:val="CommentReference"/>
        </w:rPr>
        <w:annotationRef/>
      </w:r>
      <w:r>
        <w:t>Begin summary here.</w:t>
      </w:r>
    </w:p>
  </w:comment>
  <w:comment w:id="2" w:author="Author" w:initials="A">
    <w:p w14:paraId="3BA57B24" w14:textId="77777777" w:rsidR="00AF6C63" w:rsidRDefault="00AF6C63" w:rsidP="00DB753C">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CD5E40" w15:done="0"/>
  <w15:commentEx w15:paraId="3BA57B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CD5E40" w16cid:durableId="7BFBEFE2"/>
  <w16cid:commentId w16cid:paraId="3BA57B24" w16cid:durableId="65DF09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5294A" w14:textId="77777777" w:rsidR="00105A85" w:rsidRDefault="00105A85" w:rsidP="002A47A4">
      <w:r>
        <w:separator/>
      </w:r>
    </w:p>
    <w:p w14:paraId="436DA000" w14:textId="77777777" w:rsidR="00105A85" w:rsidRDefault="00105A85"/>
    <w:p w14:paraId="5F9FE89B" w14:textId="77777777" w:rsidR="00105A85" w:rsidRDefault="00105A85"/>
  </w:endnote>
  <w:endnote w:type="continuationSeparator" w:id="0">
    <w:p w14:paraId="0D094ED5" w14:textId="77777777" w:rsidR="00105A85" w:rsidRDefault="00105A85" w:rsidP="002A47A4">
      <w:r>
        <w:continuationSeparator/>
      </w:r>
    </w:p>
    <w:p w14:paraId="3922062A" w14:textId="77777777" w:rsidR="00105A85" w:rsidRDefault="00105A85"/>
    <w:p w14:paraId="6953495B" w14:textId="77777777" w:rsidR="00105A85" w:rsidRDefault="00105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4DFB6" w14:textId="77777777" w:rsidR="00105A85" w:rsidRDefault="00105A85" w:rsidP="002A47A4">
      <w:r>
        <w:separator/>
      </w:r>
    </w:p>
    <w:p w14:paraId="2C374B6B" w14:textId="77777777" w:rsidR="00105A85" w:rsidRDefault="00105A85"/>
    <w:p w14:paraId="60551CEA" w14:textId="77777777" w:rsidR="00105A85" w:rsidRDefault="00105A85"/>
  </w:footnote>
  <w:footnote w:type="continuationSeparator" w:id="0">
    <w:p w14:paraId="75BEE9C4" w14:textId="77777777" w:rsidR="00105A85" w:rsidRDefault="00105A85" w:rsidP="002A47A4">
      <w:r>
        <w:continuationSeparator/>
      </w:r>
    </w:p>
    <w:p w14:paraId="381B072E" w14:textId="77777777" w:rsidR="00105A85" w:rsidRDefault="00105A85"/>
    <w:p w14:paraId="7FEF36AA" w14:textId="77777777" w:rsidR="00105A85" w:rsidRDefault="00105A85"/>
  </w:footnote>
  <w:footnote w:id="1">
    <w:p w14:paraId="7A93A8BA" w14:textId="77777777" w:rsidR="00AF6C63" w:rsidRPr="000D523D" w:rsidRDefault="00AF6C63" w:rsidP="00930490">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he served</w:t>
      </w:r>
      <w:r w:rsidRPr="000D523D">
        <w:rPr>
          <w:color w:val="000000"/>
          <w:sz w:val="20"/>
          <w:szCs w:val="20"/>
        </w:rPr>
        <w:t xml:space="preserve"> as an </w:t>
      </w:r>
      <w:r>
        <w:rPr>
          <w:color w:val="000000"/>
          <w:sz w:val="20"/>
          <w:szCs w:val="20"/>
        </w:rPr>
        <w:t>attorney</w:t>
      </w:r>
      <w:r w:rsidRPr="000D523D">
        <w:rPr>
          <w:color w:val="000000"/>
          <w:sz w:val="20"/>
          <w:szCs w:val="20"/>
        </w:rPr>
        <w:t xml:space="preserve"> with the U.S. Copyright Office in Washington, D.C.</w:t>
      </w:r>
      <w:r w:rsidRPr="009A46F6">
        <w:rPr>
          <w:color w:val="000000"/>
          <w:sz w:val="20"/>
          <w:szCs w:val="20"/>
        </w:rPr>
        <w:t xml:space="preserve"> </w:t>
      </w:r>
      <w:r w:rsidRPr="000D523D">
        <w:rPr>
          <w:color w:val="000000"/>
          <w:sz w:val="20"/>
          <w:szCs w:val="20"/>
        </w:rPr>
        <w:t>Prior to that time, he practiced law in New York City</w:t>
      </w:r>
      <w:r>
        <w:rPr>
          <w:color w:val="000000"/>
          <w:sz w:val="20"/>
          <w:szCs w:val="20"/>
        </w:rPr>
        <w:t>.</w:t>
      </w:r>
    </w:p>
    <w:p w14:paraId="0DBCD724" w14:textId="77777777" w:rsidR="00AF6C63" w:rsidRDefault="00AF6C63" w:rsidP="00930490">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20964564" w14:textId="77777777" w:rsidR="00AF6C63" w:rsidRPr="00903803" w:rsidRDefault="00AF6C63" w:rsidP="00E128EA">
      <w:pPr>
        <w:pStyle w:val="footnote"/>
      </w:pPr>
      <w:r w:rsidRPr="00903803">
        <w:rPr>
          <w:vertAlign w:val="superscript"/>
        </w:rPr>
        <w:footnoteRef/>
      </w:r>
      <w:r w:rsidRPr="00903803">
        <w:t>Pub. L. No. 109-312, 120 Stat. 1730 (2006).</w:t>
      </w:r>
    </w:p>
  </w:footnote>
  <w:footnote w:id="3">
    <w:p w14:paraId="3FF0C17B" w14:textId="77777777" w:rsidR="00AF6C63" w:rsidRPr="00903803" w:rsidRDefault="00AF6C63" w:rsidP="00E128EA">
      <w:pPr>
        <w:pStyle w:val="footnote"/>
      </w:pPr>
      <w:r w:rsidRPr="00903803">
        <w:rPr>
          <w:vertAlign w:val="superscript"/>
        </w:rPr>
        <w:footnoteRef/>
      </w:r>
      <w:r w:rsidRPr="00903803">
        <w:rPr>
          <w:smallCaps/>
        </w:rPr>
        <w:t>Model State Trademark Bill</w:t>
      </w:r>
      <w:r w:rsidRPr="00903803">
        <w:t xml:space="preserve"> §12 (1964) [hereinafter “1964 Model Bill”], </w:t>
      </w:r>
      <w:r w:rsidRPr="00903803">
        <w:rPr>
          <w:i/>
          <w:iCs/>
        </w:rPr>
        <w:t>reprinted in</w:t>
      </w:r>
      <w:r w:rsidRPr="00903803">
        <w:t xml:space="preserve"> J</w:t>
      </w:r>
      <w:r w:rsidRPr="00903803">
        <w:rPr>
          <w:smallCaps/>
        </w:rPr>
        <w:t>. Thomas McCarthy</w:t>
      </w:r>
      <w:r w:rsidRPr="00903803">
        <w:t xml:space="preserve">, </w:t>
      </w:r>
      <w:r w:rsidRPr="00903803">
        <w:rPr>
          <w:smallCaps/>
        </w:rPr>
        <w:t xml:space="preserve">McCarthy on Trademarks and Unfair Competition </w:t>
      </w:r>
      <w:r w:rsidRPr="00903803">
        <w:t>§22.8, at 22-24</w:t>
      </w:r>
      <w:r w:rsidRPr="00903803">
        <w:rPr>
          <w:smallCaps/>
        </w:rPr>
        <w:t xml:space="preserve"> </w:t>
      </w:r>
      <w:r w:rsidRPr="00903803">
        <w:t>to</w:t>
      </w:r>
      <w:r w:rsidRPr="00903803">
        <w:rPr>
          <w:smallCaps/>
        </w:rPr>
        <w:t xml:space="preserve"> 22-32 (</w:t>
      </w:r>
      <w:r w:rsidRPr="00903803">
        <w:t>4th ed</w:t>
      </w:r>
      <w:r w:rsidRPr="00903803">
        <w:rPr>
          <w:smallCaps/>
        </w:rPr>
        <w:t xml:space="preserve">. 1998 &amp; </w:t>
      </w:r>
      <w:r w:rsidRPr="00903803">
        <w:t>Supps.</w:t>
      </w:r>
      <w:r w:rsidRPr="00903803">
        <w:rPr>
          <w:smallCaps/>
        </w:rPr>
        <w:t>)</w:t>
      </w:r>
      <w:r w:rsidRPr="00903803">
        <w:t>.</w:t>
      </w:r>
      <w:r w:rsidRPr="00903803">
        <w:rPr>
          <w:b/>
          <w:bCs/>
        </w:rPr>
        <w:t xml:space="preserve"> </w:t>
      </w:r>
      <w:r w:rsidRPr="00903803">
        <w:t xml:space="preserve">The text of the 1964 Model Bill dilution provision is also reprinted in Andrew L. Goldstein, </w:t>
      </w:r>
      <w:r w:rsidRPr="00903803">
        <w:rPr>
          <w:i/>
          <w:iCs/>
        </w:rPr>
        <w:t>Bringing the Model State Trademark Bill into the 90s and Beyond</w:t>
      </w:r>
      <w:r w:rsidRPr="00903803">
        <w:t xml:space="preserve">, 83 </w:t>
      </w:r>
      <w:r w:rsidRPr="00903803">
        <w:rPr>
          <w:smallCaps/>
        </w:rPr>
        <w:t>Trademark Rep</w:t>
      </w:r>
      <w:r w:rsidRPr="00903803">
        <w:t>. 226, 236 (1993).</w:t>
      </w:r>
    </w:p>
    <w:p w14:paraId="123B4F59" w14:textId="77777777" w:rsidR="00AF6C63" w:rsidRPr="00903803" w:rsidRDefault="00AF6C63" w:rsidP="00C07DC0">
      <w:pPr>
        <w:pStyle w:val="footnoteparaindent"/>
        <w:rPr>
          <w:rFonts w:cs="Times New Roman"/>
          <w:szCs w:val="20"/>
        </w:rPr>
      </w:pPr>
      <w:r w:rsidRPr="00903803">
        <w:rPr>
          <w:rFonts w:cs="Times New Roman"/>
          <w:szCs w:val="20"/>
        </w:rPr>
        <w:t xml:space="preserve">The United States Trademark Association (USTA) issued a series of Model State Trademark Bills, beginning in 1949. The earliest Model Bill that contained a dilution provision was issued in 1964 (hereinafter referred to as the “1964 Model Bill”). Amended Model Bills were issued in 1992, 1996, and 2007. </w:t>
      </w:r>
      <w:r w:rsidRPr="00B41622">
        <w:rPr>
          <w:rFonts w:cs="Times New Roman"/>
          <w:i/>
          <w:szCs w:val="20"/>
        </w:rPr>
        <w:t>See</w:t>
      </w:r>
      <w:r w:rsidRPr="00903803">
        <w:rPr>
          <w:rFonts w:cs="Times New Roman"/>
          <w:szCs w:val="20"/>
        </w:rPr>
        <w:t xml:space="preserve"> Chapter 1, §II.D. </w:t>
      </w:r>
    </w:p>
  </w:footnote>
  <w:footnote w:id="4">
    <w:p w14:paraId="085FBDA3" w14:textId="77777777" w:rsidR="00AF6C63" w:rsidRPr="00903803" w:rsidRDefault="00AF6C63" w:rsidP="00E128EA">
      <w:pPr>
        <w:pStyle w:val="footnote"/>
      </w:pPr>
      <w:r w:rsidRPr="00903803">
        <w:rPr>
          <w:vertAlign w:val="superscript"/>
        </w:rPr>
        <w:footnoteRef/>
      </w:r>
      <w:r w:rsidRPr="00903803">
        <w:t>Lanham Act §43(c)(1), 15 U.S.C. §1125(c)(1) (providing that “the owner of a famous mark … shall be entitled to an injunction … .”).</w:t>
      </w:r>
    </w:p>
  </w:footnote>
  <w:footnote w:id="5">
    <w:p w14:paraId="5BFAC172" w14:textId="77777777" w:rsidR="00AF6C63" w:rsidRPr="00903803" w:rsidRDefault="00AF6C63" w:rsidP="00E128EA">
      <w:pPr>
        <w:pStyle w:val="footnote"/>
      </w:pPr>
      <w:r w:rsidRPr="00903803">
        <w:rPr>
          <w:vertAlign w:val="superscript"/>
        </w:rPr>
        <w:footnoteRef/>
      </w:r>
      <w:r w:rsidRPr="00903803">
        <w:rPr>
          <w:i/>
          <w:iCs/>
        </w:rPr>
        <w:t>Id</w:t>
      </w:r>
      <w:r w:rsidRPr="00903803">
        <w:t>. §43(c)(5) (permitting damages “subject to the discretion of the court and the principles of equity”).</w:t>
      </w:r>
      <w:r w:rsidRPr="00903803">
        <w:rPr>
          <w:b/>
          <w:bCs/>
        </w:rPr>
        <w:t xml:space="preserve"> </w:t>
      </w:r>
      <w:r w:rsidRPr="00903803">
        <w:t>The 2007 Model Bill requires only that the second user intends to cause dilution. This distinction could be significant. See §III.A, below.</w:t>
      </w:r>
    </w:p>
  </w:footnote>
  <w:footnote w:id="6">
    <w:p w14:paraId="3DDC2B33" w14:textId="77777777" w:rsidR="00AF6C63" w:rsidRPr="00903803" w:rsidRDefault="00AF6C63" w:rsidP="00E128EA">
      <w:pPr>
        <w:pStyle w:val="footnote"/>
      </w:pPr>
      <w:r w:rsidRPr="00903803">
        <w:rPr>
          <w:vertAlign w:val="superscript"/>
        </w:rPr>
        <w:footnoteRef/>
      </w:r>
      <w:r w:rsidRPr="00903803">
        <w:t xml:space="preserve">Pub. L. No. 104-98, 109 Stat. 985 (1995); </w:t>
      </w:r>
      <w:r w:rsidRPr="00903803">
        <w:rPr>
          <w:i/>
          <w:iCs/>
        </w:rPr>
        <w:t>see, e</w:t>
      </w:r>
      <w:r w:rsidRPr="00903803">
        <w:t>.</w:t>
      </w:r>
      <w:r w:rsidRPr="00903803">
        <w:rPr>
          <w:i/>
          <w:iCs/>
        </w:rPr>
        <w:t>g</w:t>
      </w:r>
      <w:r w:rsidRPr="00903803">
        <w:t xml:space="preserve">., </w:t>
      </w:r>
      <w:r w:rsidRPr="00903803">
        <w:rPr>
          <w:smallCaps/>
        </w:rPr>
        <w:t>Model State Trademark Bill</w:t>
      </w:r>
      <w:r w:rsidRPr="00903803">
        <w:t xml:space="preserve"> §13(a), (c) (INTA 2007) [hereinafter “2007 Model Bill”],</w:t>
      </w:r>
      <w:r w:rsidRPr="00903803">
        <w:rPr>
          <w:i/>
          <w:iCs/>
        </w:rPr>
        <w:t xml:space="preserve"> available at </w:t>
      </w:r>
      <w:r w:rsidRPr="00903803">
        <w:t xml:space="preserve">http://www.inta.org/Advocacy/Pages/ModelLawsandGuidelines.aspx; </w:t>
      </w:r>
      <w:r w:rsidRPr="00903803">
        <w:rPr>
          <w:smallCaps/>
        </w:rPr>
        <w:t>Model State Trademark Bill</w:t>
      </w:r>
      <w:r w:rsidRPr="00903803">
        <w:t xml:space="preserve"> §13 (1996) [hereinafter “1996 Model Bill”], </w:t>
      </w:r>
      <w:r w:rsidRPr="00903803">
        <w:rPr>
          <w:i/>
          <w:iCs/>
        </w:rPr>
        <w:t>reprinted in</w:t>
      </w:r>
      <w:r w:rsidRPr="00903803">
        <w:t xml:space="preserve"> 1 </w:t>
      </w:r>
      <w:r w:rsidRPr="00903803">
        <w:rPr>
          <w:smallCaps/>
        </w:rPr>
        <w:t>Gilson on Trademarks</w:t>
      </w:r>
      <w:r w:rsidRPr="00903803">
        <w:t>, app. 1A (2008). A table of the various state statutes is provided in Chapter 1, §III.A.3.</w:t>
      </w:r>
    </w:p>
  </w:footnote>
  <w:footnote w:id="7">
    <w:p w14:paraId="427215E0" w14:textId="77777777" w:rsidR="00AF6C63" w:rsidRPr="00DB753C" w:rsidRDefault="00AF6C63" w:rsidP="004B5681">
      <w:pPr>
        <w:autoSpaceDE w:val="0"/>
        <w:autoSpaceDN w:val="0"/>
        <w:adjustRightInd w:val="0"/>
        <w:rPr>
          <w:rFonts w:ascii="TimesNewRomanPSMT" w:hAnsi="TimesNewRomanPSMT" w:cs="TimesNewRomanPSMT"/>
          <w:sz w:val="20"/>
          <w:szCs w:val="20"/>
        </w:rPr>
      </w:pPr>
      <w:r w:rsidRPr="008A028F">
        <w:rPr>
          <w:sz w:val="20"/>
          <w:szCs w:val="20"/>
          <w:vertAlign w:val="superscript"/>
        </w:rPr>
        <w:footnoteRef/>
      </w:r>
      <w:r w:rsidRPr="008A028F">
        <w:rPr>
          <w:i/>
          <w:iCs/>
          <w:sz w:val="20"/>
          <w:szCs w:val="20"/>
        </w:rPr>
        <w:t>See</w:t>
      </w:r>
      <w:r w:rsidRPr="008A028F">
        <w:rPr>
          <w:sz w:val="20"/>
          <w:szCs w:val="20"/>
        </w:rPr>
        <w:t xml:space="preserve"> eBay, Inc. v. MercExchange, LLC, 547 U.S. 388, 392–93, 78 USPQ2d 1577 (2006). The limitations resulting from </w:t>
      </w:r>
      <w:r w:rsidRPr="008A028F">
        <w:rPr>
          <w:i/>
          <w:iCs/>
          <w:sz w:val="20"/>
          <w:szCs w:val="20"/>
        </w:rPr>
        <w:t>MercExchange</w:t>
      </w:r>
      <w:r w:rsidRPr="008A028F">
        <w:rPr>
          <w:sz w:val="20"/>
          <w:szCs w:val="20"/>
        </w:rPr>
        <w:t xml:space="preserve"> are discussed in Chapter 11, §§I.A, I.B. In </w:t>
      </w:r>
      <w:r w:rsidRPr="008A028F">
        <w:rPr>
          <w:i/>
          <w:iCs/>
          <w:sz w:val="20"/>
          <w:szCs w:val="20"/>
        </w:rPr>
        <w:t>Fireman’s Ass’n of the State of N.Y. v. French Am. Sch. of N.Y.</w:t>
      </w:r>
      <w:r w:rsidRPr="008A028F">
        <w:rPr>
          <w:sz w:val="20"/>
          <w:szCs w:val="20"/>
        </w:rPr>
        <w:t>, 41 A.D.3d 925, 928, 839 N.Y.S.2d 238, 242–43 (3d Dept. 2007), the court overturned a preliminary injunction, finding a lack of irreparable harm in light of the parties’ coexistence for many years and the balancing of the equities of the case, which would result in hardship for the defendant).</w:t>
      </w:r>
      <w:r w:rsidRPr="00420D4E">
        <w:rPr>
          <w:sz w:val="20"/>
          <w:szCs w:val="20"/>
        </w:rPr>
        <w:t xml:space="preserve"> In </w:t>
      </w:r>
      <w:r w:rsidRPr="008A028F">
        <w:rPr>
          <w:i/>
          <w:iCs/>
          <w:sz w:val="20"/>
          <w:szCs w:val="20"/>
        </w:rPr>
        <w:t xml:space="preserve">Spark </w:t>
      </w:r>
      <w:r>
        <w:rPr>
          <w:i/>
          <w:iCs/>
          <w:sz w:val="20"/>
          <w:szCs w:val="20"/>
        </w:rPr>
        <w:t>Therapeutics</w:t>
      </w:r>
      <w:r w:rsidRPr="008A028F">
        <w:rPr>
          <w:i/>
          <w:iCs/>
          <w:sz w:val="20"/>
          <w:szCs w:val="20"/>
        </w:rPr>
        <w:t>, Inc. v. Bluebird Bio, Inc.</w:t>
      </w:r>
      <w:r w:rsidRPr="008A028F">
        <w:rPr>
          <w:sz w:val="20"/>
          <w:szCs w:val="20"/>
        </w:rPr>
        <w:t xml:space="preserve">, </w:t>
      </w:r>
      <w:r w:rsidRPr="007D35CE">
        <w:rPr>
          <w:sz w:val="20"/>
          <w:szCs w:val="20"/>
        </w:rPr>
        <w:t>2022 BL 24684</w:t>
      </w:r>
      <w:r>
        <w:rPr>
          <w:sz w:val="20"/>
          <w:szCs w:val="20"/>
        </w:rPr>
        <w:t xml:space="preserve"> </w:t>
      </w:r>
      <w:r w:rsidRPr="008A028F">
        <w:rPr>
          <w:sz w:val="20"/>
          <w:szCs w:val="20"/>
        </w:rPr>
        <w:t xml:space="preserve">(D. Del. Jan. 25, 2022), the court interpreted Third Circuit precedent on the test for preliminary relief to require </w:t>
      </w:r>
      <w:r>
        <w:rPr>
          <w:sz w:val="20"/>
          <w:szCs w:val="20"/>
        </w:rPr>
        <w:t>only</w:t>
      </w:r>
      <w:r w:rsidRPr="008A028F">
        <w:rPr>
          <w:sz w:val="20"/>
          <w:szCs w:val="20"/>
        </w:rPr>
        <w:t xml:space="preserve"> “</w:t>
      </w:r>
      <w:r w:rsidRPr="007879F7">
        <w:rPr>
          <w:rFonts w:ascii="TimesNewRomanPSMT" w:hAnsi="TimesNewRomanPSMT" w:cs="TimesNewRomanPSMT"/>
          <w:sz w:val="20"/>
          <w:szCs w:val="20"/>
        </w:rPr>
        <w:t xml:space="preserve">a reasonable probability of eventual success in the litigation; it does not mean that the party seeking the injunction must show that it is more likely than not to succeed on the merits of its claim.” </w:t>
      </w:r>
      <w:r w:rsidRPr="007879F7">
        <w:rPr>
          <w:rFonts w:ascii="TimesNewRomanPSMT" w:hAnsi="TimesNewRomanPSMT" w:cs="TimesNewRomanPSMT"/>
          <w:i/>
          <w:iCs/>
          <w:sz w:val="20"/>
          <w:szCs w:val="20"/>
        </w:rPr>
        <w:t>Id</w:t>
      </w:r>
      <w:r w:rsidRPr="007879F7">
        <w:rPr>
          <w:rFonts w:ascii="TimesNewRomanPSMT" w:hAnsi="TimesNewRomanPSMT" w:cs="TimesNewRomanPSMT"/>
          <w:sz w:val="20"/>
          <w:szCs w:val="20"/>
        </w:rPr>
        <w:t>. at *3.</w:t>
      </w:r>
      <w:r>
        <w:rPr>
          <w:rFonts w:ascii="TimesNewRomanPSMT" w:hAnsi="TimesNewRomanPSMT" w:cs="TimesNewRomanPSMT"/>
          <w:sz w:val="20"/>
          <w:szCs w:val="20"/>
        </w:rPr>
        <w:t xml:space="preserve">  In </w:t>
      </w:r>
      <w:r w:rsidRPr="00EA0300">
        <w:rPr>
          <w:rFonts w:ascii="TimesNewRomanPSMT" w:hAnsi="TimesNewRomanPSMT" w:cs="TimesNewRomanPSMT"/>
          <w:i/>
          <w:iCs/>
          <w:sz w:val="20"/>
          <w:szCs w:val="20"/>
        </w:rPr>
        <w:t>Ultra Records LLC v. Ultra Int’l Music Publishing</w:t>
      </w:r>
      <w:r>
        <w:rPr>
          <w:rFonts w:ascii="TimesNewRomanPSMT" w:hAnsi="TimesNewRomanPSMT" w:cs="TimesNewRomanPSMT"/>
          <w:sz w:val="20"/>
          <w:szCs w:val="20"/>
        </w:rPr>
        <w:t xml:space="preserve">, 2025 WL 602943, </w:t>
      </w:r>
      <w:r w:rsidRPr="004B5681">
        <w:rPr>
          <w:rFonts w:ascii="TimesNewRomanPSMT" w:hAnsi="TimesNewRomanPSMT" w:cs="TimesNewRomanPSMT"/>
          <w:sz w:val="20"/>
          <w:szCs w:val="20"/>
        </w:rPr>
        <w:t>2025 BL 59916</w:t>
      </w:r>
      <w:r>
        <w:rPr>
          <w:rFonts w:ascii="TimesNewRomanPSMT" w:hAnsi="TimesNewRomanPSMT" w:cs="TimesNewRomanPSMT"/>
          <w:sz w:val="20"/>
          <w:szCs w:val="20"/>
        </w:rPr>
        <w:t xml:space="preserve"> (S.D.N.Y. Feb. 25, 2025), the court appeared to suggest that irreparable harm should be presumed when there is a finding of dilution under New York law. </w:t>
      </w:r>
      <w:r>
        <w:rPr>
          <w:rFonts w:ascii="TimesNewRomanPSMT" w:hAnsi="TimesNewRomanPSMT" w:cs="TimesNewRomanPSMT"/>
          <w:i/>
          <w:iCs/>
          <w:sz w:val="20"/>
          <w:szCs w:val="20"/>
        </w:rPr>
        <w:t>Id</w:t>
      </w:r>
      <w:r>
        <w:rPr>
          <w:rFonts w:ascii="TimesNewRomanPSMT" w:hAnsi="TimesNewRomanPSMT" w:cs="TimesNewRomanPSMT"/>
          <w:sz w:val="20"/>
          <w:szCs w:val="20"/>
        </w:rPr>
        <w:t>. at *6.</w:t>
      </w:r>
    </w:p>
  </w:footnote>
  <w:footnote w:id="8">
    <w:p w14:paraId="2DBDFDC1"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xml:space="preserve">., Bebe Stores, Inc. v. May Dep’t Stores Int’l, Inc., 230 F. Supp. 2d 980, 991 (E.D. Mo.), </w:t>
      </w:r>
      <w:r w:rsidRPr="00903803">
        <w:rPr>
          <w:i/>
          <w:iCs/>
        </w:rPr>
        <w:t>aff’d in part, remanded in part</w:t>
      </w:r>
      <w:r w:rsidRPr="00903803">
        <w:t xml:space="preserve">, 313 F.3d 1056 (8th Cir. 2002) (the court of appeals did not discuss the dilution issue); Gilbert/Robinson, Inc. v. Carrie Beverage-Mo., Inc., 758 F. Supp. 512, 528, 19 USPQ2d 1481 (E.D. Mo. 1991), </w:t>
      </w:r>
      <w:r w:rsidRPr="00903803">
        <w:rPr>
          <w:i/>
          <w:iCs/>
        </w:rPr>
        <w:t>aff’d</w:t>
      </w:r>
      <w:r w:rsidRPr="00903803">
        <w:t xml:space="preserve">, 989 F.2d 985, 26 USPQ2d 1378 (8th Cir.), </w:t>
      </w:r>
      <w:r w:rsidRPr="00903803">
        <w:rPr>
          <w:i/>
          <w:iCs/>
        </w:rPr>
        <w:t>cert</w:t>
      </w:r>
      <w:r w:rsidRPr="00903803">
        <w:t>.</w:t>
      </w:r>
      <w:r w:rsidRPr="00903803">
        <w:rPr>
          <w:i/>
          <w:iCs/>
        </w:rPr>
        <w:t xml:space="preserve"> denied</w:t>
      </w:r>
      <w:r w:rsidRPr="00903803">
        <w:t xml:space="preserve">, 510 U.S. 928 (1993); Ramsey’s Mfg. Jewelers, Inc. v. Ramsey, 924 So. 2d 1045, 1051 (La. Ct. App. 2006) (Louisiana dilution law does not require irreparable harm because it does not require confusion); </w:t>
      </w:r>
      <w:r w:rsidRPr="00903803">
        <w:rPr>
          <w:i/>
          <w:iCs/>
        </w:rPr>
        <w:t>see also</w:t>
      </w:r>
      <w:r w:rsidRPr="00903803">
        <w:t xml:space="preserve"> Ringling Bros.-Barnum &amp; Bailey Combined Shows, Inc. v. Celozzi-Ettelson Chevrolet, Inc., 855 F.2d 480, 482, 8 USPQ2d 1072 (7th Cir. 1988) (“Under the Illinois Act, ‘an injunction </w:t>
      </w:r>
      <w:r w:rsidRPr="00903803">
        <w:rPr>
          <w:i/>
          <w:iCs/>
        </w:rPr>
        <w:t>must</w:t>
      </w:r>
      <w:r w:rsidRPr="00903803">
        <w:t xml:space="preserve"> be granted if the prior user can show that the mark is distinctive and that the subsequent user’s use dilutes that distinctiveness.’” (quoting Hyatt Corp. v. Hyatt Legal Servs., 736 F.2d 1153, 1157 (7th Cir.), </w:t>
      </w:r>
      <w:r w:rsidRPr="00903803">
        <w:rPr>
          <w:i/>
          <w:iCs/>
        </w:rPr>
        <w:t>cert</w:t>
      </w:r>
      <w:r w:rsidRPr="00903803">
        <w:t>.</w:t>
      </w:r>
      <w:r w:rsidRPr="00903803">
        <w:rPr>
          <w:i/>
          <w:iCs/>
        </w:rPr>
        <w:t xml:space="preserve"> denied</w:t>
      </w:r>
      <w:r w:rsidRPr="00903803">
        <w:t>,</w:t>
      </w:r>
      <w:r w:rsidRPr="00903803">
        <w:rPr>
          <w:i/>
          <w:iCs/>
        </w:rPr>
        <w:t xml:space="preserve"> </w:t>
      </w:r>
      <w:r w:rsidRPr="00903803">
        <w:t>469 U.S. 1019 (1984))). The Illinois statute at issue has since been replaced.</w:t>
      </w:r>
    </w:p>
  </w:footnote>
  <w:footnote w:id="9">
    <w:p w14:paraId="6CBCA49C" w14:textId="77777777" w:rsidR="00AF6C63" w:rsidRPr="00903803" w:rsidRDefault="00AF6C63" w:rsidP="00E128EA">
      <w:pPr>
        <w:pStyle w:val="footnote"/>
      </w:pPr>
      <w:r w:rsidRPr="00903803">
        <w:rPr>
          <w:vertAlign w:val="superscript"/>
        </w:rPr>
        <w:footnoteRef/>
      </w:r>
      <w:r w:rsidRPr="00903803">
        <w:rPr>
          <w:i/>
          <w:iCs/>
        </w:rPr>
        <w:t>See, e</w:t>
      </w:r>
      <w:r w:rsidRPr="00903803">
        <w:t>.</w:t>
      </w:r>
      <w:r w:rsidRPr="00903803">
        <w:rPr>
          <w:i/>
          <w:iCs/>
        </w:rPr>
        <w:t>g</w:t>
      </w:r>
      <w:r w:rsidRPr="00903803">
        <w:t>., Advantage Rent-A-Car, Inc. v. Enterprise Rent-A-Car Co., 238 F.3d 378, 381, 57 USPQ2d 1561 (5th Cir. 2001) (finding mark not famous under FTDA but remanding to consider whether claims under Texas and Louisiana laws were viable).</w:t>
      </w:r>
    </w:p>
  </w:footnote>
  <w:footnote w:id="10">
    <w:p w14:paraId="1C03EA29" w14:textId="77777777" w:rsidR="00AF6C63" w:rsidRPr="00903803" w:rsidRDefault="00AF6C63" w:rsidP="00E128EA">
      <w:pPr>
        <w:pStyle w:val="footnote"/>
      </w:pPr>
      <w:r w:rsidRPr="00903803">
        <w:rPr>
          <w:vertAlign w:val="superscript"/>
        </w:rPr>
        <w:footnoteRef/>
      </w:r>
      <w:r w:rsidRPr="00903803">
        <w:t xml:space="preserve">Nabisco, Inc. v. PF Brands, Inc., 191 F.3d 208, 225 n.7, 51 USPQ2d 1882 (2d Cir. 1999); E. &amp; J. Gallo Winery v. Spider Webs Ltd., 129 F. Supp. 2d 1033, 1037 (S.D. Tex. 2001), </w:t>
      </w:r>
      <w:r w:rsidRPr="00903803">
        <w:rPr>
          <w:i/>
          <w:iCs/>
        </w:rPr>
        <w:t>aff’d</w:t>
      </w:r>
      <w:r w:rsidRPr="00903803">
        <w:t>, 286 F.3d 270, 62 USPQ2d 1404 (5th Cir. 2002).</w:t>
      </w:r>
    </w:p>
  </w:footnote>
  <w:footnote w:id="11">
    <w:p w14:paraId="5D3AF98A" w14:textId="77777777" w:rsidR="00AF6C63" w:rsidRPr="00903803" w:rsidRDefault="00AF6C63" w:rsidP="00E128EA">
      <w:pPr>
        <w:pStyle w:val="footnote"/>
      </w:pPr>
      <w:r w:rsidRPr="00903803">
        <w:rPr>
          <w:vertAlign w:val="superscript"/>
        </w:rPr>
        <w:footnoteRef/>
      </w:r>
      <w:r w:rsidRPr="00903803">
        <w:rPr>
          <w:i/>
          <w:iCs/>
        </w:rPr>
        <w:t>See, e</w:t>
      </w:r>
      <w:r w:rsidRPr="00903803">
        <w:t>.</w:t>
      </w:r>
      <w:r w:rsidRPr="00903803">
        <w:rPr>
          <w:i/>
          <w:iCs/>
        </w:rPr>
        <w:t>g</w:t>
      </w:r>
      <w:r w:rsidRPr="00903803">
        <w:t xml:space="preserve">., Person’s Co. v. Christman, 900 F.2d 1565, 1569, 14 USPQ2d 1477 (Fed. Cir. 1990) (granting priority to the first user in the United States, even though he knew of a prior user in Japan); Marshall A. Leaffer, </w:t>
      </w:r>
      <w:r w:rsidRPr="00903803">
        <w:rPr>
          <w:i/>
          <w:iCs/>
        </w:rPr>
        <w:t>The New World of International Trademark Law</w:t>
      </w:r>
      <w:r w:rsidRPr="00903803">
        <w:t xml:space="preserve">, 2 </w:t>
      </w:r>
      <w:r w:rsidRPr="00903803">
        <w:rPr>
          <w:smallCaps/>
        </w:rPr>
        <w:t>Marq. Intell. Prop. L. Rev.</w:t>
      </w:r>
      <w:r w:rsidRPr="00903803">
        <w:t xml:space="preserve"> 1, 2–3 (1998) (discussing territoriality); </w:t>
      </w:r>
      <w:r w:rsidRPr="00903803">
        <w:rPr>
          <w:i/>
          <w:iCs/>
        </w:rPr>
        <w:t>see also</w:t>
      </w:r>
      <w:r w:rsidRPr="00903803">
        <w:t xml:space="preserve"> ITC Ltd. v. Punchgini, Inc., 482 F.3d 135, 155–156, 82 USPQ2d 1414 (2d Cir.) (discussing territoriality principle), </w:t>
      </w:r>
      <w:r w:rsidRPr="00903803">
        <w:rPr>
          <w:i/>
          <w:iCs/>
        </w:rPr>
        <w:t>cert</w:t>
      </w:r>
      <w:r w:rsidRPr="00903803">
        <w:t>.</w:t>
      </w:r>
      <w:r w:rsidRPr="00903803">
        <w:rPr>
          <w:i/>
          <w:iCs/>
        </w:rPr>
        <w:t xml:space="preserve"> denied</w:t>
      </w:r>
      <w:r w:rsidRPr="00903803">
        <w:t xml:space="preserve">, 552 U.S. 827 (2007). </w:t>
      </w:r>
    </w:p>
  </w:footnote>
  <w:footnote w:id="12">
    <w:p w14:paraId="3A840A62"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xml:space="preserve">., Steele v. Bulova Watch Co., 344 U.S. 280, 286, 95 USPQ 391 (1952) (counterfeit watches made and sold in Mexico); Babbit Elecs., Inc. v. Dynascan Corp., 38 F.3d 1161, 1179, 33 USPQ2d 1001 (11th Cir. 1994) (cordless telephones sold outside the United States but shipped through a U.S. free-trade zone); </w:t>
      </w:r>
      <w:r w:rsidRPr="00903803">
        <w:rPr>
          <w:i/>
          <w:iCs/>
        </w:rPr>
        <w:t>see also</w:t>
      </w:r>
      <w:r w:rsidRPr="00903803">
        <w:t xml:space="preserve"> Ali v. Playgirl, Inc., 447 F. Supp. 723, 731–32, 206 USPQ 1021 (S.D.N.Y. 1978) (worldwide injunction issued pursuant to claim based on New York law).</w:t>
      </w:r>
    </w:p>
  </w:footnote>
  <w:footnote w:id="13">
    <w:p w14:paraId="768F36FA" w14:textId="77777777" w:rsidR="00AF6C63" w:rsidRPr="00903803" w:rsidRDefault="00AF6C63" w:rsidP="00E128EA">
      <w:pPr>
        <w:pStyle w:val="footnote"/>
      </w:pPr>
      <w:r w:rsidRPr="00903803">
        <w:rPr>
          <w:vertAlign w:val="superscript"/>
        </w:rPr>
        <w:footnoteRef/>
      </w:r>
      <w:r w:rsidRPr="00903803">
        <w:t xml:space="preserve">Totalplan Corp. of Am. v. Colborne, 14 F.3d 824, 830, 29 USPQ2d 1740 (2d Cir. 1994) (Lanham Act does not apply where noncitizen’s acts do not have “substantial effect” on U.S. commerce); Vanity Fair Mills, Inc. v. T. Eaton Co., 234 F.2d 633, 642, 109 USPQ 438 (2d Cir.) (Lanham Act does not apply to acts of a foreign national in another country pursuant to a valid trademark in that country), </w:t>
      </w:r>
      <w:r w:rsidRPr="00903803">
        <w:rPr>
          <w:i/>
          <w:iCs/>
        </w:rPr>
        <w:t>cert</w:t>
      </w:r>
      <w:r w:rsidRPr="00903803">
        <w:t>.</w:t>
      </w:r>
      <w:r w:rsidRPr="00903803">
        <w:rPr>
          <w:i/>
          <w:iCs/>
        </w:rPr>
        <w:t xml:space="preserve"> denied</w:t>
      </w:r>
      <w:r w:rsidRPr="00903803">
        <w:t xml:space="preserve">, 352 U.S. 871, 111 USPQ 468 (1956); </w:t>
      </w:r>
      <w:r w:rsidRPr="00903803">
        <w:rPr>
          <w:i/>
          <w:iCs/>
        </w:rPr>
        <w:t>see</w:t>
      </w:r>
      <w:r w:rsidRPr="00903803">
        <w:t xml:space="preserve"> Aurora World, Inc. v. Ty, Inc., 719 F. Supp. 2d 1115, 1142–46 (C.D. Cal. 2009) (declining to apply Lanham Act extraterritoriality under facts of the case)</w:t>
      </w:r>
      <w:r>
        <w:t>;</w:t>
      </w:r>
      <w:r w:rsidRPr="00903803">
        <w:t>.</w:t>
      </w:r>
      <w:r w:rsidRPr="007D7CC3">
        <w:t xml:space="preserve">United Air Lines, Inc. v. United Airways, Ltd., 2013 U.S. Dist. LEXIS 47100, at *32–33 (E.D.N.Y. Mar. 4, 2013) (limiting injunction to activities in the United States) (magistrate judge), </w:t>
      </w:r>
      <w:r w:rsidRPr="007D7CC3">
        <w:rPr>
          <w:i/>
          <w:iCs/>
        </w:rPr>
        <w:t>recommendation adopted</w:t>
      </w:r>
      <w:r w:rsidRPr="007D7CC3">
        <w:t xml:space="preserve">, 2013 U.S. Dist. LEXIS 45343 (E.D.N.Y. Mar. 28, 2013). </w:t>
      </w:r>
      <w:r w:rsidRPr="00B41622">
        <w:rPr>
          <w:i/>
        </w:rPr>
        <w:t>See</w:t>
      </w:r>
      <w:r w:rsidRPr="007D7CC3">
        <w:t xml:space="preserve"> Chapter 11, §I.</w:t>
      </w:r>
    </w:p>
  </w:footnote>
  <w:footnote w:id="14">
    <w:p w14:paraId="6F3D0BCE" w14:textId="77777777" w:rsidR="00AF6C63" w:rsidRPr="00903803" w:rsidRDefault="00AF6C63" w:rsidP="00E128EA">
      <w:pPr>
        <w:pStyle w:val="footnote"/>
      </w:pPr>
      <w:r w:rsidRPr="00903803">
        <w:rPr>
          <w:vertAlign w:val="superscript"/>
        </w:rPr>
        <w:footnoteRef/>
      </w:r>
      <w:r w:rsidRPr="00903803">
        <w:t>Presently, 38 states plus Puerto Rico have some sort of dilution statute. See Chapter 1, §III.A.3, for a listing of all state statutes.</w:t>
      </w:r>
    </w:p>
  </w:footnote>
  <w:footnote w:id="15">
    <w:p w14:paraId="13FAC8C3" w14:textId="77777777" w:rsidR="00AF6C63" w:rsidRPr="00903803" w:rsidRDefault="00AF6C63" w:rsidP="00E128EA">
      <w:pPr>
        <w:pStyle w:val="footnote"/>
      </w:pPr>
      <w:r w:rsidRPr="00903803">
        <w:rPr>
          <w:vertAlign w:val="superscript"/>
        </w:rPr>
        <w:footnoteRef/>
      </w:r>
      <w:r w:rsidRPr="00B41622">
        <w:rPr>
          <w:i/>
        </w:rPr>
        <w:t>See, e.g.</w:t>
      </w:r>
      <w:r w:rsidRPr="00903803">
        <w:t>, Chapter 2, §I.A.2 (discussing different interpretations of distinctiveness under state law).</w:t>
      </w:r>
    </w:p>
  </w:footnote>
  <w:footnote w:id="16">
    <w:p w14:paraId="16F49C1C" w14:textId="77777777" w:rsidR="00AF6C63" w:rsidRPr="00903803" w:rsidRDefault="00AF6C63" w:rsidP="00E128EA">
      <w:pPr>
        <w:pStyle w:val="footnote"/>
      </w:pPr>
      <w:r w:rsidRPr="00903803">
        <w:rPr>
          <w:vertAlign w:val="superscript"/>
        </w:rPr>
        <w:footnoteRef/>
      </w:r>
      <w:r w:rsidRPr="00903803">
        <w:t xml:space="preserve">The exceptions are Alaska, Indiana, Nevada, and Washington. </w:t>
      </w:r>
      <w:r w:rsidRPr="008A028F">
        <w:rPr>
          <w:smallCaps/>
          <w:lang w:val="sv-SE"/>
        </w:rPr>
        <w:t>Alaska Stat.</w:t>
      </w:r>
      <w:r w:rsidRPr="008A028F">
        <w:rPr>
          <w:lang w:val="sv-SE"/>
        </w:rPr>
        <w:t xml:space="preserve"> §45.50.180(d) (LexisNexis 2006); </w:t>
      </w:r>
      <w:r w:rsidRPr="008A028F">
        <w:rPr>
          <w:smallCaps/>
          <w:lang w:val="sv-SE"/>
        </w:rPr>
        <w:t>Ind. Code Ann</w:t>
      </w:r>
      <w:r w:rsidRPr="008A028F">
        <w:rPr>
          <w:lang w:val="sv-SE"/>
        </w:rPr>
        <w:t xml:space="preserve">. §24-2-1-13.5(c) (LexisNexis 2006); </w:t>
      </w:r>
      <w:r w:rsidRPr="008A028F">
        <w:rPr>
          <w:smallCaps/>
          <w:lang w:val="sv-SE"/>
        </w:rPr>
        <w:t>Nev. Rev. Stat. Ann.</w:t>
      </w:r>
      <w:r w:rsidRPr="008A028F">
        <w:rPr>
          <w:lang w:val="sv-SE"/>
        </w:rPr>
        <w:t xml:space="preserve"> §600.435(3) (LexisNexis 2004); </w:t>
      </w:r>
      <w:r w:rsidRPr="008A028F">
        <w:rPr>
          <w:smallCaps/>
          <w:lang w:val="sv-SE"/>
        </w:rPr>
        <w:t>Wash. Rev. Code Ann</w:t>
      </w:r>
      <w:r w:rsidRPr="008A028F">
        <w:rPr>
          <w:lang w:val="sv-SE"/>
        </w:rPr>
        <w:t xml:space="preserve">. </w:t>
      </w:r>
      <w:r w:rsidRPr="00903803">
        <w:t>§19.77.160 (West Supp. 2012).</w:t>
      </w:r>
    </w:p>
  </w:footnote>
  <w:footnote w:id="17">
    <w:p w14:paraId="4115ABA6" w14:textId="77777777" w:rsidR="00AF6C63" w:rsidRPr="00903803" w:rsidRDefault="00AF6C63" w:rsidP="00E128EA">
      <w:pPr>
        <w:pStyle w:val="footnote"/>
      </w:pPr>
      <w:r w:rsidRPr="00903803">
        <w:rPr>
          <w:vertAlign w:val="superscript"/>
        </w:rPr>
        <w:footnoteRef/>
      </w:r>
      <w:r w:rsidRPr="00903803">
        <w:rPr>
          <w:smallCaps/>
        </w:rPr>
        <w:t>Model State Trademark Bill</w:t>
      </w:r>
      <w:r w:rsidRPr="00903803">
        <w:t xml:space="preserve"> §13 (1996) (emphasis added) [hereinafter 1996 Model Bill], </w:t>
      </w:r>
      <w:r w:rsidRPr="00903803">
        <w:rPr>
          <w:i/>
          <w:iCs/>
        </w:rPr>
        <w:t>reprinted in</w:t>
      </w:r>
      <w:r w:rsidRPr="00903803">
        <w:t xml:space="preserve"> Andrew L. Goldstein, </w:t>
      </w:r>
      <w:r w:rsidRPr="00903803">
        <w:rPr>
          <w:i/>
          <w:iCs/>
        </w:rPr>
        <w:t>Bringing the Model State Trademark Bill into the 90s and Beyond</w:t>
      </w:r>
      <w:r w:rsidRPr="00903803">
        <w:t xml:space="preserve">, 83 </w:t>
      </w:r>
      <w:r w:rsidRPr="00903803">
        <w:rPr>
          <w:smallCaps/>
        </w:rPr>
        <w:t>Trademark Rep</w:t>
      </w:r>
      <w:r w:rsidRPr="00903803">
        <w:t>. 226, 255 (App. A) (1993). The 1992 Model Bill uses equivalent language: “The owner of a famous mark shall be entitled only to injunctive relief in this state</w:t>
      </w:r>
      <w:r w:rsidRPr="00903803">
        <w:rPr>
          <w:i/>
          <w:iCs/>
        </w:rPr>
        <w:t xml:space="preserve"> </w:t>
      </w:r>
      <w:r w:rsidRPr="00903803">
        <w:t xml:space="preserve">in an action brought under this section … .” </w:t>
      </w:r>
    </w:p>
  </w:footnote>
  <w:footnote w:id="18">
    <w:p w14:paraId="7766D219" w14:textId="77777777" w:rsidR="00AF6C63" w:rsidRPr="00903803" w:rsidRDefault="00AF6C63" w:rsidP="00E128EA">
      <w:pPr>
        <w:pStyle w:val="footnote"/>
      </w:pPr>
      <w:r w:rsidRPr="00903803">
        <w:rPr>
          <w:vertAlign w:val="superscript"/>
        </w:rPr>
        <w:footnoteRef/>
      </w:r>
      <w:r w:rsidRPr="00903803">
        <w:t xml:space="preserve">Goldstein, 83 </w:t>
      </w:r>
      <w:r w:rsidRPr="00903803">
        <w:rPr>
          <w:smallCaps/>
        </w:rPr>
        <w:t>Trademark Rep.</w:t>
      </w:r>
      <w:r w:rsidRPr="00903803">
        <w:t xml:space="preserve"> at 238.</w:t>
      </w:r>
    </w:p>
  </w:footnote>
  <w:footnote w:id="19">
    <w:p w14:paraId="3E96FE45" w14:textId="77777777" w:rsidR="00AF6C63" w:rsidRPr="00903803" w:rsidRDefault="00AF6C63" w:rsidP="00E128EA">
      <w:pPr>
        <w:pStyle w:val="footnote"/>
      </w:pPr>
      <w:r w:rsidRPr="00903803">
        <w:rPr>
          <w:vertAlign w:val="superscript"/>
        </w:rPr>
        <w:footnoteRef/>
      </w:r>
      <w:r w:rsidRPr="00903803">
        <w:t xml:space="preserve">2007 Model Bill §13(c). This language, or language very much like it, has been adopted in Alabama, California, Mississippi, Oregon, and Texas. </w:t>
      </w:r>
      <w:r w:rsidRPr="00903803">
        <w:rPr>
          <w:smallCaps/>
        </w:rPr>
        <w:t>Ala. Stat.</w:t>
      </w:r>
      <w:r w:rsidRPr="00903803">
        <w:t xml:space="preserve"> §8-12-17(c) (2010); </w:t>
      </w:r>
      <w:r w:rsidRPr="00903803">
        <w:rPr>
          <w:smallCaps/>
        </w:rPr>
        <w:t>Cal. Bus. &amp; Prof. Code</w:t>
      </w:r>
      <w:r w:rsidRPr="00903803">
        <w:t xml:space="preserve"> §14247(b) (West 2008); </w:t>
      </w:r>
      <w:r w:rsidRPr="00903803">
        <w:rPr>
          <w:smallCaps/>
        </w:rPr>
        <w:t>Miss. Code Ann</w:t>
      </w:r>
      <w:r w:rsidRPr="00903803">
        <w:t xml:space="preserve">. §75-25-25(c) (West Supp. 2011); </w:t>
      </w:r>
      <w:r w:rsidRPr="00903803">
        <w:rPr>
          <w:smallCaps/>
        </w:rPr>
        <w:t>Or. Rev. Stat</w:t>
      </w:r>
      <w:r w:rsidRPr="00903803">
        <w:t xml:space="preserve">. §647.107(3) (2011); </w:t>
      </w:r>
      <w:r w:rsidRPr="00903803">
        <w:rPr>
          <w:smallCaps/>
        </w:rPr>
        <w:t xml:space="preserve">Tex. Bus. &amp; Com. Code </w:t>
      </w:r>
      <w:r w:rsidRPr="00903803">
        <w:t>§16.103(c) (2011). The Texas statute alters the language to provide, “the owner of a famous mark is entitled to injunctive relief throughout the geographic area in this state in which the mark is found to have become famous before the use of the other mark.” However, the effect appears to be the same.</w:t>
      </w:r>
    </w:p>
  </w:footnote>
  <w:footnote w:id="20">
    <w:p w14:paraId="41A57A34" w14:textId="77777777" w:rsidR="00AF6C63" w:rsidRPr="00903803" w:rsidRDefault="00AF6C63" w:rsidP="00E128EA">
      <w:pPr>
        <w:pStyle w:val="footnote"/>
      </w:pPr>
      <w:r w:rsidRPr="00903803">
        <w:rPr>
          <w:vertAlign w:val="superscript"/>
        </w:rPr>
        <w:footnoteRef/>
      </w:r>
      <w:r w:rsidRPr="00903803">
        <w:t>The geographic scope of fame under the 2007 Model Bill is discussed in Chapter 2, §I.E.</w:t>
      </w:r>
    </w:p>
  </w:footnote>
  <w:footnote w:id="21">
    <w:p w14:paraId="044DEE44"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xml:space="preserve">., Cottonwood Fin. Ltd. v. The Cash Store Fin. Servs., Inc, 778 F. Supp. 2d 726, 740–41 (N.D. Tex. 2011) (issuing nationwide injunction against foreign company, but declining to decide whether court could issue injunction acting outside the U.S.); Eastman Kodak Co. v. Rakow, 739 F. Supp. 116, 120 n.3, 15 USPQ2d 1631 (W.D.N.Y. 1989); Mead Data Cent., Inc. v. Toyota Motor Sales, USA, 702 F. Supp. 1031, 1044–45, 9 USPQ2d 1442 (S.D.N.Y. 1988) (issuing nationwide injunction against sales of LEXUS cars), </w:t>
      </w:r>
      <w:r w:rsidRPr="00903803">
        <w:rPr>
          <w:i/>
          <w:iCs/>
        </w:rPr>
        <w:t>rev’d on other grounds</w:t>
      </w:r>
      <w:r w:rsidRPr="00903803">
        <w:t xml:space="preserve">, 875 F.2d 1026, 10 USPQ2d 1961 (2d Cir. 1989); Instrumentalist Co. v. Marine Corps League, 509 F. Supp. 323, 340, 210 USPQ 841 (N.D. Ill. 1981); National Football League Props., Inc. v. Dallas Cap &amp; Emblem Mfg., Inc., 327 N.E.2d 247, 185 USPQ 554 (Ill. App. Ct. 1975); </w:t>
      </w:r>
      <w:r w:rsidRPr="00903803">
        <w:rPr>
          <w:i/>
          <w:iCs/>
        </w:rPr>
        <w:t>see</w:t>
      </w:r>
      <w:r w:rsidRPr="00903803">
        <w:t xml:space="preserve"> Deere &amp; Co. v. MTD Prods., Inc., 41 F.3d 39, 46, 32 USPQ2d 1936 (2d Cir. 1994) (stating, in dicta, that the district court was empowered to issue nationwide injunctions); </w:t>
      </w:r>
      <w:r w:rsidRPr="00903803">
        <w:rPr>
          <w:i/>
          <w:iCs/>
        </w:rPr>
        <w:t>see also</w:t>
      </w:r>
      <w:r w:rsidRPr="00903803">
        <w:t xml:space="preserve"> Ali v. Playgirl, Inc., 447 F. Supp. 723, 731–32, 206 USPQ 1021 (S.D.N.Y. 1978) (worldwide injunction based on New York right of publicity). </w:t>
      </w:r>
      <w:r w:rsidRPr="00903803">
        <w:rPr>
          <w:i/>
          <w:iCs/>
        </w:rPr>
        <w:t>But see</w:t>
      </w:r>
      <w:r w:rsidRPr="00903803">
        <w:t xml:space="preserve"> Hyatt Corp. v. Hyatt Legal Servs., 610 F. Supp. 381, 383–85 (N.D. Ill. 1985) (refusing to issue immediate nationwide injunction based on possible violation of Commerce Clause); Francis H. Leggett &amp; Co. v. Premier Packing Co., 140 F. Supp. 328, 332, 109 USPQ 215 (D. Mass. 1956) (injunction under Massachusetts law authorized “within the Commonwealth”).</w:t>
      </w:r>
    </w:p>
  </w:footnote>
  <w:footnote w:id="22">
    <w:p w14:paraId="3CBA6438"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xml:space="preserve">., Nutro Prods., Inc. v. Cole Grain Co., 5 Cal. Rptr. 2d 41, 24 USPQ2d 1556 (Ct. App. 1992) (upholding nationwide injunction based on California unfair competition law); Wojnarowicz v. American Family Ass’n, 745 F. Supp. 130, 149, 17 USPQ2d 1337 (S.D.N.Y. 1990) (granting apparent nationwide relief under New York Artists’ Authorship Rights Act). </w:t>
      </w:r>
      <w:r w:rsidRPr="00903803">
        <w:rPr>
          <w:i/>
          <w:iCs/>
        </w:rPr>
        <w:t>But see</w:t>
      </w:r>
      <w:r w:rsidRPr="00903803">
        <w:t xml:space="preserve"> Blue Ribbon Feed Co. v. Farmers Union Cent. Exch., Inc., 731 F.2d 415, 422, 222 USPQ 785 (7th Cir. 1984) (affirming refusal to issue injunction running outside the state in claim based on state trademark law); Columbia Broad. Sys., Inc. v. DeCosta, 377 F.2d 315, 319 n.7, 153 USPQ 649 (1st Cir.) (noting the problem raised by such extraterritorial injunctions), </w:t>
      </w:r>
      <w:r w:rsidRPr="00903803">
        <w:rPr>
          <w:i/>
          <w:iCs/>
        </w:rPr>
        <w:t>cert</w:t>
      </w:r>
      <w:r w:rsidRPr="00903803">
        <w:t>.</w:t>
      </w:r>
      <w:r w:rsidRPr="00903803">
        <w:rPr>
          <w:i/>
          <w:iCs/>
        </w:rPr>
        <w:t xml:space="preserve"> denied</w:t>
      </w:r>
      <w:r w:rsidRPr="00903803">
        <w:t>, 389 U.S. 1007 (1967).</w:t>
      </w:r>
    </w:p>
  </w:footnote>
  <w:footnote w:id="23">
    <w:p w14:paraId="55A3970D" w14:textId="77777777" w:rsidR="00AF6C63" w:rsidRPr="00903803" w:rsidRDefault="00AF6C63" w:rsidP="00E128EA">
      <w:pPr>
        <w:pStyle w:val="footnote"/>
      </w:pPr>
      <w:r w:rsidRPr="00903803">
        <w:rPr>
          <w:vertAlign w:val="superscript"/>
        </w:rPr>
        <w:footnoteRef/>
      </w:r>
      <w:r w:rsidRPr="00903803">
        <w:rPr>
          <w:i/>
          <w:iCs/>
        </w:rPr>
        <w:t>See, e</w:t>
      </w:r>
      <w:r w:rsidRPr="00903803">
        <w:t>.</w:t>
      </w:r>
      <w:r w:rsidRPr="00903803">
        <w:rPr>
          <w:i/>
          <w:iCs/>
        </w:rPr>
        <w:t>g</w:t>
      </w:r>
      <w:r w:rsidRPr="00903803">
        <w:t>., Cole v. Cunningham, 133 U.S. 107, 118–19 (1890); Allied Artists Pictures Corp. v. Friedman, 137 Cal. Rptr. 94, 99 (Cal. Ct. App. 1977); District Attorney of Queens Cnty. v. McAuliffe, 493 N.Y.S.2d 406, 411–13 (N.Y. Sup. Ct. 1985).</w:t>
      </w:r>
    </w:p>
  </w:footnote>
  <w:footnote w:id="24">
    <w:p w14:paraId="7FE6BE56" w14:textId="77777777" w:rsidR="00AF6C63" w:rsidRPr="00903803" w:rsidRDefault="00AF6C63" w:rsidP="00E128EA">
      <w:pPr>
        <w:pStyle w:val="footnote"/>
      </w:pPr>
      <w:r w:rsidRPr="00903803">
        <w:rPr>
          <w:vertAlign w:val="superscript"/>
        </w:rPr>
        <w:footnoteRef/>
      </w:r>
      <w:r w:rsidRPr="00903803">
        <w:t>Restatement (Second) of Conflict of Laws §53 (1969).</w:t>
      </w:r>
    </w:p>
  </w:footnote>
  <w:footnote w:id="25">
    <w:p w14:paraId="5220E9AB" w14:textId="77777777" w:rsidR="00AF6C63" w:rsidRPr="008A028F" w:rsidRDefault="00AF6C63" w:rsidP="00E128EA">
      <w:pPr>
        <w:pStyle w:val="footnote"/>
        <w:rPr>
          <w:lang w:val="sv-SE"/>
        </w:rPr>
      </w:pPr>
      <w:r w:rsidRPr="00903803">
        <w:rPr>
          <w:vertAlign w:val="superscript"/>
        </w:rPr>
        <w:footnoteRef/>
      </w:r>
      <w:r w:rsidRPr="008A028F">
        <w:rPr>
          <w:lang w:val="sv-SE"/>
        </w:rPr>
        <w:t>610 F. Supp. 381 (N.D. Ill. 1985).</w:t>
      </w:r>
    </w:p>
  </w:footnote>
  <w:footnote w:id="26">
    <w:p w14:paraId="53B12BD9" w14:textId="77777777" w:rsidR="00AF6C63" w:rsidRPr="00903803" w:rsidRDefault="00AF6C63" w:rsidP="00E128EA">
      <w:pPr>
        <w:pStyle w:val="footnote"/>
      </w:pPr>
      <w:r w:rsidRPr="00903803">
        <w:rPr>
          <w:vertAlign w:val="superscript"/>
        </w:rPr>
        <w:footnoteRef/>
      </w:r>
      <w:r w:rsidRPr="00903803">
        <w:rPr>
          <w:i/>
          <w:iCs/>
        </w:rPr>
        <w:t>Id</w:t>
      </w:r>
      <w:r w:rsidRPr="00903803">
        <w:t xml:space="preserve">. at 383. The district court’s hesitation is made more interesting by the fact that the U.S. Court of Appeals for the Seventh Circuit, reviewing the merits of the dilution claim in the previous opinion, had already indicated support for a nationwide injunction. </w:t>
      </w:r>
      <w:r w:rsidRPr="00903803">
        <w:rPr>
          <w:i/>
          <w:iCs/>
        </w:rPr>
        <w:t>Id</w:t>
      </w:r>
      <w:r w:rsidRPr="00903803">
        <w:t xml:space="preserve">. at 382 (citing Hyatt Corp. v. Hyatt Legal Servs., 736 F.2d 1153, 1159, 222 USPQ 669 (7th Cir.), </w:t>
      </w:r>
      <w:r w:rsidRPr="00903803">
        <w:rPr>
          <w:i/>
          <w:iCs/>
        </w:rPr>
        <w:t>cert</w:t>
      </w:r>
      <w:r w:rsidRPr="00903803">
        <w:t>.</w:t>
      </w:r>
      <w:r w:rsidRPr="00903803">
        <w:rPr>
          <w:i/>
          <w:iCs/>
        </w:rPr>
        <w:t xml:space="preserve"> denied</w:t>
      </w:r>
      <w:r w:rsidRPr="00903803">
        <w:t xml:space="preserve">, 469 U.S. 1019 (1984)). Ultimately, the district court limited its refusal to a one-month period, allowing the defendant time to appeal, in an attempt to compromise between the Seventh Circuit and the district court’s own constitutional analysis. </w:t>
      </w:r>
      <w:r w:rsidRPr="00903803">
        <w:rPr>
          <w:i/>
          <w:iCs/>
        </w:rPr>
        <w:t>Id</w:t>
      </w:r>
      <w:r w:rsidRPr="00903803">
        <w:t>. at 386.</w:t>
      </w:r>
    </w:p>
  </w:footnote>
  <w:footnote w:id="27">
    <w:p w14:paraId="4EEBFECB" w14:textId="77777777" w:rsidR="00AF6C63" w:rsidRPr="00903803" w:rsidRDefault="00AF6C63" w:rsidP="00E128EA">
      <w:pPr>
        <w:pStyle w:val="footnote"/>
      </w:pPr>
      <w:r w:rsidRPr="00903803">
        <w:rPr>
          <w:vertAlign w:val="superscript"/>
        </w:rPr>
        <w:footnoteRef/>
      </w:r>
      <w:r w:rsidRPr="00903803">
        <w:rPr>
          <w:i/>
          <w:iCs/>
        </w:rPr>
        <w:t>Id</w:t>
      </w:r>
      <w:r w:rsidRPr="00903803">
        <w:t>. at 383–84.</w:t>
      </w:r>
    </w:p>
  </w:footnote>
  <w:footnote w:id="28">
    <w:p w14:paraId="4E9A9F37" w14:textId="77777777" w:rsidR="00AF6C63" w:rsidRPr="00903803" w:rsidRDefault="00AF6C63" w:rsidP="00E128EA">
      <w:pPr>
        <w:pStyle w:val="footnote"/>
      </w:pPr>
      <w:r w:rsidRPr="00903803">
        <w:rPr>
          <w:vertAlign w:val="superscript"/>
        </w:rPr>
        <w:footnoteRef/>
      </w:r>
      <w:r w:rsidRPr="00903803">
        <w:rPr>
          <w:i/>
          <w:iCs/>
        </w:rPr>
        <w:t>Id</w:t>
      </w:r>
      <w:r w:rsidRPr="00903803">
        <w:t>. at 384–85.</w:t>
      </w:r>
    </w:p>
  </w:footnote>
  <w:footnote w:id="29">
    <w:p w14:paraId="1CDAE948" w14:textId="77777777" w:rsidR="00AF6C63" w:rsidRPr="00903803" w:rsidRDefault="00AF6C63" w:rsidP="00E128EA">
      <w:pPr>
        <w:pStyle w:val="footnote"/>
      </w:pPr>
      <w:r w:rsidRPr="00903803">
        <w:rPr>
          <w:vertAlign w:val="superscript"/>
        </w:rPr>
        <w:footnoteRef/>
      </w:r>
      <w:r w:rsidRPr="00903803">
        <w:rPr>
          <w:i/>
          <w:iCs/>
        </w:rPr>
        <w:t>Id</w:t>
      </w:r>
      <w:r w:rsidRPr="00903803">
        <w:t>. at 384. The lack of any confusion requirement obviated any argument that the state was protecting its citizens from deceptive practices.</w:t>
      </w:r>
    </w:p>
  </w:footnote>
  <w:footnote w:id="30">
    <w:p w14:paraId="15344301" w14:textId="77777777" w:rsidR="00AF6C63" w:rsidRPr="00903803" w:rsidRDefault="00AF6C63" w:rsidP="00E128EA">
      <w:pPr>
        <w:pStyle w:val="footnote"/>
      </w:pPr>
      <w:r w:rsidRPr="00903803">
        <w:rPr>
          <w:vertAlign w:val="superscript"/>
        </w:rPr>
        <w:footnoteRef/>
      </w:r>
      <w:r w:rsidRPr="00903803">
        <w:rPr>
          <w:i/>
          <w:iCs/>
        </w:rPr>
        <w:t>Id</w:t>
      </w:r>
      <w:r w:rsidRPr="00903803">
        <w:t>. at 385.</w:t>
      </w:r>
    </w:p>
  </w:footnote>
  <w:footnote w:id="31">
    <w:p w14:paraId="10FB3AA8" w14:textId="77777777" w:rsidR="00AF6C63" w:rsidRPr="00903803" w:rsidRDefault="00AF6C63" w:rsidP="00E128EA">
      <w:pPr>
        <w:pStyle w:val="footnote"/>
      </w:pPr>
      <w:r w:rsidRPr="00903803">
        <w:rPr>
          <w:vertAlign w:val="superscript"/>
        </w:rPr>
        <w:footnoteRef/>
      </w:r>
      <w:r w:rsidRPr="00903803">
        <w:rPr>
          <w:i/>
          <w:iCs/>
        </w:rPr>
        <w:t>Id</w:t>
      </w:r>
      <w:r w:rsidRPr="00903803">
        <w:t xml:space="preserve">. at 386. Ironically, Illinois has since replaced its dilution law with one that limits injunctive relief to the state’s borders. 765 </w:t>
      </w:r>
      <w:r w:rsidRPr="00903803">
        <w:rPr>
          <w:smallCaps/>
        </w:rPr>
        <w:t>Ill. Comp. Stat. Ann.</w:t>
      </w:r>
      <w:r w:rsidRPr="00903803">
        <w:t xml:space="preserve"> §1036/65(a) (West 2009) (allowing “injunctive relief in this State”).</w:t>
      </w:r>
    </w:p>
  </w:footnote>
  <w:footnote w:id="32">
    <w:p w14:paraId="110608D7" w14:textId="77777777" w:rsidR="00AF6C63" w:rsidRPr="00903803" w:rsidRDefault="00AF6C63" w:rsidP="00E128EA">
      <w:pPr>
        <w:pStyle w:val="footnote"/>
      </w:pPr>
      <w:r w:rsidRPr="00903803">
        <w:rPr>
          <w:vertAlign w:val="superscript"/>
        </w:rPr>
        <w:footnoteRef/>
      </w:r>
      <w:r w:rsidRPr="00903803">
        <w:rPr>
          <w:i/>
          <w:iCs/>
        </w:rPr>
        <w:t>See generally</w:t>
      </w:r>
      <w:r w:rsidRPr="00903803">
        <w:t xml:space="preserve"> David S. Welkowitz, </w:t>
      </w:r>
      <w:r w:rsidRPr="00903803">
        <w:rPr>
          <w:i/>
          <w:iCs/>
        </w:rPr>
        <w:t>Preemption, Extraterritoriality, and the Problem of State Antidilution Laws</w:t>
      </w:r>
      <w:r w:rsidRPr="00903803">
        <w:t xml:space="preserve">, 67 </w:t>
      </w:r>
      <w:r w:rsidRPr="00903803">
        <w:rPr>
          <w:smallCaps/>
        </w:rPr>
        <w:t>Tul. L. Rev.</w:t>
      </w:r>
      <w:r w:rsidRPr="00903803">
        <w:t xml:space="preserve"> 1 (1992). This article sets forth the author’s constitutional analysis at length.</w:t>
      </w:r>
    </w:p>
  </w:footnote>
  <w:footnote w:id="33">
    <w:p w14:paraId="2F8DD05C" w14:textId="77777777" w:rsidR="00AF6C63" w:rsidRPr="00903803" w:rsidRDefault="00AF6C63" w:rsidP="00E128EA">
      <w:pPr>
        <w:pStyle w:val="footnote"/>
      </w:pPr>
      <w:r w:rsidRPr="00903803">
        <w:rPr>
          <w:vertAlign w:val="superscript"/>
        </w:rPr>
        <w:footnoteRef/>
      </w:r>
      <w:r w:rsidRPr="00903803">
        <w:rPr>
          <w:i/>
          <w:iCs/>
        </w:rPr>
        <w:t>See, e</w:t>
      </w:r>
      <w:r w:rsidRPr="00903803">
        <w:t>.</w:t>
      </w:r>
      <w:r w:rsidRPr="00903803">
        <w:rPr>
          <w:i/>
          <w:iCs/>
        </w:rPr>
        <w:t>g</w:t>
      </w:r>
      <w:r w:rsidRPr="00903803">
        <w:t xml:space="preserve">., World-Wide Volkswagen v. Woodson, 444 U.S. 286, 291–93 (1980); Hanson v. Denckla, 357 U.S. 235, 251 (1958) (“[R]estrictions [on personal jurisdiction] are more than a guarantee of immunity from inconvenient or distant litigation. They are a consequence of territorial limitations on the power of the respective States.”); </w:t>
      </w:r>
      <w:r w:rsidRPr="00903803">
        <w:rPr>
          <w:i/>
          <w:iCs/>
        </w:rPr>
        <w:t>see</w:t>
      </w:r>
      <w:r w:rsidRPr="00903803">
        <w:t xml:space="preserve"> Welkowitz, </w:t>
      </w:r>
      <w:r w:rsidRPr="00903803">
        <w:rPr>
          <w:i/>
          <w:iCs/>
        </w:rPr>
        <w:t xml:space="preserve">supra </w:t>
      </w:r>
      <w:r w:rsidRPr="00903803">
        <w:t>note 31</w:t>
      </w:r>
      <w:r w:rsidRPr="00903803">
        <w:rPr>
          <w:i/>
          <w:iCs/>
        </w:rPr>
        <w:t>,</w:t>
      </w:r>
      <w:r w:rsidRPr="00903803">
        <w:t xml:space="preserve"> at 25–30.</w:t>
      </w:r>
    </w:p>
  </w:footnote>
  <w:footnote w:id="34">
    <w:p w14:paraId="6E7F325C" w14:textId="77777777" w:rsidR="00AF6C63" w:rsidRPr="00903803" w:rsidRDefault="00AF6C63" w:rsidP="00E128EA">
      <w:pPr>
        <w:pStyle w:val="footnote"/>
      </w:pPr>
      <w:r w:rsidRPr="00903803">
        <w:rPr>
          <w:vertAlign w:val="superscript"/>
        </w:rPr>
        <w:footnoteRef/>
      </w:r>
      <w:r w:rsidRPr="00903803">
        <w:rPr>
          <w:i/>
          <w:iCs/>
        </w:rPr>
        <w:t>See</w:t>
      </w:r>
      <w:r w:rsidRPr="00903803">
        <w:t xml:space="preserve"> Goldstein v. California, 412 U.S. 546, 558–59 (1973) (suggesting that those seeking to avoid California’s ban on record piracy could go to another state without an antipiracy law).</w:t>
      </w:r>
    </w:p>
  </w:footnote>
  <w:footnote w:id="35">
    <w:p w14:paraId="20BBE491" w14:textId="77777777" w:rsidR="00AF6C63" w:rsidRPr="00903803" w:rsidRDefault="00AF6C63" w:rsidP="00E128EA">
      <w:pPr>
        <w:pStyle w:val="footnote"/>
      </w:pPr>
      <w:r w:rsidRPr="00903803">
        <w:rPr>
          <w:vertAlign w:val="superscript"/>
        </w:rPr>
        <w:footnoteRef/>
      </w:r>
      <w:r w:rsidRPr="00903803">
        <w:t>34 USPQ2d 1706 (S.D.N.Y. 1995).</w:t>
      </w:r>
    </w:p>
  </w:footnote>
  <w:footnote w:id="36">
    <w:p w14:paraId="633C4CF0" w14:textId="77777777" w:rsidR="00AF6C63" w:rsidRPr="00903803" w:rsidRDefault="00AF6C63" w:rsidP="00E128EA">
      <w:pPr>
        <w:pStyle w:val="footnote"/>
      </w:pPr>
      <w:r w:rsidRPr="00903803">
        <w:rPr>
          <w:vertAlign w:val="superscript"/>
        </w:rPr>
        <w:footnoteRef/>
      </w:r>
      <w:r w:rsidRPr="00903803">
        <w:rPr>
          <w:i/>
          <w:iCs/>
        </w:rPr>
        <w:t>Id</w:t>
      </w:r>
      <w:r w:rsidRPr="00903803">
        <w:t>. at 1710 (citing Deere &amp; Co. v. MTD Prods., 41 F.3d 39, 46, 32 USPQ2d 1936 (2d Cir. 1994)).</w:t>
      </w:r>
    </w:p>
  </w:footnote>
  <w:footnote w:id="37">
    <w:p w14:paraId="1B609138" w14:textId="77777777" w:rsidR="00AF6C63" w:rsidRPr="00903803" w:rsidRDefault="00AF6C63" w:rsidP="00E128EA">
      <w:pPr>
        <w:pStyle w:val="footnote"/>
      </w:pPr>
      <w:r w:rsidRPr="00903803">
        <w:rPr>
          <w:vertAlign w:val="superscript"/>
        </w:rPr>
        <w:footnoteRef/>
      </w:r>
      <w:r w:rsidRPr="00903803">
        <w:rPr>
          <w:i/>
          <w:iCs/>
        </w:rPr>
        <w:t>Id</w:t>
      </w:r>
      <w:r w:rsidRPr="00903803">
        <w:t xml:space="preserve">. </w:t>
      </w:r>
    </w:p>
  </w:footnote>
  <w:footnote w:id="38">
    <w:p w14:paraId="62AFD8C0" w14:textId="77777777" w:rsidR="00AF6C63" w:rsidRPr="00903803" w:rsidRDefault="00AF6C63" w:rsidP="00E128EA">
      <w:pPr>
        <w:pStyle w:val="footnote"/>
      </w:pPr>
      <w:r w:rsidRPr="00903803">
        <w:rPr>
          <w:vertAlign w:val="superscript"/>
        </w:rPr>
        <w:footnoteRef/>
      </w:r>
      <w:r w:rsidRPr="00903803">
        <w:rPr>
          <w:i/>
          <w:iCs/>
        </w:rPr>
        <w:t>Id</w:t>
      </w:r>
      <w:r w:rsidRPr="00903803">
        <w:t xml:space="preserve">. The court did note the possible existence of a common-law claim in Ohio. </w:t>
      </w:r>
      <w:r w:rsidRPr="00903803">
        <w:rPr>
          <w:i/>
          <w:iCs/>
        </w:rPr>
        <w:t>Id</w:t>
      </w:r>
      <w:r w:rsidRPr="00903803">
        <w:t xml:space="preserve">. It also noted that the dilution law in Illinois at that time did not apply to competitors. </w:t>
      </w:r>
      <w:r w:rsidRPr="00903803">
        <w:rPr>
          <w:i/>
          <w:iCs/>
        </w:rPr>
        <w:t>Id</w:t>
      </w:r>
      <w:r w:rsidRPr="00903803">
        <w:t>.</w:t>
      </w:r>
    </w:p>
  </w:footnote>
  <w:footnote w:id="39">
    <w:p w14:paraId="0F1B1B90" w14:textId="77777777" w:rsidR="00AF6C63" w:rsidRPr="00903803" w:rsidRDefault="00AF6C63" w:rsidP="00E128EA">
      <w:pPr>
        <w:pStyle w:val="footnote"/>
      </w:pPr>
      <w:r w:rsidRPr="00903803">
        <w:rPr>
          <w:vertAlign w:val="superscript"/>
        </w:rPr>
        <w:footnoteRef/>
      </w:r>
      <w:r w:rsidRPr="00903803">
        <w:rPr>
          <w:i/>
          <w:iCs/>
        </w:rPr>
        <w:t>Id</w:t>
      </w:r>
      <w:r w:rsidRPr="00903803">
        <w:t>. at 1711.</w:t>
      </w:r>
    </w:p>
  </w:footnote>
  <w:footnote w:id="40">
    <w:p w14:paraId="1DFD26AD" w14:textId="77777777" w:rsidR="00AF6C63" w:rsidRPr="00903803" w:rsidRDefault="00AF6C63" w:rsidP="00E128EA">
      <w:pPr>
        <w:pStyle w:val="footnote"/>
      </w:pPr>
      <w:r w:rsidRPr="00903803">
        <w:rPr>
          <w:vertAlign w:val="superscript"/>
        </w:rPr>
        <w:footnoteRef/>
      </w:r>
      <w:r w:rsidRPr="00903803">
        <w:rPr>
          <w:i/>
          <w:iCs/>
        </w:rPr>
        <w:t>Id</w:t>
      </w:r>
      <w:r w:rsidRPr="00903803">
        <w:t xml:space="preserve">. In </w:t>
      </w:r>
      <w:r w:rsidRPr="00903803">
        <w:rPr>
          <w:i/>
          <w:iCs/>
        </w:rPr>
        <w:t>Deere</w:t>
      </w:r>
      <w:r w:rsidRPr="00903803">
        <w:t xml:space="preserve">, the Second Circuit imposed liability for a comparative advertisement containing a humorous alteration of the plaintiff’s logo. 41 F.3d at 44–45. Dilution had not been used for such circumstances previously. Indeed, as the court noted, some states do not even apply their dilution laws to competitors. </w:t>
      </w:r>
      <w:r w:rsidRPr="00B41622">
        <w:rPr>
          <w:i/>
        </w:rPr>
        <w:t>See</w:t>
      </w:r>
      <w:r w:rsidRPr="00903803">
        <w:t xml:space="preserve"> Chapter 2, §II.A. </w:t>
      </w:r>
      <w:r w:rsidRPr="00903803">
        <w:rPr>
          <w:i/>
          <w:iCs/>
        </w:rPr>
        <w:t>Deere</w:t>
      </w:r>
      <w:r w:rsidRPr="00903803">
        <w:t xml:space="preserve"> is discussed in Chapter 4, §I.A.1.</w:t>
      </w:r>
    </w:p>
  </w:footnote>
  <w:footnote w:id="41">
    <w:p w14:paraId="13C179A4" w14:textId="77777777" w:rsidR="00AF6C63" w:rsidRPr="00903803" w:rsidRDefault="00AF6C63" w:rsidP="00E128EA">
      <w:pPr>
        <w:pStyle w:val="footnote"/>
      </w:pPr>
      <w:r w:rsidRPr="00903803">
        <w:rPr>
          <w:vertAlign w:val="superscript"/>
        </w:rPr>
        <w:footnoteRef/>
      </w:r>
      <w:r w:rsidRPr="00903803">
        <w:t>Johnson &amp; Johnson v. Actavis Grp., 2008 U.S. Dist. LEXIS 5242, at *24 n.9 (S.D.N.Y. 2008).</w:t>
      </w:r>
    </w:p>
  </w:footnote>
  <w:footnote w:id="42">
    <w:p w14:paraId="0064444D" w14:textId="77777777" w:rsidR="00AF6C63" w:rsidRPr="008A028F" w:rsidRDefault="00AF6C63" w:rsidP="00E128EA">
      <w:pPr>
        <w:pStyle w:val="footnote"/>
        <w:rPr>
          <w:lang w:val="da-DK"/>
        </w:rPr>
      </w:pPr>
      <w:r w:rsidRPr="00903803">
        <w:rPr>
          <w:vertAlign w:val="superscript"/>
        </w:rPr>
        <w:footnoteRef/>
      </w:r>
      <w:r w:rsidRPr="00903803">
        <w:t xml:space="preserve">Cottonwood Fin. Ltd. v. The Cash Store Fin. </w:t>
      </w:r>
      <w:r w:rsidRPr="008A028F">
        <w:rPr>
          <w:lang w:val="da-DK"/>
        </w:rPr>
        <w:t>Servs., Inc, 778F. Supp. 2d 726, 740–41 (N.D. Tex. 2011).</w:t>
      </w:r>
    </w:p>
  </w:footnote>
  <w:footnote w:id="43">
    <w:p w14:paraId="219CE889" w14:textId="77777777" w:rsidR="00AF6C63" w:rsidRPr="008A028F" w:rsidRDefault="00AF6C63" w:rsidP="00E128EA">
      <w:pPr>
        <w:pStyle w:val="footnote"/>
        <w:rPr>
          <w:lang w:val="da-DK"/>
        </w:rPr>
      </w:pPr>
      <w:r w:rsidRPr="00903803">
        <w:rPr>
          <w:vertAlign w:val="superscript"/>
        </w:rPr>
        <w:footnoteRef/>
      </w:r>
      <w:r w:rsidRPr="008A028F">
        <w:rPr>
          <w:i/>
          <w:iCs/>
          <w:lang w:val="da-DK"/>
        </w:rPr>
        <w:t>Id</w:t>
      </w:r>
      <w:r w:rsidRPr="008A028F">
        <w:rPr>
          <w:lang w:val="da-DK"/>
        </w:rPr>
        <w:t>. at 760.</w:t>
      </w:r>
    </w:p>
  </w:footnote>
  <w:footnote w:id="44">
    <w:p w14:paraId="1B9189D8" w14:textId="77777777" w:rsidR="00AF6C63" w:rsidRPr="008A028F" w:rsidRDefault="00AF6C63" w:rsidP="00E128EA">
      <w:pPr>
        <w:pStyle w:val="footnote"/>
        <w:rPr>
          <w:lang w:val="da-DK"/>
        </w:rPr>
      </w:pPr>
      <w:r w:rsidRPr="00903803">
        <w:rPr>
          <w:vertAlign w:val="superscript"/>
        </w:rPr>
        <w:footnoteRef/>
      </w:r>
      <w:r w:rsidRPr="008A028F">
        <w:rPr>
          <w:i/>
          <w:iCs/>
          <w:lang w:val="da-DK"/>
        </w:rPr>
        <w:t>Id</w:t>
      </w:r>
      <w:r w:rsidRPr="008A028F">
        <w:rPr>
          <w:lang w:val="da-DK"/>
        </w:rPr>
        <w:t>.</w:t>
      </w:r>
      <w:r w:rsidRPr="008A028F">
        <w:rPr>
          <w:i/>
          <w:iCs/>
          <w:lang w:val="da-DK"/>
        </w:rPr>
        <w:t xml:space="preserve"> </w:t>
      </w:r>
      <w:r w:rsidRPr="008A028F">
        <w:rPr>
          <w:lang w:val="da-DK"/>
        </w:rPr>
        <w:t>at 760–61.</w:t>
      </w:r>
    </w:p>
  </w:footnote>
  <w:footnote w:id="45">
    <w:p w14:paraId="3961DC91" w14:textId="77777777" w:rsidR="00AF6C63" w:rsidRPr="00903803" w:rsidRDefault="00AF6C63" w:rsidP="00E128EA">
      <w:pPr>
        <w:pStyle w:val="footnote"/>
      </w:pPr>
      <w:r w:rsidRPr="00903803">
        <w:rPr>
          <w:vertAlign w:val="superscript"/>
        </w:rPr>
        <w:footnoteRef/>
      </w:r>
      <w:r w:rsidRPr="008A028F">
        <w:rPr>
          <w:i/>
          <w:iCs/>
          <w:lang w:val="da-DK"/>
        </w:rPr>
        <w:t>Id</w:t>
      </w:r>
      <w:r w:rsidRPr="008A028F">
        <w:rPr>
          <w:lang w:val="da-DK"/>
        </w:rPr>
        <w:t xml:space="preserve">. at 761. </w:t>
      </w:r>
      <w:r w:rsidRPr="00903803">
        <w:t>On the effectiveness of a disclaimer, see</w:t>
      </w:r>
      <w:r w:rsidRPr="00903803">
        <w:rPr>
          <w:i/>
          <w:iCs/>
        </w:rPr>
        <w:t xml:space="preserve"> </w:t>
      </w:r>
      <w:r w:rsidRPr="00903803">
        <w:t>§III.C, below.</w:t>
      </w:r>
    </w:p>
  </w:footnote>
  <w:footnote w:id="46">
    <w:p w14:paraId="7A5769E2" w14:textId="77777777" w:rsidR="00AF6C63" w:rsidRPr="00903803" w:rsidRDefault="00AF6C63" w:rsidP="00E128EA">
      <w:pPr>
        <w:pStyle w:val="footnote"/>
      </w:pPr>
      <w:r w:rsidRPr="00903803">
        <w:rPr>
          <w:vertAlign w:val="superscript"/>
        </w:rPr>
        <w:footnoteRef/>
      </w:r>
      <w:r w:rsidRPr="00903803">
        <w:rPr>
          <w:i/>
          <w:iCs/>
        </w:rPr>
        <w:t xml:space="preserve">See </w:t>
      </w:r>
      <w:r w:rsidRPr="00903803">
        <w:t>Deere &amp; Co. v. MTD Prods., 41 F.3d 39, 46, 32 USPQ2d 1936 (2d Cir. 1994) (reviewing geographic scope of injunction under abuse of discretion standard); Blue Ribbon Feed Co. v. Farmers Union Cent. Exch., Inc., 731 F.2d 415, 422, 222 USPQ 785 (7th Cir. 1984) (upholding geographically limited injunction as within the trial court’s discretion).</w:t>
      </w:r>
    </w:p>
  </w:footnote>
  <w:footnote w:id="47">
    <w:p w14:paraId="068600AF" w14:textId="77777777" w:rsidR="00AF6C63" w:rsidRPr="00903803" w:rsidRDefault="00AF6C63" w:rsidP="00E128EA">
      <w:pPr>
        <w:pStyle w:val="footnote"/>
      </w:pPr>
      <w:r w:rsidRPr="00903803">
        <w:rPr>
          <w:vertAlign w:val="superscript"/>
        </w:rPr>
        <w:footnoteRef/>
      </w:r>
      <w:r w:rsidRPr="00903803">
        <w:rPr>
          <w:smallCaps/>
        </w:rPr>
        <w:t xml:space="preserve">2007 </w:t>
      </w:r>
      <w:r w:rsidRPr="00903803">
        <w:t>Model Bill</w:t>
      </w:r>
      <w:r w:rsidRPr="00903803">
        <w:rPr>
          <w:smallCaps/>
        </w:rPr>
        <w:t xml:space="preserve"> </w:t>
      </w:r>
      <w:r w:rsidRPr="00903803">
        <w:t>§13(a); 1996 Model Bill §13; 1992 Model Bill §13; Lanham Act §43(c)(1), 15 U.S.C. §1125(c)(1).</w:t>
      </w:r>
    </w:p>
  </w:footnote>
  <w:footnote w:id="48">
    <w:p w14:paraId="5DD4FD88" w14:textId="77777777" w:rsidR="00AF6C63" w:rsidRPr="00903803" w:rsidRDefault="00AF6C63" w:rsidP="00E128EA">
      <w:pPr>
        <w:pStyle w:val="footnote"/>
      </w:pPr>
      <w:r w:rsidRPr="00903803">
        <w:rPr>
          <w:vertAlign w:val="superscript"/>
        </w:rPr>
        <w:footnoteRef/>
      </w:r>
      <w:r w:rsidRPr="00903803">
        <w:rPr>
          <w:i/>
          <w:iCs/>
        </w:rPr>
        <w:t>See</w:t>
      </w:r>
      <w:r w:rsidRPr="00903803">
        <w:t xml:space="preserve"> Mastercard Int’l, Inc. v. Arbel Corp., 13 USPQ2d 1958, 1966 (S.D.N.Y. 1989) (neither New York nor California dilution laws provide for damages)</w:t>
      </w:r>
      <w:r>
        <w:t>;</w:t>
      </w:r>
      <w:r w:rsidRPr="007D7CC3">
        <w:t xml:space="preserve"> Johnson &amp; Johnson v. Guilin Chung Fai Biotech Co., 2018 WL 2078233, at *10 (E.D.N.Y. 2018) (New York dilution law does not permit punitive damages). A bill introduced in the New York legislature in 2015 would permit awards of damages and attorneys’ fees for state law dilution violations. Senate Bill 3793, introduced February 17, 2015 (available on Westlaw).</w:t>
      </w:r>
    </w:p>
  </w:footnote>
  <w:footnote w:id="49">
    <w:p w14:paraId="4F0F40F1" w14:textId="77777777" w:rsidR="00AF6C63" w:rsidRPr="00903803" w:rsidRDefault="00AF6C63" w:rsidP="00E128EA">
      <w:pPr>
        <w:pStyle w:val="footnote"/>
      </w:pPr>
      <w:r w:rsidRPr="00903803">
        <w:rPr>
          <w:vertAlign w:val="superscript"/>
        </w:rPr>
        <w:footnoteRef/>
      </w:r>
      <w:r w:rsidRPr="00903803">
        <w:t>Damages under the TDRA and FTDA are discussed in detail in Chapter 11, §III.</w:t>
      </w:r>
    </w:p>
  </w:footnote>
  <w:footnote w:id="50">
    <w:p w14:paraId="173B4508" w14:textId="77777777" w:rsidR="00AF6C63" w:rsidRPr="00903803" w:rsidRDefault="00AF6C63" w:rsidP="00E128EA">
      <w:pPr>
        <w:pStyle w:val="footnote"/>
      </w:pPr>
      <w:r w:rsidRPr="00903803">
        <w:rPr>
          <w:vertAlign w:val="superscript"/>
        </w:rPr>
        <w:footnoteRef/>
      </w:r>
      <w:r w:rsidRPr="00903803">
        <w:t>Lanham Act §43(c)(5), 15 U.S.C. §1125(c)(5).</w:t>
      </w:r>
    </w:p>
  </w:footnote>
  <w:footnote w:id="51">
    <w:p w14:paraId="57D3F176" w14:textId="77777777" w:rsidR="00AF6C63" w:rsidRPr="00903803" w:rsidRDefault="00AF6C63" w:rsidP="00E128EA">
      <w:pPr>
        <w:pStyle w:val="footnote"/>
      </w:pPr>
      <w:r w:rsidRPr="00903803">
        <w:rPr>
          <w:vertAlign w:val="superscript"/>
        </w:rPr>
        <w:footnoteRef/>
      </w:r>
      <w:r w:rsidRPr="00903803">
        <w:rPr>
          <w:i/>
          <w:iCs/>
        </w:rPr>
        <w:t>Id</w:t>
      </w:r>
      <w:r w:rsidRPr="00903803">
        <w:t xml:space="preserve">. </w:t>
      </w:r>
    </w:p>
  </w:footnote>
  <w:footnote w:id="52">
    <w:p w14:paraId="78E3267D" w14:textId="77777777" w:rsidR="00AF6C63" w:rsidRPr="00903803" w:rsidRDefault="00AF6C63" w:rsidP="00E128EA">
      <w:pPr>
        <w:pStyle w:val="footnote"/>
      </w:pPr>
      <w:r w:rsidRPr="00903803">
        <w:rPr>
          <w:vertAlign w:val="superscript"/>
        </w:rPr>
        <w:footnoteRef/>
      </w:r>
      <w:r w:rsidRPr="00903803">
        <w:t>The 1992 and 1996 Model Bills permit damages under this condition. For a listing of state statutes patterned after these bills, see Chapter 1, §III.A.3.</w:t>
      </w:r>
    </w:p>
  </w:footnote>
  <w:footnote w:id="53">
    <w:p w14:paraId="3D487575" w14:textId="77777777" w:rsidR="00AF6C63" w:rsidRPr="00903803" w:rsidRDefault="00AF6C63" w:rsidP="00E128EA">
      <w:pPr>
        <w:pStyle w:val="footnote"/>
      </w:pPr>
      <w:r w:rsidRPr="00903803">
        <w:rPr>
          <w:vertAlign w:val="superscript"/>
        </w:rPr>
        <w:footnoteRef/>
      </w:r>
      <w:r w:rsidRPr="00903803">
        <w:t>2007 Model Bill §13(c).</w:t>
      </w:r>
    </w:p>
  </w:footnote>
  <w:footnote w:id="54">
    <w:p w14:paraId="1FCEE0A6" w14:textId="77777777" w:rsidR="00AF6C63" w:rsidRPr="00903803" w:rsidRDefault="00AF6C63" w:rsidP="00E128EA">
      <w:pPr>
        <w:pStyle w:val="footnote"/>
      </w:pPr>
      <w:r w:rsidRPr="00903803">
        <w:rPr>
          <w:vertAlign w:val="superscript"/>
        </w:rPr>
        <w:footnoteRef/>
      </w:r>
      <w:r w:rsidRPr="00903803">
        <w:t xml:space="preserve">The exceptions are Alaska and Nevada, which have dilution statutes that do not contain this limitation. </w:t>
      </w:r>
      <w:r w:rsidRPr="00903803">
        <w:rPr>
          <w:smallCaps/>
        </w:rPr>
        <w:t>Alaska Stat.</w:t>
      </w:r>
      <w:r w:rsidRPr="00903803">
        <w:t xml:space="preserve"> §45.50.180(d) (LexisNexis 2006); </w:t>
      </w:r>
      <w:r w:rsidRPr="00903803">
        <w:rPr>
          <w:smallCaps/>
        </w:rPr>
        <w:t>Nev. Rev. Stat. Ann.</w:t>
      </w:r>
      <w:r w:rsidRPr="00903803">
        <w:t xml:space="preserve"> §600.435(3) (LexisNexis 2004).</w:t>
      </w:r>
    </w:p>
  </w:footnote>
  <w:footnote w:id="55">
    <w:p w14:paraId="5E8CFD4B" w14:textId="77777777" w:rsidR="00AF6C63" w:rsidRPr="00903803" w:rsidRDefault="00AF6C63" w:rsidP="00E128EA">
      <w:pPr>
        <w:pStyle w:val="footnote"/>
      </w:pPr>
      <w:r w:rsidRPr="00903803">
        <w:rPr>
          <w:vertAlign w:val="superscript"/>
        </w:rPr>
        <w:footnoteRef/>
      </w:r>
      <w:r w:rsidRPr="00903803">
        <w:t>See Chapter 11, §§III.A and B, for a discussion of willfulness under the TDRA.</w:t>
      </w:r>
    </w:p>
  </w:footnote>
  <w:footnote w:id="56">
    <w:p w14:paraId="61DE20E7" w14:textId="77777777" w:rsidR="00AF6C63" w:rsidRPr="00903803" w:rsidRDefault="00AF6C63" w:rsidP="00E128EA">
      <w:pPr>
        <w:pStyle w:val="footnote"/>
      </w:pPr>
      <w:r w:rsidRPr="00903803">
        <w:rPr>
          <w:vertAlign w:val="superscript"/>
        </w:rPr>
        <w:footnoteRef/>
      </w:r>
      <w:r w:rsidRPr="00903803">
        <w:t>Lanham Act §35(a), 15 U.S.C. §1117(a).</w:t>
      </w:r>
    </w:p>
  </w:footnote>
  <w:footnote w:id="57">
    <w:p w14:paraId="21A12505" w14:textId="77777777" w:rsidR="00AF6C63" w:rsidRPr="00903803" w:rsidRDefault="00AF6C63" w:rsidP="00E128EA">
      <w:pPr>
        <w:pStyle w:val="footnote"/>
      </w:pPr>
      <w:r w:rsidRPr="00903803">
        <w:rPr>
          <w:vertAlign w:val="superscript"/>
        </w:rPr>
        <w:footnoteRef/>
      </w:r>
      <w:r w:rsidRPr="00B41622">
        <w:rPr>
          <w:i/>
        </w:rPr>
        <w:t>See</w:t>
      </w:r>
      <w:r w:rsidRPr="00903803">
        <w:t xml:space="preserve"> Chapter 11, §III.</w:t>
      </w:r>
    </w:p>
  </w:footnote>
  <w:footnote w:id="58">
    <w:p w14:paraId="3E160842"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xml:space="preserve">., 765 </w:t>
      </w:r>
      <w:r w:rsidRPr="00903803">
        <w:rPr>
          <w:smallCaps/>
        </w:rPr>
        <w:t>Ill. Comp. Stat. Ann.</w:t>
      </w:r>
      <w:r w:rsidRPr="00903803">
        <w:t xml:space="preserve"> §1036/65(a) (West 2009).</w:t>
      </w:r>
    </w:p>
  </w:footnote>
  <w:footnote w:id="59">
    <w:p w14:paraId="6E47A4D7" w14:textId="77777777" w:rsidR="00AF6C63" w:rsidRPr="00903803" w:rsidRDefault="00AF6C63" w:rsidP="00E128EA">
      <w:pPr>
        <w:pStyle w:val="footnote"/>
      </w:pPr>
      <w:r w:rsidRPr="00903803">
        <w:rPr>
          <w:vertAlign w:val="superscript"/>
        </w:rPr>
        <w:footnoteRef/>
      </w:r>
      <w:r w:rsidRPr="00903803">
        <w:t xml:space="preserve">2007 Model Bill §14(a); 1996 Model Bill §14. </w:t>
      </w:r>
    </w:p>
  </w:footnote>
  <w:footnote w:id="60">
    <w:p w14:paraId="4D8BB647" w14:textId="77777777" w:rsidR="00AF6C63" w:rsidRPr="00903803" w:rsidRDefault="00AF6C63" w:rsidP="00E128EA">
      <w:pPr>
        <w:pStyle w:val="footnote"/>
      </w:pPr>
      <w:r w:rsidRPr="00903803">
        <w:rPr>
          <w:vertAlign w:val="superscript"/>
        </w:rPr>
        <w:footnoteRef/>
      </w:r>
      <w:r w:rsidRPr="00903803">
        <w:t xml:space="preserve">2007 Model Bill §14(a) (emphasis added); 1996 Model Bill §14 (emphasis added). </w:t>
      </w:r>
    </w:p>
  </w:footnote>
  <w:footnote w:id="61">
    <w:p w14:paraId="03DCAA79" w14:textId="77777777" w:rsidR="00AF6C63" w:rsidRPr="00903803" w:rsidRDefault="00AF6C63" w:rsidP="00E128EA">
      <w:pPr>
        <w:pStyle w:val="footnote"/>
      </w:pPr>
      <w:r w:rsidRPr="00903803">
        <w:rPr>
          <w:vertAlign w:val="superscript"/>
        </w:rPr>
        <w:footnoteRef/>
      </w:r>
      <w:r w:rsidRPr="00B41622">
        <w:rPr>
          <w:i/>
        </w:rPr>
        <w:t>See</w:t>
      </w:r>
      <w:r w:rsidRPr="00903803">
        <w:t xml:space="preserve"> Chapter 2, §I.G.1.</w:t>
      </w:r>
    </w:p>
  </w:footnote>
  <w:footnote w:id="62">
    <w:p w14:paraId="43848DEB" w14:textId="77777777" w:rsidR="00AF6C63" w:rsidRPr="00903803" w:rsidRDefault="00AF6C63" w:rsidP="00E128EA">
      <w:pPr>
        <w:pStyle w:val="footnote"/>
      </w:pPr>
      <w:r w:rsidRPr="00903803">
        <w:rPr>
          <w:vertAlign w:val="superscript"/>
        </w:rPr>
        <w:footnoteRef/>
      </w:r>
      <w:r w:rsidRPr="00903803">
        <w:t xml:space="preserve">Metric &amp; Multistandard Components Corp. v. Metric’s, Inc., 635 F.2d 710, 716 (8th Cir. 1980) (no punitive damages under the Lanham Act); </w:t>
      </w:r>
      <w:r w:rsidRPr="00903803">
        <w:rPr>
          <w:i/>
          <w:iCs/>
        </w:rPr>
        <w:t>see</w:t>
      </w:r>
      <w:r w:rsidRPr="00903803">
        <w:t xml:space="preserve"> Minnesota Pet Breeders, Inc. v. Schell &amp; Kampeter, Inc., 41 F.3d 1242, 1247, 33 USPQ2d 1140 (8th Cir. 1994); Jurgens v. McKasy, 927 F.2d 1552, 1563–64, 18 USPQ 1031 (Fed. Cir.), </w:t>
      </w:r>
      <w:r w:rsidRPr="00903803">
        <w:rPr>
          <w:i/>
          <w:iCs/>
        </w:rPr>
        <w:t>cert</w:t>
      </w:r>
      <w:r w:rsidRPr="00903803">
        <w:t>.</w:t>
      </w:r>
      <w:r w:rsidRPr="00903803">
        <w:rPr>
          <w:i/>
          <w:iCs/>
        </w:rPr>
        <w:t xml:space="preserve"> denied</w:t>
      </w:r>
      <w:r w:rsidRPr="00903803">
        <w:t xml:space="preserve">, 502 U.S. 902 (1991) (Eighth Circuit precedent does not permit enhancement for intentional infringement); Getty Petroleum Corp. v. Bartco Petroleum Corp., 858 F.2d 103, 112, 8 USPQ2d 1336 (2d Cir. 1988) (no punitive damages under the Lanham Act), </w:t>
      </w:r>
      <w:r w:rsidRPr="00903803">
        <w:rPr>
          <w:i/>
          <w:iCs/>
        </w:rPr>
        <w:t>cert</w:t>
      </w:r>
      <w:r w:rsidRPr="00903803">
        <w:t>.</w:t>
      </w:r>
      <w:r w:rsidRPr="00903803">
        <w:rPr>
          <w:i/>
          <w:iCs/>
        </w:rPr>
        <w:t xml:space="preserve"> denied</w:t>
      </w:r>
      <w:r w:rsidRPr="00903803">
        <w:t xml:space="preserve">, 490 U.S. 1006 (1989); </w:t>
      </w:r>
      <w:r w:rsidRPr="00903803">
        <w:rPr>
          <w:i/>
          <w:iCs/>
        </w:rPr>
        <w:t>see also</w:t>
      </w:r>
      <w:r w:rsidRPr="00903803">
        <w:t xml:space="preserve"> ALPO Petfoods v. Ralston Purina Co., 997 F.2d 949, 955, 27 USPQ2d 1455 (D.C. Cir. 1993) (permitting enhancement for market distortion, but not for inflation). </w:t>
      </w:r>
      <w:r w:rsidRPr="00903803">
        <w:rPr>
          <w:i/>
          <w:iCs/>
        </w:rPr>
        <w:t>But cf</w:t>
      </w:r>
      <w:r w:rsidRPr="00903803">
        <w:t>. Gorenstein Enters., Inc. v. Quality Care-USA, Inc., 874 F.2d 431, 436, 10 USPQ2d 1762 (7th Cir. 1989) (permitting enhancement as a deterrent to intentional infringement). For a discussion of these issues under the FTDA and TDRA, see Chapter 11, §§III.C, D.</w:t>
      </w:r>
    </w:p>
  </w:footnote>
  <w:footnote w:id="63">
    <w:p w14:paraId="4F453F6B" w14:textId="77777777" w:rsidR="00AF6C63" w:rsidRPr="00903803" w:rsidRDefault="00AF6C63" w:rsidP="00E128EA">
      <w:pPr>
        <w:pStyle w:val="footnote"/>
      </w:pPr>
      <w:r w:rsidRPr="00903803">
        <w:rPr>
          <w:vertAlign w:val="superscript"/>
        </w:rPr>
        <w:footnoteRef/>
      </w:r>
      <w:r w:rsidRPr="008A028F">
        <w:rPr>
          <w:lang w:val="it-IT"/>
        </w:rPr>
        <w:t xml:space="preserve">2007 Model Bill §14(a); </w:t>
      </w:r>
      <w:r w:rsidRPr="008A028F">
        <w:rPr>
          <w:smallCaps/>
          <w:lang w:val="it-IT"/>
        </w:rPr>
        <w:t>Ala. Code</w:t>
      </w:r>
      <w:r w:rsidRPr="008A028F">
        <w:rPr>
          <w:lang w:val="it-IT"/>
        </w:rPr>
        <w:t xml:space="preserve"> §8-12-18(b) (2010); </w:t>
      </w:r>
      <w:r w:rsidRPr="008A028F">
        <w:rPr>
          <w:smallCaps/>
          <w:lang w:val="it-IT"/>
        </w:rPr>
        <w:t>Ark. Code Ann</w:t>
      </w:r>
      <w:r w:rsidRPr="008A028F">
        <w:rPr>
          <w:lang w:val="it-IT"/>
        </w:rPr>
        <w:t xml:space="preserve">. </w:t>
      </w:r>
      <w:r w:rsidRPr="00903803">
        <w:t xml:space="preserve">§4-71-214(a)(2) (LexisNexis 2001); </w:t>
      </w:r>
      <w:r w:rsidRPr="00903803">
        <w:rPr>
          <w:smallCaps/>
        </w:rPr>
        <w:t>Fla. Stat. Ann</w:t>
      </w:r>
      <w:r w:rsidRPr="00903803">
        <w:t xml:space="preserve">. §495.141 (West 2010); </w:t>
      </w:r>
      <w:r w:rsidRPr="00903803">
        <w:rPr>
          <w:smallCaps/>
        </w:rPr>
        <w:t>Haw. Rev. Stat. Ann</w:t>
      </w:r>
      <w:r w:rsidRPr="00903803">
        <w:t xml:space="preserve">. §482-33 (LexisNexis 2005) (this section does not include the “or otherwise according to the circumstances of the case” language); </w:t>
      </w:r>
      <w:r w:rsidRPr="00903803">
        <w:rPr>
          <w:smallCaps/>
        </w:rPr>
        <w:t>Idaho Code Ann.</w:t>
      </w:r>
      <w:r w:rsidRPr="00903803">
        <w:t xml:space="preserve"> </w:t>
      </w:r>
      <w:r w:rsidRPr="008A028F">
        <w:rPr>
          <w:lang w:val="de-DE"/>
        </w:rPr>
        <w:t xml:space="preserve">§48-514 (LexisNexis 2003); 765 </w:t>
      </w:r>
      <w:r w:rsidRPr="008A028F">
        <w:rPr>
          <w:smallCaps/>
          <w:lang w:val="de-DE"/>
        </w:rPr>
        <w:t>Ill. Comp. Stat. Ann</w:t>
      </w:r>
      <w:r w:rsidRPr="008A028F">
        <w:rPr>
          <w:lang w:val="de-DE"/>
        </w:rPr>
        <w:t xml:space="preserve">. §1036/70 (West 2009); </w:t>
      </w:r>
      <w:r w:rsidRPr="008A028F">
        <w:rPr>
          <w:smallCaps/>
          <w:lang w:val="de-DE"/>
        </w:rPr>
        <w:t>Iowa Code Ann</w:t>
      </w:r>
      <w:r w:rsidRPr="008A028F">
        <w:rPr>
          <w:lang w:val="de-DE"/>
        </w:rPr>
        <w:t xml:space="preserve">. §548.114 (West 1997); </w:t>
      </w:r>
      <w:r w:rsidRPr="008A028F">
        <w:rPr>
          <w:smallCaps/>
          <w:lang w:val="de-DE"/>
        </w:rPr>
        <w:t xml:space="preserve">Kan. </w:t>
      </w:r>
      <w:r w:rsidRPr="00903803">
        <w:rPr>
          <w:smallCaps/>
        </w:rPr>
        <w:t>Stat. Ann</w:t>
      </w:r>
      <w:r w:rsidRPr="00903803">
        <w:t xml:space="preserve">. §81-215(a) (Supp. 2006); </w:t>
      </w:r>
      <w:r w:rsidRPr="00903803">
        <w:rPr>
          <w:smallCaps/>
        </w:rPr>
        <w:t>Minn. Stat. Ann</w:t>
      </w:r>
      <w:r w:rsidRPr="00903803">
        <w:t xml:space="preserve">. §333.29(1) (West 2011); </w:t>
      </w:r>
      <w:r w:rsidRPr="00903803">
        <w:rPr>
          <w:smallCaps/>
        </w:rPr>
        <w:t>Miss. Code Ann.</w:t>
      </w:r>
      <w:r w:rsidRPr="00903803">
        <w:t xml:space="preserve"> §75-25-27 (LexisNexis 2006) (this section is labeled “Remedies against counterfeits or imitations”); </w:t>
      </w:r>
      <w:r w:rsidRPr="00903803">
        <w:rPr>
          <w:smallCaps/>
        </w:rPr>
        <w:t xml:space="preserve">Mont. </w:t>
      </w:r>
      <w:r w:rsidRPr="008A028F">
        <w:rPr>
          <w:smallCaps/>
          <w:lang w:val="de-DE"/>
        </w:rPr>
        <w:t>Code Ann</w:t>
      </w:r>
      <w:r w:rsidRPr="008A028F">
        <w:rPr>
          <w:lang w:val="de-DE"/>
        </w:rPr>
        <w:t xml:space="preserve">. §30-13-335 (2007); </w:t>
      </w:r>
      <w:r w:rsidRPr="008A028F">
        <w:rPr>
          <w:smallCaps/>
          <w:lang w:val="de-DE"/>
        </w:rPr>
        <w:t>N.J. Stat. Ann.</w:t>
      </w:r>
      <w:r w:rsidRPr="008A028F">
        <w:rPr>
          <w:lang w:val="de-DE"/>
        </w:rPr>
        <w:t xml:space="preserve"> §56:4-2 (West 2001); </w:t>
      </w:r>
      <w:r w:rsidRPr="008A028F">
        <w:rPr>
          <w:smallCaps/>
          <w:lang w:val="de-DE"/>
        </w:rPr>
        <w:t>N.M. Stat. Ann</w:t>
      </w:r>
      <w:r w:rsidRPr="008A028F">
        <w:rPr>
          <w:lang w:val="de-DE"/>
        </w:rPr>
        <w:t xml:space="preserve">. §57-3B-16 (West 2003); 54 </w:t>
      </w:r>
      <w:r w:rsidRPr="008A028F">
        <w:rPr>
          <w:smallCaps/>
          <w:lang w:val="de-DE"/>
        </w:rPr>
        <w:t>Pa. Cons. Stat. Ann</w:t>
      </w:r>
      <w:r w:rsidRPr="008A028F">
        <w:rPr>
          <w:lang w:val="de-DE"/>
        </w:rPr>
        <w:t xml:space="preserve">. §1125 (West 2004); </w:t>
      </w:r>
      <w:r w:rsidRPr="008A028F">
        <w:rPr>
          <w:smallCaps/>
          <w:lang w:val="de-DE"/>
        </w:rPr>
        <w:t>S.C. Code Ann.</w:t>
      </w:r>
      <w:r w:rsidRPr="008A028F">
        <w:rPr>
          <w:lang w:val="de-DE"/>
        </w:rPr>
        <w:t xml:space="preserve"> </w:t>
      </w:r>
      <w:r w:rsidRPr="00903803">
        <w:t xml:space="preserve">§39-15-1170(a) (West Supp. 2009); </w:t>
      </w:r>
      <w:r w:rsidRPr="00903803">
        <w:rPr>
          <w:smallCaps/>
        </w:rPr>
        <w:t>Tenn. Code Ann</w:t>
      </w:r>
      <w:r w:rsidRPr="00903803">
        <w:t xml:space="preserve">. §47-25-514(a) (LexisNexis 2001); </w:t>
      </w:r>
      <w:r w:rsidRPr="00903803">
        <w:rPr>
          <w:smallCaps/>
        </w:rPr>
        <w:t xml:space="preserve">Tex. Bus. </w:t>
      </w:r>
      <w:r w:rsidRPr="00DB753C">
        <w:rPr>
          <w:smallCaps/>
          <w:lang w:val="de-DE"/>
        </w:rPr>
        <w:t>&amp; Com. Code Ann.</w:t>
      </w:r>
      <w:r w:rsidRPr="00DB753C">
        <w:rPr>
          <w:lang w:val="de-DE"/>
        </w:rPr>
        <w:t xml:space="preserve"> §16.104(c) (2011); </w:t>
      </w:r>
      <w:r w:rsidRPr="00DB753C">
        <w:rPr>
          <w:smallCaps/>
          <w:lang w:val="de-DE"/>
        </w:rPr>
        <w:t>Utah Code Ann</w:t>
      </w:r>
      <w:r w:rsidRPr="00DB753C">
        <w:rPr>
          <w:lang w:val="de-DE"/>
        </w:rPr>
        <w:t xml:space="preserve">. §70-3a-404 (West 2004); </w:t>
      </w:r>
      <w:r w:rsidRPr="00DB753C">
        <w:rPr>
          <w:smallCaps/>
          <w:lang w:val="de-DE"/>
        </w:rPr>
        <w:t xml:space="preserve">W. Va. </w:t>
      </w:r>
      <w:r w:rsidRPr="00DB753C">
        <w:rPr>
          <w:smallCaps/>
        </w:rPr>
        <w:t>Code Ann.</w:t>
      </w:r>
      <w:r w:rsidRPr="00DB753C">
        <w:t xml:space="preserve"> §47-2-214(a) (LexisNexis 2006); </w:t>
      </w:r>
      <w:r w:rsidRPr="00DB753C">
        <w:rPr>
          <w:smallCaps/>
        </w:rPr>
        <w:t xml:space="preserve">Wyo. </w:t>
      </w:r>
      <w:r w:rsidRPr="00903803">
        <w:rPr>
          <w:smallCaps/>
        </w:rPr>
        <w:t>Stat. Ann</w:t>
      </w:r>
      <w:r w:rsidRPr="00903803">
        <w:t xml:space="preserve">. §40-1-112(a) (LexisNexis 2001). The original Washington statute, which was enacted in 1989 and was patterned after the 1988 federal dilution bill, did not provide for enhanced damages. </w:t>
      </w:r>
      <w:r w:rsidRPr="00903803">
        <w:rPr>
          <w:smallCaps/>
        </w:rPr>
        <w:t>Wash. Rev. Code Ann</w:t>
      </w:r>
      <w:r w:rsidRPr="00903803">
        <w:t xml:space="preserve">. §19.77.50 (West 1999). However, effective July 27, 2003, Washington amended this section (and also its dilution statute) to conform to the 1996 Model Bill. 2003 Wash. Legis. Serv. ch. 34 (S.B. 5122) (2003) (available on Westlaw). Nevada’s trademark remedies section also does not provide for enhanced damages. </w:t>
      </w:r>
      <w:r w:rsidRPr="00903803">
        <w:rPr>
          <w:smallCaps/>
        </w:rPr>
        <w:t>Nev. Rev. Stat. Ann.</w:t>
      </w:r>
      <w:r w:rsidRPr="00903803">
        <w:t xml:space="preserve"> §600.430 (LexisNexis 2004). The Indiana statute allows enhanced damages in cases of counterfeit marks. Such damages could be awarded in a dilution case, but that would be a relatively unusual situation. </w:t>
      </w:r>
      <w:r w:rsidRPr="00903803">
        <w:rPr>
          <w:smallCaps/>
        </w:rPr>
        <w:t>Ind. Code Ann</w:t>
      </w:r>
      <w:r w:rsidRPr="00903803">
        <w:t>. §24-2-1-14(c) (LexisNexis 2006).</w:t>
      </w:r>
    </w:p>
  </w:footnote>
  <w:footnote w:id="64">
    <w:p w14:paraId="2E9EDDEA" w14:textId="77777777" w:rsidR="00AF6C63" w:rsidRPr="00903803" w:rsidRDefault="00AF6C63" w:rsidP="00E128EA">
      <w:pPr>
        <w:pStyle w:val="footnote"/>
      </w:pPr>
      <w:r w:rsidRPr="00903803">
        <w:rPr>
          <w:vertAlign w:val="superscript"/>
        </w:rPr>
        <w:footnoteRef/>
      </w:r>
      <w:r w:rsidRPr="00903803">
        <w:rPr>
          <w:smallCaps/>
        </w:rPr>
        <w:t>Ark. Code Ann</w:t>
      </w:r>
      <w:r w:rsidRPr="00903803">
        <w:t xml:space="preserve">. §4-71-214(a)(2) (LexisNexis 2001); </w:t>
      </w:r>
      <w:r w:rsidRPr="00903803">
        <w:rPr>
          <w:smallCaps/>
        </w:rPr>
        <w:t>Haw. Rev. Stat. Ann</w:t>
      </w:r>
      <w:r w:rsidRPr="00903803">
        <w:t xml:space="preserve">. §482-33 (LexisNexis 2005) (effective July 1, 2003) (this section does not include the “or otherwise according to the circumstances of the case” language); </w:t>
      </w:r>
      <w:r w:rsidRPr="00903803">
        <w:rPr>
          <w:smallCaps/>
        </w:rPr>
        <w:t>Idaho Code Ann.</w:t>
      </w:r>
      <w:r w:rsidRPr="00903803">
        <w:t xml:space="preserve"> </w:t>
      </w:r>
      <w:r w:rsidRPr="008A028F">
        <w:rPr>
          <w:lang w:val="de-DE"/>
        </w:rPr>
        <w:t xml:space="preserve">§48-514 (1997); 765 </w:t>
      </w:r>
      <w:r w:rsidRPr="008A028F">
        <w:rPr>
          <w:smallCaps/>
          <w:lang w:val="de-DE"/>
        </w:rPr>
        <w:t>Ill. Comp. Stat. Ann</w:t>
      </w:r>
      <w:r w:rsidRPr="008A028F">
        <w:rPr>
          <w:lang w:val="de-DE"/>
        </w:rPr>
        <w:t xml:space="preserve">. §1036/70 (West 2001); </w:t>
      </w:r>
      <w:r w:rsidRPr="008A028F">
        <w:rPr>
          <w:smallCaps/>
          <w:lang w:val="de-DE"/>
        </w:rPr>
        <w:t>Iowa Code Ann</w:t>
      </w:r>
      <w:r w:rsidRPr="008A028F">
        <w:rPr>
          <w:lang w:val="de-DE"/>
        </w:rPr>
        <w:t xml:space="preserve">. §548.114 (West 1997); </w:t>
      </w:r>
      <w:r w:rsidRPr="008A028F">
        <w:rPr>
          <w:smallCaps/>
          <w:lang w:val="de-DE"/>
        </w:rPr>
        <w:t>Kan. Stat. Ann</w:t>
      </w:r>
      <w:r w:rsidRPr="008A028F">
        <w:rPr>
          <w:lang w:val="de-DE"/>
        </w:rPr>
        <w:t xml:space="preserve">. §81-215(a) (Supp. 2006); </w:t>
      </w:r>
      <w:r w:rsidRPr="008A028F">
        <w:rPr>
          <w:smallCaps/>
          <w:lang w:val="de-DE"/>
        </w:rPr>
        <w:t>Minn. Stat. Ann</w:t>
      </w:r>
      <w:r w:rsidRPr="008A028F">
        <w:rPr>
          <w:lang w:val="de-DE"/>
        </w:rPr>
        <w:t xml:space="preserve">. §333.29(1) (West 2004); </w:t>
      </w:r>
      <w:r w:rsidRPr="008A028F">
        <w:rPr>
          <w:smallCaps/>
          <w:lang w:val="de-DE"/>
        </w:rPr>
        <w:t>Miss. Code Ann</w:t>
      </w:r>
      <w:r w:rsidRPr="008A028F">
        <w:rPr>
          <w:lang w:val="de-DE"/>
        </w:rPr>
        <w:t xml:space="preserve">. §75-25-27(a) (2009); </w:t>
      </w:r>
      <w:r w:rsidRPr="008A028F">
        <w:rPr>
          <w:smallCaps/>
          <w:lang w:val="de-DE"/>
        </w:rPr>
        <w:t>Mont. Code Ann</w:t>
      </w:r>
      <w:r w:rsidRPr="008A028F">
        <w:rPr>
          <w:lang w:val="de-DE"/>
        </w:rPr>
        <w:t xml:space="preserve">. §30-13-335 (2007); </w:t>
      </w:r>
      <w:r w:rsidRPr="008A028F">
        <w:rPr>
          <w:smallCaps/>
          <w:lang w:val="de-DE"/>
        </w:rPr>
        <w:t>N.J. Stat. Ann</w:t>
      </w:r>
      <w:r w:rsidRPr="008A028F">
        <w:rPr>
          <w:lang w:val="de-DE"/>
        </w:rPr>
        <w:t xml:space="preserve">. §56:4-2 (West 2001); </w:t>
      </w:r>
      <w:r w:rsidRPr="008A028F">
        <w:rPr>
          <w:smallCaps/>
          <w:lang w:val="de-DE"/>
        </w:rPr>
        <w:t>N.M. Stat. Ann</w:t>
      </w:r>
      <w:r w:rsidRPr="008A028F">
        <w:rPr>
          <w:lang w:val="de-DE"/>
        </w:rPr>
        <w:t xml:space="preserve">. §57-3B-16 (West 2003); 54 </w:t>
      </w:r>
      <w:r w:rsidRPr="008A028F">
        <w:rPr>
          <w:smallCaps/>
          <w:lang w:val="de-DE"/>
        </w:rPr>
        <w:t>Pa. Cons. Stat. Ann.</w:t>
      </w:r>
      <w:r w:rsidRPr="008A028F">
        <w:rPr>
          <w:lang w:val="de-DE"/>
        </w:rPr>
        <w:t xml:space="preserve"> §1125 (West 2004); </w:t>
      </w:r>
      <w:r w:rsidRPr="008A028F">
        <w:rPr>
          <w:smallCaps/>
          <w:lang w:val="de-DE"/>
        </w:rPr>
        <w:t>S.C. Code Ann</w:t>
      </w:r>
      <w:r w:rsidRPr="008A028F">
        <w:rPr>
          <w:lang w:val="de-DE"/>
        </w:rPr>
        <w:t xml:space="preserve">. </w:t>
      </w:r>
      <w:r w:rsidRPr="00903803">
        <w:t xml:space="preserve">§39-15-1170(a) (West Supp. 2002); </w:t>
      </w:r>
      <w:r w:rsidRPr="00903803">
        <w:rPr>
          <w:smallCaps/>
        </w:rPr>
        <w:t>Tenn. Code Ann.</w:t>
      </w:r>
      <w:r w:rsidRPr="00903803">
        <w:t xml:space="preserve"> §47-25-514(a) (LexisNexis 2001); </w:t>
      </w:r>
      <w:r w:rsidRPr="00903803">
        <w:rPr>
          <w:smallCaps/>
        </w:rPr>
        <w:t xml:space="preserve">Tex. Bus. </w:t>
      </w:r>
      <w:r w:rsidRPr="00DB753C">
        <w:rPr>
          <w:smallCaps/>
          <w:lang w:val="de-DE"/>
        </w:rPr>
        <w:t>&amp; Com. Code Ann.</w:t>
      </w:r>
      <w:r w:rsidRPr="00DB753C">
        <w:rPr>
          <w:lang w:val="de-DE"/>
        </w:rPr>
        <w:t xml:space="preserve"> §16.104(c) (2011); </w:t>
      </w:r>
      <w:r w:rsidRPr="00DB753C">
        <w:rPr>
          <w:smallCaps/>
          <w:lang w:val="de-DE"/>
        </w:rPr>
        <w:t>Utah Code Ann</w:t>
      </w:r>
      <w:r w:rsidRPr="00DB753C">
        <w:rPr>
          <w:lang w:val="de-DE"/>
        </w:rPr>
        <w:t xml:space="preserve">. §70-3a-404 (West 2004); </w:t>
      </w:r>
      <w:r w:rsidRPr="00DB753C">
        <w:rPr>
          <w:smallCaps/>
          <w:lang w:val="de-DE"/>
        </w:rPr>
        <w:t xml:space="preserve">W. Va. </w:t>
      </w:r>
      <w:r w:rsidRPr="00DB753C">
        <w:rPr>
          <w:smallCaps/>
        </w:rPr>
        <w:t>Code Ann.</w:t>
      </w:r>
      <w:r w:rsidRPr="00DB753C">
        <w:t xml:space="preserve"> §47-2-214(a) (LexisNexis 2006); </w:t>
      </w:r>
      <w:r w:rsidRPr="00DB753C">
        <w:rPr>
          <w:smallCaps/>
        </w:rPr>
        <w:t xml:space="preserve">Wyo. </w:t>
      </w:r>
      <w:r w:rsidRPr="00903803">
        <w:rPr>
          <w:smallCaps/>
        </w:rPr>
        <w:t>Stat. Ann</w:t>
      </w:r>
      <w:r w:rsidRPr="00903803">
        <w:t xml:space="preserve">. §40-1-112(a) (LexisNexis 2001). The original Washington statute, which was enacted in 1989 and was patterned after the 1988 federal dilution bill, did not provide for enhanced damages. </w:t>
      </w:r>
      <w:r w:rsidRPr="00903803">
        <w:rPr>
          <w:smallCaps/>
        </w:rPr>
        <w:t>Wash. Rev. Code Ann</w:t>
      </w:r>
      <w:r w:rsidRPr="00903803">
        <w:t xml:space="preserve">. §19.77.50 (West 1999). However, effective July 27, 2003, Washington amended this section (and also its dilution statute) to conform to the 1996 Model Bill. Nevada’s trademark remedies section also does not provide for enhanced damages. </w:t>
      </w:r>
      <w:r w:rsidRPr="00903803">
        <w:rPr>
          <w:smallCaps/>
        </w:rPr>
        <w:t>Nev. Rev. Stat. Ann</w:t>
      </w:r>
      <w:r w:rsidRPr="00903803">
        <w:t xml:space="preserve">. §600.430 (LexisNexis 2004). The current Florida statute includes the Lanham Act limitation that enhanced damages should be compensation, not a penalty. </w:t>
      </w:r>
      <w:r w:rsidRPr="00903803">
        <w:rPr>
          <w:smallCaps/>
        </w:rPr>
        <w:t>Fla. Stat. Ann.</w:t>
      </w:r>
      <w:r w:rsidRPr="00903803">
        <w:t xml:space="preserve"> §495.141 (West 2010). The 2007 Model Bill provision is similar. It allows an award of trebled damages and/or attorneys’ fees “where the court finds the other party committed such wrongful acts with knowledge or in bad faith or otherwise as according to the circumstances of the case.” 2007 Model Bill §14. The Mississippi provision, cited above, was unchanged (except for a slight renumbering) by the adoption of the 2007 Model Bill in 2009. Also in 2009, Oregon, which already had a statutory provision allowing enhanced damages, adopted the 2007 Model Bill (with some alterations in wording). </w:t>
      </w:r>
      <w:r w:rsidRPr="00903803">
        <w:rPr>
          <w:smallCaps/>
        </w:rPr>
        <w:t>Or. Rev. Stat.</w:t>
      </w:r>
      <w:r w:rsidRPr="00903803">
        <w:t xml:space="preserve"> §647.105(2) (2011). California’s dilution provision permits remedies other than an injunction, but refers to a provision that applies to remedies for use of a counterfeit mark. </w:t>
      </w:r>
      <w:r w:rsidRPr="00903803">
        <w:rPr>
          <w:smallCaps/>
        </w:rPr>
        <w:t>Cal. Bus. &amp; Prof. Code</w:t>
      </w:r>
      <w:r w:rsidRPr="00903803">
        <w:t xml:space="preserve"> §§14247, 14250 (West 2008). One provision of the remedies section specifically allows a court to treble damages. </w:t>
      </w:r>
      <w:r w:rsidRPr="00903803">
        <w:rPr>
          <w:i/>
          <w:iCs/>
        </w:rPr>
        <w:t>Id</w:t>
      </w:r>
      <w:r w:rsidRPr="00903803">
        <w:t xml:space="preserve">. §14250(a). Indeed, in cases involving counterfeits, the court “shall” award up to three times the profits or damages. While such a provision may make sense in the context of counterfeits, it may not quite square with the dilution provision. However, the dilution provision makes any other remedies “subject to the principles of equity.” </w:t>
      </w:r>
      <w:r w:rsidRPr="00903803">
        <w:rPr>
          <w:i/>
          <w:iCs/>
        </w:rPr>
        <w:t>Id</w:t>
      </w:r>
      <w:r w:rsidRPr="00903803">
        <w:t xml:space="preserve">. §14247(b). Alabama’s statute includes the “shall constitute compensation and not a penalty” language that is contained in §35(a) of the Lanham Act. </w:t>
      </w:r>
      <w:r w:rsidRPr="00903803">
        <w:rPr>
          <w:smallCaps/>
        </w:rPr>
        <w:t>Ala. Code</w:t>
      </w:r>
      <w:r w:rsidRPr="00903803">
        <w:t xml:space="preserve"> §8-12-18(b) (2010).</w:t>
      </w:r>
    </w:p>
  </w:footnote>
  <w:footnote w:id="65">
    <w:p w14:paraId="1FB41F05" w14:textId="77777777" w:rsidR="00AF6C63" w:rsidRPr="00903803" w:rsidRDefault="00AF6C63" w:rsidP="00E128EA">
      <w:pPr>
        <w:pStyle w:val="footnote"/>
      </w:pPr>
      <w:r w:rsidRPr="00903803">
        <w:rPr>
          <w:vertAlign w:val="superscript"/>
        </w:rPr>
        <w:footnoteRef/>
      </w:r>
      <w:r w:rsidRPr="00903803">
        <w:rPr>
          <w:smallCaps/>
        </w:rPr>
        <w:t>Alaska Stat.</w:t>
      </w:r>
      <w:r w:rsidRPr="00903803">
        <w:t xml:space="preserve"> §45.50.180(b) (Lexis Publ’g 2000) (emphasis added).</w:t>
      </w:r>
    </w:p>
  </w:footnote>
  <w:footnote w:id="66">
    <w:p w14:paraId="5C16C174" w14:textId="77777777" w:rsidR="00AF6C63" w:rsidRPr="00903803" w:rsidRDefault="00AF6C63" w:rsidP="00E128EA">
      <w:pPr>
        <w:pStyle w:val="footnote"/>
      </w:pPr>
      <w:r w:rsidRPr="00903803">
        <w:rPr>
          <w:vertAlign w:val="superscript"/>
        </w:rPr>
        <w:footnoteRef/>
      </w:r>
      <w:r w:rsidRPr="00903803">
        <w:t>Lanham Act §36, 15 U.S.C. §1118.</w:t>
      </w:r>
    </w:p>
  </w:footnote>
  <w:footnote w:id="67">
    <w:p w14:paraId="700879A5"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xml:space="preserve">., 2007 Model Bill §14; </w:t>
      </w:r>
      <w:r w:rsidRPr="00903803">
        <w:rPr>
          <w:smallCaps/>
        </w:rPr>
        <w:t>Conn. Gen. Stat. Ann.</w:t>
      </w:r>
      <w:r w:rsidRPr="00903803">
        <w:t xml:space="preserve"> §35-11i(b) (West 2005); </w:t>
      </w:r>
      <w:r w:rsidRPr="00903803">
        <w:rPr>
          <w:smallCaps/>
        </w:rPr>
        <w:t>Neb. Rev. Stat</w:t>
      </w:r>
      <w:r w:rsidRPr="00903803">
        <w:t>. §87-141 (LexisNexis 2007).</w:t>
      </w:r>
    </w:p>
  </w:footnote>
  <w:footnote w:id="68">
    <w:p w14:paraId="102FAE79" w14:textId="77777777" w:rsidR="00AF6C63" w:rsidRPr="00903803" w:rsidRDefault="00AF6C63" w:rsidP="00E128EA">
      <w:pPr>
        <w:pStyle w:val="footnote"/>
      </w:pPr>
      <w:r w:rsidRPr="00903803">
        <w:rPr>
          <w:vertAlign w:val="superscript"/>
        </w:rPr>
        <w:footnoteRef/>
      </w:r>
      <w:r w:rsidRPr="00903803">
        <w:t>Cottonwood Fin. Ltd. v. The Cash Store Fin. Servs., Inc, 778 F. Supp. 2d 726, 761 (N.D. Tex. 2011).</w:t>
      </w:r>
    </w:p>
  </w:footnote>
  <w:footnote w:id="69">
    <w:p w14:paraId="1045116E" w14:textId="77777777" w:rsidR="00AF6C63" w:rsidRPr="00903803" w:rsidRDefault="00AF6C63" w:rsidP="00E128EA">
      <w:pPr>
        <w:pStyle w:val="footnote"/>
      </w:pPr>
      <w:r w:rsidRPr="00903803">
        <w:rPr>
          <w:vertAlign w:val="superscript"/>
        </w:rPr>
        <w:footnoteRef/>
      </w:r>
      <w:r w:rsidRPr="00903803">
        <w:t>The availability of attorneys’ fees in dilution cases brought under the Lanham Act is discussed in Chapter 11, §IV.A.</w:t>
      </w:r>
    </w:p>
  </w:footnote>
  <w:footnote w:id="70">
    <w:p w14:paraId="44BA68A6" w14:textId="77777777" w:rsidR="00AF6C63" w:rsidRPr="00903803" w:rsidRDefault="00AF6C63" w:rsidP="00E128EA">
      <w:pPr>
        <w:pStyle w:val="footnote"/>
      </w:pPr>
      <w:r w:rsidRPr="00903803">
        <w:rPr>
          <w:vertAlign w:val="superscript"/>
        </w:rPr>
        <w:footnoteRef/>
      </w:r>
      <w:r w:rsidRPr="00903803">
        <w:rPr>
          <w:i/>
          <w:iCs/>
        </w:rPr>
        <w:t>See, e</w:t>
      </w:r>
      <w:r w:rsidRPr="00903803">
        <w:t>.</w:t>
      </w:r>
      <w:r w:rsidRPr="00903803">
        <w:rPr>
          <w:i/>
          <w:iCs/>
        </w:rPr>
        <w:t>g</w:t>
      </w:r>
      <w:r w:rsidRPr="00903803">
        <w:t>., Mattel, Inc. v. Jcom, Inc., 48 USPQ2d 1467, 1470 (S.D.N.Y. 1998) (awarding attorneys’ fees where defendant created a pornographic Web site called Barbie’s Playhouse). For further discussion of this issue under the FTDA and TDRA, see Chapter 11, §IV.</w:t>
      </w:r>
    </w:p>
  </w:footnote>
  <w:footnote w:id="71">
    <w:p w14:paraId="3E4D9148" w14:textId="77777777" w:rsidR="00AF6C63" w:rsidRPr="00DB753C" w:rsidRDefault="00AF6C63" w:rsidP="00E128EA">
      <w:pPr>
        <w:pStyle w:val="footnote"/>
        <w:rPr>
          <w:lang w:val="sv-SE"/>
        </w:rPr>
      </w:pPr>
      <w:r w:rsidRPr="00903803">
        <w:rPr>
          <w:vertAlign w:val="superscript"/>
        </w:rPr>
        <w:footnoteRef/>
      </w:r>
      <w:r w:rsidRPr="00903803">
        <w:t xml:space="preserve">The Alaska and Nevada statutes have no provision for attorneys’ fees. </w:t>
      </w:r>
      <w:r w:rsidRPr="00DB753C">
        <w:rPr>
          <w:smallCaps/>
          <w:lang w:val="sv-SE"/>
        </w:rPr>
        <w:t>Alaska Stat.</w:t>
      </w:r>
      <w:r w:rsidRPr="00DB753C">
        <w:rPr>
          <w:lang w:val="sv-SE"/>
        </w:rPr>
        <w:t xml:space="preserve"> §45.50.180 (LexisNexis 2006); </w:t>
      </w:r>
      <w:r w:rsidRPr="00DB753C">
        <w:rPr>
          <w:smallCaps/>
          <w:lang w:val="sv-SE"/>
        </w:rPr>
        <w:t>Nev. Rev. Stat. Ann.</w:t>
      </w:r>
      <w:r w:rsidRPr="00DB753C">
        <w:rPr>
          <w:lang w:val="sv-SE"/>
        </w:rPr>
        <w:t xml:space="preserve"> §600.430 (LexisNexis 2004).</w:t>
      </w:r>
    </w:p>
  </w:footnote>
  <w:footnote w:id="72">
    <w:p w14:paraId="40CB3CFD" w14:textId="77777777" w:rsidR="00AF6C63" w:rsidRPr="00DB753C" w:rsidRDefault="00AF6C63" w:rsidP="00E128EA">
      <w:pPr>
        <w:pStyle w:val="footnote"/>
        <w:rPr>
          <w:lang w:val="sv-SE"/>
        </w:rPr>
      </w:pPr>
      <w:r w:rsidRPr="00903803">
        <w:rPr>
          <w:vertAlign w:val="superscript"/>
        </w:rPr>
        <w:footnoteRef/>
      </w:r>
      <w:r w:rsidRPr="00DB753C">
        <w:rPr>
          <w:lang w:val="sv-SE"/>
        </w:rPr>
        <w:t>2007 Model Bill §14(a).</w:t>
      </w:r>
    </w:p>
  </w:footnote>
  <w:footnote w:id="73">
    <w:p w14:paraId="4FEF9AD7" w14:textId="77777777" w:rsidR="00AF6C63" w:rsidRPr="00903803" w:rsidRDefault="00AF6C63" w:rsidP="00E128EA">
      <w:pPr>
        <w:pStyle w:val="footnote"/>
      </w:pPr>
      <w:r w:rsidRPr="00903803">
        <w:rPr>
          <w:vertAlign w:val="superscript"/>
        </w:rPr>
        <w:footnoteRef/>
      </w:r>
      <w:r w:rsidRPr="00903803">
        <w:t xml:space="preserve">Indiana is the major exception: the “exceptional case” limitation is built into its dilution section. </w:t>
      </w:r>
      <w:r w:rsidRPr="00903803">
        <w:rPr>
          <w:smallCaps/>
        </w:rPr>
        <w:t>Ind. Code Ann</w:t>
      </w:r>
      <w:r w:rsidRPr="00903803">
        <w:t xml:space="preserve">. §24-2-1-13.5(d) (LexisNexis 2006). Washington state had been an exception, with a statute that required an “exceptional case.” </w:t>
      </w:r>
      <w:r w:rsidRPr="00903803">
        <w:rPr>
          <w:smallCaps/>
        </w:rPr>
        <w:t>Wash. Rev. Code Ann.</w:t>
      </w:r>
      <w:r w:rsidRPr="00903803">
        <w:t xml:space="preserve"> §19.77.50 (West 1999). However, in 2003, Washington amended its statute to conform to the 1996 Model Bill; this section of its statute no longer requires an exceptional case. </w:t>
      </w:r>
      <w:r w:rsidRPr="00903803">
        <w:rPr>
          <w:smallCaps/>
        </w:rPr>
        <w:t>Wash. Rev. Code Ann</w:t>
      </w:r>
      <w:r w:rsidRPr="00903803">
        <w:t xml:space="preserve">. §19.77.50 (West Supp. 2012). </w:t>
      </w:r>
    </w:p>
  </w:footnote>
  <w:footnote w:id="74">
    <w:p w14:paraId="3613F748" w14:textId="77777777" w:rsidR="00AF6C63" w:rsidRPr="00903803" w:rsidRDefault="00AF6C63" w:rsidP="00E128EA">
      <w:pPr>
        <w:pStyle w:val="footnote"/>
      </w:pPr>
      <w:r w:rsidRPr="00903803">
        <w:rPr>
          <w:vertAlign w:val="superscript"/>
        </w:rPr>
        <w:footnoteRef/>
      </w:r>
      <w:r w:rsidRPr="00903803">
        <w:t>The Alabama statute, otherwise patterned after the 2007 Model Bill, contains the following attorneys’ fees provision:</w:t>
      </w:r>
    </w:p>
    <w:p w14:paraId="37026271" w14:textId="77777777" w:rsidR="00AF6C63" w:rsidRPr="00903803" w:rsidRDefault="00AF6C63" w:rsidP="00E128EA">
      <w:pPr>
        <w:pStyle w:val="footnoteindent"/>
      </w:pPr>
      <w:r w:rsidRPr="00903803">
        <w:t>The court, in its discretion, may award reasonable attorney fees as follows:</w:t>
      </w:r>
    </w:p>
    <w:p w14:paraId="7187685B" w14:textId="77777777" w:rsidR="00AF6C63" w:rsidRPr="00903803" w:rsidRDefault="00AF6C63" w:rsidP="00E128EA">
      <w:pPr>
        <w:pStyle w:val="footnoteindent"/>
      </w:pPr>
      <w:r w:rsidRPr="00903803">
        <w:t>(1) To a prevailing owner in such cases when the court finds the defendant willfully intended infringement or dilution.</w:t>
      </w:r>
    </w:p>
    <w:p w14:paraId="72BB6D0E" w14:textId="77777777" w:rsidR="00AF6C63" w:rsidRPr="00903803" w:rsidRDefault="00AF6C63" w:rsidP="00E128EA">
      <w:pPr>
        <w:pStyle w:val="footnoteindent"/>
      </w:pPr>
      <w:r w:rsidRPr="00903803">
        <w:t>(2) To a prevailing defendant in such cases as the Alabama Litigation Accountability Act provides.</w:t>
      </w:r>
    </w:p>
    <w:p w14:paraId="1B53B7FC" w14:textId="77777777" w:rsidR="00AF6C63" w:rsidRPr="00903803" w:rsidRDefault="00AF6C63" w:rsidP="00C07DC0">
      <w:pPr>
        <w:pStyle w:val="footnoteflush"/>
        <w:rPr>
          <w:rFonts w:cs="Times New Roman"/>
          <w:szCs w:val="20"/>
        </w:rPr>
      </w:pPr>
      <w:r w:rsidRPr="00903803">
        <w:rPr>
          <w:rFonts w:cs="Times New Roman"/>
          <w:smallCaps/>
          <w:szCs w:val="20"/>
        </w:rPr>
        <w:t>Ala. Stat</w:t>
      </w:r>
      <w:r w:rsidRPr="00903803">
        <w:rPr>
          <w:rFonts w:cs="Times New Roman"/>
          <w:szCs w:val="20"/>
        </w:rPr>
        <w:t>. §8-12-18(c) (2010).</w:t>
      </w:r>
    </w:p>
  </w:footnote>
  <w:footnote w:id="75">
    <w:p w14:paraId="75C608CC" w14:textId="77777777" w:rsidR="00AF6C63" w:rsidRPr="00903803" w:rsidRDefault="00AF6C63" w:rsidP="00E128EA">
      <w:pPr>
        <w:pStyle w:val="footnote"/>
      </w:pPr>
      <w:r w:rsidRPr="00903803">
        <w:rPr>
          <w:vertAlign w:val="superscript"/>
        </w:rPr>
        <w:footnoteRef/>
      </w:r>
      <w:r w:rsidRPr="00903803">
        <w:t>Oregon’s statute, enacted in 2009, contains a separate provision relating to an award of attorneys’ fees to the defendant: “If the court finds that the plaintiff acted in bad faith, vexatiously, or for oppressive reasons, the court in the court’s discretion may award reasonable attorney fees to the defendant.”</w:t>
      </w:r>
      <w:r w:rsidRPr="00903803">
        <w:rPr>
          <w:b/>
          <w:bCs/>
        </w:rPr>
        <w:t xml:space="preserve"> </w:t>
      </w:r>
      <w:r w:rsidRPr="00903803">
        <w:rPr>
          <w:smallCaps/>
        </w:rPr>
        <w:t>Or. Rev. Stat</w:t>
      </w:r>
      <w:r w:rsidRPr="00903803">
        <w:t xml:space="preserve">. §647.105(2) (2011). This is, in essence, an exceptional case requirement. The Alabama statute also expressly allows attorneys’ fees for defendants in certain cases. </w:t>
      </w:r>
      <w:r w:rsidRPr="00903803">
        <w:rPr>
          <w:smallCaps/>
        </w:rPr>
        <w:t>Ala. Stat</w:t>
      </w:r>
      <w:r w:rsidRPr="00903803">
        <w:t>. §8-12-18(c)(2) (2010) (quoted in this section, above).</w:t>
      </w:r>
    </w:p>
  </w:footnote>
  <w:footnote w:id="76">
    <w:p w14:paraId="494C7A89"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Hester Indus., Inc. v. Tyson Foods, Inc., 1995 WL 113939, at *7 (S.D.N.Y. 1995) (attorneys’ fees not available under New York law).</w:t>
      </w:r>
    </w:p>
  </w:footnote>
  <w:footnote w:id="77">
    <w:p w14:paraId="1605C080" w14:textId="77777777" w:rsidR="00AF6C63" w:rsidRPr="00903803" w:rsidRDefault="00AF6C63" w:rsidP="00E128EA">
      <w:pPr>
        <w:pStyle w:val="footnote"/>
      </w:pPr>
      <w:r w:rsidRPr="00903803">
        <w:rPr>
          <w:vertAlign w:val="superscript"/>
        </w:rPr>
        <w:footnoteRef/>
      </w:r>
      <w:r w:rsidRPr="00903803">
        <w:rPr>
          <w:i/>
          <w:iCs/>
        </w:rPr>
        <w:t>E</w:t>
      </w:r>
      <w:r w:rsidRPr="00903803">
        <w:t>.</w:t>
      </w:r>
      <w:r w:rsidRPr="00903803">
        <w:rPr>
          <w:i/>
          <w:iCs/>
        </w:rPr>
        <w:t>g</w:t>
      </w:r>
      <w:r w:rsidRPr="00903803">
        <w:t>., The Humane Soc’y of Broward Cnty., Inc. v. Florida Humane Soc’y, 951 So. 2d 966 (Fla. Dist. Ct. App. 2007) (granting attorneys’ fees to defendant under the Florida Deceptive and Unfair Trade Practices 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A85"/>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A85"/>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C63"/>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0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semiHidden/>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AF6C63"/>
    <w:pPr>
      <w:widowControl w:val="0"/>
      <w:spacing w:before="0" w:after="0"/>
      <w:ind w:firstLine="360"/>
    </w:pPr>
    <w:rPr>
      <w:kern w:val="0"/>
      <w:lang w:bidi="ar-SA"/>
    </w:rPr>
  </w:style>
  <w:style w:type="paragraph" w:customStyle="1" w:styleId="footnote">
    <w:name w:val="footnote"/>
    <w:basedOn w:val="text"/>
    <w:autoRedefine/>
    <w:uiPriority w:val="99"/>
    <w:qFormat/>
    <w:rsid w:val="00AF6C63"/>
    <w:rPr>
      <w:sz w:val="20"/>
    </w:rPr>
  </w:style>
  <w:style w:type="paragraph" w:customStyle="1" w:styleId="footnoteflush">
    <w:name w:val="footnote flush"/>
    <w:basedOn w:val="Normal"/>
    <w:uiPriority w:val="99"/>
    <w:rsid w:val="00AF6C63"/>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Blockquoteflush">
    <w:name w:val="Block quote flush"/>
    <w:basedOn w:val="Normal"/>
    <w:autoRedefine/>
    <w:uiPriority w:val="99"/>
    <w:qFormat/>
    <w:rsid w:val="00AF6C63"/>
    <w:pPr>
      <w:widowControl w:val="0"/>
      <w:spacing w:after="240"/>
      <w:ind w:left="720"/>
    </w:pPr>
    <w:rPr>
      <w:kern w:val="0"/>
      <w:sz w:val="20"/>
      <w:lang w:bidi="ar-SA"/>
    </w:rPr>
  </w:style>
  <w:style w:type="paragraph" w:customStyle="1" w:styleId="footnoteparaindent">
    <w:name w:val="footnote para indent"/>
    <w:basedOn w:val="Normal"/>
    <w:autoRedefine/>
    <w:uiPriority w:val="99"/>
    <w:rsid w:val="00AF6C63"/>
    <w:pPr>
      <w:spacing w:before="0" w:after="0"/>
      <w:ind w:firstLine="360"/>
      <w:jc w:val="both"/>
    </w:pPr>
    <w:rPr>
      <w:rFonts w:cstheme="minorBidi"/>
      <w:kern w:val="0"/>
      <w:sz w:val="20"/>
      <w:szCs w:val="16"/>
      <w:lang w:bidi="ar-SA"/>
    </w:rPr>
  </w:style>
  <w:style w:type="paragraph" w:customStyle="1" w:styleId="toc10">
    <w:name w:val="toc1"/>
    <w:basedOn w:val="text"/>
    <w:autoRedefine/>
    <w:uiPriority w:val="99"/>
    <w:rsid w:val="00AF6C63"/>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AF6C63"/>
    <w:pPr>
      <w:tabs>
        <w:tab w:val="clear" w:pos="480"/>
        <w:tab w:val="clear" w:pos="600"/>
        <w:tab w:val="left" w:pos="960"/>
      </w:tabs>
      <w:ind w:left="960" w:hanging="360"/>
    </w:pPr>
  </w:style>
  <w:style w:type="paragraph" w:customStyle="1" w:styleId="toc30">
    <w:name w:val="toc3"/>
    <w:basedOn w:val="toc20"/>
    <w:autoRedefine/>
    <w:uiPriority w:val="99"/>
    <w:rsid w:val="00AF6C63"/>
    <w:pPr>
      <w:tabs>
        <w:tab w:val="clear" w:pos="960"/>
        <w:tab w:val="left" w:pos="1380"/>
        <w:tab w:val="left" w:pos="8900"/>
      </w:tabs>
      <w:ind w:left="1380" w:hanging="420"/>
    </w:pPr>
  </w:style>
  <w:style w:type="paragraph" w:customStyle="1" w:styleId="1stLevelHeadII">
    <w:name w:val="1st Level Head II."/>
    <w:basedOn w:val="Normal"/>
    <w:autoRedefine/>
    <w:uiPriority w:val="99"/>
    <w:rsid w:val="00AF6C63"/>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AF6C63"/>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footnoteindent">
    <w:name w:val="footnote indent"/>
    <w:basedOn w:val="footnote"/>
    <w:autoRedefine/>
    <w:uiPriority w:val="99"/>
    <w:rsid w:val="00AF6C63"/>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AF6C63"/>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chaptertitle">
    <w:name w:val="chapter title"/>
    <w:basedOn w:val="Normal"/>
    <w:uiPriority w:val="99"/>
    <w:rsid w:val="00AF6C63"/>
    <w:pPr>
      <w:widowControl w:val="0"/>
      <w:suppressAutoHyphens/>
      <w:autoSpaceDE w:val="0"/>
      <w:autoSpaceDN w:val="0"/>
      <w:adjustRightInd w:val="0"/>
      <w:spacing w:before="0" w:after="24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ChapterNum">
    <w:name w:val="ChapterNum"/>
    <w:basedOn w:val="toc10"/>
    <w:link w:val="ChapterNumChar"/>
    <w:rsid w:val="00AF6C63"/>
    <w:pPr>
      <w:tabs>
        <w:tab w:val="clear" w:pos="480"/>
        <w:tab w:val="clear" w:pos="6240"/>
        <w:tab w:val="clear" w:pos="6960"/>
        <w:tab w:val="left" w:pos="0"/>
        <w:tab w:val="right" w:pos="600"/>
        <w:tab w:val="left" w:pos="720"/>
        <w:tab w:val="right" w:pos="6120"/>
        <w:tab w:val="right" w:pos="6956"/>
      </w:tabs>
      <w:autoSpaceDE/>
      <w:autoSpaceDN/>
      <w:adjustRightInd/>
      <w:spacing w:line="240" w:lineRule="atLeast"/>
      <w:ind w:left="0" w:firstLine="720"/>
      <w:textAlignment w:val="auto"/>
    </w:pPr>
    <w:rPr>
      <w:rFonts w:eastAsia="Times New Roman" w:cs="Times New Roman"/>
      <w:color w:val="auto"/>
      <w:sz w:val="56"/>
      <w:szCs w:val="56"/>
    </w:rPr>
  </w:style>
  <w:style w:type="character" w:customStyle="1" w:styleId="ChapterNumChar">
    <w:name w:val="ChapterNum Char"/>
    <w:link w:val="ChapterNum"/>
    <w:rsid w:val="00AF6C63"/>
    <w:rPr>
      <w:rFonts w:eastAsia="Times New Roman"/>
      <w:kern w:val="0"/>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0C6604-E2D6-4103-B4F8-2C7EA82A6C20}"/>
      </w:docPartPr>
      <w:docPartBody>
        <w:p w:rsidR="007C05E4" w:rsidRDefault="007C05E4">
          <w:r w:rsidRPr="007E4A7E">
            <w:rPr>
              <w:rStyle w:val="PlaceholderText"/>
            </w:rPr>
            <w:t>Click or tap here to enter text.</w:t>
          </w:r>
        </w:p>
      </w:docPartBody>
    </w:docPart>
    <w:docPart>
      <w:docPartPr>
        <w:name w:val="3B8579CA897D44E8BD8273B8A2897B64"/>
        <w:category>
          <w:name w:val="General"/>
          <w:gallery w:val="placeholder"/>
        </w:category>
        <w:types>
          <w:type w:val="bbPlcHdr"/>
        </w:types>
        <w:behaviors>
          <w:behavior w:val="content"/>
        </w:behaviors>
        <w:guid w:val="{D40B03C6-CFC1-47CC-9A9D-81C6BC527E3B}"/>
      </w:docPartPr>
      <w:docPartBody>
        <w:p w:rsidR="007C05E4" w:rsidRDefault="007C05E4">
          <w:r w:rsidRPr="007E4A7E">
            <w:rPr>
              <w:rStyle w:val="PlaceholderText"/>
            </w:rPr>
            <w:t>Unit.Start</w:t>
          </w:r>
        </w:p>
      </w:docPartBody>
    </w:docPart>
    <w:docPart>
      <w:docPartPr>
        <w:name w:val="003DA370477947EB9C9D8AB62E2DFEFE"/>
        <w:category>
          <w:name w:val="General"/>
          <w:gallery w:val="placeholder"/>
        </w:category>
        <w:types>
          <w:type w:val="bbPlcHdr"/>
        </w:types>
        <w:behaviors>
          <w:behavior w:val="content"/>
        </w:behaviors>
        <w:guid w:val="{468BD6E5-1A5E-4F74-AFAF-41AB96191253}"/>
      </w:docPartPr>
      <w:docPartBody>
        <w:p w:rsidR="007C05E4" w:rsidRDefault="007C05E4">
          <w:r w:rsidRPr="007E4A7E">
            <w:rPr>
              <w:rStyle w:val="PlaceholderText"/>
            </w:rPr>
            <w:t>Document</w:t>
          </w:r>
        </w:p>
      </w:docPartBody>
    </w:docPart>
    <w:docPart>
      <w:docPartPr>
        <w:name w:val="D763A12F54274CF593ED61AC6C1E9B0D"/>
        <w:category>
          <w:name w:val="General"/>
          <w:gallery w:val="placeholder"/>
        </w:category>
        <w:types>
          <w:type w:val="bbPlcHdr"/>
        </w:types>
        <w:behaviors>
          <w:behavior w:val="content"/>
        </w:behaviors>
        <w:guid w:val="{34CDC762-DFE9-44B9-BF20-186246A5955D}"/>
      </w:docPartPr>
      <w:docPartBody>
        <w:p w:rsidR="007C05E4" w:rsidRDefault="007C05E4">
          <w:r w:rsidRPr="007E4A7E">
            <w:rPr>
              <w:rStyle w:val="PlaceholderText"/>
            </w:rPr>
            <w:t>enter text</w:t>
          </w:r>
        </w:p>
      </w:docPartBody>
    </w:docPart>
    <w:docPart>
      <w:docPartPr>
        <w:name w:val="10AB5438C3484F558983FCF01102A04C"/>
        <w:category>
          <w:name w:val="General"/>
          <w:gallery w:val="placeholder"/>
        </w:category>
        <w:types>
          <w:type w:val="bbPlcHdr"/>
        </w:types>
        <w:behaviors>
          <w:behavior w:val="content"/>
        </w:behaviors>
        <w:guid w:val="{64F2C34C-FFCF-45B4-81FB-22B280F33D4A}"/>
      </w:docPartPr>
      <w:docPartBody>
        <w:p w:rsidR="007C05E4" w:rsidRDefault="007C05E4">
          <w:r w:rsidRPr="007E4A7E">
            <w:rPr>
              <w:rStyle w:val="PlaceholderText"/>
            </w:rPr>
            <w:t>enter text</w:t>
          </w:r>
        </w:p>
      </w:docPartBody>
    </w:docPart>
    <w:docPart>
      <w:docPartPr>
        <w:name w:val="EAE1460F78F4451AA786FD3A00CF436C"/>
        <w:category>
          <w:name w:val="General"/>
          <w:gallery w:val="placeholder"/>
        </w:category>
        <w:types>
          <w:type w:val="bbPlcHdr"/>
        </w:types>
        <w:behaviors>
          <w:behavior w:val="content"/>
        </w:behaviors>
        <w:guid w:val="{E4266AF6-5F8B-4F14-84C3-3B8531BE4D1F}"/>
      </w:docPartPr>
      <w:docPartBody>
        <w:p w:rsidR="007C05E4" w:rsidRDefault="007C05E4">
          <w:r w:rsidRPr="007E4A7E">
            <w:rPr>
              <w:rStyle w:val="PlaceholderText"/>
            </w:rPr>
            <w:t>enter REQUIRED text</w:t>
          </w:r>
        </w:p>
      </w:docPartBody>
    </w:docPart>
    <w:docPart>
      <w:docPartPr>
        <w:name w:val="896572641D0D4B0BAE33E3B867418D5E"/>
        <w:category>
          <w:name w:val="General"/>
          <w:gallery w:val="placeholder"/>
        </w:category>
        <w:types>
          <w:type w:val="bbPlcHdr"/>
        </w:types>
        <w:behaviors>
          <w:behavior w:val="content"/>
        </w:behaviors>
        <w:guid w:val="{8DB1CEA9-EA4F-48F3-B034-F5DA192D6284}"/>
      </w:docPartPr>
      <w:docPartBody>
        <w:p w:rsidR="007C05E4" w:rsidRDefault="007C05E4">
          <w:r w:rsidRPr="007E4A7E">
            <w:rPr>
              <w:rStyle w:val="PlaceholderText"/>
            </w:rPr>
            <w:t>enter REQUIRED text</w:t>
          </w:r>
        </w:p>
      </w:docPartBody>
    </w:docPart>
    <w:docPart>
      <w:docPartPr>
        <w:name w:val="7B95C07F63CE45B7BBEA1A593CCC1F1E"/>
        <w:category>
          <w:name w:val="General"/>
          <w:gallery w:val="placeholder"/>
        </w:category>
        <w:types>
          <w:type w:val="bbPlcHdr"/>
        </w:types>
        <w:behaviors>
          <w:behavior w:val="content"/>
        </w:behaviors>
        <w:guid w:val="{F9671C29-C3A4-4134-9D92-D4C2C560E205}"/>
      </w:docPartPr>
      <w:docPartBody>
        <w:p w:rsidR="007C05E4" w:rsidRDefault="007C05E4">
          <w:r w:rsidRPr="007E4A7E">
            <w:rPr>
              <w:rStyle w:val="PlaceholderText"/>
            </w:rPr>
            <w:t>enter text</w:t>
          </w:r>
        </w:p>
      </w:docPartBody>
    </w:docPart>
    <w:docPart>
      <w:docPartPr>
        <w:name w:val="BD923CEF0F9343F8A81549FB45418745"/>
        <w:category>
          <w:name w:val="General"/>
          <w:gallery w:val="placeholder"/>
        </w:category>
        <w:types>
          <w:type w:val="bbPlcHdr"/>
        </w:types>
        <w:behaviors>
          <w:behavior w:val="content"/>
        </w:behaviors>
        <w:guid w:val="{3B030084-A1B4-4EAD-AE41-A62526E0BAD7}"/>
      </w:docPartPr>
      <w:docPartBody>
        <w:p w:rsidR="007C05E4" w:rsidRDefault="007C05E4">
          <w:r w:rsidRPr="007E4A7E">
            <w:rPr>
              <w:rStyle w:val="PlaceholderText"/>
            </w:rPr>
            <w:t>enter text</w:t>
          </w:r>
        </w:p>
      </w:docPartBody>
    </w:docPart>
    <w:docPart>
      <w:docPartPr>
        <w:name w:val="2EDEC40868EF429186907B96F272BA21"/>
        <w:category>
          <w:name w:val="General"/>
          <w:gallery w:val="placeholder"/>
        </w:category>
        <w:types>
          <w:type w:val="bbPlcHdr"/>
        </w:types>
        <w:behaviors>
          <w:behavior w:val="content"/>
        </w:behaviors>
        <w:guid w:val="{24015066-29F0-4352-8844-37C4884CB1C7}"/>
      </w:docPartPr>
      <w:docPartBody>
        <w:p w:rsidR="007C05E4" w:rsidRDefault="007C05E4">
          <w:r w:rsidRPr="007E4A7E">
            <w:rPr>
              <w:rStyle w:val="PlaceholderText"/>
            </w:rPr>
            <w:t>enter text</w:t>
          </w:r>
        </w:p>
      </w:docPartBody>
    </w:docPart>
    <w:docPart>
      <w:docPartPr>
        <w:name w:val="59FD74E3BC0645AF9D9CC4DB88A2783C"/>
        <w:category>
          <w:name w:val="General"/>
          <w:gallery w:val="placeholder"/>
        </w:category>
        <w:types>
          <w:type w:val="bbPlcHdr"/>
        </w:types>
        <w:behaviors>
          <w:behavior w:val="content"/>
        </w:behaviors>
        <w:guid w:val="{B191B97C-E6D6-45E2-A0BC-B7DFAE50C275}"/>
      </w:docPartPr>
      <w:docPartBody>
        <w:p w:rsidR="007C05E4" w:rsidRDefault="007C05E4">
          <w:r w:rsidRPr="007E4A7E">
            <w:rPr>
              <w:rStyle w:val="PlaceholderText"/>
            </w:rPr>
            <w:t>enter text</w:t>
          </w:r>
        </w:p>
      </w:docPartBody>
    </w:docPart>
    <w:docPart>
      <w:docPartPr>
        <w:name w:val="B92A4910F26841D687BBE5E1E3A0C31E"/>
        <w:category>
          <w:name w:val="General"/>
          <w:gallery w:val="placeholder"/>
        </w:category>
        <w:types>
          <w:type w:val="bbPlcHdr"/>
        </w:types>
        <w:behaviors>
          <w:behavior w:val="content"/>
        </w:behaviors>
        <w:guid w:val="{BEE30ABF-DD57-44C5-875B-AF44470B7849}"/>
      </w:docPartPr>
      <w:docPartBody>
        <w:p w:rsidR="007C05E4" w:rsidRDefault="007C05E4">
          <w:r w:rsidRPr="007E4A7E">
            <w:rPr>
              <w:rStyle w:val="PlaceholderText"/>
            </w:rPr>
            <w:t>enter text</w:t>
          </w:r>
        </w:p>
      </w:docPartBody>
    </w:docPart>
    <w:docPart>
      <w:docPartPr>
        <w:name w:val="BB44BD83BC2C4FE6B1B5F09DC46E1E10"/>
        <w:category>
          <w:name w:val="General"/>
          <w:gallery w:val="placeholder"/>
        </w:category>
        <w:types>
          <w:type w:val="bbPlcHdr"/>
        </w:types>
        <w:behaviors>
          <w:behavior w:val="content"/>
        </w:behaviors>
        <w:guid w:val="{F425D953-36C0-48FA-A194-CAB449F61583}"/>
      </w:docPartPr>
      <w:docPartBody>
        <w:p w:rsidR="007C05E4" w:rsidRDefault="007C05E4">
          <w:r w:rsidRPr="007E4A7E">
            <w:rPr>
              <w:rStyle w:val="PlaceholderText"/>
            </w:rPr>
            <w:t>enter text</w:t>
          </w:r>
        </w:p>
      </w:docPartBody>
    </w:docPart>
    <w:docPart>
      <w:docPartPr>
        <w:name w:val="35898A7A82464034A0F302BE9F989609"/>
        <w:category>
          <w:name w:val="General"/>
          <w:gallery w:val="placeholder"/>
        </w:category>
        <w:types>
          <w:type w:val="bbPlcHdr"/>
        </w:types>
        <w:behaviors>
          <w:behavior w:val="content"/>
        </w:behaviors>
        <w:guid w:val="{D7EB446C-AC5C-4B16-A06B-F7247857F43A}"/>
      </w:docPartPr>
      <w:docPartBody>
        <w:p w:rsidR="007C05E4" w:rsidRDefault="007C05E4">
          <w:r w:rsidRPr="007E4A7E">
            <w:rPr>
              <w:rStyle w:val="PlaceholderText"/>
            </w:rPr>
            <w:t>enter text</w:t>
          </w:r>
        </w:p>
      </w:docPartBody>
    </w:docPart>
    <w:docPart>
      <w:docPartPr>
        <w:name w:val="29E41AF7D3334346863A4AAC5DA9B67B"/>
        <w:category>
          <w:name w:val="General"/>
          <w:gallery w:val="placeholder"/>
        </w:category>
        <w:types>
          <w:type w:val="bbPlcHdr"/>
        </w:types>
        <w:behaviors>
          <w:behavior w:val="content"/>
        </w:behaviors>
        <w:guid w:val="{BE8D24E2-222B-4470-97F4-E67D36CB387A}"/>
      </w:docPartPr>
      <w:docPartBody>
        <w:p w:rsidR="007C05E4" w:rsidRDefault="007C05E4">
          <w:r w:rsidRPr="007E4A7E">
            <w:rPr>
              <w:rStyle w:val="PlaceholderText"/>
            </w:rPr>
            <w:t>enter text</w:t>
          </w:r>
        </w:p>
      </w:docPartBody>
    </w:docPart>
    <w:docPart>
      <w:docPartPr>
        <w:name w:val="6950B10D75B34D1BA0163B334A35458E"/>
        <w:category>
          <w:name w:val="General"/>
          <w:gallery w:val="placeholder"/>
        </w:category>
        <w:types>
          <w:type w:val="bbPlcHdr"/>
        </w:types>
        <w:behaviors>
          <w:behavior w:val="content"/>
        </w:behaviors>
        <w:guid w:val="{D2355518-38E1-43C4-A362-461C892840F2}"/>
      </w:docPartPr>
      <w:docPartBody>
        <w:p w:rsidR="007C05E4" w:rsidRDefault="007C05E4">
          <w:r w:rsidRPr="007E4A7E">
            <w:rPr>
              <w:rStyle w:val="PlaceholderText"/>
            </w:rPr>
            <w:t>choose an item (REQUIRED)</w:t>
          </w:r>
        </w:p>
      </w:docPartBody>
    </w:docPart>
    <w:docPart>
      <w:docPartPr>
        <w:name w:val="3A0E0BB7EDB14B20B886D0D9F6244990"/>
        <w:category>
          <w:name w:val="General"/>
          <w:gallery w:val="placeholder"/>
        </w:category>
        <w:types>
          <w:type w:val="bbPlcHdr"/>
        </w:types>
        <w:behaviors>
          <w:behavior w:val="content"/>
        </w:behaviors>
        <w:guid w:val="{F802F287-DD61-4E6F-9F43-F46F0904E166}"/>
      </w:docPartPr>
      <w:docPartBody>
        <w:p w:rsidR="007C05E4" w:rsidRDefault="007C05E4">
          <w:r w:rsidRPr="007E4A7E">
            <w:rPr>
              <w:rStyle w:val="PlaceholderText"/>
            </w:rPr>
            <w:t>enter text</w:t>
          </w:r>
        </w:p>
      </w:docPartBody>
    </w:docPart>
    <w:docPart>
      <w:docPartPr>
        <w:name w:val="42D1871E414245D0B526884852A2AD5C"/>
        <w:category>
          <w:name w:val="General"/>
          <w:gallery w:val="placeholder"/>
        </w:category>
        <w:types>
          <w:type w:val="bbPlcHdr"/>
        </w:types>
        <w:behaviors>
          <w:behavior w:val="content"/>
        </w:behaviors>
        <w:guid w:val="{C0389576-E086-4F3F-B1E6-1A77264BEBC5}"/>
      </w:docPartPr>
      <w:docPartBody>
        <w:p w:rsidR="007C05E4" w:rsidRDefault="007C05E4">
          <w:r w:rsidRPr="007E4A7E">
            <w:rPr>
              <w:rStyle w:val="PlaceholderText"/>
            </w:rPr>
            <w:t>enter text</w:t>
          </w:r>
        </w:p>
      </w:docPartBody>
    </w:docPart>
    <w:docPart>
      <w:docPartPr>
        <w:name w:val="9FAC363D8D0B4541B353619A8A28B61E"/>
        <w:category>
          <w:name w:val="General"/>
          <w:gallery w:val="placeholder"/>
        </w:category>
        <w:types>
          <w:type w:val="bbPlcHdr"/>
        </w:types>
        <w:behaviors>
          <w:behavior w:val="content"/>
        </w:behaviors>
        <w:guid w:val="{50C886D4-51BE-4066-A996-5315BCB19AB7}"/>
      </w:docPartPr>
      <w:docPartBody>
        <w:p w:rsidR="007C05E4" w:rsidRDefault="007C05E4">
          <w:r w:rsidRPr="007E4A7E">
            <w:rPr>
              <w:rStyle w:val="PlaceholderText"/>
            </w:rPr>
            <w:t>enter REQUIRED text</w:t>
          </w:r>
        </w:p>
      </w:docPartBody>
    </w:docPart>
    <w:docPart>
      <w:docPartPr>
        <w:name w:val="74B39DF5A27941B59AEBCAB0EC30A4C5"/>
        <w:category>
          <w:name w:val="General"/>
          <w:gallery w:val="placeholder"/>
        </w:category>
        <w:types>
          <w:type w:val="bbPlcHdr"/>
        </w:types>
        <w:behaviors>
          <w:behavior w:val="content"/>
        </w:behaviors>
        <w:guid w:val="{C68BFC68-7F69-4C46-8535-58A947774F45}"/>
      </w:docPartPr>
      <w:docPartBody>
        <w:p w:rsidR="007C05E4" w:rsidRDefault="007C05E4">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5E4"/>
    <w:rsid w:val="007C05E4"/>
    <w:rsid w:val="00C2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05E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5" unit.name="Chapter 5. State Law Remedies for Dilution" folio="201" class.code="A" class.name="Book Body" bna.id.prefix="5" pdm.name="Chap05" part.num="1" part.name="Part I. General Principles And State Law Applications"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3269</Words>
  <Characters>18637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2025-09-25T20:43:00Z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