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B023B" w:rsidRDefault="009B023B" w:rsidP="009B023B">
      <w:pPr>
        <w:pStyle w:val="BDocStart"/>
      </w:pPr>
      <w:sdt>
        <w:sdtPr>
          <w:tag w:val="unit.start.head"/>
          <w:id w:val="-1162239511"/>
          <w:lock w:val="sdtLocked"/>
          <w:placeholder>
            <w:docPart w:val="BA1FE6FF77684D0DAD2FED4BCE522DA4"/>
          </w:placeholder>
          <w15:appearance w15:val="hidden"/>
        </w:sdtPr>
        <w:sdtContent>
          <w:r>
            <w:t>Unit.Start</w:t>
          </w:r>
        </w:sdtContent>
      </w:sdt>
    </w:p>
    <w:sdt>
      <w:sdtPr>
        <w:rPr>
          <w:rStyle w:val="BContentControl"/>
        </w:rPr>
        <w:alias w:val="unit.start"/>
        <w:tag w:val="Unit1"/>
        <w:id w:val="543946077"/>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rsidR="009B023B" w:rsidRDefault="009B023B" w:rsidP="009B023B">
          <w:pPr>
            <w:pStyle w:val="BNormal"/>
          </w:pPr>
          <w:sdt>
            <w:sdtPr>
              <w:rPr>
                <w:rStyle w:val="BContentControl"/>
              </w:rPr>
              <w:alias w:val="acct.code"/>
              <w:tag w:val="acct.code"/>
              <w:id w:val="2012405272"/>
              <w:lock w:val="sdtLocked"/>
              <w:placeholder>
                <w:docPart w:val="B518A08B5B584A6F9A0A2AD599974488"/>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1616256425"/>
              <w:lock w:val="sdtLocked"/>
              <w:placeholder>
                <w:docPart w:val="C889EB2AA0AE4ADDBB616355FE3E63F9"/>
              </w:placeholder>
              <w:dataBinding w:prefixMappings="xmlns:ns0='http://www.bna.com/gateway/unit.start' " w:xpath="/ns0:document[1]/ns0:unit.start[1]/@bna.id.prefix" w:storeItemID="{B04FCA99-13B0-422B-ADC9-9491644FA79D}"/>
              <w15:appearance w15:val="tags"/>
              <w:text/>
            </w:sdtPr>
            <w:sdtContent>
              <w:r>
                <w:rPr>
                  <w:rStyle w:val="BContentControl"/>
                </w:rPr>
                <w:t>3</w:t>
              </w:r>
            </w:sdtContent>
          </w:sdt>
          <w:r w:rsidRPr="009B023B">
            <w:rPr>
              <w:rStyle w:val="BContentControl"/>
            </w:rPr>
            <w:t xml:space="preserve"> </w:t>
          </w:r>
          <w:sdt>
            <w:sdtPr>
              <w:rPr>
                <w:rStyle w:val="BContentControl"/>
              </w:rPr>
              <w:alias w:val="class.code*"/>
              <w:tag w:val="class.code"/>
              <w:id w:val="-724066381"/>
              <w:lock w:val="sdtLocked"/>
              <w:placeholder>
                <w:docPart w:val="F4AFD82C82674EEAB87F69B9E2C8E286"/>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9B023B">
            <w:rPr>
              <w:rStyle w:val="BContentControl"/>
            </w:rPr>
            <w:t xml:space="preserve"> </w:t>
          </w:r>
          <w:sdt>
            <w:sdtPr>
              <w:rPr>
                <w:rStyle w:val="BContentControl"/>
              </w:rPr>
              <w:alias w:val="class.name*"/>
              <w:tag w:val="class.name"/>
              <w:id w:val="-363217520"/>
              <w:lock w:val="sdtLocked"/>
              <w:placeholder>
                <w:docPart w:val="5CF0E41946604F38AE59EFFFE923EC9B"/>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9B023B">
            <w:rPr>
              <w:rStyle w:val="BContentControl"/>
            </w:rPr>
            <w:t xml:space="preserve"> </w:t>
          </w:r>
          <w:sdt>
            <w:sdtPr>
              <w:rPr>
                <w:rStyle w:val="BContentControl"/>
              </w:rPr>
              <w:alias w:val="copyright.owner"/>
              <w:tag w:val="copyright.owner"/>
              <w:id w:val="-504672263"/>
              <w:lock w:val="sdtLocked"/>
              <w:placeholder>
                <w:docPart w:val="D30F4B599B9542AFA011C26A495E46B4"/>
              </w:placeholder>
              <w:dataBinding w:prefixMappings="xmlns:ns0='http://www.bna.com/gateway/unit.start' " w:xpath="/ns0:document[1]/ns0:unit.start[1]/@copyright.owner" w:storeItemID="{B04FCA99-13B0-422B-ADC9-9491644FA79D}"/>
              <w15:appearance w15:val="tags"/>
              <w:text/>
            </w:sdtPr>
            <w:sdtContent>
              <w:r w:rsidRPr="009B023B">
                <w:rPr>
                  <w:rStyle w:val="BContentControl"/>
                </w:rPr>
                <w:t>enter text</w:t>
              </w:r>
            </w:sdtContent>
          </w:sdt>
          <w:r w:rsidRPr="009B023B">
            <w:rPr>
              <w:rStyle w:val="BContentControl"/>
            </w:rPr>
            <w:t xml:space="preserve"> </w:t>
          </w:r>
          <w:sdt>
            <w:sdtPr>
              <w:rPr>
                <w:rStyle w:val="BContentControl"/>
              </w:rPr>
              <w:alias w:val="date"/>
              <w:tag w:val="date"/>
              <w:id w:val="-730157644"/>
              <w:lock w:val="sdtLocked"/>
              <w:placeholder>
                <w:docPart w:val="BF8BAE7562FC4231B378F50351F19E71"/>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9B023B">
            <w:rPr>
              <w:rStyle w:val="BContentControl"/>
            </w:rPr>
            <w:t xml:space="preserve"> </w:t>
          </w:r>
          <w:sdt>
            <w:sdtPr>
              <w:rPr>
                <w:rStyle w:val="BContentControl"/>
              </w:rPr>
              <w:alias w:val="folio"/>
              <w:tag w:val="folio"/>
              <w:id w:val="-1382394270"/>
              <w:lock w:val="sdtLocked"/>
              <w:placeholder>
                <w:docPart w:val="BD0A4D853FA641E0996E48ECC806B47A"/>
              </w:placeholder>
              <w:dataBinding w:prefixMappings="xmlns:ns0='http://www.bna.com/gateway/unit.start' " w:xpath="/ns0:document[1]/ns0:unit.start[1]/@folio" w:storeItemID="{B04FCA99-13B0-422B-ADC9-9491644FA79D}"/>
              <w15:appearance w15:val="tags"/>
              <w:text/>
            </w:sdtPr>
            <w:sdtContent>
              <w:r>
                <w:rPr>
                  <w:rStyle w:val="BContentControl"/>
                </w:rPr>
                <w:t>79</w:t>
              </w:r>
            </w:sdtContent>
          </w:sdt>
          <w:r w:rsidRPr="009B023B">
            <w:rPr>
              <w:rStyle w:val="BContentControl"/>
            </w:rPr>
            <w:t xml:space="preserve"> </w:t>
          </w:r>
          <w:sdt>
            <w:sdtPr>
              <w:rPr>
                <w:rStyle w:val="BContentControl"/>
              </w:rPr>
              <w:alias w:val="part.name"/>
              <w:tag w:val="part.name"/>
              <w:id w:val="-886098017"/>
              <w:lock w:val="sdtLocked"/>
              <w:placeholder>
                <w:docPart w:val="C65CC8074F504FDBB8EE4C9A3BF44189"/>
              </w:placeholder>
              <w:dataBinding w:prefixMappings="xmlns:ns0='http://www.bna.com/gateway/unit.start' " w:xpath="/ns0:document[1]/ns0:unit.start[1]/@part.name" w:storeItemID="{B04FCA99-13B0-422B-ADC9-9491644FA79D}"/>
              <w15:appearance w15:val="tags"/>
              <w:text/>
            </w:sdtPr>
            <w:sdtContent>
              <w:r>
                <w:rPr>
                  <w:rStyle w:val="BContentControl"/>
                </w:rPr>
                <w:t>Part I. General Principles And State Law Applications</w:t>
              </w:r>
            </w:sdtContent>
          </w:sdt>
          <w:r w:rsidRPr="009B023B">
            <w:rPr>
              <w:rStyle w:val="BContentControl"/>
            </w:rPr>
            <w:t xml:space="preserve"> </w:t>
          </w:r>
          <w:sdt>
            <w:sdtPr>
              <w:rPr>
                <w:rStyle w:val="BContentControl"/>
              </w:rPr>
              <w:alias w:val="part.num"/>
              <w:tag w:val="part.num"/>
              <w:id w:val="2046399845"/>
              <w:lock w:val="sdtLocked"/>
              <w:placeholder>
                <w:docPart w:val="615917E2B1A44176AB2864694AB31232"/>
              </w:placeholder>
              <w:dataBinding w:prefixMappings="xmlns:ns0='http://www.bna.com/gateway/unit.start' " w:xpath="/ns0:document[1]/ns0:unit.start[1]/@part.num" w:storeItemID="{B04FCA99-13B0-422B-ADC9-9491644FA79D}"/>
              <w15:appearance w15:val="tags"/>
              <w:text/>
            </w:sdtPr>
            <w:sdtContent>
              <w:r>
                <w:rPr>
                  <w:rStyle w:val="BContentControl"/>
                </w:rPr>
                <w:t>1</w:t>
              </w:r>
            </w:sdtContent>
          </w:sdt>
          <w:r w:rsidRPr="009B023B">
            <w:rPr>
              <w:rStyle w:val="BContentControl"/>
            </w:rPr>
            <w:t xml:space="preserve"> </w:t>
          </w:r>
          <w:sdt>
            <w:sdtPr>
              <w:rPr>
                <w:rStyle w:val="BContentControl"/>
              </w:rPr>
              <w:alias w:val="subpart.name"/>
              <w:tag w:val="subpart.name"/>
              <w:id w:val="-1131853800"/>
              <w:lock w:val="sdtLocked"/>
              <w:placeholder>
                <w:docPart w:val="5AF25E48A72840228235BF16F7971DF6"/>
              </w:placeholder>
              <w:dataBinding w:prefixMappings="xmlns:ns0='http://www.bna.com/gateway/unit.start' " w:xpath="/ns0:document[1]/ns0:unit.start[1]/@subpart.name" w:storeItemID="{B04FCA99-13B0-422B-ADC9-9491644FA79D}"/>
              <w15:appearance w15:val="tags"/>
              <w:text/>
            </w:sdtPr>
            <w:sdtContent>
              <w:r w:rsidRPr="009B023B">
                <w:rPr>
                  <w:rStyle w:val="BContentControl"/>
                </w:rPr>
                <w:t>enter text</w:t>
              </w:r>
            </w:sdtContent>
          </w:sdt>
          <w:r w:rsidRPr="009B023B">
            <w:rPr>
              <w:rStyle w:val="BContentControl"/>
            </w:rPr>
            <w:t xml:space="preserve"> </w:t>
          </w:r>
          <w:sdt>
            <w:sdtPr>
              <w:rPr>
                <w:rStyle w:val="BContentControl"/>
              </w:rPr>
              <w:alias w:val="pdm.name"/>
              <w:tag w:val="pdm.name"/>
              <w:id w:val="672927141"/>
              <w:lock w:val="sdtLocked"/>
              <w:placeholder>
                <w:docPart w:val="42BD3D77CC854C1DA268FCEE2B3CFFC9"/>
              </w:placeholder>
              <w:dataBinding w:prefixMappings="xmlns:ns0='http://www.bna.com/gateway/unit.start' " w:xpath="/ns0:document[1]/ns0:unit.start[1]/@pdm.name" w:storeItemID="{B04FCA99-13B0-422B-ADC9-9491644FA79D}"/>
              <w15:appearance w15:val="tags"/>
              <w:text/>
            </w:sdtPr>
            <w:sdtContent>
              <w:r>
                <w:rPr>
                  <w:rStyle w:val="BContentControl"/>
                </w:rPr>
                <w:t>Chap03</w:t>
              </w:r>
            </w:sdtContent>
          </w:sdt>
          <w:r w:rsidRPr="009B023B">
            <w:rPr>
              <w:rStyle w:val="BContentControl"/>
            </w:rPr>
            <w:t xml:space="preserve"> </w:t>
          </w:r>
          <w:sdt>
            <w:sdtPr>
              <w:rPr>
                <w:rStyle w:val="BContentControl"/>
              </w:rPr>
              <w:alias w:val="publication.name"/>
              <w:tag w:val="publication.name"/>
              <w:id w:val="2011560490"/>
              <w:lock w:val="sdtLocked"/>
              <w:placeholder>
                <w:docPart w:val="670838E477A645D3A9634746A98D542B"/>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9B023B">
            <w:rPr>
              <w:rStyle w:val="BContentControl"/>
            </w:rPr>
            <w:t xml:space="preserve"> </w:t>
          </w:r>
          <w:sdt>
            <w:sdtPr>
              <w:rPr>
                <w:rStyle w:val="BContentControl"/>
              </w:rPr>
              <w:alias w:val="service.code*"/>
              <w:tag w:val="mUnit1"/>
              <w:id w:val="2097974648"/>
              <w:lock w:val="sdtLocked"/>
              <w:placeholder>
                <w:docPart w:val="F0165AD45E1B4847AF2843D9F47B835D"/>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9B023B">
            <w:rPr>
              <w:rStyle w:val="BContentControl"/>
            </w:rPr>
            <w:t xml:space="preserve"> </w:t>
          </w:r>
          <w:sdt>
            <w:sdtPr>
              <w:rPr>
                <w:rStyle w:val="BContentControl"/>
              </w:rPr>
              <w:alias w:val="supplement"/>
              <w:tag w:val="supplement"/>
              <w:id w:val="2052498371"/>
              <w:lock w:val="sdtLocked"/>
              <w:placeholder>
                <w:docPart w:val="FDD66E0424414C7A9C945122DAF7FFD9"/>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9B023B">
            <w:rPr>
              <w:rStyle w:val="BContentControl"/>
            </w:rPr>
            <w:t xml:space="preserve"> </w:t>
          </w:r>
          <w:sdt>
            <w:sdtPr>
              <w:rPr>
                <w:rStyle w:val="BContentControl"/>
              </w:rPr>
              <w:alias w:val="unit.code"/>
              <w:tag w:val="unit.code"/>
              <w:id w:val="-586766210"/>
              <w:lock w:val="sdtLocked"/>
              <w:placeholder>
                <w:docPart w:val="43F9F6F5A06C48ED9F7984D871DF4727"/>
              </w:placeholder>
              <w:dataBinding w:prefixMappings="xmlns:ns0='http://www.bna.com/gateway/unit.start' " w:xpath="/ns0:document[1]/ns0:unit.start[1]/@unit.code" w:storeItemID="{B04FCA99-13B0-422B-ADC9-9491644FA79D}"/>
              <w15:appearance w15:val="tags"/>
              <w:text/>
            </w:sdtPr>
            <w:sdtContent>
              <w:r>
                <w:rPr>
                  <w:rStyle w:val="BContentControl"/>
                </w:rPr>
                <w:t>main0003</w:t>
              </w:r>
            </w:sdtContent>
          </w:sdt>
          <w:r w:rsidRPr="009B023B">
            <w:rPr>
              <w:rStyle w:val="BContentControl"/>
            </w:rPr>
            <w:t xml:space="preserve"> </w:t>
          </w:r>
          <w:sdt>
            <w:sdtPr>
              <w:rPr>
                <w:rStyle w:val="BContentControl"/>
              </w:rPr>
              <w:alias w:val="unit.name*"/>
              <w:tag w:val="unit.name"/>
              <w:id w:val="-176432052"/>
              <w:lock w:val="sdtLocked"/>
              <w:placeholder>
                <w:docPart w:val="7A50209D9D244618BB17BF221C23B256"/>
              </w:placeholder>
              <w:dataBinding w:prefixMappings="xmlns:ns0='http://www.bna.com/gateway/unit.start' " w:xpath="/ns0:document[1]/ns0:unit.start[1]/@unit.name" w:storeItemID="{B04FCA99-13B0-422B-ADC9-9491644FA79D}"/>
              <w15:appearance w15:val="tags"/>
              <w:text/>
            </w:sdtPr>
            <w:sdtContent>
              <w:r>
                <w:rPr>
                  <w:rStyle w:val="BContentControl"/>
                </w:rPr>
                <w:t>Chapter 3. The Meaning of Dilution Under State Law</w:t>
              </w:r>
            </w:sdtContent>
          </w:sdt>
          <w:r w:rsidRPr="009B023B">
            <w:rPr>
              <w:rStyle w:val="BContentControl"/>
            </w:rPr>
            <w:t xml:space="preserve"> </w:t>
          </w:r>
          <w:sdt>
            <w:sdtPr>
              <w:rPr>
                <w:rStyle w:val="BContentControl"/>
              </w:rPr>
              <w:alias w:val="volume.num"/>
              <w:tag w:val="volume.num"/>
              <w:id w:val="-268694399"/>
              <w:lock w:val="sdtLocked"/>
              <w:placeholder>
                <w:docPart w:val="1FB6969EA0464937ADF2326DA3CE828A"/>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rsidR="009B023B" w:rsidRPr="009B023B" w:rsidRDefault="009B023B" w:rsidP="009B023B">
      <w:pPr>
        <w:pStyle w:val="BDocStart"/>
      </w:pPr>
      <w:sdt>
        <w:sdtPr>
          <w:tag w:val="DocStart"/>
          <w:id w:val="-581599626"/>
          <w:lock w:val="sdtLocked"/>
          <w:placeholder>
            <w:docPart w:val="12B122F849D04655B504727077062E3D"/>
          </w:placeholder>
          <w15:appearance w15:val="hidden"/>
        </w:sdtPr>
        <w:sdtContent>
          <w:r>
            <w:t>Document</w:t>
          </w:r>
        </w:sdtContent>
      </w:sdt>
    </w:p>
    <w:p w:rsidR="00431229" w:rsidRPr="006662F5" w:rsidRDefault="00431229" w:rsidP="00EC1CB8">
      <w:pPr>
        <w:pStyle w:val="chaptertitle"/>
        <w:spacing w:after="0"/>
        <w:rPr>
          <w:rFonts w:ascii="Times New Roman" w:hAnsi="Times New Roman" w:cs="Times New Roman"/>
        </w:rPr>
      </w:pPr>
      <w:r w:rsidRPr="00195237">
        <w:rPr>
          <w:rFonts w:ascii="Times New Roman" w:hAnsi="Times New Roman" w:cs="Times New Roman"/>
        </w:rPr>
        <w:t xml:space="preserve">Chapter 3. </w:t>
      </w:r>
      <w:r w:rsidRPr="006662F5">
        <w:rPr>
          <w:rFonts w:ascii="Times New Roman" w:hAnsi="Times New Roman" w:cs="Times New Roman"/>
        </w:rPr>
        <w:t>The Meaning of Dilution Under</w:t>
      </w:r>
      <w:r w:rsidRPr="006662F5">
        <w:rPr>
          <w:rFonts w:ascii="Times New Roman" w:hAnsi="Times New Roman" w:cs="Times New Roman"/>
        </w:rPr>
        <w:br/>
        <w:t>State Law</w:t>
      </w:r>
    </w:p>
    <w:p w:rsidR="00431229" w:rsidRDefault="00431229" w:rsidP="00EC1CB8">
      <w:pPr>
        <w:pStyle w:val="chapternumber"/>
        <w:rPr>
          <w:rFonts w:ascii="Times New Roman" w:hAnsi="Times New Roman" w:cs="Times New Roman"/>
          <w:b w:val="0"/>
          <w:i/>
          <w:sz w:val="22"/>
          <w:szCs w:val="22"/>
        </w:rPr>
      </w:pPr>
      <w:r w:rsidRPr="00EC1CB8">
        <w:rPr>
          <w:rFonts w:ascii="Times New Roman" w:hAnsi="Times New Roman" w:cs="Times New Roman"/>
          <w:b w:val="0"/>
          <w:i/>
          <w:sz w:val="22"/>
          <w:szCs w:val="22"/>
        </w:rPr>
        <w:t xml:space="preserve">This chapter is current through May </w:t>
      </w:r>
      <w:r>
        <w:rPr>
          <w:rFonts w:ascii="Times New Roman" w:hAnsi="Times New Roman" w:cs="Times New Roman"/>
          <w:b w:val="0"/>
          <w:i/>
          <w:sz w:val="22"/>
          <w:szCs w:val="22"/>
        </w:rPr>
        <w:t>2025.</w:t>
      </w:r>
    </w:p>
    <w:p w:rsidR="00431229" w:rsidRDefault="00431229" w:rsidP="00195237">
      <w:pPr>
        <w:pStyle w:val="ChapterNum"/>
        <w:ind w:firstLine="0"/>
        <w:rPr>
          <w:sz w:val="22"/>
          <w:szCs w:val="22"/>
        </w:rPr>
      </w:pPr>
      <w:hyperlink r:id="rId13" w:history="1">
        <w:r w:rsidRPr="00107678">
          <w:rPr>
            <w:rStyle w:val="Hyperlink"/>
            <w:sz w:val="22"/>
            <w:szCs w:val="22"/>
          </w:rPr>
          <w:t>David Welkowitz</w:t>
        </w:r>
      </w:hyperlink>
      <w:r>
        <w:rPr>
          <w:rStyle w:val="FootnoteReference"/>
          <w:rFonts w:eastAsiaTheme="majorEastAsia"/>
          <w:sz w:val="22"/>
          <w:szCs w:val="22"/>
        </w:rPr>
        <w:footnoteReference w:id="1"/>
      </w:r>
    </w:p>
    <w:p w:rsidR="00431229" w:rsidRDefault="00431229" w:rsidP="00195237">
      <w:pPr>
        <w:pStyle w:val="ChapterNum"/>
        <w:ind w:firstLine="0"/>
        <w:rPr>
          <w:i/>
          <w:sz w:val="22"/>
          <w:szCs w:val="22"/>
        </w:rPr>
      </w:pPr>
      <w:r>
        <w:rPr>
          <w:i/>
          <w:sz w:val="22"/>
          <w:szCs w:val="22"/>
        </w:rPr>
        <w:t>Whittier Law School</w:t>
      </w:r>
    </w:p>
    <w:p w:rsidR="00431229" w:rsidRDefault="00431229" w:rsidP="00195237">
      <w:pPr>
        <w:pStyle w:val="ChapterNum"/>
        <w:ind w:firstLine="0"/>
        <w:rPr>
          <w:i/>
          <w:sz w:val="22"/>
          <w:szCs w:val="22"/>
        </w:rPr>
      </w:pPr>
      <w:r>
        <w:rPr>
          <w:i/>
          <w:sz w:val="22"/>
          <w:szCs w:val="22"/>
        </w:rPr>
        <w:tab/>
      </w:r>
    </w:p>
    <w:p w:rsidR="00431229" w:rsidRDefault="00431229" w:rsidP="00195237">
      <w:pPr>
        <w:pStyle w:val="ChapterNum"/>
        <w:ind w:firstLine="0"/>
        <w:rPr>
          <w:i/>
          <w:sz w:val="22"/>
          <w:szCs w:val="22"/>
        </w:rPr>
      </w:pPr>
    </w:p>
    <w:p w:rsidR="00431229" w:rsidRPr="00195237" w:rsidRDefault="00431229" w:rsidP="00EC1CB8">
      <w:pPr>
        <w:pStyle w:val="chapternumber"/>
        <w:spacing w:after="0" w:line="240" w:lineRule="auto"/>
        <w:rPr>
          <w:rFonts w:ascii="Times New Roman" w:hAnsi="Times New Roman" w:cs="Times New Roman"/>
          <w:b w:val="0"/>
        </w:rPr>
      </w:pPr>
      <w:r w:rsidRPr="00EC1CB8">
        <w:rPr>
          <w:b w:val="0"/>
          <w:sz w:val="22"/>
          <w:szCs w:val="22"/>
        </w:rPr>
        <w:t xml:space="preserve">Disclaimer:  </w:t>
      </w:r>
      <w:r w:rsidRPr="00EC1CB8">
        <w:rPr>
          <w:rFonts w:ascii="Times New Roman" w:hAnsi="Times New Roman"/>
          <w:b w:val="0"/>
          <w:sz w:val="22"/>
          <w:szCs w:val="22"/>
        </w:rPr>
        <w:t>The opinions expressed here are solely those of the author and should not be construed as representing the opinions, </w:t>
      </w:r>
      <w:r w:rsidRPr="00EC1CB8">
        <w:rPr>
          <w:rFonts w:ascii="Times New Roman" w:hAnsi="Times New Roman"/>
          <w:b w:val="0"/>
          <w:sz w:val="22"/>
          <w:szCs w:val="22"/>
          <w:shd w:val="clear" w:color="auto" w:fill="FFFFFF"/>
        </w:rPr>
        <w:t>directly or indirectly, of</w:t>
      </w:r>
      <w:r w:rsidRPr="00EC1CB8">
        <w:rPr>
          <w:rFonts w:ascii="Times New Roman" w:hAnsi="Times New Roman"/>
          <w:b w:val="0"/>
          <w:sz w:val="22"/>
          <w:szCs w:val="22"/>
        </w:rPr>
        <w:t> the U.S. Copyright Office.</w:t>
      </w:r>
    </w:p>
    <w:p w:rsidR="00431229" w:rsidRPr="006662F5" w:rsidRDefault="00431229" w:rsidP="00073AC5">
      <w:pPr>
        <w:pStyle w:val="chapternumber"/>
        <w:rPr>
          <w:rFonts w:ascii="Times New Roman" w:hAnsi="Times New Roman" w:cs="Times New Roman"/>
        </w:rPr>
      </w:pPr>
    </w:p>
    <w:p w:rsidR="00431229" w:rsidRPr="006662F5" w:rsidRDefault="00431229" w:rsidP="00073AC5">
      <w:pPr>
        <w:pStyle w:val="toc10"/>
        <w:rPr>
          <w:rFonts w:cs="Times New Roman"/>
        </w:rPr>
      </w:pPr>
      <w:r w:rsidRPr="006662F5">
        <w:rPr>
          <w:rFonts w:cs="Times New Roman"/>
        </w:rPr>
        <w:tab/>
        <w:t>I.</w:t>
      </w:r>
      <w:r w:rsidRPr="006662F5">
        <w:rPr>
          <w:rFonts w:cs="Times New Roman"/>
        </w:rPr>
        <w:tab/>
        <w:t>Introduction</w:t>
      </w:r>
      <w:r w:rsidRPr="006662F5">
        <w:rPr>
          <w:rFonts w:cs="Times New Roman"/>
        </w:rPr>
        <w:tab/>
      </w:r>
      <w:r w:rsidRPr="006662F5">
        <w:rPr>
          <w:rFonts w:cs="Times New Roman"/>
        </w:rPr>
        <w:tab/>
        <w:t>81</w:t>
      </w:r>
    </w:p>
    <w:p w:rsidR="00431229" w:rsidRPr="006662F5" w:rsidRDefault="00431229" w:rsidP="00073AC5">
      <w:pPr>
        <w:pStyle w:val="toc20"/>
        <w:rPr>
          <w:rFonts w:cs="Times New Roman"/>
        </w:rPr>
      </w:pPr>
      <w:r w:rsidRPr="006662F5">
        <w:rPr>
          <w:rFonts w:cs="Times New Roman"/>
        </w:rPr>
        <w:t>A.</w:t>
      </w:r>
      <w:r w:rsidRPr="006662F5">
        <w:rPr>
          <w:rFonts w:cs="Times New Roman"/>
        </w:rPr>
        <w:tab/>
        <w:t>Dilution: An “Elusive” Concept</w:t>
      </w:r>
      <w:r w:rsidRPr="006662F5">
        <w:rPr>
          <w:rFonts w:cs="Times New Roman"/>
        </w:rPr>
        <w:tab/>
      </w:r>
      <w:r w:rsidRPr="006662F5">
        <w:rPr>
          <w:rFonts w:cs="Times New Roman"/>
        </w:rPr>
        <w:tab/>
        <w:t>81</w:t>
      </w:r>
    </w:p>
    <w:p w:rsidR="00431229" w:rsidRPr="006662F5" w:rsidRDefault="00431229" w:rsidP="00073AC5">
      <w:pPr>
        <w:pStyle w:val="toc20"/>
        <w:rPr>
          <w:rFonts w:cs="Times New Roman"/>
        </w:rPr>
      </w:pPr>
      <w:r w:rsidRPr="006662F5">
        <w:rPr>
          <w:rFonts w:cs="Times New Roman"/>
        </w:rPr>
        <w:t>B.</w:t>
      </w:r>
      <w:r w:rsidRPr="006662F5">
        <w:rPr>
          <w:rFonts w:cs="Times New Roman"/>
        </w:rPr>
        <w:tab/>
        <w:t>The Consumer’s Mental State Resulting From</w:t>
      </w:r>
      <w:r w:rsidRPr="006662F5">
        <w:rPr>
          <w:rFonts w:cs="Times New Roman"/>
        </w:rPr>
        <w:br/>
        <w:t>Dilution: Source Distraction</w:t>
      </w:r>
      <w:r w:rsidRPr="006662F5">
        <w:rPr>
          <w:rFonts w:cs="Times New Roman"/>
        </w:rPr>
        <w:tab/>
      </w:r>
      <w:r w:rsidRPr="006662F5">
        <w:rPr>
          <w:rFonts w:cs="Times New Roman"/>
        </w:rPr>
        <w:tab/>
        <w:t>84</w:t>
      </w:r>
    </w:p>
    <w:p w:rsidR="00431229" w:rsidRPr="006662F5" w:rsidRDefault="00431229" w:rsidP="00073AC5">
      <w:pPr>
        <w:pStyle w:val="toc20"/>
        <w:rPr>
          <w:rFonts w:cs="Times New Roman"/>
        </w:rPr>
      </w:pPr>
      <w:r w:rsidRPr="006662F5">
        <w:rPr>
          <w:rFonts w:cs="Times New Roman"/>
        </w:rPr>
        <w:t>C.</w:t>
      </w:r>
      <w:r w:rsidRPr="006662F5">
        <w:rPr>
          <w:rFonts w:cs="Times New Roman"/>
        </w:rPr>
        <w:tab/>
        <w:t>Dilution Is Not a Substitute for a Weak Confusion</w:t>
      </w:r>
      <w:r w:rsidRPr="006662F5">
        <w:rPr>
          <w:rFonts w:cs="Times New Roman"/>
        </w:rPr>
        <w:br/>
        <w:t>Case</w:t>
      </w:r>
      <w:r w:rsidRPr="006662F5">
        <w:rPr>
          <w:rFonts w:cs="Times New Roman"/>
        </w:rPr>
        <w:tab/>
      </w:r>
      <w:r w:rsidRPr="006662F5">
        <w:rPr>
          <w:rFonts w:cs="Times New Roman"/>
        </w:rPr>
        <w:tab/>
        <w:t>85</w:t>
      </w:r>
    </w:p>
    <w:p w:rsidR="00431229" w:rsidRPr="006662F5" w:rsidRDefault="00431229" w:rsidP="00073AC5">
      <w:pPr>
        <w:pStyle w:val="toc10"/>
        <w:rPr>
          <w:rFonts w:cs="Times New Roman"/>
        </w:rPr>
      </w:pPr>
      <w:r w:rsidRPr="006662F5">
        <w:rPr>
          <w:rFonts w:cs="Times New Roman"/>
        </w:rPr>
        <w:tab/>
        <w:t>II.</w:t>
      </w:r>
      <w:r w:rsidRPr="006662F5">
        <w:rPr>
          <w:rFonts w:cs="Times New Roman"/>
        </w:rPr>
        <w:tab/>
        <w:t>Analyzing Dilution: The Early Cases Under State Dilution</w:t>
      </w:r>
      <w:r w:rsidRPr="006662F5">
        <w:rPr>
          <w:rFonts w:cs="Times New Roman"/>
        </w:rPr>
        <w:br/>
        <w:t>Laws</w:t>
      </w:r>
      <w:r w:rsidRPr="006662F5">
        <w:rPr>
          <w:rFonts w:cs="Times New Roman"/>
        </w:rPr>
        <w:tab/>
      </w:r>
      <w:r w:rsidRPr="006662F5">
        <w:rPr>
          <w:rFonts w:cs="Times New Roman"/>
        </w:rPr>
        <w:tab/>
        <w:t>86</w:t>
      </w:r>
    </w:p>
    <w:p w:rsidR="00431229" w:rsidRPr="006662F5" w:rsidRDefault="00431229" w:rsidP="00073AC5">
      <w:pPr>
        <w:pStyle w:val="toc20"/>
        <w:rPr>
          <w:rFonts w:cs="Times New Roman"/>
        </w:rPr>
      </w:pPr>
      <w:r w:rsidRPr="006662F5">
        <w:rPr>
          <w:rFonts w:cs="Times New Roman"/>
        </w:rPr>
        <w:t>A.</w:t>
      </w:r>
      <w:r w:rsidRPr="006662F5">
        <w:rPr>
          <w:rFonts w:cs="Times New Roman"/>
        </w:rPr>
        <w:tab/>
        <w:t>Early Interpretations of State Dilution Laws</w:t>
      </w:r>
      <w:r w:rsidRPr="006662F5">
        <w:rPr>
          <w:rFonts w:cs="Times New Roman"/>
        </w:rPr>
        <w:tab/>
      </w:r>
      <w:r w:rsidRPr="006662F5">
        <w:rPr>
          <w:rFonts w:cs="Times New Roman"/>
        </w:rPr>
        <w:tab/>
        <w:t>86</w:t>
      </w:r>
    </w:p>
    <w:p w:rsidR="00431229" w:rsidRPr="006662F5" w:rsidRDefault="00431229" w:rsidP="00073AC5">
      <w:pPr>
        <w:pStyle w:val="toc20"/>
        <w:rPr>
          <w:rFonts w:cs="Times New Roman"/>
        </w:rPr>
      </w:pPr>
      <w:r w:rsidRPr="006662F5">
        <w:rPr>
          <w:rFonts w:cs="Times New Roman"/>
        </w:rPr>
        <w:t>B.</w:t>
      </w:r>
      <w:r w:rsidRPr="006662F5">
        <w:rPr>
          <w:rFonts w:cs="Times New Roman"/>
        </w:rPr>
        <w:tab/>
        <w:t xml:space="preserve">The </w:t>
      </w:r>
      <w:r w:rsidRPr="006662F5">
        <w:rPr>
          <w:rFonts w:cs="Times New Roman"/>
          <w:i/>
          <w:iCs/>
        </w:rPr>
        <w:t>Allied</w:t>
      </w:r>
      <w:r w:rsidRPr="006662F5">
        <w:rPr>
          <w:rFonts w:cs="Times New Roman"/>
        </w:rPr>
        <w:t xml:space="preserve"> Case and the Acceptance of Dilution</w:t>
      </w:r>
      <w:r w:rsidRPr="006662F5">
        <w:rPr>
          <w:rFonts w:cs="Times New Roman"/>
        </w:rPr>
        <w:tab/>
      </w:r>
      <w:r w:rsidRPr="006662F5">
        <w:rPr>
          <w:rFonts w:cs="Times New Roman"/>
        </w:rPr>
        <w:tab/>
        <w:t>88</w:t>
      </w:r>
    </w:p>
    <w:p w:rsidR="00431229" w:rsidRPr="006662F5" w:rsidRDefault="00431229" w:rsidP="00073AC5">
      <w:pPr>
        <w:pStyle w:val="toc10"/>
        <w:rPr>
          <w:rFonts w:cs="Times New Roman"/>
        </w:rPr>
      </w:pPr>
      <w:r w:rsidRPr="006662F5">
        <w:rPr>
          <w:rFonts w:cs="Times New Roman"/>
        </w:rPr>
        <w:tab/>
        <w:t>III.</w:t>
      </w:r>
      <w:r w:rsidRPr="006662F5">
        <w:rPr>
          <w:rFonts w:cs="Times New Roman"/>
        </w:rPr>
        <w:tab/>
        <w:t>Defining Dilution: The Elements of a Claim Under State</w:t>
      </w:r>
      <w:r w:rsidRPr="006662F5">
        <w:rPr>
          <w:rFonts w:cs="Times New Roman"/>
        </w:rPr>
        <w:br/>
        <w:t>Laws</w:t>
      </w:r>
      <w:r w:rsidRPr="006662F5">
        <w:rPr>
          <w:rFonts w:cs="Times New Roman"/>
        </w:rPr>
        <w:tab/>
      </w:r>
      <w:r w:rsidRPr="006662F5">
        <w:rPr>
          <w:rFonts w:cs="Times New Roman"/>
        </w:rPr>
        <w:tab/>
        <w:t>89</w:t>
      </w:r>
    </w:p>
    <w:p w:rsidR="00431229" w:rsidRPr="006662F5" w:rsidRDefault="00431229" w:rsidP="00073AC5">
      <w:pPr>
        <w:pStyle w:val="toc20"/>
        <w:rPr>
          <w:rFonts w:cs="Times New Roman"/>
        </w:rPr>
      </w:pPr>
      <w:r w:rsidRPr="006662F5">
        <w:rPr>
          <w:rFonts w:cs="Times New Roman"/>
        </w:rPr>
        <w:t>A.</w:t>
      </w:r>
      <w:r w:rsidRPr="006662F5">
        <w:rPr>
          <w:rFonts w:cs="Times New Roman"/>
        </w:rPr>
        <w:tab/>
        <w:t>State Statutes Patterned After the 1964 Model Bill</w:t>
      </w:r>
      <w:r w:rsidRPr="006662F5">
        <w:rPr>
          <w:rFonts w:cs="Times New Roman"/>
        </w:rPr>
        <w:tab/>
      </w:r>
      <w:r w:rsidRPr="006662F5">
        <w:rPr>
          <w:rFonts w:cs="Times New Roman"/>
        </w:rPr>
        <w:tab/>
        <w:t>89</w:t>
      </w:r>
    </w:p>
    <w:p w:rsidR="00431229" w:rsidRPr="006662F5" w:rsidRDefault="00431229" w:rsidP="00073AC5">
      <w:pPr>
        <w:pStyle w:val="toc20"/>
        <w:rPr>
          <w:rFonts w:cs="Times New Roman"/>
        </w:rPr>
      </w:pPr>
      <w:r w:rsidRPr="006662F5">
        <w:rPr>
          <w:rFonts w:cs="Times New Roman"/>
        </w:rPr>
        <w:t>B.</w:t>
      </w:r>
      <w:r w:rsidRPr="006662F5">
        <w:rPr>
          <w:rFonts w:cs="Times New Roman"/>
        </w:rPr>
        <w:tab/>
        <w:t>Statutes Patterned After the 1992, 1996, and 2007</w:t>
      </w:r>
      <w:r w:rsidRPr="006662F5">
        <w:rPr>
          <w:rFonts w:cs="Times New Roman"/>
        </w:rPr>
        <w:br/>
        <w:t>Model Bills: The Elements and Definition of Dilution</w:t>
      </w:r>
      <w:r w:rsidRPr="006662F5">
        <w:rPr>
          <w:rFonts w:cs="Times New Roman"/>
        </w:rPr>
        <w:tab/>
      </w:r>
      <w:r w:rsidRPr="006662F5">
        <w:rPr>
          <w:rFonts w:cs="Times New Roman"/>
        </w:rPr>
        <w:tab/>
        <w:t>90</w:t>
      </w:r>
    </w:p>
    <w:p w:rsidR="00431229" w:rsidRPr="006662F5" w:rsidRDefault="00431229" w:rsidP="00073AC5">
      <w:pPr>
        <w:pStyle w:val="toc30"/>
        <w:rPr>
          <w:rFonts w:cs="Times New Roman"/>
        </w:rPr>
      </w:pPr>
      <w:r w:rsidRPr="006662F5">
        <w:rPr>
          <w:rFonts w:cs="Times New Roman"/>
        </w:rPr>
        <w:t>1.</w:t>
      </w:r>
      <w:r w:rsidRPr="006662F5">
        <w:rPr>
          <w:rFonts w:cs="Times New Roman"/>
        </w:rPr>
        <w:tab/>
        <w:t>State Statutes Patterned After the 1992 and 1996</w:t>
      </w:r>
      <w:r w:rsidRPr="006662F5">
        <w:rPr>
          <w:rFonts w:cs="Times New Roman"/>
        </w:rPr>
        <w:br/>
        <w:t>Model Bills</w:t>
      </w:r>
      <w:r w:rsidRPr="006662F5">
        <w:rPr>
          <w:rFonts w:cs="Times New Roman"/>
        </w:rPr>
        <w:tab/>
      </w:r>
      <w:r w:rsidRPr="006662F5">
        <w:rPr>
          <w:rFonts w:cs="Times New Roman"/>
        </w:rPr>
        <w:tab/>
        <w:t>90</w:t>
      </w:r>
    </w:p>
    <w:p w:rsidR="00431229" w:rsidRPr="006662F5" w:rsidRDefault="00431229" w:rsidP="00073AC5">
      <w:pPr>
        <w:pStyle w:val="toc30"/>
        <w:rPr>
          <w:rFonts w:cs="Times New Roman"/>
        </w:rPr>
      </w:pPr>
      <w:r w:rsidRPr="006662F5">
        <w:rPr>
          <w:rFonts w:cs="Times New Roman"/>
        </w:rPr>
        <w:t>2.</w:t>
      </w:r>
      <w:r w:rsidRPr="006662F5">
        <w:rPr>
          <w:rFonts w:cs="Times New Roman"/>
        </w:rPr>
        <w:tab/>
        <w:t>An Exception to the 1992 and 1996 Model Bill</w:t>
      </w:r>
      <w:r w:rsidRPr="006662F5">
        <w:rPr>
          <w:rFonts w:cs="Times New Roman"/>
        </w:rPr>
        <w:br/>
        <w:t>Definition of Dilution: Alaska</w:t>
      </w:r>
      <w:r w:rsidRPr="006662F5">
        <w:rPr>
          <w:rFonts w:cs="Times New Roman"/>
        </w:rPr>
        <w:tab/>
      </w:r>
      <w:r w:rsidRPr="006662F5">
        <w:rPr>
          <w:rFonts w:cs="Times New Roman"/>
        </w:rPr>
        <w:tab/>
        <w:t>93</w:t>
      </w:r>
    </w:p>
    <w:p w:rsidR="00431229" w:rsidRPr="006662F5" w:rsidRDefault="00431229" w:rsidP="00073AC5">
      <w:pPr>
        <w:pStyle w:val="toc30"/>
        <w:rPr>
          <w:rFonts w:cs="Times New Roman"/>
        </w:rPr>
      </w:pPr>
      <w:r w:rsidRPr="006662F5">
        <w:rPr>
          <w:rFonts w:cs="Times New Roman"/>
        </w:rPr>
        <w:t>3.</w:t>
      </w:r>
      <w:r w:rsidRPr="006662F5">
        <w:rPr>
          <w:rFonts w:cs="Times New Roman"/>
        </w:rPr>
        <w:tab/>
        <w:t>The TDRA and the 2007 Model Bill’s Definitions</w:t>
      </w:r>
      <w:r w:rsidRPr="006662F5">
        <w:rPr>
          <w:rFonts w:cs="Times New Roman"/>
        </w:rPr>
        <w:br/>
        <w:t>of Dilution</w:t>
      </w:r>
      <w:r w:rsidRPr="006662F5">
        <w:rPr>
          <w:rFonts w:cs="Times New Roman"/>
        </w:rPr>
        <w:tab/>
      </w:r>
      <w:r w:rsidRPr="006662F5">
        <w:rPr>
          <w:rFonts w:cs="Times New Roman"/>
        </w:rPr>
        <w:tab/>
        <w:t>94</w:t>
      </w:r>
    </w:p>
    <w:p w:rsidR="00431229" w:rsidRPr="006662F5" w:rsidRDefault="00431229" w:rsidP="00073AC5">
      <w:pPr>
        <w:pStyle w:val="toc40"/>
        <w:rPr>
          <w:rFonts w:cs="Times New Roman"/>
        </w:rPr>
      </w:pPr>
      <w:r w:rsidRPr="006662F5">
        <w:rPr>
          <w:rFonts w:cs="Times New Roman"/>
        </w:rPr>
        <w:t>a.</w:t>
      </w:r>
      <w:r w:rsidRPr="006662F5">
        <w:rPr>
          <w:rFonts w:cs="Times New Roman"/>
        </w:rPr>
        <w:tab/>
        <w:t>The 2006 Revisions of the FTDA</w:t>
      </w:r>
      <w:r w:rsidRPr="006662F5">
        <w:rPr>
          <w:rFonts w:cs="Times New Roman"/>
        </w:rPr>
        <w:tab/>
      </w:r>
      <w:r w:rsidRPr="006662F5">
        <w:rPr>
          <w:rFonts w:cs="Times New Roman"/>
        </w:rPr>
        <w:tab/>
        <w:t>94</w:t>
      </w:r>
    </w:p>
    <w:p w:rsidR="00431229" w:rsidRPr="006662F5" w:rsidRDefault="00431229" w:rsidP="00073AC5">
      <w:pPr>
        <w:pStyle w:val="toc40"/>
        <w:rPr>
          <w:rFonts w:cs="Times New Roman"/>
        </w:rPr>
      </w:pPr>
      <w:r w:rsidRPr="006662F5">
        <w:rPr>
          <w:rFonts w:cs="Times New Roman"/>
        </w:rPr>
        <w:t>b.</w:t>
      </w:r>
      <w:r w:rsidRPr="006662F5">
        <w:rPr>
          <w:rFonts w:cs="Times New Roman"/>
        </w:rPr>
        <w:tab/>
        <w:t>The 2007 Model Bill</w:t>
      </w:r>
      <w:r w:rsidRPr="006662F5">
        <w:rPr>
          <w:rFonts w:cs="Times New Roman"/>
        </w:rPr>
        <w:tab/>
      </w:r>
      <w:r w:rsidRPr="006662F5">
        <w:rPr>
          <w:rFonts w:cs="Times New Roman"/>
        </w:rPr>
        <w:tab/>
        <w:t>95</w:t>
      </w:r>
    </w:p>
    <w:p w:rsidR="00431229" w:rsidRPr="006662F5" w:rsidRDefault="00431229" w:rsidP="00073AC5">
      <w:pPr>
        <w:pStyle w:val="toc10"/>
        <w:rPr>
          <w:rFonts w:cs="Times New Roman"/>
        </w:rPr>
      </w:pPr>
      <w:r w:rsidRPr="006662F5">
        <w:rPr>
          <w:rFonts w:cs="Times New Roman"/>
        </w:rPr>
        <w:tab/>
        <w:t>IV.</w:t>
      </w:r>
      <w:r w:rsidRPr="006662F5">
        <w:rPr>
          <w:rFonts w:cs="Times New Roman"/>
        </w:rPr>
        <w:tab/>
        <w:t>Defining Dilution: The Judicial Categories of Dilution</w:t>
      </w:r>
      <w:r w:rsidRPr="006662F5">
        <w:rPr>
          <w:rFonts w:cs="Times New Roman"/>
        </w:rPr>
        <w:tab/>
      </w:r>
      <w:r w:rsidRPr="006662F5">
        <w:rPr>
          <w:rFonts w:cs="Times New Roman"/>
        </w:rPr>
        <w:tab/>
        <w:t>96</w:t>
      </w:r>
    </w:p>
    <w:p w:rsidR="00431229" w:rsidRPr="006662F5" w:rsidRDefault="00431229" w:rsidP="00073AC5">
      <w:pPr>
        <w:pStyle w:val="toc20"/>
        <w:rPr>
          <w:rFonts w:cs="Times New Roman"/>
        </w:rPr>
      </w:pPr>
      <w:r w:rsidRPr="006662F5">
        <w:rPr>
          <w:rFonts w:cs="Times New Roman"/>
        </w:rPr>
        <w:t>A.</w:t>
      </w:r>
      <w:r w:rsidRPr="006662F5">
        <w:rPr>
          <w:rFonts w:cs="Times New Roman"/>
        </w:rPr>
        <w:tab/>
        <w:t>Dilution by Blurring</w:t>
      </w:r>
      <w:r w:rsidRPr="006662F5">
        <w:rPr>
          <w:rFonts w:cs="Times New Roman"/>
        </w:rPr>
        <w:tab/>
      </w:r>
      <w:r w:rsidRPr="006662F5">
        <w:rPr>
          <w:rFonts w:cs="Times New Roman"/>
        </w:rPr>
        <w:tab/>
        <w:t>98</w:t>
      </w:r>
    </w:p>
    <w:p w:rsidR="00431229" w:rsidRPr="006662F5" w:rsidRDefault="00431229" w:rsidP="00073AC5">
      <w:pPr>
        <w:pStyle w:val="toc30"/>
        <w:rPr>
          <w:rFonts w:cs="Times New Roman"/>
        </w:rPr>
      </w:pPr>
      <w:r w:rsidRPr="006662F5">
        <w:rPr>
          <w:rFonts w:cs="Times New Roman"/>
        </w:rPr>
        <w:t>1.</w:t>
      </w:r>
      <w:r w:rsidRPr="006662F5">
        <w:rPr>
          <w:rFonts w:cs="Times New Roman"/>
        </w:rPr>
        <w:tab/>
        <w:t>Determining Blurring: Is Similarity Plus</w:t>
      </w:r>
      <w:r w:rsidRPr="006662F5">
        <w:rPr>
          <w:rFonts w:cs="Times New Roman"/>
        </w:rPr>
        <w:br/>
        <w:t>Distinctiveness Sufficient?</w:t>
      </w:r>
      <w:r w:rsidRPr="006662F5">
        <w:rPr>
          <w:rFonts w:cs="Times New Roman"/>
        </w:rPr>
        <w:tab/>
      </w:r>
      <w:r w:rsidRPr="006662F5">
        <w:rPr>
          <w:rFonts w:cs="Times New Roman"/>
        </w:rPr>
        <w:tab/>
        <w:t>99</w:t>
      </w:r>
    </w:p>
    <w:p w:rsidR="00431229" w:rsidRPr="006662F5" w:rsidRDefault="00431229" w:rsidP="00073AC5">
      <w:pPr>
        <w:pStyle w:val="toc30"/>
        <w:rPr>
          <w:rFonts w:cs="Times New Roman"/>
        </w:rPr>
      </w:pPr>
      <w:r w:rsidRPr="006662F5">
        <w:rPr>
          <w:rFonts w:cs="Times New Roman"/>
        </w:rPr>
        <w:t>2.</w:t>
      </w:r>
      <w:r w:rsidRPr="006662F5">
        <w:rPr>
          <w:rFonts w:cs="Times New Roman"/>
        </w:rPr>
        <w:tab/>
        <w:t>Multifactor Tests for Dilution by Blurring</w:t>
      </w:r>
      <w:r w:rsidRPr="006662F5">
        <w:rPr>
          <w:rFonts w:cs="Times New Roman"/>
        </w:rPr>
        <w:tab/>
      </w:r>
      <w:r w:rsidRPr="006662F5">
        <w:rPr>
          <w:rFonts w:cs="Times New Roman"/>
        </w:rPr>
        <w:tab/>
        <w:t>104</w:t>
      </w:r>
    </w:p>
    <w:p w:rsidR="00431229" w:rsidRPr="006662F5" w:rsidRDefault="00431229" w:rsidP="00073AC5">
      <w:pPr>
        <w:pStyle w:val="toc40"/>
        <w:rPr>
          <w:rFonts w:cs="Times New Roman"/>
        </w:rPr>
      </w:pPr>
      <w:r w:rsidRPr="006662F5">
        <w:rPr>
          <w:rFonts w:cs="Times New Roman"/>
        </w:rPr>
        <w:t>a.</w:t>
      </w:r>
      <w:r w:rsidRPr="006662F5">
        <w:rPr>
          <w:rFonts w:cs="Times New Roman"/>
        </w:rPr>
        <w:tab/>
        <w:t>The Development of Multifactor Tests</w:t>
      </w:r>
      <w:r w:rsidRPr="006662F5">
        <w:rPr>
          <w:rFonts w:cs="Times New Roman"/>
        </w:rPr>
        <w:br/>
        <w:t>for Dilution</w:t>
      </w:r>
      <w:r w:rsidRPr="006662F5">
        <w:rPr>
          <w:rFonts w:cs="Times New Roman"/>
        </w:rPr>
        <w:tab/>
      </w:r>
      <w:r w:rsidRPr="006662F5">
        <w:rPr>
          <w:rFonts w:cs="Times New Roman"/>
        </w:rPr>
        <w:tab/>
        <w:t>104</w:t>
      </w:r>
    </w:p>
    <w:p w:rsidR="00431229" w:rsidRPr="006662F5" w:rsidRDefault="00431229" w:rsidP="00073AC5">
      <w:pPr>
        <w:pStyle w:val="toc5"/>
        <w:rPr>
          <w:rFonts w:cs="Times New Roman"/>
        </w:rPr>
      </w:pPr>
      <w:r w:rsidRPr="006662F5">
        <w:rPr>
          <w:rFonts w:cs="Times New Roman"/>
        </w:rPr>
        <w:tab/>
        <w:t>i.</w:t>
      </w:r>
      <w:r w:rsidRPr="006662F5">
        <w:rPr>
          <w:rFonts w:cs="Times New Roman"/>
        </w:rPr>
        <w:tab/>
        <w:t>The Sweet</w:t>
      </w:r>
      <w:r w:rsidRPr="006662F5">
        <w:rPr>
          <w:rFonts w:cs="Times New Roman"/>
          <w:i/>
          <w:iCs/>
        </w:rPr>
        <w:t xml:space="preserve">-Mead Data </w:t>
      </w:r>
      <w:r w:rsidRPr="006662F5">
        <w:rPr>
          <w:rFonts w:cs="Times New Roman"/>
        </w:rPr>
        <w:t>Test</w:t>
      </w:r>
      <w:r w:rsidRPr="006662F5">
        <w:rPr>
          <w:rFonts w:cs="Times New Roman"/>
        </w:rPr>
        <w:tab/>
      </w:r>
      <w:r w:rsidRPr="006662F5">
        <w:rPr>
          <w:rFonts w:cs="Times New Roman"/>
        </w:rPr>
        <w:tab/>
        <w:t>106</w:t>
      </w:r>
    </w:p>
    <w:p w:rsidR="00431229" w:rsidRPr="006662F5" w:rsidRDefault="00431229" w:rsidP="00073AC5">
      <w:pPr>
        <w:pStyle w:val="toc5"/>
        <w:rPr>
          <w:rFonts w:cs="Times New Roman"/>
        </w:rPr>
      </w:pPr>
      <w:r w:rsidRPr="006662F5">
        <w:rPr>
          <w:rFonts w:cs="Times New Roman"/>
        </w:rPr>
        <w:tab/>
        <w:t>ii.</w:t>
      </w:r>
      <w:r w:rsidRPr="006662F5">
        <w:rPr>
          <w:rFonts w:cs="Times New Roman"/>
        </w:rPr>
        <w:tab/>
        <w:t>The</w:t>
      </w:r>
      <w:r w:rsidRPr="006662F5">
        <w:rPr>
          <w:rFonts w:cs="Times New Roman"/>
          <w:i/>
          <w:iCs/>
        </w:rPr>
        <w:t xml:space="preserve"> Nabisco </w:t>
      </w:r>
      <w:r w:rsidRPr="006662F5">
        <w:rPr>
          <w:rFonts w:cs="Times New Roman"/>
        </w:rPr>
        <w:t>Test</w:t>
      </w:r>
      <w:r w:rsidRPr="006662F5">
        <w:rPr>
          <w:rFonts w:cs="Times New Roman"/>
        </w:rPr>
        <w:tab/>
      </w:r>
      <w:r w:rsidRPr="006662F5">
        <w:rPr>
          <w:rFonts w:cs="Times New Roman"/>
        </w:rPr>
        <w:tab/>
        <w:t>110</w:t>
      </w:r>
    </w:p>
    <w:p w:rsidR="00431229" w:rsidRPr="006662F5" w:rsidRDefault="00431229" w:rsidP="00073AC5">
      <w:pPr>
        <w:pStyle w:val="toc5"/>
        <w:rPr>
          <w:rFonts w:cs="Times New Roman"/>
        </w:rPr>
      </w:pPr>
      <w:r w:rsidRPr="006662F5">
        <w:rPr>
          <w:rFonts w:cs="Times New Roman"/>
        </w:rPr>
        <w:tab/>
        <w:t>iii.</w:t>
      </w:r>
      <w:r w:rsidRPr="006662F5">
        <w:rPr>
          <w:rFonts w:cs="Times New Roman"/>
        </w:rPr>
        <w:tab/>
        <w:t>The TDRA Factors</w:t>
      </w:r>
      <w:r w:rsidRPr="006662F5">
        <w:rPr>
          <w:rFonts w:cs="Times New Roman"/>
        </w:rPr>
        <w:tab/>
      </w:r>
      <w:r w:rsidRPr="006662F5">
        <w:rPr>
          <w:rFonts w:cs="Times New Roman"/>
        </w:rPr>
        <w:tab/>
        <w:t>113</w:t>
      </w:r>
    </w:p>
    <w:p w:rsidR="00431229" w:rsidRPr="006662F5" w:rsidRDefault="00431229" w:rsidP="00073AC5">
      <w:pPr>
        <w:pStyle w:val="toc40"/>
        <w:rPr>
          <w:rFonts w:cs="Times New Roman"/>
        </w:rPr>
      </w:pPr>
      <w:r w:rsidRPr="006662F5">
        <w:rPr>
          <w:rFonts w:cs="Times New Roman"/>
        </w:rPr>
        <w:t>b.</w:t>
      </w:r>
      <w:r w:rsidRPr="006662F5">
        <w:rPr>
          <w:rFonts w:cs="Times New Roman"/>
        </w:rPr>
        <w:tab/>
        <w:t>Judicial Use of the</w:t>
      </w:r>
      <w:r w:rsidRPr="006662F5">
        <w:rPr>
          <w:rFonts w:cs="Times New Roman"/>
          <w:i/>
          <w:iCs/>
        </w:rPr>
        <w:t xml:space="preserve"> </w:t>
      </w:r>
      <w:r w:rsidRPr="006662F5">
        <w:rPr>
          <w:rFonts w:cs="Times New Roman"/>
        </w:rPr>
        <w:t>Sweet-</w:t>
      </w:r>
      <w:r w:rsidRPr="006662F5">
        <w:rPr>
          <w:rFonts w:cs="Times New Roman"/>
          <w:i/>
          <w:iCs/>
        </w:rPr>
        <w:t xml:space="preserve">Mead Data </w:t>
      </w:r>
      <w:r w:rsidRPr="006662F5">
        <w:rPr>
          <w:rFonts w:cs="Times New Roman"/>
        </w:rPr>
        <w:t>Multifactor</w:t>
      </w:r>
      <w:r w:rsidRPr="006662F5">
        <w:rPr>
          <w:rFonts w:cs="Times New Roman"/>
        </w:rPr>
        <w:br/>
        <w:t>Test</w:t>
      </w:r>
      <w:r w:rsidRPr="006662F5">
        <w:rPr>
          <w:rFonts w:cs="Times New Roman"/>
        </w:rPr>
        <w:tab/>
      </w:r>
      <w:r w:rsidRPr="006662F5">
        <w:rPr>
          <w:rFonts w:cs="Times New Roman"/>
        </w:rPr>
        <w:tab/>
        <w:t>113</w:t>
      </w:r>
    </w:p>
    <w:p w:rsidR="00431229" w:rsidRPr="006662F5" w:rsidRDefault="00431229" w:rsidP="00073AC5">
      <w:pPr>
        <w:pStyle w:val="toc5"/>
        <w:rPr>
          <w:rFonts w:cs="Times New Roman"/>
        </w:rPr>
      </w:pPr>
      <w:r w:rsidRPr="006662F5">
        <w:rPr>
          <w:rFonts w:cs="Times New Roman"/>
        </w:rPr>
        <w:tab/>
        <w:t>i.</w:t>
      </w:r>
      <w:r w:rsidRPr="006662F5">
        <w:rPr>
          <w:rFonts w:cs="Times New Roman"/>
        </w:rPr>
        <w:tab/>
        <w:t>Renown of the Senior Mark</w:t>
      </w:r>
      <w:r w:rsidRPr="006662F5">
        <w:rPr>
          <w:rFonts w:cs="Times New Roman"/>
        </w:rPr>
        <w:tab/>
      </w:r>
      <w:r w:rsidRPr="006662F5">
        <w:rPr>
          <w:rFonts w:cs="Times New Roman"/>
        </w:rPr>
        <w:tab/>
        <w:t>114</w:t>
      </w:r>
    </w:p>
    <w:p w:rsidR="00431229" w:rsidRPr="006662F5" w:rsidRDefault="00431229" w:rsidP="00073AC5">
      <w:pPr>
        <w:pStyle w:val="toc5"/>
        <w:rPr>
          <w:rFonts w:cs="Times New Roman"/>
        </w:rPr>
      </w:pPr>
      <w:r w:rsidRPr="006662F5">
        <w:rPr>
          <w:rFonts w:cs="Times New Roman"/>
        </w:rPr>
        <w:tab/>
        <w:t>ii.</w:t>
      </w:r>
      <w:r w:rsidRPr="006662F5">
        <w:rPr>
          <w:rFonts w:cs="Times New Roman"/>
        </w:rPr>
        <w:tab/>
        <w:t>Similarity of the Marks</w:t>
      </w:r>
      <w:r w:rsidRPr="006662F5">
        <w:rPr>
          <w:rFonts w:cs="Times New Roman"/>
        </w:rPr>
        <w:tab/>
      </w:r>
      <w:r w:rsidRPr="006662F5">
        <w:rPr>
          <w:rFonts w:cs="Times New Roman"/>
        </w:rPr>
        <w:tab/>
        <w:t>114</w:t>
      </w:r>
    </w:p>
    <w:p w:rsidR="00431229" w:rsidRPr="006662F5" w:rsidRDefault="00431229" w:rsidP="00073AC5">
      <w:pPr>
        <w:pStyle w:val="toc5"/>
        <w:rPr>
          <w:rFonts w:cs="Times New Roman"/>
        </w:rPr>
      </w:pPr>
      <w:r w:rsidRPr="006662F5">
        <w:rPr>
          <w:rFonts w:cs="Times New Roman"/>
        </w:rPr>
        <w:tab/>
        <w:t>iii.</w:t>
      </w:r>
      <w:r w:rsidRPr="006662F5">
        <w:rPr>
          <w:rFonts w:cs="Times New Roman"/>
        </w:rPr>
        <w:tab/>
        <w:t>Predatory Intent</w:t>
      </w:r>
      <w:r w:rsidRPr="006662F5">
        <w:rPr>
          <w:rFonts w:cs="Times New Roman"/>
        </w:rPr>
        <w:tab/>
      </w:r>
      <w:r w:rsidRPr="006662F5">
        <w:rPr>
          <w:rFonts w:cs="Times New Roman"/>
        </w:rPr>
        <w:tab/>
        <w:t>114</w:t>
      </w:r>
    </w:p>
    <w:p w:rsidR="00431229" w:rsidRPr="006662F5" w:rsidRDefault="00431229" w:rsidP="00073AC5">
      <w:pPr>
        <w:pStyle w:val="toc5"/>
        <w:rPr>
          <w:rFonts w:cs="Times New Roman"/>
        </w:rPr>
      </w:pPr>
      <w:r w:rsidRPr="006662F5">
        <w:rPr>
          <w:rFonts w:cs="Times New Roman"/>
        </w:rPr>
        <w:tab/>
        <w:t>iv.</w:t>
      </w:r>
      <w:r w:rsidRPr="006662F5">
        <w:rPr>
          <w:rFonts w:cs="Times New Roman"/>
        </w:rPr>
        <w:tab/>
        <w:t>Junior User’s Renown</w:t>
      </w:r>
      <w:r w:rsidRPr="006662F5">
        <w:rPr>
          <w:rFonts w:cs="Times New Roman"/>
        </w:rPr>
        <w:tab/>
      </w:r>
      <w:r w:rsidRPr="006662F5">
        <w:rPr>
          <w:rFonts w:cs="Times New Roman"/>
        </w:rPr>
        <w:tab/>
        <w:t>116</w:t>
      </w:r>
    </w:p>
    <w:p w:rsidR="00431229" w:rsidRPr="006662F5" w:rsidRDefault="00431229" w:rsidP="00073AC5">
      <w:pPr>
        <w:pStyle w:val="toc5"/>
        <w:rPr>
          <w:rFonts w:cs="Times New Roman"/>
        </w:rPr>
      </w:pPr>
      <w:r w:rsidRPr="006662F5">
        <w:rPr>
          <w:rFonts w:cs="Times New Roman"/>
        </w:rPr>
        <w:tab/>
        <w:t>v.</w:t>
      </w:r>
      <w:r w:rsidRPr="006662F5">
        <w:rPr>
          <w:rFonts w:cs="Times New Roman"/>
        </w:rPr>
        <w:tab/>
        <w:t>Customer Sophistication</w:t>
      </w:r>
      <w:r w:rsidRPr="006662F5">
        <w:rPr>
          <w:rFonts w:cs="Times New Roman"/>
        </w:rPr>
        <w:tab/>
      </w:r>
      <w:r w:rsidRPr="006662F5">
        <w:rPr>
          <w:rFonts w:cs="Times New Roman"/>
        </w:rPr>
        <w:tab/>
        <w:t>116</w:t>
      </w:r>
    </w:p>
    <w:p w:rsidR="00431229" w:rsidRPr="006662F5" w:rsidRDefault="00431229" w:rsidP="00073AC5">
      <w:pPr>
        <w:pStyle w:val="toc40"/>
        <w:rPr>
          <w:rFonts w:cs="Times New Roman"/>
        </w:rPr>
      </w:pPr>
      <w:r w:rsidRPr="006662F5">
        <w:rPr>
          <w:rFonts w:cs="Times New Roman"/>
        </w:rPr>
        <w:t>c.</w:t>
      </w:r>
      <w:r w:rsidRPr="006662F5">
        <w:rPr>
          <w:rFonts w:cs="Times New Roman"/>
        </w:rPr>
        <w:tab/>
        <w:t xml:space="preserve">Judicial Use of the </w:t>
      </w:r>
      <w:r w:rsidRPr="006662F5">
        <w:rPr>
          <w:rFonts w:cs="Times New Roman"/>
          <w:i/>
          <w:iCs/>
        </w:rPr>
        <w:t>Nabisco</w:t>
      </w:r>
      <w:r w:rsidRPr="006662F5">
        <w:rPr>
          <w:rFonts w:cs="Times New Roman"/>
        </w:rPr>
        <w:t xml:space="preserve"> Factors</w:t>
      </w:r>
      <w:r w:rsidRPr="006662F5">
        <w:rPr>
          <w:rFonts w:cs="Times New Roman"/>
        </w:rPr>
        <w:tab/>
      </w:r>
      <w:r w:rsidRPr="006662F5">
        <w:rPr>
          <w:rFonts w:cs="Times New Roman"/>
        </w:rPr>
        <w:tab/>
        <w:t>117</w:t>
      </w:r>
    </w:p>
    <w:p w:rsidR="00431229" w:rsidRPr="006662F5" w:rsidRDefault="00431229" w:rsidP="00073AC5">
      <w:pPr>
        <w:pStyle w:val="toc40"/>
        <w:rPr>
          <w:rFonts w:cs="Times New Roman"/>
        </w:rPr>
      </w:pPr>
      <w:r w:rsidRPr="006662F5">
        <w:rPr>
          <w:rFonts w:cs="Times New Roman"/>
        </w:rPr>
        <w:t>d.</w:t>
      </w:r>
      <w:r w:rsidRPr="006662F5">
        <w:rPr>
          <w:rFonts w:cs="Times New Roman"/>
        </w:rPr>
        <w:tab/>
        <w:t>Judicial Use of the TDRA Factors Under State</w:t>
      </w:r>
      <w:r w:rsidRPr="006662F5">
        <w:rPr>
          <w:rFonts w:cs="Times New Roman"/>
        </w:rPr>
        <w:br/>
        <w:t>Law</w:t>
      </w:r>
      <w:r w:rsidRPr="006662F5">
        <w:rPr>
          <w:rFonts w:cs="Times New Roman"/>
        </w:rPr>
        <w:tab/>
      </w:r>
      <w:r w:rsidRPr="006662F5">
        <w:rPr>
          <w:rFonts w:cs="Times New Roman"/>
        </w:rPr>
        <w:tab/>
        <w:t>118</w:t>
      </w:r>
    </w:p>
    <w:p w:rsidR="00431229" w:rsidRPr="006662F5" w:rsidRDefault="00431229" w:rsidP="00073AC5">
      <w:pPr>
        <w:pStyle w:val="toc20"/>
        <w:rPr>
          <w:rFonts w:cs="Times New Roman"/>
        </w:rPr>
      </w:pPr>
      <w:r w:rsidRPr="006662F5">
        <w:rPr>
          <w:rFonts w:cs="Times New Roman"/>
        </w:rPr>
        <w:t>B.</w:t>
      </w:r>
      <w:r w:rsidRPr="006662F5">
        <w:rPr>
          <w:rFonts w:cs="Times New Roman"/>
        </w:rPr>
        <w:tab/>
        <w:t>Dilution by Tarnishment</w:t>
      </w:r>
      <w:r w:rsidRPr="006662F5">
        <w:rPr>
          <w:rFonts w:cs="Times New Roman"/>
        </w:rPr>
        <w:tab/>
      </w:r>
      <w:r w:rsidRPr="006662F5">
        <w:rPr>
          <w:rFonts w:cs="Times New Roman"/>
        </w:rPr>
        <w:tab/>
        <w:t>120</w:t>
      </w:r>
    </w:p>
    <w:p w:rsidR="00431229" w:rsidRPr="006662F5" w:rsidRDefault="00431229" w:rsidP="00073AC5">
      <w:pPr>
        <w:pStyle w:val="toc30"/>
        <w:rPr>
          <w:rFonts w:cs="Times New Roman"/>
        </w:rPr>
      </w:pPr>
      <w:r w:rsidRPr="006662F5">
        <w:rPr>
          <w:rFonts w:cs="Times New Roman"/>
        </w:rPr>
        <w:t>1.</w:t>
      </w:r>
      <w:r w:rsidRPr="006662F5">
        <w:rPr>
          <w:rFonts w:cs="Times New Roman"/>
        </w:rPr>
        <w:tab/>
        <w:t>Tarnishment: Form of Dilution or Separate Tort?</w:t>
      </w:r>
      <w:r w:rsidRPr="006662F5">
        <w:rPr>
          <w:rFonts w:cs="Times New Roman"/>
        </w:rPr>
        <w:tab/>
      </w:r>
      <w:r w:rsidRPr="006662F5">
        <w:rPr>
          <w:rFonts w:cs="Times New Roman"/>
        </w:rPr>
        <w:tab/>
        <w:t>120</w:t>
      </w:r>
    </w:p>
    <w:p w:rsidR="00431229" w:rsidRPr="006662F5" w:rsidRDefault="00431229" w:rsidP="00073AC5">
      <w:pPr>
        <w:pStyle w:val="toc30"/>
        <w:rPr>
          <w:rFonts w:cs="Times New Roman"/>
        </w:rPr>
      </w:pPr>
      <w:r w:rsidRPr="006662F5">
        <w:rPr>
          <w:rFonts w:cs="Times New Roman"/>
        </w:rPr>
        <w:t>2.</w:t>
      </w:r>
      <w:r w:rsidRPr="006662F5">
        <w:rPr>
          <w:rFonts w:cs="Times New Roman"/>
        </w:rPr>
        <w:tab/>
        <w:t>The 1992 and 1996 Model Bill Definition</w:t>
      </w:r>
      <w:r w:rsidRPr="006662F5">
        <w:rPr>
          <w:rFonts w:cs="Times New Roman"/>
        </w:rPr>
        <w:br/>
        <w:t>of Dilution: Does it Include Tarnishment?</w:t>
      </w:r>
      <w:r w:rsidRPr="006662F5">
        <w:rPr>
          <w:rFonts w:cs="Times New Roman"/>
        </w:rPr>
        <w:tab/>
      </w:r>
      <w:r w:rsidRPr="006662F5">
        <w:rPr>
          <w:rFonts w:cs="Times New Roman"/>
        </w:rPr>
        <w:tab/>
        <w:t>123</w:t>
      </w:r>
    </w:p>
    <w:p w:rsidR="00431229" w:rsidRPr="006662F5" w:rsidRDefault="00431229" w:rsidP="00073AC5">
      <w:pPr>
        <w:pStyle w:val="toc30"/>
        <w:rPr>
          <w:rFonts w:cs="Times New Roman"/>
        </w:rPr>
      </w:pPr>
      <w:r w:rsidRPr="006662F5">
        <w:rPr>
          <w:rFonts w:cs="Times New Roman"/>
        </w:rPr>
        <w:t>3.</w:t>
      </w:r>
      <w:r w:rsidRPr="006662F5">
        <w:rPr>
          <w:rFonts w:cs="Times New Roman"/>
        </w:rPr>
        <w:tab/>
        <w:t>Tarnishment by Parody, Satire, or Ridicule</w:t>
      </w:r>
      <w:r w:rsidRPr="006662F5">
        <w:rPr>
          <w:rFonts w:cs="Times New Roman"/>
        </w:rPr>
        <w:tab/>
      </w:r>
      <w:r w:rsidRPr="006662F5">
        <w:rPr>
          <w:rFonts w:cs="Times New Roman"/>
        </w:rPr>
        <w:tab/>
        <w:t>126</w:t>
      </w:r>
    </w:p>
    <w:p w:rsidR="00431229" w:rsidRPr="006662F5" w:rsidRDefault="00431229" w:rsidP="00073AC5">
      <w:pPr>
        <w:pStyle w:val="toc40"/>
        <w:rPr>
          <w:rFonts w:cs="Times New Roman"/>
        </w:rPr>
      </w:pPr>
      <w:r w:rsidRPr="006662F5">
        <w:rPr>
          <w:rFonts w:cs="Times New Roman"/>
        </w:rPr>
        <w:t>a.</w:t>
      </w:r>
      <w:r w:rsidRPr="006662F5">
        <w:rPr>
          <w:rFonts w:cs="Times New Roman"/>
        </w:rPr>
        <w:tab/>
        <w:t>Parodies Involving Sex or Drugs</w:t>
      </w:r>
      <w:r w:rsidRPr="006662F5">
        <w:rPr>
          <w:rFonts w:cs="Times New Roman"/>
        </w:rPr>
        <w:tab/>
      </w:r>
      <w:r w:rsidRPr="006662F5">
        <w:rPr>
          <w:rFonts w:cs="Times New Roman"/>
        </w:rPr>
        <w:tab/>
        <w:t>127</w:t>
      </w:r>
    </w:p>
    <w:p w:rsidR="00431229" w:rsidRPr="006662F5" w:rsidRDefault="00431229" w:rsidP="00073AC5">
      <w:pPr>
        <w:pStyle w:val="toc40"/>
        <w:rPr>
          <w:rFonts w:cs="Times New Roman"/>
        </w:rPr>
      </w:pPr>
      <w:r w:rsidRPr="006662F5">
        <w:rPr>
          <w:rFonts w:cs="Times New Roman"/>
        </w:rPr>
        <w:t>b.</w:t>
      </w:r>
      <w:r w:rsidRPr="006662F5">
        <w:rPr>
          <w:rFonts w:cs="Times New Roman"/>
        </w:rPr>
        <w:tab/>
        <w:t>Parodies Not Involving Sex or Drugs</w:t>
      </w:r>
      <w:r w:rsidRPr="006662F5">
        <w:rPr>
          <w:rFonts w:cs="Times New Roman"/>
        </w:rPr>
        <w:tab/>
      </w:r>
      <w:r w:rsidRPr="006662F5">
        <w:rPr>
          <w:rFonts w:cs="Times New Roman"/>
        </w:rPr>
        <w:tab/>
        <w:t>129</w:t>
      </w:r>
    </w:p>
    <w:p w:rsidR="00431229" w:rsidRPr="006662F5" w:rsidRDefault="00431229" w:rsidP="00073AC5">
      <w:pPr>
        <w:pStyle w:val="toc40"/>
        <w:rPr>
          <w:rFonts w:cs="Times New Roman"/>
        </w:rPr>
      </w:pPr>
      <w:r w:rsidRPr="006662F5">
        <w:rPr>
          <w:rFonts w:cs="Times New Roman"/>
        </w:rPr>
        <w:t>c.</w:t>
      </w:r>
      <w:r w:rsidRPr="006662F5">
        <w:rPr>
          <w:rFonts w:cs="Times New Roman"/>
        </w:rPr>
        <w:tab/>
        <w:t>First Amendment Considerations</w:t>
      </w:r>
      <w:r w:rsidRPr="006662F5">
        <w:rPr>
          <w:rFonts w:cs="Times New Roman"/>
        </w:rPr>
        <w:tab/>
      </w:r>
      <w:r w:rsidRPr="006662F5">
        <w:rPr>
          <w:rFonts w:cs="Times New Roman"/>
        </w:rPr>
        <w:tab/>
        <w:t>135</w:t>
      </w:r>
    </w:p>
    <w:p w:rsidR="00431229" w:rsidRPr="006662F5" w:rsidRDefault="00431229" w:rsidP="00073AC5">
      <w:pPr>
        <w:pStyle w:val="toc30"/>
        <w:rPr>
          <w:rFonts w:cs="Times New Roman"/>
        </w:rPr>
      </w:pPr>
      <w:r w:rsidRPr="006662F5">
        <w:rPr>
          <w:rFonts w:cs="Times New Roman"/>
        </w:rPr>
        <w:t>4.</w:t>
      </w:r>
      <w:r w:rsidRPr="006662F5">
        <w:rPr>
          <w:rFonts w:cs="Times New Roman"/>
        </w:rPr>
        <w:tab/>
        <w:t>Tarnishment and Noncommercial Use Under the</w:t>
      </w:r>
      <w:r w:rsidRPr="006662F5">
        <w:rPr>
          <w:rFonts w:cs="Times New Roman"/>
        </w:rPr>
        <w:br/>
        <w:t>TDRA and State Laws</w:t>
      </w:r>
      <w:r w:rsidRPr="006662F5">
        <w:rPr>
          <w:rFonts w:cs="Times New Roman"/>
        </w:rPr>
        <w:tab/>
      </w:r>
      <w:r w:rsidRPr="006662F5">
        <w:rPr>
          <w:rFonts w:cs="Times New Roman"/>
        </w:rPr>
        <w:tab/>
        <w:t>140</w:t>
      </w:r>
    </w:p>
    <w:p w:rsidR="00431229" w:rsidRPr="006662F5" w:rsidRDefault="00431229" w:rsidP="00073AC5">
      <w:pPr>
        <w:pStyle w:val="toc30"/>
        <w:rPr>
          <w:rFonts w:cs="Times New Roman"/>
        </w:rPr>
      </w:pPr>
      <w:r w:rsidRPr="006662F5">
        <w:rPr>
          <w:rFonts w:cs="Times New Roman"/>
        </w:rPr>
        <w:t>5.</w:t>
      </w:r>
      <w:r w:rsidRPr="006662F5">
        <w:rPr>
          <w:rFonts w:cs="Times New Roman"/>
        </w:rPr>
        <w:tab/>
        <w:t>Tarnishment and Trademark Uses</w:t>
      </w:r>
      <w:r w:rsidRPr="006662F5">
        <w:rPr>
          <w:rFonts w:cs="Times New Roman"/>
        </w:rPr>
        <w:tab/>
      </w:r>
      <w:r w:rsidRPr="006662F5">
        <w:rPr>
          <w:rFonts w:cs="Times New Roman"/>
        </w:rPr>
        <w:tab/>
        <w:t>141</w:t>
      </w:r>
    </w:p>
    <w:p w:rsidR="00431229" w:rsidRPr="006662F5" w:rsidRDefault="00431229" w:rsidP="00073AC5">
      <w:pPr>
        <w:pStyle w:val="toc30"/>
        <w:rPr>
          <w:rFonts w:cs="Times New Roman"/>
        </w:rPr>
      </w:pPr>
      <w:r w:rsidRPr="006662F5">
        <w:rPr>
          <w:rFonts w:cs="Times New Roman"/>
        </w:rPr>
        <w:t>6.</w:t>
      </w:r>
      <w:r w:rsidRPr="006662F5">
        <w:rPr>
          <w:rFonts w:cs="Times New Roman"/>
        </w:rPr>
        <w:tab/>
        <w:t>Tarnishment by Poor-Quality Goods</w:t>
      </w:r>
      <w:r w:rsidRPr="006662F5">
        <w:rPr>
          <w:rFonts w:cs="Times New Roman"/>
        </w:rPr>
        <w:tab/>
      </w:r>
      <w:r w:rsidRPr="006662F5">
        <w:rPr>
          <w:rFonts w:cs="Times New Roman"/>
        </w:rPr>
        <w:tab/>
        <w:t>142</w:t>
      </w:r>
    </w:p>
    <w:p w:rsidR="00431229" w:rsidRPr="006662F5" w:rsidRDefault="00431229" w:rsidP="00073AC5">
      <w:pPr>
        <w:pStyle w:val="toc30"/>
        <w:rPr>
          <w:rFonts w:cs="Times New Roman"/>
        </w:rPr>
      </w:pPr>
      <w:r w:rsidRPr="006662F5">
        <w:rPr>
          <w:rFonts w:cs="Times New Roman"/>
        </w:rPr>
        <w:t>7.</w:t>
      </w:r>
      <w:r w:rsidRPr="006662F5">
        <w:rPr>
          <w:rFonts w:cs="Times New Roman"/>
        </w:rPr>
        <w:tab/>
        <w:t>Tarnishment Claims Often Require Evidence of</w:t>
      </w:r>
      <w:r w:rsidRPr="006662F5">
        <w:rPr>
          <w:rFonts w:cs="Times New Roman"/>
        </w:rPr>
        <w:br/>
        <w:t>Actual Harm</w:t>
      </w:r>
      <w:r w:rsidRPr="006662F5">
        <w:rPr>
          <w:rFonts w:cs="Times New Roman"/>
        </w:rPr>
        <w:tab/>
      </w:r>
      <w:r w:rsidRPr="006662F5">
        <w:rPr>
          <w:rFonts w:cs="Times New Roman"/>
        </w:rPr>
        <w:tab/>
        <w:t>145</w:t>
      </w:r>
    </w:p>
    <w:p w:rsidR="00431229" w:rsidRPr="006662F5" w:rsidRDefault="00431229" w:rsidP="00073AC5">
      <w:pPr>
        <w:pStyle w:val="toc20"/>
        <w:rPr>
          <w:rFonts w:cs="Times New Roman"/>
        </w:rPr>
      </w:pPr>
      <w:r w:rsidRPr="006662F5">
        <w:rPr>
          <w:rFonts w:cs="Times New Roman"/>
        </w:rPr>
        <w:t>C.</w:t>
      </w:r>
      <w:r w:rsidRPr="006662F5">
        <w:rPr>
          <w:rFonts w:cs="Times New Roman"/>
        </w:rPr>
        <w:tab/>
        <w:t>Dilution by Confusion</w:t>
      </w:r>
      <w:r w:rsidRPr="006662F5">
        <w:rPr>
          <w:rFonts w:cs="Times New Roman"/>
        </w:rPr>
        <w:tab/>
      </w:r>
      <w:r w:rsidRPr="006662F5">
        <w:rPr>
          <w:rFonts w:cs="Times New Roman"/>
        </w:rPr>
        <w:tab/>
        <w:t>147</w:t>
      </w:r>
    </w:p>
    <w:p w:rsidR="00431229" w:rsidRPr="006662F5" w:rsidRDefault="00431229" w:rsidP="00073AC5">
      <w:pPr>
        <w:pStyle w:val="toc20"/>
        <w:rPr>
          <w:rFonts w:cs="Times New Roman"/>
        </w:rPr>
      </w:pPr>
      <w:r w:rsidRPr="006662F5">
        <w:rPr>
          <w:rFonts w:cs="Times New Roman"/>
        </w:rPr>
        <w:t>D.</w:t>
      </w:r>
      <w:r w:rsidRPr="006662F5">
        <w:rPr>
          <w:rFonts w:cs="Times New Roman"/>
        </w:rPr>
        <w:tab/>
        <w:t>Dilution by Genericide</w:t>
      </w:r>
      <w:r w:rsidRPr="006662F5">
        <w:rPr>
          <w:rFonts w:cs="Times New Roman"/>
        </w:rPr>
        <w:tab/>
      </w:r>
      <w:r w:rsidRPr="006662F5">
        <w:rPr>
          <w:rFonts w:cs="Times New Roman"/>
        </w:rPr>
        <w:tab/>
        <w:t>148</w:t>
      </w:r>
    </w:p>
    <w:p w:rsidR="00431229" w:rsidRPr="006662F5" w:rsidRDefault="00431229" w:rsidP="00073AC5">
      <w:pPr>
        <w:pStyle w:val="toc20"/>
        <w:rPr>
          <w:rFonts w:cs="Times New Roman"/>
        </w:rPr>
      </w:pPr>
      <w:r w:rsidRPr="006662F5">
        <w:rPr>
          <w:rFonts w:cs="Times New Roman"/>
        </w:rPr>
        <w:t>E.</w:t>
      </w:r>
      <w:r w:rsidRPr="006662F5">
        <w:rPr>
          <w:rFonts w:cs="Times New Roman"/>
        </w:rPr>
        <w:tab/>
        <w:t>Dilution on the Internet: Use of Trademarks in</w:t>
      </w:r>
      <w:r w:rsidRPr="006662F5">
        <w:rPr>
          <w:rFonts w:cs="Times New Roman"/>
        </w:rPr>
        <w:br/>
        <w:t>Domain Names as Dilution</w:t>
      </w:r>
      <w:r w:rsidRPr="006662F5">
        <w:rPr>
          <w:rFonts w:cs="Times New Roman"/>
        </w:rPr>
        <w:tab/>
      </w:r>
      <w:r w:rsidRPr="006662F5">
        <w:rPr>
          <w:rFonts w:cs="Times New Roman"/>
        </w:rPr>
        <w:tab/>
        <w:t>154</w:t>
      </w:r>
    </w:p>
    <w:p w:rsidR="00431229" w:rsidRPr="006662F5" w:rsidRDefault="00431229" w:rsidP="00073AC5">
      <w:pPr>
        <w:pStyle w:val="toc20"/>
        <w:rPr>
          <w:rFonts w:cs="Times New Roman"/>
        </w:rPr>
      </w:pPr>
      <w:r w:rsidRPr="006662F5">
        <w:rPr>
          <w:rFonts w:cs="Times New Roman"/>
        </w:rPr>
        <w:t>F.</w:t>
      </w:r>
      <w:r w:rsidRPr="006662F5">
        <w:rPr>
          <w:rFonts w:cs="Times New Roman"/>
        </w:rPr>
        <w:tab/>
        <w:t>Contributory Liability for Dilution</w:t>
      </w:r>
      <w:r w:rsidRPr="006662F5">
        <w:rPr>
          <w:rFonts w:cs="Times New Roman"/>
        </w:rPr>
        <w:tab/>
      </w:r>
      <w:r w:rsidRPr="006662F5">
        <w:rPr>
          <w:rFonts w:cs="Times New Roman"/>
        </w:rPr>
        <w:tab/>
        <w:t>158</w:t>
      </w:r>
    </w:p>
    <w:p w:rsidR="00431229" w:rsidRPr="006662F5" w:rsidRDefault="00431229" w:rsidP="00073AC5">
      <w:pPr>
        <w:pStyle w:val="toc20"/>
        <w:rPr>
          <w:rFonts w:cs="Times New Roman"/>
        </w:rPr>
      </w:pPr>
      <w:r w:rsidRPr="006662F5">
        <w:rPr>
          <w:rFonts w:cs="Times New Roman"/>
        </w:rPr>
        <w:t>G.</w:t>
      </w:r>
      <w:r w:rsidRPr="006662F5">
        <w:rPr>
          <w:rFonts w:cs="Times New Roman"/>
        </w:rPr>
        <w:tab/>
        <w:t>Merchandising of Trademarks and Dilution</w:t>
      </w:r>
      <w:r w:rsidRPr="006662F5">
        <w:rPr>
          <w:rFonts w:cs="Times New Roman"/>
        </w:rPr>
        <w:tab/>
      </w:r>
      <w:r w:rsidRPr="006662F5">
        <w:rPr>
          <w:rFonts w:cs="Times New Roman"/>
        </w:rPr>
        <w:tab/>
        <w:t>160</w:t>
      </w:r>
    </w:p>
    <w:p w:rsidR="00431229" w:rsidRPr="006662F5" w:rsidRDefault="00431229" w:rsidP="00073AC5">
      <w:pPr>
        <w:pStyle w:val="toc10"/>
        <w:rPr>
          <w:rFonts w:cs="Times New Roman"/>
        </w:rPr>
      </w:pPr>
      <w:r w:rsidRPr="006662F5">
        <w:rPr>
          <w:rFonts w:cs="Times New Roman"/>
        </w:rPr>
        <w:tab/>
        <w:t>V.</w:t>
      </w:r>
      <w:r w:rsidRPr="006662F5">
        <w:rPr>
          <w:rFonts w:cs="Times New Roman"/>
        </w:rPr>
        <w:tab/>
        <w:t>The Requisite Level of Similarity</w:t>
      </w:r>
      <w:r w:rsidRPr="006662F5">
        <w:rPr>
          <w:rFonts w:cs="Times New Roman"/>
        </w:rPr>
        <w:tab/>
      </w:r>
      <w:r w:rsidRPr="006662F5">
        <w:rPr>
          <w:rFonts w:cs="Times New Roman"/>
        </w:rPr>
        <w:tab/>
        <w:t>162</w:t>
      </w:r>
    </w:p>
    <w:p w:rsidR="00431229" w:rsidRPr="006662F5" w:rsidRDefault="00431229" w:rsidP="00073AC5">
      <w:pPr>
        <w:pStyle w:val="toc20"/>
        <w:rPr>
          <w:rFonts w:cs="Times New Roman"/>
        </w:rPr>
      </w:pPr>
      <w:r w:rsidRPr="006662F5">
        <w:rPr>
          <w:rFonts w:cs="Times New Roman"/>
        </w:rPr>
        <w:t>A.</w:t>
      </w:r>
      <w:r w:rsidRPr="006662F5">
        <w:rPr>
          <w:rFonts w:cs="Times New Roman"/>
        </w:rPr>
        <w:tab/>
        <w:t>Must the Similarity be “Substantial”? Interpreting the</w:t>
      </w:r>
      <w:r w:rsidRPr="006662F5">
        <w:rPr>
          <w:rFonts w:cs="Times New Roman"/>
        </w:rPr>
        <w:br/>
        <w:t>Statutory Mandates</w:t>
      </w:r>
      <w:r w:rsidRPr="006662F5">
        <w:rPr>
          <w:rFonts w:cs="Times New Roman"/>
        </w:rPr>
        <w:tab/>
      </w:r>
      <w:r w:rsidRPr="006662F5">
        <w:rPr>
          <w:rFonts w:cs="Times New Roman"/>
        </w:rPr>
        <w:tab/>
        <w:t>162</w:t>
      </w:r>
    </w:p>
    <w:p w:rsidR="00431229" w:rsidRPr="006662F5" w:rsidRDefault="00431229" w:rsidP="00073AC5">
      <w:pPr>
        <w:pStyle w:val="toc20"/>
        <w:rPr>
          <w:rFonts w:cs="Times New Roman"/>
        </w:rPr>
      </w:pPr>
      <w:r w:rsidRPr="006662F5">
        <w:rPr>
          <w:rFonts w:cs="Times New Roman"/>
        </w:rPr>
        <w:t>B.</w:t>
      </w:r>
      <w:r w:rsidRPr="006662F5">
        <w:rPr>
          <w:rFonts w:cs="Times New Roman"/>
        </w:rPr>
        <w:tab/>
        <w:t>Applying the Concept of Similarity: The Case Law</w:t>
      </w:r>
      <w:r w:rsidRPr="006662F5">
        <w:rPr>
          <w:rFonts w:cs="Times New Roman"/>
        </w:rPr>
        <w:tab/>
      </w:r>
      <w:r w:rsidRPr="006662F5">
        <w:rPr>
          <w:rFonts w:cs="Times New Roman"/>
        </w:rPr>
        <w:tab/>
        <w:t>164</w:t>
      </w:r>
    </w:p>
    <w:p w:rsidR="00431229" w:rsidRPr="006662F5" w:rsidRDefault="00431229" w:rsidP="00073AC5">
      <w:pPr>
        <w:pStyle w:val="toc10"/>
        <w:rPr>
          <w:rFonts w:cs="Times New Roman"/>
        </w:rPr>
      </w:pPr>
      <w:r w:rsidRPr="006662F5">
        <w:rPr>
          <w:rFonts w:cs="Times New Roman"/>
          <w:smallCaps/>
        </w:rPr>
        <w:tab/>
        <w:t>VI.</w:t>
      </w:r>
      <w:r w:rsidRPr="006662F5">
        <w:rPr>
          <w:rFonts w:cs="Times New Roman"/>
          <w:smallCaps/>
        </w:rPr>
        <w:tab/>
      </w:r>
      <w:r w:rsidRPr="006662F5">
        <w:rPr>
          <w:rFonts w:cs="Times New Roman"/>
        </w:rPr>
        <w:t>Actual Versus Likelihood of Dilution and the Continuing Importance of State Dilution Law</w:t>
      </w:r>
      <w:r w:rsidRPr="006662F5">
        <w:rPr>
          <w:rFonts w:cs="Times New Roman"/>
        </w:rPr>
        <w:tab/>
      </w:r>
      <w:r w:rsidRPr="006662F5">
        <w:rPr>
          <w:rFonts w:cs="Times New Roman"/>
        </w:rPr>
        <w:tab/>
        <w:t>167</w:t>
      </w:r>
    </w:p>
    <w:p w:rsidR="00431229" w:rsidRPr="006662F5" w:rsidRDefault="00431229" w:rsidP="00073AC5">
      <w:pPr>
        <w:pStyle w:val="toc20"/>
        <w:rPr>
          <w:rFonts w:cs="Times New Roman"/>
        </w:rPr>
      </w:pPr>
      <w:r w:rsidRPr="006662F5">
        <w:rPr>
          <w:rFonts w:cs="Times New Roman"/>
        </w:rPr>
        <w:t>A.</w:t>
      </w:r>
      <w:r w:rsidRPr="006662F5">
        <w:rPr>
          <w:rFonts w:cs="Times New Roman"/>
        </w:rPr>
        <w:tab/>
        <w:t>Actual vs. Likelihood of Dilution Under the</w:t>
      </w:r>
      <w:r w:rsidRPr="006662F5">
        <w:rPr>
          <w:rFonts w:cs="Times New Roman"/>
        </w:rPr>
        <w:br/>
        <w:t>1992 and 1996 Model Bills</w:t>
      </w:r>
      <w:r w:rsidRPr="006662F5">
        <w:rPr>
          <w:rFonts w:cs="Times New Roman"/>
        </w:rPr>
        <w:tab/>
      </w:r>
      <w:r w:rsidRPr="006662F5">
        <w:rPr>
          <w:rFonts w:cs="Times New Roman"/>
        </w:rPr>
        <w:tab/>
        <w:t>167</w:t>
      </w:r>
    </w:p>
    <w:p w:rsidR="00431229" w:rsidRPr="006662F5" w:rsidRDefault="00431229" w:rsidP="00073AC5">
      <w:pPr>
        <w:pStyle w:val="toc20"/>
        <w:rPr>
          <w:rFonts w:cs="Times New Roman"/>
        </w:rPr>
      </w:pPr>
      <w:r w:rsidRPr="006662F5">
        <w:rPr>
          <w:rFonts w:cs="Times New Roman"/>
        </w:rPr>
        <w:t>B.</w:t>
      </w:r>
      <w:r w:rsidRPr="006662F5">
        <w:rPr>
          <w:rFonts w:cs="Times New Roman"/>
        </w:rPr>
        <w:tab/>
        <w:t>State Laws Patterned After the 2007 Model Bill</w:t>
      </w:r>
      <w:r w:rsidRPr="006662F5">
        <w:rPr>
          <w:rFonts w:cs="Times New Roman"/>
        </w:rPr>
        <w:tab/>
      </w:r>
      <w:r w:rsidRPr="006662F5">
        <w:rPr>
          <w:rFonts w:cs="Times New Roman"/>
        </w:rPr>
        <w:tab/>
        <w:t>169</w:t>
      </w:r>
    </w:p>
    <w:p w:rsidR="00431229" w:rsidRPr="006662F5" w:rsidRDefault="00431229" w:rsidP="00073AC5">
      <w:pPr>
        <w:pStyle w:val="toc20"/>
        <w:rPr>
          <w:rFonts w:cs="Times New Roman"/>
        </w:rPr>
      </w:pPr>
      <w:r w:rsidRPr="006662F5">
        <w:rPr>
          <w:rFonts w:cs="Times New Roman"/>
        </w:rPr>
        <w:t>C.</w:t>
      </w:r>
      <w:r w:rsidRPr="006662F5">
        <w:rPr>
          <w:rFonts w:cs="Times New Roman"/>
        </w:rPr>
        <w:tab/>
        <w:t>State Laws Patterned After the 1964 Model Bill</w:t>
      </w:r>
      <w:r w:rsidRPr="006662F5">
        <w:rPr>
          <w:rFonts w:cs="Times New Roman"/>
        </w:rPr>
        <w:tab/>
      </w:r>
      <w:r w:rsidRPr="006662F5">
        <w:rPr>
          <w:rFonts w:cs="Times New Roman"/>
        </w:rPr>
        <w:tab/>
        <w:t>170</w:t>
      </w:r>
    </w:p>
    <w:p w:rsidR="00431229" w:rsidRPr="006662F5" w:rsidRDefault="00431229" w:rsidP="00073AC5">
      <w:pPr>
        <w:pStyle w:val="toc10"/>
        <w:rPr>
          <w:rFonts w:cs="Times New Roman"/>
        </w:rPr>
      </w:pPr>
      <w:r w:rsidRPr="006662F5">
        <w:rPr>
          <w:rFonts w:cs="Times New Roman"/>
        </w:rPr>
        <w:tab/>
        <w:t>VII.</w:t>
      </w:r>
      <w:r w:rsidRPr="006662F5">
        <w:rPr>
          <w:rFonts w:cs="Times New Roman"/>
        </w:rPr>
        <w:tab/>
        <w:t>Proving Dilution</w:t>
      </w:r>
      <w:r w:rsidRPr="006662F5">
        <w:rPr>
          <w:rFonts w:cs="Times New Roman"/>
        </w:rPr>
        <w:tab/>
      </w:r>
      <w:r w:rsidRPr="006662F5">
        <w:rPr>
          <w:rFonts w:cs="Times New Roman"/>
        </w:rPr>
        <w:tab/>
        <w:t>171</w:t>
      </w:r>
    </w:p>
    <w:p w:rsidR="00431229" w:rsidRPr="006662F5" w:rsidRDefault="00431229" w:rsidP="00073AC5">
      <w:pPr>
        <w:pStyle w:val="1stLevelHeadII"/>
        <w:rPr>
          <w:rFonts w:cs="Times New Roman"/>
        </w:rPr>
      </w:pPr>
      <w:r w:rsidRPr="006662F5">
        <w:rPr>
          <w:rFonts w:cs="Times New Roman"/>
        </w:rPr>
        <w:t>I.</w:t>
      </w:r>
      <w:r w:rsidRPr="006662F5">
        <w:rPr>
          <w:rFonts w:cs="Times New Roman"/>
        </w:rPr>
        <w:t> </w:t>
      </w:r>
      <w:r w:rsidRPr="006662F5">
        <w:rPr>
          <w:rFonts w:cs="Times New Roman"/>
        </w:rPr>
        <w:t>Introduction</w:t>
      </w:r>
    </w:p>
    <w:p w:rsidR="00431229" w:rsidRPr="006662F5" w:rsidRDefault="00431229" w:rsidP="00073AC5">
      <w:pPr>
        <w:pStyle w:val="2ndLevel1"/>
        <w:rPr>
          <w:rFonts w:cs="Times New Roman"/>
        </w:rPr>
      </w:pPr>
      <w:r w:rsidRPr="006662F5">
        <w:rPr>
          <w:rFonts w:cs="Times New Roman"/>
        </w:rPr>
        <w:t>A.</w:t>
      </w:r>
      <w:r w:rsidRPr="006662F5">
        <w:rPr>
          <w:rFonts w:cs="Times New Roman"/>
        </w:rPr>
        <w:tab/>
        <w:t>Dilution: An “Elusive” Concept</w:t>
      </w:r>
    </w:p>
    <w:p w:rsidR="00431229" w:rsidRPr="006662F5" w:rsidRDefault="00431229" w:rsidP="00073AC5">
      <w:pPr>
        <w:pStyle w:val="text"/>
      </w:pPr>
      <w:r w:rsidRPr="006662F5">
        <w:t>Dilution has been variously termed by courts and commentators as “elusive,” “nebulous,”</w:t>
      </w:r>
      <w:r w:rsidRPr="006662F5">
        <w:rPr>
          <w:vertAlign w:val="superscript"/>
        </w:rPr>
        <w:footnoteReference w:id="2"/>
      </w:r>
      <w:r w:rsidRPr="006662F5">
        <w:t xml:space="preserve"> and “amorphous.”</w:t>
      </w:r>
      <w:r w:rsidRPr="006662F5">
        <w:rPr>
          <w:vertAlign w:val="superscript"/>
        </w:rPr>
        <w:footnoteReference w:id="3"/>
      </w:r>
      <w:r w:rsidRPr="006662F5">
        <w:t xml:space="preserve"> An oft-cited description of dilution states:</w:t>
      </w:r>
    </w:p>
    <w:p w:rsidR="00431229" w:rsidRPr="006662F5" w:rsidRDefault="00431229" w:rsidP="00073AC5">
      <w:pPr>
        <w:pStyle w:val="Blockquoteflush"/>
      </w:pPr>
      <w:r w:rsidRPr="006662F5">
        <w:t>Dilution is an injury that differs materially from that arising out of the orthodox confusion. Even in the absence of confusion, the potency of a mark may be debilitated by another’s use. This is the essence of dilution. Confusion leads to immediate injury, while dilution is an infection which, if allowed to spread, will inevitably destroy the advertising value of the mark.</w:t>
      </w:r>
      <w:r w:rsidRPr="006662F5">
        <w:rPr>
          <w:vertAlign w:val="superscript"/>
        </w:rPr>
        <w:footnoteReference w:id="4"/>
      </w:r>
    </w:p>
    <w:p w:rsidR="00431229" w:rsidRPr="006662F5" w:rsidRDefault="00431229" w:rsidP="00073AC5">
      <w:pPr>
        <w:pStyle w:val="text"/>
      </w:pPr>
      <w:r w:rsidRPr="006662F5">
        <w:t>Although the metaphor of a mark being “whittled away”</w:t>
      </w:r>
      <w:r w:rsidRPr="006662F5">
        <w:rPr>
          <w:vertAlign w:val="superscript"/>
        </w:rPr>
        <w:footnoteReference w:id="5"/>
      </w:r>
      <w:r w:rsidRPr="006662F5">
        <w:t xml:space="preserve"> is another popular description of dilution, neither it nor the “infection” metaphor easily translates into a structure that can be used by a court to determine whether dilution has occurred or is likely to occur. Unfortunately, the statutes granting protection against dilution, particularly state laws, are of little assistance. The older state statutes do not define dilution; they simply allow relief if a “likelihood of dilution” is shown.</w:t>
      </w:r>
      <w:r w:rsidRPr="006662F5">
        <w:rPr>
          <w:vertAlign w:val="superscript"/>
        </w:rPr>
        <w:footnoteReference w:id="6"/>
      </w:r>
      <w:r w:rsidRPr="006662F5">
        <w:t xml:space="preserve"> Many newer state statutes emulating the 1992 or 1996 Model State Trademark Bill define dilution as</w:t>
      </w:r>
    </w:p>
    <w:p w:rsidR="00431229" w:rsidRPr="006662F5" w:rsidRDefault="00431229" w:rsidP="006662F5">
      <w:pPr>
        <w:pStyle w:val="blockquote"/>
      </w:pPr>
      <w:r w:rsidRPr="006662F5">
        <w:t>the lessening of the capacity of a famous mark to identify and distinguish goods or services, regardless of the presence or absence of—</w:t>
      </w:r>
    </w:p>
    <w:p w:rsidR="00431229" w:rsidRPr="006662F5" w:rsidRDefault="00431229" w:rsidP="006662F5">
      <w:pPr>
        <w:pStyle w:val="blockquote"/>
      </w:pPr>
      <w:r w:rsidRPr="006662F5">
        <w:t>(1) competition between the owner of the famous mark and other parties, or</w:t>
      </w:r>
    </w:p>
    <w:p w:rsidR="00431229" w:rsidRPr="006662F5" w:rsidRDefault="00431229" w:rsidP="006662F5">
      <w:pPr>
        <w:pStyle w:val="blockquote"/>
      </w:pPr>
      <w:r w:rsidRPr="006662F5">
        <w:t>(2) likelihood of confusion, mistake, or deception.</w:t>
      </w:r>
      <w:r w:rsidRPr="006662F5">
        <w:rPr>
          <w:vertAlign w:val="superscript"/>
        </w:rPr>
        <w:footnoteReference w:id="7"/>
      </w:r>
    </w:p>
    <w:p w:rsidR="00431229" w:rsidRPr="006662F5" w:rsidRDefault="00431229" w:rsidP="00073AC5">
      <w:pPr>
        <w:pStyle w:val="text"/>
      </w:pPr>
      <w:r w:rsidRPr="006662F5">
        <w:t>However, this definition has not proven particularly enlightening. Although the definition describes the end result—a reduction in a mark’s source identifying power—it says nothing about determining when or how that might occur. Thus, courts often have resorted to conclusory statements that give a result with little analysis.</w:t>
      </w:r>
      <w:r w:rsidRPr="006662F5">
        <w:rPr>
          <w:vertAlign w:val="superscript"/>
        </w:rPr>
        <w:footnoteReference w:id="8"/>
      </w:r>
      <w:r w:rsidRPr="006662F5">
        <w:t xml:space="preserve"> The amended version of the FTDA (the TDRA) and the 2007 version of the Model Bill do not have a single definition of dilution. Instead, the TDRA and the 2007 Model Bill recognize two categories of dilution—blurring and tarnishment—and have separate definitions of each: </w:t>
      </w:r>
    </w:p>
    <w:p w:rsidR="00431229" w:rsidRPr="006662F5" w:rsidRDefault="00431229" w:rsidP="00073AC5">
      <w:pPr>
        <w:pStyle w:val="bulletstart"/>
        <w:rPr>
          <w:rFonts w:cs="Times New Roman"/>
        </w:rPr>
      </w:pPr>
      <w:r w:rsidRPr="006662F5">
        <w:rPr>
          <w:rFonts w:cs="Times New Roman"/>
        </w:rPr>
        <w:t>•</w:t>
      </w:r>
      <w:r w:rsidRPr="006662F5">
        <w:rPr>
          <w:rFonts w:cs="Times New Roman"/>
        </w:rPr>
        <w:tab/>
        <w:t>“‘dilution by blurring’ is association arising from the similarity between a mark or trade name and a famous mark that impairs the distinctiveness of the famous mark”;</w:t>
      </w:r>
      <w:r w:rsidRPr="006662F5">
        <w:rPr>
          <w:rFonts w:cs="Times New Roman"/>
          <w:vertAlign w:val="superscript"/>
        </w:rPr>
        <w:footnoteReference w:id="9"/>
      </w:r>
      <w:r w:rsidRPr="006662F5">
        <w:rPr>
          <w:rFonts w:cs="Times New Roman"/>
        </w:rPr>
        <w:t xml:space="preserve"> </w:t>
      </w:r>
    </w:p>
    <w:p w:rsidR="00431229" w:rsidRPr="006662F5" w:rsidRDefault="00431229" w:rsidP="00073AC5">
      <w:pPr>
        <w:pStyle w:val="bulletend"/>
        <w:rPr>
          <w:rFonts w:cs="Times New Roman"/>
        </w:rPr>
      </w:pPr>
      <w:r w:rsidRPr="006662F5">
        <w:rPr>
          <w:rFonts w:cs="Times New Roman"/>
        </w:rPr>
        <w:t>•</w:t>
      </w:r>
      <w:r w:rsidRPr="006662F5">
        <w:rPr>
          <w:rFonts w:cs="Times New Roman"/>
        </w:rPr>
        <w:tab/>
        <w:t>“‘dilution by tarnishment’ is association arising from the similarity between a mark or trade name and a famous mark that harms the reputation of the famous mark.”</w:t>
      </w:r>
      <w:r w:rsidRPr="006662F5">
        <w:rPr>
          <w:rFonts w:cs="Times New Roman"/>
          <w:vertAlign w:val="superscript"/>
        </w:rPr>
        <w:footnoteReference w:id="10"/>
      </w:r>
    </w:p>
    <w:p w:rsidR="00431229" w:rsidRPr="006662F5" w:rsidRDefault="00431229" w:rsidP="00073AC5">
      <w:pPr>
        <w:pStyle w:val="text"/>
      </w:pPr>
      <w:r w:rsidRPr="006662F5">
        <w:t xml:space="preserve">These definitions give the additional explanation that dilution arises from an association. However, they do not specify how the reduction in distinctiveness or the harm to the mark’s reputation occurs or how one might measure it, particularly </w:t>
      </w:r>
      <w:r w:rsidRPr="006662F5">
        <w:rPr>
          <w:i/>
          <w:iCs/>
        </w:rPr>
        <w:t>before</w:t>
      </w:r>
      <w:r w:rsidRPr="006662F5">
        <w:t xml:space="preserve"> it occurs.</w:t>
      </w:r>
      <w:r w:rsidRPr="006662F5">
        <w:rPr>
          <w:vertAlign w:val="superscript"/>
        </w:rPr>
        <w:footnoteReference w:id="11"/>
      </w:r>
    </w:p>
    <w:p w:rsidR="00431229" w:rsidRPr="006662F5" w:rsidRDefault="00431229" w:rsidP="00073AC5">
      <w:pPr>
        <w:pStyle w:val="text"/>
      </w:pPr>
      <w:r w:rsidRPr="006662F5">
        <w:t>There are a number of explanations for this problem. First, unlike the concept of infringement by confusion, the process of dilution does not seem to be well understood. Dilution posits a transition from a mark that is well known to the public as denoting a particular source, and that is accompanied by various positive attributes, to a mark with little distinction, not overwhelmingly signifying a single source or a single set of attributes to consumers. But empirical demonstration of this process is notably lacking.</w:t>
      </w:r>
      <w:r w:rsidRPr="006662F5">
        <w:rPr>
          <w:vertAlign w:val="superscript"/>
        </w:rPr>
        <w:footnoteReference w:id="12"/>
      </w:r>
      <w:r w:rsidRPr="006662F5">
        <w:t xml:space="preserve"> By contrast, numerous cases contain actual evidence of confusion, and the process is better understood.</w:t>
      </w:r>
    </w:p>
    <w:p w:rsidR="00431229" w:rsidRPr="006662F5" w:rsidRDefault="00431229" w:rsidP="00073AC5">
      <w:pPr>
        <w:pStyle w:val="text"/>
      </w:pPr>
      <w:r w:rsidRPr="006662F5">
        <w:t>Second, courts have always been wary of dilution, lest it preempt traditional infringement by confusion.</w:t>
      </w:r>
      <w:r w:rsidRPr="006662F5">
        <w:rPr>
          <w:vertAlign w:val="superscript"/>
        </w:rPr>
        <w:footnoteReference w:id="13"/>
      </w:r>
      <w:r w:rsidRPr="006662F5">
        <w:t xml:space="preserve"> Traditional infringement has its roots in consumer protection and unfair competition. Dilution, by contrast, has attributes more akin to property rights than unfair competition.</w:t>
      </w:r>
      <w:r w:rsidRPr="006662F5">
        <w:rPr>
          <w:vertAlign w:val="superscript"/>
        </w:rPr>
        <w:footnoteReference w:id="14"/>
      </w:r>
      <w:r w:rsidRPr="006662F5">
        <w:t xml:space="preserve"> This cuts directly against the norm of trademark law, which has long denied that trademarks are property interests, freely alienable like copyrights.</w:t>
      </w:r>
      <w:r w:rsidRPr="006662F5">
        <w:rPr>
          <w:vertAlign w:val="superscript"/>
        </w:rPr>
        <w:footnoteReference w:id="15"/>
      </w:r>
      <w:r w:rsidRPr="006662F5">
        <w:t xml:space="preserve"> Courts have difficulty accepting a doctrine that seemingly protects “distinctive” marks against </w:t>
      </w:r>
      <w:r w:rsidRPr="006662F5">
        <w:rPr>
          <w:i/>
          <w:iCs/>
        </w:rPr>
        <w:t>any</w:t>
      </w:r>
      <w:r w:rsidRPr="006662F5">
        <w:t xml:space="preserve"> other use of the mark.</w:t>
      </w:r>
    </w:p>
    <w:p w:rsidR="00431229" w:rsidRPr="006662F5" w:rsidRDefault="00431229" w:rsidP="00073AC5">
      <w:pPr>
        <w:pStyle w:val="text"/>
      </w:pPr>
      <w:r w:rsidRPr="006662F5">
        <w:t>Third, dilution is a gradual process. The “whittling away” description assumes that several other uses of the mark would have to appear before the bond between the consumer and the mark were severed (or that one other use would have to last a long time). However, this makes it very difficult to trace dilution to any single case.</w:t>
      </w:r>
    </w:p>
    <w:p w:rsidR="00431229" w:rsidRPr="006662F5" w:rsidRDefault="00431229" w:rsidP="00073AC5">
      <w:pPr>
        <w:pStyle w:val="text"/>
      </w:pPr>
      <w:r w:rsidRPr="006662F5">
        <w:t>Fourth, courts have found it difficult to create a test that allows a judge (or jury) to apply a given set of facts to an analytical framework and come to a reasoned conclusion about dilution. This problem is related to the first three, but compounds the difficulty. Without a test, it is also difficult to counsel clients about possible liability.</w:t>
      </w:r>
    </w:p>
    <w:p w:rsidR="00431229" w:rsidRPr="006662F5" w:rsidRDefault="00431229" w:rsidP="00073AC5">
      <w:pPr>
        <w:pStyle w:val="text"/>
      </w:pPr>
      <w:r w:rsidRPr="006662F5">
        <w:t>Fifth, courts and commentators have described more than one way in which dilution can occur.</w:t>
      </w:r>
      <w:r w:rsidRPr="006662F5">
        <w:rPr>
          <w:vertAlign w:val="superscript"/>
        </w:rPr>
        <w:footnoteReference w:id="16"/>
      </w:r>
      <w:r w:rsidRPr="006662F5">
        <w:t xml:space="preserve"> In some cases, dilution is said to occur by “blurring.”</w:t>
      </w:r>
      <w:r w:rsidRPr="006662F5">
        <w:rPr>
          <w:vertAlign w:val="superscript"/>
        </w:rPr>
        <w:footnoteReference w:id="17"/>
      </w:r>
      <w:r w:rsidRPr="006662F5">
        <w:t xml:space="preserve"> This is essentially the “whittling away” model, where another use “blurs” the identification of the mark with a single source. In other cases, dilution is said to be caused by “tarnishment,” where a second use invites unsavory associations with the mark.</w:t>
      </w:r>
      <w:r w:rsidRPr="006662F5">
        <w:rPr>
          <w:vertAlign w:val="superscript"/>
        </w:rPr>
        <w:footnoteReference w:id="18"/>
      </w:r>
      <w:r w:rsidRPr="006662F5">
        <w:t xml:space="preserve"> Other courts have posited the existence of additional dilution categories.</w:t>
      </w:r>
      <w:r w:rsidRPr="006662F5">
        <w:rPr>
          <w:vertAlign w:val="superscript"/>
        </w:rPr>
        <w:footnoteReference w:id="19"/>
      </w:r>
      <w:r w:rsidRPr="006662F5">
        <w:t xml:space="preserve"> This further indicates a lack of consistency and cohesion in assessing dilution.</w:t>
      </w:r>
    </w:p>
    <w:p w:rsidR="00431229" w:rsidRPr="006662F5" w:rsidRDefault="00431229" w:rsidP="00073AC5">
      <w:pPr>
        <w:pStyle w:val="2ndLevelHeadA0"/>
        <w:rPr>
          <w:rFonts w:cs="Times New Roman"/>
        </w:rPr>
      </w:pPr>
      <w:r w:rsidRPr="006662F5">
        <w:rPr>
          <w:rFonts w:cs="Times New Roman"/>
        </w:rPr>
        <w:t>B.</w:t>
      </w:r>
      <w:r w:rsidRPr="006662F5">
        <w:rPr>
          <w:rFonts w:cs="Times New Roman"/>
        </w:rPr>
        <w:tab/>
        <w:t>The Consumer’s Mental State Resulting From Dilution: Source Distraction</w:t>
      </w:r>
    </w:p>
    <w:p w:rsidR="00431229" w:rsidRPr="006662F5" w:rsidRDefault="00431229" w:rsidP="00073AC5">
      <w:pPr>
        <w:pStyle w:val="text"/>
      </w:pPr>
      <w:r w:rsidRPr="006662F5">
        <w:t>Perhaps the most difficult aspect of dilution is describing the concept with some precision. As noted in the previous section, the task is made more difficult by the different categories of dilution recognized by the courts. These categories are not always consistent with a single description of dilution.</w:t>
      </w:r>
    </w:p>
    <w:p w:rsidR="00431229" w:rsidRPr="006662F5" w:rsidRDefault="00431229" w:rsidP="00073AC5">
      <w:pPr>
        <w:pStyle w:val="text"/>
      </w:pPr>
      <w:r w:rsidRPr="006662F5">
        <w:t>The Schecterian concept of “whittling away” is a beginning.</w:t>
      </w:r>
      <w:r w:rsidRPr="006662F5">
        <w:rPr>
          <w:vertAlign w:val="superscript"/>
        </w:rPr>
        <w:footnoteReference w:id="20"/>
      </w:r>
      <w:r w:rsidRPr="006662F5">
        <w:t xml:space="preserve"> It indicates an incremental process by which the mark’s uniqueness as a source identifier is dissipated. The second key element is the explicit elimination of any requirement of confusion.</w:t>
      </w:r>
      <w:r w:rsidRPr="006662F5">
        <w:rPr>
          <w:vertAlign w:val="superscript"/>
        </w:rPr>
        <w:footnoteReference w:id="21"/>
      </w:r>
      <w:r w:rsidRPr="006662F5">
        <w:t xml:space="preserve"> This means that dilution does not require any misunderstanding on the part of consumers; indeed, its premise is that consumers will understand the lack of any connection between the two users of the mark. This does not mean that consumers will make no connection between the two users. In fact, the second use must conjure some association with the first use for dilution to occur. Obviously, this means that the first user must be sufficiently known to the consumer such that this association will occur. That is one reason why only trademarks with a high degree of distinctiveness should be considered for this kind of protection.</w:t>
      </w:r>
      <w:r w:rsidRPr="006662F5">
        <w:rPr>
          <w:vertAlign w:val="superscript"/>
        </w:rPr>
        <w:footnoteReference w:id="22"/>
      </w:r>
      <w:r w:rsidRPr="006662F5">
        <w:t xml:space="preserve"> Lesser-known marks would not be conjured up or called to mind by another user of the mark. Moreover, if the second use is not sufficiently similar to the first use, then the proper association will not occur.</w:t>
      </w:r>
      <w:r w:rsidRPr="006662F5">
        <w:rPr>
          <w:vertAlign w:val="superscript"/>
        </w:rPr>
        <w:footnoteReference w:id="23"/>
      </w:r>
    </w:p>
    <w:p w:rsidR="00431229" w:rsidRPr="006662F5" w:rsidRDefault="00431229" w:rsidP="00073AC5">
      <w:pPr>
        <w:pStyle w:val="text"/>
      </w:pPr>
      <w:r w:rsidRPr="006662F5">
        <w:t xml:space="preserve">But the process does not end with the second user calling to mind another, “distinctive” mark. That is only the first step. Once the mental association is made, the consumer must realize something </w:t>
      </w:r>
      <w:r w:rsidRPr="006662F5">
        <w:rPr>
          <w:i/>
          <w:iCs/>
        </w:rPr>
        <w:t>that he or she did not know before,</w:t>
      </w:r>
      <w:r w:rsidRPr="006662F5">
        <w:t xml:space="preserve"> namely, that the two users are not connected and that there are now two distinct users of the same trademark. The third step is the actual damage to the mark’s distinctiveness or selling power. In addition to conjuring up the first user and informing the consumer of a second distinct user, the second use must also lessen (even if incrementally) the probability that, upon seeing or hearing (in the case of a word mark) the first user’s mark, the consumer automatically will think of the first user.</w:t>
      </w:r>
      <w:r w:rsidRPr="006662F5">
        <w:rPr>
          <w:vertAlign w:val="superscript"/>
        </w:rPr>
        <w:footnoteReference w:id="24"/>
      </w:r>
      <w:r w:rsidRPr="006662F5">
        <w:t xml:space="preserve"> The idea behind dilution is that the perceived bond between the mark and the first user will be weakened, so that the consumer will not always think of the first user—sometimes it will think of another user. In short, diluting uses are </w:t>
      </w:r>
      <w:r w:rsidRPr="006662F5">
        <w:rPr>
          <w:i/>
          <w:iCs/>
        </w:rPr>
        <w:t>source distractors</w:t>
      </w:r>
      <w:r w:rsidRPr="006662F5">
        <w:t>. They turn one’s attention away from the well-known source to another source. This source distraction causes two potential harms: (1) forcing the first user to advertise in a way that makes clear which user is the source of the goods or services being advertised under the brand name (instead of simply using the mark as the automatic symbol of the goods), and (2) making brand extensions to other products more complicated.</w:t>
      </w:r>
    </w:p>
    <w:p w:rsidR="00431229" w:rsidRPr="006662F5" w:rsidRDefault="00431229" w:rsidP="00073AC5">
      <w:pPr>
        <w:pStyle w:val="text"/>
      </w:pPr>
      <w:r w:rsidRPr="006662F5">
        <w:t>The foregoing discussion describes dilution by blurring.</w:t>
      </w:r>
      <w:r w:rsidRPr="006662F5">
        <w:rPr>
          <w:vertAlign w:val="superscript"/>
        </w:rPr>
        <w:footnoteReference w:id="25"/>
      </w:r>
      <w:r w:rsidRPr="006662F5">
        <w:t xml:space="preserve"> To understand tarnishment, as opposed to blurring, one must consider an alternative to the last step of dilution. Instead of considering the key as the mark referring to a single source, one must view the mark as creating a connection between the consumer and the brand that is composed of various “good feelings.” A second user whose products are either of poor quality or associated with particularly bad “feelings” (such as drug use or pornography) might cause the good feelings generated by the distinctive mark to be infiltrated by the bad feelings generated by the second user. This form of dilution, known as tarnishment, creates problems not presented by the conventional concept of dilution. It is discussed in more detail below.</w:t>
      </w:r>
      <w:r w:rsidRPr="006662F5">
        <w:rPr>
          <w:vertAlign w:val="superscript"/>
        </w:rPr>
        <w:footnoteReference w:id="26"/>
      </w:r>
    </w:p>
    <w:p w:rsidR="00431229" w:rsidRPr="006662F5" w:rsidRDefault="00431229" w:rsidP="00073AC5">
      <w:pPr>
        <w:pStyle w:val="text"/>
      </w:pPr>
      <w:r w:rsidRPr="006662F5">
        <w:t xml:space="preserve">In either event, it is the last step, the breaking of the consumer’s usual bond with the brand name, that often poses the most difficult problem for dilution cases. Although many state statutes require only that there be a “likelihood” of dilution, how one demonstrates a causal link—that </w:t>
      </w:r>
      <w:r w:rsidRPr="006662F5">
        <w:rPr>
          <w:i/>
          <w:iCs/>
        </w:rPr>
        <w:t>this</w:t>
      </w:r>
      <w:r w:rsidRPr="006662F5">
        <w:t xml:space="preserve"> use is </w:t>
      </w:r>
      <w:r w:rsidRPr="006662F5">
        <w:rPr>
          <w:i/>
          <w:iCs/>
        </w:rPr>
        <w:t>likely</w:t>
      </w:r>
      <w:r w:rsidRPr="006662F5">
        <w:t xml:space="preserve"> to sever the bond—is not obvious. Moreover, most state statutes protect against uses that “cause[] dilution.” The FTDA originally used this same language, and it was held to require a showing of </w:t>
      </w:r>
      <w:r w:rsidRPr="006662F5">
        <w:rPr>
          <w:i/>
          <w:iCs/>
        </w:rPr>
        <w:t>actual</w:t>
      </w:r>
      <w:r w:rsidRPr="006662F5">
        <w:t xml:space="preserve"> dilution,</w:t>
      </w:r>
      <w:r w:rsidRPr="006662F5">
        <w:rPr>
          <w:vertAlign w:val="superscript"/>
        </w:rPr>
        <w:footnoteReference w:id="27"/>
      </w:r>
      <w:r w:rsidRPr="006662F5">
        <w:t xml:space="preserve"> further complicating the problem of assessing whether the elements of a dilution claim have been satisfied.</w:t>
      </w:r>
      <w:r w:rsidRPr="006662F5">
        <w:rPr>
          <w:vertAlign w:val="superscript"/>
        </w:rPr>
        <w:footnoteReference w:id="28"/>
      </w:r>
    </w:p>
    <w:p w:rsidR="00431229" w:rsidRPr="006662F5" w:rsidRDefault="00431229" w:rsidP="00073AC5">
      <w:pPr>
        <w:pStyle w:val="2ndLevelHeadA0"/>
        <w:rPr>
          <w:rFonts w:cs="Times New Roman"/>
        </w:rPr>
      </w:pPr>
      <w:r w:rsidRPr="006662F5">
        <w:rPr>
          <w:rFonts w:cs="Times New Roman"/>
        </w:rPr>
        <w:t>C.</w:t>
      </w:r>
      <w:r w:rsidRPr="006662F5">
        <w:rPr>
          <w:rFonts w:cs="Times New Roman"/>
        </w:rPr>
        <w:tab/>
        <w:t>Dilution Is Not a Substitute for a Weak Confusion Case</w:t>
      </w:r>
    </w:p>
    <w:p w:rsidR="00431229" w:rsidRPr="006662F5" w:rsidRDefault="00431229" w:rsidP="00073AC5">
      <w:pPr>
        <w:pStyle w:val="text"/>
      </w:pPr>
      <w:r w:rsidRPr="006662F5">
        <w:t>As described in Chapter 1, dilution began as a means of extending the existing theory of trademark infringement to encompass, particularly, noncompeting goods and to give added protection to a small class of marks.</w:t>
      </w:r>
      <w:r>
        <w:rPr>
          <w:rStyle w:val="FootnoteReference"/>
        </w:rPr>
        <w:footnoteReference w:id="29"/>
      </w:r>
      <w:r w:rsidRPr="006662F5">
        <w:t xml:space="preserve"> The mental state required for dilution is, in theory, not that of confusion.</w:t>
      </w:r>
      <w:r w:rsidRPr="006662F5">
        <w:rPr>
          <w:vertAlign w:val="superscript"/>
        </w:rPr>
        <w:footnoteReference w:id="30"/>
      </w:r>
      <w:r w:rsidRPr="006662F5">
        <w:t xml:space="preserve"> In short, dilution is an extension of trademark infringement, not a subset or a substitute. As one court aptly noted, “[d]ilution laws are intended to address specific harms; they are not intended to serve as mere fallback protection for trademark owners unable to prove trademark infringement.”</w:t>
      </w:r>
      <w:r w:rsidRPr="006662F5">
        <w:rPr>
          <w:vertAlign w:val="superscript"/>
        </w:rPr>
        <w:footnoteReference w:id="31"/>
      </w:r>
      <w:r w:rsidRPr="006662F5">
        <w:t xml:space="preserve"> </w:t>
      </w:r>
    </w:p>
    <w:p w:rsidR="00431229" w:rsidRPr="006662F5" w:rsidRDefault="00431229" w:rsidP="00073AC5">
      <w:pPr>
        <w:pStyle w:val="text"/>
      </w:pPr>
      <w:r w:rsidRPr="006662F5">
        <w:t xml:space="preserve">When a plaintiff tries but fails to show confusion, courts should examine a dilution claim with a view to whether there is some </w:t>
      </w:r>
      <w:r w:rsidRPr="006662F5">
        <w:rPr>
          <w:i/>
          <w:iCs/>
        </w:rPr>
        <w:t>separate</w:t>
      </w:r>
      <w:r w:rsidRPr="006662F5">
        <w:t xml:space="preserve"> harm not addressed by confusion but appropriately addressed by a more powerful, yet more limited remedy. In particular, extra care should be taken to scrutinize claims of distinctiveness and similarity to be sure that the wrong being addressed is not simply confusion in another form. Dilution is a very strong mode of trademark protection and should be reserved for situations requiring strong measures. Moreover, the FTDA and TDRA models of dilution, which have since been emulated by the Model State Trademark Bill, demonstrate that Congress intended that courts should be concerned with possible overuse. The statutes (and the Model Bill) limited protection to famous marks, added specific exclusions to protect speech interests, and conspicuously admonished courts that </w:t>
      </w:r>
      <w:r w:rsidRPr="006662F5">
        <w:rPr>
          <w:i/>
          <w:iCs/>
        </w:rPr>
        <w:t>any</w:t>
      </w:r>
      <w:r w:rsidRPr="006662F5">
        <w:t xml:space="preserve"> relief is “subject to the principles of equity.” These limits should guide courts in their interpretation of the TDRA and the state dilution statutes.</w:t>
      </w:r>
    </w:p>
    <w:p w:rsidR="00431229" w:rsidRPr="006662F5" w:rsidRDefault="00431229" w:rsidP="00073AC5">
      <w:pPr>
        <w:pStyle w:val="1stLevelHeadII"/>
        <w:rPr>
          <w:rFonts w:cs="Times New Roman"/>
        </w:rPr>
      </w:pPr>
      <w:r w:rsidRPr="006662F5">
        <w:rPr>
          <w:rFonts w:cs="Times New Roman"/>
        </w:rPr>
        <w:t>II.</w:t>
      </w:r>
      <w:r w:rsidRPr="006662F5">
        <w:rPr>
          <w:rFonts w:cs="Times New Roman"/>
        </w:rPr>
        <w:t> </w:t>
      </w:r>
      <w:r w:rsidRPr="006662F5">
        <w:rPr>
          <w:rFonts w:cs="Times New Roman"/>
        </w:rPr>
        <w:t>Analyzing Dilution: The Early Cases Under</w:t>
      </w:r>
      <w:r w:rsidRPr="006662F5">
        <w:rPr>
          <w:rFonts w:cs="Times New Roman"/>
        </w:rPr>
        <w:br/>
        <w:t>State Dilution Laws</w:t>
      </w:r>
    </w:p>
    <w:p w:rsidR="00431229" w:rsidRPr="006662F5" w:rsidRDefault="00431229" w:rsidP="00073AC5">
      <w:pPr>
        <w:pStyle w:val="2ndLevel1"/>
        <w:rPr>
          <w:rFonts w:cs="Times New Roman"/>
        </w:rPr>
      </w:pPr>
      <w:r w:rsidRPr="006662F5">
        <w:rPr>
          <w:rFonts w:cs="Times New Roman"/>
        </w:rPr>
        <w:t>A.</w:t>
      </w:r>
      <w:r w:rsidRPr="006662F5">
        <w:rPr>
          <w:rFonts w:cs="Times New Roman"/>
        </w:rPr>
        <w:tab/>
        <w:t>Early Interpretations of State Dilution Laws</w:t>
      </w:r>
    </w:p>
    <w:p w:rsidR="00431229" w:rsidRPr="006662F5" w:rsidRDefault="00431229" w:rsidP="00073AC5">
      <w:pPr>
        <w:pStyle w:val="text"/>
      </w:pPr>
      <w:r w:rsidRPr="006662F5">
        <w:t>In the very few early cases brought under state dilution statutes, the courts exhibited caution in analyzing the issue. Dilution was almost never invoked as the sole ground in support of a finding of liability,</w:t>
      </w:r>
      <w:r w:rsidRPr="006662F5">
        <w:rPr>
          <w:vertAlign w:val="superscript"/>
        </w:rPr>
        <w:footnoteReference w:id="32"/>
      </w:r>
      <w:r w:rsidRPr="006662F5">
        <w:t xml:space="preserve"> and seldom even used as an alternative ground for relief.</w:t>
      </w:r>
      <w:r w:rsidRPr="006662F5">
        <w:rPr>
          <w:vertAlign w:val="superscript"/>
        </w:rPr>
        <w:footnoteReference w:id="33"/>
      </w:r>
      <w:r w:rsidRPr="006662F5">
        <w:t xml:space="preserve"> In many of the early decisions, the courts indicated that some likelihood of confusion (or, in some cases, “unfair intent”) was required before the statute could apply,</w:t>
      </w:r>
      <w:r w:rsidRPr="006662F5">
        <w:rPr>
          <w:vertAlign w:val="superscript"/>
        </w:rPr>
        <w:footnoteReference w:id="34"/>
      </w:r>
      <w:r w:rsidRPr="006662F5">
        <w:t xml:space="preserve"> despite clear statutory language that confusion was not required.</w:t>
      </w:r>
    </w:p>
    <w:p w:rsidR="00431229" w:rsidRPr="006662F5" w:rsidRDefault="00431229" w:rsidP="00073AC5">
      <w:pPr>
        <w:pStyle w:val="text"/>
      </w:pPr>
      <w:r w:rsidRPr="006662F5">
        <w:t xml:space="preserve">Two cases in the U.S. District Court for the District of Massachusetts, decided in the first decade after the Massachusetts dilution statute was enacted, illustrate the courts’ cautious approach to the new statute. In </w:t>
      </w:r>
      <w:r w:rsidRPr="006662F5">
        <w:rPr>
          <w:i/>
          <w:iCs/>
        </w:rPr>
        <w:t>Esquire, Inc</w:t>
      </w:r>
      <w:r w:rsidRPr="006662F5">
        <w:t>.</w:t>
      </w:r>
      <w:r w:rsidRPr="006662F5">
        <w:rPr>
          <w:i/>
          <w:iCs/>
        </w:rPr>
        <w:t xml:space="preserve"> v</w:t>
      </w:r>
      <w:r w:rsidRPr="006662F5">
        <w:t xml:space="preserve">. </w:t>
      </w:r>
      <w:r w:rsidRPr="006662F5">
        <w:rPr>
          <w:i/>
          <w:iCs/>
        </w:rPr>
        <w:t>Esquire Slipper Manufacturing Co</w:t>
      </w:r>
      <w:r w:rsidRPr="006662F5">
        <w:t>.,</w:t>
      </w:r>
      <w:r w:rsidRPr="006662F5">
        <w:rPr>
          <w:vertAlign w:val="superscript"/>
        </w:rPr>
        <w:footnoteReference w:id="35"/>
      </w:r>
      <w:r w:rsidRPr="006662F5">
        <w:t xml:space="preserve"> the publisher of </w:t>
      </w:r>
      <w:r w:rsidRPr="006662F5">
        <w:rPr>
          <w:i/>
          <w:iCs/>
        </w:rPr>
        <w:t>Esquire</w:t>
      </w:r>
      <w:r w:rsidRPr="006662F5">
        <w:t xml:space="preserve"> magazine sued a maker of slippers over the latter’s use of Esquire as both a trademark and a trade name.</w:t>
      </w:r>
      <w:r w:rsidRPr="006662F5">
        <w:rPr>
          <w:vertAlign w:val="superscript"/>
        </w:rPr>
        <w:footnoteReference w:id="36"/>
      </w:r>
      <w:r w:rsidRPr="006662F5">
        <w:t xml:space="preserve"> The court acknowledged that “[t]his is obviously a dilution case, for clearly the parties are not directly competing with one another in the sale of similar goods.”</w:t>
      </w:r>
      <w:r w:rsidRPr="006662F5">
        <w:rPr>
          <w:vertAlign w:val="superscript"/>
        </w:rPr>
        <w:footnoteReference w:id="37"/>
      </w:r>
      <w:r w:rsidRPr="006662F5">
        <w:t xml:space="preserve"> Although it conceded that </w:t>
      </w:r>
      <w:r w:rsidRPr="006662F5">
        <w:rPr>
          <w:i/>
          <w:iCs/>
        </w:rPr>
        <w:t>Esquire</w:t>
      </w:r>
      <w:r w:rsidRPr="006662F5">
        <w:t xml:space="preserve"> magazine was very well known, the court was unwilling to protect this mark, which was “not a coined word but one firmly established in the English vocabulary,” from dilution.</w:t>
      </w:r>
      <w:r w:rsidRPr="006662F5">
        <w:rPr>
          <w:vertAlign w:val="superscript"/>
        </w:rPr>
        <w:footnoteReference w:id="38"/>
      </w:r>
      <w:r w:rsidRPr="006662F5">
        <w:t xml:space="preserve"> The court stated: “We do not think a trader can pluck a word with favorable connotations for his goods or services out of the general vocabulary and appropriate it to his exclusive use no matter how much effort and money he may expend in the attempt.”</w:t>
      </w:r>
      <w:r w:rsidRPr="006662F5">
        <w:rPr>
          <w:vertAlign w:val="superscript"/>
        </w:rPr>
        <w:footnoteReference w:id="39"/>
      </w:r>
    </w:p>
    <w:p w:rsidR="00431229" w:rsidRPr="006662F5" w:rsidRDefault="00431229" w:rsidP="00073AC5">
      <w:pPr>
        <w:pStyle w:val="text"/>
      </w:pPr>
      <w:r w:rsidRPr="006662F5">
        <w:t>Analyzing the reach of the Massachusetts dilution law, the court rejected the idea “that in Massachusetts courts of equity … give the plaintiff injunctive relief no matter how weak the plaintiff’s mark may be, against a defendant whose actions create any likelihood of dilution of whatever distinctive quality the plaintiff’s mark may have.”</w:t>
      </w:r>
      <w:r w:rsidRPr="006662F5">
        <w:rPr>
          <w:vertAlign w:val="superscript"/>
        </w:rPr>
        <w:footnoteReference w:id="40"/>
      </w:r>
      <w:r w:rsidRPr="006662F5">
        <w:t xml:space="preserve"> It regarded the Massachusetts statute as “permissive” in dilution cases, rather than mandatory, giving courts broad discretion as to the granting of injunctive relief.</w:t>
      </w:r>
      <w:r w:rsidRPr="006662F5">
        <w:rPr>
          <w:vertAlign w:val="superscript"/>
        </w:rPr>
        <w:footnoteReference w:id="41"/>
      </w:r>
    </w:p>
    <w:p w:rsidR="00431229" w:rsidRDefault="00431229" w:rsidP="00073AC5">
      <w:pPr>
        <w:pStyle w:val="text"/>
      </w:pPr>
      <w:r w:rsidRPr="006662F5">
        <w:t>In an earlier case, the same court rejected a dilution claim by the owner of the Jewelite mark against a competitor who used the mark Gemlite.</w:t>
      </w:r>
      <w:r w:rsidRPr="006662F5">
        <w:rPr>
          <w:vertAlign w:val="superscript"/>
        </w:rPr>
        <w:footnoteReference w:id="42"/>
      </w:r>
      <w:r w:rsidRPr="006662F5">
        <w:t xml:space="preserve"> The court stated that dilution was not applicable where the marks were “not similar” and where the goods were competing.</w:t>
      </w:r>
      <w:r w:rsidRPr="006662F5">
        <w:rPr>
          <w:vertAlign w:val="superscript"/>
        </w:rPr>
        <w:footnoteReference w:id="43"/>
      </w:r>
      <w:r w:rsidRPr="006662F5">
        <w:t xml:space="preserve"> The court also found the Jewelite mark to be a weak one.</w:t>
      </w:r>
      <w:r w:rsidRPr="006662F5">
        <w:rPr>
          <w:vertAlign w:val="superscript"/>
        </w:rPr>
        <w:footnoteReference w:id="44"/>
      </w:r>
      <w:r>
        <w:t xml:space="preserve"> </w:t>
      </w:r>
    </w:p>
    <w:p w:rsidR="00431229" w:rsidRPr="006662F5" w:rsidRDefault="00431229" w:rsidP="00073AC5">
      <w:pPr>
        <w:pStyle w:val="text"/>
      </w:pPr>
      <w:r w:rsidRPr="008214DA">
        <w:t>The early attitude toward dilution claims is summarized by a 1970 decision of the Trademark Trial and Appeal Board, which stated that in “the great majority of cases where the issue of trademark di</w:t>
      </w:r>
      <w:r w:rsidRPr="008214DA">
        <w:rPr>
          <w:w w:val="102"/>
        </w:rPr>
        <w:t xml:space="preserve">lution has been raised in this state [i.e., New York] it has been rejected as a ground for relief unless a likelihood of confusion has </w:t>
      </w:r>
      <w:r w:rsidRPr="008214DA">
        <w:t>been shown.”</w:t>
      </w:r>
      <w:r w:rsidRPr="008214DA">
        <w:rPr>
          <w:vertAlign w:val="superscript"/>
        </w:rPr>
        <w:footnoteReference w:id="45"/>
      </w:r>
    </w:p>
    <w:p w:rsidR="00431229" w:rsidRPr="006662F5" w:rsidRDefault="00431229" w:rsidP="00073AC5">
      <w:pPr>
        <w:pStyle w:val="text"/>
      </w:pPr>
      <w:r w:rsidRPr="006662F5">
        <w:t xml:space="preserve">In one early case, </w:t>
      </w:r>
      <w:r w:rsidRPr="006662F5">
        <w:rPr>
          <w:i/>
          <w:iCs/>
        </w:rPr>
        <w:t>Polaroid Corp</w:t>
      </w:r>
      <w:r w:rsidRPr="006662F5">
        <w:t>.</w:t>
      </w:r>
      <w:r w:rsidRPr="006662F5">
        <w:rPr>
          <w:i/>
          <w:iCs/>
        </w:rPr>
        <w:t xml:space="preserve"> v</w:t>
      </w:r>
      <w:r w:rsidRPr="006662F5">
        <w:t>.</w:t>
      </w:r>
      <w:r w:rsidRPr="006662F5">
        <w:rPr>
          <w:i/>
          <w:iCs/>
        </w:rPr>
        <w:t xml:space="preserve"> Polaraid, Inc</w:t>
      </w:r>
      <w:r w:rsidRPr="006662F5">
        <w:t>.,</w:t>
      </w:r>
      <w:r w:rsidRPr="006662F5">
        <w:rPr>
          <w:vertAlign w:val="superscript"/>
        </w:rPr>
        <w:footnoteReference w:id="46"/>
      </w:r>
      <w:r w:rsidRPr="006662F5">
        <w:t xml:space="preserve"> a federal appeals court did apply the Illinois dilution statute in favor of a plaintiff.</w:t>
      </w:r>
      <w:r w:rsidRPr="006662F5">
        <w:rPr>
          <w:vertAlign w:val="superscript"/>
        </w:rPr>
        <w:footnoteReference w:id="47"/>
      </w:r>
      <w:r w:rsidRPr="006662F5">
        <w:t xml:space="preserve"> However, the dilution claim was an alternative ground for relief, since the court also found a likelihood of confusion.</w:t>
      </w:r>
      <w:r w:rsidRPr="006662F5">
        <w:rPr>
          <w:vertAlign w:val="superscript"/>
        </w:rPr>
        <w:footnoteReference w:id="48"/>
      </w:r>
    </w:p>
    <w:p w:rsidR="00431229" w:rsidRPr="006662F5" w:rsidRDefault="00431229" w:rsidP="00073AC5">
      <w:pPr>
        <w:pStyle w:val="2ndLevelHeadA0"/>
        <w:rPr>
          <w:rFonts w:cs="Times New Roman"/>
        </w:rPr>
      </w:pPr>
      <w:r w:rsidRPr="006662F5">
        <w:rPr>
          <w:rFonts w:cs="Times New Roman"/>
        </w:rPr>
        <w:t>B.</w:t>
      </w:r>
      <w:r w:rsidRPr="006662F5">
        <w:rPr>
          <w:rFonts w:cs="Times New Roman"/>
        </w:rPr>
        <w:tab/>
        <w:t xml:space="preserve">The </w:t>
      </w:r>
      <w:r w:rsidRPr="006662F5">
        <w:rPr>
          <w:rFonts w:cs="Times New Roman"/>
          <w:i/>
          <w:iCs w:val="0"/>
        </w:rPr>
        <w:t>Allied</w:t>
      </w:r>
      <w:r w:rsidRPr="006662F5">
        <w:rPr>
          <w:rFonts w:cs="Times New Roman"/>
        </w:rPr>
        <w:t xml:space="preserve"> Case and the Acceptance of Dilution</w:t>
      </w:r>
    </w:p>
    <w:p w:rsidR="00431229" w:rsidRPr="006662F5" w:rsidRDefault="00431229" w:rsidP="00073AC5">
      <w:pPr>
        <w:pStyle w:val="text"/>
      </w:pPr>
      <w:r w:rsidRPr="006662F5">
        <w:t>As noted in the previous section, until the late 1970s, few courts actually applied state dilution statutes to give true dilution relief.</w:t>
      </w:r>
      <w:r w:rsidRPr="006662F5">
        <w:rPr>
          <w:vertAlign w:val="superscript"/>
        </w:rPr>
        <w:footnoteReference w:id="49"/>
      </w:r>
      <w:r w:rsidRPr="006662F5">
        <w:t xml:space="preserve"> A large number of courts required a showing of likelihood of confusion,</w:t>
      </w:r>
      <w:r w:rsidRPr="006662F5">
        <w:rPr>
          <w:vertAlign w:val="superscript"/>
        </w:rPr>
        <w:footnoteReference w:id="50"/>
      </w:r>
      <w:r w:rsidRPr="006662F5">
        <w:t xml:space="preserve"> even though the statutes specifically disclaimed any requirement of confusion.</w:t>
      </w:r>
      <w:r w:rsidRPr="006662F5">
        <w:rPr>
          <w:vertAlign w:val="superscript"/>
        </w:rPr>
        <w:footnoteReference w:id="51"/>
      </w:r>
      <w:r w:rsidRPr="006662F5">
        <w:t xml:space="preserve"> Obviously, a requirement of confusion would make dilution statutes inconsequential because they would be redundant of federal and state trademark infringement law.</w:t>
      </w:r>
      <w:r w:rsidRPr="006662F5">
        <w:rPr>
          <w:vertAlign w:val="superscript"/>
        </w:rPr>
        <w:footnoteReference w:id="52"/>
      </w:r>
      <w:r w:rsidRPr="006662F5">
        <w:t xml:space="preserve"> Not until there was a forceful judicial reminder about the language of the statute did courts begin to consider dilution statutes as a truly separate form of relief.</w:t>
      </w:r>
    </w:p>
    <w:p w:rsidR="00431229" w:rsidRPr="006662F5" w:rsidRDefault="00431229" w:rsidP="00073AC5">
      <w:pPr>
        <w:pStyle w:val="text"/>
      </w:pPr>
      <w:r w:rsidRPr="006662F5">
        <w:t xml:space="preserve">The New York Court of Appeals may be credited with boosting the use of dilution statutes with its opinion in </w:t>
      </w:r>
      <w:r w:rsidRPr="006662F5">
        <w:rPr>
          <w:i/>
          <w:iCs/>
        </w:rPr>
        <w:t>Allied Maintenance Corp</w:t>
      </w:r>
      <w:r w:rsidRPr="006662F5">
        <w:t>.</w:t>
      </w:r>
      <w:r w:rsidRPr="006662F5">
        <w:rPr>
          <w:i/>
          <w:iCs/>
        </w:rPr>
        <w:t xml:space="preserve"> v</w:t>
      </w:r>
      <w:r w:rsidRPr="006662F5">
        <w:t>.</w:t>
      </w:r>
      <w:r w:rsidRPr="006662F5">
        <w:rPr>
          <w:i/>
          <w:iCs/>
        </w:rPr>
        <w:t xml:space="preserve"> Allied Mechanical Trades, Inc</w:t>
      </w:r>
      <w:r w:rsidRPr="006662F5">
        <w:t>.</w:t>
      </w:r>
      <w:r w:rsidRPr="006662F5">
        <w:rPr>
          <w:vertAlign w:val="superscript"/>
        </w:rPr>
        <w:footnoteReference w:id="53"/>
      </w:r>
      <w:r w:rsidRPr="006662F5">
        <w:t xml:space="preserve"> In </w:t>
      </w:r>
      <w:r w:rsidRPr="006662F5">
        <w:rPr>
          <w:i/>
          <w:iCs/>
        </w:rPr>
        <w:t>Allied</w:t>
      </w:r>
      <w:r w:rsidRPr="006662F5">
        <w:t>, the court made clear that the dilution statute should be read as written and that no showing of confusion was required for relief.</w:t>
      </w:r>
      <w:r w:rsidRPr="006662F5">
        <w:rPr>
          <w:vertAlign w:val="superscript"/>
        </w:rPr>
        <w:footnoteReference w:id="54"/>
      </w:r>
      <w:r w:rsidRPr="006662F5">
        <w:t xml:space="preserve"> Ironically, this watershed opinion was issued in a case in which relief was denied because the Allied mark was insufficiently distinctive to qualify for dilution protection.</w:t>
      </w:r>
      <w:r w:rsidRPr="006662F5">
        <w:rPr>
          <w:vertAlign w:val="superscript"/>
        </w:rPr>
        <w:footnoteReference w:id="55"/>
      </w:r>
      <w:r w:rsidRPr="006662F5">
        <w:t xml:space="preserve"> Nevertheless, by stating definitively (even if in dicta) that the statute applied in the absence of confusion, the court eased the way for courts in future cases to grant relief under the dilution statute.</w:t>
      </w:r>
    </w:p>
    <w:p w:rsidR="00431229" w:rsidRPr="006662F5" w:rsidRDefault="00431229" w:rsidP="00073AC5">
      <w:pPr>
        <w:pStyle w:val="1stLevelHeadII"/>
        <w:rPr>
          <w:rFonts w:cs="Times New Roman"/>
        </w:rPr>
      </w:pPr>
      <w:r w:rsidRPr="006662F5">
        <w:rPr>
          <w:rFonts w:cs="Times New Roman"/>
        </w:rPr>
        <w:t>III.</w:t>
      </w:r>
      <w:r w:rsidRPr="006662F5">
        <w:rPr>
          <w:rFonts w:cs="Times New Roman"/>
        </w:rPr>
        <w:t> </w:t>
      </w:r>
      <w:r w:rsidRPr="006662F5">
        <w:rPr>
          <w:rFonts w:cs="Times New Roman"/>
        </w:rPr>
        <w:t>Defining Dilution: The Elements of a Claim</w:t>
      </w:r>
      <w:r w:rsidRPr="006662F5">
        <w:rPr>
          <w:rFonts w:cs="Times New Roman"/>
        </w:rPr>
        <w:br/>
        <w:t>Under State Laws</w:t>
      </w:r>
    </w:p>
    <w:p w:rsidR="00431229" w:rsidRPr="006662F5" w:rsidRDefault="00431229" w:rsidP="00073AC5">
      <w:pPr>
        <w:pStyle w:val="2ndLevel1"/>
        <w:rPr>
          <w:rFonts w:cs="Times New Roman"/>
        </w:rPr>
      </w:pPr>
      <w:r w:rsidRPr="006662F5">
        <w:rPr>
          <w:rFonts w:cs="Times New Roman"/>
        </w:rPr>
        <w:t>A.</w:t>
      </w:r>
      <w:r w:rsidRPr="006662F5">
        <w:rPr>
          <w:rFonts w:cs="Times New Roman"/>
        </w:rPr>
        <w:tab/>
        <w:t xml:space="preserve">State Statutes Patterned After the 1964 Model Bill </w:t>
      </w:r>
    </w:p>
    <w:p w:rsidR="00431229" w:rsidRPr="006662F5" w:rsidRDefault="00431229" w:rsidP="00073AC5">
      <w:pPr>
        <w:pStyle w:val="text"/>
      </w:pPr>
      <w:r w:rsidRPr="006662F5">
        <w:t>The earliest dilution laws and the 1964 Model Bill (essentially patterned after the Massachusetts statute) give a remedy for “likelihood of dilution of the distinctive quality of a mark.” Courts interpreting these statutes have set forth the elements of a dilution claim as (1) ownership of a distinctive mark and (2) likelihood of dilution.</w:t>
      </w:r>
      <w:r w:rsidRPr="006662F5">
        <w:rPr>
          <w:vertAlign w:val="superscript"/>
        </w:rPr>
        <w:footnoteReference w:id="56"/>
      </w:r>
      <w:r w:rsidRPr="006662F5">
        <w:t xml:space="preserve"> Obviously, this is somewhat circular, particularly as to the second element, since these statutes leave the term “dilution” undefined. One can infer that dilution has something to do with lessening the distinctive quality of a mark. But the phrase “distinctive quality” also is not defined. Moreover, it is unclear what activities would cause a diminution of this distinctive quality. As discussed in a later section,</w:t>
      </w:r>
      <w:r w:rsidRPr="006662F5">
        <w:rPr>
          <w:vertAlign w:val="superscript"/>
        </w:rPr>
        <w:footnoteReference w:id="57"/>
      </w:r>
      <w:r w:rsidRPr="006662F5">
        <w:t xml:space="preserve"> this lack of definition has led to many cursorily analyzed opinions, which state conclusions about the existence or nonexistence of dilution without giving much indication of what dilution might mean. The only exception to this statutory pattern is Minnesota. Its original statute, enacted in 1994, contained definitions of “dilution” and “distinctive quality.”</w:t>
      </w:r>
      <w:r w:rsidRPr="006662F5">
        <w:rPr>
          <w:vertAlign w:val="superscript"/>
        </w:rPr>
        <w:footnoteReference w:id="58"/>
      </w:r>
    </w:p>
    <w:p w:rsidR="00431229" w:rsidRPr="006662F5" w:rsidRDefault="00431229" w:rsidP="00073AC5">
      <w:pPr>
        <w:pStyle w:val="text"/>
      </w:pPr>
      <w:r w:rsidRPr="006662F5">
        <w:t>However, the older state statutes have two advantages. First, because they expressly require only a “likelihood” of dilution, they are not susceptible to the argument, accepted under the original FTDA, that actual dilution must be shown to recover under the statute.</w:t>
      </w:r>
      <w:r w:rsidRPr="006662F5">
        <w:rPr>
          <w:vertAlign w:val="superscript"/>
        </w:rPr>
        <w:footnoteReference w:id="59"/>
      </w:r>
      <w:r w:rsidRPr="006662F5">
        <w:t xml:space="preserve"> Second, the older statutes also protect against “likelihood of injury to business reputation,” making it clear that tarnishing uses are encompassed by these statutes.</w:t>
      </w:r>
      <w:r w:rsidRPr="006662F5">
        <w:rPr>
          <w:vertAlign w:val="superscript"/>
        </w:rPr>
        <w:footnoteReference w:id="60"/>
      </w:r>
    </w:p>
    <w:p w:rsidR="00431229" w:rsidRPr="006662F5" w:rsidRDefault="00431229" w:rsidP="00073AC5">
      <w:pPr>
        <w:pStyle w:val="2ndLevelHeadA0"/>
        <w:rPr>
          <w:rFonts w:cs="Times New Roman"/>
        </w:rPr>
      </w:pPr>
      <w:r w:rsidRPr="006662F5">
        <w:rPr>
          <w:rFonts w:cs="Times New Roman"/>
        </w:rPr>
        <w:t>B.</w:t>
      </w:r>
      <w:r w:rsidRPr="006662F5">
        <w:rPr>
          <w:rFonts w:cs="Times New Roman"/>
        </w:rPr>
        <w:tab/>
        <w:t>Statutes Patterned After the 1992, 1996, and 2007 Model Bills:</w:t>
      </w:r>
      <w:r w:rsidRPr="006662F5">
        <w:rPr>
          <w:rFonts w:cs="Times New Roman"/>
        </w:rPr>
        <w:br/>
        <w:t xml:space="preserve">The Elements and Definition of Dilution </w:t>
      </w:r>
    </w:p>
    <w:p w:rsidR="00431229" w:rsidRPr="006662F5" w:rsidRDefault="00431229" w:rsidP="00073AC5">
      <w:pPr>
        <w:pStyle w:val="3rdLevel2"/>
        <w:rPr>
          <w:rFonts w:cs="Times New Roman"/>
        </w:rPr>
      </w:pPr>
      <w:r w:rsidRPr="006662F5">
        <w:rPr>
          <w:rFonts w:cs="Times New Roman"/>
        </w:rPr>
        <w:t>1.</w:t>
      </w:r>
      <w:r w:rsidRPr="006662F5">
        <w:rPr>
          <w:rFonts w:cs="Times New Roman"/>
        </w:rPr>
        <w:tab/>
        <w:t xml:space="preserve">State Statutes Patterned After the 1992 and 1996 Model Bills </w:t>
      </w:r>
    </w:p>
    <w:p w:rsidR="00431229" w:rsidRPr="006662F5" w:rsidRDefault="00431229" w:rsidP="00073AC5">
      <w:pPr>
        <w:pStyle w:val="text"/>
      </w:pPr>
      <w:r w:rsidRPr="006662F5">
        <w:t>In 1987, the United States Trademark Association (USTA) proposed a sweeping reform of the federal trademark statute.</w:t>
      </w:r>
      <w:r w:rsidRPr="006662F5">
        <w:rPr>
          <w:vertAlign w:val="superscript"/>
        </w:rPr>
        <w:footnoteReference w:id="61"/>
      </w:r>
      <w:r w:rsidRPr="006662F5">
        <w:t xml:space="preserve"> Included in that proposal was a new federal dilution provision, which contained a definition of the term “dilution.”</w:t>
      </w:r>
      <w:r w:rsidRPr="006662F5">
        <w:rPr>
          <w:vertAlign w:val="superscript"/>
        </w:rPr>
        <w:footnoteReference w:id="62"/>
      </w:r>
      <w:r w:rsidRPr="006662F5">
        <w:t xml:space="preserve"> Although the dilution provision ultimately was not enacted in the Trademark Law Revision Act of 1988, it became the basis for the 1992 Model State Trademark Bill provision on dilution. The definition of dilution in all the statutes modeled on this bill contains the same operative language: “the lessening of the capacity of [the mark] to identify and distinguish goods or services.”</w:t>
      </w:r>
      <w:r w:rsidRPr="006662F5">
        <w:rPr>
          <w:vertAlign w:val="superscript"/>
        </w:rPr>
        <w:footnoteReference w:id="63"/>
      </w:r>
      <w:r w:rsidRPr="006662F5">
        <w:t xml:space="preserve"> When the International Trademark Association (INTA) produced the 1996 Model Bill, it left the core definition unchanged.</w:t>
      </w:r>
      <w:r w:rsidRPr="006662F5">
        <w:rPr>
          <w:vertAlign w:val="superscript"/>
        </w:rPr>
        <w:footnoteReference w:id="64"/>
      </w:r>
      <w:r w:rsidRPr="006662F5">
        <w:t xml:space="preserve"> The FTDA, prior to its 2006 amendment, contained the same definition as the 1996 Model Bill.</w:t>
      </w:r>
      <w:r w:rsidRPr="006662F5">
        <w:rPr>
          <w:vertAlign w:val="superscript"/>
        </w:rPr>
        <w:footnoteReference w:id="65"/>
      </w:r>
      <w:r w:rsidRPr="006662F5">
        <w:t xml:space="preserve"> All but six of the state statutes not patterned after the 1964 Model Bill use this definition.</w:t>
      </w:r>
      <w:r w:rsidRPr="006662F5">
        <w:rPr>
          <w:vertAlign w:val="superscript"/>
        </w:rPr>
        <w:footnoteReference w:id="66"/>
      </w:r>
    </w:p>
    <w:p w:rsidR="00431229" w:rsidRPr="006662F5" w:rsidRDefault="00431229" w:rsidP="00073AC5">
      <w:pPr>
        <w:pStyle w:val="text"/>
      </w:pPr>
      <w:r w:rsidRPr="006662F5">
        <w:t>As originally enacted in 1995, the elements of a claim under the FTDA were (1) ownership of a famous mark; (2) commercial use of the famous mark in commerce by the defendant; (3) use beginning after the plaintiff’s mark becomes famous; and (4) use that “causes” dilution of the famous mark.</w:t>
      </w:r>
      <w:r w:rsidRPr="006662F5">
        <w:rPr>
          <w:vertAlign w:val="superscript"/>
        </w:rPr>
        <w:footnoteReference w:id="67"/>
      </w:r>
      <w:r w:rsidRPr="006662F5">
        <w:t xml:space="preserve"> The 1996 Model Bill is the same as the original FTDA. The 1992 Model Bill did not require that the offending use be a “commercial” use, and it listed factors to guide the determination of the existence of a “famous” mark, not a “distinctive and famous” mark.</w:t>
      </w:r>
      <w:r w:rsidRPr="006662F5">
        <w:rPr>
          <w:vertAlign w:val="superscript"/>
        </w:rPr>
        <w:footnoteReference w:id="68"/>
      </w:r>
      <w:r w:rsidRPr="006662F5">
        <w:t xml:space="preserve"> As discussed in Section III.B.3. below, the Trademark Dilution Revision Act of 2006 altered some of these elements. Many of the TDRA’s changes were incorporated into the Model Bill in 2007.</w:t>
      </w:r>
      <w:r w:rsidRPr="006662F5">
        <w:rPr>
          <w:vertAlign w:val="superscript"/>
        </w:rPr>
        <w:footnoteReference w:id="69"/>
      </w:r>
    </w:p>
    <w:p w:rsidR="00431229" w:rsidRPr="006662F5" w:rsidRDefault="00431229" w:rsidP="00073AC5">
      <w:pPr>
        <w:pStyle w:val="text"/>
      </w:pPr>
      <w:r w:rsidRPr="006662F5">
        <w:t>The definition of dilution in the 1992 and 1996 Model Bills and the original FTDA does not directly address the core concern of dilution, namely, the selling power of the mark. Instead, it focuses on the source-identifying ability of the mark. At least technically, the definition does not even focus on distinctiveness or uniqueness.</w:t>
      </w:r>
      <w:r w:rsidRPr="006662F5">
        <w:rPr>
          <w:vertAlign w:val="superscript"/>
        </w:rPr>
        <w:footnoteReference w:id="70"/>
      </w:r>
      <w:r w:rsidRPr="006662F5">
        <w:t xml:space="preserve"> Moreover, by defining dilution in terms of source-identifying ability, it may allow an argument that other recognized forms of dilution, such as tarnishment, are not encompassed by the definition.</w:t>
      </w:r>
      <w:r w:rsidRPr="006662F5">
        <w:rPr>
          <w:vertAlign w:val="superscript"/>
        </w:rPr>
        <w:footnoteReference w:id="71"/>
      </w:r>
      <w:r w:rsidRPr="006662F5">
        <w:t xml:space="preserve"> As some courts have noted, tarnishment does not diminish the </w:t>
      </w:r>
      <w:r w:rsidRPr="006662F5">
        <w:rPr>
          <w:i/>
          <w:iCs/>
        </w:rPr>
        <w:t>source-identifying</w:t>
      </w:r>
      <w:r w:rsidRPr="006662F5">
        <w:t xml:space="preserve"> power of the mark; if anything, the success of many tarnishing uses depends on the continued ability of the distinctive mark to identify a unique source (not the second user).</w:t>
      </w:r>
      <w:r w:rsidRPr="006662F5">
        <w:rPr>
          <w:vertAlign w:val="superscript"/>
        </w:rPr>
        <w:footnoteReference w:id="72"/>
      </w:r>
    </w:p>
    <w:p w:rsidR="00431229" w:rsidRPr="006662F5" w:rsidRDefault="00431229" w:rsidP="00073AC5">
      <w:pPr>
        <w:pStyle w:val="text"/>
      </w:pPr>
      <w:r w:rsidRPr="006662F5">
        <w:t>A second, and more significant, issue with the statutes patterned after the 1992 or 1996 Model Bill is in the operative language of the dilution provision. The statutes almost universally</w:t>
      </w:r>
      <w:r w:rsidRPr="006662F5">
        <w:rPr>
          <w:vertAlign w:val="superscript"/>
        </w:rPr>
        <w:footnoteReference w:id="73"/>
      </w:r>
      <w:r w:rsidRPr="006662F5">
        <w:t xml:space="preserve"> give a remedy against another’s use that “causes dilution” of the famous mark. By contrast, the earlier statutes proscribed “likelihood” of dilution. This led to a dispute in cases interpreting the same language under the FTDA—whether </w:t>
      </w:r>
      <w:r w:rsidRPr="006662F5">
        <w:rPr>
          <w:i/>
          <w:iCs/>
        </w:rPr>
        <w:t>actual</w:t>
      </w:r>
      <w:r w:rsidRPr="006662F5">
        <w:t xml:space="preserve"> harm must be shown or whether a likelihood of harm is sufficient to issue an injunction</w:t>
      </w:r>
      <w:r w:rsidRPr="006662F5">
        <w:rPr>
          <w:vertAlign w:val="superscript"/>
        </w:rPr>
        <w:footnoteReference w:id="74"/>
      </w:r>
      <w:r w:rsidRPr="006662F5">
        <w:t>—that had to be resolved by the Supreme Court.</w:t>
      </w:r>
      <w:r w:rsidRPr="006662F5">
        <w:rPr>
          <w:vertAlign w:val="superscript"/>
        </w:rPr>
        <w:footnoteReference w:id="75"/>
      </w:r>
      <w:r w:rsidRPr="006662F5">
        <w:t xml:space="preserve"> The Court held that “a showing of actual dilution” was required by the FTDA.</w:t>
      </w:r>
      <w:r w:rsidRPr="006662F5">
        <w:rPr>
          <w:vertAlign w:val="superscript"/>
        </w:rPr>
        <w:footnoteReference w:id="76"/>
      </w:r>
      <w:r w:rsidRPr="006662F5">
        <w:t xml:space="preserve"> This makes dilution very difficult to prove and resulted in the TDRA, giving a cause of action against uses that are “likely to cause dilution.”</w:t>
      </w:r>
      <w:r w:rsidRPr="006662F5">
        <w:rPr>
          <w:vertAlign w:val="superscript"/>
        </w:rPr>
        <w:footnoteReference w:id="77"/>
      </w:r>
    </w:p>
    <w:p w:rsidR="00431229" w:rsidRPr="006662F5" w:rsidRDefault="00431229" w:rsidP="00073AC5">
      <w:pPr>
        <w:pStyle w:val="text"/>
      </w:pPr>
      <w:r w:rsidRPr="006662F5">
        <w:t>Because of the similarity between state statutes that follow the 1992 or 1996 Model Bill (presently a majority of state statutes) and the pre-amendment FTDA, courts probably will use the “actual dilution” standard for claims brought under these state laws.</w:t>
      </w:r>
      <w:r w:rsidRPr="006662F5">
        <w:rPr>
          <w:vertAlign w:val="superscript"/>
        </w:rPr>
        <w:footnoteReference w:id="78"/>
      </w:r>
      <w:r w:rsidRPr="006662F5">
        <w:t xml:space="preserve"> Indeed, many state trademark laws contain provisions directing courts to consider interpretations of federal law as persuasive authority for the interpretation of a state’s trademark law, which includes dilution.</w:t>
      </w:r>
      <w:r w:rsidRPr="006662F5">
        <w:rPr>
          <w:vertAlign w:val="superscript"/>
        </w:rPr>
        <w:footnoteReference w:id="79"/>
      </w:r>
      <w:r w:rsidRPr="006662F5">
        <w:t xml:space="preserve"> The problem, of course, is that federal courts will no longer develop case law under the federal statute that is relevant to these state statutes.</w:t>
      </w:r>
    </w:p>
    <w:p w:rsidR="00431229" w:rsidRPr="006662F5" w:rsidRDefault="00431229" w:rsidP="00073AC5">
      <w:pPr>
        <w:pStyle w:val="3rdLevelHead1"/>
        <w:rPr>
          <w:rFonts w:cs="Times New Roman"/>
        </w:rPr>
      </w:pPr>
      <w:r w:rsidRPr="006662F5">
        <w:rPr>
          <w:rFonts w:cs="Times New Roman"/>
        </w:rPr>
        <w:t>2</w:t>
      </w:r>
      <w:r w:rsidRPr="006662F5">
        <w:rPr>
          <w:rFonts w:cs="Times New Roman"/>
          <w:i w:val="0"/>
          <w:iCs w:val="0"/>
        </w:rPr>
        <w:t>.</w:t>
      </w:r>
      <w:r w:rsidRPr="006662F5">
        <w:rPr>
          <w:rFonts w:cs="Times New Roman"/>
        </w:rPr>
        <w:tab/>
        <w:t>An Exception to the 1992 and 1996 Model Bill Definition of Dilution: Alaska</w:t>
      </w:r>
    </w:p>
    <w:p w:rsidR="00431229" w:rsidRPr="006662F5" w:rsidRDefault="00431229" w:rsidP="00073AC5">
      <w:pPr>
        <w:pStyle w:val="text"/>
      </w:pPr>
      <w:r w:rsidRPr="006662F5">
        <w:t>As noted in the previous section, one state statute—Alaska’s—that generally follows the 1992 Model Bill defines dilution somewhat differently than either the 1992 or 1996 Model Bills. (This statute clearly fits these models far more closely than it fits the 1964 Model Bill, however.) The Alaska statute defines dilution as “the use of a word, symbol, or device, or a combination of one or more of these, in a manner that deprives or reduces the distinctiveness of a mark.”</w:t>
      </w:r>
      <w:r w:rsidRPr="006662F5">
        <w:rPr>
          <w:vertAlign w:val="superscript"/>
        </w:rPr>
        <w:footnoteReference w:id="80"/>
      </w:r>
    </w:p>
    <w:p w:rsidR="00431229" w:rsidRPr="006662F5" w:rsidRDefault="00431229" w:rsidP="00073AC5">
      <w:pPr>
        <w:pStyle w:val="text"/>
      </w:pPr>
      <w:r w:rsidRPr="006662F5">
        <w:t>This definition potentially covers a wider range of diluting uses than the 1992 or 1996 Model Bill definitions. It also focuses on the distinctiveness of the mark, not simply its source-identifying ability. This may or may not be a significant difference in practice. Another difference is the lack of the “causes dilution” language in the operative portion of the statute, which could lead to it being interpreted very differently than the statutes containing such language.</w:t>
      </w:r>
      <w:r w:rsidRPr="006662F5">
        <w:rPr>
          <w:vertAlign w:val="superscript"/>
        </w:rPr>
        <w:footnoteReference w:id="81"/>
      </w:r>
      <w:r w:rsidRPr="006662F5">
        <w:t xml:space="preserve"> On the other hand, it does not expressly use the “likelihood of dilution” language of the 1964 Model Bill or similar language in the 2007 Model Bill and the TDRA. However, because Alaska’s statute limits protection to </w:t>
      </w:r>
      <w:r w:rsidRPr="006662F5">
        <w:rPr>
          <w:i/>
          <w:iCs/>
        </w:rPr>
        <w:t>registrants</w:t>
      </w:r>
      <w:r w:rsidRPr="006662F5">
        <w:t>, it may have very limited use no matter how the definition of dilution is interpreted.</w:t>
      </w:r>
      <w:r w:rsidRPr="006662F5">
        <w:rPr>
          <w:vertAlign w:val="superscript"/>
        </w:rPr>
        <w:footnoteReference w:id="82"/>
      </w:r>
    </w:p>
    <w:p w:rsidR="00431229" w:rsidRPr="006662F5" w:rsidRDefault="00431229" w:rsidP="00073AC5">
      <w:pPr>
        <w:pStyle w:val="3rdLevelHead1"/>
        <w:rPr>
          <w:rFonts w:cs="Times New Roman"/>
        </w:rPr>
      </w:pPr>
      <w:r w:rsidRPr="006662F5">
        <w:rPr>
          <w:rFonts w:cs="Times New Roman"/>
        </w:rPr>
        <w:t>3</w:t>
      </w:r>
      <w:r w:rsidRPr="006662F5">
        <w:rPr>
          <w:rFonts w:cs="Times New Roman"/>
          <w:i w:val="0"/>
          <w:iCs w:val="0"/>
        </w:rPr>
        <w:t>.</w:t>
      </w:r>
      <w:r w:rsidRPr="006662F5">
        <w:rPr>
          <w:rFonts w:cs="Times New Roman"/>
        </w:rPr>
        <w:tab/>
        <w:t>The TDRA and the 2007 Model Bill’s Definitions of Dilution</w:t>
      </w:r>
    </w:p>
    <w:p w:rsidR="00431229" w:rsidRPr="006662F5" w:rsidRDefault="00431229" w:rsidP="00073AC5">
      <w:pPr>
        <w:pStyle w:val="4thLevel3"/>
        <w:rPr>
          <w:rFonts w:cs="Times New Roman"/>
        </w:rPr>
      </w:pPr>
      <w:r w:rsidRPr="006662F5">
        <w:rPr>
          <w:rFonts w:cs="Times New Roman"/>
        </w:rPr>
        <w:t>a.</w:t>
      </w:r>
      <w:r w:rsidRPr="006662F5">
        <w:rPr>
          <w:rFonts w:cs="Times New Roman"/>
        </w:rPr>
        <w:tab/>
        <w:t xml:space="preserve">The 2006 Revisions of the FTDA </w:t>
      </w:r>
    </w:p>
    <w:p w:rsidR="00431229" w:rsidRPr="006662F5" w:rsidRDefault="00431229" w:rsidP="00073AC5">
      <w:pPr>
        <w:pStyle w:val="text"/>
      </w:pPr>
      <w:r w:rsidRPr="006662F5">
        <w:t>As originally drafted, the FTDA used the 1992 Model Bill (and the 1988 proposed federal dilution statute) as the prototype for much of its language. To the extent that the FTDA departed from the 1992 Model Bill (such as its requirement of a “commercial use in commerce” and its addition of “distinctive” before “famous” in the language preceding the factors used to analyze fame), those differences were incorporated into the 1996 Model Bill.</w:t>
      </w:r>
      <w:r w:rsidRPr="006662F5">
        <w:rPr>
          <w:vertAlign w:val="superscript"/>
        </w:rPr>
        <w:footnoteReference w:id="83"/>
      </w:r>
      <w:r w:rsidRPr="006662F5">
        <w:t xml:space="preserve"> However, the FTDA led to many interpretive problems and several circuit splits. One of those splits was resolved by the Supreme Court in </w:t>
      </w:r>
      <w:r w:rsidRPr="006662F5">
        <w:rPr>
          <w:i/>
          <w:iCs/>
        </w:rPr>
        <w:t>Moseley v</w:t>
      </w:r>
      <w:r w:rsidRPr="006662F5">
        <w:t>.</w:t>
      </w:r>
      <w:r w:rsidRPr="006662F5">
        <w:rPr>
          <w:i/>
          <w:iCs/>
        </w:rPr>
        <w:t xml:space="preserve"> V Secret Catalogue, Inc</w:t>
      </w:r>
      <w:r w:rsidRPr="006662F5">
        <w:t>.,</w:t>
      </w:r>
      <w:r w:rsidRPr="006662F5">
        <w:rPr>
          <w:vertAlign w:val="superscript"/>
        </w:rPr>
        <w:footnoteReference w:id="84"/>
      </w:r>
      <w:r w:rsidRPr="006662F5">
        <w:t xml:space="preserve"> where the Court held that the operative language of the statute—that plaintiff must show that defendant’s use “causes dilution”—meant that actual dilution, not just a likelihood of dilution, must be shown. The </w:t>
      </w:r>
      <w:r w:rsidRPr="006662F5">
        <w:rPr>
          <w:i/>
          <w:iCs/>
        </w:rPr>
        <w:t>Moseley</w:t>
      </w:r>
      <w:r w:rsidRPr="006662F5">
        <w:t xml:space="preserve"> case eventually led to a substantial revision of the FTDA in 2006.</w:t>
      </w:r>
      <w:r w:rsidRPr="006662F5">
        <w:rPr>
          <w:vertAlign w:val="superscript"/>
        </w:rPr>
        <w:footnoteReference w:id="85"/>
      </w:r>
      <w:r w:rsidRPr="006662F5">
        <w:t xml:space="preserve"> That revision, the TDRA, established likelihood of dilution as the operative standard, made clear that dilution by tarnishment is actionable, added a definition of fame,</w:t>
      </w:r>
      <w:r w:rsidRPr="006662F5">
        <w:rPr>
          <w:vertAlign w:val="superscript"/>
        </w:rPr>
        <w:footnoteReference w:id="86"/>
      </w:r>
      <w:r w:rsidRPr="006662F5">
        <w:t xml:space="preserve"> separately defined “dilution by blurring” and “dilution by tarnishment,” and added six factors for use in analyzing dilution by blurring.</w:t>
      </w:r>
      <w:r w:rsidRPr="006662F5">
        <w:rPr>
          <w:vertAlign w:val="superscript"/>
        </w:rPr>
        <w:footnoteReference w:id="87"/>
      </w:r>
    </w:p>
    <w:p w:rsidR="00431229" w:rsidRPr="006662F5" w:rsidRDefault="00431229" w:rsidP="00073AC5">
      <w:pPr>
        <w:pStyle w:val="text"/>
      </w:pPr>
      <w:r w:rsidRPr="006662F5">
        <w:t>The TDRA requires the following elements: (1) a “famous mark, that is distinctive”; (2) a use in commerce of a mark similar to the famous mark by the second user; (3) use beginning after the plaintiff’s mark becomes famous; and (4) use likely to cause dilution by blurring or dilution by tarnishment of the famous mark. The likelihood of dilution standard makes federal law potentially more liberal in its protection than most state laws. Interpretation of the TDRA is under way,</w:t>
      </w:r>
      <w:r w:rsidRPr="006662F5">
        <w:rPr>
          <w:vertAlign w:val="superscript"/>
        </w:rPr>
        <w:footnoteReference w:id="88"/>
      </w:r>
      <w:r w:rsidRPr="006662F5">
        <w:t xml:space="preserve"> but it is unclear how this might affect the interpretation of state laws patterned after the original FTDA.</w:t>
      </w:r>
      <w:r w:rsidRPr="006662F5">
        <w:rPr>
          <w:vertAlign w:val="superscript"/>
        </w:rPr>
        <w:footnoteReference w:id="89"/>
      </w:r>
    </w:p>
    <w:p w:rsidR="00431229" w:rsidRPr="006662F5" w:rsidRDefault="00431229" w:rsidP="00073AC5">
      <w:pPr>
        <w:pStyle w:val="4thLevelHeada0"/>
        <w:rPr>
          <w:rFonts w:cs="Times New Roman"/>
        </w:rPr>
      </w:pPr>
      <w:r w:rsidRPr="006662F5">
        <w:rPr>
          <w:rFonts w:cs="Times New Roman"/>
        </w:rPr>
        <w:t>b.</w:t>
      </w:r>
      <w:r w:rsidRPr="006662F5">
        <w:rPr>
          <w:rFonts w:cs="Times New Roman"/>
        </w:rPr>
        <w:tab/>
        <w:t xml:space="preserve">The 2007 Model Bill </w:t>
      </w:r>
    </w:p>
    <w:p w:rsidR="00431229" w:rsidRPr="006662F5" w:rsidRDefault="00431229" w:rsidP="00073AC5">
      <w:pPr>
        <w:pStyle w:val="text"/>
      </w:pPr>
      <w:r w:rsidRPr="006662F5">
        <w:t>In the wake of the TDRA, the International Trademark Association revised the dilution provision of the Model State Trademark Bill in 2007. In general, the revisions matched those of the TDRA, with a few notable exceptions. As discussed elsewhere, the provisions relating to fame are slightly different.</w:t>
      </w:r>
      <w:r w:rsidRPr="006662F5">
        <w:rPr>
          <w:vertAlign w:val="superscript"/>
        </w:rPr>
        <w:footnoteReference w:id="90"/>
      </w:r>
      <w:r w:rsidRPr="006662F5">
        <w:t xml:space="preserve"> A larger deviation from the TDRA occurred in the definition of dilution. Although the new Model Bill adopted the TDRA definitions of dilution by blurring and dilution by tarnishment, it omitted the six guiding factors included in the TDRA for determining dilution by blurring. The drafters of the Model Bill believed that the factors were unnecessary and that courts most likely would apply them even if they were not included.</w:t>
      </w:r>
      <w:r w:rsidRPr="006662F5">
        <w:rPr>
          <w:vertAlign w:val="superscript"/>
        </w:rPr>
        <w:footnoteReference w:id="91"/>
      </w:r>
    </w:p>
    <w:p w:rsidR="00431229" w:rsidRDefault="00431229" w:rsidP="00073AC5">
      <w:pPr>
        <w:pStyle w:val="text"/>
      </w:pPr>
      <w:r w:rsidRPr="006662F5">
        <w:t>The 2007 Model Bill definitions of dilution, dilution by blurring, and dilution by tarnishment are as follows:</w:t>
      </w:r>
    </w:p>
    <w:p w:rsidR="00431229" w:rsidRPr="006662F5" w:rsidRDefault="00431229" w:rsidP="00073AC5">
      <w:pPr>
        <w:pStyle w:val="text"/>
      </w:pPr>
    </w:p>
    <w:p w:rsidR="00431229" w:rsidRPr="006662F5" w:rsidRDefault="00431229" w:rsidP="006662F5">
      <w:pPr>
        <w:pStyle w:val="Numberlist0"/>
      </w:pPr>
      <w:r w:rsidRPr="006662F5">
        <w:t>(k)</w:t>
      </w:r>
      <w:r w:rsidRPr="006662F5">
        <w:tab/>
        <w:t>The term “dilution” as used herein means dilution by blurring or dilution by tarnishment, regardless of the presence or absence of</w:t>
      </w:r>
    </w:p>
    <w:p w:rsidR="00431229" w:rsidRPr="006662F5" w:rsidRDefault="00431229" w:rsidP="006662F5">
      <w:pPr>
        <w:pStyle w:val="Numberlist0"/>
        <w:ind w:left="1440"/>
      </w:pPr>
      <w:r w:rsidRPr="006662F5">
        <w:t>(1)</w:t>
      </w:r>
      <w:r w:rsidRPr="006662F5">
        <w:tab/>
        <w:t>competition between the owner of the famous mark and other parties, or</w:t>
      </w:r>
    </w:p>
    <w:p w:rsidR="00431229" w:rsidRPr="006662F5" w:rsidRDefault="00431229" w:rsidP="006662F5">
      <w:pPr>
        <w:pStyle w:val="Numberlist0"/>
        <w:ind w:left="1440"/>
      </w:pPr>
      <w:r w:rsidRPr="006662F5">
        <w:t>(2)</w:t>
      </w:r>
      <w:r w:rsidRPr="006662F5">
        <w:tab/>
        <w:t>actual or likely confusion, mistake, or deception, or</w:t>
      </w:r>
    </w:p>
    <w:p w:rsidR="00431229" w:rsidRPr="006662F5" w:rsidRDefault="00431229" w:rsidP="006662F5">
      <w:pPr>
        <w:pStyle w:val="Numberlist0"/>
        <w:ind w:left="1440"/>
      </w:pPr>
      <w:r w:rsidRPr="006662F5">
        <w:t>(3)</w:t>
      </w:r>
      <w:r w:rsidRPr="006662F5">
        <w:tab/>
        <w:t>actual economic injury.</w:t>
      </w:r>
    </w:p>
    <w:p w:rsidR="00431229" w:rsidRPr="006662F5" w:rsidRDefault="00431229" w:rsidP="006662F5">
      <w:pPr>
        <w:pStyle w:val="Numberlist0"/>
      </w:pPr>
      <w:r w:rsidRPr="006662F5">
        <w:t>(</w:t>
      </w:r>
      <w:r w:rsidRPr="006662F5">
        <w:rPr>
          <w:i/>
          <w:iCs/>
        </w:rPr>
        <w:t>l</w:t>
      </w:r>
      <w:r w:rsidRPr="006662F5">
        <w:t>)</w:t>
      </w:r>
      <w:r w:rsidRPr="006662F5">
        <w:tab/>
        <w:t xml:space="preserve">The term “dilution by blurring” as used herein means association arising from the similarity between a mark or trade name and a famous mark that impairs the distinctiveness of the famous mark. </w:t>
      </w:r>
    </w:p>
    <w:p w:rsidR="00431229" w:rsidRDefault="00431229" w:rsidP="006662F5">
      <w:pPr>
        <w:pStyle w:val="Numberlist0"/>
      </w:pPr>
      <w:r w:rsidRPr="006662F5">
        <w:t>(m)</w:t>
      </w:r>
      <w:r w:rsidRPr="006662F5">
        <w:tab/>
        <w:t>The term “dilution by tarnishment” as used herein means association arising from the similarity between a mark or trade name and a famous mark that harms the reputation of the famous mark.</w:t>
      </w:r>
      <w:r w:rsidRPr="006662F5">
        <w:rPr>
          <w:vertAlign w:val="superscript"/>
        </w:rPr>
        <w:footnoteReference w:id="92"/>
      </w:r>
    </w:p>
    <w:p w:rsidR="00431229" w:rsidRPr="006662F5" w:rsidRDefault="00431229" w:rsidP="006662F5">
      <w:pPr>
        <w:pStyle w:val="Numberlist0"/>
      </w:pPr>
    </w:p>
    <w:p w:rsidR="00431229" w:rsidRPr="006662F5" w:rsidRDefault="00431229" w:rsidP="00073AC5">
      <w:pPr>
        <w:pStyle w:val="text"/>
      </w:pPr>
      <w:r w:rsidRPr="006662F5">
        <w:t xml:space="preserve">These definitions are analyzed in detail in Chapter 9, in connection with the TDRA. However, certain points of comparison with earlier Model Bills are worth noting here. First, in contrast to the 1992 and 1996 Model Bills, the 2007 Model Bill does not contain a single overarching definition of dilution. Instead, it contemplates two—and, apparently, only two—categories of dilution: blurring and tarnishment. Second, the earlier definition focused on harm to the source identifying properties of the famous mark. The 2007 Model Bill definitions focus on harm to distinctiveness and reputation. Third, the 2007 definitions delineate the mechanism, at least to a degree: there must be sufficient similarity to create an association </w:t>
      </w:r>
      <w:r w:rsidRPr="006662F5">
        <w:rPr>
          <w:i/>
          <w:iCs/>
        </w:rPr>
        <w:t>and</w:t>
      </w:r>
      <w:r w:rsidRPr="006662F5">
        <w:t xml:space="preserve"> that association must cause some kind of harm to the famous mark. In other words, association does not automatically mean that dilution is likely to occur.</w:t>
      </w:r>
      <w:r w:rsidRPr="00BA7350">
        <w:t xml:space="preserve"> </w:t>
      </w:r>
      <w:r w:rsidRPr="008214DA">
        <w:t>One infrequently litigated question is the definition of “use.” What constitutes “use”? The Texas statute refers to defendant’s “commercial use.” This has been held to require actual use, not just an imminent use (the question of commerciality was not addressed in the case).</w:t>
      </w:r>
      <w:r w:rsidRPr="008214DA">
        <w:rPr>
          <w:vertAlign w:val="superscript"/>
        </w:rPr>
        <w:footnoteReference w:id="93"/>
      </w:r>
    </w:p>
    <w:p w:rsidR="00431229" w:rsidRDefault="00431229" w:rsidP="00073AC5">
      <w:pPr>
        <w:pStyle w:val="text"/>
      </w:pPr>
      <w:r w:rsidRPr="006662F5">
        <w:t>In 2007, California became the first state to adopt the 2007 Model Bill provisions.</w:t>
      </w:r>
      <w:r w:rsidRPr="006662F5">
        <w:rPr>
          <w:vertAlign w:val="superscript"/>
        </w:rPr>
        <w:footnoteReference w:id="94"/>
      </w:r>
      <w:r w:rsidRPr="006662F5">
        <w:t xml:space="preserve"> As of this writing, Mississippi,</w:t>
      </w:r>
      <w:r w:rsidRPr="006662F5">
        <w:rPr>
          <w:vertAlign w:val="superscript"/>
        </w:rPr>
        <w:footnoteReference w:id="95"/>
      </w:r>
      <w:r w:rsidRPr="006662F5">
        <w:t xml:space="preserve"> Oregon,</w:t>
      </w:r>
      <w:r w:rsidRPr="006662F5">
        <w:rPr>
          <w:vertAlign w:val="superscript"/>
        </w:rPr>
        <w:footnoteReference w:id="96"/>
      </w:r>
      <w:r w:rsidRPr="006662F5">
        <w:t xml:space="preserve"> Alabama,</w:t>
      </w:r>
      <w:r w:rsidRPr="006662F5">
        <w:rPr>
          <w:vertAlign w:val="superscript"/>
        </w:rPr>
        <w:footnoteReference w:id="97"/>
      </w:r>
      <w:r w:rsidRPr="006662F5">
        <w:t xml:space="preserve"> and Texas</w:t>
      </w:r>
      <w:r w:rsidRPr="006662F5">
        <w:rPr>
          <w:vertAlign w:val="superscript"/>
        </w:rPr>
        <w:footnoteReference w:id="98"/>
      </w:r>
      <w:r w:rsidRPr="006662F5">
        <w:t xml:space="preserve"> also have adopted the new version, as has the territory of Puerto Rico.</w:t>
      </w:r>
      <w:r w:rsidRPr="006662F5">
        <w:rPr>
          <w:vertAlign w:val="superscript"/>
        </w:rPr>
        <w:footnoteReference w:id="99"/>
      </w:r>
    </w:p>
    <w:p w:rsidR="00431229" w:rsidRPr="006662F5" w:rsidRDefault="00431229" w:rsidP="00C4457D">
      <w:pPr>
        <w:pStyle w:val="text"/>
        <w:ind w:firstLine="0"/>
      </w:pPr>
      <w:r w:rsidRPr="008214DA">
        <w:t>There is one oddity in the case law applying California’s new statute. Several plaintiffs have erroneously pleaded claims under the former California statute (which was similar to the 1964 Model Bill). Rather than simply allowing the claim to go forward under the current statute, several courts have dismissed the dilution claims (although it is unclear whether leave to amend would be granted if requested).</w:t>
      </w:r>
      <w:r w:rsidRPr="008214DA">
        <w:rPr>
          <w:vertAlign w:val="superscript"/>
        </w:rPr>
        <w:footnoteReference w:id="100"/>
      </w:r>
    </w:p>
    <w:p w:rsidR="00431229" w:rsidRPr="006662F5" w:rsidRDefault="00431229" w:rsidP="00073AC5">
      <w:pPr>
        <w:pStyle w:val="1stLevelHeadII"/>
        <w:rPr>
          <w:rFonts w:cs="Times New Roman"/>
        </w:rPr>
      </w:pPr>
      <w:r w:rsidRPr="006662F5">
        <w:rPr>
          <w:rFonts w:cs="Times New Roman"/>
        </w:rPr>
        <w:t>IV.</w:t>
      </w:r>
      <w:r w:rsidRPr="006662F5">
        <w:rPr>
          <w:rFonts w:cs="Times New Roman"/>
        </w:rPr>
        <w:t> </w:t>
      </w:r>
      <w:r w:rsidRPr="006662F5">
        <w:rPr>
          <w:rFonts w:cs="Times New Roman"/>
        </w:rPr>
        <w:t>Defining Dilution: The Judicial Categories</w:t>
      </w:r>
      <w:r w:rsidRPr="006662F5">
        <w:rPr>
          <w:rFonts w:cs="Times New Roman"/>
        </w:rPr>
        <w:br/>
        <w:t>of Dilution</w:t>
      </w:r>
    </w:p>
    <w:p w:rsidR="00431229" w:rsidRPr="006662F5" w:rsidRDefault="00431229" w:rsidP="00073AC5">
      <w:pPr>
        <w:pStyle w:val="text"/>
      </w:pPr>
      <w:r w:rsidRPr="006662F5">
        <w:t xml:space="preserve">Defining dilution, or at least creating a framework for analyzing its existence, serves to prevent dilution from becoming a fallback or substitute for confusion. Unfortunately, the early cases under state laws made little attempt to analyze dilution in any systematic way. The Seventh Circuit in </w:t>
      </w:r>
      <w:r w:rsidRPr="006662F5">
        <w:rPr>
          <w:i/>
          <w:iCs/>
        </w:rPr>
        <w:t>Polaroid Corp</w:t>
      </w:r>
      <w:r w:rsidRPr="006662F5">
        <w:t>.</w:t>
      </w:r>
      <w:r w:rsidRPr="006662F5">
        <w:rPr>
          <w:i/>
          <w:iCs/>
        </w:rPr>
        <w:t xml:space="preserve"> v</w:t>
      </w:r>
      <w:r w:rsidRPr="006662F5">
        <w:t>.</w:t>
      </w:r>
      <w:r w:rsidRPr="006662F5">
        <w:rPr>
          <w:i/>
          <w:iCs/>
        </w:rPr>
        <w:t xml:space="preserve"> Polaraid, Inc</w:t>
      </w:r>
      <w:r w:rsidRPr="006662F5">
        <w:t>. gave cursory (though favorable) treatment to the dilution claim.</w:t>
      </w:r>
      <w:r w:rsidRPr="006662F5">
        <w:rPr>
          <w:vertAlign w:val="superscript"/>
        </w:rPr>
        <w:footnoteReference w:id="101"/>
      </w:r>
      <w:r w:rsidRPr="006662F5">
        <w:t xml:space="preserve"> Similarly, the </w:t>
      </w:r>
      <w:r w:rsidRPr="006662F5">
        <w:rPr>
          <w:i/>
          <w:iCs/>
        </w:rPr>
        <w:t>Allied</w:t>
      </w:r>
      <w:r w:rsidRPr="006662F5">
        <w:t xml:space="preserve"> </w:t>
      </w:r>
      <w:r w:rsidRPr="006662F5">
        <w:rPr>
          <w:i/>
          <w:iCs/>
        </w:rPr>
        <w:t xml:space="preserve">Maintenance </w:t>
      </w:r>
      <w:r w:rsidRPr="006662F5">
        <w:t>opinion from the New York Court of Appeals was unenlightening on the subject of how to show dilution or even what it really meant.</w:t>
      </w:r>
      <w:r w:rsidRPr="006662F5">
        <w:rPr>
          <w:vertAlign w:val="superscript"/>
        </w:rPr>
        <w:footnoteReference w:id="102"/>
      </w:r>
      <w:r w:rsidRPr="006662F5">
        <w:t xml:space="preserve"> However, as more cases were decided, courts at least began to categorize the cases into some general types. By and large, they settled on two broad categories, labeled “blurring” and “tarnishment.”</w:t>
      </w:r>
      <w:r w:rsidRPr="006662F5">
        <w:rPr>
          <w:vertAlign w:val="superscript"/>
        </w:rPr>
        <w:footnoteReference w:id="103"/>
      </w:r>
      <w:r w:rsidRPr="006662F5">
        <w:t xml:space="preserve"> There is at least one other recognized category, which may be called “genericide.”</w:t>
      </w:r>
      <w:r w:rsidRPr="006662F5">
        <w:rPr>
          <w:vertAlign w:val="superscript"/>
        </w:rPr>
        <w:footnoteReference w:id="104"/>
      </w:r>
      <w:r w:rsidRPr="006662F5">
        <w:t xml:space="preserve"> </w:t>
      </w:r>
      <w:r>
        <w:t>Some cases in states with the 1964 Model Bill version have focused on the statutory title of “injury to business reputation” in determining whether dilution is likely to exist.</w:t>
      </w:r>
      <w:r>
        <w:rPr>
          <w:rStyle w:val="FootnoteReference"/>
        </w:rPr>
        <w:footnoteReference w:id="105"/>
      </w:r>
      <w:r>
        <w:t xml:space="preserve"> </w:t>
      </w:r>
      <w:r w:rsidRPr="006662F5">
        <w:t>In addition, in the great majority of successful dilution cases, the courts also find likelihood of confusion under other statutes, such as the Lanham Act or state common law. Thus, a fourth category of “dilution by confusion” could be considered separately. In addition to these categories, some courts have asserted that other, unspecified categories of dilution may exist.</w:t>
      </w:r>
      <w:r w:rsidRPr="006662F5">
        <w:rPr>
          <w:vertAlign w:val="superscript"/>
        </w:rPr>
        <w:footnoteReference w:id="106"/>
      </w:r>
    </w:p>
    <w:p w:rsidR="00431229" w:rsidRPr="006662F5" w:rsidRDefault="00431229" w:rsidP="00073AC5">
      <w:pPr>
        <w:pStyle w:val="text"/>
      </w:pPr>
      <w:r w:rsidRPr="006662F5">
        <w:t>Most state statutes do not use any of these terms when defining dilution.</w:t>
      </w:r>
      <w:r w:rsidRPr="006662F5">
        <w:rPr>
          <w:vertAlign w:val="superscript"/>
        </w:rPr>
        <w:footnoteReference w:id="107"/>
      </w:r>
      <w:r w:rsidRPr="006662F5">
        <w:t xml:space="preserve"> The definition of the FTDA originally tracked the language of the 1992 and 1996 Model Bills. The TDRA, which amended the FTDA in 2006, defines two categories of dilution: dilution by blurring and dilution by tarnishment.</w:t>
      </w:r>
      <w:r w:rsidRPr="006662F5">
        <w:rPr>
          <w:vertAlign w:val="superscript"/>
        </w:rPr>
        <w:footnoteReference w:id="108"/>
      </w:r>
      <w:r w:rsidRPr="006662F5">
        <w:t xml:space="preserve"> The TDRA categories and their basic definitions were included in the 2007 Model Bill. It may be that some of the dilution categories thought to exist under the 1964 Model Bill are not encompassed by either the state statutory definitions, particularly the 1992 and 1996 Model Bill statutes, or the definitions of blurring and tarnishment in the TDRA.</w:t>
      </w:r>
      <w:r w:rsidRPr="006662F5">
        <w:rPr>
          <w:vertAlign w:val="superscript"/>
        </w:rPr>
        <w:footnoteReference w:id="109"/>
      </w:r>
      <w:r w:rsidRPr="006662F5">
        <w:t xml:space="preserve"> Nevertheless, they are recognized by so many courts that it is appropriate to use them as a basis for discussing the framework of the analysis of dilution.</w:t>
      </w:r>
    </w:p>
    <w:p w:rsidR="00431229" w:rsidRPr="006662F5" w:rsidRDefault="00431229" w:rsidP="00073AC5">
      <w:pPr>
        <w:pStyle w:val="text"/>
      </w:pPr>
      <w:r w:rsidRPr="006662F5">
        <w:t xml:space="preserve">It should also be noted that, historically, whatever the category, a finding of dilution under federal law normally leads to a finding of </w:t>
      </w:r>
      <w:r w:rsidRPr="006662F5">
        <w:softHyphen/>
        <w:t>dilution under the relevant state law.</w:t>
      </w:r>
      <w:r w:rsidRPr="006662F5">
        <w:rPr>
          <w:vertAlign w:val="superscript"/>
        </w:rPr>
        <w:footnoteReference w:id="110"/>
      </w:r>
      <w:r w:rsidRPr="006662F5">
        <w:t xml:space="preserve"> However, now that the federal standard is likelihood of dilution, while the predominant state standard is (apparently) actual dilution, this supposed congruence between state and federal dilution may no longer be an accurate statement of reality.</w:t>
      </w:r>
    </w:p>
    <w:p w:rsidR="00431229" w:rsidRPr="006662F5" w:rsidRDefault="00431229" w:rsidP="00073AC5">
      <w:pPr>
        <w:pStyle w:val="2ndLevelHeadA0"/>
        <w:rPr>
          <w:rFonts w:cs="Times New Roman"/>
        </w:rPr>
      </w:pPr>
      <w:r w:rsidRPr="006662F5">
        <w:rPr>
          <w:rFonts w:cs="Times New Roman"/>
        </w:rPr>
        <w:t>A.</w:t>
      </w:r>
      <w:r w:rsidRPr="006662F5">
        <w:rPr>
          <w:rFonts w:cs="Times New Roman"/>
        </w:rPr>
        <w:tab/>
        <w:t>Dilution by Blurring</w:t>
      </w:r>
    </w:p>
    <w:p w:rsidR="00431229" w:rsidRPr="006662F5" w:rsidRDefault="00431229" w:rsidP="00073AC5">
      <w:pPr>
        <w:pStyle w:val="text"/>
      </w:pPr>
      <w:r w:rsidRPr="006662F5">
        <w:t>“Blurring” is a term used to describe a form of dilution that most closely represents Frank Schechter’s concept of trademark protection.</w:t>
      </w:r>
      <w:r w:rsidRPr="006662F5">
        <w:rPr>
          <w:vertAlign w:val="superscript"/>
        </w:rPr>
        <w:footnoteReference w:id="111"/>
      </w:r>
      <w:r w:rsidRPr="006662F5">
        <w:t xml:space="preserve"> Blurring occurs when a second person’s use obscures or mars the identification of the mark with a particular source. The consumer, knowing that there is a second (and perhaps a third and fourth) user of the same mark, now is less likely to think of the first user upon seeing or hearing the mark. (Alternatively, the consumer may think of both users, thus depriving the mark of its connection to a unique source.) Although the concept is often stated in nice literary terms (“whittling away” or “cancer” on the first user’s trademark), courts have struggled to describe how one distinguishes situations where blurring is likely to occur from those where it is unlikely to occur. One could simply assume that </w:t>
      </w:r>
      <w:r w:rsidRPr="006662F5">
        <w:rPr>
          <w:i/>
          <w:iCs/>
        </w:rPr>
        <w:t>any</w:t>
      </w:r>
      <w:r w:rsidRPr="006662F5">
        <w:t xml:space="preserve"> use of a mark by another will cause blurring. However, neither the courts nor the statutory definitions have been willing to take the doctrine that far, resulting in the analytical conundrum.</w:t>
      </w:r>
    </w:p>
    <w:p w:rsidR="00431229" w:rsidRPr="006662F5" w:rsidRDefault="00431229" w:rsidP="00073AC5">
      <w:pPr>
        <w:pStyle w:val="text"/>
      </w:pPr>
      <w:r w:rsidRPr="006662F5">
        <w:t>The other problem is distinguishing dilution by blurring from confusion. As indicated in Section IV.C, below, many courts conflate the two concepts, even though dilution is supposed to occur when the viewer knows that the junior user is not related to the senior user.</w:t>
      </w:r>
    </w:p>
    <w:p w:rsidR="00431229" w:rsidRPr="006662F5" w:rsidRDefault="00431229" w:rsidP="00073AC5">
      <w:pPr>
        <w:pStyle w:val="text"/>
      </w:pPr>
      <w:r w:rsidRPr="006662F5">
        <w:t>The Supreme Court’s only discussion of blurring was partly enlightening, limited by the fact that the Court was interpreting the specific language of the FTDA.</w:t>
      </w:r>
      <w:r w:rsidRPr="006662F5">
        <w:rPr>
          <w:vertAlign w:val="superscript"/>
        </w:rPr>
        <w:footnoteReference w:id="112"/>
      </w:r>
      <w:r w:rsidRPr="006662F5">
        <w:t xml:space="preserve"> Perhaps the Court’s most important statement was that “‘[b]lurring’ is not a necessary consequence of mental association” between the junior user and the famous mark.</w:t>
      </w:r>
      <w:r w:rsidRPr="006662F5">
        <w:rPr>
          <w:vertAlign w:val="superscript"/>
        </w:rPr>
        <w:footnoteReference w:id="113"/>
      </w:r>
      <w:r w:rsidRPr="006662F5">
        <w:t xml:space="preserve"> The Court thus appeared to require that, for blurring to occur, two things must happen. First, upon viewing the second user’s mark, the consumer must associate it with the famous mark (that is, the second user must call to mind the famous mark). Second, after viewing the junior use, upon seeing the famous mark the viewer must associate it less strongly with its primary source.</w:t>
      </w:r>
      <w:r w:rsidRPr="006662F5">
        <w:rPr>
          <w:vertAlign w:val="superscript"/>
        </w:rPr>
        <w:footnoteReference w:id="114"/>
      </w:r>
      <w:r w:rsidRPr="006662F5">
        <w:t xml:space="preserve"> Even where state law does not provide a definition of blurring, one occasionally finds a court that understands the distinction between confusion and dilution in terms of loss of distinctiveness.</w:t>
      </w:r>
      <w:r w:rsidRPr="006662F5">
        <w:rPr>
          <w:vertAlign w:val="superscript"/>
        </w:rPr>
        <w:footnoteReference w:id="115"/>
      </w:r>
    </w:p>
    <w:p w:rsidR="00431229" w:rsidRPr="006662F5" w:rsidRDefault="00431229" w:rsidP="00073AC5">
      <w:pPr>
        <w:pStyle w:val="text"/>
      </w:pPr>
      <w:r w:rsidRPr="006662F5">
        <w:t>In 2006, the FTDA was amended by the Trademark Dilution Revision Act of 2006. The TDRA defined dilution by blurring as “association arising from the similarity between a mark or trade name and a famous mark that impairs the distinctiveness of the famous mark.”</w:t>
      </w:r>
      <w:r w:rsidRPr="006662F5">
        <w:rPr>
          <w:vertAlign w:val="superscript"/>
        </w:rPr>
        <w:footnoteReference w:id="116"/>
      </w:r>
      <w:r w:rsidRPr="006662F5">
        <w:t xml:space="preserve"> The TDRA also set out six nonexclusive factors for use when analyzing dilution.</w:t>
      </w:r>
      <w:r w:rsidRPr="006662F5">
        <w:rPr>
          <w:vertAlign w:val="superscript"/>
        </w:rPr>
        <w:footnoteReference w:id="117"/>
      </w:r>
      <w:r w:rsidRPr="006662F5">
        <w:t xml:space="preserve"> In 2007, the Model Bill was revised and incorporated most of the TDRA’s revisions; although the Model Bill adopted the TDRA’s definition of blurring, it did not include the six factors. These amendments are considered in detail elsewhere in this text.</w:t>
      </w:r>
      <w:r w:rsidRPr="006662F5">
        <w:rPr>
          <w:vertAlign w:val="superscript"/>
        </w:rPr>
        <w:footnoteReference w:id="118"/>
      </w:r>
      <w:r w:rsidRPr="006662F5">
        <w:t xml:space="preserve"> As of this writing, only Alabama, California, Mississippi, Oregon, and Texas have adopted the new version of the Model Bill.</w:t>
      </w:r>
      <w:r w:rsidRPr="006662F5">
        <w:rPr>
          <w:vertAlign w:val="superscript"/>
        </w:rPr>
        <w:footnoteReference w:id="119"/>
      </w:r>
      <w:r w:rsidRPr="006662F5">
        <w:t xml:space="preserve"> Therefore, in this chapter we will focus on analyses that are likely to be used when analyzing state statutes based on the earlier version of the FTDA. Whether the TDRA will be influential in this regard remains to be seen.</w:t>
      </w:r>
    </w:p>
    <w:p w:rsidR="00431229" w:rsidRPr="006662F5" w:rsidRDefault="00431229" w:rsidP="00073AC5">
      <w:pPr>
        <w:pStyle w:val="text"/>
      </w:pPr>
      <w:r w:rsidRPr="006662F5">
        <w:t xml:space="preserve">Interpreting blurring under state law obviously is complicated by the existence of at least three types of statutes, two of which have different definitions of dilution. Another serious interpretive issue with regard to state statutes is the possible need to show actual, as opposed to likely, dilution. States with statutes worded like the original FTDA probably will be interpreted as requiring the more stringent showing mandated by the </w:t>
      </w:r>
      <w:r w:rsidRPr="006662F5">
        <w:rPr>
          <w:i/>
          <w:iCs/>
        </w:rPr>
        <w:t>Moseley</w:t>
      </w:r>
      <w:r w:rsidRPr="006662F5">
        <w:t xml:space="preserve"> decision.</w:t>
      </w:r>
      <w:r w:rsidRPr="006662F5">
        <w:rPr>
          <w:vertAlign w:val="superscript"/>
        </w:rPr>
        <w:footnoteReference w:id="120"/>
      </w:r>
      <w:r w:rsidRPr="006662F5">
        <w:t xml:space="preserve"> </w:t>
      </w:r>
      <w:r w:rsidRPr="008214DA">
        <w:t>In at least one case using the actual dilution standard under state law a court found actual dilution based in part on the identity of the marks, as well as other evidence.</w:t>
      </w:r>
      <w:r w:rsidRPr="008214DA">
        <w:rPr>
          <w:vertAlign w:val="superscript"/>
        </w:rPr>
        <w:footnoteReference w:id="121"/>
      </w:r>
      <w:r>
        <w:t xml:space="preserve"> </w:t>
      </w:r>
      <w:r w:rsidRPr="006662F5">
        <w:t>States with statutes patterned after the 1964 or 2007 Model Bills will use a different standard.</w:t>
      </w:r>
    </w:p>
    <w:p w:rsidR="00431229" w:rsidRPr="006662F5" w:rsidRDefault="00431229" w:rsidP="00073AC5">
      <w:pPr>
        <w:pStyle w:val="3rdLevelHead1"/>
        <w:rPr>
          <w:rFonts w:cs="Times New Roman"/>
        </w:rPr>
      </w:pPr>
      <w:r w:rsidRPr="006662F5">
        <w:rPr>
          <w:rFonts w:cs="Times New Roman"/>
        </w:rPr>
        <w:t>1</w:t>
      </w:r>
      <w:r w:rsidRPr="006662F5">
        <w:rPr>
          <w:rFonts w:cs="Times New Roman"/>
          <w:i w:val="0"/>
          <w:iCs w:val="0"/>
        </w:rPr>
        <w:t>.</w:t>
      </w:r>
      <w:r w:rsidRPr="006662F5">
        <w:rPr>
          <w:rFonts w:cs="Times New Roman"/>
        </w:rPr>
        <w:tab/>
        <w:t>Determining Blurring: Is Similarity Plus Distinctiveness Sufficient?</w:t>
      </w:r>
    </w:p>
    <w:p w:rsidR="00431229" w:rsidRPr="006662F5" w:rsidRDefault="00431229" w:rsidP="00073AC5">
      <w:pPr>
        <w:pStyle w:val="text"/>
      </w:pPr>
      <w:r w:rsidRPr="006662F5">
        <w:t>New York’s dilution law is typical of those states whose statutes are similar to the 1964 Model Bill. The “elements” of a blurring claim under New York law have been described by the Second Circuit as consisting of “(1) ownership of a distinctive mark, and (2) a likelihood of dilution.”</w:t>
      </w:r>
      <w:r w:rsidRPr="006662F5">
        <w:rPr>
          <w:vertAlign w:val="superscript"/>
        </w:rPr>
        <w:footnoteReference w:id="122"/>
      </w:r>
      <w:r w:rsidRPr="006662F5">
        <w:t xml:space="preserve"> Ownership of a distinctive mark is an obvious prerequisite for dilution; lack of distinctiveness is the single largest reason for the failure of dilution claims.</w:t>
      </w:r>
      <w:r w:rsidRPr="006662F5">
        <w:rPr>
          <w:vertAlign w:val="superscript"/>
        </w:rPr>
        <w:footnoteReference w:id="123"/>
      </w:r>
      <w:r w:rsidRPr="006662F5">
        <w:t xml:space="preserve"> However, the concept of “likelihood of dilution” does little to advance the analysis. In fact, most courts come to their conclusion on the dilution issue with little or no analysis. The large number of cases that can be cited as examples of insufficient analysis is testament to this problem.</w:t>
      </w:r>
      <w:r w:rsidRPr="006662F5">
        <w:rPr>
          <w:vertAlign w:val="superscript"/>
        </w:rPr>
        <w:footnoteReference w:id="124"/>
      </w:r>
      <w:r w:rsidRPr="006662F5">
        <w:t xml:space="preserve"> This is particularly true where confusion is found, and successful dilution claims in the absence of confusion are fairly unusual. </w:t>
      </w:r>
    </w:p>
    <w:p w:rsidR="00431229" w:rsidRPr="006662F5" w:rsidRDefault="00431229" w:rsidP="00073AC5">
      <w:pPr>
        <w:pStyle w:val="text"/>
      </w:pPr>
      <w:r w:rsidRPr="006662F5">
        <w:t>Because courts tend to find dilution when confusion exists,</w:t>
      </w:r>
      <w:r w:rsidRPr="006662F5">
        <w:rPr>
          <w:vertAlign w:val="superscript"/>
        </w:rPr>
        <w:footnoteReference w:id="125"/>
      </w:r>
      <w:r w:rsidRPr="006662F5">
        <w:t xml:space="preserve"> it is often difficult to discern which factors, other than those pointing to confusion, will favor a finding of dilution. One court, interpreting Missouri’s dilution law, compared it to infringement under the Lanham Act by stating that a dilution plaintiff’s “burden is not as great, because the state law provides greater protection than the Lanham Act by expressly permitting claims ‘notwithstanding the absence of confusion as to the source of goods or services.’”</w:t>
      </w:r>
      <w:r w:rsidRPr="006662F5">
        <w:rPr>
          <w:vertAlign w:val="superscript"/>
        </w:rPr>
        <w:footnoteReference w:id="126"/>
      </w:r>
      <w:r w:rsidRPr="006662F5">
        <w:t xml:space="preserve"> The court did not thereafter separately discuss dilution. Although many courts—especially in states with statutes similar to the 1964 Model Bill—do not have formal tests for dilution, a careful examination of the cases reveals some patterns.</w:t>
      </w:r>
    </w:p>
    <w:p w:rsidR="00431229" w:rsidRPr="006662F5" w:rsidRDefault="00431229" w:rsidP="00073AC5">
      <w:pPr>
        <w:pStyle w:val="text"/>
      </w:pPr>
      <w:r w:rsidRPr="006662F5">
        <w:t>In many cases, it appears that the strength of the mark, combined with the similarity of the two uses, is regarded as sufficient to demonstrate dilution. There is no exact test, once a mark is deemed sufficiently distinctive to merit dilution protection,</w:t>
      </w:r>
      <w:r w:rsidRPr="006662F5">
        <w:rPr>
          <w:vertAlign w:val="superscript"/>
        </w:rPr>
        <w:footnoteReference w:id="127"/>
      </w:r>
      <w:r w:rsidRPr="006662F5">
        <w:t xml:space="preserve"> for determining how strong a mark must be or what sort of use is needed to create dilution. However, a distinctive but relatively weak mark seems to require a far greater degree of similarity and elicits a more exacting scrutiny of the dilution claim. A third factor is the significance of the defendant’s use. If the use is de minimis or at least fairly small, courts sometimes discount the possibility of dilution.</w:t>
      </w:r>
      <w:r w:rsidRPr="006662F5">
        <w:rPr>
          <w:vertAlign w:val="superscript"/>
        </w:rPr>
        <w:footnoteReference w:id="128"/>
      </w:r>
      <w:r w:rsidRPr="006662F5">
        <w:t xml:space="preserve"> In an analogous fashion, if plaintiff’s use is limited to a narrow market, that may be counted against dilution.</w:t>
      </w:r>
      <w:r w:rsidRPr="006662F5">
        <w:rPr>
          <w:vertAlign w:val="superscript"/>
        </w:rPr>
        <w:footnoteReference w:id="129"/>
      </w:r>
    </w:p>
    <w:p w:rsidR="00431229" w:rsidRPr="006662F5" w:rsidRDefault="00431229" w:rsidP="00073AC5">
      <w:pPr>
        <w:pStyle w:val="text"/>
      </w:pPr>
      <w:r w:rsidRPr="006662F5">
        <w:t>Several cases interpreting the 1964 Model Bill statutes illustrate these points.</w:t>
      </w:r>
    </w:p>
    <w:p w:rsidR="00431229" w:rsidRPr="006662F5" w:rsidRDefault="00431229" w:rsidP="00073AC5">
      <w:pPr>
        <w:pStyle w:val="text"/>
      </w:pPr>
      <w:r w:rsidRPr="006662F5">
        <w:t xml:space="preserve">The factors described above appear in the discussion in </w:t>
      </w:r>
      <w:r w:rsidRPr="006662F5">
        <w:rPr>
          <w:i/>
          <w:iCs/>
        </w:rPr>
        <w:t>Freedom Savings &amp; Loan Ass’n v</w:t>
      </w:r>
      <w:r w:rsidRPr="006662F5">
        <w:t>.</w:t>
      </w:r>
      <w:r w:rsidRPr="006662F5">
        <w:rPr>
          <w:i/>
          <w:iCs/>
        </w:rPr>
        <w:t xml:space="preserve"> Way</w:t>
      </w:r>
      <w:r w:rsidRPr="006662F5">
        <w:t>.</w:t>
      </w:r>
      <w:r w:rsidRPr="006662F5">
        <w:rPr>
          <w:vertAlign w:val="superscript"/>
        </w:rPr>
        <w:footnoteReference w:id="130"/>
      </w:r>
      <w:r w:rsidRPr="006662F5">
        <w:t xml:space="preserve"> The court distinguished between situations where there is “a distinctive trademark,” in which case “it is enough that the defendant has made significant use of a very similar mark,” and the case of a weak mark, where proof of actual loss would be required.</w:t>
      </w:r>
      <w:r w:rsidRPr="006662F5">
        <w:rPr>
          <w:vertAlign w:val="superscript"/>
        </w:rPr>
        <w:footnoteReference w:id="131"/>
      </w:r>
      <w:r w:rsidRPr="006662F5">
        <w:t xml:space="preserve"> In </w:t>
      </w:r>
      <w:r w:rsidRPr="006662F5">
        <w:rPr>
          <w:i/>
          <w:iCs/>
        </w:rPr>
        <w:t>Way</w:t>
      </w:r>
      <w:r w:rsidRPr="006662F5">
        <w:t>, the plaintiff had a fairly weak mark, so the dilution claim failed for lack of proof.</w:t>
      </w:r>
      <w:r w:rsidRPr="006662F5">
        <w:rPr>
          <w:vertAlign w:val="superscript"/>
        </w:rPr>
        <w:footnoteReference w:id="132"/>
      </w:r>
      <w:r w:rsidRPr="006662F5">
        <w:t xml:space="preserve"> In a California case, </w:t>
      </w:r>
      <w:r w:rsidRPr="006662F5">
        <w:rPr>
          <w:i/>
          <w:iCs/>
        </w:rPr>
        <w:t>Saks &amp; Co</w:t>
      </w:r>
      <w:r w:rsidRPr="006662F5">
        <w:t>.</w:t>
      </w:r>
      <w:r w:rsidRPr="006662F5">
        <w:rPr>
          <w:i/>
          <w:iCs/>
        </w:rPr>
        <w:t xml:space="preserve"> v</w:t>
      </w:r>
      <w:r w:rsidRPr="006662F5">
        <w:t>.</w:t>
      </w:r>
      <w:r w:rsidRPr="006662F5">
        <w:rPr>
          <w:i/>
          <w:iCs/>
        </w:rPr>
        <w:t xml:space="preserve"> Hill</w:t>
      </w:r>
      <w:r w:rsidRPr="006662F5">
        <w:t>,</w:t>
      </w:r>
      <w:r w:rsidRPr="006662F5">
        <w:rPr>
          <w:vertAlign w:val="superscript"/>
        </w:rPr>
        <w:footnoteReference w:id="133"/>
      </w:r>
      <w:r w:rsidRPr="006662F5">
        <w:t xml:space="preserve"> the court found dilution of the Saks Fifth Avenue mark by a store called “Saks Thrift Avenue.”</w:t>
      </w:r>
      <w:r w:rsidRPr="006662F5">
        <w:rPr>
          <w:vertAlign w:val="superscript"/>
        </w:rPr>
        <w:footnoteReference w:id="134"/>
      </w:r>
      <w:r w:rsidRPr="006662F5">
        <w:t xml:space="preserve"> In its brief analysis, the court cited only the strength of the plaintiff’s mark and the similarity between the two marks.</w:t>
      </w:r>
      <w:r w:rsidRPr="006662F5">
        <w:rPr>
          <w:vertAlign w:val="superscript"/>
        </w:rPr>
        <w:footnoteReference w:id="135"/>
      </w:r>
    </w:p>
    <w:p w:rsidR="00431229" w:rsidRPr="006662F5" w:rsidRDefault="00431229" w:rsidP="00073AC5">
      <w:pPr>
        <w:pStyle w:val="text"/>
      </w:pPr>
      <w:r w:rsidRPr="006662F5">
        <w:t xml:space="preserve">In </w:t>
      </w:r>
      <w:r w:rsidRPr="006662F5">
        <w:rPr>
          <w:i/>
          <w:iCs/>
        </w:rPr>
        <w:t>Instrumentalist Co</w:t>
      </w:r>
      <w:r w:rsidRPr="006662F5">
        <w:t>.</w:t>
      </w:r>
      <w:r w:rsidRPr="006662F5">
        <w:rPr>
          <w:i/>
          <w:iCs/>
        </w:rPr>
        <w:t xml:space="preserve"> v</w:t>
      </w:r>
      <w:r w:rsidRPr="006662F5">
        <w:t>.</w:t>
      </w:r>
      <w:r w:rsidRPr="006662F5">
        <w:rPr>
          <w:i/>
          <w:iCs/>
        </w:rPr>
        <w:t xml:space="preserve"> Marine Corps League</w:t>
      </w:r>
      <w:r w:rsidRPr="006662F5">
        <w:t>,</w:t>
      </w:r>
      <w:r w:rsidRPr="006662F5">
        <w:rPr>
          <w:vertAlign w:val="superscript"/>
        </w:rPr>
        <w:footnoteReference w:id="136"/>
      </w:r>
      <w:r w:rsidRPr="006662F5">
        <w:t xml:space="preserve"> the plaintiff complained that its John Philip Sousa Band Award was infringed and diluted by the defendant’s Semper Fidelis band award, which featured a picture of John Philip Sousa on the front and a short biography of Sousa on the back. The court found dilution, citing only the testimony of two band directors and the plaintiff’s president to the effect that the defendant’s award would “erode” or “water down” plaintiff’s award.</w:t>
      </w:r>
      <w:r w:rsidRPr="006662F5">
        <w:rPr>
          <w:vertAlign w:val="superscript"/>
        </w:rPr>
        <w:footnoteReference w:id="137"/>
      </w:r>
      <w:r w:rsidRPr="006662F5">
        <w:t xml:space="preserve"> Apart from a finding of distinctiveness, there was little else to indicate dilution, though it appears that the court regarded the defendant’s use of the Sousa picture as a trademark use</w:t>
      </w:r>
      <w:r w:rsidRPr="006662F5">
        <w:rPr>
          <w:vertAlign w:val="superscript"/>
        </w:rPr>
        <w:footnoteReference w:id="138"/>
      </w:r>
      <w:r w:rsidRPr="006662F5">
        <w:t xml:space="preserve"> of sufficient similarity to the plaintiff’s use of Sousa to justify a finding of dilution.</w:t>
      </w:r>
    </w:p>
    <w:p w:rsidR="00431229" w:rsidRDefault="00431229" w:rsidP="00073AC5">
      <w:pPr>
        <w:pStyle w:val="text"/>
      </w:pPr>
      <w:r w:rsidRPr="006662F5">
        <w:t xml:space="preserve">Another example is </w:t>
      </w:r>
      <w:r w:rsidRPr="006662F5">
        <w:rPr>
          <w:i/>
          <w:iCs/>
        </w:rPr>
        <w:t>Ringling Brothers-Barnum &amp; Bailey Combined Shows, Inc</w:t>
      </w:r>
      <w:r w:rsidRPr="006662F5">
        <w:t>.</w:t>
      </w:r>
      <w:r w:rsidRPr="006662F5">
        <w:rPr>
          <w:i/>
          <w:iCs/>
        </w:rPr>
        <w:t xml:space="preserve"> v</w:t>
      </w:r>
      <w:r w:rsidRPr="006662F5">
        <w:t>.</w:t>
      </w:r>
      <w:r w:rsidRPr="006662F5">
        <w:rPr>
          <w:i/>
          <w:iCs/>
        </w:rPr>
        <w:t xml:space="preserve"> Celozzi-Ettelson Chevrolet, Inc</w:t>
      </w:r>
      <w:r w:rsidRPr="006662F5">
        <w:t>.</w:t>
      </w:r>
      <w:r w:rsidRPr="006662F5">
        <w:rPr>
          <w:vertAlign w:val="superscript"/>
        </w:rPr>
        <w:footnoteReference w:id="139"/>
      </w:r>
      <w:r w:rsidRPr="006662F5">
        <w:t xml:space="preserve"> Ringling sued a car dealership that used the slogan Greatest Used Car Show on Earth, which it claimed diluted its trademark Greatest Show on Earth.</w:t>
      </w:r>
      <w:r w:rsidRPr="006662F5">
        <w:rPr>
          <w:vertAlign w:val="superscript"/>
        </w:rPr>
        <w:footnoteReference w:id="140"/>
      </w:r>
      <w:r w:rsidRPr="006662F5">
        <w:t xml:space="preserve"> The court cited little more than the distinctiveness of Ringling’s mark</w:t>
      </w:r>
      <w:r w:rsidRPr="006662F5">
        <w:rPr>
          <w:vertAlign w:val="superscript"/>
        </w:rPr>
        <w:footnoteReference w:id="141"/>
      </w:r>
      <w:r w:rsidRPr="006662F5">
        <w:t xml:space="preserve"> and the similarity of the two slogans.</w:t>
      </w:r>
      <w:r w:rsidRPr="006662F5">
        <w:rPr>
          <w:vertAlign w:val="superscript"/>
        </w:rPr>
        <w:footnoteReference w:id="142"/>
      </w:r>
    </w:p>
    <w:p w:rsidR="00431229" w:rsidRDefault="00431229" w:rsidP="00BA7350">
      <w:pPr>
        <w:pStyle w:val="textinsert-"/>
        <w:rPr>
          <w:rFonts w:cs="Times New Roman"/>
        </w:rPr>
      </w:pPr>
      <w:r w:rsidRPr="008214DA">
        <w:rPr>
          <w:rFonts w:cs="Times New Roman"/>
        </w:rPr>
        <w:t xml:space="preserve">Similarly, in </w:t>
      </w:r>
      <w:r w:rsidRPr="008214DA">
        <w:rPr>
          <w:rFonts w:cs="Times New Roman"/>
          <w:i/>
          <w:iCs/>
        </w:rPr>
        <w:t>S &amp; H Industries, Inc</w:t>
      </w:r>
      <w:r w:rsidRPr="008214DA">
        <w:rPr>
          <w:rFonts w:cs="Times New Roman"/>
        </w:rPr>
        <w:t>.</w:t>
      </w:r>
      <w:r w:rsidRPr="008214DA">
        <w:rPr>
          <w:rFonts w:cs="Times New Roman"/>
          <w:i/>
          <w:iCs/>
        </w:rPr>
        <w:t xml:space="preserve"> v</w:t>
      </w:r>
      <w:r w:rsidRPr="008214DA">
        <w:rPr>
          <w:rFonts w:cs="Times New Roman"/>
        </w:rPr>
        <w:t>.</w:t>
      </w:r>
      <w:r w:rsidRPr="008214DA">
        <w:rPr>
          <w:rFonts w:cs="Times New Roman"/>
          <w:i/>
          <w:iCs/>
        </w:rPr>
        <w:t xml:space="preserve"> Selander</w:t>
      </w:r>
      <w:r w:rsidRPr="008214DA">
        <w:rPr>
          <w:rFonts w:cs="Times New Roman"/>
        </w:rPr>
        <w:t>,</w:t>
      </w:r>
      <w:r w:rsidRPr="008214DA">
        <w:rPr>
          <w:rFonts w:cs="Times New Roman"/>
          <w:vertAlign w:val="superscript"/>
        </w:rPr>
        <w:footnoteReference w:id="143"/>
      </w:r>
      <w:r w:rsidRPr="008214DA">
        <w:rPr>
          <w:rFonts w:cs="Times New Roman"/>
        </w:rPr>
        <w:t xml:space="preserve"> the court found sufficient evidence of blurring and tarnishment under the original Texas dilution law from defendant’s unauthorized use of plaintiff’s registered mark on defendant’s </w:t>
      </w:r>
      <w:r>
        <w:rPr>
          <w:rFonts w:cs="Times New Roman"/>
        </w:rPr>
        <w:t>w</w:t>
      </w:r>
      <w:r w:rsidRPr="008214DA">
        <w:rPr>
          <w:rFonts w:cs="Times New Roman"/>
        </w:rPr>
        <w:t>ebsite (to sell defendant’s goods), together with defendant’s representations that plaintiff’s goods were “knockoffs” and “clones.”</w:t>
      </w:r>
      <w:r w:rsidRPr="008214DA">
        <w:rPr>
          <w:rFonts w:cs="Times New Roman"/>
          <w:vertAlign w:val="superscript"/>
        </w:rPr>
        <w:footnoteReference w:id="144"/>
      </w:r>
      <w:r w:rsidRPr="008214DA">
        <w:rPr>
          <w:rFonts w:cs="Times New Roman"/>
        </w:rPr>
        <w:t xml:space="preserve"> </w:t>
      </w:r>
      <w:r>
        <w:rPr>
          <w:rFonts w:cs="Times New Roman"/>
        </w:rPr>
        <w:t>A Florida  opinion by a magistrate judge found dilution under Florida law, citing defendant’s use of photographs of plaintiff’s products to sell defendant’s products online, and citing an instance of confusion.</w:t>
      </w:r>
      <w:r w:rsidRPr="00E20769">
        <w:rPr>
          <w:rStyle w:val="FootnoteReference"/>
          <w:rFonts w:cs="Times New Roman"/>
        </w:rPr>
        <w:footnoteReference w:id="145"/>
      </w:r>
      <w:r>
        <w:rPr>
          <w:rFonts w:cs="Times New Roman"/>
        </w:rPr>
        <w:t xml:space="preserve">  A district court in Missouri found dilution under Missouri law (in a default situation) based on allegations that defendant was selling counterfeits of plaintiff’s goods.</w:t>
      </w:r>
      <w:r>
        <w:rPr>
          <w:rStyle w:val="FootnoteReference"/>
          <w:rFonts w:cs="Times New Roman"/>
        </w:rPr>
        <w:footnoteReference w:id="146"/>
      </w:r>
      <w:r>
        <w:rPr>
          <w:rFonts w:cs="Times New Roman"/>
        </w:rPr>
        <w:t xml:space="preserve"> A district court in Georgia found dilution under that state’s law from defendant’s use of various Superman and Wonder Woman costumes and props in its singing telegram business, though with little discussion of how dilution would result.</w:t>
      </w:r>
      <w:r w:rsidRPr="00E20769">
        <w:rPr>
          <w:rStyle w:val="FootnoteReference"/>
          <w:rFonts w:cs="Times New Roman"/>
        </w:rPr>
        <w:footnoteReference w:id="147"/>
      </w:r>
      <w:r>
        <w:rPr>
          <w:rFonts w:cs="Times New Roman"/>
        </w:rPr>
        <w:t xml:space="preserve"> </w:t>
      </w:r>
      <w:r w:rsidRPr="008214DA">
        <w:rPr>
          <w:rFonts w:cs="Times New Roman"/>
        </w:rPr>
        <w:t>Another court found allegations that defendants sold counterfeits of plaintiff’s products to adequately state a dilution claim under New York law.</w:t>
      </w:r>
      <w:r w:rsidRPr="008214DA">
        <w:rPr>
          <w:rFonts w:cs="Times New Roman"/>
          <w:vertAlign w:val="superscript"/>
        </w:rPr>
        <w:footnoteReference w:id="148"/>
      </w:r>
      <w:r w:rsidRPr="008214DA">
        <w:rPr>
          <w:rFonts w:cs="Times New Roman"/>
        </w:rPr>
        <w:t xml:space="preserve"> Yet another court found dilution under New York law based on defendant’s unauthorized distribution of television shows containing trademarks of which plaintiff was apparently a licensee.</w:t>
      </w:r>
      <w:r w:rsidRPr="008214DA">
        <w:rPr>
          <w:rFonts w:cs="Times New Roman"/>
          <w:vertAlign w:val="superscript"/>
        </w:rPr>
        <w:footnoteReference w:id="149"/>
      </w:r>
      <w:r w:rsidRPr="008214DA">
        <w:rPr>
          <w:rFonts w:cs="Times New Roman"/>
        </w:rPr>
        <w:t xml:space="preserve"> However, a Massachusetts federal court found no dilution under Massachusetts law where the defendant’s advertising compared two of plaintiff’s products to each other.</w:t>
      </w:r>
      <w:r w:rsidRPr="008214DA">
        <w:rPr>
          <w:rFonts w:cs="Times New Roman"/>
          <w:vertAlign w:val="superscript"/>
        </w:rPr>
        <w:footnoteReference w:id="150"/>
      </w:r>
    </w:p>
    <w:p w:rsidR="00431229" w:rsidRPr="00296094" w:rsidRDefault="00431229" w:rsidP="00BA7350">
      <w:pPr>
        <w:pStyle w:val="textinsert-"/>
        <w:rPr>
          <w:rFonts w:cs="Times New Roman"/>
        </w:rPr>
      </w:pPr>
      <w:r>
        <w:rPr>
          <w:rFonts w:cs="Times New Roman"/>
        </w:rPr>
        <w:t xml:space="preserve">The importance of similarity, or lack thereof, is evident from the decision in </w:t>
      </w:r>
      <w:r>
        <w:rPr>
          <w:rFonts w:cs="Times New Roman"/>
          <w:i/>
          <w:iCs/>
        </w:rPr>
        <w:t>Florida International University Board of Trustees v. Florida National University, Inc.,</w:t>
      </w:r>
      <w:r w:rsidRPr="00E20769">
        <w:rPr>
          <w:rStyle w:val="FootnoteReference"/>
          <w:rFonts w:cs="Times New Roman"/>
          <w:iCs/>
        </w:rPr>
        <w:footnoteReference w:id="151"/>
      </w:r>
      <w:r>
        <w:rPr>
          <w:rFonts w:cs="Times New Roman"/>
        </w:rPr>
        <w:t xml:space="preserve"> where the Eleventh Circuit upheld the dismissal of a dilution claim.  Prominent among the reasons for dismissal was a perceived lack of similarity between Florida International University and Florida National University.</w:t>
      </w:r>
      <w:r>
        <w:rPr>
          <w:rStyle w:val="FootnoteReference"/>
          <w:rFonts w:cs="Times New Roman"/>
        </w:rPr>
        <w:footnoteReference w:id="152"/>
      </w:r>
      <w:r>
        <w:rPr>
          <w:rFonts w:cs="Times New Roman"/>
        </w:rPr>
        <w:t xml:space="preserve">  The same was true in </w:t>
      </w:r>
      <w:r w:rsidRPr="00826BD9">
        <w:rPr>
          <w:rFonts w:cs="Times New Roman"/>
          <w:i/>
          <w:iCs/>
        </w:rPr>
        <w:t>Fischer v. Brushy Mountain Bee Farm, Inc.</w:t>
      </w:r>
      <w:r>
        <w:rPr>
          <w:rFonts w:cs="Times New Roman"/>
        </w:rPr>
        <w:t>,</w:t>
      </w:r>
      <w:r w:rsidRPr="00E20769">
        <w:rPr>
          <w:rStyle w:val="FootnoteReference"/>
          <w:rFonts w:cs="Times New Roman"/>
        </w:rPr>
        <w:footnoteReference w:id="153"/>
      </w:r>
      <w:r>
        <w:rPr>
          <w:rFonts w:cs="Times New Roman"/>
        </w:rPr>
        <w:t xml:space="preserve"> where the court dismissed a New York dilution claim, noting a complete lack of similarity since defendant did not use plaintiff’s mark (or anything like it) to market its competing product.</w:t>
      </w:r>
      <w:r w:rsidRPr="00E20769">
        <w:rPr>
          <w:rStyle w:val="FootnoteReference"/>
          <w:rFonts w:cs="Times New Roman"/>
        </w:rPr>
        <w:footnoteReference w:id="154"/>
      </w:r>
    </w:p>
    <w:p w:rsidR="00431229" w:rsidRPr="006662F5" w:rsidRDefault="00431229" w:rsidP="00BA7350">
      <w:pPr>
        <w:pStyle w:val="text"/>
      </w:pPr>
      <w:r>
        <w:t>In an unusual case, a Missouri state appellate court invoked dilution without it being cited by either party.</w:t>
      </w:r>
      <w:r w:rsidRPr="00E20769">
        <w:rPr>
          <w:rStyle w:val="FootnoteReference"/>
        </w:rPr>
        <w:footnoteReference w:id="155"/>
      </w:r>
      <w:r>
        <w:t xml:space="preserve">  The lower court had ordered defendant to remove a sign left by plaintiff when it moved its business to another site.  Defendant argued that there was no confusion, but the court, </w:t>
      </w:r>
      <w:r w:rsidRPr="00826BD9">
        <w:rPr>
          <w:iCs/>
        </w:rPr>
        <w:t>sua sponte</w:t>
      </w:r>
      <w:r>
        <w:t>, invoked the Missouri dilution statute, emphasizing that it does not require confusion, and upheld the injunction.</w:t>
      </w:r>
      <w:r w:rsidRPr="00E20769">
        <w:rPr>
          <w:rStyle w:val="FootnoteReference"/>
        </w:rPr>
        <w:footnoteReference w:id="156"/>
      </w:r>
    </w:p>
    <w:p w:rsidR="00431229" w:rsidRPr="006662F5" w:rsidRDefault="00431229" w:rsidP="00073AC5">
      <w:pPr>
        <w:pStyle w:val="text"/>
      </w:pPr>
      <w:r w:rsidRPr="006662F5">
        <w:t xml:space="preserve">In </w:t>
      </w:r>
      <w:r w:rsidRPr="006662F5">
        <w:rPr>
          <w:i/>
          <w:iCs/>
        </w:rPr>
        <w:t>Eastman Kodak Co</w:t>
      </w:r>
      <w:r w:rsidRPr="006662F5">
        <w:t>.</w:t>
      </w:r>
      <w:r w:rsidRPr="006662F5">
        <w:rPr>
          <w:i/>
          <w:iCs/>
        </w:rPr>
        <w:t xml:space="preserve"> v</w:t>
      </w:r>
      <w:r w:rsidRPr="006662F5">
        <w:t>.</w:t>
      </w:r>
      <w:r w:rsidRPr="006662F5">
        <w:rPr>
          <w:i/>
          <w:iCs/>
        </w:rPr>
        <w:t xml:space="preserve"> Rakow</w:t>
      </w:r>
      <w:r w:rsidRPr="006662F5">
        <w:t>,</w:t>
      </w:r>
      <w:r w:rsidRPr="006662F5">
        <w:rPr>
          <w:vertAlign w:val="superscript"/>
        </w:rPr>
        <w:footnoteReference w:id="157"/>
      </w:r>
      <w:r w:rsidRPr="006662F5">
        <w:t xml:space="preserve"> the defendant used a stage name that was identical to the very well-known mark Kodak. The court found dilution.</w:t>
      </w:r>
      <w:r w:rsidRPr="006662F5">
        <w:rPr>
          <w:vertAlign w:val="superscript"/>
        </w:rPr>
        <w:footnoteReference w:id="158"/>
      </w:r>
      <w:r w:rsidRPr="006662F5">
        <w:t xml:space="preserve"> There was little indication of the impetus for the finding beyond the existence of a very well-known mark and the apparent fear that the defendant’s use of the same name could cause damage to the mark’s reputation.</w:t>
      </w:r>
      <w:r w:rsidRPr="006662F5">
        <w:rPr>
          <w:vertAlign w:val="superscript"/>
        </w:rPr>
        <w:footnoteReference w:id="159"/>
      </w:r>
      <w:r w:rsidRPr="006662F5">
        <w:t xml:space="preserve"> Even when the mark is not as well known as Kodak, the use of a virtually identical mark may lead to a dilution remedy.</w:t>
      </w:r>
      <w:r w:rsidRPr="006662F5">
        <w:rPr>
          <w:vertAlign w:val="superscript"/>
        </w:rPr>
        <w:footnoteReference w:id="160"/>
      </w:r>
      <w:r w:rsidRPr="006662F5">
        <w:t xml:space="preserve"> Until the Supreme Court narrowed the interpretation of the original FTDA, some courts had stated that dilution under the FTDA could be found by looking solely at distinctiveness (that is, fame) and similarity.</w:t>
      </w:r>
      <w:r w:rsidRPr="006662F5">
        <w:rPr>
          <w:vertAlign w:val="superscript"/>
        </w:rPr>
        <w:footnoteReference w:id="161"/>
      </w:r>
    </w:p>
    <w:p w:rsidR="00431229" w:rsidRDefault="00431229" w:rsidP="00073AC5">
      <w:pPr>
        <w:pStyle w:val="text"/>
      </w:pPr>
      <w:r w:rsidRPr="006662F5">
        <w:t>On the other hand, even a very well-known mark has its limits in terms of dilution protection. For instance, the Girl Scouts of America were unsuccessful in a claim against the publisher of a series of children’s books with “Pee Wee Scouts” in their title.</w:t>
      </w:r>
      <w:r w:rsidRPr="006662F5">
        <w:rPr>
          <w:vertAlign w:val="superscript"/>
        </w:rPr>
        <w:footnoteReference w:id="162"/>
      </w:r>
      <w:r w:rsidRPr="006662F5">
        <w:t xml:space="preserve"> The court held that the two marks were very dissimilar, precluding a dilution claim.</w:t>
      </w:r>
      <w:r w:rsidRPr="006662F5">
        <w:rPr>
          <w:vertAlign w:val="superscript"/>
        </w:rPr>
        <w:footnoteReference w:id="163"/>
      </w:r>
      <w:r w:rsidRPr="006662F5">
        <w:t xml:space="preserve"> There are also occasions where a court, without stating specific factors, will dismiss a dilution claim for lack of any evidence of dilution.</w:t>
      </w:r>
      <w:r w:rsidRPr="006662F5">
        <w:rPr>
          <w:vertAlign w:val="superscript"/>
        </w:rPr>
        <w:footnoteReference w:id="164"/>
      </w:r>
      <w:r w:rsidRPr="006662F5">
        <w:t xml:space="preserve"> Thus, the combination of a very strong mark and a very similar use is most likely to produce a successful blurring claim.</w:t>
      </w:r>
      <w:r w:rsidRPr="006662F5">
        <w:rPr>
          <w:vertAlign w:val="superscript"/>
        </w:rPr>
        <w:footnoteReference w:id="165"/>
      </w:r>
      <w:r w:rsidRPr="006662F5">
        <w:t xml:space="preserve"> Obviously, if weaker marks are protected under this standard, then there is a danger of supplanting infringement with dilution claims and giving overbroad protection to owners of weak marks. However, just because a mark consists of a common word does not mean that it cannot be distinctive enough to be diluted or cannot be used in a way that leads to dilution.</w:t>
      </w:r>
      <w:r w:rsidRPr="006662F5">
        <w:rPr>
          <w:vertAlign w:val="superscript"/>
        </w:rPr>
        <w:footnoteReference w:id="166"/>
      </w:r>
    </w:p>
    <w:p w:rsidR="00431229" w:rsidRDefault="00431229" w:rsidP="00073AC5">
      <w:pPr>
        <w:pStyle w:val="text"/>
      </w:pPr>
      <w:r>
        <w:t>If the plaintiff’s mark is used by defendant to refer to the plaintiff, courts will be reluctant to find dilution.</w:t>
      </w:r>
      <w:r w:rsidRPr="00E20769">
        <w:rPr>
          <w:rStyle w:val="FootnoteReference"/>
        </w:rPr>
        <w:footnoteReference w:id="167"/>
      </w:r>
      <w:r w:rsidRPr="00E20769">
        <w:rPr>
          <w:sz w:val="32"/>
        </w:rPr>
        <w:t xml:space="preserve">  </w:t>
      </w:r>
      <w:r>
        <w:t>Indeed, one court found that such a referential use strengthened, rather than weakened, the distinctive quality of plaintiff’s mark, denying a state dilution claim.</w:t>
      </w:r>
      <w:r w:rsidRPr="00E20769">
        <w:rPr>
          <w:rStyle w:val="FootnoteReference"/>
        </w:rPr>
        <w:footnoteReference w:id="168"/>
      </w:r>
    </w:p>
    <w:p w:rsidR="00431229" w:rsidRPr="006662F5" w:rsidRDefault="00431229" w:rsidP="00073AC5">
      <w:pPr>
        <w:pStyle w:val="text"/>
      </w:pPr>
      <w:r>
        <w:t>Another analysis used by courts is an examination of whether the mark is a word that others might need to use when referring to their products.  Particularly when the word is said to be a “household word,” (that is, a word that others would need) courts are reluctant to find blurring.</w:t>
      </w:r>
      <w:r>
        <w:rPr>
          <w:rStyle w:val="FootnoteReference"/>
        </w:rPr>
        <w:footnoteReference w:id="169"/>
      </w:r>
    </w:p>
    <w:p w:rsidR="00431229" w:rsidRPr="006662F5" w:rsidRDefault="00431229" w:rsidP="00073AC5">
      <w:pPr>
        <w:pStyle w:val="text"/>
      </w:pPr>
      <w:r w:rsidRPr="006662F5">
        <w:t>Finally, although some courts have indicated a preference for using dilution in the classic situation of dissimilar products, it appears that blurring cases are much more successful when the products are similar. The cases allowing protection for locally well-known marks are virtually all cases where the second user was in the same business or a related business.</w:t>
      </w:r>
      <w:r w:rsidRPr="006662F5">
        <w:rPr>
          <w:vertAlign w:val="superscript"/>
        </w:rPr>
        <w:footnoteReference w:id="170"/>
      </w:r>
      <w:r w:rsidRPr="006662F5">
        <w:t xml:space="preserve"> This pattern is replicated in other dilution cases as well.</w:t>
      </w:r>
      <w:r w:rsidRPr="006662F5">
        <w:rPr>
          <w:vertAlign w:val="superscript"/>
        </w:rPr>
        <w:footnoteReference w:id="171"/>
      </w:r>
    </w:p>
    <w:p w:rsidR="00431229" w:rsidRPr="006662F5" w:rsidRDefault="00431229" w:rsidP="00073AC5">
      <w:pPr>
        <w:pStyle w:val="3rdLevelHead1"/>
        <w:rPr>
          <w:rFonts w:cs="Times New Roman"/>
        </w:rPr>
      </w:pPr>
      <w:r w:rsidRPr="006662F5">
        <w:rPr>
          <w:rFonts w:cs="Times New Roman"/>
        </w:rPr>
        <w:t>2</w:t>
      </w:r>
      <w:r w:rsidRPr="006662F5">
        <w:rPr>
          <w:rFonts w:cs="Times New Roman"/>
          <w:i w:val="0"/>
          <w:iCs w:val="0"/>
        </w:rPr>
        <w:t>.</w:t>
      </w:r>
      <w:r w:rsidRPr="006662F5">
        <w:rPr>
          <w:rFonts w:cs="Times New Roman"/>
        </w:rPr>
        <w:tab/>
        <w:t>Multifactor Tests for Dilution by Blurring</w:t>
      </w:r>
    </w:p>
    <w:p w:rsidR="00431229" w:rsidRPr="006662F5" w:rsidRDefault="00431229" w:rsidP="00073AC5">
      <w:pPr>
        <w:pStyle w:val="4thLevel3"/>
        <w:rPr>
          <w:rFonts w:cs="Times New Roman"/>
        </w:rPr>
      </w:pPr>
      <w:r w:rsidRPr="006662F5">
        <w:rPr>
          <w:rFonts w:cs="Times New Roman"/>
        </w:rPr>
        <w:t>a.</w:t>
      </w:r>
      <w:r w:rsidRPr="006662F5">
        <w:rPr>
          <w:rFonts w:cs="Times New Roman"/>
        </w:rPr>
        <w:tab/>
        <w:t>The Development of Multifactor Tests for Dilution</w:t>
      </w:r>
    </w:p>
    <w:p w:rsidR="00431229" w:rsidRPr="006662F5" w:rsidRDefault="00431229" w:rsidP="00073AC5">
      <w:pPr>
        <w:pStyle w:val="text"/>
      </w:pPr>
      <w:r w:rsidRPr="006662F5">
        <w:t>Even without a formal test, certain factors have been relatively widely used by courts. Obviously, there is a need for a distinctive mark.</w:t>
      </w:r>
      <w:r w:rsidRPr="006662F5">
        <w:rPr>
          <w:vertAlign w:val="superscript"/>
        </w:rPr>
        <w:footnoteReference w:id="172"/>
      </w:r>
      <w:r w:rsidRPr="006662F5">
        <w:t xml:space="preserve"> Apart from the need for a distinctive mark, the relevance of two other factors became evident in various decisions: similarity of the marks and predatory intent. Similarity as a factor is discussed in detail in another section of this chapter;</w:t>
      </w:r>
      <w:r w:rsidRPr="006662F5">
        <w:rPr>
          <w:vertAlign w:val="superscript"/>
        </w:rPr>
        <w:footnoteReference w:id="173"/>
      </w:r>
      <w:r w:rsidRPr="006662F5">
        <w:t xml:space="preserve"> for present purposes, it is sufficient to note that courts have required the marks to be “substantially” similar for there to be dilution.</w:t>
      </w:r>
      <w:r w:rsidRPr="006662F5">
        <w:rPr>
          <w:vertAlign w:val="superscript"/>
        </w:rPr>
        <w:footnoteReference w:id="174"/>
      </w:r>
      <w:r w:rsidRPr="006662F5">
        <w:t xml:space="preserve"> Similarity is relevant because dilution, at a minimum, requires that consumers make a mental association between the two marks.</w:t>
      </w:r>
      <w:r w:rsidRPr="006662F5">
        <w:rPr>
          <w:vertAlign w:val="superscript"/>
        </w:rPr>
        <w:footnoteReference w:id="175"/>
      </w:r>
      <w:r w:rsidRPr="006662F5">
        <w:t xml:space="preserve"> If the marks are not sufficiently similar, the required mental association will not occur, and dilution cannot result from the second use.</w:t>
      </w:r>
      <w:r w:rsidRPr="006662F5">
        <w:rPr>
          <w:vertAlign w:val="superscript"/>
        </w:rPr>
        <w:footnoteReference w:id="176"/>
      </w:r>
      <w:r w:rsidRPr="006662F5">
        <w:t xml:space="preserve"> Predatory intent refers to the defendant’s desire to trade on the reputation or goodwill of the plaintiff’s mark.</w:t>
      </w:r>
      <w:r w:rsidRPr="006662F5">
        <w:rPr>
          <w:vertAlign w:val="superscript"/>
        </w:rPr>
        <w:footnoteReference w:id="177"/>
      </w:r>
      <w:r w:rsidRPr="006662F5">
        <w:t xml:space="preserve"> If the second user intends to trade on the goodwill of the first user, one may infer, in the absence of contrary evidence, that the attempt was successful. </w:t>
      </w:r>
    </w:p>
    <w:p w:rsidR="00431229" w:rsidRPr="006662F5" w:rsidRDefault="00431229" w:rsidP="00073AC5">
      <w:pPr>
        <w:pStyle w:val="text"/>
      </w:pPr>
      <w:r w:rsidRPr="006662F5">
        <w:t>Several courts interpreting Pennsylvania law have assumed that predatory intent is a required element of the claim.</w:t>
      </w:r>
      <w:r w:rsidRPr="006662F5">
        <w:rPr>
          <w:vertAlign w:val="superscript"/>
        </w:rPr>
        <w:footnoteReference w:id="178"/>
      </w:r>
      <w:r w:rsidRPr="006662F5">
        <w:t xml:space="preserve"> The Second Circuit (along with lower courts in that circuit) has been very unclear about the role of predatory intent in dilution. In a few cases, it appears to have </w:t>
      </w:r>
      <w:r w:rsidRPr="006662F5">
        <w:rPr>
          <w:i/>
          <w:iCs/>
        </w:rPr>
        <w:t>required</w:t>
      </w:r>
      <w:r w:rsidRPr="006662F5">
        <w:t xml:space="preserve"> predatory intent as an element of the claim for dilution.</w:t>
      </w:r>
      <w:r w:rsidRPr="006662F5">
        <w:rPr>
          <w:vertAlign w:val="superscript"/>
        </w:rPr>
        <w:footnoteReference w:id="179"/>
      </w:r>
      <w:r w:rsidRPr="006662F5">
        <w:t xml:space="preserve"> In the majority of cases, however, the Second Circuit and lower courts appear to have settled on using predatory intent as a factor, but not as an element of the claim.</w:t>
      </w:r>
      <w:r w:rsidRPr="006662F5">
        <w:rPr>
          <w:vertAlign w:val="superscript"/>
        </w:rPr>
        <w:footnoteReference w:id="180"/>
      </w:r>
      <w:r w:rsidRPr="006662F5">
        <w:t xml:space="preserve"> Several lower courts have noted the discrepancy in the Second Circuit’s treatment of this issue.</w:t>
      </w:r>
      <w:r w:rsidRPr="006662F5">
        <w:rPr>
          <w:vertAlign w:val="superscript"/>
        </w:rPr>
        <w:footnoteReference w:id="181"/>
      </w:r>
      <w:r w:rsidRPr="006662F5">
        <w:t xml:space="preserve"> And, although the matter seemed to have been resolved in favor of using predatory intent as a factor, an unpublished opinion of the Second Circuit in </w:t>
      </w:r>
      <w:r w:rsidRPr="006662F5">
        <w:rPr>
          <w:i/>
          <w:iCs/>
        </w:rPr>
        <w:t>Paco Sport, Ltd</w:t>
      </w:r>
      <w:r w:rsidRPr="006662F5">
        <w:t>.</w:t>
      </w:r>
      <w:r w:rsidRPr="006662F5">
        <w:rPr>
          <w:i/>
          <w:iCs/>
        </w:rPr>
        <w:t xml:space="preserve"> v</w:t>
      </w:r>
      <w:r w:rsidRPr="006662F5">
        <w:t>.</w:t>
      </w:r>
      <w:r w:rsidRPr="006662F5">
        <w:rPr>
          <w:i/>
          <w:iCs/>
        </w:rPr>
        <w:t xml:space="preserve"> Paco Rabanne Perfumes</w:t>
      </w:r>
      <w:r w:rsidRPr="006662F5">
        <w:rPr>
          <w:vertAlign w:val="superscript"/>
        </w:rPr>
        <w:footnoteReference w:id="182"/>
      </w:r>
      <w:r w:rsidRPr="006662F5">
        <w:t xml:space="preserve"> demonstrated that there was still confusion about the issue. On the one hand, the court seemed to use predatory intent as a factor in a blurring analysis.</w:t>
      </w:r>
      <w:r w:rsidRPr="006662F5">
        <w:rPr>
          <w:vertAlign w:val="superscript"/>
        </w:rPr>
        <w:footnoteReference w:id="183"/>
      </w:r>
      <w:r w:rsidRPr="006662F5">
        <w:t xml:space="preserve"> But, in the preceding paragraph, the court stated that the plaintiff was not “entitled to relief because it fails to satisfy the dilution </w:t>
      </w:r>
      <w:r w:rsidRPr="006662F5">
        <w:rPr>
          <w:i/>
          <w:iCs/>
        </w:rPr>
        <w:t>and predatory intent</w:t>
      </w:r>
      <w:r w:rsidRPr="006662F5">
        <w:t xml:space="preserve"> requirements.”</w:t>
      </w:r>
      <w:r w:rsidRPr="006662F5">
        <w:rPr>
          <w:vertAlign w:val="superscript"/>
        </w:rPr>
        <w:footnoteReference w:id="184"/>
      </w:r>
      <w:r w:rsidRPr="006662F5">
        <w:t xml:space="preserve"> The better view is that predatory intent is at most a factor. One hopes that the unpublished </w:t>
      </w:r>
      <w:r w:rsidRPr="006662F5">
        <w:rPr>
          <w:i/>
          <w:iCs/>
        </w:rPr>
        <w:t>Paco Sport</w:t>
      </w:r>
      <w:r w:rsidRPr="006662F5">
        <w:t xml:space="preserve"> opinion simply reflects the lack of attention paid to such opinions.</w:t>
      </w:r>
    </w:p>
    <w:p w:rsidR="00431229" w:rsidRPr="006662F5" w:rsidRDefault="00431229" w:rsidP="00073AC5">
      <w:pPr>
        <w:pStyle w:val="text"/>
      </w:pPr>
      <w:r w:rsidRPr="006662F5">
        <w:t>In one case, the court, denying a dilution claim, cited several factors as being relevant to a dilution analysis: sophistication of the parties’ customers, degree of overlap between the products, and similarity of the marks (which the court phrased in terms of the use by each party of a different additional name together with the mark at issue).</w:t>
      </w:r>
      <w:r w:rsidRPr="006662F5">
        <w:rPr>
          <w:vertAlign w:val="superscript"/>
        </w:rPr>
        <w:footnoteReference w:id="185"/>
      </w:r>
      <w:r w:rsidRPr="006662F5">
        <w:t xml:space="preserve"> Unfortunately, the court’s analysis of the factors was quite brief and did not explain their perceived relevance in any detail.</w:t>
      </w:r>
      <w:r w:rsidRPr="006662F5">
        <w:rPr>
          <w:vertAlign w:val="superscript"/>
        </w:rPr>
        <w:footnoteReference w:id="186"/>
      </w:r>
    </w:p>
    <w:p w:rsidR="00431229" w:rsidRPr="006662F5" w:rsidRDefault="00431229" w:rsidP="00073AC5">
      <w:pPr>
        <w:pStyle w:val="text"/>
      </w:pPr>
      <w:r w:rsidRPr="006662F5">
        <w:t xml:space="preserve">Perhaps uneasy with the lack of any obvious means of distinguishing meritorious from nonmeritorious dilution cases, the Second Circuit has been at the forefront of the development of a more formal multifactor framework to analyze dilution cases. As the court stated in </w:t>
      </w:r>
      <w:r w:rsidRPr="006662F5">
        <w:rPr>
          <w:i/>
          <w:iCs/>
        </w:rPr>
        <w:t>Deere &amp; Co</w:t>
      </w:r>
      <w:r w:rsidRPr="006662F5">
        <w:t>.</w:t>
      </w:r>
      <w:r w:rsidRPr="006662F5">
        <w:rPr>
          <w:i/>
          <w:iCs/>
        </w:rPr>
        <w:t xml:space="preserve"> v</w:t>
      </w:r>
      <w:r w:rsidRPr="006662F5">
        <w:t>.</w:t>
      </w:r>
      <w:r w:rsidRPr="006662F5">
        <w:rPr>
          <w:i/>
          <w:iCs/>
        </w:rPr>
        <w:t xml:space="preserve"> MTD Products, Inc</w:t>
      </w:r>
      <w:r w:rsidRPr="006662F5">
        <w:t>.,</w:t>
      </w:r>
      <w:r w:rsidRPr="006662F5">
        <w:rPr>
          <w:vertAlign w:val="superscript"/>
        </w:rPr>
        <w:footnoteReference w:id="187"/>
      </w:r>
      <w:r w:rsidRPr="006662F5">
        <w:t xml:space="preserve"> “we must be careful not to broaden section 368-d [the New York dilution statute, now section 360-</w:t>
      </w:r>
      <w:r w:rsidRPr="006662F5">
        <w:rPr>
          <w:i/>
          <w:iCs/>
        </w:rPr>
        <w:t>l</w:t>
      </w:r>
      <w:r w:rsidRPr="006662F5">
        <w:t>] to prohibit all uses of a distinctive mark that the owner prefers not to be made.”</w:t>
      </w:r>
      <w:r w:rsidRPr="006662F5">
        <w:rPr>
          <w:vertAlign w:val="superscript"/>
        </w:rPr>
        <w:footnoteReference w:id="188"/>
      </w:r>
    </w:p>
    <w:p w:rsidR="00431229" w:rsidRPr="006662F5" w:rsidRDefault="00431229" w:rsidP="00073AC5">
      <w:pPr>
        <w:pStyle w:val="text"/>
      </w:pPr>
      <w:r w:rsidRPr="006662F5">
        <w:t>The experience of courts analyzing dilution under both state and federal statutes ultimately led Congress to amend the FTDA and set forth six (nonexclusive) factors to aid in analyzing dilution by blurring.</w:t>
      </w:r>
      <w:r w:rsidRPr="006662F5">
        <w:rPr>
          <w:vertAlign w:val="superscript"/>
        </w:rPr>
        <w:footnoteReference w:id="189"/>
      </w:r>
      <w:r w:rsidRPr="006662F5">
        <w:t xml:space="preserve"> As discussed below, some of those factors are similar to ones used by courts when analyzing dilution claims prior to the amendments. Although no state has adopted these factors in its statute, they may be influential, especially in states with statutes patterned after the 1964 Model Bill or states adopting the 2007 Model Bill.</w:t>
      </w:r>
      <w:r w:rsidRPr="006662F5">
        <w:rPr>
          <w:vertAlign w:val="superscript"/>
        </w:rPr>
        <w:footnoteReference w:id="190"/>
      </w:r>
    </w:p>
    <w:p w:rsidR="00431229" w:rsidRPr="006662F5" w:rsidRDefault="00431229" w:rsidP="00073AC5">
      <w:pPr>
        <w:pStyle w:val="5thLevelHeadii"/>
        <w:rPr>
          <w:rFonts w:cs="Times New Roman"/>
        </w:rPr>
      </w:pPr>
      <w:r w:rsidRPr="006662F5">
        <w:rPr>
          <w:rFonts w:cs="Times New Roman"/>
        </w:rPr>
        <w:t>i.</w:t>
      </w:r>
      <w:r w:rsidRPr="006662F5">
        <w:rPr>
          <w:rFonts w:cs="Times New Roman"/>
        </w:rPr>
        <w:tab/>
        <w:t>The Sweet-</w:t>
      </w:r>
      <w:r w:rsidRPr="006662F5">
        <w:rPr>
          <w:rFonts w:cs="Times New Roman"/>
          <w:i w:val="0"/>
          <w:iCs w:val="0"/>
        </w:rPr>
        <w:t>Mead Data</w:t>
      </w:r>
      <w:r w:rsidRPr="006662F5">
        <w:rPr>
          <w:rFonts w:cs="Times New Roman"/>
        </w:rPr>
        <w:t xml:space="preserve"> Test </w:t>
      </w:r>
    </w:p>
    <w:p w:rsidR="00431229" w:rsidRPr="006662F5" w:rsidRDefault="00431229" w:rsidP="00073AC5">
      <w:pPr>
        <w:pStyle w:val="text"/>
      </w:pPr>
      <w:r w:rsidRPr="006662F5">
        <w:t xml:space="preserve">Although several courts have used a few factors, such as distinctiveness, similarity, and predatory intent, the most influential effort to create a multifactor analysis is contained in Judge Robert Sweet’s concurring opinion in </w:t>
      </w:r>
      <w:r w:rsidRPr="006662F5">
        <w:rPr>
          <w:i/>
          <w:iCs/>
        </w:rPr>
        <w:t>Mead Data Central, Inc</w:t>
      </w:r>
      <w:r w:rsidRPr="006662F5">
        <w:t>.</w:t>
      </w:r>
      <w:r w:rsidRPr="006662F5">
        <w:rPr>
          <w:i/>
          <w:iCs/>
        </w:rPr>
        <w:t xml:space="preserve"> v</w:t>
      </w:r>
      <w:r w:rsidRPr="006662F5">
        <w:t>.</w:t>
      </w:r>
      <w:r w:rsidRPr="006662F5">
        <w:rPr>
          <w:i/>
          <w:iCs/>
        </w:rPr>
        <w:t xml:space="preserve"> Toyota Motor Sales, USA, Inc</w:t>
      </w:r>
      <w:r w:rsidRPr="006662F5">
        <w:t>.</w:t>
      </w:r>
      <w:r w:rsidRPr="006662F5">
        <w:rPr>
          <w:vertAlign w:val="superscript"/>
        </w:rPr>
        <w:footnoteReference w:id="191"/>
      </w:r>
      <w:r w:rsidRPr="006662F5">
        <w:t xml:space="preserve"> The </w:t>
      </w:r>
      <w:r w:rsidRPr="006662F5">
        <w:softHyphen/>
        <w:t xml:space="preserve">majority in </w:t>
      </w:r>
      <w:r w:rsidRPr="006662F5">
        <w:rPr>
          <w:i/>
          <w:iCs/>
        </w:rPr>
        <w:t>Mead Data</w:t>
      </w:r>
      <w:r w:rsidRPr="006662F5">
        <w:t xml:space="preserve"> found both that the marks were too dissimilar and that plaintiff’s market was too limited for dilution to occur. Disagreeing with the majority’s analysis, Judge Sweet attempted to create a multifactor test for blurring similar to the Second Circuit’s </w:t>
      </w:r>
      <w:r w:rsidRPr="006662F5">
        <w:rPr>
          <w:i/>
          <w:iCs/>
        </w:rPr>
        <w:t>Polaroid</w:t>
      </w:r>
      <w:r w:rsidRPr="006662F5">
        <w:t xml:space="preserve"> test for determining infringement in noncompeting goods cases.</w:t>
      </w:r>
      <w:r w:rsidRPr="006662F5">
        <w:rPr>
          <w:vertAlign w:val="superscript"/>
        </w:rPr>
        <w:footnoteReference w:id="192"/>
      </w:r>
      <w:r w:rsidRPr="006662F5">
        <w:t xml:space="preserve"> </w:t>
      </w:r>
    </w:p>
    <w:p w:rsidR="00431229" w:rsidRPr="006662F5" w:rsidRDefault="00431229" w:rsidP="00073AC5">
      <w:pPr>
        <w:pStyle w:val="text"/>
      </w:pPr>
      <w:r w:rsidRPr="006662F5">
        <w:t>His proposed test consisted of six factors: (1) similarity of the marks, (2) similarity of products, (3) sophistication of consumers, (4) predatory intent, (5) renown of the senior mark, and (6) renown of the junior mark.</w:t>
      </w:r>
      <w:r w:rsidRPr="006662F5">
        <w:rPr>
          <w:vertAlign w:val="superscript"/>
        </w:rPr>
        <w:footnoteReference w:id="193"/>
      </w:r>
      <w:r w:rsidRPr="006662F5">
        <w:t xml:space="preserve"> This test proved to be very popular, both in state-law cases and cases brought under federal law prior to the TDRA.</w:t>
      </w:r>
      <w:r w:rsidRPr="006662F5">
        <w:rPr>
          <w:vertAlign w:val="superscript"/>
        </w:rPr>
        <w:footnoteReference w:id="194"/>
      </w:r>
      <w:r w:rsidRPr="006662F5">
        <w:t xml:space="preserve"> The so-called Sweet test also has been subjected to a great deal of criticism.</w:t>
      </w:r>
      <w:r w:rsidRPr="006662F5">
        <w:rPr>
          <w:vertAlign w:val="superscript"/>
        </w:rPr>
        <w:footnoteReference w:id="195"/>
      </w:r>
      <w:r w:rsidRPr="006662F5">
        <w:t xml:space="preserve"> It has not been used consistently, even in the Second Circuit.</w:t>
      </w:r>
      <w:r w:rsidRPr="006662F5">
        <w:rPr>
          <w:vertAlign w:val="superscript"/>
        </w:rPr>
        <w:footnoteReference w:id="196"/>
      </w:r>
      <w:r w:rsidRPr="006662F5">
        <w:t xml:space="preserve"> However, the most recent Second Circuit opinions discussing New York’s dilution law have referred to this test as the applicable one.</w:t>
      </w:r>
      <w:r w:rsidRPr="006662F5">
        <w:rPr>
          <w:vertAlign w:val="superscript"/>
        </w:rPr>
        <w:footnoteReference w:id="197"/>
      </w:r>
    </w:p>
    <w:p w:rsidR="00431229" w:rsidRPr="006662F5" w:rsidRDefault="00431229" w:rsidP="00073AC5">
      <w:pPr>
        <w:pStyle w:val="text"/>
      </w:pPr>
      <w:r w:rsidRPr="006662F5">
        <w:t>The major criticism of the Sweet test is that it looks very much like a test for confusion.</w:t>
      </w:r>
      <w:r w:rsidRPr="006662F5">
        <w:rPr>
          <w:vertAlign w:val="superscript"/>
        </w:rPr>
        <w:footnoteReference w:id="198"/>
      </w:r>
      <w:r w:rsidRPr="006662F5">
        <w:t xml:space="preserve"> The second factor in the test, similarity of the products, is directly contrary to the classic illustrations of dilution, such as Buick aspirin or Kodak pianos, where the second uses were on products quite different from the famous uses. If the products are similar, one would expect to use a confusion analysis, particularly if the plaintiff has a relatively well-known mark. Moreover, Schechter’s original concern stemmed from the then-existing limitations of trademark infringement to “similar” goods.</w:t>
      </w:r>
      <w:r w:rsidRPr="006662F5">
        <w:rPr>
          <w:vertAlign w:val="superscript"/>
        </w:rPr>
        <w:footnoteReference w:id="199"/>
      </w:r>
      <w:r w:rsidRPr="006662F5">
        <w:t xml:space="preserve"> Although the statutes appear to permit competitors to sue for dilution,</w:t>
      </w:r>
      <w:r w:rsidRPr="006662F5">
        <w:rPr>
          <w:vertAlign w:val="superscript"/>
        </w:rPr>
        <w:footnoteReference w:id="200"/>
      </w:r>
      <w:r w:rsidRPr="006662F5">
        <w:t xml:space="preserve"> there is no indication that this was to be their primary application. Oddly, the product-similarity factor causes courts to disfavor situations in which dilution should be the primary vehicle, namely, dissimilar products.</w:t>
      </w:r>
      <w:r w:rsidRPr="006662F5">
        <w:rPr>
          <w:vertAlign w:val="superscript"/>
        </w:rPr>
        <w:footnoteReference w:id="201"/>
      </w:r>
      <w:r w:rsidRPr="006662F5">
        <w:t xml:space="preserve"> Several of the other factors—similarity of the marks, sophistication of customers, predatory intent, and renown of the senior mark—also are the same as or similar to factors used in a confusion analysis. While some, such as renown of the senior mark and similarity of the mark, clearly have relevance in a dilution analysis, they do not apply in the same way as in a confusion analysis. The renown should be substantial as a threshold matter before it should count in favor of dilution. Similarity of the marks also should be substantial, because otherwise one would not necessarily expect the junior mark to conjure the mental association required for dilution to occur.</w:t>
      </w:r>
    </w:p>
    <w:p w:rsidR="00431229" w:rsidRPr="006662F5" w:rsidRDefault="00431229" w:rsidP="00073AC5">
      <w:pPr>
        <w:pStyle w:val="text"/>
      </w:pPr>
      <w:r w:rsidRPr="006662F5">
        <w:t xml:space="preserve">The other factors seemingly have little relevance to a dilution analysis. Although sophistication of customers can dispel confusion, since they will be able to discern the differences between the marks and the products, it may do little to avoid dilution. In fact, sophisticated customers may be </w:t>
      </w:r>
      <w:r w:rsidRPr="006662F5">
        <w:rPr>
          <w:i/>
          <w:iCs/>
        </w:rPr>
        <w:t>more</w:t>
      </w:r>
      <w:r w:rsidRPr="006662F5">
        <w:t>, not less, likely to make the mental association between the marks without being confused about source or sponsorship of the goods in question. Less sophisticated customers simply would be confused. They would connect the two marks by attributing them to the same source, rather than realizing that there were now two distinct users of the same (or similar) mark.</w:t>
      </w:r>
    </w:p>
    <w:p w:rsidR="00431229" w:rsidRPr="006662F5" w:rsidRDefault="00431229" w:rsidP="00073AC5">
      <w:pPr>
        <w:pStyle w:val="text"/>
      </w:pPr>
      <w:r w:rsidRPr="006662F5">
        <w:t>Renown of the junior mark seems less relevant to dilution per se than to protecting good-faith junior users. Assuming that a renowned junior user does not cause reverse confusion,</w:t>
      </w:r>
      <w:r w:rsidRPr="006662F5">
        <w:rPr>
          <w:vertAlign w:val="superscript"/>
        </w:rPr>
        <w:footnoteReference w:id="202"/>
      </w:r>
      <w:r w:rsidRPr="006662F5">
        <w:t xml:space="preserve"> if its use began after the senior user’s mark became distinctive, the junior use is subject to dilution analysis in the same fashion as other marks—except that it may be easier for the senior user to prove harm to its mark’s selling power. If the junior user began using the mark before the senior user became well known, it ought to be protected from a dilution claim.</w:t>
      </w:r>
      <w:r w:rsidRPr="006662F5">
        <w:rPr>
          <w:vertAlign w:val="superscript"/>
        </w:rPr>
        <w:footnoteReference w:id="203"/>
      </w:r>
    </w:p>
    <w:p w:rsidR="00431229" w:rsidRPr="006662F5" w:rsidRDefault="00431229" w:rsidP="00073AC5">
      <w:pPr>
        <w:pStyle w:val="text"/>
      </w:pPr>
      <w:r w:rsidRPr="006662F5">
        <w:t>Predatory intent, or the intent to trade on the first user’s reputation and goodwill, is also of somewhat questionable relevance.</w:t>
      </w:r>
      <w:r w:rsidRPr="006662F5">
        <w:rPr>
          <w:vertAlign w:val="superscript"/>
        </w:rPr>
        <w:footnoteReference w:id="204"/>
      </w:r>
      <w:r w:rsidRPr="006662F5">
        <w:t xml:space="preserve"> The main argument in its favor is that someone who seeks to trade on another’s reputation should be presumed to have succeeded. However, many uses that trade on another’s goodwill may, if anything, </w:t>
      </w:r>
      <w:r w:rsidRPr="006662F5">
        <w:rPr>
          <w:i/>
          <w:iCs/>
        </w:rPr>
        <w:t>enhance</w:t>
      </w:r>
      <w:r w:rsidRPr="006662F5">
        <w:t xml:space="preserve"> the visibility of the first user’s mark. (This is particularly true of parodies.)</w:t>
      </w:r>
    </w:p>
    <w:p w:rsidR="00431229" w:rsidRPr="006662F5" w:rsidRDefault="00431229" w:rsidP="00073AC5">
      <w:pPr>
        <w:pStyle w:val="text"/>
      </w:pPr>
      <w:r w:rsidRPr="006662F5">
        <w:t xml:space="preserve">That the Sweet test is not far removed from a test for confusion is evident from various cases that employ it. For example, in </w:t>
      </w:r>
      <w:r w:rsidRPr="006662F5">
        <w:rPr>
          <w:i/>
          <w:iCs/>
        </w:rPr>
        <w:t>Hester Industries v</w:t>
      </w:r>
      <w:r w:rsidRPr="006662F5">
        <w:t>.</w:t>
      </w:r>
      <w:r w:rsidRPr="006662F5">
        <w:rPr>
          <w:i/>
          <w:iCs/>
        </w:rPr>
        <w:t xml:space="preserve"> Tyson Foods, Inc</w:t>
      </w:r>
      <w:r w:rsidRPr="006662F5">
        <w:t>.,</w:t>
      </w:r>
      <w:r w:rsidRPr="006662F5">
        <w:rPr>
          <w:vertAlign w:val="superscript"/>
        </w:rPr>
        <w:footnoteReference w:id="205"/>
      </w:r>
      <w:r w:rsidRPr="006662F5">
        <w:t xml:space="preserve"> the court used Judge Sweet’s analysis in a case pitting the mark Wing-Dings, used on chicken products, against the mark Wing Flings, also used on chicken.</w:t>
      </w:r>
      <w:r w:rsidRPr="006662F5">
        <w:rPr>
          <w:vertAlign w:val="superscript"/>
        </w:rPr>
        <w:footnoteReference w:id="206"/>
      </w:r>
      <w:r w:rsidRPr="006662F5">
        <w:t xml:space="preserve"> Perhaps most revealing was the court’s conclusion, in its </w:t>
      </w:r>
      <w:r w:rsidRPr="006662F5">
        <w:rPr>
          <w:i/>
          <w:iCs/>
        </w:rPr>
        <w:t>dilution</w:t>
      </w:r>
      <w:r w:rsidRPr="006662F5">
        <w:t xml:space="preserve"> analysis, that because the consumer market for Wing-Dings was less sophisticated, consumers would be more likely to </w:t>
      </w:r>
      <w:r w:rsidRPr="006662F5">
        <w:rPr>
          <w:i/>
          <w:iCs/>
        </w:rPr>
        <w:t>confuse</w:t>
      </w:r>
      <w:r w:rsidRPr="006662F5">
        <w:t xml:space="preserve"> the two marks.</w:t>
      </w:r>
      <w:r w:rsidRPr="006662F5">
        <w:rPr>
          <w:vertAlign w:val="superscript"/>
        </w:rPr>
        <w:footnoteReference w:id="207"/>
      </w:r>
      <w:r w:rsidRPr="006662F5">
        <w:t xml:space="preserve"> In other cases, courts have noted the similarity between Judge Sweet’s factors and the analysis of confusion.</w:t>
      </w:r>
      <w:r w:rsidRPr="006662F5">
        <w:rPr>
          <w:vertAlign w:val="superscript"/>
        </w:rPr>
        <w:footnoteReference w:id="208"/>
      </w:r>
    </w:p>
    <w:p w:rsidR="00431229" w:rsidRPr="006662F5" w:rsidRDefault="00431229" w:rsidP="00073AC5">
      <w:pPr>
        <w:pStyle w:val="text"/>
      </w:pPr>
      <w:r w:rsidRPr="006662F5">
        <w:t xml:space="preserve">Another case illustrating the difficulties with the Sweet test is </w:t>
      </w:r>
      <w:r w:rsidRPr="006662F5">
        <w:rPr>
          <w:i/>
          <w:iCs/>
        </w:rPr>
        <w:t>Landscape Forms, Inc</w:t>
      </w:r>
      <w:r w:rsidRPr="006662F5">
        <w:t>.</w:t>
      </w:r>
      <w:r w:rsidRPr="006662F5">
        <w:rPr>
          <w:i/>
          <w:iCs/>
        </w:rPr>
        <w:t xml:space="preserve"> v</w:t>
      </w:r>
      <w:r w:rsidRPr="006662F5">
        <w:t>.</w:t>
      </w:r>
      <w:r w:rsidRPr="006662F5">
        <w:rPr>
          <w:i/>
          <w:iCs/>
        </w:rPr>
        <w:t xml:space="preserve"> Columbia Cascade Co</w:t>
      </w:r>
      <w:r w:rsidRPr="006662F5">
        <w:t>.</w:t>
      </w:r>
      <w:r w:rsidRPr="006662F5">
        <w:rPr>
          <w:vertAlign w:val="superscript"/>
        </w:rPr>
        <w:footnoteReference w:id="209"/>
      </w:r>
      <w:r w:rsidRPr="006662F5">
        <w:t xml:space="preserve"> This case involved a trade dress claim between competitors in the outdoor furniture business.</w:t>
      </w:r>
      <w:r w:rsidRPr="006662F5">
        <w:rPr>
          <w:vertAlign w:val="superscript"/>
        </w:rPr>
        <w:footnoteReference w:id="210"/>
      </w:r>
      <w:r w:rsidRPr="006662F5">
        <w:t xml:space="preserve"> After listing the Sweet factors, the court noted that “[t]he first five factors are closely analogous to the </w:t>
      </w:r>
      <w:r w:rsidRPr="006662F5">
        <w:rPr>
          <w:i/>
          <w:iCs/>
        </w:rPr>
        <w:t>Polaroid</w:t>
      </w:r>
      <w:r w:rsidRPr="006662F5">
        <w:t xml:space="preserve"> factors</w:t>
      </w:r>
      <w:r w:rsidRPr="006662F5">
        <w:rPr>
          <w:vertAlign w:val="superscript"/>
        </w:rPr>
        <w:footnoteReference w:id="211"/>
      </w:r>
      <w:r w:rsidRPr="006662F5">
        <w:t xml:space="preserve"> already analyzed in evaluating </w:t>
      </w:r>
      <w:r w:rsidRPr="006662F5">
        <w:rPr>
          <w:i/>
          <w:iCs/>
        </w:rPr>
        <w:t>Landscape</w:t>
      </w:r>
      <w:r w:rsidRPr="006662F5">
        <w:t>’s Lanham Act claims.”</w:t>
      </w:r>
      <w:r w:rsidRPr="006662F5">
        <w:rPr>
          <w:vertAlign w:val="superscript"/>
        </w:rPr>
        <w:footnoteReference w:id="212"/>
      </w:r>
      <w:r w:rsidRPr="006662F5">
        <w:t xml:space="preserve"> It then reiterated much of the confusion analysis alluded to, noting that the parties’ catalogs contained source identifiers that would “prevent </w:t>
      </w:r>
      <w:r w:rsidRPr="006662F5">
        <w:rPr>
          <w:i/>
          <w:iCs/>
        </w:rPr>
        <w:t>confusion</w:t>
      </w:r>
      <w:r w:rsidRPr="006662F5">
        <w:t xml:space="preserve"> among the relevant customers.”</w:t>
      </w:r>
      <w:r w:rsidRPr="006662F5">
        <w:rPr>
          <w:vertAlign w:val="superscript"/>
        </w:rPr>
        <w:footnoteReference w:id="213"/>
      </w:r>
      <w:r w:rsidRPr="006662F5">
        <w:t xml:space="preserve"> The court went on to note that these distinctions </w:t>
      </w:r>
      <w:r w:rsidRPr="006662F5">
        <w:rPr>
          <w:i/>
          <w:iCs/>
        </w:rPr>
        <w:t>also</w:t>
      </w:r>
      <w:r w:rsidRPr="006662F5">
        <w:t xml:space="preserve"> serve to preclude “the mental association between the parties’ respective trade dress that is required to show blurring.”</w:t>
      </w:r>
      <w:r w:rsidRPr="006662F5">
        <w:rPr>
          <w:vertAlign w:val="superscript"/>
        </w:rPr>
        <w:footnoteReference w:id="214"/>
      </w:r>
      <w:r w:rsidRPr="006662F5">
        <w:t xml:space="preserve"> When analyzing the senior mark’s renown, the court found that there was “at least some amount of ‘renown.’”</w:t>
      </w:r>
      <w:r w:rsidRPr="006662F5">
        <w:rPr>
          <w:vertAlign w:val="superscript"/>
        </w:rPr>
        <w:footnoteReference w:id="215"/>
      </w:r>
      <w:r w:rsidRPr="006662F5">
        <w:t xml:space="preserve"> In sum, the court’s analysis illustrates the closeness between Judge Sweet’s analysis and confusion analysis. Moreover, its discussion of the senior user’s “renown” suggests that it would not require a substantial level of distinctiveness to separate eligible marks from ineligible marks for dilution purposes. This seems contrary both to New York precedent and to the general theory that dilution protects those relatively few marks whose acquired selling power warrants the special protection. And it demonstrates that the multifactor analysis, being so similar to the confusion analysis, may not give proper consideration to the differences in how the factors should be analyzed in a dilution context, as opposed to a confusion context.</w:t>
      </w:r>
      <w:r w:rsidRPr="006662F5">
        <w:rPr>
          <w:vertAlign w:val="superscript"/>
        </w:rPr>
        <w:footnoteReference w:id="216"/>
      </w:r>
    </w:p>
    <w:p w:rsidR="00431229" w:rsidRPr="006662F5" w:rsidRDefault="00431229" w:rsidP="00073AC5">
      <w:pPr>
        <w:pStyle w:val="5thLevelHeadii"/>
        <w:rPr>
          <w:rFonts w:cs="Times New Roman"/>
        </w:rPr>
      </w:pPr>
      <w:r w:rsidRPr="006662F5">
        <w:rPr>
          <w:rFonts w:cs="Times New Roman"/>
        </w:rPr>
        <w:t>ii.</w:t>
      </w:r>
      <w:r w:rsidRPr="006662F5">
        <w:rPr>
          <w:rFonts w:cs="Times New Roman"/>
        </w:rPr>
        <w:tab/>
        <w:t xml:space="preserve">The </w:t>
      </w:r>
      <w:r w:rsidRPr="006662F5">
        <w:rPr>
          <w:rFonts w:cs="Times New Roman"/>
          <w:i w:val="0"/>
          <w:iCs w:val="0"/>
        </w:rPr>
        <w:t>Nabisco</w:t>
      </w:r>
      <w:r w:rsidRPr="006662F5">
        <w:rPr>
          <w:rFonts w:cs="Times New Roman"/>
        </w:rPr>
        <w:t xml:space="preserve"> Test </w:t>
      </w:r>
    </w:p>
    <w:p w:rsidR="00431229" w:rsidRPr="006662F5" w:rsidRDefault="00431229" w:rsidP="00073AC5">
      <w:pPr>
        <w:pStyle w:val="text"/>
      </w:pPr>
      <w:r w:rsidRPr="006662F5">
        <w:t>Before the Supreme Court held that actual dilution was required under the original FTDA,</w:t>
      </w:r>
      <w:r w:rsidRPr="006662F5">
        <w:rPr>
          <w:vertAlign w:val="superscript"/>
        </w:rPr>
        <w:footnoteReference w:id="217"/>
      </w:r>
      <w:r w:rsidRPr="006662F5">
        <w:t xml:space="preserve"> circuits that interpreted the FTDA to require only likelihood of dilution promulgated multifactor tests of their own. The Second Circuit was the most prominent, modifying the Sweet test in </w:t>
      </w:r>
      <w:r w:rsidRPr="006662F5">
        <w:rPr>
          <w:i/>
          <w:iCs/>
        </w:rPr>
        <w:t>Nabisco, Inc</w:t>
      </w:r>
      <w:r w:rsidRPr="006662F5">
        <w:t>.</w:t>
      </w:r>
      <w:r w:rsidRPr="006662F5">
        <w:rPr>
          <w:i/>
          <w:iCs/>
        </w:rPr>
        <w:t xml:space="preserve"> v</w:t>
      </w:r>
      <w:r w:rsidRPr="006662F5">
        <w:t>.</w:t>
      </w:r>
      <w:r w:rsidRPr="006662F5">
        <w:rPr>
          <w:i/>
          <w:iCs/>
        </w:rPr>
        <w:t xml:space="preserve"> PF Brands, Inc</w:t>
      </w:r>
      <w:r w:rsidRPr="006662F5">
        <w:t>.</w:t>
      </w:r>
      <w:r w:rsidRPr="006662F5">
        <w:rPr>
          <w:vertAlign w:val="superscript"/>
        </w:rPr>
        <w:footnoteReference w:id="218"/>
      </w:r>
      <w:r w:rsidRPr="006662F5">
        <w:t xml:space="preserve"> Noting the criticism of that test,</w:t>
      </w:r>
      <w:r w:rsidRPr="006662F5">
        <w:rPr>
          <w:vertAlign w:val="superscript"/>
        </w:rPr>
        <w:footnoteReference w:id="219"/>
      </w:r>
      <w:r w:rsidRPr="006662F5">
        <w:t xml:space="preserve"> the </w:t>
      </w:r>
      <w:r w:rsidRPr="006662F5">
        <w:rPr>
          <w:i/>
          <w:iCs/>
        </w:rPr>
        <w:t>Nabisco</w:t>
      </w:r>
      <w:r w:rsidRPr="006662F5">
        <w:t xml:space="preserve"> court declined to adopt the “Sweet factors” as its test for blurring under the FTDA.</w:t>
      </w:r>
      <w:r w:rsidRPr="006662F5">
        <w:rPr>
          <w:vertAlign w:val="superscript"/>
        </w:rPr>
        <w:footnoteReference w:id="220"/>
      </w:r>
      <w:r w:rsidRPr="006662F5">
        <w:t xml:space="preserve"> The court then promulgated several factors to consider, in addition to the ones from </w:t>
      </w:r>
      <w:r w:rsidRPr="006662F5">
        <w:rPr>
          <w:i/>
          <w:iCs/>
        </w:rPr>
        <w:t>Mead Data</w:t>
      </w:r>
      <w:r w:rsidRPr="006662F5">
        <w:t>:</w:t>
      </w:r>
      <w:r w:rsidRPr="006662F5">
        <w:rPr>
          <w:i/>
          <w:iCs/>
        </w:rPr>
        <w:t xml:space="preserve"> </w:t>
      </w:r>
      <w:r w:rsidRPr="006662F5">
        <w:t>“actual confusion and likelihood of confusion, shared consumers and geographic isolation, the adjectival quality of the junior use, and the interrelated factors of duration of the junior use, harm to the junior user, and delay by the senior in bringing the action.”</w:t>
      </w:r>
      <w:r w:rsidRPr="006662F5">
        <w:rPr>
          <w:vertAlign w:val="superscript"/>
        </w:rPr>
        <w:footnoteReference w:id="221"/>
      </w:r>
    </w:p>
    <w:p w:rsidR="00431229" w:rsidRPr="006662F5" w:rsidRDefault="00431229" w:rsidP="00073AC5">
      <w:pPr>
        <w:pStyle w:val="text"/>
      </w:pPr>
      <w:r w:rsidRPr="006662F5">
        <w:t xml:space="preserve">Prior to the Supreme Court’s ruling in </w:t>
      </w:r>
      <w:r w:rsidRPr="006662F5">
        <w:rPr>
          <w:i/>
          <w:iCs/>
        </w:rPr>
        <w:t>Moseley</w:t>
      </w:r>
      <w:r w:rsidRPr="006662F5">
        <w:t>,</w:t>
      </w:r>
      <w:r w:rsidRPr="006662F5">
        <w:rPr>
          <w:vertAlign w:val="superscript"/>
        </w:rPr>
        <w:footnoteReference w:id="222"/>
      </w:r>
      <w:r w:rsidRPr="006662F5">
        <w:t xml:space="preserve"> the Third and Sixth Circuits also adopted the </w:t>
      </w:r>
      <w:r w:rsidRPr="006662F5">
        <w:rPr>
          <w:i/>
          <w:iCs/>
        </w:rPr>
        <w:t>Nabisco</w:t>
      </w:r>
      <w:r w:rsidRPr="006662F5">
        <w:t xml:space="preserve"> test for FTDA cases.</w:t>
      </w:r>
      <w:r w:rsidRPr="006662F5">
        <w:rPr>
          <w:vertAlign w:val="superscript"/>
        </w:rPr>
        <w:footnoteReference w:id="223"/>
      </w:r>
    </w:p>
    <w:p w:rsidR="00431229" w:rsidRPr="006662F5" w:rsidRDefault="00431229" w:rsidP="00073AC5">
      <w:pPr>
        <w:pStyle w:val="text"/>
      </w:pPr>
      <w:r w:rsidRPr="006662F5">
        <w:t xml:space="preserve">The </w:t>
      </w:r>
      <w:r w:rsidRPr="006662F5">
        <w:rPr>
          <w:i/>
          <w:iCs/>
        </w:rPr>
        <w:t>Nabisco</w:t>
      </w:r>
      <w:r w:rsidRPr="006662F5">
        <w:t xml:space="preserve"> factors add some better perspective to the dilution analysis, but they do not distinguish a dilution analysis from a confusion analysis. The first two factors (actual and likely confusion) make dilution </w:t>
      </w:r>
      <w:r w:rsidRPr="006662F5">
        <w:rPr>
          <w:i/>
          <w:iCs/>
        </w:rPr>
        <w:t>more</w:t>
      </w:r>
      <w:r w:rsidRPr="006662F5">
        <w:t xml:space="preserve"> contingent on confusion. The factor of shared consumers is a characteristic of competitors, exacerbating the paradox of dilution classically being associated with noncompeting products, while the analysis favors competitors. The factor of geographic isolation, apparently drawn from the majority opinion in </w:t>
      </w:r>
      <w:r w:rsidRPr="006662F5">
        <w:rPr>
          <w:i/>
          <w:iCs/>
        </w:rPr>
        <w:t>Mead Data</w:t>
      </w:r>
      <w:r w:rsidRPr="006662F5">
        <w:t>, is more relevant. Although several states permit owners of locally well-known marks to sue for dilution, it is reasonable to count limited geographic renown as a factor, even if not a conclusive one, against dilution. Similarly, if the junior user is making essentially a non-trademark use of the senior mark (the “adjectival use”), that use should weigh against dilution.</w:t>
      </w:r>
      <w:r w:rsidRPr="006662F5">
        <w:rPr>
          <w:vertAlign w:val="superscript"/>
        </w:rPr>
        <w:footnoteReference w:id="224"/>
      </w:r>
      <w:r w:rsidRPr="006662F5">
        <w:t xml:space="preserve"> Perhaps most notable is the omission of predatory intent from the court’s list of factors.</w:t>
      </w:r>
      <w:r w:rsidRPr="006662F5">
        <w:rPr>
          <w:vertAlign w:val="superscript"/>
        </w:rPr>
        <w:footnoteReference w:id="225"/>
      </w:r>
      <w:r w:rsidRPr="006662F5">
        <w:t xml:space="preserve"> On balance, the continued emphasis on competitors and confusion makes the </w:t>
      </w:r>
      <w:r w:rsidRPr="006662F5">
        <w:rPr>
          <w:i/>
          <w:iCs/>
        </w:rPr>
        <w:t>Nabisco</w:t>
      </w:r>
      <w:r w:rsidRPr="006662F5">
        <w:t xml:space="preserve"> test insufficiently distinct from the confusion analysis. In any event, </w:t>
      </w:r>
      <w:r w:rsidRPr="006662F5">
        <w:rPr>
          <w:i/>
          <w:iCs/>
        </w:rPr>
        <w:t>Nabisco</w:t>
      </w:r>
      <w:r w:rsidRPr="006662F5">
        <w:t xml:space="preserve">’s usefulness has been called into question by more recent developments. </w:t>
      </w:r>
    </w:p>
    <w:p w:rsidR="00431229" w:rsidRPr="006662F5" w:rsidRDefault="00431229" w:rsidP="00073AC5">
      <w:pPr>
        <w:pStyle w:val="text"/>
      </w:pPr>
      <w:r w:rsidRPr="006662F5">
        <w:t xml:space="preserve">In states with statutes worded like the original FTDA (i.e., where the diluting use must “cause[] dilution” of a famous mark), the actual-dilution standard set forth by the Supreme Court in </w:t>
      </w:r>
      <w:r w:rsidRPr="006662F5">
        <w:rPr>
          <w:i/>
          <w:iCs/>
        </w:rPr>
        <w:t>Moseley v</w:t>
      </w:r>
      <w:r w:rsidRPr="006662F5">
        <w:t>.</w:t>
      </w:r>
      <w:r w:rsidRPr="006662F5">
        <w:rPr>
          <w:i/>
          <w:iCs/>
        </w:rPr>
        <w:t xml:space="preserve"> V Secret Catalogue, Inc</w:t>
      </w:r>
      <w:r w:rsidRPr="006662F5">
        <w:t>.</w:t>
      </w:r>
      <w:r w:rsidRPr="006662F5">
        <w:rPr>
          <w:vertAlign w:val="superscript"/>
        </w:rPr>
        <w:footnoteReference w:id="226"/>
      </w:r>
      <w:r w:rsidRPr="006662F5">
        <w:t xml:space="preserve"> may be adopted as the proper standard for those statutes.</w:t>
      </w:r>
      <w:r w:rsidRPr="006662F5">
        <w:rPr>
          <w:vertAlign w:val="superscript"/>
        </w:rPr>
        <w:footnoteReference w:id="227"/>
      </w:r>
      <w:r w:rsidRPr="006662F5">
        <w:t xml:space="preserve"> In that case, the </w:t>
      </w:r>
      <w:r w:rsidRPr="006662F5">
        <w:rPr>
          <w:i/>
          <w:iCs/>
        </w:rPr>
        <w:t>Nabisco</w:t>
      </w:r>
      <w:r w:rsidRPr="006662F5">
        <w:t xml:space="preserve"> test would not be particularly relevant. The </w:t>
      </w:r>
      <w:r w:rsidRPr="006662F5">
        <w:rPr>
          <w:i/>
          <w:iCs/>
        </w:rPr>
        <w:t>Nabisco</w:t>
      </w:r>
      <w:r w:rsidRPr="006662F5">
        <w:t xml:space="preserve"> test was created to determine whether there was a </w:t>
      </w:r>
      <w:r w:rsidRPr="006662F5">
        <w:rPr>
          <w:i/>
          <w:iCs/>
        </w:rPr>
        <w:t>likelihood</w:t>
      </w:r>
      <w:r w:rsidRPr="006662F5">
        <w:t xml:space="preserve"> of dilution in a given case. Under </w:t>
      </w:r>
      <w:r w:rsidRPr="006662F5">
        <w:rPr>
          <w:i/>
          <w:iCs/>
        </w:rPr>
        <w:t>Moseley</w:t>
      </w:r>
      <w:r w:rsidRPr="006662F5">
        <w:t xml:space="preserve">, the “causes dilution” language in the law means that </w:t>
      </w:r>
      <w:r w:rsidRPr="006662F5">
        <w:rPr>
          <w:i/>
          <w:iCs/>
        </w:rPr>
        <w:t>actual</w:t>
      </w:r>
      <w:r w:rsidRPr="006662F5">
        <w:t xml:space="preserve"> dilution must be shown.</w:t>
      </w:r>
      <w:r w:rsidRPr="006662F5">
        <w:rPr>
          <w:vertAlign w:val="superscript"/>
        </w:rPr>
        <w:footnoteReference w:id="228"/>
      </w:r>
      <w:r w:rsidRPr="006662F5">
        <w:t xml:space="preserve"> Although the Supreme Court did indicate that proof of actual dilution may be accomplished “through circumstantial evidence,”</w:t>
      </w:r>
      <w:r w:rsidRPr="006662F5">
        <w:rPr>
          <w:vertAlign w:val="superscript"/>
        </w:rPr>
        <w:footnoteReference w:id="229"/>
      </w:r>
      <w:r w:rsidRPr="006662F5">
        <w:t xml:space="preserve"> it did not indicate what circumstances might be deemed relevant.</w:t>
      </w:r>
      <w:r w:rsidRPr="006662F5">
        <w:rPr>
          <w:vertAlign w:val="superscript"/>
        </w:rPr>
        <w:footnoteReference w:id="230"/>
      </w:r>
      <w:r w:rsidRPr="006662F5">
        <w:t xml:space="preserve"> </w:t>
      </w:r>
    </w:p>
    <w:p w:rsidR="00431229" w:rsidRPr="006662F5" w:rsidRDefault="00431229" w:rsidP="00073AC5">
      <w:pPr>
        <w:pStyle w:val="text"/>
      </w:pPr>
      <w:r w:rsidRPr="006662F5">
        <w:t xml:space="preserve">The TDRA, enacted in 2006, changed the federal statutory standard to allow relief against uses “likely to cause dilution,” thus making a multifactor analysis more relevant. The TDRA also set forth six factors for use when analyzing dilution by blurring. Although these factors are not exclusive (and therefore the </w:t>
      </w:r>
      <w:r w:rsidRPr="006662F5">
        <w:rPr>
          <w:i/>
          <w:iCs/>
        </w:rPr>
        <w:t>Nabisco</w:t>
      </w:r>
      <w:r w:rsidRPr="006662F5">
        <w:t xml:space="preserve"> factors could be used), it does not appear that the </w:t>
      </w:r>
      <w:r w:rsidRPr="006662F5">
        <w:rPr>
          <w:i/>
          <w:iCs/>
        </w:rPr>
        <w:t>Nabisco</w:t>
      </w:r>
      <w:r w:rsidRPr="006662F5">
        <w:t xml:space="preserve"> factors are still considered relevant; cases interpreting the TDRA tend to focus on the factors contained in the statute, not on pre-TDRA tests.</w:t>
      </w:r>
      <w:r w:rsidRPr="006662F5">
        <w:rPr>
          <w:vertAlign w:val="superscript"/>
        </w:rPr>
        <w:footnoteReference w:id="231"/>
      </w:r>
    </w:p>
    <w:p w:rsidR="00431229" w:rsidRPr="006662F5" w:rsidRDefault="00431229" w:rsidP="00073AC5">
      <w:pPr>
        <w:pStyle w:val="text"/>
      </w:pPr>
      <w:r w:rsidRPr="006662F5">
        <w:t xml:space="preserve">The larger question is whether the </w:t>
      </w:r>
      <w:r w:rsidRPr="006662F5">
        <w:rPr>
          <w:i/>
          <w:iCs/>
        </w:rPr>
        <w:t xml:space="preserve">Nabisco </w:t>
      </w:r>
      <w:r w:rsidRPr="006662F5">
        <w:t xml:space="preserve">factors still have any relevance to claims under state law. Assuming that the actual-dilution standard is applied in states using the 1992 or 1996 Model Bill language, then </w:t>
      </w:r>
      <w:r w:rsidRPr="006662F5">
        <w:rPr>
          <w:i/>
          <w:iCs/>
        </w:rPr>
        <w:t>Nabisco</w:t>
      </w:r>
      <w:r w:rsidRPr="006662F5">
        <w:t xml:space="preserve"> will not be relevant. Apart from Florida, state legislatures that adopted the 1992 or 1996 Model Bill have not adopted the likelihood of dilution standard.</w:t>
      </w:r>
      <w:r w:rsidRPr="006662F5">
        <w:rPr>
          <w:vertAlign w:val="superscript"/>
        </w:rPr>
        <w:footnoteReference w:id="232"/>
      </w:r>
      <w:r w:rsidRPr="006662F5">
        <w:t xml:space="preserve"> The 2007 Model Bill, which does not include the factors, is otherwise patterned after the TDRA, including the likelihood of dilution standard; one would expect courts interpreting state laws based on the 2007 Model Bill will be far more likely to refer to the new federal factors than to </w:t>
      </w:r>
      <w:r w:rsidRPr="006662F5">
        <w:rPr>
          <w:i/>
          <w:iCs/>
        </w:rPr>
        <w:t>Nabisco</w:t>
      </w:r>
      <w:r w:rsidRPr="006662F5">
        <w:t xml:space="preserve">. Courts interpreting statutes based on the 1964 Model Bill might use the </w:t>
      </w:r>
      <w:r w:rsidRPr="006662F5">
        <w:rPr>
          <w:i/>
          <w:iCs/>
        </w:rPr>
        <w:t>Nabisco</w:t>
      </w:r>
      <w:r w:rsidRPr="006662F5">
        <w:t xml:space="preserve"> test. However, they are equally—perhaps more— likely to use either the Sweet test</w:t>
      </w:r>
      <w:r w:rsidRPr="006662F5">
        <w:rPr>
          <w:vertAlign w:val="superscript"/>
        </w:rPr>
        <w:footnoteReference w:id="233"/>
      </w:r>
      <w:r w:rsidRPr="006662F5">
        <w:t xml:space="preserve"> or the TDRA factors.</w:t>
      </w:r>
      <w:r w:rsidRPr="006662F5">
        <w:rPr>
          <w:vertAlign w:val="superscript"/>
        </w:rPr>
        <w:footnoteReference w:id="234"/>
      </w:r>
    </w:p>
    <w:p w:rsidR="00431229" w:rsidRPr="006662F5" w:rsidRDefault="00431229" w:rsidP="00073AC5">
      <w:pPr>
        <w:pStyle w:val="5thLevelHeadii"/>
        <w:rPr>
          <w:rFonts w:cs="Times New Roman"/>
        </w:rPr>
      </w:pPr>
      <w:r w:rsidRPr="006662F5">
        <w:rPr>
          <w:rFonts w:cs="Times New Roman"/>
        </w:rPr>
        <w:t>iii.</w:t>
      </w:r>
      <w:r w:rsidRPr="006662F5">
        <w:rPr>
          <w:rFonts w:cs="Times New Roman"/>
        </w:rPr>
        <w:tab/>
        <w:t xml:space="preserve">The TDRA Factors </w:t>
      </w:r>
    </w:p>
    <w:p w:rsidR="00431229" w:rsidRDefault="00431229" w:rsidP="00073AC5">
      <w:pPr>
        <w:pStyle w:val="text"/>
      </w:pPr>
      <w:r w:rsidRPr="006662F5">
        <w:t>The TDRA set forth the following six factors for courts to use when analyzing dilution by blurring:</w:t>
      </w:r>
    </w:p>
    <w:p w:rsidR="00431229" w:rsidRPr="006662F5" w:rsidRDefault="00431229" w:rsidP="00073AC5">
      <w:pPr>
        <w:pStyle w:val="text"/>
      </w:pPr>
    </w:p>
    <w:p w:rsidR="00431229" w:rsidRPr="006662F5" w:rsidRDefault="00431229" w:rsidP="006662F5">
      <w:pPr>
        <w:pStyle w:val="Numberlist0"/>
      </w:pPr>
      <w:r w:rsidRPr="006662F5">
        <w:t>(i)</w:t>
      </w:r>
      <w:r w:rsidRPr="006662F5">
        <w:tab/>
        <w:t>The degree of similarity between the mark or trade name and the famous mark.</w:t>
      </w:r>
    </w:p>
    <w:p w:rsidR="00431229" w:rsidRPr="006662F5" w:rsidRDefault="00431229" w:rsidP="006662F5">
      <w:pPr>
        <w:pStyle w:val="Numberlist0"/>
      </w:pPr>
      <w:r w:rsidRPr="006662F5">
        <w:t>(ii)</w:t>
      </w:r>
      <w:r w:rsidRPr="006662F5">
        <w:tab/>
        <w:t>The degree of inherent or acquired distinctiveness of the famous mark.</w:t>
      </w:r>
    </w:p>
    <w:p w:rsidR="00431229" w:rsidRPr="006662F5" w:rsidRDefault="00431229" w:rsidP="006662F5">
      <w:pPr>
        <w:pStyle w:val="Numberlist0"/>
      </w:pPr>
      <w:r w:rsidRPr="006662F5">
        <w:t>(iii)</w:t>
      </w:r>
      <w:r w:rsidRPr="006662F5">
        <w:tab/>
        <w:t>The extent to which the owner of the famous mark is engaging in substantially exclusive use of the mark.</w:t>
      </w:r>
    </w:p>
    <w:p w:rsidR="00431229" w:rsidRPr="006662F5" w:rsidRDefault="00431229" w:rsidP="006662F5">
      <w:pPr>
        <w:pStyle w:val="Numberlist0"/>
      </w:pPr>
      <w:r w:rsidRPr="006662F5">
        <w:t>(iv)</w:t>
      </w:r>
      <w:r w:rsidRPr="006662F5">
        <w:tab/>
        <w:t>The degree of recognition of the famous mark.</w:t>
      </w:r>
    </w:p>
    <w:p w:rsidR="00431229" w:rsidRPr="006662F5" w:rsidRDefault="00431229" w:rsidP="006662F5">
      <w:pPr>
        <w:pStyle w:val="Numberlist0"/>
      </w:pPr>
      <w:r w:rsidRPr="006662F5">
        <w:t>(v)</w:t>
      </w:r>
      <w:r w:rsidRPr="006662F5">
        <w:tab/>
        <w:t>Whether the user of the mark or trade name intended to create an association with the famous mark.</w:t>
      </w:r>
    </w:p>
    <w:p w:rsidR="00431229" w:rsidRDefault="00431229" w:rsidP="006662F5">
      <w:pPr>
        <w:pStyle w:val="Numberlist0"/>
      </w:pPr>
      <w:r w:rsidRPr="006662F5">
        <w:t>(vi)</w:t>
      </w:r>
      <w:r w:rsidRPr="006662F5">
        <w:tab/>
        <w:t>Any actual association between the mark or trade name and the famous mark.</w:t>
      </w:r>
      <w:r w:rsidRPr="006662F5">
        <w:rPr>
          <w:vertAlign w:val="superscript"/>
        </w:rPr>
        <w:footnoteReference w:id="235"/>
      </w:r>
      <w:r w:rsidRPr="006662F5">
        <w:t xml:space="preserve"> </w:t>
      </w:r>
    </w:p>
    <w:p w:rsidR="00431229" w:rsidRPr="006662F5" w:rsidRDefault="00431229" w:rsidP="006662F5">
      <w:pPr>
        <w:pStyle w:val="Numberlist0"/>
      </w:pPr>
    </w:p>
    <w:p w:rsidR="00431229" w:rsidRPr="006662F5" w:rsidRDefault="00431229" w:rsidP="00073AC5">
      <w:pPr>
        <w:pStyle w:val="text"/>
      </w:pPr>
      <w:r w:rsidRPr="006662F5">
        <w:t>No state has expressly adopted these factors, and the 2007 version of the Model Bill (adopted by Alabama, California, Mississippi, Oregon, and Texas) does not include them. However, the drafters of the revised Model Bill provision believed that courts would use them anyway because of state statutory provisions directing courts to use federal precedent as persuasive authority when interpreting similar state trademark laws.</w:t>
      </w:r>
      <w:r w:rsidRPr="006662F5">
        <w:rPr>
          <w:vertAlign w:val="superscript"/>
        </w:rPr>
        <w:footnoteReference w:id="236"/>
      </w:r>
      <w:r w:rsidRPr="006662F5">
        <w:t xml:space="preserve"> It also is clear that some of the TDRA factors are quite similar to factors previously used by courts. For example, factor (v) is essentially a form of predatory intent. Factor (i), similarity, has always been relevant, as has factor (ii), the degree of distinctiveness possessed by the mark. Factor (iv) goes to the renown of the mark. Factor (vi), actual association, is an extension of the “actual confusion” factor in </w:t>
      </w:r>
      <w:r w:rsidRPr="006662F5">
        <w:rPr>
          <w:i/>
          <w:iCs/>
        </w:rPr>
        <w:t>Nabisco</w:t>
      </w:r>
      <w:r w:rsidRPr="006662F5">
        <w:t>, albeit one more relevant to the TDRA and 2007 Model Bill definitions of dilution (which link dilution to association). Perhaps the most interesting factor is (iii), because it relates directly to the gravamen of dilution by blurring: uniqueness. This would also be relevant to an analysis under state law, particularly those laws worded like the 1964 Model Bill.</w:t>
      </w:r>
      <w:r w:rsidRPr="006662F5">
        <w:rPr>
          <w:vertAlign w:val="superscript"/>
        </w:rPr>
        <w:footnoteReference w:id="237"/>
      </w:r>
    </w:p>
    <w:p w:rsidR="00431229" w:rsidRPr="006662F5" w:rsidRDefault="00431229" w:rsidP="00073AC5">
      <w:pPr>
        <w:pStyle w:val="4thLevelHeada0"/>
        <w:rPr>
          <w:rFonts w:cs="Times New Roman"/>
        </w:rPr>
      </w:pPr>
      <w:r w:rsidRPr="006662F5">
        <w:rPr>
          <w:rFonts w:cs="Times New Roman"/>
        </w:rPr>
        <w:t>b.</w:t>
      </w:r>
      <w:r w:rsidRPr="006662F5">
        <w:rPr>
          <w:rFonts w:cs="Times New Roman"/>
        </w:rPr>
        <w:tab/>
        <w:t>Judicial Use of the Sweet-</w:t>
      </w:r>
      <w:r w:rsidRPr="006662F5">
        <w:rPr>
          <w:rFonts w:cs="Times New Roman"/>
          <w:i w:val="0"/>
          <w:iCs w:val="0"/>
        </w:rPr>
        <w:t>Mead Data</w:t>
      </w:r>
      <w:r w:rsidRPr="006662F5">
        <w:rPr>
          <w:rFonts w:cs="Times New Roman"/>
        </w:rPr>
        <w:t xml:space="preserve"> Multifactor Test</w:t>
      </w:r>
    </w:p>
    <w:p w:rsidR="00431229" w:rsidRPr="006662F5" w:rsidRDefault="00431229" w:rsidP="00073AC5">
      <w:pPr>
        <w:pStyle w:val="text"/>
      </w:pPr>
      <w:r w:rsidRPr="006662F5">
        <w:t xml:space="preserve">Despite criticism of the test, the “Sweet factors” promulgated in the </w:t>
      </w:r>
      <w:r w:rsidRPr="006662F5">
        <w:rPr>
          <w:i/>
          <w:iCs/>
        </w:rPr>
        <w:t>Mead Data</w:t>
      </w:r>
      <w:r w:rsidRPr="006662F5">
        <w:t xml:space="preserve"> case</w:t>
      </w:r>
      <w:r w:rsidRPr="006662F5">
        <w:rPr>
          <w:vertAlign w:val="superscript"/>
        </w:rPr>
        <w:footnoteReference w:id="238"/>
      </w:r>
      <w:r w:rsidRPr="006662F5">
        <w:t xml:space="preserve"> have been applied by a number of courts.</w:t>
      </w:r>
      <w:r>
        <w:rPr>
          <w:rStyle w:val="FootnoteReference"/>
        </w:rPr>
        <w:footnoteReference w:id="239"/>
      </w:r>
      <w:r w:rsidRPr="006662F5">
        <w:t xml:space="preserve"> As with other multifactor tests, these factors should be analyzed separately </w:t>
      </w:r>
      <w:r w:rsidRPr="006662F5">
        <w:rPr>
          <w:i/>
          <w:iCs/>
        </w:rPr>
        <w:t>and</w:t>
      </w:r>
      <w:r w:rsidRPr="006662F5">
        <w:t xml:space="preserve"> in the aggregate to determine whether a violation is to be found. </w:t>
      </w:r>
    </w:p>
    <w:p w:rsidR="00431229" w:rsidRPr="006662F5" w:rsidRDefault="00431229" w:rsidP="00073AC5">
      <w:pPr>
        <w:pStyle w:val="5thLevelHeadii"/>
        <w:rPr>
          <w:rFonts w:cs="Times New Roman"/>
        </w:rPr>
      </w:pPr>
      <w:r w:rsidRPr="006662F5">
        <w:rPr>
          <w:rFonts w:cs="Times New Roman"/>
        </w:rPr>
        <w:t>i.</w:t>
      </w:r>
      <w:r w:rsidRPr="006662F5">
        <w:rPr>
          <w:rFonts w:cs="Times New Roman"/>
        </w:rPr>
        <w:tab/>
        <w:t xml:space="preserve">Renown of the Senior Mark </w:t>
      </w:r>
    </w:p>
    <w:p w:rsidR="00431229" w:rsidRPr="006662F5" w:rsidRDefault="00431229" w:rsidP="00073AC5">
      <w:pPr>
        <w:pStyle w:val="text"/>
        <w:rPr>
          <w:i/>
          <w:iCs/>
        </w:rPr>
      </w:pPr>
      <w:r w:rsidRPr="006662F5">
        <w:t>Whether viewed as a threshold issue of eligibility or a factor in the analysis of dilution, or both, the requirement that the senior mark must have sufficient distinction, or “renown,” causes many dilution claims to fail.</w:t>
      </w:r>
      <w:r w:rsidRPr="006662F5">
        <w:rPr>
          <w:vertAlign w:val="superscript"/>
        </w:rPr>
        <w:footnoteReference w:id="240"/>
      </w:r>
      <w:r w:rsidRPr="006662F5">
        <w:t xml:space="preserve"> In a large number of dilution cases, this is the most critical factor.</w:t>
      </w:r>
      <w:r w:rsidRPr="006662F5">
        <w:rPr>
          <w:vertAlign w:val="superscript"/>
        </w:rPr>
        <w:footnoteReference w:id="241"/>
      </w:r>
    </w:p>
    <w:p w:rsidR="00431229" w:rsidRPr="006662F5" w:rsidRDefault="00431229" w:rsidP="00073AC5">
      <w:pPr>
        <w:pStyle w:val="5thLevelHeadii"/>
        <w:rPr>
          <w:rFonts w:cs="Times New Roman"/>
        </w:rPr>
      </w:pPr>
      <w:r w:rsidRPr="006662F5">
        <w:rPr>
          <w:rFonts w:cs="Times New Roman"/>
        </w:rPr>
        <w:t>ii.</w:t>
      </w:r>
      <w:r w:rsidRPr="006662F5">
        <w:rPr>
          <w:rFonts w:cs="Times New Roman"/>
        </w:rPr>
        <w:tab/>
        <w:t xml:space="preserve">Similarity of the Marks </w:t>
      </w:r>
    </w:p>
    <w:p w:rsidR="00431229" w:rsidRPr="006662F5" w:rsidRDefault="00431229" w:rsidP="00073AC5">
      <w:pPr>
        <w:pStyle w:val="text"/>
      </w:pPr>
      <w:r w:rsidRPr="006662F5">
        <w:t>If a mark is sufficiently distinctive, then similarity becomes a crucial element.</w:t>
      </w:r>
      <w:r w:rsidRPr="006662F5">
        <w:rPr>
          <w:vertAlign w:val="superscript"/>
        </w:rPr>
        <w:footnoteReference w:id="242"/>
      </w:r>
      <w:r w:rsidRPr="006662F5">
        <w:t xml:space="preserve"> A number of courts have cited a lack of similarity as a critical failing.</w:t>
      </w:r>
      <w:r w:rsidRPr="006662F5">
        <w:rPr>
          <w:vertAlign w:val="superscript"/>
        </w:rPr>
        <w:footnoteReference w:id="243"/>
      </w:r>
    </w:p>
    <w:p w:rsidR="00431229" w:rsidRPr="006662F5" w:rsidRDefault="00431229" w:rsidP="00073AC5">
      <w:pPr>
        <w:pStyle w:val="5thLevelHeadii"/>
        <w:rPr>
          <w:rFonts w:cs="Times New Roman"/>
        </w:rPr>
      </w:pPr>
      <w:r w:rsidRPr="006662F5">
        <w:rPr>
          <w:rFonts w:cs="Times New Roman"/>
        </w:rPr>
        <w:t>iii.</w:t>
      </w:r>
      <w:r w:rsidRPr="006662F5">
        <w:rPr>
          <w:rFonts w:cs="Times New Roman"/>
        </w:rPr>
        <w:tab/>
        <w:t xml:space="preserve">Predatory Intent </w:t>
      </w:r>
    </w:p>
    <w:p w:rsidR="00431229" w:rsidRPr="006662F5" w:rsidRDefault="00431229" w:rsidP="00073AC5">
      <w:pPr>
        <w:pStyle w:val="text"/>
      </w:pPr>
      <w:r w:rsidRPr="006662F5">
        <w:t>As previously discussed, predatory intent is the junior user’s desire to trade on the well-known mark’s goodwill or reputation to sell its own goods or services. It has been likened to the factor of bad faith in a confusion context.</w:t>
      </w:r>
      <w:r w:rsidRPr="006662F5">
        <w:rPr>
          <w:vertAlign w:val="superscript"/>
        </w:rPr>
        <w:footnoteReference w:id="244"/>
      </w:r>
      <w:r w:rsidRPr="006662F5">
        <w:t xml:space="preserve"> One example of predatory intent is the adoption of a mark knowing of the first user and knowing that the first user is widely known, then continuing to use the mark over the plaintiff’s objections.</w:t>
      </w:r>
      <w:r w:rsidRPr="006662F5">
        <w:rPr>
          <w:vertAlign w:val="superscript"/>
        </w:rPr>
        <w:footnoteReference w:id="245"/>
      </w:r>
      <w:r w:rsidRPr="006662F5">
        <w:t xml:space="preserve"> </w:t>
      </w:r>
    </w:p>
    <w:p w:rsidR="00431229" w:rsidRPr="006662F5" w:rsidRDefault="00431229" w:rsidP="00073AC5">
      <w:pPr>
        <w:pStyle w:val="text"/>
      </w:pPr>
      <w:r w:rsidRPr="006662F5">
        <w:t xml:space="preserve">In </w:t>
      </w:r>
      <w:r w:rsidRPr="006662F5">
        <w:rPr>
          <w:i/>
          <w:iCs/>
        </w:rPr>
        <w:t>Nabisco, Inc</w:t>
      </w:r>
      <w:r w:rsidRPr="006662F5">
        <w:t>.</w:t>
      </w:r>
      <w:r w:rsidRPr="006662F5">
        <w:rPr>
          <w:i/>
          <w:iCs/>
        </w:rPr>
        <w:t xml:space="preserve"> v</w:t>
      </w:r>
      <w:r w:rsidRPr="006662F5">
        <w:t>.</w:t>
      </w:r>
      <w:r w:rsidRPr="006662F5">
        <w:rPr>
          <w:i/>
          <w:iCs/>
        </w:rPr>
        <w:t xml:space="preserve"> PF Brands, Inc</w:t>
      </w:r>
      <w:r w:rsidRPr="006662F5">
        <w:t>.,</w:t>
      </w:r>
      <w:r w:rsidRPr="006662F5">
        <w:rPr>
          <w:vertAlign w:val="superscript"/>
        </w:rPr>
        <w:footnoteReference w:id="246"/>
      </w:r>
      <w:r w:rsidRPr="006662F5">
        <w:t xml:space="preserve"> the district court engaged in a lengthy and interesting discussion of predatory intent. It found predatory intent in four different actions by the junior user. First, the court stated that the junior user could easily have used a different shape and/or color for its product.</w:t>
      </w:r>
      <w:r w:rsidRPr="006662F5">
        <w:rPr>
          <w:vertAlign w:val="superscript"/>
        </w:rPr>
        <w:footnoteReference w:id="247"/>
      </w:r>
      <w:r w:rsidRPr="006662F5">
        <w:t xml:space="preserve"> Second, the court inferred that the plaintiff (the junior user) waited to file a declaratory judgment action and did not tell the defendant of its plans to introduce a similar cracker, in an attempt to hinder the defendant’s ability to protect its rights.</w:t>
      </w:r>
      <w:r w:rsidRPr="006662F5">
        <w:rPr>
          <w:vertAlign w:val="superscript"/>
        </w:rPr>
        <w:footnoteReference w:id="248"/>
      </w:r>
      <w:r w:rsidRPr="006662F5">
        <w:t xml:space="preserve"> Third, the court cited the plaintiff’s invocation of attorney-client privilege regarding advice received from counsel.</w:t>
      </w:r>
      <w:r w:rsidRPr="006662F5">
        <w:rPr>
          <w:vertAlign w:val="superscript"/>
        </w:rPr>
        <w:footnoteReference w:id="249"/>
      </w:r>
      <w:r w:rsidRPr="006662F5">
        <w:t xml:space="preserve"> Finally, it cited the failure to comply rapidly with an expedited discovery request as further evidence of predatory intent.</w:t>
      </w:r>
      <w:r w:rsidRPr="006662F5">
        <w:rPr>
          <w:vertAlign w:val="superscript"/>
        </w:rPr>
        <w:footnoteReference w:id="250"/>
      </w:r>
      <w:r w:rsidRPr="006662F5">
        <w:t xml:space="preserve"> </w:t>
      </w:r>
    </w:p>
    <w:p w:rsidR="00431229" w:rsidRPr="006662F5" w:rsidRDefault="00431229" w:rsidP="00073AC5">
      <w:pPr>
        <w:pStyle w:val="text"/>
      </w:pPr>
      <w:r w:rsidRPr="006662F5">
        <w:t>On appeal, the Second Circuit rejected each of these findings of predatory intent,</w:t>
      </w:r>
      <w:r w:rsidRPr="006662F5">
        <w:rPr>
          <w:vertAlign w:val="superscript"/>
        </w:rPr>
        <w:footnoteReference w:id="251"/>
      </w:r>
      <w:r w:rsidRPr="006662F5">
        <w:t xml:space="preserve"> finding that none of them demonstrated that Nabisco adopted the fish shape for its crackers with intent to trade on the mark’s reputation. The court pointed out that in </w:t>
      </w:r>
      <w:r w:rsidRPr="006662F5">
        <w:rPr>
          <w:i/>
          <w:iCs/>
        </w:rPr>
        <w:t>all</w:t>
      </w:r>
      <w:r w:rsidRPr="006662F5">
        <w:t xml:space="preserve"> trademark cases, the junior user could adopt another mark; thus, the fact that others were available was not, by itself, predatory intent. Second, the appeals court found that failing to inform a competitor of one’s plans is not predatory. As to the discovery issue, the court noted that it arose </w:t>
      </w:r>
      <w:r w:rsidRPr="006662F5">
        <w:rPr>
          <w:i/>
          <w:iCs/>
        </w:rPr>
        <w:t>after</w:t>
      </w:r>
      <w:r w:rsidRPr="006662F5">
        <w:t xml:space="preserve"> adoption of the mark and could not reasonably have affected the decision to adopt the mark.</w:t>
      </w:r>
      <w:r w:rsidRPr="006662F5">
        <w:rPr>
          <w:vertAlign w:val="superscript"/>
        </w:rPr>
        <w:footnoteReference w:id="252"/>
      </w:r>
      <w:r w:rsidRPr="006662F5">
        <w:t xml:space="preserve"> Finally, the court stated that it was “particularly troubled” by the inference of bad faith from invocation of the attorney-client privilege.</w:t>
      </w:r>
      <w:r w:rsidRPr="006662F5">
        <w:rPr>
          <w:vertAlign w:val="superscript"/>
        </w:rPr>
        <w:footnoteReference w:id="253"/>
      </w:r>
      <w:r w:rsidRPr="006662F5">
        <w:t xml:space="preserve"> It asserted that such an inference would discourage clients from voluntarily seeking advice of counsel.</w:t>
      </w:r>
      <w:r w:rsidRPr="006662F5">
        <w:rPr>
          <w:vertAlign w:val="superscript"/>
        </w:rPr>
        <w:footnoteReference w:id="254"/>
      </w:r>
      <w:r w:rsidRPr="006662F5">
        <w:t xml:space="preserve"> Thus, it concluded that there was no basis for the district court’s finding of predatory intent.</w:t>
      </w:r>
      <w:r w:rsidRPr="006662F5">
        <w:rPr>
          <w:vertAlign w:val="superscript"/>
        </w:rPr>
        <w:footnoteReference w:id="255"/>
      </w:r>
    </w:p>
    <w:p w:rsidR="00431229" w:rsidRPr="006662F5" w:rsidRDefault="00431229" w:rsidP="00073AC5">
      <w:pPr>
        <w:pStyle w:val="text"/>
      </w:pPr>
      <w:r w:rsidRPr="006662F5">
        <w:t>Although not always decisive, a finding of predatory intent is a strong factor favoring dilution.</w:t>
      </w:r>
      <w:r w:rsidRPr="006662F5">
        <w:rPr>
          <w:vertAlign w:val="superscript"/>
        </w:rPr>
        <w:footnoteReference w:id="256"/>
      </w:r>
      <w:r w:rsidRPr="006662F5">
        <w:t xml:space="preserve"> Several courts denying relief have cited lack of predatory intent as at least a factor.</w:t>
      </w:r>
      <w:r w:rsidRPr="006662F5">
        <w:rPr>
          <w:vertAlign w:val="superscript"/>
        </w:rPr>
        <w:footnoteReference w:id="257"/>
      </w:r>
      <w:r w:rsidRPr="006662F5">
        <w:t xml:space="preserve"> Cases interpreting Pennsylvania’s original dilution law called it a necessary element, not simply a relevant factor.</w:t>
      </w:r>
      <w:r w:rsidRPr="006662F5">
        <w:rPr>
          <w:vertAlign w:val="superscript"/>
        </w:rPr>
        <w:footnoteReference w:id="258"/>
      </w:r>
      <w:r w:rsidRPr="006662F5">
        <w:t xml:space="preserve"> The Second Circuit has described this factor as an equitable one, relevant to the court’s exercise of equitable discretion in deciding whether to issue an injunction.</w:t>
      </w:r>
      <w:r w:rsidRPr="006662F5">
        <w:rPr>
          <w:vertAlign w:val="superscript"/>
        </w:rPr>
        <w:footnoteReference w:id="259"/>
      </w:r>
    </w:p>
    <w:p w:rsidR="00431229" w:rsidRPr="006662F5" w:rsidRDefault="00431229" w:rsidP="00073AC5">
      <w:pPr>
        <w:pStyle w:val="5thLevelHeadii"/>
        <w:rPr>
          <w:rFonts w:cs="Times New Roman"/>
        </w:rPr>
      </w:pPr>
      <w:r w:rsidRPr="006662F5">
        <w:rPr>
          <w:rFonts w:cs="Times New Roman"/>
        </w:rPr>
        <w:t>iv.</w:t>
      </w:r>
      <w:r w:rsidRPr="006662F5">
        <w:rPr>
          <w:rFonts w:cs="Times New Roman"/>
        </w:rPr>
        <w:tab/>
        <w:t xml:space="preserve">Junior User’s Renown </w:t>
      </w:r>
    </w:p>
    <w:p w:rsidR="00431229" w:rsidRPr="006662F5" w:rsidRDefault="00431229" w:rsidP="00073AC5">
      <w:pPr>
        <w:pStyle w:val="text"/>
      </w:pPr>
      <w:r w:rsidRPr="006662F5">
        <w:t xml:space="preserve">One of the more extensive discussions of the junior user’s renown as a factor is contained in </w:t>
      </w:r>
      <w:r w:rsidRPr="006662F5">
        <w:rPr>
          <w:i/>
          <w:iCs/>
        </w:rPr>
        <w:t>Landscape Forms, Inc</w:t>
      </w:r>
      <w:r w:rsidRPr="006662F5">
        <w:t>.</w:t>
      </w:r>
      <w:r w:rsidRPr="006662F5">
        <w:rPr>
          <w:i/>
          <w:iCs/>
        </w:rPr>
        <w:t xml:space="preserve"> v</w:t>
      </w:r>
      <w:r w:rsidRPr="006662F5">
        <w:t>.</w:t>
      </w:r>
      <w:r w:rsidRPr="006662F5">
        <w:rPr>
          <w:i/>
          <w:iCs/>
        </w:rPr>
        <w:t xml:space="preserve"> Columbia Cascade Co</w:t>
      </w:r>
      <w:r w:rsidRPr="006662F5">
        <w:t>.</w:t>
      </w:r>
      <w:r w:rsidRPr="006662F5">
        <w:rPr>
          <w:vertAlign w:val="superscript"/>
        </w:rPr>
        <w:footnoteReference w:id="260"/>
      </w:r>
      <w:r w:rsidRPr="006662F5">
        <w:t xml:space="preserve"> There, the court noted the relatively small amount of sales by the defendant (the junior user) compared with the plaintiff and attributed this to a relative lack of renown.</w:t>
      </w:r>
      <w:r w:rsidRPr="006662F5">
        <w:rPr>
          <w:vertAlign w:val="superscript"/>
        </w:rPr>
        <w:footnoteReference w:id="261"/>
      </w:r>
      <w:r w:rsidRPr="006662F5">
        <w:t xml:space="preserve"> This contributed to the court’s finding of no dilution under New York law.</w:t>
      </w:r>
      <w:r w:rsidRPr="006662F5">
        <w:rPr>
          <w:vertAlign w:val="superscript"/>
        </w:rPr>
        <w:footnoteReference w:id="262"/>
      </w:r>
      <w:r w:rsidRPr="006662F5">
        <w:t xml:space="preserve"> But if the senior user acts against the alleged dilution in a timely fashion (i.e., before the junior use spreads very far), then this factor usually ought to be relatively unimportant.</w:t>
      </w:r>
      <w:r w:rsidRPr="006662F5">
        <w:rPr>
          <w:vertAlign w:val="superscript"/>
        </w:rPr>
        <w:footnoteReference w:id="263"/>
      </w:r>
    </w:p>
    <w:p w:rsidR="00431229" w:rsidRPr="006662F5" w:rsidRDefault="00431229" w:rsidP="00073AC5">
      <w:pPr>
        <w:pStyle w:val="5thLevelHeadii"/>
        <w:rPr>
          <w:rFonts w:cs="Times New Roman"/>
        </w:rPr>
      </w:pPr>
      <w:r w:rsidRPr="006662F5">
        <w:rPr>
          <w:rFonts w:cs="Times New Roman"/>
        </w:rPr>
        <w:t>v.</w:t>
      </w:r>
      <w:r w:rsidRPr="006662F5">
        <w:rPr>
          <w:rFonts w:cs="Times New Roman"/>
        </w:rPr>
        <w:tab/>
        <w:t xml:space="preserve">Customer Sophistication </w:t>
      </w:r>
    </w:p>
    <w:p w:rsidR="00431229" w:rsidRPr="006662F5" w:rsidRDefault="00431229" w:rsidP="00073AC5">
      <w:pPr>
        <w:pStyle w:val="text"/>
      </w:pPr>
      <w:r w:rsidRPr="006662F5">
        <w:t xml:space="preserve">Following the Second Circuit’s opinion in </w:t>
      </w:r>
      <w:r w:rsidRPr="006662F5">
        <w:rPr>
          <w:i/>
          <w:iCs/>
        </w:rPr>
        <w:t>New York Stock Exchange, Inc</w:t>
      </w:r>
      <w:r w:rsidRPr="006662F5">
        <w:t>.</w:t>
      </w:r>
      <w:r w:rsidRPr="006662F5">
        <w:rPr>
          <w:i/>
          <w:iCs/>
        </w:rPr>
        <w:t xml:space="preserve"> v</w:t>
      </w:r>
      <w:r w:rsidRPr="006662F5">
        <w:t>.</w:t>
      </w:r>
      <w:r w:rsidRPr="006662F5">
        <w:rPr>
          <w:i/>
          <w:iCs/>
        </w:rPr>
        <w:t xml:space="preserve"> New York, New York Hotel, LLC</w:t>
      </w:r>
      <w:r w:rsidRPr="006662F5">
        <w:t>.,</w:t>
      </w:r>
      <w:r w:rsidRPr="006662F5">
        <w:rPr>
          <w:vertAlign w:val="superscript"/>
        </w:rPr>
        <w:footnoteReference w:id="264"/>
      </w:r>
      <w:r w:rsidRPr="006662F5">
        <w:t xml:space="preserve"> a district court applied Judge Sweet’s six-factor test from </w:t>
      </w:r>
      <w:r w:rsidRPr="006662F5">
        <w:rPr>
          <w:i/>
          <w:iCs/>
        </w:rPr>
        <w:t>Mead Data Central</w:t>
      </w:r>
      <w:r w:rsidRPr="006662F5">
        <w:t xml:space="preserve"> to analyze a dilution claim under New York law.</w:t>
      </w:r>
      <w:r w:rsidRPr="006662F5">
        <w:rPr>
          <w:vertAlign w:val="superscript"/>
        </w:rPr>
        <w:footnoteReference w:id="265"/>
      </w:r>
      <w:r w:rsidRPr="006662F5">
        <w:t xml:space="preserve"> The court found defendant’s Players 05 mark to be similar to plaintiff’s “05” mark (both used on clothing), found predatory intent on the part of the defendant, and stated that a relative lack of consumer sophistication counted in favor of a finding of dilution.</w:t>
      </w:r>
      <w:r w:rsidRPr="006662F5">
        <w:rPr>
          <w:vertAlign w:val="superscript"/>
        </w:rPr>
        <w:footnoteReference w:id="266"/>
      </w:r>
      <w:r w:rsidRPr="006662F5">
        <w:t xml:space="preserve"> In another case, the fact that customers would be sophisticated weighed </w:t>
      </w:r>
      <w:r w:rsidRPr="006662F5">
        <w:rPr>
          <w:i/>
          <w:iCs/>
        </w:rPr>
        <w:t>against</w:t>
      </w:r>
      <w:r w:rsidRPr="006662F5">
        <w:t xml:space="preserve"> a finding of dilution.</w:t>
      </w:r>
      <w:r w:rsidRPr="006662F5">
        <w:rPr>
          <w:vertAlign w:val="superscript"/>
        </w:rPr>
        <w:footnoteReference w:id="267"/>
      </w:r>
    </w:p>
    <w:p w:rsidR="00431229" w:rsidRPr="006662F5" w:rsidRDefault="00431229" w:rsidP="00073AC5">
      <w:pPr>
        <w:pStyle w:val="4thLevelHeada0"/>
        <w:rPr>
          <w:rFonts w:cs="Times New Roman"/>
        </w:rPr>
      </w:pPr>
      <w:r w:rsidRPr="006662F5">
        <w:rPr>
          <w:rFonts w:cs="Times New Roman"/>
        </w:rPr>
        <w:t>c.</w:t>
      </w:r>
      <w:r w:rsidRPr="006662F5">
        <w:rPr>
          <w:rFonts w:cs="Times New Roman"/>
        </w:rPr>
        <w:tab/>
        <w:t xml:space="preserve">Judicial Use of the </w:t>
      </w:r>
      <w:r w:rsidRPr="006662F5">
        <w:rPr>
          <w:rFonts w:cs="Times New Roman"/>
          <w:i w:val="0"/>
          <w:iCs w:val="0"/>
        </w:rPr>
        <w:t>Nabisco</w:t>
      </w:r>
      <w:r w:rsidRPr="006662F5">
        <w:rPr>
          <w:rFonts w:cs="Times New Roman"/>
        </w:rPr>
        <w:t xml:space="preserve"> Factors</w:t>
      </w:r>
    </w:p>
    <w:p w:rsidR="00431229" w:rsidRPr="006662F5" w:rsidRDefault="00431229" w:rsidP="00073AC5">
      <w:pPr>
        <w:pStyle w:val="text"/>
      </w:pPr>
      <w:r w:rsidRPr="006662F5">
        <w:t xml:space="preserve">The </w:t>
      </w:r>
      <w:r w:rsidRPr="006662F5">
        <w:rPr>
          <w:i/>
          <w:iCs/>
        </w:rPr>
        <w:t>Nabisco</w:t>
      </w:r>
      <w:r w:rsidRPr="006662F5">
        <w:t xml:space="preserve"> court performed a thorough analysis of each factor as it applied its test to the facts of that case. However, not all courts have used the factors in the same way. Courts outside of the Second Circuit stated that they needed only to use those factors from the </w:t>
      </w:r>
      <w:r w:rsidRPr="006662F5">
        <w:rPr>
          <w:i/>
          <w:iCs/>
        </w:rPr>
        <w:t>Nabisco</w:t>
      </w:r>
      <w:r w:rsidRPr="006662F5">
        <w:t xml:space="preserve"> test that they deemed most relevant to the case.</w:t>
      </w:r>
      <w:r w:rsidRPr="006662F5">
        <w:rPr>
          <w:vertAlign w:val="superscript"/>
        </w:rPr>
        <w:footnoteReference w:id="268"/>
      </w:r>
      <w:r w:rsidRPr="006662F5">
        <w:t xml:space="preserve"> In some instances, this reduced the analysis to one of distinctiveness and similarity.</w:t>
      </w:r>
      <w:r w:rsidRPr="006662F5">
        <w:rPr>
          <w:vertAlign w:val="superscript"/>
        </w:rPr>
        <w:footnoteReference w:id="269"/>
      </w:r>
      <w:r w:rsidRPr="006662F5">
        <w:t xml:space="preserve"> The Sixth Circuit gave almost exclusive weight to distinctiveness of the senior mark and similarity.</w:t>
      </w:r>
      <w:r w:rsidRPr="006662F5">
        <w:rPr>
          <w:vertAlign w:val="superscript"/>
        </w:rPr>
        <w:footnoteReference w:id="270"/>
      </w:r>
      <w:r w:rsidRPr="006662F5">
        <w:t xml:space="preserve"> Although many of the </w:t>
      </w:r>
      <w:r w:rsidRPr="006662F5">
        <w:rPr>
          <w:i/>
          <w:iCs/>
        </w:rPr>
        <w:t>Nabisco</w:t>
      </w:r>
      <w:r w:rsidRPr="006662F5">
        <w:t xml:space="preserve"> factors appear irrelevant to a dilution analysis, use of only these two factors means that almost any use of a famous mark will be deemed diluting.</w:t>
      </w:r>
      <w:r w:rsidRPr="006662F5">
        <w:rPr>
          <w:vertAlign w:val="superscript"/>
        </w:rPr>
        <w:footnoteReference w:id="271"/>
      </w:r>
    </w:p>
    <w:p w:rsidR="00431229" w:rsidRPr="006662F5" w:rsidRDefault="00431229" w:rsidP="00073AC5">
      <w:pPr>
        <w:pStyle w:val="text"/>
      </w:pPr>
      <w:r w:rsidRPr="006662F5">
        <w:t xml:space="preserve">Although the </w:t>
      </w:r>
      <w:r w:rsidRPr="006662F5">
        <w:rPr>
          <w:i/>
          <w:iCs/>
        </w:rPr>
        <w:t>Nabisco</w:t>
      </w:r>
      <w:r w:rsidRPr="006662F5">
        <w:t xml:space="preserve"> test was developed for use under the FTDA, it has been used even for state dilution claims where the law does not resemble the FTDA. In </w:t>
      </w:r>
      <w:r w:rsidRPr="006662F5">
        <w:rPr>
          <w:i/>
          <w:iCs/>
        </w:rPr>
        <w:t>Eastern American Trio Products, Inc</w:t>
      </w:r>
      <w:r w:rsidRPr="006662F5">
        <w:t>.</w:t>
      </w:r>
      <w:r w:rsidRPr="006662F5">
        <w:rPr>
          <w:i/>
          <w:iCs/>
        </w:rPr>
        <w:t xml:space="preserve"> v</w:t>
      </w:r>
      <w:r w:rsidRPr="006662F5">
        <w:t>.</w:t>
      </w:r>
      <w:r w:rsidRPr="006662F5">
        <w:rPr>
          <w:i/>
          <w:iCs/>
        </w:rPr>
        <w:t xml:space="preserve"> Tang Electronic Corp</w:t>
      </w:r>
      <w:r w:rsidRPr="006662F5">
        <w:t>.,</w:t>
      </w:r>
      <w:r w:rsidRPr="006662F5">
        <w:rPr>
          <w:vertAlign w:val="superscript"/>
        </w:rPr>
        <w:footnoteReference w:id="272"/>
      </w:r>
      <w:r w:rsidRPr="006662F5">
        <w:t xml:space="preserve"> a New York federal court applied the test in a case involving dilution under New York law only.</w:t>
      </w:r>
      <w:r w:rsidRPr="006662F5">
        <w:rPr>
          <w:vertAlign w:val="superscript"/>
        </w:rPr>
        <w:footnoteReference w:id="273"/>
      </w:r>
      <w:r w:rsidRPr="006662F5">
        <w:t xml:space="preserve"> Undoubtedly, the court was influenced by the fact that the Second Circuit, whose territory includes New York, had promulgated this test. This, of course, occurred before the Supreme Court’s decision in </w:t>
      </w:r>
      <w:r w:rsidRPr="006662F5">
        <w:rPr>
          <w:i/>
          <w:iCs/>
        </w:rPr>
        <w:t>Moseley</w:t>
      </w:r>
      <w:r w:rsidRPr="006662F5">
        <w:t xml:space="preserve">. And more recent Second Circuit authority indicates that it still regards the </w:t>
      </w:r>
      <w:r w:rsidRPr="006662F5">
        <w:rPr>
          <w:i/>
          <w:iCs/>
        </w:rPr>
        <w:t>Mead Data</w:t>
      </w:r>
      <w:r w:rsidRPr="006662F5">
        <w:t xml:space="preserve"> factors as the appropriate test under New York law.</w:t>
      </w:r>
      <w:r w:rsidRPr="006662F5">
        <w:rPr>
          <w:vertAlign w:val="superscript"/>
        </w:rPr>
        <w:footnoteReference w:id="274"/>
      </w:r>
    </w:p>
    <w:p w:rsidR="00431229" w:rsidRPr="006662F5" w:rsidRDefault="00431229" w:rsidP="00073AC5">
      <w:pPr>
        <w:pStyle w:val="text"/>
      </w:pPr>
      <w:r w:rsidRPr="006662F5">
        <w:t xml:space="preserve">In light of the Supreme Court’s decision in </w:t>
      </w:r>
      <w:r w:rsidRPr="006662F5">
        <w:rPr>
          <w:i/>
          <w:iCs/>
        </w:rPr>
        <w:t>Moseley</w:t>
      </w:r>
      <w:r w:rsidRPr="006662F5">
        <w:t xml:space="preserve"> and the subsequent promulgation of the 2007 Model Bill, the </w:t>
      </w:r>
      <w:r w:rsidRPr="006662F5">
        <w:rPr>
          <w:i/>
          <w:iCs/>
        </w:rPr>
        <w:t>Nabisco</w:t>
      </w:r>
      <w:r w:rsidRPr="006662F5">
        <w:t xml:space="preserve"> test may be of very limited use. State statutes with the “causes dilution” language probably will be interpreted to require actual dilution, not likelihood of dilution. </w:t>
      </w:r>
      <w:r w:rsidRPr="006662F5">
        <w:rPr>
          <w:i/>
          <w:iCs/>
        </w:rPr>
        <w:t>Nabisco</w:t>
      </w:r>
      <w:r w:rsidRPr="006662F5">
        <w:t xml:space="preserve"> would not be applicable in such cases. The six factors included in the TDRA’s definition of blurring may prove popular in states with statutes using a likelihood of dilution standard, whether they are 2007 Model Bill states or 1964 Model Bill states (or Florida, which has a likelihood of dilution standard in a 1996 Model Bill statute). While those factors overlap slightly with </w:t>
      </w:r>
      <w:r w:rsidRPr="006662F5">
        <w:rPr>
          <w:i/>
          <w:iCs/>
        </w:rPr>
        <w:t>Nabisco</w:t>
      </w:r>
      <w:r w:rsidRPr="006662F5">
        <w:t>, it is uncertain how they would be melded with the TDRA factors.</w:t>
      </w:r>
    </w:p>
    <w:p w:rsidR="00431229" w:rsidRPr="006662F5" w:rsidRDefault="00431229" w:rsidP="00073AC5">
      <w:pPr>
        <w:pStyle w:val="4thLevelHeada0"/>
        <w:rPr>
          <w:rFonts w:cs="Times New Roman"/>
        </w:rPr>
      </w:pPr>
      <w:r w:rsidRPr="006662F5">
        <w:rPr>
          <w:rFonts w:cs="Times New Roman"/>
        </w:rPr>
        <w:t>d.</w:t>
      </w:r>
      <w:r w:rsidRPr="006662F5">
        <w:rPr>
          <w:rFonts w:cs="Times New Roman"/>
        </w:rPr>
        <w:tab/>
        <w:t>Judicial Use of the TDRA Factors Under State Law</w:t>
      </w:r>
    </w:p>
    <w:p w:rsidR="00431229" w:rsidRPr="006662F5" w:rsidRDefault="00431229" w:rsidP="00073AC5">
      <w:pPr>
        <w:pStyle w:val="text"/>
      </w:pPr>
      <w:r w:rsidRPr="006662F5">
        <w:t>A growing number of cases brought under the TDRA have analyzed the new factors in some detail. A discussion of those cases can be found in Chapter 9.</w:t>
      </w:r>
      <w:r w:rsidRPr="006662F5">
        <w:rPr>
          <w:i/>
          <w:iCs/>
        </w:rPr>
        <w:t xml:space="preserve"> </w:t>
      </w:r>
      <w:r w:rsidRPr="006662F5">
        <w:t>However, it is still unclear whether courts will use these factors for state-law claims. As noted earlier, the International Trademark Association, which promulgated the 2007 Model Bill, assumed that the six TDRA factors would be used in states that adopted the 2007 Model Bill.</w:t>
      </w:r>
      <w:r w:rsidRPr="006662F5">
        <w:rPr>
          <w:vertAlign w:val="superscript"/>
        </w:rPr>
        <w:footnoteReference w:id="275"/>
      </w:r>
    </w:p>
    <w:p w:rsidR="00431229" w:rsidRPr="006662F5" w:rsidRDefault="00431229" w:rsidP="00073AC5">
      <w:pPr>
        <w:pStyle w:val="text"/>
      </w:pPr>
      <w:r w:rsidRPr="006662F5">
        <w:t xml:space="preserve">In an unusual twist, however, one court did use the TDRA factors in a case under state law, but the state law in question—from Texas—was patterned after the 1964 Model Bill, not the 2007 Model Bill. In </w:t>
      </w:r>
      <w:r w:rsidRPr="006662F5">
        <w:rPr>
          <w:i/>
          <w:iCs/>
        </w:rPr>
        <w:t>Cottonwood Financial Ltd</w:t>
      </w:r>
      <w:r w:rsidRPr="006662F5">
        <w:t>.</w:t>
      </w:r>
      <w:r w:rsidRPr="006662F5">
        <w:rPr>
          <w:i/>
          <w:iCs/>
        </w:rPr>
        <w:t xml:space="preserve"> v</w:t>
      </w:r>
      <w:r w:rsidRPr="006662F5">
        <w:t>.</w:t>
      </w:r>
      <w:r w:rsidRPr="006662F5">
        <w:rPr>
          <w:i/>
          <w:iCs/>
        </w:rPr>
        <w:t xml:space="preserve"> The Cash Store Financial Services, Inc</w:t>
      </w:r>
      <w:r w:rsidRPr="006662F5">
        <w:t>.,</w:t>
      </w:r>
      <w:r w:rsidRPr="006662F5">
        <w:rPr>
          <w:vertAlign w:val="superscript"/>
        </w:rPr>
        <w:footnoteReference w:id="276"/>
      </w:r>
      <w:r w:rsidRPr="006662F5">
        <w:t xml:space="preserve"> the court “distill[ed] eight factors relevant to the determination of dilution by blurring under the Texas statute.”</w:t>
      </w:r>
      <w:r w:rsidRPr="006662F5">
        <w:rPr>
          <w:vertAlign w:val="superscript"/>
        </w:rPr>
        <w:footnoteReference w:id="277"/>
      </w:r>
      <w:r w:rsidRPr="006662F5">
        <w:t xml:space="preserve"> It noted that both Texas and the TDRA use a likelihood of dilution standard, and that some courts have combined their federal and state analyses when deciding cases brought under both.</w:t>
      </w:r>
      <w:r w:rsidRPr="006662F5">
        <w:rPr>
          <w:vertAlign w:val="superscript"/>
        </w:rPr>
        <w:footnoteReference w:id="278"/>
      </w:r>
      <w:r w:rsidRPr="006662F5">
        <w:t xml:space="preserve"> Thus, the court found the TDRA’s factors relevant to the analysis. But it also decided that evidence of actual or likely confusion was relevant to the determination of dilution.</w:t>
      </w:r>
      <w:r w:rsidRPr="006662F5">
        <w:rPr>
          <w:vertAlign w:val="superscript"/>
        </w:rPr>
        <w:footnoteReference w:id="279"/>
      </w:r>
      <w:r w:rsidRPr="006662F5">
        <w:t xml:space="preserve"> The court also included similarity of products as a relevant factor—taking it from the factors often used to analyze dilution under New York law—and that made the dilution analysis overlap more heavily with confusion.</w:t>
      </w:r>
      <w:r w:rsidRPr="006662F5">
        <w:rPr>
          <w:vertAlign w:val="superscript"/>
        </w:rPr>
        <w:footnoteReference w:id="280"/>
      </w:r>
      <w:r w:rsidRPr="006662F5">
        <w:t xml:space="preserve"> The case involved the use of the mark Cash Store by a foreign company that did not do business in the United States, raising issues of territorial jurisdiction as well as infringement and dilution. </w:t>
      </w:r>
    </w:p>
    <w:p w:rsidR="00431229" w:rsidRDefault="00431229" w:rsidP="00073AC5">
      <w:pPr>
        <w:pStyle w:val="text"/>
      </w:pPr>
      <w:r w:rsidRPr="006662F5">
        <w:t>Turning to the determination of dilution, the court applied the factors it had “distilled.” Interestingly, in its discussion of similarity, it appeared to adopt the Second Circuit’s analysis from the TDRA, which eschews a need for “substantial” similarity, even though the Second Circuit expressly retained the substantial similarity requirement for claims under New York law.</w:t>
      </w:r>
      <w:r w:rsidRPr="006662F5">
        <w:rPr>
          <w:vertAlign w:val="superscript"/>
        </w:rPr>
        <w:footnoteReference w:id="281"/>
      </w:r>
      <w:r w:rsidRPr="006662F5">
        <w:t xml:space="preserve"> However, it found the two marks in question—Cash Store and The Cash Store—to be essentially identical, notwithstanding significant differences in the graphics accompanying the word marks, thus making the issue moot.</w:t>
      </w:r>
      <w:r w:rsidRPr="006662F5">
        <w:rPr>
          <w:vertAlign w:val="superscript"/>
        </w:rPr>
        <w:footnoteReference w:id="282"/>
      </w:r>
      <w:r w:rsidRPr="006662F5">
        <w:t xml:space="preserve"> Except for predatory intent, or intent to create an association, the court found that all of the factors favored the plaintiff. Its analysis of the factors of confusion and association was very </w:t>
      </w:r>
      <w:r w:rsidRPr="006662F5">
        <w:softHyphen/>
        <w:t>speculative—the court conceded that the plaintiff supplied no evidence of actual association or confusion—but the court thought both were “likely” to exist, given the near identity of the marks and the similarity of services offered by each side.</w:t>
      </w:r>
      <w:r w:rsidRPr="006662F5">
        <w:rPr>
          <w:vertAlign w:val="superscript"/>
        </w:rPr>
        <w:footnoteReference w:id="283"/>
      </w:r>
      <w:r w:rsidRPr="006662F5">
        <w:t xml:space="preserve"> In sum, the high degree of similarity appears to have been the key element in the determination of likelihood of dilution.</w:t>
      </w:r>
      <w:r w:rsidRPr="006662F5">
        <w:rPr>
          <w:vertAlign w:val="superscript"/>
        </w:rPr>
        <w:footnoteReference w:id="284"/>
      </w:r>
      <w:r w:rsidRPr="006662F5">
        <w:t xml:space="preserve"> </w:t>
      </w:r>
    </w:p>
    <w:p w:rsidR="00431229" w:rsidRPr="006662F5" w:rsidRDefault="00431229" w:rsidP="002706E6">
      <w:pPr>
        <w:pStyle w:val="text"/>
      </w:pPr>
      <w:r>
        <w:t>A second court, interpreting Delaware law, also examined the TDRA factors as relevant to the analysis of likelihood of dilution.</w:t>
      </w:r>
      <w:r>
        <w:rPr>
          <w:rStyle w:val="FootnoteReference"/>
        </w:rPr>
        <w:footnoteReference w:id="285"/>
      </w:r>
    </w:p>
    <w:p w:rsidR="00431229" w:rsidRPr="006662F5" w:rsidRDefault="00431229" w:rsidP="00073AC5">
      <w:pPr>
        <w:pStyle w:val="text"/>
      </w:pPr>
      <w:r w:rsidRPr="006662F5">
        <w:t>While the court</w:t>
      </w:r>
      <w:r>
        <w:t>s</w:t>
      </w:r>
      <w:r w:rsidRPr="006662F5">
        <w:t xml:space="preserve"> presented  logical reason</w:t>
      </w:r>
      <w:r>
        <w:t>s</w:t>
      </w:r>
      <w:r w:rsidRPr="006662F5">
        <w:t xml:space="preserve"> for including the TDRA factors in </w:t>
      </w:r>
      <w:r>
        <w:t>their analyses</w:t>
      </w:r>
      <w:r w:rsidRPr="006662F5">
        <w:t>, it is worth noting that the TDRA factors were developed for use with a statute that required a famous mark.</w:t>
      </w:r>
      <w:r w:rsidRPr="006662F5">
        <w:rPr>
          <w:vertAlign w:val="superscript"/>
        </w:rPr>
        <w:footnoteReference w:id="286"/>
      </w:r>
      <w:r w:rsidRPr="006662F5">
        <w:t xml:space="preserve"> Whether the factors are sufficiently restrictive when applied to a statute that does not require a famous mark is not clear.</w:t>
      </w:r>
      <w:r w:rsidRPr="006779F0">
        <w:rPr>
          <w:rStyle w:val="FootnoteReference"/>
        </w:rPr>
        <w:footnoteReference w:id="287"/>
      </w:r>
    </w:p>
    <w:p w:rsidR="00431229" w:rsidRPr="006662F5" w:rsidRDefault="00431229" w:rsidP="00073AC5">
      <w:pPr>
        <w:pStyle w:val="2ndLevelHeadA0"/>
        <w:rPr>
          <w:rFonts w:cs="Times New Roman"/>
        </w:rPr>
      </w:pPr>
      <w:r w:rsidRPr="006662F5">
        <w:rPr>
          <w:rFonts w:cs="Times New Roman"/>
        </w:rPr>
        <w:t>B.</w:t>
      </w:r>
      <w:r w:rsidRPr="006662F5">
        <w:rPr>
          <w:rFonts w:cs="Times New Roman"/>
        </w:rPr>
        <w:tab/>
        <w:t>Dilution by Tarnishment</w:t>
      </w:r>
    </w:p>
    <w:p w:rsidR="00431229" w:rsidRPr="006662F5" w:rsidRDefault="00431229" w:rsidP="00073AC5">
      <w:pPr>
        <w:pStyle w:val="3rdLevel2"/>
        <w:rPr>
          <w:rFonts w:cs="Times New Roman"/>
        </w:rPr>
      </w:pPr>
      <w:r w:rsidRPr="006662F5">
        <w:rPr>
          <w:rFonts w:cs="Times New Roman"/>
        </w:rPr>
        <w:t>1</w:t>
      </w:r>
      <w:r w:rsidRPr="006662F5">
        <w:rPr>
          <w:rFonts w:cs="Times New Roman"/>
          <w:i w:val="0"/>
          <w:iCs w:val="0"/>
        </w:rPr>
        <w:t>.</w:t>
      </w:r>
      <w:r w:rsidRPr="006662F5">
        <w:rPr>
          <w:rFonts w:cs="Times New Roman"/>
        </w:rPr>
        <w:tab/>
        <w:t>Tarnishment: Form of Dilution or Separate Tort?</w:t>
      </w:r>
    </w:p>
    <w:p w:rsidR="00431229" w:rsidRPr="006662F5" w:rsidRDefault="00431229" w:rsidP="00073AC5">
      <w:pPr>
        <w:pStyle w:val="text"/>
      </w:pPr>
      <w:r w:rsidRPr="006662F5">
        <w:t>Tarnishment is a form of dilution that occurs when the first user’s mark is employed by a second user in a way that associates the mark with unwholesome conduct, such as drugs, sex, or violence, or with poor quality merchandise.</w:t>
      </w:r>
      <w:r w:rsidRPr="006662F5">
        <w:rPr>
          <w:vertAlign w:val="superscript"/>
        </w:rPr>
        <w:footnoteReference w:id="288"/>
      </w:r>
      <w:r w:rsidRPr="006662F5">
        <w:t xml:space="preserve"> Even in the absence of confusion, the association of a mark with unwholesome activity can linger in the public’s consciousness, leaving the viewer with residual, if undefined, bad feelings about the mark. This, in turn, obscures or diminishes the positive feelings that previously existed in connection with the mark.</w:t>
      </w:r>
    </w:p>
    <w:p w:rsidR="00431229" w:rsidRPr="006662F5" w:rsidRDefault="00431229" w:rsidP="00073AC5">
      <w:pPr>
        <w:pStyle w:val="text"/>
      </w:pPr>
      <w:r w:rsidRPr="006662F5">
        <w:t xml:space="preserve">Although courts generally accept tarnishment as a form of dilution, there is some question about whether it should be treated as dilution or as a separate tort. For example, the </w:t>
      </w:r>
      <w:r w:rsidRPr="006662F5">
        <w:rPr>
          <w:i/>
          <w:iCs/>
        </w:rPr>
        <w:t>Restatement</w:t>
      </w:r>
      <w:r w:rsidRPr="006662F5">
        <w:t xml:space="preserve"> considers tarnishment and dilution to be “conceptually distinct,”</w:t>
      </w:r>
      <w:r w:rsidRPr="006662F5">
        <w:rPr>
          <w:vertAlign w:val="superscript"/>
        </w:rPr>
        <w:footnoteReference w:id="289"/>
      </w:r>
      <w:r w:rsidRPr="006662F5">
        <w:t xml:space="preserve"> although recognizing that both can undermine the selling power of the mark.</w:t>
      </w:r>
      <w:r w:rsidRPr="006662F5">
        <w:rPr>
          <w:vertAlign w:val="superscript"/>
        </w:rPr>
        <w:footnoteReference w:id="290"/>
      </w:r>
      <w:r w:rsidRPr="006662F5">
        <w:t xml:space="preserve"> The </w:t>
      </w:r>
      <w:r w:rsidRPr="006662F5">
        <w:rPr>
          <w:i/>
          <w:iCs/>
        </w:rPr>
        <w:t>Restatement</w:t>
      </w:r>
      <w:r w:rsidRPr="006662F5">
        <w:t xml:space="preserve"> also distinguishes between tarnishing uses that are trademark uses—namely, where the second user employs the mark as a source identifier for the second user’s goods or services—and non-trademark uses, which often include parodies of well-known marks. The tarnishing trademark uses are considered part of dilution, while non-trademark uses are actionable only if they are independently tortious.</w:t>
      </w:r>
      <w:r w:rsidRPr="006662F5">
        <w:rPr>
          <w:vertAlign w:val="superscript"/>
        </w:rPr>
        <w:footnoteReference w:id="291"/>
      </w:r>
      <w:r w:rsidRPr="006662F5">
        <w:t xml:space="preserve"> </w:t>
      </w:r>
    </w:p>
    <w:p w:rsidR="00431229" w:rsidRPr="006662F5" w:rsidRDefault="00431229" w:rsidP="00073AC5">
      <w:pPr>
        <w:pStyle w:val="text"/>
      </w:pPr>
      <w:r w:rsidRPr="006662F5">
        <w:t>When the Review Commission of the United States Trademark Association first proposed a federal dilution provision in 1987, it, too, regarded dilution and tarnishment as distinct torts.</w:t>
      </w:r>
      <w:r w:rsidRPr="006662F5">
        <w:rPr>
          <w:vertAlign w:val="superscript"/>
        </w:rPr>
        <w:footnoteReference w:id="292"/>
      </w:r>
      <w:r w:rsidRPr="006662F5">
        <w:t xml:space="preserve"> It proposed adding a separate subsection to Section 43(a) of the Lanham Act to deal with trademark tarnishment and disparagement, rather than including the concepts in proposed Section 43(c), the dilution proposal.</w:t>
      </w:r>
      <w:r w:rsidRPr="006662F5">
        <w:rPr>
          <w:vertAlign w:val="superscript"/>
        </w:rPr>
        <w:footnoteReference w:id="293"/>
      </w:r>
      <w:r w:rsidRPr="006662F5">
        <w:t xml:space="preserve"> However, when the FTDA was enacted in 1995, no separate tarnishment provision was created, and the drafters apparently assumed that tarnishment was included in the FTDA’s definition of dilution.</w:t>
      </w:r>
      <w:r w:rsidRPr="006662F5">
        <w:rPr>
          <w:vertAlign w:val="superscript"/>
        </w:rPr>
        <w:footnoteReference w:id="294"/>
      </w:r>
      <w:r w:rsidRPr="006662F5">
        <w:t xml:space="preserve"> </w:t>
      </w:r>
    </w:p>
    <w:p w:rsidR="00431229" w:rsidRPr="006662F5" w:rsidRDefault="00431229" w:rsidP="00073AC5">
      <w:pPr>
        <w:pStyle w:val="text"/>
      </w:pPr>
      <w:r w:rsidRPr="006662F5">
        <w:t>Conceptually, tarnishment, particularly tarnishment that does not involve the use of a mark as a trademark,</w:t>
      </w:r>
      <w:r w:rsidRPr="006662F5">
        <w:rPr>
          <w:vertAlign w:val="superscript"/>
        </w:rPr>
        <w:footnoteReference w:id="295"/>
      </w:r>
      <w:r w:rsidRPr="006662F5">
        <w:t xml:space="preserve"> is separate from the usual concept of dilution. The definition of dilution in the original FTDA and state statutes patterned after the 1992 or 1996 Model Bill focuses on the lessening of a mark’s source-identifying power.</w:t>
      </w:r>
      <w:r w:rsidRPr="006662F5">
        <w:rPr>
          <w:vertAlign w:val="superscript"/>
        </w:rPr>
        <w:footnoteReference w:id="296"/>
      </w:r>
      <w:r w:rsidRPr="006662F5">
        <w:t xml:space="preserve"> Assuming that no confusion exists, a tarnishing use normally does not diminish the mark’s source identification. Indeed, most tarnishment cases involve a use that depends on the continued ability of the mark to identify a unique source. Many cases involve parodies of trademarks, which would be ineffective if they caused a lessening of source identification.</w:t>
      </w:r>
      <w:r w:rsidRPr="006662F5">
        <w:rPr>
          <w:vertAlign w:val="superscript"/>
        </w:rPr>
        <w:footnoteReference w:id="297"/>
      </w:r>
      <w:r w:rsidRPr="006662F5">
        <w:t xml:space="preserve"> The real issue in such cases is a combination of loss of control of the mark’s message and a fear that the good reputation associated with the mark will be harmed by the tarnishing use. However, without some separate tort such as dilution, it would be difficult to fit many tarnishment cases into the rubric of confusion.</w:t>
      </w:r>
      <w:r w:rsidRPr="006662F5">
        <w:rPr>
          <w:vertAlign w:val="superscript"/>
        </w:rPr>
        <w:footnoteReference w:id="298"/>
      </w:r>
      <w:r w:rsidRPr="006662F5">
        <w:t xml:space="preserve"> Thus, it has been asserted that dilution, with its amorphous definition, is a useful vehicle to fill in a gap in trademark law, granting protection where traditional infringement cannot.</w:t>
      </w:r>
      <w:r w:rsidRPr="006662F5">
        <w:rPr>
          <w:vertAlign w:val="superscript"/>
        </w:rPr>
        <w:footnoteReference w:id="299"/>
      </w:r>
    </w:p>
    <w:p w:rsidR="00431229" w:rsidRPr="006662F5" w:rsidRDefault="00431229" w:rsidP="00073AC5">
      <w:pPr>
        <w:pStyle w:val="text"/>
      </w:pPr>
      <w:r w:rsidRPr="006662F5">
        <w:t>Another vehicle for imposing liability for tarnishing uses is the language contained in the 1964 Model Bill, permitting an injunction against “injury to business reputation.” Rather than using dilution, courts could use this language to justify liability for tarnishment.</w:t>
      </w:r>
      <w:r w:rsidRPr="006662F5">
        <w:rPr>
          <w:vertAlign w:val="superscript"/>
        </w:rPr>
        <w:footnoteReference w:id="300"/>
      </w:r>
      <w:r w:rsidRPr="006662F5">
        <w:t xml:space="preserve"> Indeed, the Supreme Court has suggested that this language is the basis for enjoining tarnishment under those laws.</w:t>
      </w:r>
      <w:r w:rsidRPr="006662F5">
        <w:rPr>
          <w:vertAlign w:val="superscript"/>
        </w:rPr>
        <w:footnoteReference w:id="301"/>
      </w:r>
      <w:r w:rsidRPr="006662F5">
        <w:t xml:space="preserve"> Some courts have used this route,</w:t>
      </w:r>
      <w:r w:rsidRPr="006662F5">
        <w:rPr>
          <w:vertAlign w:val="superscript"/>
        </w:rPr>
        <w:footnoteReference w:id="302"/>
      </w:r>
      <w:r w:rsidRPr="006662F5">
        <w:t xml:space="preserve"> but most simply group tarnishment with other forms of dilution. Moreover, state statutes patterned after the 1992 or 1996 Model Bills do not contain the “injury to business reputation” language.</w:t>
      </w:r>
      <w:r w:rsidRPr="006662F5">
        <w:rPr>
          <w:vertAlign w:val="superscript"/>
        </w:rPr>
        <w:t xml:space="preserve"> </w:t>
      </w:r>
      <w:r w:rsidRPr="006662F5">
        <w:rPr>
          <w:vertAlign w:val="superscript"/>
        </w:rPr>
        <w:footnoteReference w:id="303"/>
      </w:r>
    </w:p>
    <w:p w:rsidR="00431229" w:rsidRPr="006662F5" w:rsidRDefault="00431229" w:rsidP="00073AC5">
      <w:pPr>
        <w:pStyle w:val="text"/>
      </w:pPr>
      <w:r w:rsidRPr="006662F5">
        <w:t>Conceptual objections aside, the TDRA has made it clear that tarnishment is included in the federal definition of dilution. The TDRA defines two categories of dilution: dilution by blurring and dilution by tarnishment. Dilution by tarnishment is defined as an “association arising from the similarity between a mark or trade name and a famous mark that harms the reputation of the famous mark.”</w:t>
      </w:r>
      <w:r w:rsidRPr="006662F5">
        <w:rPr>
          <w:vertAlign w:val="superscript"/>
        </w:rPr>
        <w:footnoteReference w:id="304"/>
      </w:r>
      <w:r w:rsidRPr="006662F5">
        <w:t xml:space="preserve"> The 2007 revisions to the Model Bill adopted the TDRA categories and its definition of tarnishment.</w:t>
      </w:r>
      <w:r w:rsidRPr="006662F5">
        <w:rPr>
          <w:vertAlign w:val="superscript"/>
        </w:rPr>
        <w:footnoteReference w:id="305"/>
      </w:r>
    </w:p>
    <w:p w:rsidR="00431229" w:rsidRPr="006662F5" w:rsidRDefault="00431229" w:rsidP="00073AC5">
      <w:pPr>
        <w:pStyle w:val="3rdLevelHead1"/>
        <w:rPr>
          <w:rFonts w:cs="Times New Roman"/>
        </w:rPr>
      </w:pPr>
      <w:r w:rsidRPr="006662F5">
        <w:rPr>
          <w:rFonts w:cs="Times New Roman"/>
        </w:rPr>
        <w:t>2</w:t>
      </w:r>
      <w:r w:rsidRPr="006662F5">
        <w:rPr>
          <w:rFonts w:cs="Times New Roman"/>
          <w:i w:val="0"/>
          <w:iCs w:val="0"/>
        </w:rPr>
        <w:t>.</w:t>
      </w:r>
      <w:r w:rsidRPr="006662F5">
        <w:rPr>
          <w:rFonts w:cs="Times New Roman"/>
        </w:rPr>
        <w:tab/>
        <w:t>The 1992 and 1996 Model Bill Definition of Dilution: Does it Include Tarnishment?</w:t>
      </w:r>
    </w:p>
    <w:p w:rsidR="00431229" w:rsidRPr="006662F5" w:rsidRDefault="00431229" w:rsidP="00073AC5">
      <w:pPr>
        <w:pStyle w:val="text"/>
      </w:pPr>
      <w:r w:rsidRPr="006662F5">
        <w:t>State laws modeled after the 1964 Model State Trademark Bill universally have been interpreted to include claims for trademark tarnishment. Some courts have justified this claim by pointing to the language of the state statutes covering “injury to business reputation,”</w:t>
      </w:r>
      <w:r w:rsidRPr="006662F5">
        <w:rPr>
          <w:vertAlign w:val="superscript"/>
        </w:rPr>
        <w:footnoteReference w:id="306"/>
      </w:r>
      <w:r w:rsidRPr="006662F5">
        <w:t xml:space="preserve"> but most courts do not bother to point to specific statutory authorization for a tarnishment claim. However, the </w:t>
      </w:r>
      <w:r w:rsidRPr="006662F5">
        <w:rPr>
          <w:i/>
          <w:iCs/>
        </w:rPr>
        <w:t>Restatement</w:t>
      </w:r>
      <w:r w:rsidRPr="006662F5">
        <w:t xml:space="preserve"> regards tarnishment as a claim that is distinct from dilution.</w:t>
      </w:r>
      <w:r w:rsidRPr="006662F5">
        <w:rPr>
          <w:vertAlign w:val="superscript"/>
        </w:rPr>
        <w:footnoteReference w:id="307"/>
      </w:r>
      <w:r w:rsidRPr="006662F5">
        <w:t xml:space="preserve"> The 2007 Model Bill specifically allows claims for dilution by tarnishment.</w:t>
      </w:r>
    </w:p>
    <w:p w:rsidR="00431229" w:rsidRPr="006662F5" w:rsidRDefault="00431229" w:rsidP="00073AC5">
      <w:pPr>
        <w:pStyle w:val="text"/>
      </w:pPr>
      <w:r w:rsidRPr="006662F5">
        <w:t>The statutory definition of dilution in the 1992 and 1996 Model Bills is the same as that in the original FTDA. In addition to specifically limiting its coverage to “famous” marks, the Model Bills define dilution as follows:</w:t>
      </w:r>
    </w:p>
    <w:p w:rsidR="00431229" w:rsidRPr="006662F5" w:rsidRDefault="00431229" w:rsidP="00073AC5">
      <w:pPr>
        <w:pStyle w:val="Blockquoteflush"/>
        <w:spacing w:after="120"/>
      </w:pPr>
      <w:r w:rsidRPr="006662F5">
        <w:t>the term “dilution” means the lessening of the capacity of a famous mark to identify and distinguish goods or services, regardless of the presence or absence of—</w:t>
      </w:r>
    </w:p>
    <w:p w:rsidR="00431229" w:rsidRPr="006662F5" w:rsidRDefault="00431229" w:rsidP="00073AC5">
      <w:pPr>
        <w:pStyle w:val="Blockquoteflush"/>
        <w:spacing w:before="0" w:after="120"/>
      </w:pPr>
      <w:r w:rsidRPr="006662F5">
        <w:t>(1) competition between the owner of the famous mark and other parties, or</w:t>
      </w:r>
    </w:p>
    <w:p w:rsidR="00431229" w:rsidRPr="006662F5" w:rsidRDefault="00431229" w:rsidP="00073AC5">
      <w:pPr>
        <w:pStyle w:val="Blockquoteflush"/>
        <w:spacing w:before="0"/>
      </w:pPr>
      <w:r w:rsidRPr="006662F5">
        <w:t>(2) likelihood of confusion, mistake, or deception.</w:t>
      </w:r>
      <w:r w:rsidRPr="006662F5">
        <w:rPr>
          <w:vertAlign w:val="superscript"/>
        </w:rPr>
        <w:footnoteReference w:id="308"/>
      </w:r>
    </w:p>
    <w:p w:rsidR="00431229" w:rsidRPr="006662F5" w:rsidRDefault="00431229" w:rsidP="00073AC5">
      <w:pPr>
        <w:pStyle w:val="textflush"/>
      </w:pPr>
      <w:r w:rsidRPr="006662F5">
        <w:t xml:space="preserve">Nothing in that definition directly refers to business reputation, trademark tarnishment, or trademark disparagement. The focus of the definition is the diminishment of the mark’s distinctiveness, or source-identifying power. </w:t>
      </w:r>
    </w:p>
    <w:p w:rsidR="00431229" w:rsidRPr="006662F5" w:rsidRDefault="00431229" w:rsidP="00073AC5">
      <w:pPr>
        <w:pStyle w:val="text"/>
      </w:pPr>
      <w:r w:rsidRPr="006662F5">
        <w:t xml:space="preserve">Tarnishment does not attack the distinctiveness of the mark. When the mark is associated with unsavory activity, it may diminish the good feelings that consumers have associated with that brand. However, the unsavory association does not mean that the consumer sees the mark as designating more than one </w:t>
      </w:r>
      <w:r w:rsidRPr="006662F5">
        <w:rPr>
          <w:i/>
          <w:iCs/>
        </w:rPr>
        <w:t>source</w:t>
      </w:r>
      <w:r w:rsidRPr="006662F5">
        <w:t>. At most, the consumer now sees the mark as sending conflicting signals about the quality of the goods or services provided by the single source. This is not to say that tarnishment causes no harm to a trademark. Instead, the harm is one that may not be covered by the Model Bill definition of dilution.</w:t>
      </w:r>
    </w:p>
    <w:p w:rsidR="00431229" w:rsidRPr="006662F5" w:rsidRDefault="00431229" w:rsidP="00073AC5">
      <w:pPr>
        <w:pStyle w:val="text"/>
      </w:pPr>
      <w:r w:rsidRPr="006662F5">
        <w:t>This problem has been recognized for a long time. When the United States Trademark Association (now the International Trademark Association) proposed a federal dilution statute in 1987, its proposal contemplated a separate trademark disparagement action under Section 43(a), not as part of a dilution action under the proposed Section 43(c).</w:t>
      </w:r>
      <w:r w:rsidRPr="006662F5">
        <w:rPr>
          <w:vertAlign w:val="superscript"/>
        </w:rPr>
        <w:footnoteReference w:id="309"/>
      </w:r>
      <w:r w:rsidRPr="006662F5">
        <w:t xml:space="preserve"> The original bill introduced in Congress (as part of the Trademark Law Revision Act) also contained a separate disparagement provision,</w:t>
      </w:r>
      <w:r w:rsidRPr="006662F5">
        <w:rPr>
          <w:vertAlign w:val="superscript"/>
        </w:rPr>
        <w:footnoteReference w:id="310"/>
      </w:r>
      <w:r w:rsidRPr="006662F5">
        <w:t xml:space="preserve"> but that provision was eliminated during the legislative process.</w:t>
      </w:r>
      <w:r w:rsidRPr="006662F5">
        <w:rPr>
          <w:vertAlign w:val="superscript"/>
        </w:rPr>
        <w:footnoteReference w:id="311"/>
      </w:r>
      <w:r w:rsidRPr="006662F5">
        <w:t xml:space="preserve"> When the bill that became the FTDA was introduced in 1995, it contained no separate disparagement section.</w:t>
      </w:r>
      <w:r w:rsidRPr="006662F5">
        <w:rPr>
          <w:vertAlign w:val="superscript"/>
        </w:rPr>
        <w:footnoteReference w:id="312"/>
      </w:r>
      <w:r w:rsidRPr="006662F5">
        <w:t xml:space="preserve"> However, the definition of dilution was so similar to the 1988 bill that one could conclude that trademark tarnishment was not intended to be covered by the FTDA.</w:t>
      </w:r>
    </w:p>
    <w:p w:rsidR="00431229" w:rsidRPr="006662F5" w:rsidRDefault="00431229" w:rsidP="00073AC5">
      <w:pPr>
        <w:pStyle w:val="text"/>
      </w:pPr>
      <w:r w:rsidRPr="006662F5">
        <w:t>When the FTDA was revived in 1995, witnesses testifying before Congress did not agree about whether the bill (H.R. 1295) encompassed a tarnishment claim.</w:t>
      </w:r>
      <w:r w:rsidRPr="006662F5">
        <w:rPr>
          <w:vertAlign w:val="superscript"/>
        </w:rPr>
        <w:footnoteReference w:id="313"/>
      </w:r>
      <w:r w:rsidRPr="006662F5">
        <w:t xml:space="preserve"> However, it is clear that the various witnesses favored a federal tarnishment claim.</w:t>
      </w:r>
      <w:r w:rsidRPr="006662F5">
        <w:rPr>
          <w:vertAlign w:val="superscript"/>
        </w:rPr>
        <w:footnoteReference w:id="314"/>
      </w:r>
      <w:r w:rsidRPr="006662F5">
        <w:t xml:space="preserve"> Moreover, it is clear that Congress believed that the definition included tarnishment. The House Report accompanying the FTDA bill states: “The purpose of H.R. 1295 [the dilution bill] is to protect famous trademarks from subsequent uses that blur the distinctiveness of the mark or </w:t>
      </w:r>
      <w:r w:rsidRPr="006662F5">
        <w:rPr>
          <w:i/>
          <w:iCs/>
        </w:rPr>
        <w:t>tarnish or disparage it. …</w:t>
      </w:r>
      <w:r w:rsidRPr="006662F5">
        <w:t>”</w:t>
      </w:r>
      <w:r w:rsidRPr="006662F5">
        <w:rPr>
          <w:vertAlign w:val="superscript"/>
        </w:rPr>
        <w:footnoteReference w:id="315"/>
      </w:r>
    </w:p>
    <w:p w:rsidR="00431229" w:rsidRPr="006662F5" w:rsidRDefault="00431229" w:rsidP="00073AC5">
      <w:pPr>
        <w:pStyle w:val="text"/>
      </w:pPr>
      <w:r w:rsidRPr="006662F5">
        <w:t>The same report, in a section-by-section analysis, states: “The definition [of dilution] is designed to encompass all forms of dilution recognized by the courts, including dilution by blurring, by tarnishment and disparagement, and by diminishment.”</w:t>
      </w:r>
      <w:r w:rsidRPr="006662F5">
        <w:rPr>
          <w:vertAlign w:val="superscript"/>
        </w:rPr>
        <w:footnoteReference w:id="316"/>
      </w:r>
    </w:p>
    <w:p w:rsidR="00431229" w:rsidRPr="006662F5" w:rsidRDefault="00431229" w:rsidP="00073AC5">
      <w:pPr>
        <w:pStyle w:val="text"/>
      </w:pPr>
      <w:r w:rsidRPr="006662F5">
        <w:t xml:space="preserve">Despite this legislative history, the Supreme Court, in its opinion in </w:t>
      </w:r>
      <w:r w:rsidRPr="006662F5">
        <w:rPr>
          <w:i/>
          <w:iCs/>
        </w:rPr>
        <w:t>Moseley v</w:t>
      </w:r>
      <w:r w:rsidRPr="006662F5">
        <w:t>.</w:t>
      </w:r>
      <w:r w:rsidRPr="006662F5">
        <w:rPr>
          <w:i/>
          <w:iCs/>
        </w:rPr>
        <w:t xml:space="preserve"> V Secret Catalogue, Inc</w:t>
      </w:r>
      <w:r w:rsidRPr="006662F5">
        <w:t>.,</w:t>
      </w:r>
      <w:r w:rsidRPr="006662F5">
        <w:rPr>
          <w:vertAlign w:val="superscript"/>
        </w:rPr>
        <w:footnoteReference w:id="317"/>
      </w:r>
      <w:r w:rsidRPr="006662F5">
        <w:t xml:space="preserve"> expressed skepticism about whether tarnishment is included in the original FTDA definition of dilution. In one part of its opinion, the Court pointed to language in the original Massachusetts dilution statute protecting against “[l]ikelihood of injury to business reputation,” commenting that it “expressly” protected against trademark tarnishment.</w:t>
      </w:r>
      <w:r w:rsidRPr="006662F5">
        <w:rPr>
          <w:vertAlign w:val="superscript"/>
        </w:rPr>
        <w:footnoteReference w:id="318"/>
      </w:r>
      <w:r w:rsidRPr="006662F5">
        <w:t xml:space="preserve"> The Court noted that the parties in </w:t>
      </w:r>
      <w:r w:rsidRPr="006662F5">
        <w:rPr>
          <w:i/>
          <w:iCs/>
        </w:rPr>
        <w:t>Moseley</w:t>
      </w:r>
      <w:r w:rsidRPr="006662F5">
        <w:t xml:space="preserve"> did not dispute that the FTDA protects against tarnishment </w:t>
      </w:r>
      <w:r w:rsidRPr="006662F5">
        <w:rPr>
          <w:i/>
          <w:iCs/>
        </w:rPr>
        <w:t>and</w:t>
      </w:r>
      <w:r w:rsidRPr="006662F5">
        <w:t xml:space="preserve"> that the legislative history seemed to include tarnishment within the scope of the FTDA.</w:t>
      </w:r>
      <w:r w:rsidRPr="006662F5">
        <w:rPr>
          <w:vertAlign w:val="superscript"/>
        </w:rPr>
        <w:footnoteReference w:id="319"/>
      </w:r>
      <w:r w:rsidRPr="006662F5">
        <w:t xml:space="preserve"> However, the Court went on to state:</w:t>
      </w:r>
    </w:p>
    <w:p w:rsidR="00431229" w:rsidRPr="006662F5" w:rsidRDefault="00431229" w:rsidP="00073AC5">
      <w:pPr>
        <w:pStyle w:val="Blockquoteflush"/>
      </w:pPr>
      <w:r w:rsidRPr="006662F5">
        <w:t>Whether [tarnishment] is actually embraced by the statutory text, however, is another matter. Indeed, the contrast between the state statutes, which expressly refer to both “injury to business reputation” and to “dilution of the distinctive quality of a trade name or trademark,” and the federal statute which refers only to the latter, arguably supports a narrower reading of the FTDA.</w:t>
      </w:r>
      <w:r w:rsidRPr="006662F5">
        <w:rPr>
          <w:vertAlign w:val="superscript"/>
        </w:rPr>
        <w:footnoteReference w:id="320"/>
      </w:r>
    </w:p>
    <w:p w:rsidR="00431229" w:rsidRPr="006662F5" w:rsidRDefault="00431229" w:rsidP="00073AC5">
      <w:pPr>
        <w:pStyle w:val="text"/>
      </w:pPr>
      <w:r w:rsidRPr="006662F5">
        <w:t>Clearly, the Court was unconvinced, to say the least, that the language of the FTDA could be read to include tarnishment. Further, its narrow interpretation of the “causes dilution” phrase in the statute (the actual issue before the Court) is additional evidence that the Court would not have stretched the statutory definition of dilution to include tarnishment, despite the clear legislative history.</w:t>
      </w:r>
      <w:r w:rsidRPr="006662F5">
        <w:rPr>
          <w:vertAlign w:val="superscript"/>
        </w:rPr>
        <w:footnoteReference w:id="321"/>
      </w:r>
    </w:p>
    <w:p w:rsidR="00431229" w:rsidRPr="006662F5" w:rsidRDefault="00431229" w:rsidP="00073AC5">
      <w:pPr>
        <w:pStyle w:val="text"/>
      </w:pPr>
      <w:r w:rsidRPr="006662F5">
        <w:t xml:space="preserve">Surprisingly, however, lower courts did not pick up the hint from </w:t>
      </w:r>
      <w:r w:rsidRPr="006662F5">
        <w:rPr>
          <w:i/>
          <w:iCs/>
        </w:rPr>
        <w:t>Moseley</w:t>
      </w:r>
      <w:r w:rsidRPr="006662F5">
        <w:t>.</w:t>
      </w:r>
      <w:r w:rsidRPr="006662F5">
        <w:rPr>
          <w:vertAlign w:val="superscript"/>
        </w:rPr>
        <w:footnoteReference w:id="322"/>
      </w:r>
      <w:r w:rsidRPr="006662F5">
        <w:t xml:space="preserve"> Several post-</w:t>
      </w:r>
      <w:r w:rsidRPr="006662F5">
        <w:rPr>
          <w:i/>
          <w:iCs/>
        </w:rPr>
        <w:t>Moseley</w:t>
      </w:r>
      <w:r w:rsidRPr="006662F5">
        <w:t xml:space="preserve"> cases discussed tarnishment claims without even mentioning the possibility that such claims may not be actionable under the FTDA.</w:t>
      </w:r>
      <w:r w:rsidRPr="006662F5">
        <w:rPr>
          <w:vertAlign w:val="superscript"/>
        </w:rPr>
        <w:footnoteReference w:id="323"/>
      </w:r>
      <w:r w:rsidRPr="006662F5">
        <w:t xml:space="preserve"> It is unclear why the courts did not even raise the issue, given the language in </w:t>
      </w:r>
      <w:r w:rsidRPr="006662F5">
        <w:rPr>
          <w:i/>
          <w:iCs/>
        </w:rPr>
        <w:t>Moseley</w:t>
      </w:r>
      <w:r w:rsidRPr="006662F5">
        <w:t xml:space="preserve">. On the other hand, courts did seem to recognize that, at a minimum, </w:t>
      </w:r>
      <w:r w:rsidRPr="006662F5">
        <w:rPr>
          <w:i/>
          <w:iCs/>
        </w:rPr>
        <w:t>Moseley</w:t>
      </w:r>
      <w:r w:rsidRPr="006662F5">
        <w:t xml:space="preserve"> required a showing of actual dilution.</w:t>
      </w:r>
      <w:r w:rsidRPr="006662F5">
        <w:rPr>
          <w:vertAlign w:val="superscript"/>
        </w:rPr>
        <w:footnoteReference w:id="324"/>
      </w:r>
      <w:r w:rsidRPr="006662F5">
        <w:t xml:space="preserve"> One district court that did acknowledge the issue indicated (possibly incorrectly) that the law of its circuit still permitted claims for tarnishment.</w:t>
      </w:r>
      <w:r w:rsidRPr="006662F5">
        <w:rPr>
          <w:vertAlign w:val="superscript"/>
        </w:rPr>
        <w:footnoteReference w:id="325"/>
      </w:r>
    </w:p>
    <w:p w:rsidR="00431229" w:rsidRPr="006662F5" w:rsidRDefault="00431229" w:rsidP="00073AC5">
      <w:pPr>
        <w:pStyle w:val="text"/>
      </w:pPr>
      <w:r w:rsidRPr="006662F5">
        <w:t>By extension, the Court’s suggestion would cast doubt on the existence of a tarnishment claim under the state statutes patterned after the 1992 or 1996 Model Bill, whose definition of dilution is the same as the one in the original FTDA. There is one interesting twist on this interpretive dilemma, involving the Indiana dilution statute. Unique among the state laws, Indiana’s law states that it “applies only to fanciful marks, except in cases where the other person’s use tarnishes the reputation of the famous mark.”</w:t>
      </w:r>
      <w:r w:rsidRPr="006662F5">
        <w:rPr>
          <w:vertAlign w:val="superscript"/>
        </w:rPr>
        <w:footnoteReference w:id="326"/>
      </w:r>
      <w:r w:rsidRPr="006662F5">
        <w:t xml:space="preserve"> This clearly indicates that the Indiana legislature believed that tarnishment was covered by the statute (which, it may be noted, was enacted three years </w:t>
      </w:r>
      <w:r w:rsidRPr="006662F5">
        <w:rPr>
          <w:i/>
          <w:iCs/>
        </w:rPr>
        <w:t>after</w:t>
      </w:r>
      <w:r w:rsidRPr="006662F5">
        <w:t xml:space="preserve"> the Supreme Court’s decision). Whether that intent will be followed by courts is an interesting question—after all, Congress clearly intended that tarnishment was to be covered by the FTDA as it was originally drafted (although its intent was evident only in the legislative history, not in the statute itself</w:t>
      </w:r>
      <w:r w:rsidRPr="006662F5">
        <w:rPr>
          <w:vertAlign w:val="superscript"/>
        </w:rPr>
        <w:footnoteReference w:id="327"/>
      </w:r>
      <w:r w:rsidRPr="006662F5">
        <w:t>).</w:t>
      </w:r>
    </w:p>
    <w:p w:rsidR="00431229" w:rsidRPr="006662F5" w:rsidRDefault="00431229" w:rsidP="00073AC5">
      <w:pPr>
        <w:pStyle w:val="text"/>
      </w:pPr>
      <w:r w:rsidRPr="006662F5">
        <w:t>Whatever the rubric, courts have accepted tarnishment as a form of dilution, even under language equivalent to the 1992 and 1996 Model Bills. In general, tarnishment cases fall into two broad groups: parody/satire and poor-quality products (although some obvious overlap exists in the groups).</w:t>
      </w:r>
    </w:p>
    <w:p w:rsidR="00431229" w:rsidRPr="006662F5" w:rsidRDefault="00431229" w:rsidP="00073AC5">
      <w:pPr>
        <w:pStyle w:val="3rdLevelHead1"/>
        <w:rPr>
          <w:rFonts w:cs="Times New Roman"/>
        </w:rPr>
      </w:pPr>
      <w:r w:rsidRPr="006662F5">
        <w:rPr>
          <w:rFonts w:cs="Times New Roman"/>
        </w:rPr>
        <w:t>3</w:t>
      </w:r>
      <w:r w:rsidRPr="006662F5">
        <w:rPr>
          <w:rFonts w:cs="Times New Roman"/>
          <w:i w:val="0"/>
          <w:iCs w:val="0"/>
        </w:rPr>
        <w:t>.</w:t>
      </w:r>
      <w:r w:rsidRPr="006662F5">
        <w:rPr>
          <w:rFonts w:cs="Times New Roman"/>
        </w:rPr>
        <w:tab/>
        <w:t>Tarnishment by Parody, Satire, or Ridicule</w:t>
      </w:r>
    </w:p>
    <w:p w:rsidR="00431229" w:rsidRPr="006662F5" w:rsidRDefault="00431229" w:rsidP="00073AC5">
      <w:pPr>
        <w:pStyle w:val="text"/>
      </w:pPr>
      <w:r w:rsidRPr="006662F5">
        <w:t>The most successful group of dilution suits by trademark owners is against those who subject well-known marks to parody, satire, or some other form of ridicule. By their nature, such uses invite dilution suits. Virtually all such uses target very distinctive marks, since that is the point of the exercise. Virtually all of these situations involve devices that are similar to the well-known marks since, again, the point is to bring the original mark to mind and poke fun at it. Many seek to gain attention for their own product by use of such a parody, thus arguably acting in a predatory manner.</w:t>
      </w:r>
      <w:r w:rsidRPr="006662F5">
        <w:rPr>
          <w:vertAlign w:val="superscript"/>
        </w:rPr>
        <w:footnoteReference w:id="328"/>
      </w:r>
      <w:r w:rsidRPr="006662F5">
        <w:t xml:space="preserve"> Thus, if we were to apply the elements of dilution set forth in many blurring cases, almost all parodies would be diluting. However, in many state-law cases, the courts have refused relief in these circumstances. </w:t>
      </w:r>
    </w:p>
    <w:p w:rsidR="00431229" w:rsidRPr="006662F5" w:rsidRDefault="00431229" w:rsidP="00073AC5">
      <w:pPr>
        <w:pStyle w:val="text"/>
      </w:pPr>
      <w:r w:rsidRPr="006662F5">
        <w:t>This highlights two major limitations of tarnishment. First, the offending use must be likely to cause real harm to the first user’s reputation.</w:t>
      </w:r>
      <w:r w:rsidRPr="006662F5">
        <w:rPr>
          <w:vertAlign w:val="superscript"/>
        </w:rPr>
        <w:footnoteReference w:id="329"/>
      </w:r>
      <w:r w:rsidRPr="006662F5">
        <w:t xml:space="preserve"> If such harm is unlikely, then it must be viewed as a traditional blurring case. Because many parodies involve non-trademark uses, blurring will be difficult to demonstrate in many cases.</w:t>
      </w:r>
      <w:r w:rsidRPr="006662F5">
        <w:rPr>
          <w:vertAlign w:val="superscript"/>
        </w:rPr>
        <w:footnoteReference w:id="330"/>
      </w:r>
      <w:r w:rsidRPr="006662F5">
        <w:t xml:space="preserve"> Second, enjoining parodies often implicates free speech issues. Although courts have not been consistent about how to incorporate these concerns into dilution analysis, it is clear that such considerations lie in the background of most parody cases.</w:t>
      </w:r>
      <w:r w:rsidRPr="006662F5">
        <w:rPr>
          <w:vertAlign w:val="superscript"/>
        </w:rPr>
        <w:footnoteReference w:id="331"/>
      </w:r>
    </w:p>
    <w:p w:rsidR="00431229" w:rsidRPr="006662F5" w:rsidRDefault="00431229" w:rsidP="00073AC5">
      <w:pPr>
        <w:pStyle w:val="4thLevelHeada0"/>
        <w:rPr>
          <w:rFonts w:cs="Times New Roman"/>
        </w:rPr>
      </w:pPr>
      <w:r w:rsidRPr="006662F5">
        <w:rPr>
          <w:rFonts w:cs="Times New Roman"/>
        </w:rPr>
        <w:t>a.</w:t>
      </w:r>
      <w:r w:rsidRPr="006662F5">
        <w:rPr>
          <w:rFonts w:cs="Times New Roman"/>
        </w:rPr>
        <w:tab/>
        <w:t>Parodies Involving Sex or Drugs</w:t>
      </w:r>
    </w:p>
    <w:p w:rsidR="00431229" w:rsidRPr="006662F5" w:rsidRDefault="00431229" w:rsidP="00073AC5">
      <w:pPr>
        <w:pStyle w:val="text"/>
      </w:pPr>
      <w:r w:rsidRPr="006662F5">
        <w:t xml:space="preserve">By far the most likely scenarios for successful tarnishment claims are those that involve sexual or drug-oriented parodies. One of the earliest such cases is </w:t>
      </w:r>
      <w:r w:rsidRPr="006662F5">
        <w:rPr>
          <w:i/>
          <w:iCs/>
        </w:rPr>
        <w:t>Coca-Cola Co</w:t>
      </w:r>
      <w:r w:rsidRPr="006662F5">
        <w:t>.</w:t>
      </w:r>
      <w:r w:rsidRPr="006662F5">
        <w:rPr>
          <w:i/>
          <w:iCs/>
        </w:rPr>
        <w:t xml:space="preserve"> v</w:t>
      </w:r>
      <w:r w:rsidRPr="006662F5">
        <w:t>.</w:t>
      </w:r>
      <w:r w:rsidRPr="006662F5">
        <w:rPr>
          <w:i/>
          <w:iCs/>
        </w:rPr>
        <w:t xml:space="preserve"> Gemini Rising, Inc</w:t>
      </w:r>
      <w:r w:rsidRPr="006662F5">
        <w:t>.</w:t>
      </w:r>
      <w:r w:rsidRPr="006662F5">
        <w:rPr>
          <w:vertAlign w:val="superscript"/>
        </w:rPr>
        <w:footnoteReference w:id="332"/>
      </w:r>
      <w:r w:rsidRPr="006662F5">
        <w:t xml:space="preserve"> The defendant produced and sold a poster resembling the Coca-Cola trademark and trade dress,</w:t>
      </w:r>
      <w:r w:rsidRPr="006662F5">
        <w:rPr>
          <w:vertAlign w:val="superscript"/>
        </w:rPr>
        <w:footnoteReference w:id="333"/>
      </w:r>
      <w:r w:rsidRPr="006662F5">
        <w:t xml:space="preserve"> but with the words “Enjoy Cocaine” substituted for “Enjoy Coca-Cola.” The court found this both confusing and diluting.</w:t>
      </w:r>
      <w:r w:rsidRPr="006662F5">
        <w:rPr>
          <w:vertAlign w:val="superscript"/>
        </w:rPr>
        <w:footnoteReference w:id="334"/>
      </w:r>
      <w:r w:rsidRPr="006662F5">
        <w:t xml:space="preserve"> The court noted:</w:t>
      </w:r>
    </w:p>
    <w:p w:rsidR="00431229" w:rsidRPr="006662F5" w:rsidRDefault="00431229" w:rsidP="00073AC5">
      <w:pPr>
        <w:pStyle w:val="Blockquoteflush"/>
      </w:pPr>
      <w:r w:rsidRPr="006662F5">
        <w:t>Even though in this case there is no confusion of goods or passing off in the strict trademark sense, there is a sufficiently clear showing of the impairment of plaintiff’s mark as a selling device because of defendant’s use. The effect of that use as a dilution of plaintiff’s trademark rights is certainly a serious question calling for more deliberate investigation.</w:t>
      </w:r>
      <w:r w:rsidRPr="006662F5">
        <w:rPr>
          <w:vertAlign w:val="superscript"/>
        </w:rPr>
        <w:footnoteReference w:id="335"/>
      </w:r>
    </w:p>
    <w:p w:rsidR="00431229" w:rsidRPr="006662F5" w:rsidRDefault="00431229" w:rsidP="00073AC5">
      <w:pPr>
        <w:pStyle w:val="text"/>
      </w:pPr>
      <w:r w:rsidRPr="006662F5">
        <w:t xml:space="preserve">Several other courts have reached similar conclusions. In </w:t>
      </w:r>
      <w:r w:rsidRPr="006662F5">
        <w:rPr>
          <w:i/>
          <w:iCs/>
        </w:rPr>
        <w:t>Pillsbury Co</w:t>
      </w:r>
      <w:r w:rsidRPr="006662F5">
        <w:t>.</w:t>
      </w:r>
      <w:r w:rsidRPr="006662F5">
        <w:rPr>
          <w:i/>
          <w:iCs/>
        </w:rPr>
        <w:t xml:space="preserve"> v</w:t>
      </w:r>
      <w:r w:rsidRPr="006662F5">
        <w:t>.</w:t>
      </w:r>
      <w:r w:rsidRPr="006662F5">
        <w:rPr>
          <w:i/>
          <w:iCs/>
        </w:rPr>
        <w:t xml:space="preserve"> Milky Way Productions, Inc</w:t>
      </w:r>
      <w:r w:rsidRPr="006662F5">
        <w:t>.,</w:t>
      </w:r>
      <w:r w:rsidRPr="006662F5">
        <w:rPr>
          <w:vertAlign w:val="superscript"/>
        </w:rPr>
        <w:footnoteReference w:id="336"/>
      </w:r>
      <w:r w:rsidRPr="006662F5">
        <w:t xml:space="preserve"> the defendant included a picture of characters resembling Pillsbury’s Poppin’ Fresh and Poppie Fresh engaged in sexual acts in its </w:t>
      </w:r>
      <w:r w:rsidRPr="006662F5">
        <w:rPr>
          <w:i/>
          <w:iCs/>
        </w:rPr>
        <w:t>Screw</w:t>
      </w:r>
      <w:r w:rsidRPr="006662F5">
        <w:t xml:space="preserve"> magazine.</w:t>
      </w:r>
      <w:r w:rsidRPr="006662F5">
        <w:rPr>
          <w:vertAlign w:val="superscript"/>
        </w:rPr>
        <w:footnoteReference w:id="337"/>
      </w:r>
      <w:r w:rsidRPr="006662F5">
        <w:t xml:space="preserve"> Although the court found no likelihood of confusion,</w:t>
      </w:r>
      <w:r w:rsidRPr="006662F5">
        <w:rPr>
          <w:vertAlign w:val="superscript"/>
        </w:rPr>
        <w:footnoteReference w:id="338"/>
      </w:r>
      <w:r w:rsidRPr="006662F5">
        <w:t xml:space="preserve"> it found liability under Georgia’s antidilution statute.</w:t>
      </w:r>
      <w:r w:rsidRPr="006662F5">
        <w:rPr>
          <w:vertAlign w:val="superscript"/>
        </w:rPr>
        <w:footnoteReference w:id="339"/>
      </w:r>
      <w:r w:rsidRPr="006662F5">
        <w:t xml:space="preserve"> Other examples of successful tarnishment claims include a suit to enjoin a parody of both the American Express card and the phrase “Don’t Leave Home without It” that contained a condom;</w:t>
      </w:r>
      <w:r w:rsidRPr="006662F5">
        <w:rPr>
          <w:vertAlign w:val="superscript"/>
        </w:rPr>
        <w:footnoteReference w:id="340"/>
      </w:r>
      <w:r w:rsidRPr="006662F5">
        <w:t xml:space="preserve"> a suit by Coca-Cola against the maker of a powdered candy resembling cocaine, packaged in a bottle resembling a Coke bottle;</w:t>
      </w:r>
      <w:r w:rsidRPr="006662F5">
        <w:rPr>
          <w:vertAlign w:val="superscript"/>
        </w:rPr>
        <w:footnoteReference w:id="341"/>
      </w:r>
      <w:r w:rsidRPr="006662F5">
        <w:t xml:space="preserve"> and a sexually explicit movie featuring cheerleaders engaging in sexual activity wearing uniforms resembling those worn by the Dallas Cowboy Cheerleaders.</w:t>
      </w:r>
      <w:r w:rsidRPr="006662F5">
        <w:rPr>
          <w:vertAlign w:val="superscript"/>
        </w:rPr>
        <w:footnoteReference w:id="342"/>
      </w:r>
      <w:r w:rsidRPr="006662F5">
        <w:t xml:space="preserve"> The inclusion of distinctive marks or parodies of marks on sexually oriented Web sites has also led to several successful suits under the FTDA.</w:t>
      </w:r>
      <w:r w:rsidRPr="006662F5">
        <w:rPr>
          <w:vertAlign w:val="superscript"/>
        </w:rPr>
        <w:footnoteReference w:id="343"/>
      </w:r>
    </w:p>
    <w:p w:rsidR="00431229" w:rsidRPr="006662F5" w:rsidRDefault="00431229" w:rsidP="00073AC5">
      <w:pPr>
        <w:pStyle w:val="text"/>
      </w:pPr>
      <w:r w:rsidRPr="006662F5">
        <w:t xml:space="preserve">In </w:t>
      </w:r>
      <w:r w:rsidRPr="006662F5">
        <w:rPr>
          <w:i/>
          <w:iCs/>
        </w:rPr>
        <w:t>Pfizer, Inc</w:t>
      </w:r>
      <w:r w:rsidRPr="006662F5">
        <w:t>.</w:t>
      </w:r>
      <w:r w:rsidRPr="006662F5">
        <w:rPr>
          <w:i/>
          <w:iCs/>
        </w:rPr>
        <w:t xml:space="preserve"> v</w:t>
      </w:r>
      <w:r w:rsidRPr="006662F5">
        <w:t>.</w:t>
      </w:r>
      <w:r w:rsidRPr="006662F5">
        <w:rPr>
          <w:i/>
          <w:iCs/>
        </w:rPr>
        <w:t xml:space="preserve"> Sachs</w:t>
      </w:r>
      <w:r w:rsidRPr="006662F5">
        <w:t>,</w:t>
      </w:r>
      <w:r w:rsidRPr="006662F5">
        <w:rPr>
          <w:vertAlign w:val="superscript"/>
        </w:rPr>
        <w:footnoteReference w:id="344"/>
      </w:r>
      <w:r w:rsidRPr="006662F5">
        <w:t xml:space="preserve"> defendant put plaintiff’s Viagra mark on a missile, which it exhibited in various public locations, including an “adult entertainment exhibition,” in order to promote its advertising services business. The court found this tarnishing under federal and New York law.</w:t>
      </w:r>
      <w:r w:rsidRPr="006662F5">
        <w:rPr>
          <w:vertAlign w:val="superscript"/>
        </w:rPr>
        <w:footnoteReference w:id="345"/>
      </w:r>
      <w:r w:rsidRPr="006662F5">
        <w:t xml:space="preserve"> Here, the obvious commercial motivation probably made the rejection of a parody defense almost inevitable.</w:t>
      </w:r>
    </w:p>
    <w:p w:rsidR="00431229" w:rsidRPr="006662F5" w:rsidRDefault="00431229" w:rsidP="00073AC5">
      <w:pPr>
        <w:pStyle w:val="text"/>
      </w:pPr>
      <w:r w:rsidRPr="006662F5">
        <w:t xml:space="preserve">One notable failure of a dilution claim in a sexual context is </w:t>
      </w:r>
      <w:r w:rsidRPr="006662F5">
        <w:rPr>
          <w:i/>
          <w:iCs/>
        </w:rPr>
        <w:t>L</w:t>
      </w:r>
      <w:r w:rsidRPr="006662F5">
        <w:t>.</w:t>
      </w:r>
      <w:r w:rsidRPr="006662F5">
        <w:rPr>
          <w:i/>
          <w:iCs/>
        </w:rPr>
        <w:t>L</w:t>
      </w:r>
      <w:r w:rsidRPr="006662F5">
        <w:t>.</w:t>
      </w:r>
      <w:r w:rsidRPr="006662F5">
        <w:rPr>
          <w:i/>
          <w:iCs/>
        </w:rPr>
        <w:t xml:space="preserve"> Bean, Inc</w:t>
      </w:r>
      <w:r w:rsidRPr="006662F5">
        <w:t>.</w:t>
      </w:r>
      <w:r w:rsidRPr="006662F5">
        <w:rPr>
          <w:i/>
          <w:iCs/>
        </w:rPr>
        <w:t xml:space="preserve"> v</w:t>
      </w:r>
      <w:r w:rsidRPr="006662F5">
        <w:t>.</w:t>
      </w:r>
      <w:r w:rsidRPr="006662F5">
        <w:rPr>
          <w:i/>
          <w:iCs/>
        </w:rPr>
        <w:t xml:space="preserve"> Drake Publishers, Inc</w:t>
      </w:r>
      <w:r w:rsidRPr="006662F5">
        <w:t>.,</w:t>
      </w:r>
      <w:r w:rsidRPr="006662F5">
        <w:rPr>
          <w:vertAlign w:val="superscript"/>
        </w:rPr>
        <w:footnoteReference w:id="346"/>
      </w:r>
      <w:r w:rsidRPr="006662F5">
        <w:t xml:space="preserve"> where the court of appeals reversed a lower court decision and found that the defendant’s sexually oriented parody of the L.L Bean catalog was protected from a dilution claim by the First Amendment.</w:t>
      </w:r>
      <w:r w:rsidRPr="006662F5">
        <w:rPr>
          <w:vertAlign w:val="superscript"/>
        </w:rPr>
        <w:footnoteReference w:id="347"/>
      </w:r>
    </w:p>
    <w:p w:rsidR="00431229" w:rsidRPr="006662F5" w:rsidRDefault="00431229" w:rsidP="00073AC5">
      <w:pPr>
        <w:pStyle w:val="text"/>
      </w:pPr>
      <w:r w:rsidRPr="006662F5">
        <w:t>Interpreting the federal TDRA, the Sixth Circuit has created a rebuttable presumption that sexually oriented uses of another’s mark are likely to cause tarnishment.</w:t>
      </w:r>
      <w:r w:rsidRPr="006662F5">
        <w:rPr>
          <w:vertAlign w:val="superscript"/>
        </w:rPr>
        <w:footnoteReference w:id="348"/>
      </w:r>
      <w:r w:rsidRPr="006662F5">
        <w:t xml:space="preserve"> Whether this presumption would apply to state-law claims is not clear (in the Sixth Circuit </w:t>
      </w:r>
      <w:r w:rsidRPr="006662F5">
        <w:rPr>
          <w:i/>
          <w:iCs/>
        </w:rPr>
        <w:t xml:space="preserve">Moseley </w:t>
      </w:r>
      <w:r w:rsidRPr="006662F5">
        <w:t>case, the state had no dilution statute). Claims brought under state statutes patterned after the 1992 and 1996 Model Bills probably would require actual dilution, not just likelihood of dilution, and may not be subject to the same analysis. However, claims brought in the Sixth Circuit under laws patterned after the 1964 or 2007 Model Bills might be subject to a similar analysis as the TDRA; at present, no state in the Sixth Circuit has such a law.</w:t>
      </w:r>
    </w:p>
    <w:p w:rsidR="00431229" w:rsidRPr="006662F5" w:rsidRDefault="00431229" w:rsidP="00073AC5">
      <w:pPr>
        <w:pStyle w:val="4thLevelHeada0"/>
        <w:rPr>
          <w:rFonts w:cs="Times New Roman"/>
        </w:rPr>
      </w:pPr>
      <w:r w:rsidRPr="006662F5">
        <w:rPr>
          <w:rFonts w:cs="Times New Roman"/>
        </w:rPr>
        <w:t>b.</w:t>
      </w:r>
      <w:r w:rsidRPr="006662F5">
        <w:rPr>
          <w:rFonts w:cs="Times New Roman"/>
        </w:rPr>
        <w:tab/>
        <w:t>Parodies Not Involving Sex or Drugs</w:t>
      </w:r>
    </w:p>
    <w:p w:rsidR="00431229" w:rsidRPr="006662F5" w:rsidRDefault="00431229" w:rsidP="00073AC5">
      <w:pPr>
        <w:pStyle w:val="text"/>
      </w:pPr>
      <w:r w:rsidRPr="006662F5">
        <w:t xml:space="preserve">Removed from sex or drugs, dilution suits against parodies achieve far less success. For example, in </w:t>
      </w:r>
      <w:r w:rsidRPr="006662F5">
        <w:rPr>
          <w:i/>
          <w:iCs/>
        </w:rPr>
        <w:t>Tetley, Inc</w:t>
      </w:r>
      <w:r w:rsidRPr="006662F5">
        <w:t>.</w:t>
      </w:r>
      <w:r w:rsidRPr="006662F5">
        <w:rPr>
          <w:i/>
          <w:iCs/>
        </w:rPr>
        <w:t xml:space="preserve"> v</w:t>
      </w:r>
      <w:r w:rsidRPr="006662F5">
        <w:t>.</w:t>
      </w:r>
      <w:r w:rsidRPr="006662F5">
        <w:rPr>
          <w:i/>
          <w:iCs/>
        </w:rPr>
        <w:t xml:space="preserve"> Topps Chewing Gum, Inc</w:t>
      </w:r>
      <w:r w:rsidRPr="006662F5">
        <w:t>.,</w:t>
      </w:r>
      <w:r w:rsidRPr="006662F5">
        <w:rPr>
          <w:vertAlign w:val="superscript"/>
        </w:rPr>
        <w:footnoteReference w:id="349"/>
      </w:r>
      <w:r w:rsidRPr="006662F5">
        <w:t xml:space="preserve"> the plaintiff sued to enjoin distribution of defendant’s stickers that contained a design like that used on plaintiff’s tea bags, and the phrase Petly Flea Bags (a parodic reference to Tetley Tea Bags).</w:t>
      </w:r>
      <w:r w:rsidRPr="006662F5">
        <w:rPr>
          <w:vertAlign w:val="superscript"/>
        </w:rPr>
        <w:footnoteReference w:id="350"/>
      </w:r>
      <w:r w:rsidRPr="006662F5">
        <w:t xml:space="preserve"> However, the court found neither confusion nor dilution, noting the lack of any evidence of harm resulting from defendant’s stickers.</w:t>
      </w:r>
      <w:r w:rsidRPr="006662F5">
        <w:rPr>
          <w:vertAlign w:val="superscript"/>
        </w:rPr>
        <w:footnoteReference w:id="351"/>
      </w:r>
      <w:r w:rsidRPr="006662F5">
        <w:t xml:space="preserve"> In </w:t>
      </w:r>
      <w:r w:rsidRPr="006662F5">
        <w:rPr>
          <w:i/>
          <w:iCs/>
        </w:rPr>
        <w:t>Toho Co</w:t>
      </w:r>
      <w:r w:rsidRPr="006662F5">
        <w:t>.</w:t>
      </w:r>
      <w:r w:rsidRPr="006662F5">
        <w:rPr>
          <w:i/>
          <w:iCs/>
        </w:rPr>
        <w:t xml:space="preserve"> v</w:t>
      </w:r>
      <w:r w:rsidRPr="006662F5">
        <w:t>.</w:t>
      </w:r>
      <w:r w:rsidRPr="006662F5">
        <w:rPr>
          <w:i/>
          <w:iCs/>
        </w:rPr>
        <w:t xml:space="preserve"> Sears Roebuck &amp; Co</w:t>
      </w:r>
      <w:r w:rsidRPr="006662F5">
        <w:t>.,</w:t>
      </w:r>
      <w:r w:rsidRPr="006662F5">
        <w:rPr>
          <w:vertAlign w:val="superscript"/>
        </w:rPr>
        <w:footnoteReference w:id="352"/>
      </w:r>
      <w:r w:rsidRPr="006662F5">
        <w:t xml:space="preserve"> the Ninth Circuit refused to enjoin the use of Bagzilla as a name for defendant’s garbage bags when a suit was brought by the producers of Godzilla movies.</w:t>
      </w:r>
      <w:r w:rsidRPr="006662F5">
        <w:rPr>
          <w:vertAlign w:val="superscript"/>
        </w:rPr>
        <w:footnoteReference w:id="353"/>
      </w:r>
      <w:r w:rsidRPr="006662F5">
        <w:t xml:space="preserve"> Similarly, in </w:t>
      </w:r>
      <w:r w:rsidRPr="006662F5">
        <w:rPr>
          <w:i/>
          <w:iCs/>
        </w:rPr>
        <w:t>Black Dog Tavern Co</w:t>
      </w:r>
      <w:r w:rsidRPr="006662F5">
        <w:t>.</w:t>
      </w:r>
      <w:r w:rsidRPr="006662F5">
        <w:rPr>
          <w:i/>
          <w:iCs/>
        </w:rPr>
        <w:t xml:space="preserve"> v</w:t>
      </w:r>
      <w:r w:rsidRPr="006662F5">
        <w:t>.</w:t>
      </w:r>
      <w:r w:rsidRPr="006662F5">
        <w:rPr>
          <w:i/>
          <w:iCs/>
        </w:rPr>
        <w:t xml:space="preserve"> Hall</w:t>
      </w:r>
      <w:r w:rsidRPr="006662F5">
        <w:t>,</w:t>
      </w:r>
      <w:r w:rsidRPr="006662F5">
        <w:rPr>
          <w:vertAlign w:val="superscript"/>
        </w:rPr>
        <w:footnoteReference w:id="354"/>
      </w:r>
      <w:r w:rsidRPr="006662F5">
        <w:t xml:space="preserve"> the court rejected a dilution claim against a designer of T-shirts that parodied the mark (also used on T-shirts and novelty items) of plaintiff’s business.</w:t>
      </w:r>
      <w:r w:rsidRPr="006662F5">
        <w:rPr>
          <w:vertAlign w:val="superscript"/>
        </w:rPr>
        <w:footnoteReference w:id="355"/>
      </w:r>
      <w:r w:rsidRPr="006662F5">
        <w:t xml:space="preserve"> The court cited a lack of evidence of any potential harm to the plaintiff.</w:t>
      </w:r>
      <w:r w:rsidRPr="006662F5">
        <w:rPr>
          <w:vertAlign w:val="superscript"/>
        </w:rPr>
        <w:footnoteReference w:id="356"/>
      </w:r>
    </w:p>
    <w:p w:rsidR="00431229" w:rsidRPr="006662F5" w:rsidRDefault="00431229" w:rsidP="00073AC5">
      <w:pPr>
        <w:pStyle w:val="text"/>
      </w:pPr>
      <w:r w:rsidRPr="006662F5">
        <w:t xml:space="preserve">A more extensive treatment of the subject, with the same result, is found in </w:t>
      </w:r>
      <w:r w:rsidRPr="006662F5">
        <w:rPr>
          <w:i/>
          <w:iCs/>
        </w:rPr>
        <w:t>Hormel Foods Corp</w:t>
      </w:r>
      <w:r w:rsidRPr="006662F5">
        <w:t>.</w:t>
      </w:r>
      <w:r w:rsidRPr="006662F5">
        <w:rPr>
          <w:i/>
          <w:iCs/>
        </w:rPr>
        <w:t xml:space="preserve"> v</w:t>
      </w:r>
      <w:r w:rsidRPr="006662F5">
        <w:t>.</w:t>
      </w:r>
      <w:r w:rsidRPr="006662F5">
        <w:rPr>
          <w:i/>
          <w:iCs/>
        </w:rPr>
        <w:t xml:space="preserve"> Jim Henson Productions, Inc</w:t>
      </w:r>
      <w:r w:rsidRPr="006662F5">
        <w:t>.</w:t>
      </w:r>
      <w:r w:rsidRPr="006662F5">
        <w:rPr>
          <w:vertAlign w:val="superscript"/>
        </w:rPr>
        <w:footnoteReference w:id="357"/>
      </w:r>
      <w:r w:rsidRPr="006662F5">
        <w:t xml:space="preserve"> Hormel claimed that a character named Spa’am in the movie </w:t>
      </w:r>
      <w:r w:rsidRPr="006662F5">
        <w:rPr>
          <w:i/>
          <w:iCs/>
        </w:rPr>
        <w:t>Muppet Treasure Island</w:t>
      </w:r>
      <w:r w:rsidRPr="006662F5">
        <w:t xml:space="preserve"> diluted its Spam mark.</w:t>
      </w:r>
      <w:r w:rsidRPr="006662F5">
        <w:rPr>
          <w:vertAlign w:val="superscript"/>
        </w:rPr>
        <w:footnoteReference w:id="358"/>
      </w:r>
      <w:r w:rsidRPr="006662F5">
        <w:t xml:space="preserve"> The Second Circuit affirmed the trial court’s denial of relief. Although Hormel attempted to portray the Spa’am character, a wild boar, as an unwholesome entity, the court demurred, pointing out that there was no evidence that the character “is unhygienic or that [the] character places Hormel’s mark in an unsavory context.”</w:t>
      </w:r>
      <w:r w:rsidRPr="006662F5">
        <w:rPr>
          <w:vertAlign w:val="superscript"/>
        </w:rPr>
        <w:footnoteReference w:id="359"/>
      </w:r>
      <w:r w:rsidRPr="006662F5">
        <w:t xml:space="preserve"> The court noted further that the defendant’s merchandise would not compete directly with Hormel and that “the parody inheres in the product.”</w:t>
      </w:r>
      <w:r w:rsidRPr="006662F5">
        <w:rPr>
          <w:vertAlign w:val="superscript"/>
        </w:rPr>
        <w:footnoteReference w:id="360"/>
      </w:r>
    </w:p>
    <w:p w:rsidR="00431229" w:rsidRPr="006662F5" w:rsidRDefault="00431229" w:rsidP="00073AC5">
      <w:pPr>
        <w:pStyle w:val="text"/>
      </w:pPr>
      <w:r w:rsidRPr="006662F5">
        <w:t xml:space="preserve">Yet another unsuccessful dilution claim against a parody is </w:t>
      </w:r>
      <w:r w:rsidRPr="006662F5">
        <w:rPr>
          <w:i/>
          <w:iCs/>
        </w:rPr>
        <w:t>Jordache Enterprises, Inc</w:t>
      </w:r>
      <w:r w:rsidRPr="006662F5">
        <w:t>.</w:t>
      </w:r>
      <w:r w:rsidRPr="006662F5">
        <w:rPr>
          <w:i/>
          <w:iCs/>
        </w:rPr>
        <w:t xml:space="preserve"> v</w:t>
      </w:r>
      <w:r w:rsidRPr="006662F5">
        <w:t>.</w:t>
      </w:r>
      <w:r w:rsidRPr="006662F5">
        <w:rPr>
          <w:i/>
          <w:iCs/>
        </w:rPr>
        <w:t xml:space="preserve"> Hogg Wyld, Ltd</w:t>
      </w:r>
      <w:r w:rsidRPr="006662F5">
        <w:t>.</w:t>
      </w:r>
      <w:r w:rsidRPr="006662F5">
        <w:rPr>
          <w:vertAlign w:val="superscript"/>
        </w:rPr>
        <w:footnoteReference w:id="361"/>
      </w:r>
      <w:r w:rsidRPr="006662F5">
        <w:t xml:space="preserve"> The defendant designed and distributed designer jeans for larger women, using the name Lardashe.</w:t>
      </w:r>
      <w:r w:rsidRPr="006662F5">
        <w:rPr>
          <w:vertAlign w:val="superscript"/>
        </w:rPr>
        <w:footnoteReference w:id="362"/>
      </w:r>
      <w:r w:rsidRPr="006662F5">
        <w:t xml:space="preserve"> The court of appeals upheld the district court’s finding of no dilution under New Mexico law.</w:t>
      </w:r>
      <w:r w:rsidRPr="006662F5">
        <w:rPr>
          <w:vertAlign w:val="superscript"/>
        </w:rPr>
        <w:footnoteReference w:id="363"/>
      </w:r>
      <w:r w:rsidRPr="006662F5">
        <w:t xml:space="preserve"> The court first agreed that there was nothing unwholesome about the Lardashe name (despite its origins as a form of “lard ass”). The court also found that the parody dispelled any possible tarnishment resulting from the difference in quality between the two products.</w:t>
      </w:r>
      <w:r w:rsidRPr="006662F5">
        <w:rPr>
          <w:vertAlign w:val="superscript"/>
        </w:rPr>
        <w:footnoteReference w:id="364"/>
      </w:r>
    </w:p>
    <w:p w:rsidR="00431229" w:rsidRPr="006662F5" w:rsidRDefault="00431229" w:rsidP="00073AC5">
      <w:pPr>
        <w:pStyle w:val="text"/>
      </w:pPr>
      <w:r w:rsidRPr="006662F5">
        <w:rPr>
          <w:i/>
          <w:iCs/>
        </w:rPr>
        <w:t>Jordache</w:t>
      </w:r>
      <w:r w:rsidRPr="006662F5">
        <w:t xml:space="preserve"> is important for two other aspects of its opinion and facts. First, unlike many parody cases, the parody in question in </w:t>
      </w:r>
      <w:r w:rsidRPr="006662F5">
        <w:rPr>
          <w:i/>
          <w:iCs/>
        </w:rPr>
        <w:t>Jordache</w:t>
      </w:r>
      <w:r w:rsidRPr="006662F5">
        <w:t xml:space="preserve"> was used as a trademark for the product and was not the product itself.</w:t>
      </w:r>
      <w:r w:rsidRPr="006662F5">
        <w:rPr>
          <w:vertAlign w:val="superscript"/>
        </w:rPr>
        <w:footnoteReference w:id="365"/>
      </w:r>
      <w:r w:rsidRPr="006662F5">
        <w:t xml:space="preserve"> As noted earlier, the </w:t>
      </w:r>
      <w:r w:rsidRPr="006662F5">
        <w:rPr>
          <w:i/>
          <w:iCs/>
        </w:rPr>
        <w:t>Restatement</w:t>
      </w:r>
      <w:r w:rsidRPr="006662F5">
        <w:t xml:space="preserve"> takes the position that </w:t>
      </w:r>
      <w:r w:rsidRPr="006662F5">
        <w:rPr>
          <w:i/>
          <w:iCs/>
        </w:rPr>
        <w:t>only</w:t>
      </w:r>
      <w:r w:rsidRPr="006662F5">
        <w:t xml:space="preserve"> trademark uses are subject to liability for dilution by tarnishment.</w:t>
      </w:r>
      <w:r w:rsidRPr="006662F5">
        <w:rPr>
          <w:vertAlign w:val="superscript"/>
        </w:rPr>
        <w:footnoteReference w:id="366"/>
      </w:r>
      <w:r w:rsidRPr="006662F5">
        <w:t xml:space="preserve"> Second, the </w:t>
      </w:r>
      <w:r w:rsidRPr="006662F5">
        <w:rPr>
          <w:i/>
          <w:iCs/>
        </w:rPr>
        <w:t>Jordache</w:t>
      </w:r>
      <w:r w:rsidRPr="006662F5">
        <w:t xml:space="preserve"> opinion states clearly one of the problems raised by claims against parodies: rather than diminishing the identification of the mark with its actual source, a parody may reinforce that identification.</w:t>
      </w:r>
      <w:r w:rsidRPr="006662F5">
        <w:rPr>
          <w:vertAlign w:val="superscript"/>
        </w:rPr>
        <w:footnoteReference w:id="367"/>
      </w:r>
      <w:r w:rsidRPr="006662F5">
        <w:t xml:space="preserve"> This may be an important factor under the state statutes that define dilution as the lessening of a famous mark’s source-identifying ability.</w:t>
      </w:r>
      <w:r w:rsidRPr="006662F5">
        <w:rPr>
          <w:vertAlign w:val="superscript"/>
        </w:rPr>
        <w:footnoteReference w:id="368"/>
      </w:r>
    </w:p>
    <w:p w:rsidR="00431229" w:rsidRPr="006662F5" w:rsidRDefault="00431229" w:rsidP="00073AC5">
      <w:pPr>
        <w:pStyle w:val="text"/>
      </w:pPr>
      <w:r w:rsidRPr="006662F5">
        <w:t xml:space="preserve">A case analogous to </w:t>
      </w:r>
      <w:r w:rsidRPr="006662F5">
        <w:rPr>
          <w:i/>
          <w:iCs/>
        </w:rPr>
        <w:t>Jordache</w:t>
      </w:r>
      <w:r w:rsidRPr="006662F5">
        <w:t xml:space="preserve"> is </w:t>
      </w:r>
      <w:r w:rsidRPr="006662F5">
        <w:rPr>
          <w:i/>
          <w:iCs/>
        </w:rPr>
        <w:t>New York Stock Exchange, Inc</w:t>
      </w:r>
      <w:r w:rsidRPr="006662F5">
        <w:t>.</w:t>
      </w:r>
      <w:r w:rsidRPr="006662F5">
        <w:rPr>
          <w:i/>
          <w:iCs/>
        </w:rPr>
        <w:t xml:space="preserve"> v</w:t>
      </w:r>
      <w:r w:rsidRPr="006662F5">
        <w:t>.</w:t>
      </w:r>
      <w:r w:rsidRPr="006662F5">
        <w:rPr>
          <w:i/>
          <w:iCs/>
        </w:rPr>
        <w:t xml:space="preserve"> New York, New York Hotel, LLC</w:t>
      </w:r>
      <w:r w:rsidRPr="006662F5">
        <w:t>.</w:t>
      </w:r>
      <w:r w:rsidRPr="006662F5">
        <w:rPr>
          <w:vertAlign w:val="superscript"/>
        </w:rPr>
        <w:footnoteReference w:id="369"/>
      </w:r>
      <w:r w:rsidRPr="006662F5">
        <w:t xml:space="preserve"> The stock exchange (NYSE) sued the hotel, which operated a casino in Las Vegas, claiming that the hotel’s use of a façade shaped like the stock exchange building, together with the phrase “New York, New York $lot Exchange” as the title of its player’s club, diluted the NYSE’s marks.</w:t>
      </w:r>
      <w:r w:rsidRPr="006662F5">
        <w:rPr>
          <w:vertAlign w:val="superscript"/>
        </w:rPr>
        <w:footnoteReference w:id="370"/>
      </w:r>
      <w:r w:rsidRPr="006662F5">
        <w:t xml:space="preserve"> One dilution claim alleged that associating the NYSE with a casino tarnished the marks.</w:t>
      </w:r>
      <w:r w:rsidRPr="006662F5">
        <w:rPr>
          <w:vertAlign w:val="superscript"/>
        </w:rPr>
        <w:footnoteReference w:id="371"/>
      </w:r>
      <w:r w:rsidRPr="006662F5">
        <w:t xml:space="preserve"> Although the district court agreed that casino patrons would make some mental association between the casino’s façade and phrase and the NYSE, it rejected the tarnishment claim, finding no evidence that casino patrons were more likely to associate investing with gambling as a result of their attendance at the casino.</w:t>
      </w:r>
      <w:r w:rsidRPr="006662F5">
        <w:rPr>
          <w:vertAlign w:val="superscript"/>
        </w:rPr>
        <w:footnoteReference w:id="372"/>
      </w:r>
      <w:r w:rsidRPr="006662F5">
        <w:t xml:space="preserve"> It also pointed out that the NYSE itself had listed gambling interests on the exchange and had taken out advertising publicizing some of those companies.</w:t>
      </w:r>
      <w:r w:rsidRPr="006662F5">
        <w:rPr>
          <w:vertAlign w:val="superscript"/>
        </w:rPr>
        <w:footnoteReference w:id="373"/>
      </w:r>
      <w:r w:rsidRPr="006662F5">
        <w:t xml:space="preserve"> Thus, although this was an acknowledged “commercial” use to promote the defendant’s services, the court found no tarnishment.</w:t>
      </w:r>
      <w:r w:rsidRPr="006662F5">
        <w:rPr>
          <w:vertAlign w:val="superscript"/>
        </w:rPr>
        <w:footnoteReference w:id="374"/>
      </w:r>
      <w:r w:rsidRPr="006662F5">
        <w:t xml:space="preserve"> On appeal, the Second Circuit disagreed. It found that listing gambling companies could be viewed as different from engaging in gambling.</w:t>
      </w:r>
      <w:r w:rsidRPr="006662F5">
        <w:rPr>
          <w:vertAlign w:val="superscript"/>
        </w:rPr>
        <w:footnoteReference w:id="375"/>
      </w:r>
      <w:r w:rsidRPr="006662F5">
        <w:t xml:space="preserve"> Moreover, the court stated that the “humorous analogy” between the NYSE and gambling could be viewed as tarnishing.</w:t>
      </w:r>
      <w:r w:rsidRPr="006662F5">
        <w:rPr>
          <w:vertAlign w:val="superscript"/>
        </w:rPr>
        <w:footnoteReference w:id="376"/>
      </w:r>
    </w:p>
    <w:p w:rsidR="00431229" w:rsidRPr="006662F5" w:rsidRDefault="00431229" w:rsidP="00073AC5">
      <w:pPr>
        <w:pStyle w:val="text"/>
      </w:pPr>
      <w:r w:rsidRPr="006662F5">
        <w:t xml:space="preserve">In </w:t>
      </w:r>
      <w:r w:rsidRPr="006662F5">
        <w:rPr>
          <w:i/>
          <w:iCs/>
        </w:rPr>
        <w:t>Tommy Hilfiger Licensing, Inc</w:t>
      </w:r>
      <w:r w:rsidRPr="006662F5">
        <w:t>.</w:t>
      </w:r>
      <w:r w:rsidRPr="006662F5">
        <w:rPr>
          <w:i/>
          <w:iCs/>
        </w:rPr>
        <w:t xml:space="preserve"> v</w:t>
      </w:r>
      <w:r w:rsidRPr="006662F5">
        <w:t>.</w:t>
      </w:r>
      <w:r w:rsidRPr="006662F5">
        <w:rPr>
          <w:i/>
          <w:iCs/>
        </w:rPr>
        <w:t xml:space="preserve"> Nature Labs, LLC</w:t>
      </w:r>
      <w:r w:rsidRPr="006662F5">
        <w:t>,</w:t>
      </w:r>
      <w:r w:rsidRPr="006662F5">
        <w:rPr>
          <w:vertAlign w:val="superscript"/>
        </w:rPr>
        <w:footnoteReference w:id="377"/>
      </w:r>
      <w:r w:rsidRPr="006662F5">
        <w:t xml:space="preserve"> the defendant created a line of “pet perfumes” whose names parodied those of actual perfumes. The one in question was called Timmy Holedigger. The court rejected both tarnishment and blurring claims. The court found no tarnishment of the plaintiff’s Tommy Hilfiger mark, noting a lack of any evidence of harm to the mark.</w:t>
      </w:r>
      <w:r w:rsidRPr="006662F5">
        <w:rPr>
          <w:vertAlign w:val="superscript"/>
        </w:rPr>
        <w:footnoteReference w:id="378"/>
      </w:r>
      <w:r w:rsidRPr="006662F5">
        <w:t xml:space="preserve"> The court noted that the two parties were not competitors and found the defendant’s parody to be essentially harmless. Moreover, there was no evidence that defendant’s product was of low quality.</w:t>
      </w:r>
    </w:p>
    <w:p w:rsidR="00431229" w:rsidRPr="006662F5" w:rsidRDefault="00431229" w:rsidP="00073AC5">
      <w:pPr>
        <w:pStyle w:val="text"/>
      </w:pPr>
      <w:r w:rsidRPr="006662F5">
        <w:t>Two cases involving the use of branded products in movies came to similar conclusions. In one, the court rejected a claim that the depiction of a Caterpillar bulldozer, which was used by the “bad guys” to clear the jungle, was tarnishing.</w:t>
      </w:r>
      <w:r w:rsidRPr="006662F5">
        <w:rPr>
          <w:vertAlign w:val="superscript"/>
        </w:rPr>
        <w:footnoteReference w:id="379"/>
      </w:r>
      <w:r w:rsidRPr="006662F5">
        <w:t xml:space="preserve"> In the other, the court rejected a claim that a misuse of a Slip ’N Slide toy in a movie tarnished the mark.</w:t>
      </w:r>
      <w:r w:rsidRPr="006662F5">
        <w:rPr>
          <w:vertAlign w:val="superscript"/>
        </w:rPr>
        <w:footnoteReference w:id="380"/>
      </w:r>
    </w:p>
    <w:p w:rsidR="00431229" w:rsidRPr="006662F5" w:rsidRDefault="00431229" w:rsidP="00073AC5">
      <w:pPr>
        <w:pStyle w:val="text"/>
      </w:pPr>
      <w:r w:rsidRPr="006662F5">
        <w:t>In another “dog” case, the Fourth Circuit rejected a tarnishment claim (and a blurring claim) under the TDRA against the maker of dog toys with names that parodied well-known, high-fashion trademarks, such as a Chewy Vuiton chew toy shaped like a handbag.</w:t>
      </w:r>
      <w:r w:rsidRPr="006662F5">
        <w:rPr>
          <w:vertAlign w:val="superscript"/>
        </w:rPr>
        <w:footnoteReference w:id="381"/>
      </w:r>
      <w:r w:rsidRPr="006662F5">
        <w:t xml:space="preserve"> In the course of discussing the blurring claim, the court noted (as did the court in </w:t>
      </w:r>
      <w:r w:rsidRPr="006662F5">
        <w:rPr>
          <w:i/>
          <w:iCs/>
        </w:rPr>
        <w:t>Jordache</w:t>
      </w:r>
      <w:r w:rsidRPr="006662F5">
        <w:t>) that a parody may increase the renown of the parodied mark.</w:t>
      </w:r>
      <w:r w:rsidRPr="006662F5">
        <w:rPr>
          <w:vertAlign w:val="superscript"/>
        </w:rPr>
        <w:footnoteReference w:id="382"/>
      </w:r>
      <w:r w:rsidRPr="006662F5">
        <w:t xml:space="preserve"> And a district court rejected federal and state tarnishment (and blurring) claims against the maker of a Buttwiper dog toy,</w:t>
      </w:r>
      <w:r w:rsidRPr="006662F5">
        <w:rPr>
          <w:vertAlign w:val="superscript"/>
        </w:rPr>
        <w:footnoteReference w:id="383"/>
      </w:r>
      <w:r w:rsidRPr="006662F5">
        <w:t xml:space="preserve"> noting a lack of evidence of harm to the mark’s reputation.</w:t>
      </w:r>
      <w:r w:rsidRPr="006662F5">
        <w:rPr>
          <w:vertAlign w:val="superscript"/>
        </w:rPr>
        <w:footnoteReference w:id="384"/>
      </w:r>
    </w:p>
    <w:p w:rsidR="00431229" w:rsidRPr="006662F5" w:rsidRDefault="00431229" w:rsidP="00073AC5">
      <w:pPr>
        <w:pStyle w:val="text"/>
      </w:pPr>
      <w:r w:rsidRPr="006662F5">
        <w:t>In addition, a claim that various Big Dog T-shirt parodies of a well-known wrestling promotion company tarnished the company’s mark was rejected,</w:t>
      </w:r>
      <w:r w:rsidRPr="006662F5">
        <w:rPr>
          <w:vertAlign w:val="superscript"/>
        </w:rPr>
        <w:footnoteReference w:id="385"/>
      </w:r>
      <w:r w:rsidRPr="006662F5">
        <w:t xml:space="preserve"> as was a claim that parodies of the MasterCard “Priceless” series of advertisements by the Ralph Nader presidential campaign tarnished MasterCard.</w:t>
      </w:r>
      <w:r w:rsidRPr="006662F5">
        <w:rPr>
          <w:vertAlign w:val="superscript"/>
        </w:rPr>
        <w:footnoteReference w:id="386"/>
      </w:r>
    </w:p>
    <w:p w:rsidR="00431229" w:rsidRPr="006662F5" w:rsidRDefault="00431229" w:rsidP="00073AC5">
      <w:pPr>
        <w:pStyle w:val="text"/>
      </w:pPr>
      <w:r w:rsidRPr="006662F5">
        <w:t xml:space="preserve">There are several other cases in which parodies that were not sexually or drug-oriented have been enjoined under dilution laws. In </w:t>
      </w:r>
      <w:r w:rsidRPr="006662F5">
        <w:rPr>
          <w:i/>
          <w:iCs/>
        </w:rPr>
        <w:t>Gucci Shops Inc</w:t>
      </w:r>
      <w:r w:rsidRPr="006662F5">
        <w:t>.</w:t>
      </w:r>
      <w:r w:rsidRPr="006662F5">
        <w:rPr>
          <w:i/>
          <w:iCs/>
        </w:rPr>
        <w:t xml:space="preserve"> v</w:t>
      </w:r>
      <w:r w:rsidRPr="006662F5">
        <w:t>.</w:t>
      </w:r>
      <w:r w:rsidRPr="006662F5">
        <w:rPr>
          <w:i/>
          <w:iCs/>
        </w:rPr>
        <w:t xml:space="preserve"> R</w:t>
      </w:r>
      <w:r w:rsidRPr="006662F5">
        <w:t>.</w:t>
      </w:r>
      <w:r w:rsidRPr="006662F5">
        <w:rPr>
          <w:i/>
          <w:iCs/>
        </w:rPr>
        <w:t>H</w:t>
      </w:r>
      <w:r w:rsidRPr="006662F5">
        <w:t>.</w:t>
      </w:r>
      <w:r w:rsidRPr="006662F5">
        <w:rPr>
          <w:i/>
          <w:iCs/>
        </w:rPr>
        <w:t xml:space="preserve"> Macy &amp; Co</w:t>
      </w:r>
      <w:r w:rsidRPr="006662F5">
        <w:t>.,</w:t>
      </w:r>
      <w:r w:rsidRPr="006662F5">
        <w:rPr>
          <w:vertAlign w:val="superscript"/>
        </w:rPr>
        <w:footnoteReference w:id="387"/>
      </w:r>
      <w:r w:rsidRPr="006662F5">
        <w:t xml:space="preserve"> the court held that the defendant’s Gucchi Goo diaper bag tarnished the Gucci mark.</w:t>
      </w:r>
      <w:r w:rsidRPr="006662F5">
        <w:rPr>
          <w:vertAlign w:val="superscript"/>
        </w:rPr>
        <w:footnoteReference w:id="388"/>
      </w:r>
      <w:r w:rsidRPr="006662F5">
        <w:t xml:space="preserve"> In contrast to the </w:t>
      </w:r>
      <w:r w:rsidRPr="006662F5">
        <w:rPr>
          <w:i/>
          <w:iCs/>
        </w:rPr>
        <w:t>Tetley</w:t>
      </w:r>
      <w:r w:rsidRPr="006662F5">
        <w:t xml:space="preserve"> case, discussed earlier in this section, the court in </w:t>
      </w:r>
      <w:r w:rsidRPr="006662F5">
        <w:rPr>
          <w:i/>
          <w:iCs/>
        </w:rPr>
        <w:t>Original Appalachian Artworks, Inc</w:t>
      </w:r>
      <w:r w:rsidRPr="006662F5">
        <w:t>.</w:t>
      </w:r>
      <w:r w:rsidRPr="006662F5">
        <w:rPr>
          <w:i/>
          <w:iCs/>
        </w:rPr>
        <w:t xml:space="preserve"> v</w:t>
      </w:r>
      <w:r w:rsidRPr="006662F5">
        <w:t>.</w:t>
      </w:r>
      <w:r w:rsidRPr="006662F5">
        <w:rPr>
          <w:i/>
          <w:iCs/>
        </w:rPr>
        <w:t xml:space="preserve"> Topps Chewing Gum, Inc</w:t>
      </w:r>
      <w:r w:rsidRPr="006662F5">
        <w:t>.,</w:t>
      </w:r>
      <w:r w:rsidRPr="006662F5">
        <w:rPr>
          <w:vertAlign w:val="superscript"/>
        </w:rPr>
        <w:footnoteReference w:id="389"/>
      </w:r>
      <w:r w:rsidRPr="006662F5">
        <w:t xml:space="preserve"> held that the defendant’s Garbage Pail Kids cards and stickers—a parody of the plaintiff’s Cabbage Patch dolls—created an unwholesome association that diluted the Cabbage Patch mark.</w:t>
      </w:r>
      <w:r w:rsidRPr="006662F5">
        <w:rPr>
          <w:vertAlign w:val="superscript"/>
        </w:rPr>
        <w:footnoteReference w:id="390"/>
      </w:r>
      <w:r w:rsidRPr="006662F5">
        <w:t xml:space="preserve"> And in </w:t>
      </w:r>
      <w:r w:rsidRPr="006662F5">
        <w:rPr>
          <w:i/>
          <w:iCs/>
        </w:rPr>
        <w:t>Anheuser-Busch, Inc</w:t>
      </w:r>
      <w:r w:rsidRPr="006662F5">
        <w:t>.</w:t>
      </w:r>
      <w:r w:rsidRPr="006662F5">
        <w:rPr>
          <w:i/>
          <w:iCs/>
        </w:rPr>
        <w:t xml:space="preserve"> v</w:t>
      </w:r>
      <w:r w:rsidRPr="006662F5">
        <w:t>.</w:t>
      </w:r>
      <w:r w:rsidRPr="006662F5">
        <w:rPr>
          <w:i/>
          <w:iCs/>
        </w:rPr>
        <w:t xml:space="preserve"> Balducci Publications</w:t>
      </w:r>
      <w:r w:rsidRPr="006662F5">
        <w:t>,</w:t>
      </w:r>
      <w:r w:rsidRPr="006662F5">
        <w:rPr>
          <w:vertAlign w:val="superscript"/>
        </w:rPr>
        <w:footnoteReference w:id="391"/>
      </w:r>
      <w:r w:rsidRPr="006662F5">
        <w:t xml:space="preserve"> the maker of Michelob beer sued the publisher of a humor magazine over a parody advertisement for Michelob Oily contained in the magazine.</w:t>
      </w:r>
      <w:r w:rsidRPr="006662F5">
        <w:rPr>
          <w:vertAlign w:val="superscript"/>
        </w:rPr>
        <w:footnoteReference w:id="392"/>
      </w:r>
      <w:r w:rsidRPr="006662F5">
        <w:t xml:space="preserve"> The advertisement showed a beer can labeled “Michelob Oily” being poured onto a fish, and, in general, associated the Michelob products with oil and oil slicks.</w:t>
      </w:r>
      <w:r w:rsidRPr="006662F5">
        <w:rPr>
          <w:vertAlign w:val="superscript"/>
        </w:rPr>
        <w:footnoteReference w:id="393"/>
      </w:r>
      <w:r w:rsidRPr="006662F5">
        <w:t xml:space="preserve"> The Eighth Circuit found that the parody ad constituted dilution by tarnishment.</w:t>
      </w:r>
      <w:r w:rsidRPr="006662F5">
        <w:rPr>
          <w:vertAlign w:val="superscript"/>
        </w:rPr>
        <w:footnoteReference w:id="394"/>
      </w:r>
    </w:p>
    <w:p w:rsidR="00431229" w:rsidRPr="006662F5" w:rsidRDefault="00431229" w:rsidP="00073AC5">
      <w:pPr>
        <w:pStyle w:val="text"/>
      </w:pPr>
      <w:r w:rsidRPr="006662F5">
        <w:t xml:space="preserve">One can reconcile these conflicting holdings only with some difficulty. The </w:t>
      </w:r>
      <w:r w:rsidRPr="006662F5">
        <w:rPr>
          <w:i/>
          <w:iCs/>
        </w:rPr>
        <w:t>Anheuser-Busch</w:t>
      </w:r>
      <w:r w:rsidRPr="006662F5">
        <w:t xml:space="preserve"> case can be seen as a situation where the association of Michelob with oil slicks, which are completely unrelated to beer products, was deemed unnecessary for the parody. The </w:t>
      </w:r>
      <w:r w:rsidRPr="006662F5">
        <w:rPr>
          <w:i/>
          <w:iCs/>
        </w:rPr>
        <w:t>Gucci</w:t>
      </w:r>
      <w:r w:rsidRPr="006662F5">
        <w:t xml:space="preserve"> case, like </w:t>
      </w:r>
      <w:r w:rsidRPr="006662F5">
        <w:rPr>
          <w:i/>
          <w:iCs/>
        </w:rPr>
        <w:t>Jordache</w:t>
      </w:r>
      <w:r w:rsidRPr="006662F5">
        <w:t xml:space="preserve">, involved a trademark use of the parody mark. The similarity between the parody mark and the real mark, however, was more pronounced in </w:t>
      </w:r>
      <w:r w:rsidRPr="006662F5">
        <w:rPr>
          <w:i/>
          <w:iCs/>
        </w:rPr>
        <w:t>Gucci</w:t>
      </w:r>
      <w:r w:rsidRPr="006662F5">
        <w:t>, where the defendant used a very similar name and the colored stripe used by the plaintiff, whereas Lardashe is an obvious parody.</w:t>
      </w:r>
      <w:r w:rsidRPr="006662F5">
        <w:rPr>
          <w:vertAlign w:val="superscript"/>
        </w:rPr>
        <w:footnoteReference w:id="395"/>
      </w:r>
    </w:p>
    <w:p w:rsidR="00431229" w:rsidRPr="006662F5" w:rsidRDefault="00431229" w:rsidP="00073AC5">
      <w:pPr>
        <w:pStyle w:val="text"/>
      </w:pPr>
      <w:r w:rsidRPr="006662F5">
        <w:t>Tarnishment cases under the FTDA have seen similarly mixed results.</w:t>
      </w:r>
      <w:r w:rsidRPr="006662F5">
        <w:rPr>
          <w:vertAlign w:val="superscript"/>
        </w:rPr>
        <w:footnoteReference w:id="396"/>
      </w:r>
      <w:r w:rsidRPr="006662F5">
        <w:t xml:space="preserve"> In a few cases, particularly where services, rather than goods, were involved, courts have found tarnishment.</w:t>
      </w:r>
      <w:r w:rsidRPr="006662F5">
        <w:rPr>
          <w:vertAlign w:val="superscript"/>
        </w:rPr>
        <w:footnoteReference w:id="397"/>
      </w:r>
      <w:r w:rsidRPr="006662F5">
        <w:t xml:space="preserve"> In several other cases, courts have rejected tarnishment claims, particularly those based on poor-quality goods.</w:t>
      </w:r>
      <w:r w:rsidRPr="006662F5">
        <w:rPr>
          <w:vertAlign w:val="superscript"/>
        </w:rPr>
        <w:footnoteReference w:id="398"/>
      </w:r>
    </w:p>
    <w:p w:rsidR="00431229" w:rsidRPr="006662F5" w:rsidRDefault="00431229" w:rsidP="00073AC5">
      <w:pPr>
        <w:pStyle w:val="text"/>
      </w:pPr>
      <w:r w:rsidRPr="006662F5">
        <w:t xml:space="preserve">An unusual and noteworthy tarnishment situation is found in </w:t>
      </w:r>
      <w:r w:rsidRPr="006662F5">
        <w:rPr>
          <w:i/>
          <w:iCs/>
        </w:rPr>
        <w:t>Deere &amp; Co</w:t>
      </w:r>
      <w:r w:rsidRPr="006662F5">
        <w:t>.</w:t>
      </w:r>
      <w:r w:rsidRPr="006662F5">
        <w:rPr>
          <w:i/>
          <w:iCs/>
        </w:rPr>
        <w:t xml:space="preserve"> v</w:t>
      </w:r>
      <w:r w:rsidRPr="006662F5">
        <w:t>.</w:t>
      </w:r>
      <w:r w:rsidRPr="006662F5">
        <w:rPr>
          <w:i/>
          <w:iCs/>
        </w:rPr>
        <w:t xml:space="preserve"> MTD Products, Inc</w:t>
      </w:r>
      <w:r w:rsidRPr="006662F5">
        <w:t>.</w:t>
      </w:r>
      <w:r w:rsidRPr="006662F5">
        <w:rPr>
          <w:vertAlign w:val="superscript"/>
        </w:rPr>
        <w:footnoteReference w:id="399"/>
      </w:r>
      <w:r w:rsidRPr="006662F5">
        <w:t xml:space="preserve"> In </w:t>
      </w:r>
      <w:r w:rsidRPr="006662F5">
        <w:rPr>
          <w:i/>
          <w:iCs/>
        </w:rPr>
        <w:t>Deere</w:t>
      </w:r>
      <w:r w:rsidRPr="006662F5">
        <w:t>, a competitor used an animated depiction of Deere’s logo of a deer in a television commercial. The commercial showed the animated deer running in apparent fear from the competitor’s lawnmower.</w:t>
      </w:r>
      <w:r w:rsidRPr="006662F5">
        <w:rPr>
          <w:vertAlign w:val="superscript"/>
        </w:rPr>
        <w:footnoteReference w:id="400"/>
      </w:r>
      <w:r w:rsidRPr="006662F5">
        <w:t xml:space="preserve"> The Second Circuit initially agreed with the district court that the commercial did not constitute blurring.</w:t>
      </w:r>
      <w:r w:rsidRPr="006662F5">
        <w:rPr>
          <w:vertAlign w:val="superscript"/>
        </w:rPr>
        <w:footnoteReference w:id="401"/>
      </w:r>
      <w:r w:rsidRPr="006662F5">
        <w:t xml:space="preserve"> Nevertheless, it found dilution. Although recognizing that trademark parodies are often tolerated, it found this use less deserving of protection because it was used for a purely commercial purpose—to sell the defendant’s products, it was used by a competitor, and it was a more significant alteration of the mark than necessary to make a comparative point.</w:t>
      </w:r>
      <w:r w:rsidRPr="006662F5">
        <w:rPr>
          <w:vertAlign w:val="superscript"/>
        </w:rPr>
        <w:footnoteReference w:id="402"/>
      </w:r>
      <w:r w:rsidRPr="006662F5">
        <w:t xml:space="preserve"> The </w:t>
      </w:r>
      <w:r w:rsidRPr="006662F5">
        <w:rPr>
          <w:i/>
          <w:iCs/>
        </w:rPr>
        <w:t>Deere</w:t>
      </w:r>
      <w:r w:rsidRPr="006662F5">
        <w:t xml:space="preserve"> court did not categorize the claim as one of tarnishment, stating that “the blurring/tarnishment dichotomy does not necessarily represent the full range of uses that can dilute a mark. …”</w:t>
      </w:r>
      <w:r w:rsidRPr="006662F5">
        <w:rPr>
          <w:vertAlign w:val="superscript"/>
        </w:rPr>
        <w:footnoteReference w:id="403"/>
      </w:r>
      <w:r w:rsidRPr="006662F5">
        <w:t xml:space="preserve"> Indeed, it expressly stated that there was no tarnishment.</w:t>
      </w:r>
      <w:r w:rsidRPr="006662F5">
        <w:rPr>
          <w:vertAlign w:val="superscript"/>
        </w:rPr>
        <w:footnoteReference w:id="404"/>
      </w:r>
      <w:r w:rsidRPr="006662F5">
        <w:t xml:space="preserve"> However, in its subsequent opinion in </w:t>
      </w:r>
      <w:r w:rsidRPr="006662F5">
        <w:rPr>
          <w:i/>
          <w:iCs/>
        </w:rPr>
        <w:t>Hormel</w:t>
      </w:r>
      <w:r w:rsidRPr="006662F5">
        <w:t>,</w:t>
      </w:r>
      <w:r w:rsidRPr="006662F5">
        <w:rPr>
          <w:vertAlign w:val="superscript"/>
        </w:rPr>
        <w:footnoteReference w:id="405"/>
      </w:r>
      <w:r w:rsidRPr="006662F5">
        <w:t xml:space="preserve"> the Second Circuit asserted that its </w:t>
      </w:r>
      <w:r w:rsidRPr="006662F5">
        <w:rPr>
          <w:i/>
          <w:iCs/>
        </w:rPr>
        <w:t>Deere</w:t>
      </w:r>
      <w:r w:rsidRPr="006662F5">
        <w:t xml:space="preserve"> opinion “is better understood as a recognition of a broad view of tarnishment, where that doctrine had been sometimes narrowly confined.”</w:t>
      </w:r>
      <w:r w:rsidRPr="006662F5">
        <w:rPr>
          <w:vertAlign w:val="superscript"/>
        </w:rPr>
        <w:footnoteReference w:id="406"/>
      </w:r>
    </w:p>
    <w:p w:rsidR="00431229" w:rsidRDefault="00431229" w:rsidP="00073AC5">
      <w:pPr>
        <w:pStyle w:val="text"/>
      </w:pPr>
      <w:r w:rsidRPr="006662F5">
        <w:rPr>
          <w:i/>
          <w:iCs/>
        </w:rPr>
        <w:t>Deere</w:t>
      </w:r>
      <w:r w:rsidRPr="006662F5">
        <w:t xml:space="preserve"> presents a difficult problem for the dilution rationale. Defendant MTD did not use the altered Deere logo as its own mark, nor did it sell the altered logo as a product. Rather, its parody used the Deere logo to refer to Deere. Under the </w:t>
      </w:r>
      <w:r w:rsidRPr="006662F5">
        <w:rPr>
          <w:i/>
          <w:iCs/>
        </w:rPr>
        <w:t>Restatement</w:t>
      </w:r>
      <w:r w:rsidRPr="006662F5">
        <w:t xml:space="preserve"> formulation, the court should not have found dilution for this non-trademark use of Deere’s mark.</w:t>
      </w:r>
      <w:r w:rsidRPr="006662F5">
        <w:rPr>
          <w:vertAlign w:val="superscript"/>
        </w:rPr>
        <w:footnoteReference w:id="407"/>
      </w:r>
      <w:r w:rsidRPr="006662F5">
        <w:t xml:space="preserve"> And, as the </w:t>
      </w:r>
      <w:r w:rsidRPr="006662F5">
        <w:rPr>
          <w:i/>
          <w:iCs/>
        </w:rPr>
        <w:t>Deere</w:t>
      </w:r>
      <w:r w:rsidRPr="006662F5">
        <w:t xml:space="preserve"> court acknowledged, truthful comparative advertising traditionally has not been subject to infringement claims.</w:t>
      </w:r>
      <w:r w:rsidRPr="006662F5">
        <w:rPr>
          <w:vertAlign w:val="superscript"/>
        </w:rPr>
        <w:footnoteReference w:id="408"/>
      </w:r>
      <w:r w:rsidRPr="006662F5">
        <w:t xml:space="preserve"> </w:t>
      </w:r>
      <w:r w:rsidRPr="006662F5">
        <w:rPr>
          <w:i/>
          <w:iCs/>
        </w:rPr>
        <w:t>Deere</w:t>
      </w:r>
      <w:r w:rsidRPr="006662F5">
        <w:t>’s force appears to be limited to situations where the advertisement is placed by a true competitor;</w:t>
      </w:r>
      <w:r w:rsidRPr="006662F5">
        <w:rPr>
          <w:vertAlign w:val="superscript"/>
        </w:rPr>
        <w:footnoteReference w:id="409"/>
      </w:r>
      <w:r w:rsidRPr="006662F5">
        <w:t xml:space="preserve"> the use is a “commercial” one, to sell products; and the alteration both ridicules the mark (and by extension, its owner) </w:t>
      </w:r>
      <w:r w:rsidRPr="006662F5">
        <w:rPr>
          <w:i/>
          <w:iCs/>
        </w:rPr>
        <w:t>and</w:t>
      </w:r>
      <w:r w:rsidRPr="006662F5">
        <w:t xml:space="preserve"> is more extensive than necessary to make the point.</w:t>
      </w:r>
      <w:r w:rsidRPr="006662F5">
        <w:rPr>
          <w:vertAlign w:val="superscript"/>
        </w:rPr>
        <w:footnoteReference w:id="410"/>
      </w:r>
      <w:r w:rsidRPr="006662F5">
        <w:t xml:space="preserve"> Even within these limited boundaries, line drawing will be difficult.</w:t>
      </w:r>
      <w:r w:rsidRPr="006662F5">
        <w:rPr>
          <w:vertAlign w:val="superscript"/>
        </w:rPr>
        <w:footnoteReference w:id="411"/>
      </w:r>
    </w:p>
    <w:p w:rsidR="00431229" w:rsidRPr="006662F5" w:rsidRDefault="00431229" w:rsidP="00073AC5">
      <w:pPr>
        <w:pStyle w:val="text"/>
      </w:pPr>
      <w:r>
        <w:t>More recently, the Supreme Court of Georgia ruled that a law firm’s advertisement, seeking clients who believed they had been subject to poor treatment by the plaintiff nursing home, did not constitute tarnishment under Georgia law.</w:t>
      </w:r>
      <w:r>
        <w:rPr>
          <w:rStyle w:val="FootnoteReference"/>
        </w:rPr>
        <w:footnoteReference w:id="412"/>
      </w:r>
      <w:r>
        <w:t xml:space="preserve">  The court noted that “</w:t>
      </w:r>
      <w:r w:rsidRPr="00E44D89">
        <w:rPr>
          <w:color w:val="000000"/>
        </w:rPr>
        <w:t>not every unwelcome use of one’s trademark in the advertising of another provides a basis for a tarnishment claim.</w:t>
      </w:r>
      <w:r>
        <w:rPr>
          <w:color w:val="000000"/>
        </w:rPr>
        <w:t>”</w:t>
      </w:r>
      <w:r>
        <w:rPr>
          <w:rStyle w:val="FootnoteReference"/>
          <w:color w:val="000000"/>
        </w:rPr>
        <w:footnoteReference w:id="413"/>
      </w:r>
      <w:r>
        <w:rPr>
          <w:color w:val="000000"/>
        </w:rPr>
        <w:t xml:space="preserve">  In particular, where, as in this case, the use pointed to the plaintiff’s mark as an identifier of plaintiff in an advertisement, there could be no claim for tarnishment.</w:t>
      </w:r>
      <w:r>
        <w:rPr>
          <w:rStyle w:val="FootnoteReference"/>
          <w:color w:val="000000"/>
        </w:rPr>
        <w:footnoteReference w:id="414"/>
      </w:r>
    </w:p>
    <w:p w:rsidR="00431229" w:rsidRPr="006662F5" w:rsidRDefault="00431229" w:rsidP="00073AC5">
      <w:pPr>
        <w:pStyle w:val="text"/>
        <w:tabs>
          <w:tab w:val="left" w:pos="0"/>
          <w:tab w:val="left" w:pos="360"/>
          <w:tab w:val="left" w:pos="720"/>
          <w:tab w:val="left" w:pos="1440"/>
          <w:tab w:val="left" w:pos="2160"/>
          <w:tab w:val="left" w:pos="2880"/>
          <w:tab w:val="left" w:pos="3600"/>
          <w:tab w:val="left" w:pos="4320"/>
          <w:tab w:val="left" w:pos="5040"/>
          <w:tab w:val="left" w:pos="5760"/>
        </w:tabs>
      </w:pPr>
      <w:r w:rsidRPr="006662F5">
        <w:t>Moreover, the state statutes patterned after the 1996 Model Bill contain an exclusion from a dilution claim for “fair use” in comparative advertising.</w:t>
      </w:r>
      <w:r w:rsidRPr="006662F5">
        <w:rPr>
          <w:vertAlign w:val="superscript"/>
        </w:rPr>
        <w:footnoteReference w:id="415"/>
      </w:r>
      <w:r w:rsidRPr="006662F5">
        <w:t xml:space="preserve"> This exclusion may preclude a claim in a case like </w:t>
      </w:r>
      <w:r w:rsidRPr="006662F5">
        <w:rPr>
          <w:i/>
          <w:iCs/>
        </w:rPr>
        <w:t>Deere</w:t>
      </w:r>
      <w:r w:rsidRPr="006662F5">
        <w:t xml:space="preserve"> unless the use is deemed “unfair.”</w:t>
      </w:r>
      <w:r w:rsidRPr="006662F5">
        <w:rPr>
          <w:vertAlign w:val="superscript"/>
        </w:rPr>
        <w:footnoteReference w:id="416"/>
      </w:r>
      <w:r w:rsidRPr="006662F5">
        <w:t xml:space="preserve"> Under the state statutes that contain no defenses, particularly those worded like the 1964 Model Bill, the </w:t>
      </w:r>
      <w:r w:rsidRPr="006662F5">
        <w:rPr>
          <w:i/>
          <w:iCs/>
        </w:rPr>
        <w:t>Restatement</w:t>
      </w:r>
      <w:r w:rsidRPr="006662F5">
        <w:t xml:space="preserve"> position is preferable.</w:t>
      </w:r>
      <w:r w:rsidRPr="006662F5">
        <w:rPr>
          <w:vertAlign w:val="superscript"/>
        </w:rPr>
        <w:footnoteReference w:id="417"/>
      </w:r>
      <w:r w:rsidRPr="006662F5">
        <w:t xml:space="preserve"> The lack of any trademark use makes it unlikely that the selling power of the mark will be reduced, and courts should be careful about restricting comparative advertising when a parody is not an unwholesome one.</w:t>
      </w:r>
    </w:p>
    <w:p w:rsidR="00431229" w:rsidRPr="006662F5" w:rsidRDefault="00431229" w:rsidP="00073AC5">
      <w:pPr>
        <w:pStyle w:val="4thLevelHeada0"/>
        <w:rPr>
          <w:rFonts w:cs="Times New Roman"/>
        </w:rPr>
      </w:pPr>
      <w:r w:rsidRPr="006662F5">
        <w:rPr>
          <w:rFonts w:cs="Times New Roman"/>
        </w:rPr>
        <w:t>c.</w:t>
      </w:r>
      <w:r w:rsidRPr="006662F5">
        <w:rPr>
          <w:rFonts w:cs="Times New Roman"/>
        </w:rPr>
        <w:tab/>
        <w:t>First Amendment Considerations</w:t>
      </w:r>
    </w:p>
    <w:p w:rsidR="00431229" w:rsidRPr="006662F5" w:rsidRDefault="00431229" w:rsidP="00073AC5">
      <w:pPr>
        <w:pStyle w:val="text"/>
      </w:pPr>
      <w:r w:rsidRPr="006662F5">
        <w:t>Lurking in the background of all the parody cases is the First Amendment.</w:t>
      </w:r>
      <w:r w:rsidRPr="006662F5">
        <w:rPr>
          <w:vertAlign w:val="superscript"/>
        </w:rPr>
        <w:footnoteReference w:id="418"/>
      </w:r>
      <w:r w:rsidRPr="006662F5">
        <w:t xml:space="preserve"> To a greater or lesser degree, all parodies present some sort of message, implicating free speech interests.</w:t>
      </w:r>
      <w:r w:rsidRPr="006662F5">
        <w:rPr>
          <w:vertAlign w:val="superscript"/>
        </w:rPr>
        <w:t xml:space="preserve"> </w:t>
      </w:r>
      <w:r w:rsidRPr="006662F5">
        <w:rPr>
          <w:vertAlign w:val="superscript"/>
        </w:rPr>
        <w:footnoteReference w:id="419"/>
      </w:r>
      <w:r w:rsidRPr="006662F5">
        <w:t xml:space="preserve"> The various federal circuits have taken different approaches to the First Amendment analysis.</w:t>
      </w:r>
    </w:p>
    <w:p w:rsidR="00431229" w:rsidRPr="006662F5" w:rsidRDefault="00431229" w:rsidP="00073AC5">
      <w:pPr>
        <w:pStyle w:val="text"/>
      </w:pPr>
      <w:r w:rsidRPr="006662F5">
        <w:t xml:space="preserve">A leading case is </w:t>
      </w:r>
      <w:r w:rsidRPr="006662F5">
        <w:rPr>
          <w:i/>
          <w:iCs/>
        </w:rPr>
        <w:t>L</w:t>
      </w:r>
      <w:r w:rsidRPr="006662F5">
        <w:t>.</w:t>
      </w:r>
      <w:r w:rsidRPr="006662F5">
        <w:rPr>
          <w:i/>
          <w:iCs/>
        </w:rPr>
        <w:t>L</w:t>
      </w:r>
      <w:r w:rsidRPr="006662F5">
        <w:t>.</w:t>
      </w:r>
      <w:r w:rsidRPr="006662F5">
        <w:rPr>
          <w:i/>
          <w:iCs/>
        </w:rPr>
        <w:t xml:space="preserve"> Bean, Inc</w:t>
      </w:r>
      <w:r w:rsidRPr="006662F5">
        <w:t>.</w:t>
      </w:r>
      <w:r w:rsidRPr="006662F5">
        <w:rPr>
          <w:i/>
          <w:iCs/>
        </w:rPr>
        <w:t xml:space="preserve"> v</w:t>
      </w:r>
      <w:r w:rsidRPr="006662F5">
        <w:t>.</w:t>
      </w:r>
      <w:r w:rsidRPr="006662F5">
        <w:rPr>
          <w:i/>
          <w:iCs/>
        </w:rPr>
        <w:t xml:space="preserve"> Drake Publishers, Inc</w:t>
      </w:r>
      <w:r w:rsidRPr="006662F5">
        <w:t>.</w:t>
      </w:r>
      <w:r w:rsidRPr="006662F5">
        <w:rPr>
          <w:vertAlign w:val="superscript"/>
        </w:rPr>
        <w:footnoteReference w:id="420"/>
      </w:r>
      <w:r w:rsidRPr="006662F5">
        <w:t xml:space="preserve"> The defendant published a two-page spread in its </w:t>
      </w:r>
      <w:r w:rsidRPr="006662F5">
        <w:rPr>
          <w:i/>
          <w:iCs/>
        </w:rPr>
        <w:t>High Society</w:t>
      </w:r>
      <w:r w:rsidRPr="006662F5">
        <w:t xml:space="preserve"> magazine entitled “L.L. Bea</w:t>
      </w:r>
      <w:r w:rsidRPr="006662F5">
        <w:rPr>
          <w:i/>
          <w:iCs/>
        </w:rPr>
        <w:t>m</w:t>
      </w:r>
      <w:r w:rsidRPr="006662F5">
        <w:t>’s Back-to-School-Sex-Catalog.”</w:t>
      </w:r>
      <w:r w:rsidRPr="006662F5">
        <w:rPr>
          <w:vertAlign w:val="superscript"/>
        </w:rPr>
        <w:footnoteReference w:id="421"/>
      </w:r>
      <w:r w:rsidRPr="006662F5">
        <w:t xml:space="preserve"> The article included “nude models in sexually explicit positions” and “crudely humorous” items.</w:t>
      </w:r>
      <w:r w:rsidRPr="006662F5">
        <w:rPr>
          <w:vertAlign w:val="superscript"/>
        </w:rPr>
        <w:footnoteReference w:id="422"/>
      </w:r>
      <w:r w:rsidRPr="006662F5">
        <w:t xml:space="preserve"> The district court found a violation of Maine’s antidilution law and issued an injunction.</w:t>
      </w:r>
      <w:r w:rsidRPr="006662F5">
        <w:rPr>
          <w:vertAlign w:val="superscript"/>
        </w:rPr>
        <w:footnoteReference w:id="423"/>
      </w:r>
      <w:r w:rsidRPr="006662F5">
        <w:t xml:space="preserve"> The First Circuit reversed, determining that the injunction violated the First Amendment. The court first rejected the view that property (trademark) rights were superior to the defendant’s free speech rights.</w:t>
      </w:r>
      <w:r w:rsidRPr="006662F5">
        <w:rPr>
          <w:vertAlign w:val="superscript"/>
        </w:rPr>
        <w:footnoteReference w:id="424"/>
      </w:r>
      <w:r w:rsidRPr="006662F5">
        <w:t xml:space="preserve"> It then found that the use in question was “noncommercial” because it was a commentary on the symbolism of L.L. Bean rather than a trademark use to sell products.</w:t>
      </w:r>
      <w:r w:rsidRPr="006662F5">
        <w:rPr>
          <w:vertAlign w:val="superscript"/>
        </w:rPr>
        <w:footnoteReference w:id="425"/>
      </w:r>
      <w:r w:rsidRPr="006662F5">
        <w:t xml:space="preserve"> The court also noted the importance of allowing even harmful parodies to flourish, something a strict application of tarnishment would inhibit.</w:t>
      </w:r>
      <w:r w:rsidRPr="006662F5">
        <w:rPr>
          <w:vertAlign w:val="superscript"/>
        </w:rPr>
        <w:footnoteReference w:id="426"/>
      </w:r>
    </w:p>
    <w:p w:rsidR="00431229" w:rsidRPr="006662F5" w:rsidRDefault="00431229" w:rsidP="00073AC5">
      <w:pPr>
        <w:pStyle w:val="text"/>
      </w:pPr>
      <w:r w:rsidRPr="006662F5">
        <w:t xml:space="preserve">However, </w:t>
      </w:r>
      <w:r w:rsidRPr="006662F5">
        <w:rPr>
          <w:i/>
          <w:iCs/>
        </w:rPr>
        <w:t>Anheuser-Busch, Inc</w:t>
      </w:r>
      <w:r w:rsidRPr="006662F5">
        <w:t>.</w:t>
      </w:r>
      <w:r w:rsidRPr="006662F5">
        <w:rPr>
          <w:i/>
          <w:iCs/>
        </w:rPr>
        <w:t xml:space="preserve"> v</w:t>
      </w:r>
      <w:r w:rsidRPr="006662F5">
        <w:t>.</w:t>
      </w:r>
      <w:r w:rsidRPr="006662F5">
        <w:rPr>
          <w:i/>
          <w:iCs/>
        </w:rPr>
        <w:t xml:space="preserve"> Balducci Publications</w:t>
      </w:r>
      <w:r w:rsidRPr="006662F5">
        <w:rPr>
          <w:vertAlign w:val="superscript"/>
        </w:rPr>
        <w:footnoteReference w:id="427"/>
      </w:r>
      <w:r w:rsidRPr="006662F5">
        <w:t xml:space="preserve"> provides a somewhat contrasting view. The Eighth Circuit rejected the First Amendment defense to infringement and dilution claims against the defendant’s Michelob Oily parody, also contained in a magazine.</w:t>
      </w:r>
      <w:r w:rsidRPr="006662F5">
        <w:rPr>
          <w:vertAlign w:val="superscript"/>
        </w:rPr>
        <w:footnoteReference w:id="428"/>
      </w:r>
      <w:r w:rsidRPr="006662F5">
        <w:t xml:space="preserve"> Reversing the district court, the appeals court found likely confusion as well as dilution. The court’s determination that confusion was likely to occur played a key role in its rejection of the First Amendment defense.</w:t>
      </w:r>
      <w:r w:rsidRPr="006662F5">
        <w:rPr>
          <w:vertAlign w:val="superscript"/>
        </w:rPr>
        <w:footnoteReference w:id="429"/>
      </w:r>
      <w:r w:rsidRPr="006662F5">
        <w:t xml:space="preserve"> The </w:t>
      </w:r>
      <w:r w:rsidRPr="006662F5">
        <w:rPr>
          <w:i/>
          <w:iCs/>
        </w:rPr>
        <w:t>Balducci</w:t>
      </w:r>
      <w:r w:rsidRPr="006662F5">
        <w:t xml:space="preserve"> court distinguished </w:t>
      </w:r>
      <w:r w:rsidRPr="006662F5">
        <w:rPr>
          <w:i/>
          <w:iCs/>
        </w:rPr>
        <w:t>L</w:t>
      </w:r>
      <w:r w:rsidRPr="006662F5">
        <w:t>.</w:t>
      </w:r>
      <w:r w:rsidRPr="006662F5">
        <w:rPr>
          <w:i/>
          <w:iCs/>
        </w:rPr>
        <w:t>L</w:t>
      </w:r>
      <w:r w:rsidRPr="006662F5">
        <w:t>.</w:t>
      </w:r>
      <w:r w:rsidRPr="006662F5">
        <w:rPr>
          <w:i/>
          <w:iCs/>
        </w:rPr>
        <w:t xml:space="preserve"> Bean</w:t>
      </w:r>
      <w:r w:rsidRPr="006662F5">
        <w:t xml:space="preserve"> on this basis, and also cited the nature of the parody as a distinguishing factor. In </w:t>
      </w:r>
      <w:r w:rsidRPr="006662F5">
        <w:rPr>
          <w:i/>
          <w:iCs/>
        </w:rPr>
        <w:t>L</w:t>
      </w:r>
      <w:r w:rsidRPr="006662F5">
        <w:t>.</w:t>
      </w:r>
      <w:r w:rsidRPr="006662F5">
        <w:rPr>
          <w:i/>
          <w:iCs/>
        </w:rPr>
        <w:t>L</w:t>
      </w:r>
      <w:r w:rsidRPr="006662F5">
        <w:t>.</w:t>
      </w:r>
      <w:r w:rsidRPr="006662F5">
        <w:rPr>
          <w:i/>
          <w:iCs/>
        </w:rPr>
        <w:t xml:space="preserve"> Bean</w:t>
      </w:r>
      <w:r w:rsidRPr="006662F5">
        <w:t xml:space="preserve">, the parody was a commentary on the mark itself; the </w:t>
      </w:r>
      <w:r w:rsidRPr="006662F5">
        <w:rPr>
          <w:i/>
          <w:iCs/>
        </w:rPr>
        <w:t>Balducci</w:t>
      </w:r>
      <w:r w:rsidRPr="006662F5">
        <w:t xml:space="preserve"> opinion asserted that the parody in that case—which associated Michelob beer with an oil spill—was beyond what was needed to make the point.</w:t>
      </w:r>
      <w:r w:rsidRPr="006662F5">
        <w:rPr>
          <w:vertAlign w:val="superscript"/>
        </w:rPr>
        <w:footnoteReference w:id="430"/>
      </w:r>
      <w:r w:rsidRPr="006662F5">
        <w:t xml:space="preserve"> In addition, it cited the placement of the parody on the back of the magazine, where it would be more likely to be seen as a real advertisement, as opposed to the parody in </w:t>
      </w:r>
      <w:r w:rsidRPr="006662F5">
        <w:rPr>
          <w:i/>
          <w:iCs/>
        </w:rPr>
        <w:t>L</w:t>
      </w:r>
      <w:r w:rsidRPr="006662F5">
        <w:t>.</w:t>
      </w:r>
      <w:r w:rsidRPr="006662F5">
        <w:rPr>
          <w:i/>
          <w:iCs/>
        </w:rPr>
        <w:t>L</w:t>
      </w:r>
      <w:r w:rsidRPr="006662F5">
        <w:t>.</w:t>
      </w:r>
      <w:r w:rsidRPr="006662F5">
        <w:rPr>
          <w:i/>
          <w:iCs/>
        </w:rPr>
        <w:t xml:space="preserve"> Bean</w:t>
      </w:r>
      <w:r w:rsidRPr="006662F5">
        <w:t>, which was in the middle of the magazine.</w:t>
      </w:r>
      <w:r w:rsidRPr="006662F5">
        <w:rPr>
          <w:vertAlign w:val="superscript"/>
        </w:rPr>
        <w:footnoteReference w:id="431"/>
      </w:r>
    </w:p>
    <w:p w:rsidR="00431229" w:rsidRPr="006662F5" w:rsidRDefault="00431229" w:rsidP="00073AC5">
      <w:pPr>
        <w:pStyle w:val="text"/>
      </w:pPr>
      <w:r w:rsidRPr="006662F5">
        <w:t xml:space="preserve">A federal district court in California applied the </w:t>
      </w:r>
      <w:r w:rsidRPr="006662F5">
        <w:rPr>
          <w:i/>
          <w:iCs/>
        </w:rPr>
        <w:t>L</w:t>
      </w:r>
      <w:r w:rsidRPr="006662F5">
        <w:t>.</w:t>
      </w:r>
      <w:r w:rsidRPr="006662F5">
        <w:rPr>
          <w:i/>
          <w:iCs/>
        </w:rPr>
        <w:t>L</w:t>
      </w:r>
      <w:r w:rsidRPr="006662F5">
        <w:t>.</w:t>
      </w:r>
      <w:r w:rsidRPr="006662F5">
        <w:rPr>
          <w:i/>
          <w:iCs/>
        </w:rPr>
        <w:t xml:space="preserve"> Bean</w:t>
      </w:r>
      <w:r w:rsidRPr="006662F5">
        <w:t xml:space="preserve"> analysis to a dilution claim in </w:t>
      </w:r>
      <w:r w:rsidRPr="006662F5">
        <w:rPr>
          <w:i/>
          <w:iCs/>
        </w:rPr>
        <w:t>Mattel, Inc</w:t>
      </w:r>
      <w:r w:rsidRPr="006662F5">
        <w:t>.</w:t>
      </w:r>
      <w:r w:rsidRPr="006662F5">
        <w:rPr>
          <w:i/>
          <w:iCs/>
        </w:rPr>
        <w:t xml:space="preserve"> v</w:t>
      </w:r>
      <w:r w:rsidRPr="006662F5">
        <w:t>.</w:t>
      </w:r>
      <w:r w:rsidRPr="006662F5">
        <w:rPr>
          <w:i/>
          <w:iCs/>
        </w:rPr>
        <w:t xml:space="preserve"> MCA Records, Inc</w:t>
      </w:r>
      <w:r w:rsidRPr="006662F5">
        <w:t>.</w:t>
      </w:r>
      <w:r w:rsidRPr="006662F5">
        <w:rPr>
          <w:vertAlign w:val="superscript"/>
        </w:rPr>
        <w:footnoteReference w:id="432"/>
      </w:r>
      <w:r w:rsidRPr="006662F5">
        <w:t xml:space="preserve"> Mattel brought suit against the distributor of a song entitled “Barbie Girl,” which contained critical references to Barbie and Ken dolls.</w:t>
      </w:r>
      <w:r w:rsidRPr="006662F5">
        <w:rPr>
          <w:vertAlign w:val="superscript"/>
        </w:rPr>
        <w:footnoteReference w:id="433"/>
      </w:r>
      <w:r w:rsidRPr="006662F5">
        <w:t xml:space="preserve"> The court found the </w:t>
      </w:r>
      <w:r w:rsidRPr="006662F5">
        <w:rPr>
          <w:i/>
          <w:iCs/>
        </w:rPr>
        <w:t>L</w:t>
      </w:r>
      <w:r w:rsidRPr="006662F5">
        <w:t>.</w:t>
      </w:r>
      <w:r w:rsidRPr="006662F5">
        <w:rPr>
          <w:i/>
          <w:iCs/>
        </w:rPr>
        <w:t>L</w:t>
      </w:r>
      <w:r w:rsidRPr="006662F5">
        <w:t>.</w:t>
      </w:r>
      <w:r w:rsidRPr="006662F5">
        <w:rPr>
          <w:i/>
          <w:iCs/>
        </w:rPr>
        <w:t xml:space="preserve"> Bean</w:t>
      </w:r>
      <w:r w:rsidRPr="006662F5">
        <w:t xml:space="preserve"> analysis applicable.</w:t>
      </w:r>
      <w:r w:rsidRPr="006662F5">
        <w:rPr>
          <w:vertAlign w:val="superscript"/>
        </w:rPr>
        <w:footnoteReference w:id="434"/>
      </w:r>
      <w:r w:rsidRPr="006662F5">
        <w:t xml:space="preserve"> As in </w:t>
      </w:r>
      <w:r w:rsidRPr="006662F5">
        <w:rPr>
          <w:i/>
          <w:iCs/>
        </w:rPr>
        <w:t>L</w:t>
      </w:r>
      <w:r w:rsidRPr="006662F5">
        <w:t>.</w:t>
      </w:r>
      <w:r w:rsidRPr="006662F5">
        <w:rPr>
          <w:i/>
          <w:iCs/>
        </w:rPr>
        <w:t>L</w:t>
      </w:r>
      <w:r w:rsidRPr="006662F5">
        <w:t>.</w:t>
      </w:r>
      <w:r w:rsidRPr="006662F5">
        <w:rPr>
          <w:i/>
          <w:iCs/>
        </w:rPr>
        <w:t xml:space="preserve"> Bean</w:t>
      </w:r>
      <w:r w:rsidRPr="006662F5">
        <w:t>, the court noted that the point of the song was to comment on the values represented by Barbie, rather than to appropriate Barbie as a mark to sell its own wares.</w:t>
      </w:r>
      <w:r w:rsidRPr="006662F5">
        <w:rPr>
          <w:vertAlign w:val="superscript"/>
        </w:rPr>
        <w:footnoteReference w:id="435"/>
      </w:r>
      <w:r w:rsidRPr="006662F5">
        <w:t xml:space="preserve"> As such, it was entitled to First Amendment protection,</w:t>
      </w:r>
      <w:r w:rsidRPr="006662F5">
        <w:rPr>
          <w:vertAlign w:val="superscript"/>
        </w:rPr>
        <w:footnoteReference w:id="436"/>
      </w:r>
      <w:r w:rsidRPr="006662F5">
        <w:t xml:space="preserve"> and, under the FTDA, it was deemed a noncommercial use.</w:t>
      </w:r>
      <w:r w:rsidRPr="006662F5">
        <w:rPr>
          <w:vertAlign w:val="superscript"/>
        </w:rPr>
        <w:footnoteReference w:id="437"/>
      </w:r>
      <w:r w:rsidRPr="006662F5">
        <w:t xml:space="preserve"> On appeal, the Ninth Circuit agreed that the content of the record was fully protected by the First Amendment and thus was a noncommercial use.</w:t>
      </w:r>
      <w:r w:rsidRPr="006662F5">
        <w:rPr>
          <w:vertAlign w:val="superscript"/>
        </w:rPr>
        <w:footnoteReference w:id="438"/>
      </w:r>
    </w:p>
    <w:p w:rsidR="00431229" w:rsidRPr="006662F5" w:rsidRDefault="00431229" w:rsidP="00073AC5">
      <w:pPr>
        <w:pStyle w:val="text"/>
      </w:pPr>
      <w:r w:rsidRPr="006662F5">
        <w:t xml:space="preserve">The First Circuit, interpreting Florida law, applied the </w:t>
      </w:r>
      <w:r w:rsidRPr="006662F5">
        <w:rPr>
          <w:i/>
          <w:iCs/>
        </w:rPr>
        <w:t>L</w:t>
      </w:r>
      <w:r w:rsidRPr="006662F5">
        <w:t>.</w:t>
      </w:r>
      <w:r w:rsidRPr="006662F5">
        <w:rPr>
          <w:i/>
          <w:iCs/>
        </w:rPr>
        <w:t>L</w:t>
      </w:r>
      <w:r w:rsidRPr="006662F5">
        <w:t>.</w:t>
      </w:r>
      <w:r w:rsidRPr="006662F5">
        <w:rPr>
          <w:i/>
          <w:iCs/>
        </w:rPr>
        <w:t xml:space="preserve"> Bean</w:t>
      </w:r>
      <w:r w:rsidRPr="006662F5">
        <w:t xml:space="preserve"> holding in an unusual case.</w:t>
      </w:r>
      <w:r w:rsidRPr="006662F5">
        <w:rPr>
          <w:vertAlign w:val="superscript"/>
        </w:rPr>
        <w:footnoteReference w:id="439"/>
      </w:r>
      <w:r w:rsidRPr="006662F5">
        <w:t xml:space="preserve"> The plaintiff corporation alleged that the defendant had encouraged the posting of false information about the plaintiff on a message board run by the defendant. It claimed that these messages caused injury to the plaintiff’s business reputation. However, the First Circuit held that the postings did not constitute a claim for which trademark law gave relief, observing that there would be serious First Amendment problems if such critical commentary were held to violate dilution laws.</w:t>
      </w:r>
      <w:r w:rsidRPr="006662F5">
        <w:rPr>
          <w:vertAlign w:val="superscript"/>
        </w:rPr>
        <w:footnoteReference w:id="440"/>
      </w:r>
    </w:p>
    <w:p w:rsidR="00431229" w:rsidRPr="006662F5" w:rsidRDefault="00431229" w:rsidP="00073AC5">
      <w:pPr>
        <w:pStyle w:val="text"/>
      </w:pPr>
      <w:r w:rsidRPr="006662F5">
        <w:t xml:space="preserve">In two cases, the Second Circuit has set forth a useful First Amendment analysis for trademark cases, although it has not yet applied this analysis to trademark dilution cases. The court’s analysis of the trademark claims in </w:t>
      </w:r>
      <w:r w:rsidRPr="006662F5">
        <w:rPr>
          <w:i/>
          <w:iCs/>
        </w:rPr>
        <w:t>Rogers v</w:t>
      </w:r>
      <w:r w:rsidRPr="006662F5">
        <w:t>.</w:t>
      </w:r>
      <w:r w:rsidRPr="006662F5">
        <w:rPr>
          <w:i/>
          <w:iCs/>
        </w:rPr>
        <w:t xml:space="preserve"> Grimaldi</w:t>
      </w:r>
      <w:r w:rsidRPr="006662F5">
        <w:rPr>
          <w:vertAlign w:val="superscript"/>
        </w:rPr>
        <w:footnoteReference w:id="441"/>
      </w:r>
      <w:r w:rsidRPr="006662F5">
        <w:t xml:space="preserve"> expressly incorporated First Amendment concerns. Then, in </w:t>
      </w:r>
      <w:r w:rsidRPr="006662F5">
        <w:rPr>
          <w:i/>
          <w:iCs/>
        </w:rPr>
        <w:t>Cliffs Notes, Inc</w:t>
      </w:r>
      <w:r w:rsidRPr="006662F5">
        <w:t>.</w:t>
      </w:r>
      <w:r w:rsidRPr="006662F5">
        <w:rPr>
          <w:i/>
          <w:iCs/>
        </w:rPr>
        <w:t xml:space="preserve"> v</w:t>
      </w:r>
      <w:r w:rsidRPr="006662F5">
        <w:t>.</w:t>
      </w:r>
      <w:r w:rsidRPr="006662F5">
        <w:rPr>
          <w:i/>
          <w:iCs/>
        </w:rPr>
        <w:t xml:space="preserve"> Bantam Doubleday Dell Publishing Group, Inc</w:t>
      </w:r>
      <w:r w:rsidRPr="006662F5">
        <w:t>.,</w:t>
      </w:r>
      <w:r w:rsidRPr="006662F5">
        <w:rPr>
          <w:vertAlign w:val="superscript"/>
        </w:rPr>
        <w:footnoteReference w:id="442"/>
      </w:r>
      <w:r w:rsidRPr="006662F5">
        <w:t xml:space="preserve"> the court built on the analysis it used in </w:t>
      </w:r>
      <w:r w:rsidRPr="006662F5">
        <w:rPr>
          <w:i/>
          <w:iCs/>
        </w:rPr>
        <w:t>Rogers</w:t>
      </w:r>
      <w:r w:rsidRPr="006662F5">
        <w:t xml:space="preserve">. </w:t>
      </w:r>
      <w:r w:rsidRPr="006662F5">
        <w:rPr>
          <w:i/>
          <w:iCs/>
        </w:rPr>
        <w:t>Rogers</w:t>
      </w:r>
      <w:r w:rsidRPr="006662F5">
        <w:t xml:space="preserve"> involved a movie entitled </w:t>
      </w:r>
      <w:r w:rsidRPr="006662F5">
        <w:rPr>
          <w:i/>
          <w:iCs/>
        </w:rPr>
        <w:t>Fred and Ginger</w:t>
      </w:r>
      <w:r w:rsidRPr="006662F5">
        <w:t xml:space="preserve"> and a claim by Ginger Rogers that the title falsely indicated a connection with Fred Astaire and Ginger Rogers. The Second Circuit determined that the title had a legitimate expressive purpose and therefore First Amendment interests outweighed any trademark or publicity interests of Rogers.</w:t>
      </w:r>
      <w:r w:rsidRPr="006662F5">
        <w:rPr>
          <w:vertAlign w:val="superscript"/>
        </w:rPr>
        <w:footnoteReference w:id="443"/>
      </w:r>
      <w:r w:rsidRPr="006662F5">
        <w:t xml:space="preserve"> </w:t>
      </w:r>
      <w:r w:rsidRPr="006662F5">
        <w:rPr>
          <w:i/>
          <w:iCs/>
        </w:rPr>
        <w:t>Cliffs Notes</w:t>
      </w:r>
      <w:r w:rsidRPr="006662F5">
        <w:t xml:space="preserve"> involved a parody of the Cliff Notes study guides, entitled “Spy Notes,” which used a cover design that mimicked the colors and design of Cliff Notes.</w:t>
      </w:r>
      <w:r w:rsidRPr="006662F5">
        <w:rPr>
          <w:vertAlign w:val="superscript"/>
        </w:rPr>
        <w:footnoteReference w:id="444"/>
      </w:r>
      <w:r w:rsidRPr="006662F5">
        <w:t xml:space="preserve"> Following </w:t>
      </w:r>
      <w:r w:rsidRPr="006662F5">
        <w:rPr>
          <w:i/>
          <w:iCs/>
        </w:rPr>
        <w:t>Rogers</w:t>
      </w:r>
      <w:r w:rsidRPr="006662F5">
        <w:t>, the court stated that in deciding Lanham Act claims in cases where “an expressive work is alleged to infringe a trademark, it is appropriate to weigh the public interest in free expression against the public interest in avoiding consumer confusion.”</w:t>
      </w:r>
      <w:r w:rsidRPr="006662F5">
        <w:rPr>
          <w:vertAlign w:val="superscript"/>
        </w:rPr>
        <w:footnoteReference w:id="445"/>
      </w:r>
      <w:r w:rsidRPr="006662F5">
        <w:t xml:space="preserve"> The court further stated that “greater latitude” was required for works that were primarily expressive as opposed to primarily commercial.</w:t>
      </w:r>
      <w:r w:rsidRPr="006662F5">
        <w:rPr>
          <w:vertAlign w:val="superscript"/>
        </w:rPr>
        <w:footnoteReference w:id="446"/>
      </w:r>
      <w:r w:rsidRPr="006662F5">
        <w:t xml:space="preserve"> In </w:t>
      </w:r>
      <w:r w:rsidRPr="006662F5">
        <w:rPr>
          <w:i/>
          <w:iCs/>
        </w:rPr>
        <w:t>Cliffs Notes</w:t>
      </w:r>
      <w:r w:rsidRPr="006662F5">
        <w:t>, the expressive parody was found to be paramount and outweighed the relatively small likelihood of confusion.</w:t>
      </w:r>
      <w:r w:rsidRPr="006662F5">
        <w:rPr>
          <w:vertAlign w:val="superscript"/>
        </w:rPr>
        <w:footnoteReference w:id="447"/>
      </w:r>
    </w:p>
    <w:p w:rsidR="00431229" w:rsidRPr="006662F5" w:rsidRDefault="00431229" w:rsidP="00073AC5">
      <w:pPr>
        <w:pStyle w:val="text"/>
      </w:pPr>
      <w:r w:rsidRPr="006662F5">
        <w:t xml:space="preserve">In the context of a dilution claim, as opposed to a confusion claim, a parody should be entitled to even greater protection under the </w:t>
      </w:r>
      <w:r w:rsidRPr="006662F5">
        <w:rPr>
          <w:i/>
          <w:iCs/>
        </w:rPr>
        <w:t>Cliffs Notes</w:t>
      </w:r>
      <w:r w:rsidRPr="006662F5">
        <w:t xml:space="preserve"> analysis. In both </w:t>
      </w:r>
      <w:r w:rsidRPr="006662F5">
        <w:rPr>
          <w:i/>
          <w:iCs/>
        </w:rPr>
        <w:t>Cliffs Notes</w:t>
      </w:r>
      <w:r w:rsidRPr="006662F5">
        <w:t xml:space="preserve"> and </w:t>
      </w:r>
      <w:r w:rsidRPr="006662F5">
        <w:rPr>
          <w:i/>
          <w:iCs/>
        </w:rPr>
        <w:t>Rogers</w:t>
      </w:r>
      <w:r w:rsidRPr="006662F5">
        <w:t>, the Second Circuit was careful to note that it was balancing the rights of free expression against the need to avoid confusion, and that the latter could win out in a proper case.</w:t>
      </w:r>
      <w:r w:rsidRPr="006662F5">
        <w:rPr>
          <w:vertAlign w:val="superscript"/>
        </w:rPr>
        <w:footnoteReference w:id="448"/>
      </w:r>
      <w:r w:rsidRPr="006662F5">
        <w:t xml:space="preserve"> Dilution, however, does not require any finding of confusion. Thus, the public interests weighing on the side of trademark protection are much less than in a confusion case.</w:t>
      </w:r>
      <w:r w:rsidRPr="006662F5">
        <w:rPr>
          <w:vertAlign w:val="superscript"/>
        </w:rPr>
        <w:footnoteReference w:id="449"/>
      </w:r>
      <w:r w:rsidRPr="006662F5">
        <w:t xml:space="preserve"> In this regard, it is noteworthy that the Second Circuit has stated that dilution protects the trademark owner, but not the public.</w:t>
      </w:r>
      <w:r w:rsidRPr="006662F5">
        <w:rPr>
          <w:vertAlign w:val="superscript"/>
        </w:rPr>
        <w:footnoteReference w:id="450"/>
      </w:r>
      <w:r w:rsidRPr="006662F5">
        <w:t xml:space="preserve"> The Ninth Circuit has adopted the Second Circuit’s analysis in </w:t>
      </w:r>
      <w:r w:rsidRPr="006662F5">
        <w:rPr>
          <w:i/>
          <w:iCs/>
        </w:rPr>
        <w:t>Rogers</w:t>
      </w:r>
      <w:r w:rsidRPr="006662F5">
        <w:t xml:space="preserve"> as applicable in a dilution case.</w:t>
      </w:r>
      <w:r w:rsidRPr="006662F5">
        <w:rPr>
          <w:vertAlign w:val="superscript"/>
        </w:rPr>
        <w:footnoteReference w:id="451"/>
      </w:r>
    </w:p>
    <w:p w:rsidR="00431229" w:rsidRDefault="00431229" w:rsidP="00073AC5">
      <w:pPr>
        <w:pStyle w:val="text"/>
      </w:pPr>
      <w:r w:rsidRPr="006662F5">
        <w:t xml:space="preserve">The contrast between the Second and Eighth Circuits’ approaches to the First Amendment issue can be seen in lower court opinions applying their respective circuits’ case law to dilution claims. In </w:t>
      </w:r>
      <w:r w:rsidRPr="006662F5">
        <w:rPr>
          <w:i/>
          <w:iCs/>
        </w:rPr>
        <w:t>Yankee Publishing, Inc</w:t>
      </w:r>
      <w:r w:rsidRPr="006662F5">
        <w:t>.</w:t>
      </w:r>
      <w:r w:rsidRPr="006662F5">
        <w:rPr>
          <w:i/>
          <w:iCs/>
        </w:rPr>
        <w:t xml:space="preserve"> v</w:t>
      </w:r>
      <w:r w:rsidRPr="006662F5">
        <w:t>.</w:t>
      </w:r>
      <w:r w:rsidRPr="006662F5">
        <w:rPr>
          <w:i/>
          <w:iCs/>
        </w:rPr>
        <w:t xml:space="preserve"> News America Publishing, Inc</w:t>
      </w:r>
      <w:r w:rsidRPr="006662F5">
        <w:t>.,</w:t>
      </w:r>
      <w:r w:rsidRPr="006662F5">
        <w:rPr>
          <w:vertAlign w:val="superscript"/>
        </w:rPr>
        <w:footnoteReference w:id="452"/>
      </w:r>
      <w:r w:rsidRPr="006662F5">
        <w:t xml:space="preserve"> a New York federal court applied </w:t>
      </w:r>
      <w:r w:rsidRPr="006662F5">
        <w:rPr>
          <w:i/>
          <w:iCs/>
        </w:rPr>
        <w:t>Cliffs Notes</w:t>
      </w:r>
      <w:r w:rsidRPr="006662F5">
        <w:t xml:space="preserve"> to a claim that the use of a parody of the </w:t>
      </w:r>
      <w:r w:rsidRPr="006662F5">
        <w:rPr>
          <w:i/>
          <w:iCs/>
        </w:rPr>
        <w:t>Old Farmer’s Almanac</w:t>
      </w:r>
      <w:r w:rsidRPr="006662F5">
        <w:t xml:space="preserve"> as the cover of </w:t>
      </w:r>
      <w:r w:rsidRPr="006662F5">
        <w:rPr>
          <w:i/>
          <w:iCs/>
        </w:rPr>
        <w:t>New York Magazine</w:t>
      </w:r>
      <w:r w:rsidRPr="006662F5">
        <w:t xml:space="preserve"> infringed and diluted the almanac’s marks. Unlike the Spy Notes parody in </w:t>
      </w:r>
      <w:r w:rsidRPr="006662F5">
        <w:rPr>
          <w:i/>
          <w:iCs/>
        </w:rPr>
        <w:t>Cliffs Notes</w:t>
      </w:r>
      <w:r w:rsidRPr="006662F5">
        <w:t xml:space="preserve">, the </w:t>
      </w:r>
      <w:r w:rsidRPr="006662F5">
        <w:rPr>
          <w:i/>
          <w:iCs/>
        </w:rPr>
        <w:t>New York Magazine</w:t>
      </w:r>
      <w:r w:rsidRPr="006662F5">
        <w:t xml:space="preserve"> cover contained no indication that it was a parody or satire. That, however, did not sway the court. It found that the expressive context of the magazine cover outweighed any risk of either confusion or dilution.</w:t>
      </w:r>
      <w:r w:rsidRPr="006662F5">
        <w:rPr>
          <w:vertAlign w:val="superscript"/>
        </w:rPr>
        <w:footnoteReference w:id="453"/>
      </w:r>
      <w:r w:rsidRPr="006662F5">
        <w:t xml:space="preserve"> By contrast, in </w:t>
      </w:r>
      <w:r w:rsidRPr="006662F5">
        <w:rPr>
          <w:i/>
          <w:iCs/>
        </w:rPr>
        <w:t>American Dairy Queen Corp</w:t>
      </w:r>
      <w:r w:rsidRPr="006662F5">
        <w:t>.</w:t>
      </w:r>
      <w:r w:rsidRPr="006662F5">
        <w:rPr>
          <w:i/>
          <w:iCs/>
        </w:rPr>
        <w:t xml:space="preserve"> v</w:t>
      </w:r>
      <w:r w:rsidRPr="006662F5">
        <w:t>.</w:t>
      </w:r>
      <w:r w:rsidRPr="006662F5">
        <w:rPr>
          <w:i/>
          <w:iCs/>
        </w:rPr>
        <w:t xml:space="preserve"> New Line Productions, Inc</w:t>
      </w:r>
      <w:r w:rsidRPr="006662F5">
        <w:t>.,</w:t>
      </w:r>
      <w:r w:rsidRPr="006662F5">
        <w:rPr>
          <w:vertAlign w:val="superscript"/>
        </w:rPr>
        <w:footnoteReference w:id="454"/>
      </w:r>
      <w:r w:rsidRPr="006662F5">
        <w:t xml:space="preserve"> a Minnesota federal court rejected a First Amendment defense to a claim brought by the owner of the Dairy Queen mark against the producer of a movie entitled </w:t>
      </w:r>
      <w:r w:rsidRPr="006662F5">
        <w:rPr>
          <w:i/>
          <w:iCs/>
        </w:rPr>
        <w:t>Dairy Queens</w:t>
      </w:r>
      <w:r w:rsidRPr="006662F5">
        <w:t>. The court found both confusion</w:t>
      </w:r>
      <w:r w:rsidRPr="006662F5">
        <w:rPr>
          <w:vertAlign w:val="superscript"/>
        </w:rPr>
        <w:footnoteReference w:id="455"/>
      </w:r>
      <w:r w:rsidRPr="006662F5">
        <w:t xml:space="preserve"> and dilution by tarnishment.</w:t>
      </w:r>
      <w:r w:rsidRPr="006662F5">
        <w:rPr>
          <w:vertAlign w:val="superscript"/>
        </w:rPr>
        <w:footnoteReference w:id="456"/>
      </w:r>
      <w:r w:rsidRPr="006662F5">
        <w:t xml:space="preserve"> The court then rejected a proffered First Amendment defense.</w:t>
      </w:r>
      <w:r w:rsidRPr="006662F5">
        <w:rPr>
          <w:vertAlign w:val="superscript"/>
        </w:rPr>
        <w:footnoteReference w:id="457"/>
      </w:r>
      <w:r w:rsidRPr="006662F5">
        <w:t xml:space="preserve"> The court relied on three factors: (1) it deemed the use to be commercial speech;</w:t>
      </w:r>
      <w:r w:rsidRPr="006662F5">
        <w:rPr>
          <w:vertAlign w:val="superscript"/>
        </w:rPr>
        <w:footnoteReference w:id="458"/>
      </w:r>
      <w:r w:rsidRPr="006662F5">
        <w:t xml:space="preserve"> (2) it did not regard the title of the movie to be particularly connected with the film’s content;</w:t>
      </w:r>
      <w:r w:rsidRPr="006662F5">
        <w:rPr>
          <w:vertAlign w:val="superscript"/>
        </w:rPr>
        <w:footnoteReference w:id="459"/>
      </w:r>
      <w:r w:rsidRPr="006662F5">
        <w:t xml:space="preserve"> and (3) it relied heavily on the Eighth Circuit precedent emphasizing the availability of alternative means of expression in trademark cases as a reason to deny a First Amendment defense.</w:t>
      </w:r>
      <w:r w:rsidRPr="006662F5">
        <w:rPr>
          <w:vertAlign w:val="superscript"/>
        </w:rPr>
        <w:footnoteReference w:id="460"/>
      </w:r>
      <w:r w:rsidRPr="006662F5">
        <w:t xml:space="preserve"> The contrast between </w:t>
      </w:r>
      <w:r w:rsidRPr="006662F5">
        <w:rPr>
          <w:i/>
          <w:iCs/>
        </w:rPr>
        <w:t>Yankee Publishing</w:t>
      </w:r>
      <w:r w:rsidRPr="006662F5">
        <w:t xml:space="preserve"> and </w:t>
      </w:r>
      <w:r w:rsidRPr="006662F5">
        <w:rPr>
          <w:i/>
          <w:iCs/>
        </w:rPr>
        <w:t>Dairy Queen</w:t>
      </w:r>
      <w:r w:rsidRPr="006662F5">
        <w:t xml:space="preserve"> illustrates the real differences between the Eighth and Second Circuit approaches. Although both purport to use a balancing approach, the court in </w:t>
      </w:r>
      <w:r w:rsidRPr="006662F5">
        <w:rPr>
          <w:i/>
          <w:iCs/>
        </w:rPr>
        <w:t>Yankee Publishing</w:t>
      </w:r>
      <w:r w:rsidRPr="006662F5">
        <w:t xml:space="preserve"> gave far more weight to the expressive content of the parody and gave less weight to the availability of alternative means of expression.</w:t>
      </w:r>
      <w:r w:rsidRPr="006662F5">
        <w:rPr>
          <w:vertAlign w:val="superscript"/>
        </w:rPr>
        <w:footnoteReference w:id="461"/>
      </w:r>
    </w:p>
    <w:p w:rsidR="00431229" w:rsidRPr="008214DA" w:rsidRDefault="00431229" w:rsidP="00C4121D">
      <w:pPr>
        <w:pStyle w:val="text"/>
        <w:tabs>
          <w:tab w:val="left" w:pos="360"/>
        </w:tabs>
        <w:rPr>
          <w:vertAlign w:val="superscript"/>
        </w:rPr>
      </w:pPr>
      <w:r w:rsidRPr="008214DA">
        <w:t>The Supreme Court’s decision</w:t>
      </w:r>
      <w:r>
        <w:t>s</w:t>
      </w:r>
      <w:r w:rsidRPr="008214DA">
        <w:t xml:space="preserve"> in </w:t>
      </w:r>
      <w:r w:rsidRPr="008214DA">
        <w:rPr>
          <w:i/>
          <w:iCs/>
        </w:rPr>
        <w:t>Matal v. Tam </w:t>
      </w:r>
      <w:r w:rsidRPr="008214DA">
        <w:rPr>
          <w:vertAlign w:val="superscript"/>
        </w:rPr>
        <w:footnoteReference w:id="462"/>
      </w:r>
      <w:r>
        <w:rPr>
          <w:i/>
          <w:iCs/>
        </w:rPr>
        <w:t xml:space="preserve"> </w:t>
      </w:r>
      <w:r>
        <w:t xml:space="preserve">and </w:t>
      </w:r>
      <w:r>
        <w:rPr>
          <w:i/>
          <w:iCs/>
        </w:rPr>
        <w:t xml:space="preserve">Iancu v. Brunetti </w:t>
      </w:r>
      <w:r w:rsidRPr="001352FB">
        <w:rPr>
          <w:rStyle w:val="FootnoteReference"/>
          <w:iCs/>
        </w:rPr>
        <w:footnoteReference w:id="463"/>
      </w:r>
      <w:r w:rsidRPr="008214DA">
        <w:t xml:space="preserve"> add another wrinkle to the analysis. In </w:t>
      </w:r>
      <w:r w:rsidRPr="008214DA">
        <w:rPr>
          <w:i/>
          <w:iCs/>
        </w:rPr>
        <w:t>Tam</w:t>
      </w:r>
      <w:r w:rsidRPr="008214DA">
        <w:t>, the Court held that the Lanham Act’s bar to registering disparaging trademarks was unconstitutional.</w:t>
      </w:r>
      <w:r w:rsidRPr="008214DA">
        <w:rPr>
          <w:vertAlign w:val="superscript"/>
        </w:rPr>
        <w:footnoteReference w:id="464"/>
      </w:r>
      <w:r w:rsidRPr="008214DA">
        <w:t xml:space="preserve"> </w:t>
      </w:r>
      <w:r>
        <w:t xml:space="preserve">In </w:t>
      </w:r>
      <w:r>
        <w:rPr>
          <w:i/>
          <w:iCs/>
        </w:rPr>
        <w:t xml:space="preserve">Brunetti, </w:t>
      </w:r>
      <w:r>
        <w:t xml:space="preserve">the Court struck down the bar to registering “immoral or scandalous” marks. </w:t>
      </w:r>
      <w:r w:rsidRPr="008214DA">
        <w:t>Although the decision</w:t>
      </w:r>
      <w:r>
        <w:t>s</w:t>
      </w:r>
      <w:r w:rsidRPr="008214DA">
        <w:t xml:space="preserve"> do not directly deal with dilution, there are possible implications, especially for dilution by tarnishment. </w:t>
      </w:r>
      <w:r w:rsidRPr="008214DA">
        <w:rPr>
          <w:i/>
          <w:iCs/>
        </w:rPr>
        <w:t>Tam</w:t>
      </w:r>
      <w:r w:rsidRPr="008214DA">
        <w:t xml:space="preserve"> </w:t>
      </w:r>
      <w:r>
        <w:t xml:space="preserve">and </w:t>
      </w:r>
      <w:r>
        <w:rPr>
          <w:i/>
          <w:iCs/>
        </w:rPr>
        <w:t>Brunetti</w:t>
      </w:r>
      <w:r>
        <w:t xml:space="preserve"> </w:t>
      </w:r>
      <w:r w:rsidRPr="008214DA">
        <w:t>turned on the Court’s perception that the ban on disparaging</w:t>
      </w:r>
      <w:r>
        <w:t>, immoral, or scandalous</w:t>
      </w:r>
      <w:r w:rsidRPr="008214DA">
        <w:t xml:space="preserve"> trademarks constituted viewpoint discrimination.</w:t>
      </w:r>
      <w:r w:rsidRPr="008214DA">
        <w:rPr>
          <w:vertAlign w:val="superscript"/>
        </w:rPr>
        <w:footnoteReference w:id="465"/>
      </w:r>
      <w:r w:rsidRPr="008214DA">
        <w:t xml:space="preserve"> Applying viewpoint discrimination to tarnishment could mean that tarnishment that disparages a mark by ridicule or satire would be considered viewpoint discrimination. In fact, even tarnishment from association with sex or drugs could be considered viewpoint discrimination (a positive association would not be tarnishing—unless the point of the mark was to be negative—while a negative association would be tarnishing). One should assume that attorneys will attempt to inject </w:t>
      </w:r>
      <w:r w:rsidRPr="008214DA">
        <w:rPr>
          <w:i/>
          <w:iCs/>
        </w:rPr>
        <w:t>Tam</w:t>
      </w:r>
      <w:r w:rsidRPr="008214DA">
        <w:t xml:space="preserve">’s </w:t>
      </w:r>
      <w:r>
        <w:t xml:space="preserve">and </w:t>
      </w:r>
      <w:r>
        <w:rPr>
          <w:i/>
          <w:iCs/>
        </w:rPr>
        <w:t>Brunetti</w:t>
      </w:r>
      <w:r>
        <w:t>’s analyses</w:t>
      </w:r>
      <w:r w:rsidRPr="008214DA">
        <w:t xml:space="preserve"> into dilution cases in the near future.</w:t>
      </w:r>
      <w:r w:rsidRPr="008214DA">
        <w:rPr>
          <w:vertAlign w:val="superscript"/>
        </w:rPr>
        <w:footnoteReference w:id="466"/>
      </w:r>
    </w:p>
    <w:p w:rsidR="00431229" w:rsidRPr="006662F5" w:rsidRDefault="00431229" w:rsidP="00073AC5">
      <w:pPr>
        <w:pStyle w:val="text"/>
      </w:pPr>
    </w:p>
    <w:p w:rsidR="00431229" w:rsidRPr="006662F5" w:rsidRDefault="00431229" w:rsidP="00073AC5">
      <w:pPr>
        <w:pStyle w:val="text"/>
      </w:pPr>
      <w:r w:rsidRPr="006662F5">
        <w:t>Another possible First Amendment consideration is prior restraint. It may be argued that an injunction against publication or distribution of a commentary on the owner of a distinctive mark, or a commentary that uses the distinctive mark, is an unconstitutional prior restraint. However, this argument generally has not fared well in the courts.</w:t>
      </w:r>
      <w:r w:rsidRPr="006662F5">
        <w:rPr>
          <w:vertAlign w:val="superscript"/>
        </w:rPr>
        <w:footnoteReference w:id="467"/>
      </w:r>
      <w:r w:rsidRPr="006662F5">
        <w:t xml:space="preserve"> </w:t>
      </w:r>
    </w:p>
    <w:p w:rsidR="00431229" w:rsidRPr="006662F5" w:rsidRDefault="00431229" w:rsidP="00073AC5">
      <w:pPr>
        <w:pStyle w:val="text"/>
      </w:pPr>
      <w:r w:rsidRPr="006662F5">
        <w:t>There also may be state-law-based free speech grounds for defending against a dilution claim. In addition to state constitutional provisions, some states have laws designed to protect free speech from undue interference.</w:t>
      </w:r>
      <w:r w:rsidRPr="006662F5">
        <w:rPr>
          <w:vertAlign w:val="superscript"/>
        </w:rPr>
        <w:footnoteReference w:id="468"/>
      </w:r>
      <w:r w:rsidRPr="006662F5">
        <w:t xml:space="preserve"> Such laws might be used to defend against state dilution claims that attack various critical uses of trademarks, including critical Web sites containing the trademark of a company.</w:t>
      </w:r>
      <w:r w:rsidRPr="006662F5">
        <w:rPr>
          <w:vertAlign w:val="superscript"/>
        </w:rPr>
        <w:footnoteReference w:id="469"/>
      </w:r>
    </w:p>
    <w:p w:rsidR="00431229" w:rsidRPr="006662F5" w:rsidRDefault="00431229" w:rsidP="00073AC5">
      <w:pPr>
        <w:pStyle w:val="3rdLevelHead1"/>
        <w:rPr>
          <w:rFonts w:cs="Times New Roman"/>
        </w:rPr>
      </w:pPr>
      <w:r w:rsidRPr="006662F5">
        <w:rPr>
          <w:rFonts w:cs="Times New Roman"/>
        </w:rPr>
        <w:t>4</w:t>
      </w:r>
      <w:r w:rsidRPr="006662F5">
        <w:rPr>
          <w:rFonts w:cs="Times New Roman"/>
          <w:i w:val="0"/>
          <w:iCs w:val="0"/>
        </w:rPr>
        <w:t>.</w:t>
      </w:r>
      <w:r w:rsidRPr="006662F5">
        <w:rPr>
          <w:rFonts w:cs="Times New Roman"/>
        </w:rPr>
        <w:tab/>
        <w:t>Tarnishment and Noncommercial Use Under the TDRA and State Laws</w:t>
      </w:r>
    </w:p>
    <w:p w:rsidR="00431229" w:rsidRPr="006662F5" w:rsidRDefault="00431229" w:rsidP="00073AC5">
      <w:pPr>
        <w:pStyle w:val="text"/>
      </w:pPr>
      <w:r w:rsidRPr="006662F5">
        <w:t>The TDRA and most state laws provide an express exclusion from liability for a noncommercial use of a famous mark.</w:t>
      </w:r>
      <w:r w:rsidRPr="006662F5">
        <w:rPr>
          <w:vertAlign w:val="superscript"/>
        </w:rPr>
        <w:footnoteReference w:id="470"/>
      </w:r>
      <w:r w:rsidRPr="006662F5">
        <w:t xml:space="preserve"> As discussed elsewhere in this text,</w:t>
      </w:r>
      <w:r w:rsidRPr="006662F5">
        <w:rPr>
          <w:vertAlign w:val="superscript"/>
        </w:rPr>
        <w:footnoteReference w:id="471"/>
      </w:r>
      <w:r w:rsidRPr="006662F5">
        <w:t xml:space="preserve"> the noncommercial use exclusion was intended by the drafters of the TDRA to account for First Amendment interests.</w:t>
      </w:r>
      <w:r w:rsidRPr="006662F5">
        <w:rPr>
          <w:vertAlign w:val="superscript"/>
        </w:rPr>
        <w:footnoteReference w:id="472"/>
      </w:r>
      <w:r w:rsidRPr="006662F5">
        <w:t xml:space="preserve"> Thus, the First Amendment discussion in Section IV.B.3.c, above, would be relevant to a determination of whether a particular use was “noncommercial” by virtue of the requirements of the First Amendment. Because many state laws consider interpretations of federal trademark law to be persuasive in the interpretation of their own laws,</w:t>
      </w:r>
      <w:r w:rsidRPr="006662F5">
        <w:rPr>
          <w:vertAlign w:val="superscript"/>
        </w:rPr>
        <w:footnoteReference w:id="473"/>
      </w:r>
      <w:r w:rsidRPr="006662F5">
        <w:t xml:space="preserve"> the discussions of noncommercial use under the TDRA will be relevant to many state-law discussions as well.</w:t>
      </w:r>
      <w:r w:rsidRPr="006662F5">
        <w:rPr>
          <w:vertAlign w:val="superscript"/>
        </w:rPr>
        <w:footnoteReference w:id="474"/>
      </w:r>
    </w:p>
    <w:p w:rsidR="00431229" w:rsidRPr="006662F5" w:rsidRDefault="00431229" w:rsidP="00073AC5">
      <w:pPr>
        <w:pStyle w:val="text"/>
      </w:pPr>
      <w:r w:rsidRPr="006662F5">
        <w:t>Only a minority of state laws expressly provide for such a noncommercial use exclusion. Indeed, state laws patterned after the 1964 Model Bill do not necessarily require that there be a commercial use of a distinctive mark in order for there to be liability for dilution.</w:t>
      </w:r>
      <w:r w:rsidRPr="006662F5">
        <w:rPr>
          <w:vertAlign w:val="superscript"/>
        </w:rPr>
        <w:footnoteReference w:id="475"/>
      </w:r>
    </w:p>
    <w:p w:rsidR="00431229" w:rsidRPr="006662F5" w:rsidRDefault="00431229" w:rsidP="00073AC5">
      <w:pPr>
        <w:pStyle w:val="3rdLevelHead1"/>
        <w:rPr>
          <w:rFonts w:cs="Times New Roman"/>
        </w:rPr>
      </w:pPr>
      <w:r w:rsidRPr="006662F5">
        <w:rPr>
          <w:rFonts w:cs="Times New Roman"/>
        </w:rPr>
        <w:t>5.</w:t>
      </w:r>
      <w:r w:rsidRPr="006662F5">
        <w:rPr>
          <w:rFonts w:cs="Times New Roman"/>
        </w:rPr>
        <w:tab/>
        <w:t>Tarnishment and Trademark Uses</w:t>
      </w:r>
    </w:p>
    <w:p w:rsidR="00431229" w:rsidRPr="006662F5" w:rsidRDefault="00431229" w:rsidP="00073AC5">
      <w:pPr>
        <w:pStyle w:val="text"/>
      </w:pPr>
      <w:r w:rsidRPr="006662F5">
        <w:t xml:space="preserve">As seen in cases like </w:t>
      </w:r>
      <w:r w:rsidRPr="006662F5">
        <w:rPr>
          <w:i/>
          <w:iCs/>
        </w:rPr>
        <w:t>Deere </w:t>
      </w:r>
      <w:r w:rsidRPr="006662F5">
        <w:rPr>
          <w:vertAlign w:val="superscript"/>
        </w:rPr>
        <w:footnoteReference w:id="476"/>
      </w:r>
      <w:r w:rsidRPr="006662F5">
        <w:t xml:space="preserve"> and </w:t>
      </w:r>
      <w:r w:rsidRPr="006662F5">
        <w:rPr>
          <w:i/>
          <w:iCs/>
        </w:rPr>
        <w:t>Balducci</w:t>
      </w:r>
      <w:r w:rsidRPr="006662F5">
        <w:t>,</w:t>
      </w:r>
      <w:r w:rsidRPr="006662F5">
        <w:rPr>
          <w:vertAlign w:val="superscript"/>
        </w:rPr>
        <w:footnoteReference w:id="477"/>
      </w:r>
      <w:r w:rsidRPr="006662F5">
        <w:t xml:space="preserve"> courts have found defendants liable for dilution by tarnishment even where the offending use was not as a trademark.</w:t>
      </w:r>
      <w:r w:rsidRPr="006662F5">
        <w:rPr>
          <w:vertAlign w:val="superscript"/>
        </w:rPr>
        <w:footnoteReference w:id="478"/>
      </w:r>
      <w:r w:rsidRPr="006662F5">
        <w:t xml:space="preserve"> However, the </w:t>
      </w:r>
      <w:r w:rsidRPr="006662F5">
        <w:rPr>
          <w:i/>
          <w:iCs/>
        </w:rPr>
        <w:t>Restatement</w:t>
      </w:r>
      <w:r w:rsidRPr="006662F5">
        <w:t xml:space="preserve"> takes the position that only trademark uses—that is, where the second user uses the mark as its own trademark—should be subject to tarnishment claims.</w:t>
      </w:r>
      <w:r w:rsidRPr="006662F5">
        <w:rPr>
          <w:vertAlign w:val="superscript"/>
        </w:rPr>
        <w:footnoteReference w:id="479"/>
      </w:r>
      <w:r w:rsidRPr="006662F5">
        <w:t xml:space="preserve"> The Texas Court of Appeals, without citing the </w:t>
      </w:r>
      <w:r w:rsidRPr="006662F5">
        <w:rPr>
          <w:i/>
          <w:iCs/>
        </w:rPr>
        <w:t>Restatement</w:t>
      </w:r>
      <w:r w:rsidRPr="006662F5">
        <w:t xml:space="preserve">, has indicated its agreement with that position. In </w:t>
      </w:r>
      <w:r w:rsidRPr="006662F5">
        <w:rPr>
          <w:i/>
          <w:iCs/>
        </w:rPr>
        <w:t>Express One International, Inc</w:t>
      </w:r>
      <w:r w:rsidRPr="006662F5">
        <w:t>.</w:t>
      </w:r>
      <w:r w:rsidRPr="006662F5">
        <w:rPr>
          <w:i/>
          <w:iCs/>
        </w:rPr>
        <w:t xml:space="preserve"> v</w:t>
      </w:r>
      <w:r w:rsidRPr="006662F5">
        <w:t>.</w:t>
      </w:r>
      <w:r w:rsidRPr="006662F5">
        <w:rPr>
          <w:i/>
          <w:iCs/>
        </w:rPr>
        <w:t xml:space="preserve"> Steinbeck</w:t>
      </w:r>
      <w:r w:rsidRPr="006662F5">
        <w:t>,</w:t>
      </w:r>
      <w:r w:rsidRPr="006662F5">
        <w:rPr>
          <w:vertAlign w:val="superscript"/>
        </w:rPr>
        <w:footnoteReference w:id="480"/>
      </w:r>
      <w:r w:rsidRPr="006662F5">
        <w:t xml:space="preserve"> the defendant sent e-mails to a message board during a union election campaign. The messages appeared to threaten union supporters with company retaliation, and the defendant used the screen name “ExpressONE” to post the messages.</w:t>
      </w:r>
      <w:r w:rsidRPr="006662F5">
        <w:rPr>
          <w:vertAlign w:val="superscript"/>
        </w:rPr>
        <w:footnoteReference w:id="481"/>
      </w:r>
      <w:r w:rsidRPr="006662F5">
        <w:t xml:space="preserve"> Affirming the trial court’s dismissal of a dilution claim, the appellate court stated:</w:t>
      </w:r>
    </w:p>
    <w:p w:rsidR="00431229" w:rsidRPr="006662F5" w:rsidRDefault="00431229" w:rsidP="00073AC5">
      <w:pPr>
        <w:pStyle w:val="Blockquoteflush"/>
      </w:pPr>
      <w:r w:rsidRPr="006662F5">
        <w:t>A claim of trade name dilution by tarnishing must also arise out of the defendant’s use of the plaintiff’s name as a trade name. [The Texas dilution statute] is not intended to address non-trademark uses of a name to comment on, ridicule, parody, or disparage the goods or business of the name’s owner.</w:t>
      </w:r>
      <w:r w:rsidRPr="006662F5">
        <w:rPr>
          <w:vertAlign w:val="superscript"/>
        </w:rPr>
        <w:footnoteReference w:id="482"/>
      </w:r>
    </w:p>
    <w:p w:rsidR="00431229" w:rsidRDefault="00431229" w:rsidP="00073AC5">
      <w:pPr>
        <w:pStyle w:val="text"/>
      </w:pPr>
      <w:r w:rsidRPr="006662F5">
        <w:t>This rule would seem to have limited tarnishment under the original Texas law</w:t>
      </w:r>
      <w:r w:rsidRPr="006662F5">
        <w:rPr>
          <w:vertAlign w:val="superscript"/>
        </w:rPr>
        <w:footnoteReference w:id="483"/>
      </w:r>
      <w:r w:rsidRPr="006662F5">
        <w:t xml:space="preserve"> to trademark uses such as that in </w:t>
      </w:r>
      <w:r w:rsidRPr="006662F5">
        <w:rPr>
          <w:i/>
          <w:iCs/>
        </w:rPr>
        <w:t>Jordache Enterprises, Inc</w:t>
      </w:r>
      <w:r w:rsidRPr="006662F5">
        <w:t>.</w:t>
      </w:r>
      <w:r w:rsidRPr="006662F5">
        <w:rPr>
          <w:i/>
          <w:iCs/>
        </w:rPr>
        <w:t xml:space="preserve"> v</w:t>
      </w:r>
      <w:r w:rsidRPr="006662F5">
        <w:t>.</w:t>
      </w:r>
      <w:r w:rsidRPr="006662F5">
        <w:rPr>
          <w:i/>
          <w:iCs/>
        </w:rPr>
        <w:t xml:space="preserve"> Hogg Wyld, Ltd</w:t>
      </w:r>
      <w:r w:rsidRPr="006662F5">
        <w:t>.,</w:t>
      </w:r>
      <w:r w:rsidRPr="006662F5">
        <w:rPr>
          <w:vertAlign w:val="superscript"/>
        </w:rPr>
        <w:footnoteReference w:id="484"/>
      </w:r>
      <w:r w:rsidRPr="006662F5">
        <w:t xml:space="preserve"> where the defendant used Lardashe as a mark for its goods (though the court rejected the dilution claim), or instances where the defendant makes a trademark use of the plaintiff’s mark on poor-quality goods.</w:t>
      </w:r>
      <w:r w:rsidRPr="006662F5">
        <w:rPr>
          <w:vertAlign w:val="superscript"/>
        </w:rPr>
        <w:footnoteReference w:id="485"/>
      </w:r>
    </w:p>
    <w:p w:rsidR="00431229" w:rsidRPr="006662F5" w:rsidRDefault="00431229" w:rsidP="005E0A80">
      <w:pPr>
        <w:pStyle w:val="text"/>
        <w:tabs>
          <w:tab w:val="left" w:pos="360"/>
        </w:tabs>
      </w:pPr>
      <w:r w:rsidRPr="008214DA">
        <w:t>The Georgia Supreme Court, interpreting that state’s dilution statute, rejected a tarnishment claim based on defendant law firm’s advertisements that targeted possible poor conditions at plaintiff’s nursing homes.</w:t>
      </w:r>
      <w:r w:rsidRPr="008214DA">
        <w:rPr>
          <w:vertAlign w:val="superscript"/>
        </w:rPr>
        <w:footnoteReference w:id="486"/>
      </w:r>
      <w:r w:rsidRPr="008214DA">
        <w:t xml:space="preserve"> The court noted that defendant did not use plaintiff’s marks to describe or designate defendant’s services, but rather to identify plaintiff’s services.</w:t>
      </w:r>
      <w:r w:rsidRPr="008214DA">
        <w:rPr>
          <w:vertAlign w:val="superscript"/>
        </w:rPr>
        <w:footnoteReference w:id="487"/>
      </w:r>
      <w:r>
        <w:t xml:space="preserve"> A similar result was reached by a Massachusetts appellate court rejecting a tarnishment claim (or “injury to business reputation”), where the use was on defendant’s website which contained information about a documentary about the protests at Tienanmen Square in China and referenced defendant—i.e., using plaintiff’s mark to refer to plaintiff.</w:t>
      </w:r>
      <w:r w:rsidRPr="005E0A80">
        <w:rPr>
          <w:rStyle w:val="FootnoteReference"/>
        </w:rPr>
        <w:footnoteReference w:id="488"/>
      </w:r>
    </w:p>
    <w:p w:rsidR="00431229" w:rsidRPr="006662F5" w:rsidRDefault="00431229" w:rsidP="00073AC5">
      <w:pPr>
        <w:pStyle w:val="text"/>
      </w:pPr>
      <w:r w:rsidRPr="006662F5">
        <w:t>In a case that was not clearly a tarnishment situation, another court also rejected a dilution claim based on a finding that the defendant did not make a trademark use of the plaintiff’s mark.</w:t>
      </w:r>
      <w:r w:rsidRPr="006662F5">
        <w:rPr>
          <w:vertAlign w:val="superscript"/>
        </w:rPr>
        <w:footnoteReference w:id="489"/>
      </w:r>
      <w:r w:rsidRPr="006662F5">
        <w:t xml:space="preserve"> Although these cases are not the norm, they may herald an important limitation on the use of dilution by tarnishment.</w:t>
      </w:r>
    </w:p>
    <w:p w:rsidR="00431229" w:rsidRPr="006662F5" w:rsidRDefault="00431229" w:rsidP="00073AC5">
      <w:pPr>
        <w:pStyle w:val="text"/>
      </w:pPr>
      <w:r w:rsidRPr="006662F5">
        <w:t xml:space="preserve">The operative language of the TDRA and the 2007 Model Bill suggests that </w:t>
      </w:r>
      <w:r w:rsidRPr="006662F5">
        <w:rPr>
          <w:i/>
          <w:iCs/>
        </w:rPr>
        <w:t>only</w:t>
      </w:r>
      <w:r w:rsidRPr="006662F5">
        <w:t xml:space="preserve"> trademark uses are actionable. Both allow causes of action against a use “of a mark or trade name” that is likely to cause dilution.</w:t>
      </w:r>
      <w:r w:rsidRPr="006662F5">
        <w:rPr>
          <w:vertAlign w:val="superscript"/>
        </w:rPr>
        <w:footnoteReference w:id="490"/>
      </w:r>
      <w:r w:rsidRPr="006662F5">
        <w:t xml:space="preserve"> Although the issue is not free from doubt,</w:t>
      </w:r>
      <w:r w:rsidRPr="006662F5">
        <w:rPr>
          <w:vertAlign w:val="superscript"/>
        </w:rPr>
        <w:footnoteReference w:id="491"/>
      </w:r>
      <w:r w:rsidRPr="006662F5">
        <w:t xml:space="preserve"> if only trademark uses are actionable, that would narrow the application of statutes in states that adopt the 2007 Model Bill.</w:t>
      </w:r>
      <w:r>
        <w:rPr>
          <w:rStyle w:val="FootnoteReference"/>
        </w:rPr>
        <w:footnoteReference w:id="492"/>
      </w:r>
    </w:p>
    <w:p w:rsidR="00431229" w:rsidRPr="006662F5" w:rsidRDefault="00431229" w:rsidP="00073AC5">
      <w:pPr>
        <w:pStyle w:val="3rdLevelHead1"/>
        <w:rPr>
          <w:rFonts w:cs="Times New Roman"/>
        </w:rPr>
      </w:pPr>
      <w:r w:rsidRPr="006662F5">
        <w:rPr>
          <w:rFonts w:cs="Times New Roman"/>
        </w:rPr>
        <w:t>6</w:t>
      </w:r>
      <w:r w:rsidRPr="006662F5">
        <w:rPr>
          <w:rFonts w:cs="Times New Roman"/>
          <w:b w:val="0"/>
          <w:bCs w:val="0"/>
          <w:i w:val="0"/>
          <w:iCs w:val="0"/>
        </w:rPr>
        <w:t>.</w:t>
      </w:r>
      <w:r w:rsidRPr="006662F5">
        <w:rPr>
          <w:rFonts w:cs="Times New Roman"/>
        </w:rPr>
        <w:tab/>
        <w:t>Tarnishment by Poor-Quality Goods</w:t>
      </w:r>
    </w:p>
    <w:p w:rsidR="00431229" w:rsidRPr="006662F5" w:rsidRDefault="00431229" w:rsidP="00073AC5">
      <w:pPr>
        <w:pStyle w:val="text"/>
      </w:pPr>
      <w:r w:rsidRPr="006662F5">
        <w:t>A second form of tarnishment occurs when the junior user produces an inferior (even if noncompeting) product, engendering a risk that consumers will associate the senior user with poor quality. This can occur even in the absence of confusion; the association could be subliminal, even when the consumer knows the two users are not related.</w:t>
      </w:r>
    </w:p>
    <w:p w:rsidR="00431229" w:rsidRPr="006662F5" w:rsidRDefault="00431229" w:rsidP="00073AC5">
      <w:pPr>
        <w:pStyle w:val="text"/>
      </w:pPr>
      <w:r w:rsidRPr="006662F5">
        <w:t xml:space="preserve">This risk was cited in an early dilution case, </w:t>
      </w:r>
      <w:r w:rsidRPr="006662F5">
        <w:rPr>
          <w:i/>
          <w:iCs/>
        </w:rPr>
        <w:t>Tiffany &amp; Co</w:t>
      </w:r>
      <w:r w:rsidRPr="006662F5">
        <w:t>.</w:t>
      </w:r>
      <w:r w:rsidRPr="006662F5">
        <w:rPr>
          <w:i/>
          <w:iCs/>
        </w:rPr>
        <w:t xml:space="preserve"> v</w:t>
      </w:r>
      <w:r w:rsidRPr="006662F5">
        <w:t>.</w:t>
      </w:r>
      <w:r w:rsidRPr="006662F5">
        <w:rPr>
          <w:i/>
          <w:iCs/>
        </w:rPr>
        <w:t xml:space="preserve"> Boston Club, Inc</w:t>
      </w:r>
      <w:r w:rsidRPr="006662F5">
        <w:t>.</w:t>
      </w:r>
      <w:r w:rsidRPr="006662F5">
        <w:rPr>
          <w:vertAlign w:val="superscript"/>
        </w:rPr>
        <w:footnoteReference w:id="493"/>
      </w:r>
      <w:r w:rsidRPr="006662F5">
        <w:t xml:space="preserve"> The well-known jewelry retailer sued a Boston restaurant that called itself “Tiffany’s Restaurant and Lounge.” Granting relief under the Massachusetts dilution law, the court first cited the risk that dissatisfaction with the defendant’s product would be transferred to the plaintiff.</w:t>
      </w:r>
      <w:r w:rsidRPr="006662F5">
        <w:rPr>
          <w:vertAlign w:val="superscript"/>
        </w:rPr>
        <w:footnoteReference w:id="494"/>
      </w:r>
      <w:r w:rsidRPr="006662F5">
        <w:t xml:space="preserve"> Second, it cited evidence that the defendant’s restaurant was not of the high quality associated with the plaintiff and risked tarnishing the plaintiff’s goodwill.</w:t>
      </w:r>
      <w:r w:rsidRPr="006662F5">
        <w:rPr>
          <w:vertAlign w:val="superscript"/>
        </w:rPr>
        <w:footnoteReference w:id="495"/>
      </w:r>
    </w:p>
    <w:p w:rsidR="00431229" w:rsidRPr="006662F5" w:rsidRDefault="00431229" w:rsidP="00073AC5">
      <w:pPr>
        <w:pStyle w:val="text"/>
      </w:pPr>
      <w:r w:rsidRPr="006662F5">
        <w:t>The cases in this area do not lend themselves to easily recognizable patterns. As with parodies, where the second use is in connection with pornography (particularly on the Internet)</w:t>
      </w:r>
      <w:r w:rsidRPr="006662F5">
        <w:rPr>
          <w:vertAlign w:val="superscript"/>
        </w:rPr>
        <w:footnoteReference w:id="496"/>
      </w:r>
      <w:r w:rsidRPr="006662F5">
        <w:t xml:space="preserve"> or drugs, courts are more inclined to give relief. Similarly, where food is involved, there appears to be some greater tendency to give relief. In </w:t>
      </w:r>
      <w:r w:rsidRPr="006662F5">
        <w:rPr>
          <w:i/>
          <w:iCs/>
        </w:rPr>
        <w:t>E</w:t>
      </w:r>
      <w:r w:rsidRPr="006662F5">
        <w:t>.</w:t>
      </w:r>
      <w:r w:rsidRPr="006662F5">
        <w:rPr>
          <w:i/>
          <w:iCs/>
        </w:rPr>
        <w:t xml:space="preserve"> &amp; J</w:t>
      </w:r>
      <w:r w:rsidRPr="006662F5">
        <w:t>.</w:t>
      </w:r>
      <w:r w:rsidRPr="006662F5">
        <w:rPr>
          <w:i/>
          <w:iCs/>
        </w:rPr>
        <w:t xml:space="preserve"> Gallo Winery v</w:t>
      </w:r>
      <w:r w:rsidRPr="006662F5">
        <w:t>.</w:t>
      </w:r>
      <w:r w:rsidRPr="006662F5">
        <w:rPr>
          <w:i/>
          <w:iCs/>
        </w:rPr>
        <w:t xml:space="preserve"> Gallo Cattle Co</w:t>
      </w:r>
      <w:r w:rsidRPr="006662F5">
        <w:t>.,</w:t>
      </w:r>
      <w:r w:rsidRPr="006662F5">
        <w:rPr>
          <w:vertAlign w:val="superscript"/>
        </w:rPr>
        <w:footnoteReference w:id="497"/>
      </w:r>
      <w:r w:rsidRPr="006662F5">
        <w:t xml:space="preserve"> the Gallo winery sued to enjoin the use of the Gallo name as part of a trademark for cheese.</w:t>
      </w:r>
      <w:r w:rsidRPr="006662F5">
        <w:rPr>
          <w:vertAlign w:val="superscript"/>
        </w:rPr>
        <w:footnoteReference w:id="498"/>
      </w:r>
      <w:r w:rsidRPr="006662F5">
        <w:t xml:space="preserve"> In addition to finding predatory intent, the court cited the possible tarnishment of the Gallo mark for wine due to a lack of quality control at the cheesemaking facility.</w:t>
      </w:r>
      <w:r w:rsidRPr="006662F5">
        <w:rPr>
          <w:vertAlign w:val="superscript"/>
        </w:rPr>
        <w:footnoteReference w:id="499"/>
      </w:r>
    </w:p>
    <w:p w:rsidR="00431229" w:rsidRPr="006662F5" w:rsidRDefault="00431229" w:rsidP="00073AC5">
      <w:pPr>
        <w:pStyle w:val="text"/>
      </w:pPr>
      <w:r w:rsidRPr="006662F5">
        <w:t>Counterfeit goods are a frequent source of dilution claims (although they frequently result in defaults, lessening the quality of decision-making in this area).</w:t>
      </w:r>
      <w:r w:rsidRPr="006662F5">
        <w:rPr>
          <w:vertAlign w:val="superscript"/>
        </w:rPr>
        <w:footnoteReference w:id="500"/>
      </w:r>
      <w:r w:rsidRPr="006662F5">
        <w:t xml:space="preserve"> Counterfeits are a somewhat odd situation for dilution, in that the intent of counterfeiting is normally to cause confusion. However, where the counterfeit goods are of poor quality, they can harm the reputation of the senior mark owner.</w:t>
      </w:r>
    </w:p>
    <w:p w:rsidR="00431229" w:rsidRPr="006662F5" w:rsidRDefault="00431229" w:rsidP="00073AC5">
      <w:pPr>
        <w:pStyle w:val="text"/>
      </w:pPr>
      <w:r w:rsidRPr="006662F5">
        <w:t xml:space="preserve">In </w:t>
      </w:r>
      <w:r w:rsidRPr="006662F5">
        <w:rPr>
          <w:i/>
          <w:iCs/>
        </w:rPr>
        <w:t>Calvin Klein Trademark Trust v</w:t>
      </w:r>
      <w:r w:rsidRPr="006662F5">
        <w:t>.</w:t>
      </w:r>
      <w:r w:rsidRPr="006662F5">
        <w:rPr>
          <w:i/>
          <w:iCs/>
        </w:rPr>
        <w:t xml:space="preserve"> Wachner</w:t>
      </w:r>
      <w:r w:rsidRPr="006662F5">
        <w:t>,</w:t>
      </w:r>
      <w:r w:rsidRPr="006662F5">
        <w:rPr>
          <w:vertAlign w:val="superscript"/>
        </w:rPr>
        <w:footnoteReference w:id="501"/>
      </w:r>
      <w:r w:rsidRPr="006662F5">
        <w:t xml:space="preserve"> the court refused to dismiss a dilution-by-tarnishment claim based on the defendant’s failure to manufacture products containing the plaintiff’s mark in accordance with the plaintiff’s design specifications.</w:t>
      </w:r>
      <w:r w:rsidRPr="006662F5">
        <w:rPr>
          <w:vertAlign w:val="superscript"/>
        </w:rPr>
        <w:footnoteReference w:id="502"/>
      </w:r>
      <w:r w:rsidRPr="006662F5">
        <w:t xml:space="preserve"> In </w:t>
      </w:r>
      <w:r w:rsidRPr="006662F5">
        <w:rPr>
          <w:i/>
          <w:iCs/>
        </w:rPr>
        <w:t>Four Seasons Hotels &amp; Resorts B</w:t>
      </w:r>
      <w:r w:rsidRPr="006662F5">
        <w:t>.</w:t>
      </w:r>
      <w:r w:rsidRPr="006662F5">
        <w:rPr>
          <w:i/>
          <w:iCs/>
        </w:rPr>
        <w:t>V</w:t>
      </w:r>
      <w:r w:rsidRPr="006662F5">
        <w:t>.</w:t>
      </w:r>
      <w:r w:rsidRPr="006662F5">
        <w:rPr>
          <w:i/>
          <w:iCs/>
        </w:rPr>
        <w:t xml:space="preserve"> v</w:t>
      </w:r>
      <w:r w:rsidRPr="006662F5">
        <w:t>.</w:t>
      </w:r>
      <w:r w:rsidRPr="006662F5">
        <w:rPr>
          <w:i/>
          <w:iCs/>
        </w:rPr>
        <w:t xml:space="preserve"> Consorcio Barr, S</w:t>
      </w:r>
      <w:r w:rsidRPr="006662F5">
        <w:t>.</w:t>
      </w:r>
      <w:r w:rsidRPr="006662F5">
        <w:rPr>
          <w:i/>
          <w:iCs/>
        </w:rPr>
        <w:t>A</w:t>
      </w:r>
      <w:r w:rsidRPr="006662F5">
        <w:t>.,</w:t>
      </w:r>
      <w:r w:rsidRPr="006662F5">
        <w:rPr>
          <w:vertAlign w:val="superscript"/>
        </w:rPr>
        <w:footnoteReference w:id="503"/>
      </w:r>
      <w:r w:rsidRPr="006662F5">
        <w:t xml:space="preserve"> the court imposed liability under the FTDA and the Florida dilution statute in a case where the defendant was licensed to use the Four Seasons mark for its hotel in Caracas, Venezuela, and did not operate the hotel according to the standards of a Four Seasons hotel.</w:t>
      </w:r>
      <w:r w:rsidRPr="006662F5">
        <w:rPr>
          <w:vertAlign w:val="superscript"/>
        </w:rPr>
        <w:footnoteReference w:id="504"/>
      </w:r>
      <w:r w:rsidRPr="006662F5">
        <w:t xml:space="preserve"> Such cases are interesting because they do not involve a use of the mark on a product that is not produced by the mark owner. Rather, they involve uses that are licensed, where the lack of quality control could tarnish the reputation of the mark owner.</w:t>
      </w:r>
      <w:r w:rsidRPr="006662F5">
        <w:rPr>
          <w:vertAlign w:val="superscript"/>
        </w:rPr>
        <w:footnoteReference w:id="505"/>
      </w:r>
      <w:r w:rsidRPr="006662F5">
        <w:t xml:space="preserve"> Thus they do not represent situations where the mark’s unique source-identifying significance is at risk because the uses are on goods or services that are intended to inure to the benefit of the mark owner. They do, however, represent situations where the mark’s reputation might be harmed, consistent with the 2007 Model Bill definition of tarnishment.</w:t>
      </w:r>
    </w:p>
    <w:p w:rsidR="00431229" w:rsidRPr="006662F5" w:rsidRDefault="00431229" w:rsidP="00073AC5">
      <w:pPr>
        <w:pStyle w:val="text"/>
      </w:pPr>
      <w:r w:rsidRPr="006662F5">
        <w:t xml:space="preserve">In </w:t>
      </w:r>
      <w:r w:rsidRPr="006662F5">
        <w:rPr>
          <w:i/>
          <w:iCs/>
        </w:rPr>
        <w:t>GTFM, Inc</w:t>
      </w:r>
      <w:r w:rsidRPr="006662F5">
        <w:t>.</w:t>
      </w:r>
      <w:r w:rsidRPr="006662F5">
        <w:rPr>
          <w:i/>
          <w:iCs/>
        </w:rPr>
        <w:t xml:space="preserve"> v</w:t>
      </w:r>
      <w:r w:rsidRPr="006662F5">
        <w:t>.</w:t>
      </w:r>
      <w:r w:rsidRPr="006662F5">
        <w:rPr>
          <w:i/>
          <w:iCs/>
        </w:rPr>
        <w:t xml:space="preserve"> Solid Clothing, Inc</w:t>
      </w:r>
      <w:r w:rsidRPr="006662F5">
        <w:t>.,</w:t>
      </w:r>
      <w:r w:rsidRPr="006662F5">
        <w:rPr>
          <w:vertAlign w:val="superscript"/>
        </w:rPr>
        <w:footnoteReference w:id="506"/>
      </w:r>
      <w:r w:rsidRPr="006662F5">
        <w:t xml:space="preserve"> applying New York law, the court found that plaintiff’s 05 mark on clothing was tarnished by the defendant’s use of Players 05 on clothing, where the defendant’s goods were of significantly inferior quality to those of the plaintiff.</w:t>
      </w:r>
    </w:p>
    <w:p w:rsidR="00431229" w:rsidRDefault="00431229" w:rsidP="00073AC5">
      <w:pPr>
        <w:pStyle w:val="text"/>
      </w:pPr>
      <w:r w:rsidRPr="006662F5">
        <w:t xml:space="preserve">In </w:t>
      </w:r>
      <w:r w:rsidRPr="006662F5">
        <w:rPr>
          <w:i/>
          <w:iCs/>
        </w:rPr>
        <w:t>L &amp; L Wings, Inc</w:t>
      </w:r>
      <w:r w:rsidRPr="006662F5">
        <w:t>.</w:t>
      </w:r>
      <w:r w:rsidRPr="006662F5">
        <w:rPr>
          <w:i/>
          <w:iCs/>
        </w:rPr>
        <w:t xml:space="preserve"> v</w:t>
      </w:r>
      <w:r w:rsidRPr="006662F5">
        <w:t>.</w:t>
      </w:r>
      <w:r w:rsidRPr="006662F5">
        <w:rPr>
          <w:i/>
          <w:iCs/>
        </w:rPr>
        <w:t xml:space="preserve"> Marco-Destin, Inc</w:t>
      </w:r>
      <w:r w:rsidRPr="006662F5">
        <w:t>.,</w:t>
      </w:r>
      <w:r w:rsidRPr="006662F5">
        <w:rPr>
          <w:vertAlign w:val="superscript"/>
        </w:rPr>
        <w:footnoteReference w:id="507"/>
      </w:r>
      <w:r w:rsidRPr="006662F5">
        <w:t xml:space="preserve"> the court found tarnishment after noting complaints about the quality of the defendant’s products.</w:t>
      </w:r>
      <w:r w:rsidRPr="006662F5">
        <w:rPr>
          <w:vertAlign w:val="superscript"/>
        </w:rPr>
        <w:footnoteReference w:id="508"/>
      </w:r>
    </w:p>
    <w:p w:rsidR="00431229" w:rsidRPr="006662F5" w:rsidRDefault="00431229" w:rsidP="00073AC5">
      <w:pPr>
        <w:pStyle w:val="text"/>
      </w:pPr>
      <w:r w:rsidRPr="00784315">
        <w:t xml:space="preserve">In </w:t>
      </w:r>
      <w:r w:rsidRPr="00784315">
        <w:rPr>
          <w:i/>
          <w:iCs/>
        </w:rPr>
        <w:t>Reservoir, Inc. v. Truesdell</w:t>
      </w:r>
      <w:r w:rsidRPr="00784315">
        <w:t>,</w:t>
      </w:r>
      <w:r w:rsidRPr="00784315">
        <w:rPr>
          <w:vertAlign w:val="superscript"/>
        </w:rPr>
        <w:footnoteReference w:id="509"/>
      </w:r>
      <w:r w:rsidRPr="00784315">
        <w:t xml:space="preserve"> the court found dilution under Texas’s former dilution law based on the testimony of the owner of plaintiff’s bar (named Rebels Honky Tonk) that the defendant’s bar (also named Rebels Honky Tonk) tarnished the reputation of plaintiff’s bar because of the rowdy behavior of its patrons.</w:t>
      </w:r>
      <w:r w:rsidRPr="00784315">
        <w:rPr>
          <w:vertAlign w:val="superscript"/>
        </w:rPr>
        <w:footnoteReference w:id="510"/>
      </w:r>
    </w:p>
    <w:p w:rsidR="00431229" w:rsidRPr="006662F5" w:rsidRDefault="00431229" w:rsidP="00073AC5">
      <w:pPr>
        <w:pStyle w:val="text"/>
      </w:pPr>
      <w:r w:rsidRPr="006662F5">
        <w:t>Sometimes courts will reach out to find tarnishing qualities, especially when they believe that the defendant has acted in bad faith. In one case, a district court found that the defendant’s safes, which were made from actual product containers sold by the plaintiff (Pepsi), constituted tarnishment under state and federal law because, it said, the safes were “commonly associated with the concealment of illicit narcotics.”</w:t>
      </w:r>
      <w:r w:rsidRPr="006662F5">
        <w:rPr>
          <w:vertAlign w:val="superscript"/>
        </w:rPr>
        <w:footnoteReference w:id="511"/>
      </w:r>
      <w:r w:rsidRPr="006662F5">
        <w:t xml:space="preserve"> The court cited no evidence in the record, however, to support this assertion. In another case, the court pointed to misspellings on the defendant’s products, calling them “shoddy goods,” and finding tarnishment under state and federal law.</w:t>
      </w:r>
      <w:r w:rsidRPr="006662F5">
        <w:rPr>
          <w:vertAlign w:val="superscript"/>
        </w:rPr>
        <w:footnoteReference w:id="512"/>
      </w:r>
    </w:p>
    <w:p w:rsidR="00431229" w:rsidRPr="006662F5" w:rsidRDefault="00431229" w:rsidP="00073AC5">
      <w:pPr>
        <w:pStyle w:val="text"/>
      </w:pPr>
      <w:r w:rsidRPr="006662F5">
        <w:t xml:space="preserve">But in several other cases, courts have refused to give relief against allegedly tarnishing uses of a mark. In </w:t>
      </w:r>
      <w:r w:rsidRPr="006662F5">
        <w:rPr>
          <w:i/>
          <w:iCs/>
        </w:rPr>
        <w:t>Pebble Beach Co</w:t>
      </w:r>
      <w:r w:rsidRPr="006662F5">
        <w:t>.</w:t>
      </w:r>
      <w:r w:rsidRPr="006662F5">
        <w:rPr>
          <w:i/>
          <w:iCs/>
        </w:rPr>
        <w:t xml:space="preserve"> v</w:t>
      </w:r>
      <w:r w:rsidRPr="006662F5">
        <w:t>.</w:t>
      </w:r>
      <w:r w:rsidRPr="006662F5">
        <w:rPr>
          <w:i/>
          <w:iCs/>
        </w:rPr>
        <w:t xml:space="preserve"> Tour 18I, Ltd</w:t>
      </w:r>
      <w:r w:rsidRPr="006662F5">
        <w:t>.,</w:t>
      </w:r>
      <w:r w:rsidRPr="006662F5">
        <w:rPr>
          <w:vertAlign w:val="superscript"/>
        </w:rPr>
        <w:footnoteReference w:id="513"/>
      </w:r>
      <w:r w:rsidRPr="006662F5">
        <w:t xml:space="preserve"> the defendant operated a golf course in Texas containing copies of famous holes from various golf courses around the country. The plaintiffs were the operators of the courses from which some holes had been </w:t>
      </w:r>
      <w:r w:rsidRPr="006662F5">
        <w:softHyphen/>
        <w:t>copied.</w:t>
      </w:r>
      <w:r w:rsidRPr="006662F5">
        <w:rPr>
          <w:vertAlign w:val="superscript"/>
        </w:rPr>
        <w:footnoteReference w:id="514"/>
      </w:r>
      <w:r w:rsidRPr="006662F5">
        <w:t xml:space="preserve"> The court rejected multiple tarnishment theories. First, it rejected a claim that the defendant’s use of topless female caddies and a “bikini calendar” associating the models with the famous golf holes tarnished the plaintiffs’ marks.</w:t>
      </w:r>
      <w:r w:rsidRPr="006662F5">
        <w:rPr>
          <w:vertAlign w:val="superscript"/>
        </w:rPr>
        <w:footnoteReference w:id="515"/>
      </w:r>
      <w:r w:rsidRPr="006662F5">
        <w:t xml:space="preserve"> The court called these “isolated incidents that are more likely to affect [defendant] Tour 18’s reputation than the goodwill associated with plaintiff’s marks.”</w:t>
      </w:r>
      <w:r w:rsidRPr="006662F5">
        <w:rPr>
          <w:vertAlign w:val="superscript"/>
        </w:rPr>
        <w:footnoteReference w:id="516"/>
      </w:r>
      <w:r w:rsidRPr="006662F5">
        <w:t xml:space="preserve"> The court also rejected tarnishment claims based on poor conditions on the defendant’s golf course and inaccuracies in the copying of the holes.</w:t>
      </w:r>
      <w:r w:rsidRPr="006662F5">
        <w:rPr>
          <w:vertAlign w:val="superscript"/>
        </w:rPr>
        <w:footnoteReference w:id="517"/>
      </w:r>
      <w:r w:rsidRPr="006662F5">
        <w:t xml:space="preserve"> Rejecting the poor condition claim, the court noted a lack of strong evidence to support it and found that golfers would be likely to direct their ire at the copy course owner, not the famous courses.</w:t>
      </w:r>
      <w:r w:rsidRPr="006662F5">
        <w:rPr>
          <w:vertAlign w:val="superscript"/>
        </w:rPr>
        <w:footnoteReference w:id="518"/>
      </w:r>
      <w:r w:rsidRPr="006662F5">
        <w:t xml:space="preserve"> Similarly, the court regarded it as unlikely that golfers would expect exact replicas, including scenery, of the famous holes, and concluded that defects would be blamed on the defendant, not the plaintiffs.</w:t>
      </w:r>
      <w:r w:rsidRPr="006662F5">
        <w:rPr>
          <w:vertAlign w:val="superscript"/>
        </w:rPr>
        <w:footnoteReference w:id="519"/>
      </w:r>
    </w:p>
    <w:p w:rsidR="00431229" w:rsidRDefault="00431229" w:rsidP="00073AC5">
      <w:pPr>
        <w:pStyle w:val="text"/>
      </w:pPr>
      <w:r w:rsidRPr="006662F5">
        <w:t xml:space="preserve">In </w:t>
      </w:r>
      <w:r w:rsidRPr="006662F5">
        <w:rPr>
          <w:i/>
          <w:iCs/>
        </w:rPr>
        <w:t>Starbucks Corp</w:t>
      </w:r>
      <w:r w:rsidRPr="006662F5">
        <w:t>.</w:t>
      </w:r>
      <w:r w:rsidRPr="006662F5">
        <w:rPr>
          <w:i/>
          <w:iCs/>
        </w:rPr>
        <w:t xml:space="preserve"> v</w:t>
      </w:r>
      <w:r w:rsidRPr="006662F5">
        <w:t>.</w:t>
      </w:r>
      <w:r w:rsidRPr="006662F5">
        <w:rPr>
          <w:i/>
          <w:iCs/>
        </w:rPr>
        <w:t xml:space="preserve"> Wolfe’s Borough Coffee, Inc</w:t>
      </w:r>
      <w:r w:rsidRPr="006662F5">
        <w:t>.,</w:t>
      </w:r>
      <w:r w:rsidRPr="006662F5">
        <w:rPr>
          <w:vertAlign w:val="superscript"/>
        </w:rPr>
        <w:footnoteReference w:id="520"/>
      </w:r>
      <w:r w:rsidRPr="006662F5">
        <w:t xml:space="preserve"> the court affirmed the rejection of a tarnishment claim against the maker of a Mister Charbucks blend of coffee, finding the defendant’s coffee to be of high quality.</w:t>
      </w:r>
      <w:r w:rsidRPr="006662F5">
        <w:rPr>
          <w:vertAlign w:val="superscript"/>
        </w:rPr>
        <w:footnoteReference w:id="521"/>
      </w:r>
      <w:r w:rsidRPr="006662F5">
        <w:t xml:space="preserve"> The court also noted that the fact that a survey showed negative associations with the name Charbucks did not show that these associations were linked to the Starbucks mark.</w:t>
      </w:r>
      <w:r w:rsidRPr="006662F5">
        <w:rPr>
          <w:vertAlign w:val="superscript"/>
        </w:rPr>
        <w:footnoteReference w:id="522"/>
      </w:r>
    </w:p>
    <w:p w:rsidR="00431229" w:rsidRPr="00C4457D" w:rsidRDefault="00431229" w:rsidP="00C4457D">
      <w:pPr>
        <w:autoSpaceDE w:val="0"/>
        <w:autoSpaceDN w:val="0"/>
        <w:adjustRightInd w:val="0"/>
        <w:rPr>
          <w:rFonts w:ascii="TimesNewRomanPSMT" w:hAnsi="TimesNewRomanPSMT" w:cs="TimesNewRomanPSMT"/>
          <w:sz w:val="20"/>
          <w:szCs w:val="20"/>
        </w:rPr>
      </w:pPr>
      <w:r w:rsidRPr="008C38C3">
        <w:t xml:space="preserve">Similarly, in </w:t>
      </w:r>
      <w:r w:rsidRPr="008C38C3">
        <w:rPr>
          <w:i/>
          <w:iCs/>
        </w:rPr>
        <w:t>Boarding School Review, LLC v</w:t>
      </w:r>
      <w:r w:rsidRPr="008C38C3">
        <w:t>.</w:t>
      </w:r>
      <w:r w:rsidRPr="008C38C3">
        <w:rPr>
          <w:i/>
          <w:iCs/>
        </w:rPr>
        <w:t xml:space="preserve"> Delta Career Educational Corp</w:t>
      </w:r>
      <w:r w:rsidRPr="00751800">
        <w:t>.,</w:t>
      </w:r>
      <w:r w:rsidRPr="00784315">
        <w:rPr>
          <w:vertAlign w:val="superscript"/>
        </w:rPr>
        <w:footnoteReference w:id="523"/>
      </w:r>
      <w:r w:rsidRPr="00784315">
        <w:t xml:space="preserve"> the court dismissed tarnishment claims at the pleading stage, finding no plausible allegations that the marks in question had been linked “to products of shoddy quality or are portrayed in an unwholesome or unsavory context.”</w:t>
      </w:r>
      <w:r w:rsidRPr="00784315">
        <w:rPr>
          <w:vertAlign w:val="superscript"/>
        </w:rPr>
        <w:footnoteReference w:id="524"/>
      </w:r>
      <w:r>
        <w:t xml:space="preserve">  In </w:t>
      </w:r>
      <w:r w:rsidRPr="00281C1D">
        <w:rPr>
          <w:i/>
          <w:iCs/>
        </w:rPr>
        <w:t>Fischer &amp; Frichtel Custom Homes, LLC v. Fischer Management, LLC</w:t>
      </w:r>
      <w:r w:rsidRPr="00281C1D">
        <w:t>,</w:t>
      </w:r>
      <w:r>
        <w:rPr>
          <w:rStyle w:val="FootnoteReference"/>
        </w:rPr>
        <w:footnoteReference w:id="525"/>
      </w:r>
      <w:r w:rsidRPr="00281C1D">
        <w:t xml:space="preserve"> </w:t>
      </w:r>
      <w:r>
        <w:t>the court dismissed a tarnishment claim under Missouri law finding both a lack of similarity and questioning whether there was evidence that defendant’s reputation would affect that of the plaintiff.</w:t>
      </w:r>
      <w:r>
        <w:rPr>
          <w:rStyle w:val="FootnoteReference"/>
        </w:rPr>
        <w:footnoteReference w:id="526"/>
      </w:r>
      <w:r>
        <w:t xml:space="preserve">  And in </w:t>
      </w:r>
      <w:r>
        <w:rPr>
          <w:i/>
          <w:iCs/>
        </w:rPr>
        <w:t>Spark Therapeutics, Inc. v. Bluebird Bio, Inc.</w:t>
      </w:r>
      <w:r>
        <w:t>,</w:t>
      </w:r>
      <w:r>
        <w:rPr>
          <w:rStyle w:val="FootnoteReference"/>
        </w:rPr>
        <w:footnoteReference w:id="527"/>
      </w:r>
      <w:r>
        <w:t xml:space="preserve"> where the plaintiff claimed that the fact that some of defendant’s clinical trials for gene therapies had been halted by the Food and Drug Administration, the court found that  it had not “</w:t>
      </w:r>
      <w:r w:rsidRPr="00C4457D">
        <w:rPr>
          <w:rFonts w:ascii="TimesNewRomanPSMT" w:hAnsi="TimesNewRomanPSMT" w:cs="TimesNewRomanPSMT"/>
        </w:rPr>
        <w:t>produced the kind of negative reaction in the relevant community of either</w:t>
      </w:r>
      <w:r>
        <w:rPr>
          <w:rFonts w:ascii="TimesNewRomanPSMT" w:hAnsi="TimesNewRomanPSMT" w:cs="TimesNewRomanPSMT"/>
        </w:rPr>
        <w:t xml:space="preserve"> </w:t>
      </w:r>
      <w:r w:rsidRPr="00C4457D">
        <w:rPr>
          <w:rFonts w:ascii="TimesNewRomanPSMT" w:hAnsi="TimesNewRomanPSMT" w:cs="TimesNewRomanPSMT"/>
        </w:rPr>
        <w:t xml:space="preserve">physicians or patients that could reasonably be expected to  have resulted in a negative impact on the goodwill associated with </w:t>
      </w:r>
      <w:r>
        <w:rPr>
          <w:rFonts w:ascii="TimesNewRomanPSMT" w:hAnsi="TimesNewRomanPSMT" w:cs="TimesNewRomanPSMT"/>
        </w:rPr>
        <w:t>[plaintiff]’</w:t>
      </w:r>
      <w:r w:rsidRPr="00C4457D">
        <w:rPr>
          <w:rFonts w:ascii="TimesNewRomanPSMT" w:hAnsi="TimesNewRomanPSMT" w:cs="TimesNewRomanPSMT"/>
        </w:rPr>
        <w:t>s SPARK marks.”</w:t>
      </w:r>
      <w:r>
        <w:rPr>
          <w:rStyle w:val="FootnoteReference"/>
          <w:rFonts w:cs="TimesNewRomanPSMT"/>
        </w:rPr>
        <w:footnoteReference w:id="528"/>
      </w:r>
    </w:p>
    <w:p w:rsidR="00431229" w:rsidRPr="006662F5" w:rsidRDefault="00431229" w:rsidP="00073AC5">
      <w:pPr>
        <w:pStyle w:val="3rdLevelHead1"/>
        <w:rPr>
          <w:rFonts w:cs="Times New Roman"/>
        </w:rPr>
      </w:pPr>
      <w:r w:rsidRPr="006662F5">
        <w:rPr>
          <w:rFonts w:cs="Times New Roman"/>
        </w:rPr>
        <w:t>7</w:t>
      </w:r>
      <w:r w:rsidRPr="006662F5">
        <w:rPr>
          <w:rFonts w:cs="Times New Roman"/>
          <w:i w:val="0"/>
          <w:iCs w:val="0"/>
        </w:rPr>
        <w:t>.</w:t>
      </w:r>
      <w:r w:rsidRPr="006662F5">
        <w:rPr>
          <w:rFonts w:cs="Times New Roman"/>
        </w:rPr>
        <w:tab/>
        <w:t>Tarnishment Claims Often Require Evidence of Actual Harm</w:t>
      </w:r>
    </w:p>
    <w:p w:rsidR="00431229" w:rsidRPr="006662F5" w:rsidRDefault="00431229" w:rsidP="00073AC5">
      <w:pPr>
        <w:pStyle w:val="text"/>
      </w:pPr>
      <w:r w:rsidRPr="006662F5">
        <w:t>The tarnishment cases tend to split broadly into three categories: trademark tarnishment by (1) poor-quality goods; (2) parody involving sex or drugs; and (3) other trademark parodies. Where sex or drugs are involved, courts often, though not universally, will presume harm (or likelihood of harm) from the second use.</w:t>
      </w:r>
      <w:r w:rsidRPr="006662F5">
        <w:rPr>
          <w:vertAlign w:val="superscript"/>
        </w:rPr>
        <w:footnoteReference w:id="529"/>
      </w:r>
      <w:r w:rsidRPr="006662F5">
        <w:t xml:space="preserve"> However, where the tarnishing use falls into one of the other two categories, the presumption of harm often falls away, and courts demand (and usually do not find) actual evidence of harm.</w:t>
      </w:r>
      <w:r w:rsidRPr="006662F5">
        <w:rPr>
          <w:vertAlign w:val="superscript"/>
        </w:rPr>
        <w:footnoteReference w:id="530"/>
      </w:r>
      <w:r w:rsidRPr="006662F5">
        <w:t xml:space="preserve"> </w:t>
      </w:r>
    </w:p>
    <w:p w:rsidR="00431229" w:rsidRPr="006662F5" w:rsidRDefault="00431229" w:rsidP="00073AC5">
      <w:pPr>
        <w:pStyle w:val="text"/>
      </w:pPr>
      <w:r w:rsidRPr="006662F5">
        <w:t xml:space="preserve">This is not an illogical result. Tarnishment does not operate by distracting the consumer’s consciousness of the uniqueness of the mark. Instead, it attacks the good feelings associated with the mark. Unlike blurring, where evidence of harm will be difficult to procure, it should be easier to produce evidence of tarnishment. </w:t>
      </w:r>
    </w:p>
    <w:p w:rsidR="00431229" w:rsidRPr="006662F5" w:rsidRDefault="00431229" w:rsidP="00073AC5">
      <w:pPr>
        <w:pStyle w:val="text"/>
      </w:pPr>
      <w:r w:rsidRPr="006662F5">
        <w:t>Moreover, tarnishment can be compared to trade disparagement. In many jurisdictions, trade disparagement requires a showing of special damages.</w:t>
      </w:r>
      <w:r w:rsidRPr="006662F5">
        <w:rPr>
          <w:vertAlign w:val="superscript"/>
        </w:rPr>
        <w:footnoteReference w:id="531"/>
      </w:r>
      <w:r w:rsidRPr="006662F5">
        <w:t xml:space="preserve"> Indeed, requiring a demonstration of harm in a tarnishment case can be seen as analogous to the requirement of special damages. It is also consistent with the </w:t>
      </w:r>
      <w:r w:rsidRPr="006662F5">
        <w:rPr>
          <w:i/>
          <w:iCs/>
        </w:rPr>
        <w:t>Restatement</w:t>
      </w:r>
      <w:r w:rsidRPr="006662F5">
        <w:t xml:space="preserve">’s requirement that tarnishment by non-trademark uses be limited to those circumstances where the use is independently tortious (as in a trade disparagement situation). Finally, after the Supreme Court’s decision in </w:t>
      </w:r>
      <w:r w:rsidRPr="006662F5">
        <w:rPr>
          <w:i/>
          <w:iCs/>
        </w:rPr>
        <w:t>Moseley v</w:t>
      </w:r>
      <w:r w:rsidRPr="006662F5">
        <w:t>.</w:t>
      </w:r>
      <w:r w:rsidRPr="006662F5">
        <w:rPr>
          <w:i/>
          <w:iCs/>
        </w:rPr>
        <w:t xml:space="preserve"> V Secret Catalogue, Inc</w:t>
      </w:r>
      <w:r w:rsidRPr="006662F5">
        <w:t>.,</w:t>
      </w:r>
      <w:r w:rsidRPr="006662F5">
        <w:rPr>
          <w:vertAlign w:val="superscript"/>
        </w:rPr>
        <w:footnoteReference w:id="532"/>
      </w:r>
      <w:r w:rsidRPr="006662F5">
        <w:t xml:space="preserve"> it was held that many state claims require a showing of actual dilution as a prerequisite to imposing any dilution liability.</w:t>
      </w:r>
      <w:r w:rsidRPr="006662F5">
        <w:rPr>
          <w:vertAlign w:val="superscript"/>
        </w:rPr>
        <w:footnoteReference w:id="533"/>
      </w:r>
      <w:r w:rsidRPr="006662F5">
        <w:t xml:space="preserve"> However, the language of the 2007 Model Bill specifically disclaims a need to show “actual economic harm.” Therefore, under the 2007 Model Bill, the lack of evidence of harm could be at most a factor in the analysis but could not per se preclude the imposition of liability.</w:t>
      </w:r>
    </w:p>
    <w:p w:rsidR="00431229" w:rsidRPr="006662F5" w:rsidRDefault="00431229" w:rsidP="00073AC5">
      <w:pPr>
        <w:pStyle w:val="2ndLevelHeadA0"/>
        <w:rPr>
          <w:rFonts w:cs="Times New Roman"/>
        </w:rPr>
      </w:pPr>
      <w:r w:rsidRPr="006662F5">
        <w:rPr>
          <w:rFonts w:cs="Times New Roman"/>
        </w:rPr>
        <w:t>C.</w:t>
      </w:r>
      <w:r w:rsidRPr="006662F5">
        <w:rPr>
          <w:rFonts w:cs="Times New Roman"/>
        </w:rPr>
        <w:tab/>
        <w:t>Dilution by Confusion</w:t>
      </w:r>
    </w:p>
    <w:p w:rsidR="00431229" w:rsidRPr="006662F5" w:rsidRDefault="00431229" w:rsidP="00073AC5">
      <w:pPr>
        <w:pStyle w:val="text"/>
      </w:pPr>
      <w:r w:rsidRPr="006662F5">
        <w:t xml:space="preserve">Viewed through the lens of dilution theory, dilution by confusion is anomalous. Dilution is premised on a gradual erosion of a mark’s distinctiveness that occurs when the consuming public sees the mark on other goods or services and realizes that there is another user of the mark unconnected with the well-known source. Confusion occurs when the consumer believes that there is only </w:t>
      </w:r>
      <w:r w:rsidRPr="006662F5">
        <w:rPr>
          <w:i/>
          <w:iCs/>
        </w:rPr>
        <w:t>one</w:t>
      </w:r>
      <w:r w:rsidRPr="006662F5">
        <w:t xml:space="preserve"> user of the mark and that the defendant’s goods or services therefore must be associated with the known user. Dilution and confusion actually are different states of mind and would not be expected to overlap. Rather, dilution protection fills in the gap in trademark protection left by infringement by confusion.</w:t>
      </w:r>
      <w:r w:rsidRPr="006662F5">
        <w:rPr>
          <w:vertAlign w:val="superscript"/>
        </w:rPr>
        <w:footnoteReference w:id="534"/>
      </w:r>
    </w:p>
    <w:p w:rsidR="00431229" w:rsidRPr="006662F5" w:rsidRDefault="00431229" w:rsidP="00073AC5">
      <w:pPr>
        <w:pStyle w:val="text"/>
      </w:pPr>
      <w:r w:rsidRPr="006662F5">
        <w:t>Moreover, confusion does not fit the various statutory definitions of dilution contained in the newer dilution laws. Because confusion does not lessen the source-identifying power of the mark, nor does it lessen the distinctive quality—in the sense of uniqueness—of the mark (because it does not divert attention to another user), the definitions of dilution in the 1992 and 1996 Model Bills, and the definitions of dilution in the 2007 Model Bill (especially blurring), appear inapplicable to confusion.</w:t>
      </w:r>
      <w:r w:rsidRPr="006662F5">
        <w:rPr>
          <w:vertAlign w:val="superscript"/>
        </w:rPr>
        <w:footnoteReference w:id="535"/>
      </w:r>
      <w:r w:rsidRPr="006662F5">
        <w:t xml:space="preserve"> The one sense in which confusion fits the dilution rationale is by muddying the “message” of the trademark—by telling the consumer that the mark is associated with a type of goods not intended by the mark owner.</w:t>
      </w:r>
      <w:r w:rsidRPr="006662F5">
        <w:rPr>
          <w:vertAlign w:val="superscript"/>
        </w:rPr>
        <w:footnoteReference w:id="536"/>
      </w:r>
    </w:p>
    <w:p w:rsidR="00431229" w:rsidRPr="006662F5" w:rsidRDefault="00431229" w:rsidP="00073AC5">
      <w:pPr>
        <w:pStyle w:val="text"/>
      </w:pPr>
      <w:r w:rsidRPr="006662F5">
        <w:t>Nevertheless, numerous courts have assumed, implicitly or explicitly, that a finding of confusion is sufficient to support a finding of dilution.</w:t>
      </w:r>
      <w:r w:rsidRPr="006662F5">
        <w:rPr>
          <w:vertAlign w:val="superscript"/>
        </w:rPr>
        <w:footnoteReference w:id="537"/>
      </w:r>
      <w:r w:rsidRPr="006662F5">
        <w:t xml:space="preserve"> Courts do not carve out a separate category for these cases, treating them instead as a form of blurring or tarnishment. Thus, the analysis of dilution presented in those sections of this text generally applies where there is a finding of confusion. But, as one court noted, a finding of confusion will make a finding of dilution more likely.</w:t>
      </w:r>
      <w:r w:rsidRPr="006662F5">
        <w:rPr>
          <w:vertAlign w:val="superscript"/>
        </w:rPr>
        <w:footnoteReference w:id="538"/>
      </w:r>
    </w:p>
    <w:p w:rsidR="00431229" w:rsidRPr="006662F5" w:rsidRDefault="00431229" w:rsidP="00073AC5">
      <w:pPr>
        <w:pStyle w:val="text"/>
      </w:pPr>
      <w:r w:rsidRPr="006662F5">
        <w:t>On the other side of the coin, some courts have declined to decide a dilution claim once they have determined that likelihood of confusion exists.</w:t>
      </w:r>
      <w:r w:rsidRPr="006662F5">
        <w:rPr>
          <w:vertAlign w:val="superscript"/>
        </w:rPr>
        <w:footnoteReference w:id="539"/>
      </w:r>
      <w:r w:rsidRPr="006662F5">
        <w:t xml:space="preserve"> This is also curious, since an injunction against dilution could protect against acts not covered by infringement.</w:t>
      </w:r>
    </w:p>
    <w:p w:rsidR="00431229" w:rsidRPr="006662F5" w:rsidRDefault="00431229" w:rsidP="00073AC5">
      <w:pPr>
        <w:pStyle w:val="2ndLevelHeadA0"/>
        <w:rPr>
          <w:rFonts w:cs="Times New Roman"/>
        </w:rPr>
      </w:pPr>
      <w:r w:rsidRPr="006662F5">
        <w:rPr>
          <w:rFonts w:cs="Times New Roman"/>
        </w:rPr>
        <w:t>D.</w:t>
      </w:r>
      <w:r w:rsidRPr="006662F5">
        <w:rPr>
          <w:rFonts w:cs="Times New Roman"/>
        </w:rPr>
        <w:tab/>
        <w:t>Dilution by Genericide</w:t>
      </w:r>
    </w:p>
    <w:p w:rsidR="00431229" w:rsidRPr="006662F5" w:rsidRDefault="00431229" w:rsidP="00073AC5">
      <w:pPr>
        <w:pStyle w:val="text"/>
      </w:pPr>
      <w:r w:rsidRPr="006662F5">
        <w:t>Although it does not fit the classic situation of dilution—use on a noncompeting product—dilution by genericide may most closely fit some of the statutory definitions of dilution. If a mark becomes generic, it loses its ability to designate a source. Truly, its ability to “distinguish goods and services” has been “lessened.”</w:t>
      </w:r>
      <w:r w:rsidRPr="006662F5">
        <w:rPr>
          <w:vertAlign w:val="superscript"/>
        </w:rPr>
        <w:footnoteReference w:id="540"/>
      </w:r>
    </w:p>
    <w:p w:rsidR="00431229" w:rsidRPr="006662F5" w:rsidRDefault="00431229" w:rsidP="00073AC5">
      <w:pPr>
        <w:pStyle w:val="text"/>
      </w:pPr>
      <w:r w:rsidRPr="006662F5">
        <w:t>The most common situation in which dilution by genericide may occur is in a comparative advertisement. One competitor may refer to the product of another in a generic manner.</w:t>
      </w:r>
      <w:r w:rsidRPr="006662F5">
        <w:rPr>
          <w:vertAlign w:val="superscript"/>
        </w:rPr>
        <w:footnoteReference w:id="541"/>
      </w:r>
      <w:r w:rsidRPr="006662F5">
        <w:t xml:space="preserve"> It may refer to a “Kodak-type” film or an “IBM–type” computer, or perhaps a “Windows-type” computer. Alternatively, a competitor may use the trademark as a generic term to refer to its own competing product.</w:t>
      </w:r>
      <w:r w:rsidRPr="006662F5">
        <w:rPr>
          <w:vertAlign w:val="superscript"/>
        </w:rPr>
        <w:footnoteReference w:id="542"/>
      </w:r>
      <w:r w:rsidRPr="006662F5">
        <w:t xml:space="preserve"> Another situation would be books, plays, or movies that referred to brand names in a generic manner.</w:t>
      </w:r>
      <w:r w:rsidRPr="006662F5">
        <w:rPr>
          <w:vertAlign w:val="superscript"/>
        </w:rPr>
        <w:footnoteReference w:id="543"/>
      </w:r>
      <w:r w:rsidRPr="006662F5">
        <w:t xml:space="preserve"> However, use of dilution in any of these situations raises serious public policy problems.</w:t>
      </w:r>
    </w:p>
    <w:p w:rsidR="00431229" w:rsidRPr="006662F5" w:rsidRDefault="00431229" w:rsidP="00073AC5">
      <w:pPr>
        <w:pStyle w:val="text"/>
      </w:pPr>
      <w:r w:rsidRPr="006662F5">
        <w:t>Comparative advertising, as long as it is truthful, has long been held to be outside the umbrella of trademark infringement.</w:t>
      </w:r>
      <w:r w:rsidRPr="006662F5">
        <w:rPr>
          <w:vertAlign w:val="superscript"/>
        </w:rPr>
        <w:footnoteReference w:id="544"/>
      </w:r>
      <w:r w:rsidRPr="006662F5">
        <w:t xml:space="preserve"> If this were not so, owners of well-known marks could use them as a barrier to entry by new competitors, who use comparisons to draw attention to their products.</w:t>
      </w:r>
      <w:r w:rsidRPr="006662F5">
        <w:rPr>
          <w:vertAlign w:val="superscript"/>
        </w:rPr>
        <w:footnoteReference w:id="545"/>
      </w:r>
      <w:r w:rsidRPr="006662F5">
        <w:t xml:space="preserve"> Indeed, in many cases, a comparative advertisement will not truly use the mark in a generic fashion. For example, in </w:t>
      </w:r>
      <w:r w:rsidRPr="006662F5">
        <w:rPr>
          <w:i/>
          <w:iCs/>
        </w:rPr>
        <w:t>Diversified Marketing, Inc</w:t>
      </w:r>
      <w:r w:rsidRPr="006662F5">
        <w:t>.</w:t>
      </w:r>
      <w:r w:rsidRPr="006662F5">
        <w:rPr>
          <w:i/>
          <w:iCs/>
        </w:rPr>
        <w:t xml:space="preserve"> v</w:t>
      </w:r>
      <w:r w:rsidRPr="006662F5">
        <w:t>.</w:t>
      </w:r>
      <w:r w:rsidRPr="006662F5">
        <w:rPr>
          <w:i/>
          <w:iCs/>
        </w:rPr>
        <w:t xml:space="preserve"> Estée Lauder, Inc</w:t>
      </w:r>
      <w:r w:rsidRPr="006662F5">
        <w:t>.,</w:t>
      </w:r>
      <w:r w:rsidRPr="006662F5">
        <w:rPr>
          <w:vertAlign w:val="superscript"/>
        </w:rPr>
        <w:footnoteReference w:id="546"/>
      </w:r>
      <w:r w:rsidRPr="006662F5">
        <w:t xml:space="preserve"> a competitor of Estée Lauder ran an advertisement claiming that “if you like Estée Lauder’s products, you’ll love ours.” The court denied a dilution claim, stating that the advertisements did not lead customers “to say ‘Let’s go buy an Estée Lauder.’”</w:t>
      </w:r>
      <w:r w:rsidRPr="006662F5">
        <w:rPr>
          <w:vertAlign w:val="superscript"/>
        </w:rPr>
        <w:footnoteReference w:id="547"/>
      </w:r>
      <w:r w:rsidRPr="006662F5">
        <w:t xml:space="preserve"> In other words, the comparative use was more like a nominative fair use</w:t>
      </w:r>
      <w:r w:rsidRPr="006662F5">
        <w:rPr>
          <w:vertAlign w:val="superscript"/>
        </w:rPr>
        <w:footnoteReference w:id="548"/>
      </w:r>
      <w:r w:rsidRPr="006662F5">
        <w:t xml:space="preserve"> than a generic use. In fact, the comparison depended on the mark being recognized as a trademark.</w:t>
      </w:r>
      <w:r w:rsidRPr="006662F5">
        <w:rPr>
          <w:vertAlign w:val="superscript"/>
        </w:rPr>
        <w:footnoteReference w:id="549"/>
      </w:r>
    </w:p>
    <w:p w:rsidR="00431229" w:rsidRPr="006662F5" w:rsidRDefault="00431229" w:rsidP="00073AC5">
      <w:pPr>
        <w:pStyle w:val="text"/>
      </w:pPr>
      <w:r w:rsidRPr="006662F5">
        <w:t>Recognizing this precedent, the 1996 version of the Model State Trademark Bill includes an exclusion from dilution claims for “fair use” of a famous mark “in comparative commercial advertising … to identify the competing goods or services of the owner of the famous mark.”</w:t>
      </w:r>
      <w:r w:rsidRPr="006662F5">
        <w:rPr>
          <w:vertAlign w:val="superscript"/>
        </w:rPr>
        <w:footnoteReference w:id="550"/>
      </w:r>
      <w:r w:rsidRPr="006662F5">
        <w:t xml:space="preserve"> Fifteen states have adopted this provision.</w:t>
      </w:r>
      <w:r w:rsidRPr="006662F5">
        <w:rPr>
          <w:vertAlign w:val="superscript"/>
        </w:rPr>
        <w:footnoteReference w:id="551"/>
      </w:r>
      <w:r w:rsidRPr="006662F5">
        <w:t xml:space="preserve"> Even in the absence of a specific statutory defense of exclusion, comparative advertising has been recognized as a valid defense to dilution, as evidenced by the </w:t>
      </w:r>
      <w:r w:rsidRPr="006662F5">
        <w:rPr>
          <w:i/>
          <w:iCs/>
        </w:rPr>
        <w:t>Restatement</w:t>
      </w:r>
      <w:r w:rsidRPr="006662F5">
        <w:t>’s comments on the dilution section.</w:t>
      </w:r>
      <w:r w:rsidRPr="006662F5">
        <w:rPr>
          <w:vertAlign w:val="superscript"/>
        </w:rPr>
        <w:footnoteReference w:id="552"/>
      </w:r>
    </w:p>
    <w:p w:rsidR="00431229" w:rsidRPr="006662F5" w:rsidRDefault="00431229" w:rsidP="00073AC5">
      <w:pPr>
        <w:pStyle w:val="text"/>
      </w:pPr>
      <w:r w:rsidRPr="006662F5">
        <w:t>The only caveat to the comparative advertisement issue is the phrase “fair use” in the statutory provisions.</w:t>
      </w:r>
      <w:r w:rsidRPr="006662F5">
        <w:rPr>
          <w:vertAlign w:val="superscript"/>
        </w:rPr>
        <w:footnoteReference w:id="553"/>
      </w:r>
      <w:r w:rsidRPr="006662F5">
        <w:t xml:space="preserve"> Arguably, using another’s mark as a generic reference could be deemed “unfair” and thus outside the exclusion. However, courts should tread extremely cautiously here, for allowing such claims could kill other desirable comparative advertising by companies fearful of treading too close to the line separating liability (and litigation costs) from legitimate use. Even a weak lawsuit can be a powerful threat to a new competitor.</w:t>
      </w:r>
      <w:r w:rsidRPr="006662F5">
        <w:rPr>
          <w:vertAlign w:val="superscript"/>
        </w:rPr>
        <w:footnoteReference w:id="554"/>
      </w:r>
    </w:p>
    <w:p w:rsidR="00431229" w:rsidRPr="006662F5" w:rsidRDefault="00431229" w:rsidP="00073AC5">
      <w:pPr>
        <w:pStyle w:val="text"/>
      </w:pPr>
      <w:r w:rsidRPr="006662F5">
        <w:t>Genericide as a form of dilution has seldom been relied on by courts to grant relief, at least expressly. However, in a very small number of cases, the courts have discussed, and in at least three cases even imposed liability for, what amounts to genericide.</w:t>
      </w:r>
      <w:r w:rsidRPr="006662F5">
        <w:rPr>
          <w:vertAlign w:val="superscript"/>
        </w:rPr>
        <w:footnoteReference w:id="555"/>
      </w:r>
    </w:p>
    <w:p w:rsidR="00431229" w:rsidRPr="006662F5" w:rsidRDefault="00431229" w:rsidP="00073AC5">
      <w:pPr>
        <w:pStyle w:val="text"/>
      </w:pPr>
      <w:r w:rsidRPr="006662F5">
        <w:t xml:space="preserve">In </w:t>
      </w:r>
      <w:r w:rsidRPr="006662F5">
        <w:rPr>
          <w:i/>
          <w:iCs/>
        </w:rPr>
        <w:t>Eventide, Inc</w:t>
      </w:r>
      <w:r w:rsidRPr="006662F5">
        <w:t>.</w:t>
      </w:r>
      <w:r w:rsidRPr="006662F5">
        <w:rPr>
          <w:i/>
          <w:iCs/>
        </w:rPr>
        <w:t xml:space="preserve"> v</w:t>
      </w:r>
      <w:r w:rsidRPr="006662F5">
        <w:t>.</w:t>
      </w:r>
      <w:r w:rsidRPr="006662F5">
        <w:rPr>
          <w:i/>
          <w:iCs/>
        </w:rPr>
        <w:t xml:space="preserve"> DOD Electronics Corp</w:t>
      </w:r>
      <w:r w:rsidRPr="006662F5">
        <w:t>.,</w:t>
      </w:r>
      <w:r w:rsidRPr="006662F5">
        <w:rPr>
          <w:vertAlign w:val="superscript"/>
        </w:rPr>
        <w:footnoteReference w:id="556"/>
      </w:r>
      <w:r w:rsidRPr="006662F5">
        <w:t xml:space="preserve"> the court explicitly relied on a dilution-by-genericide analysis. The plaintiff had a registered trademark for the name Harmonizer, used in connection with certain digital signal-processing equipment used by musicians. The defendant made a competing product, which it referred to as a “harmonizer” in various advertisements.</w:t>
      </w:r>
      <w:r w:rsidRPr="006662F5">
        <w:rPr>
          <w:vertAlign w:val="superscript"/>
        </w:rPr>
        <w:footnoteReference w:id="557"/>
      </w:r>
      <w:r w:rsidRPr="006662F5">
        <w:t xml:space="preserve"> Other competitors used terms such as “harmony machine” or “harmony synthesizer” to describe their products, without objection from the plaintiff.</w:t>
      </w:r>
      <w:r w:rsidRPr="006662F5">
        <w:rPr>
          <w:vertAlign w:val="superscript"/>
        </w:rPr>
        <w:footnoteReference w:id="558"/>
      </w:r>
      <w:r w:rsidRPr="006662F5">
        <w:t xml:space="preserve"> Finding the mark distinctive, the court began its dilution analysis by stating that “[d]ilution may result from the unauthorized use of a valid trademark as the generic name for a product, transforming a distinctive trademark into a generic designation.”</w:t>
      </w:r>
      <w:r w:rsidRPr="006662F5">
        <w:rPr>
          <w:vertAlign w:val="superscript"/>
        </w:rPr>
        <w:footnoteReference w:id="559"/>
      </w:r>
      <w:r w:rsidRPr="006662F5">
        <w:t xml:space="preserve"> The court noted that, technically, the equipment did more than create harmonies, and therefore the use of the term “harmonizer” was not a purely descriptive use by the defendant.</w:t>
      </w:r>
      <w:r w:rsidRPr="006662F5">
        <w:rPr>
          <w:vertAlign w:val="superscript"/>
        </w:rPr>
        <w:footnoteReference w:id="560"/>
      </w:r>
      <w:r w:rsidRPr="006662F5">
        <w:t xml:space="preserve"> To that extent, the court held that the use diluted the trademark. However, certain of the defendant’s equipment was only used for creating harmonies, and as to that equipment the court permitted the defendant to use the term “harmonizer” as a descriptive term for the product.</w:t>
      </w:r>
      <w:r w:rsidRPr="006662F5">
        <w:rPr>
          <w:vertAlign w:val="superscript"/>
        </w:rPr>
        <w:footnoteReference w:id="561"/>
      </w:r>
      <w:r w:rsidRPr="006662F5">
        <w:t xml:space="preserve"> Of course, if a term has such an obvious descriptive use, one may question whether it should be protected from dilution at all.</w:t>
      </w:r>
    </w:p>
    <w:p w:rsidR="00431229" w:rsidRPr="006662F5" w:rsidRDefault="00431229" w:rsidP="00073AC5">
      <w:pPr>
        <w:pStyle w:val="text"/>
      </w:pPr>
      <w:r w:rsidRPr="006662F5">
        <w:t xml:space="preserve">In </w:t>
      </w:r>
      <w:r w:rsidRPr="006662F5">
        <w:rPr>
          <w:i/>
          <w:iCs/>
        </w:rPr>
        <w:t>Norton Co</w:t>
      </w:r>
      <w:r w:rsidRPr="006662F5">
        <w:t>.</w:t>
      </w:r>
      <w:r w:rsidRPr="006662F5">
        <w:rPr>
          <w:i/>
          <w:iCs/>
        </w:rPr>
        <w:t xml:space="preserve"> v</w:t>
      </w:r>
      <w:r w:rsidRPr="006662F5">
        <w:t>.</w:t>
      </w:r>
      <w:r w:rsidRPr="006662F5">
        <w:rPr>
          <w:i/>
          <w:iCs/>
        </w:rPr>
        <w:t xml:space="preserve"> Newage Industries</w:t>
      </w:r>
      <w:r w:rsidRPr="006662F5">
        <w:t>,</w:t>
      </w:r>
      <w:r w:rsidRPr="006662F5">
        <w:rPr>
          <w:vertAlign w:val="superscript"/>
        </w:rPr>
        <w:footnoteReference w:id="562"/>
      </w:r>
      <w:r w:rsidRPr="006662F5">
        <w:t xml:space="preserve"> a Pennsylvania federal court enjoined an advertisement on the grounds that it would make another person’s mark lose its significance. The plaintiff owned the mark Tygon, which it used for various commercial plastic products. The defendant marketed its product as a “Tygon-type” product. The court granted an injunction against this advertisement. Although it purported to act under traditional notions of likelihood of confusion,</w:t>
      </w:r>
      <w:r w:rsidRPr="006662F5">
        <w:rPr>
          <w:vertAlign w:val="superscript"/>
        </w:rPr>
        <w:footnoteReference w:id="563"/>
      </w:r>
      <w:r w:rsidRPr="006662F5">
        <w:t xml:space="preserve"> the court cited the irreparable injury to the strength of the plaintiff’s trademark, thus clearly indicating that the problem was not confusion but dilution by genericide.</w:t>
      </w:r>
    </w:p>
    <w:p w:rsidR="00431229" w:rsidRPr="006662F5" w:rsidRDefault="00431229" w:rsidP="00073AC5">
      <w:pPr>
        <w:pStyle w:val="text"/>
      </w:pPr>
      <w:r w:rsidRPr="006662F5">
        <w:t xml:space="preserve">A third case is </w:t>
      </w:r>
      <w:r w:rsidRPr="006662F5">
        <w:rPr>
          <w:i/>
          <w:iCs/>
        </w:rPr>
        <w:t>Polyglycoat Corp</w:t>
      </w:r>
      <w:r w:rsidRPr="006662F5">
        <w:t>.</w:t>
      </w:r>
      <w:r w:rsidRPr="006662F5">
        <w:rPr>
          <w:i/>
          <w:iCs/>
        </w:rPr>
        <w:t xml:space="preserve"> v</w:t>
      </w:r>
      <w:r w:rsidRPr="006662F5">
        <w:t>.</w:t>
      </w:r>
      <w:r w:rsidRPr="006662F5">
        <w:rPr>
          <w:i/>
          <w:iCs/>
        </w:rPr>
        <w:t xml:space="preserve"> Environmental Chemicals, Inc</w:t>
      </w:r>
      <w:r w:rsidRPr="006662F5">
        <w:t>.</w:t>
      </w:r>
      <w:r w:rsidRPr="006662F5">
        <w:rPr>
          <w:vertAlign w:val="superscript"/>
        </w:rPr>
        <w:footnoteReference w:id="564"/>
      </w:r>
      <w:r w:rsidRPr="006662F5">
        <w:t xml:space="preserve"> The plaintiff manufactured an automobile paint sealant and sold it under the trademark Polyglycoat. The defendant manufactured a product designed to remove such sealants in preparation for auto repair work.</w:t>
      </w:r>
      <w:r w:rsidRPr="006662F5">
        <w:rPr>
          <w:vertAlign w:val="superscript"/>
        </w:rPr>
        <w:footnoteReference w:id="565"/>
      </w:r>
      <w:r w:rsidRPr="006662F5">
        <w:t xml:space="preserve"> The defendant advertised its product by proclaiming “Wipe Away PolyGlycoat</w:t>
      </w:r>
      <w:r w:rsidRPr="006662F5">
        <w:rPr>
          <w:vertAlign w:val="superscript"/>
        </w:rPr>
        <w:t>TM</w:t>
      </w:r>
      <w:r w:rsidRPr="006662F5">
        <w:t>”; its labels contained the phrase “Polyglycoat</w:t>
      </w:r>
      <w:r w:rsidRPr="006662F5">
        <w:rPr>
          <w:vertAlign w:val="superscript"/>
        </w:rPr>
        <w:t>TM</w:t>
      </w:r>
      <w:r w:rsidRPr="006662F5">
        <w:t xml:space="preserve"> Remover.”</w:t>
      </w:r>
      <w:r w:rsidRPr="006662F5">
        <w:rPr>
          <w:vertAlign w:val="superscript"/>
        </w:rPr>
        <w:footnoteReference w:id="566"/>
      </w:r>
      <w:r w:rsidRPr="006662F5">
        <w:t xml:space="preserve"> As in the </w:t>
      </w:r>
      <w:r w:rsidRPr="006662F5">
        <w:rPr>
          <w:i/>
          <w:iCs/>
        </w:rPr>
        <w:t>Norton</w:t>
      </w:r>
      <w:r w:rsidRPr="006662F5">
        <w:t xml:space="preserve"> case, the court purported to rely on a traditional confusion analysis. Although the court did discuss possible confusion between the two products,</w:t>
      </w:r>
      <w:r w:rsidRPr="006662F5">
        <w:rPr>
          <w:vertAlign w:val="superscript"/>
        </w:rPr>
        <w:footnoteReference w:id="567"/>
      </w:r>
      <w:r w:rsidRPr="006662F5">
        <w:t xml:space="preserve"> when granting the injunction, the court specifically stated that the defendant’s use of the Polyglycoat mark posed a real danger of rendering the mark generic and, therefore, unprotectable.</w:t>
      </w:r>
      <w:r w:rsidRPr="006662F5">
        <w:rPr>
          <w:vertAlign w:val="superscript"/>
        </w:rPr>
        <w:footnoteReference w:id="568"/>
      </w:r>
      <w:r w:rsidRPr="006662F5">
        <w:t xml:space="preserve"> Cases such as this are questionable, since it appears that the defendant was making a nominative fair use of the mark to advertise its product.</w:t>
      </w:r>
      <w:r w:rsidRPr="006662F5">
        <w:rPr>
          <w:vertAlign w:val="superscript"/>
        </w:rPr>
        <w:footnoteReference w:id="569"/>
      </w:r>
    </w:p>
    <w:p w:rsidR="00431229" w:rsidRPr="006662F5" w:rsidRDefault="00431229" w:rsidP="00073AC5">
      <w:pPr>
        <w:pStyle w:val="text"/>
      </w:pPr>
      <w:r w:rsidRPr="006662F5">
        <w:t xml:space="preserve">In </w:t>
      </w:r>
      <w:r w:rsidRPr="006662F5">
        <w:rPr>
          <w:i/>
          <w:iCs/>
        </w:rPr>
        <w:t>Bristol-Meyers Co</w:t>
      </w:r>
      <w:r w:rsidRPr="006662F5">
        <w:t>.</w:t>
      </w:r>
      <w:r w:rsidRPr="006662F5">
        <w:rPr>
          <w:i/>
          <w:iCs/>
        </w:rPr>
        <w:t xml:space="preserve"> v</w:t>
      </w:r>
      <w:r w:rsidRPr="006662F5">
        <w:t>.</w:t>
      </w:r>
      <w:r w:rsidRPr="006662F5">
        <w:rPr>
          <w:i/>
          <w:iCs/>
        </w:rPr>
        <w:t xml:space="preserve"> R</w:t>
      </w:r>
      <w:r w:rsidRPr="006662F5">
        <w:t>.</w:t>
      </w:r>
      <w:r w:rsidRPr="006662F5">
        <w:rPr>
          <w:i/>
          <w:iCs/>
        </w:rPr>
        <w:t xml:space="preserve"> H</w:t>
      </w:r>
      <w:r w:rsidRPr="006662F5">
        <w:t>.</w:t>
      </w:r>
      <w:r w:rsidRPr="006662F5">
        <w:rPr>
          <w:i/>
          <w:iCs/>
        </w:rPr>
        <w:t xml:space="preserve"> Macy &amp; Co</w:t>
      </w:r>
      <w:r w:rsidRPr="006662F5">
        <w:t>.,</w:t>
      </w:r>
      <w:r w:rsidRPr="006662F5">
        <w:rPr>
          <w:vertAlign w:val="superscript"/>
        </w:rPr>
        <w:footnoteReference w:id="570"/>
      </w:r>
      <w:r w:rsidRPr="006662F5">
        <w:t xml:space="preserve"> the court found that the defendant had made false representations when comparing its “Buffered Aspirin” product to Bufferin. It concluded that these misrepresentations diluted Bufferin by “tending to render [the Bufferin mark] generic and descriptive.”</w:t>
      </w:r>
      <w:r w:rsidRPr="006662F5">
        <w:rPr>
          <w:vertAlign w:val="superscript"/>
        </w:rPr>
        <w:footnoteReference w:id="571"/>
      </w:r>
      <w:r w:rsidRPr="006662F5">
        <w:t xml:space="preserve"> The aura of fraud obviously was important to the court, but the dilution rationale clearly was based on genericide. However, the fraud distinguished it from the other cases where no misrepresentations were found.</w:t>
      </w:r>
    </w:p>
    <w:p w:rsidR="00431229" w:rsidRPr="006662F5" w:rsidRDefault="00431229" w:rsidP="00073AC5">
      <w:pPr>
        <w:pStyle w:val="text"/>
      </w:pPr>
      <w:r w:rsidRPr="006662F5">
        <w:t xml:space="preserve">One of the problems with using a genericide theory is illustrated in </w:t>
      </w:r>
      <w:r w:rsidRPr="006662F5">
        <w:rPr>
          <w:i/>
          <w:iCs/>
        </w:rPr>
        <w:t>Dobeckmun Co</w:t>
      </w:r>
      <w:r w:rsidRPr="006662F5">
        <w:t>.</w:t>
      </w:r>
      <w:r w:rsidRPr="006662F5">
        <w:rPr>
          <w:i/>
          <w:iCs/>
        </w:rPr>
        <w:t xml:space="preserve"> v</w:t>
      </w:r>
      <w:r w:rsidRPr="006662F5">
        <w:t>.</w:t>
      </w:r>
      <w:r w:rsidRPr="006662F5">
        <w:rPr>
          <w:i/>
          <w:iCs/>
        </w:rPr>
        <w:t xml:space="preserve"> Boston Packaging Machinery Co</w:t>
      </w:r>
      <w:r w:rsidRPr="006662F5">
        <w:t>.</w:t>
      </w:r>
      <w:r w:rsidRPr="006662F5">
        <w:rPr>
          <w:vertAlign w:val="superscript"/>
        </w:rPr>
        <w:footnoteReference w:id="572"/>
      </w:r>
      <w:r w:rsidRPr="006662F5">
        <w:t xml:space="preserve"> The plaintiff, manufacturer of Zip Tape, sued the defendant, which made the Zip-Corder. Both products were used to open packaging, but they did not compete.</w:t>
      </w:r>
      <w:r w:rsidRPr="006662F5">
        <w:rPr>
          <w:vertAlign w:val="superscript"/>
        </w:rPr>
        <w:footnoteReference w:id="573"/>
      </w:r>
      <w:r w:rsidRPr="006662F5">
        <w:t xml:space="preserve"> One of the plaintiff’s claims was dilution, based on its apprehension that the defendant’s product “may tend to lead to the application of the word zip to all tear tape, and hence, to some extent, threatens injury to the individuality of plaintiff’s trademark.”</w:t>
      </w:r>
      <w:r w:rsidRPr="006662F5">
        <w:rPr>
          <w:vertAlign w:val="superscript"/>
        </w:rPr>
        <w:footnoteReference w:id="574"/>
      </w:r>
      <w:r w:rsidRPr="006662F5">
        <w:t xml:space="preserve"> But the court rejected the claim, noting that plaintiff’s use of a “hyper-suggestive” mark rendered it subject to other possible uses.</w:t>
      </w:r>
      <w:r w:rsidRPr="006662F5">
        <w:rPr>
          <w:vertAlign w:val="superscript"/>
        </w:rPr>
        <w:footnoteReference w:id="575"/>
      </w:r>
      <w:r w:rsidRPr="006662F5">
        <w:t xml:space="preserve"> Interestingly, however, the court noted that the defendant had generically referred to the type of product made by the plaintiff as zip-tape, and stated that it would enjoin </w:t>
      </w:r>
      <w:r w:rsidRPr="006662F5">
        <w:rPr>
          <w:i/>
          <w:iCs/>
        </w:rPr>
        <w:t>that</w:t>
      </w:r>
      <w:r w:rsidRPr="006662F5">
        <w:t xml:space="preserve"> conduct if repeated.</w:t>
      </w:r>
      <w:r w:rsidRPr="006662F5">
        <w:rPr>
          <w:vertAlign w:val="superscript"/>
        </w:rPr>
        <w:footnoteReference w:id="576"/>
      </w:r>
    </w:p>
    <w:p w:rsidR="00431229" w:rsidRPr="006662F5" w:rsidRDefault="00431229" w:rsidP="00073AC5">
      <w:pPr>
        <w:pStyle w:val="text"/>
      </w:pPr>
      <w:r w:rsidRPr="006662F5">
        <w:t>A major stumbling block in the application of dilution law to prevent generic uses of a mark is the First Amendment. Advertising uses of a mark may be commercial speech,</w:t>
      </w:r>
      <w:r w:rsidRPr="006662F5">
        <w:rPr>
          <w:vertAlign w:val="superscript"/>
        </w:rPr>
        <w:footnoteReference w:id="577"/>
      </w:r>
      <w:r w:rsidRPr="006662F5">
        <w:t xml:space="preserve"> and thus subject to a lower standard of protection.</w:t>
      </w:r>
      <w:r w:rsidRPr="006662F5">
        <w:rPr>
          <w:vertAlign w:val="superscript"/>
        </w:rPr>
        <w:footnoteReference w:id="578"/>
      </w:r>
      <w:r w:rsidRPr="006662F5">
        <w:t xml:space="preserve"> But literary uses, or even uses in dictionaries,</w:t>
      </w:r>
      <w:r w:rsidRPr="006662F5">
        <w:rPr>
          <w:vertAlign w:val="superscript"/>
        </w:rPr>
        <w:footnoteReference w:id="579"/>
      </w:r>
      <w:r w:rsidRPr="006662F5">
        <w:t xml:space="preserve"> are not commercial speech. Limiting such uses through dilution statutes would raise serious free speech issues.</w:t>
      </w:r>
      <w:r w:rsidRPr="006662F5">
        <w:rPr>
          <w:vertAlign w:val="superscript"/>
        </w:rPr>
        <w:footnoteReference w:id="580"/>
      </w:r>
      <w:r w:rsidRPr="006662F5">
        <w:t xml:space="preserve"> Moreover, such noncommercial uses should be protected by a separate exemption for noncommercial use contained in at least 16 state laws and the TDRA.</w:t>
      </w:r>
      <w:r w:rsidRPr="006662F5">
        <w:rPr>
          <w:vertAlign w:val="superscript"/>
        </w:rPr>
        <w:footnoteReference w:id="581"/>
      </w:r>
      <w:r w:rsidRPr="006662F5">
        <w:t xml:space="preserve"> The TDRA exclusion (which was carried over from the FTDA) was inserted to prevent dilution from interfering with free speech interests.</w:t>
      </w:r>
      <w:r w:rsidRPr="006662F5">
        <w:rPr>
          <w:vertAlign w:val="superscript"/>
        </w:rPr>
        <w:footnoteReference w:id="582"/>
      </w:r>
      <w:r w:rsidRPr="006662F5">
        <w:t xml:space="preserve"> Presumably, the equivalent state statutory exemptions would be similarly construed.</w:t>
      </w:r>
      <w:r w:rsidRPr="006662F5">
        <w:rPr>
          <w:vertAlign w:val="superscript"/>
        </w:rPr>
        <w:footnoteReference w:id="583"/>
      </w:r>
      <w:r w:rsidRPr="006662F5">
        <w:t xml:space="preserve"> In states without the statutory exemption, the First Amendment would have to provide the defense.</w:t>
      </w:r>
      <w:r w:rsidRPr="006662F5">
        <w:rPr>
          <w:vertAlign w:val="superscript"/>
        </w:rPr>
        <w:footnoteReference w:id="584"/>
      </w:r>
    </w:p>
    <w:p w:rsidR="00431229" w:rsidRPr="006662F5" w:rsidRDefault="00431229" w:rsidP="00073AC5">
      <w:pPr>
        <w:pStyle w:val="text"/>
      </w:pPr>
      <w:r w:rsidRPr="006662F5">
        <w:t>In sum, the viability of the genericide theory of dilution will depend both on the type of statute and the nature of the use. In states that follow the 2007 Model Bill, genericide is of dubious viability unless it can be fit into the definition of blurring. That definition focuses on harm to the distinctiveness of a famous mark, but it also requires that the harm arise from an association between the two marks. The combination of a need for a famous mark and a need for association may make it difficult to assert a genericide claim as a form of blurring. (In particular, if a mark is not truly famous, the chances of an association from a generic use of the mark would appear to be small.) In states that follow the 1992 or 1996 Model Bills, what little precedent exists under the original FTDA rejects the theory.</w:t>
      </w:r>
      <w:r w:rsidRPr="006662F5">
        <w:rPr>
          <w:vertAlign w:val="superscript"/>
        </w:rPr>
        <w:footnoteReference w:id="585"/>
      </w:r>
      <w:r w:rsidRPr="006662F5">
        <w:t xml:space="preserve"> And, in any event, the requirement of actual dilution (which would result if states follow federal precedent interpreting identical language) makes such claims difficult to prove. Even in 1964 Model Bill states, there will be substantial free speech problems with this theory.</w:t>
      </w:r>
    </w:p>
    <w:p w:rsidR="00431229" w:rsidRPr="006662F5" w:rsidRDefault="00431229" w:rsidP="00073AC5">
      <w:pPr>
        <w:pStyle w:val="2ndLevelHeadA0"/>
        <w:rPr>
          <w:rFonts w:cs="Times New Roman"/>
        </w:rPr>
      </w:pPr>
      <w:r w:rsidRPr="006662F5">
        <w:rPr>
          <w:rFonts w:cs="Times New Roman"/>
        </w:rPr>
        <w:t>E.</w:t>
      </w:r>
      <w:r w:rsidRPr="006662F5">
        <w:rPr>
          <w:rFonts w:cs="Times New Roman"/>
        </w:rPr>
        <w:tab/>
        <w:t>Dilution on the Internet: Use of Trademarks in Domain Names as Dilution</w:t>
      </w:r>
    </w:p>
    <w:p w:rsidR="00431229" w:rsidRPr="006662F5" w:rsidRDefault="00431229" w:rsidP="00073AC5">
      <w:pPr>
        <w:pStyle w:val="text"/>
      </w:pPr>
      <w:r w:rsidRPr="006662F5">
        <w:t>One of the more difficult issues in trademark dilution involves the use of trademarks as Internet domain names. Many companies have registered domain names in the form of trademark.com (or trademark.org or .net) so that people seeking the company’s Web site will be able to find it easily. However, before the Internet became popular, some individuals and companies registered domain names containing various company trademarks. Even after companies began registering their trademarks as domain names, many individuals and companies registered domain names containing misspellings of those trademarks or domain names containing those trademarks together with other terms. In some instances, the purpose of the registration was to resell the domain name to the owner of a well-known trademark at a high price, an activity that has become known as “cybersquatting.”</w:t>
      </w:r>
    </w:p>
    <w:p w:rsidR="00431229" w:rsidRPr="006662F5" w:rsidRDefault="00431229" w:rsidP="00073AC5">
      <w:pPr>
        <w:pStyle w:val="text"/>
      </w:pPr>
      <w:r w:rsidRPr="006662F5">
        <w:t>Many trademark owners have sued domain name registrants for trademark infringement and dilution.</w:t>
      </w:r>
      <w:r w:rsidRPr="006662F5">
        <w:rPr>
          <w:vertAlign w:val="superscript"/>
        </w:rPr>
        <w:footnoteReference w:id="586"/>
      </w:r>
      <w:r w:rsidRPr="006662F5">
        <w:t xml:space="preserve"> Dilution has proven a somewhat difficult theory to match with this activity. If the domain name owner uses a well-known mark to attract Internet users to an unsavory Web site (usually one containing pornography), relief can be grounded in tarnishment.</w:t>
      </w:r>
      <w:r w:rsidRPr="006662F5">
        <w:rPr>
          <w:vertAlign w:val="superscript"/>
        </w:rPr>
        <w:footnoteReference w:id="587"/>
      </w:r>
      <w:r w:rsidRPr="006662F5">
        <w:t xml:space="preserve"> However, other situations do not easily lend themselves to tarnishment. Blurring also is not a good description of the problem, particularly in cybersquatting cases. Such a use does not lessen the uniqueness of the mark, since the domain name registrant is not trying to use it as a source identifier for its own goods or services.</w:t>
      </w:r>
    </w:p>
    <w:p w:rsidR="00431229" w:rsidRPr="006662F5" w:rsidRDefault="00431229" w:rsidP="00073AC5">
      <w:pPr>
        <w:pStyle w:val="text"/>
      </w:pPr>
      <w:r w:rsidRPr="006662F5">
        <w:t>Some of these problems were solved by the 1999 enactment of the Anticybersquatting Consumer Protection Act (ACPA).</w:t>
      </w:r>
      <w:r w:rsidRPr="006662F5">
        <w:rPr>
          <w:vertAlign w:val="superscript"/>
        </w:rPr>
        <w:footnoteReference w:id="588"/>
      </w:r>
      <w:r w:rsidRPr="006662F5">
        <w:t xml:space="preserve"> The ACPA gives relief to trademark owners against a domain name registrant who registered the domain name with a “bad faith intent to profit.”</w:t>
      </w:r>
      <w:r w:rsidRPr="006662F5">
        <w:rPr>
          <w:vertAlign w:val="superscript"/>
        </w:rPr>
        <w:footnoteReference w:id="589"/>
      </w:r>
      <w:r w:rsidRPr="006662F5">
        <w:t xml:space="preserve"> However, the ACPA does not preclude the use of dilution claims. Moreover, there are situations where the ACPA does not apply, leaving infringement and/or dilution claims as the only available options.</w:t>
      </w:r>
    </w:p>
    <w:p w:rsidR="00431229" w:rsidRPr="006662F5" w:rsidRDefault="00431229" w:rsidP="00073AC5">
      <w:pPr>
        <w:pStyle w:val="text"/>
      </w:pPr>
      <w:r w:rsidRPr="006662F5">
        <w:t>In cases brought under the FTDA, prior to the TDRA, several courts adopted a rule making the registration of a domain name whose dominant feature is a famous trademark (or common misspellings thereof) a virtual per se violation of the statute.</w:t>
      </w:r>
      <w:r w:rsidRPr="006662F5">
        <w:rPr>
          <w:vertAlign w:val="superscript"/>
        </w:rPr>
        <w:footnoteReference w:id="590"/>
      </w:r>
      <w:r w:rsidRPr="006662F5">
        <w:t xml:space="preserve"> These courts reasoned that blurring and tarnishment do not encompass all forms of dilution,</w:t>
      </w:r>
      <w:r w:rsidRPr="006662F5">
        <w:rPr>
          <w:vertAlign w:val="superscript"/>
        </w:rPr>
        <w:footnoteReference w:id="591"/>
      </w:r>
      <w:r w:rsidRPr="006662F5">
        <w:t xml:space="preserve"> and that by blocking the trademark owner from using the mark as a domain name, it “lessens the capacity of [the famous mark] to identify and distinguish [its] goods and services by means of the Internet.”</w:t>
      </w:r>
      <w:r w:rsidRPr="006662F5">
        <w:rPr>
          <w:vertAlign w:val="superscript"/>
        </w:rPr>
        <w:footnoteReference w:id="592"/>
      </w:r>
      <w:r w:rsidRPr="006662F5">
        <w:t xml:space="preserve"> Not all courts accepted the “per se” rule; some expressly rejected it.</w:t>
      </w:r>
      <w:r w:rsidRPr="006662F5">
        <w:rPr>
          <w:vertAlign w:val="superscript"/>
        </w:rPr>
        <w:footnoteReference w:id="593"/>
      </w:r>
      <w:r w:rsidRPr="006662F5">
        <w:t xml:space="preserve"> Moreover, the TDRA (as well as the 2007 Model Bill) now limits dilution to blurring and tarnishment. The per se rule does not fit the definitions of either category very well.</w:t>
      </w:r>
      <w:r w:rsidRPr="006662F5">
        <w:rPr>
          <w:vertAlign w:val="superscript"/>
        </w:rPr>
        <w:footnoteReference w:id="594"/>
      </w:r>
    </w:p>
    <w:p w:rsidR="00431229" w:rsidRPr="006662F5" w:rsidRDefault="00431229" w:rsidP="00073AC5">
      <w:pPr>
        <w:pStyle w:val="text"/>
      </w:pPr>
      <w:r w:rsidRPr="006662F5">
        <w:t>However, federal dilution law is limited to “famous” marks and requires that there be a “use in commerce” of the mark. These limitations have led to some Internet domain name cases being brought under state dilution laws that do not contain those limitations (largely those patterned after the 1964 Model Bill).</w:t>
      </w:r>
      <w:r w:rsidRPr="006662F5">
        <w:rPr>
          <w:vertAlign w:val="superscript"/>
        </w:rPr>
        <w:footnoteReference w:id="595"/>
      </w:r>
      <w:r w:rsidRPr="006662F5">
        <w:t xml:space="preserve"> In </w:t>
      </w:r>
      <w:r w:rsidRPr="006662F5">
        <w:rPr>
          <w:i/>
          <w:iCs/>
        </w:rPr>
        <w:t>E</w:t>
      </w:r>
      <w:r w:rsidRPr="006662F5">
        <w:t>.</w:t>
      </w:r>
      <w:r w:rsidRPr="006662F5">
        <w:rPr>
          <w:i/>
          <w:iCs/>
        </w:rPr>
        <w:t xml:space="preserve"> &amp; J</w:t>
      </w:r>
      <w:r w:rsidRPr="006662F5">
        <w:t>.</w:t>
      </w:r>
      <w:r w:rsidRPr="006662F5">
        <w:rPr>
          <w:i/>
          <w:iCs/>
        </w:rPr>
        <w:t xml:space="preserve"> Gallo Winery v</w:t>
      </w:r>
      <w:r w:rsidRPr="006662F5">
        <w:t>.</w:t>
      </w:r>
      <w:r w:rsidRPr="006662F5">
        <w:rPr>
          <w:i/>
          <w:iCs/>
        </w:rPr>
        <w:t xml:space="preserve"> Spider Webs Ltd</w:t>
      </w:r>
      <w:r w:rsidRPr="006662F5">
        <w:t>.,</w:t>
      </w:r>
      <w:r w:rsidRPr="006662F5">
        <w:rPr>
          <w:vertAlign w:val="superscript"/>
        </w:rPr>
        <w:footnoteReference w:id="596"/>
      </w:r>
      <w:r w:rsidRPr="006662F5">
        <w:t xml:space="preserve"> the defendants created a business whose purpose was to register and sell various domain names.</w:t>
      </w:r>
      <w:r w:rsidRPr="006662F5">
        <w:rPr>
          <w:vertAlign w:val="superscript"/>
        </w:rPr>
        <w:footnoteReference w:id="597"/>
      </w:r>
      <w:r w:rsidRPr="006662F5">
        <w:t xml:space="preserve"> They registered</w:t>
      </w:r>
      <w:r w:rsidRPr="006662F5">
        <w:br/>
        <w:t>ernestandjuliogallo.com, although it was not clear whether this was done in order to sell the name.</w:t>
      </w:r>
      <w:r w:rsidRPr="006662F5">
        <w:rPr>
          <w:vertAlign w:val="superscript"/>
        </w:rPr>
        <w:footnoteReference w:id="598"/>
      </w:r>
      <w:r w:rsidRPr="006662F5">
        <w:t xml:space="preserve"> The domain name was used to post commentary critical of Gallo, corporations, and alcohol consumption in general, especially after Gallo filed suit.</w:t>
      </w:r>
      <w:r w:rsidRPr="006662F5">
        <w:rPr>
          <w:vertAlign w:val="superscript"/>
        </w:rPr>
        <w:footnoteReference w:id="599"/>
      </w:r>
      <w:r w:rsidRPr="006662F5">
        <w:t xml:space="preserve"> The court granted relief under the Texas dilution statute. Citing various FTDA cases that had applied the virtual per se rule,</w:t>
      </w:r>
      <w:r w:rsidRPr="006662F5">
        <w:rPr>
          <w:vertAlign w:val="superscript"/>
        </w:rPr>
        <w:footnoteReference w:id="600"/>
      </w:r>
      <w:r w:rsidRPr="006662F5">
        <w:t xml:space="preserve"> the court also found that the use made of the site tarnished the Gallo mark.</w:t>
      </w:r>
      <w:r w:rsidRPr="006662F5">
        <w:rPr>
          <w:vertAlign w:val="superscript"/>
        </w:rPr>
        <w:footnoteReference w:id="601"/>
      </w:r>
      <w:r w:rsidRPr="006662F5">
        <w:t xml:space="preserve"> Perhaps most significant, the court found that, unlike the FTDA, Texas law at that time did not require a “commercial use” of the mark.</w:t>
      </w:r>
      <w:r w:rsidRPr="006662F5">
        <w:rPr>
          <w:vertAlign w:val="superscript"/>
        </w:rPr>
        <w:footnoteReference w:id="602"/>
      </w:r>
    </w:p>
    <w:p w:rsidR="00431229" w:rsidRPr="006662F5" w:rsidRDefault="00431229" w:rsidP="00073AC5">
      <w:pPr>
        <w:pStyle w:val="text"/>
      </w:pPr>
      <w:r w:rsidRPr="006662F5">
        <w:t xml:space="preserve">In </w:t>
      </w:r>
      <w:r w:rsidRPr="006662F5">
        <w:rPr>
          <w:i/>
          <w:iCs/>
        </w:rPr>
        <w:t>Horseshoe Bay Resort Sales Co</w:t>
      </w:r>
      <w:r w:rsidRPr="006662F5">
        <w:t>.</w:t>
      </w:r>
      <w:r w:rsidRPr="006662F5">
        <w:rPr>
          <w:i/>
          <w:iCs/>
        </w:rPr>
        <w:t xml:space="preserve"> v</w:t>
      </w:r>
      <w:r w:rsidRPr="006662F5">
        <w:t>.</w:t>
      </w:r>
      <w:r w:rsidRPr="006662F5">
        <w:rPr>
          <w:i/>
          <w:iCs/>
        </w:rPr>
        <w:t xml:space="preserve"> Lake Lyndon B</w:t>
      </w:r>
      <w:r w:rsidRPr="006662F5">
        <w:t>.</w:t>
      </w:r>
      <w:r w:rsidRPr="006662F5">
        <w:rPr>
          <w:i/>
          <w:iCs/>
        </w:rPr>
        <w:t xml:space="preserve"> Johnson Improvement Corp</w:t>
      </w:r>
      <w:r w:rsidRPr="006662F5">
        <w:t>.,</w:t>
      </w:r>
      <w:r w:rsidRPr="006662F5">
        <w:rPr>
          <w:vertAlign w:val="superscript"/>
        </w:rPr>
        <w:footnoteReference w:id="603"/>
      </w:r>
      <w:r w:rsidRPr="006662F5">
        <w:t xml:space="preserve"> the defendant registered the domain name horseshoebay.com for use in marketing its real estate brokerage services. “Horseshoe Bay” was the designation of a real estate development created by the plaintiff (the Lake Lyndon B. Johnson Improvement Corp.), and the name had previously been used by the plaintiff in its business.</w:t>
      </w:r>
      <w:r w:rsidRPr="006662F5">
        <w:rPr>
          <w:vertAlign w:val="superscript"/>
        </w:rPr>
        <w:footnoteReference w:id="604"/>
      </w:r>
      <w:r w:rsidRPr="006662F5">
        <w:t xml:space="preserve"> The plaintiff sued for trademark infringement and dilution under Texas law.</w:t>
      </w:r>
      <w:r w:rsidRPr="006662F5">
        <w:rPr>
          <w:vertAlign w:val="superscript"/>
        </w:rPr>
        <w:footnoteReference w:id="605"/>
      </w:r>
      <w:r w:rsidRPr="006662F5">
        <w:t xml:space="preserve"> The court found both infringement and dilution.</w:t>
      </w:r>
      <w:r w:rsidRPr="006662F5">
        <w:rPr>
          <w:vertAlign w:val="superscript"/>
        </w:rPr>
        <w:footnoteReference w:id="606"/>
      </w:r>
      <w:r w:rsidRPr="006662F5">
        <w:t xml:space="preserve"> Its dilution analysis echoed the per se rule used in the </w:t>
      </w:r>
      <w:r w:rsidRPr="006662F5">
        <w:rPr>
          <w:i/>
          <w:iCs/>
        </w:rPr>
        <w:t>Gallo</w:t>
      </w:r>
      <w:r w:rsidRPr="006662F5">
        <w:t xml:space="preserve"> case and in the FTDA cases.</w:t>
      </w:r>
      <w:r w:rsidRPr="006662F5">
        <w:rPr>
          <w:vertAlign w:val="superscript"/>
        </w:rPr>
        <w:footnoteReference w:id="607"/>
      </w:r>
    </w:p>
    <w:p w:rsidR="00431229" w:rsidRPr="006662F5" w:rsidRDefault="00431229" w:rsidP="00073AC5">
      <w:pPr>
        <w:pStyle w:val="text"/>
      </w:pPr>
      <w:r w:rsidRPr="006662F5">
        <w:t>It is worth noting that these cases involved claims by owners of coined or otherwise clearly well-known marks. Where a mark consists largely of a common word or words, courts have been less willing to grant protection under dilution laws.</w:t>
      </w:r>
      <w:r w:rsidRPr="006662F5">
        <w:rPr>
          <w:vertAlign w:val="superscript"/>
        </w:rPr>
        <w:footnoteReference w:id="608"/>
      </w:r>
      <w:r w:rsidRPr="006662F5">
        <w:t xml:space="preserve"> Moreover, it also was held that the original Texas dilution law did not apply to the action of a domain name registrar</w:t>
      </w:r>
      <w:r w:rsidRPr="006662F5">
        <w:rPr>
          <w:vertAlign w:val="superscript"/>
        </w:rPr>
        <w:footnoteReference w:id="609"/>
      </w:r>
      <w:r w:rsidRPr="006662F5">
        <w:t xml:space="preserve"> in accepting the registration of an offending domain name.</w:t>
      </w:r>
      <w:r w:rsidRPr="006662F5">
        <w:rPr>
          <w:vertAlign w:val="superscript"/>
        </w:rPr>
        <w:footnoteReference w:id="610"/>
      </w:r>
      <w:r w:rsidRPr="006662F5">
        <w:t xml:space="preserve"> The court found that Texas law required a trademark use “or any use of or attempt to benefit from the mark,”</w:t>
      </w:r>
      <w:r w:rsidRPr="006662F5">
        <w:rPr>
          <w:vertAlign w:val="superscript"/>
        </w:rPr>
        <w:footnoteReference w:id="611"/>
      </w:r>
      <w:r w:rsidRPr="006662F5">
        <w:t xml:space="preserve"> which did not include the mere acceptance of a registration by the domain name registrar. Cases applying the FTDA and TDRA have come to similar conclusions.</w:t>
      </w:r>
      <w:r w:rsidRPr="006662F5">
        <w:rPr>
          <w:vertAlign w:val="superscript"/>
        </w:rPr>
        <w:footnoteReference w:id="612"/>
      </w:r>
    </w:p>
    <w:p w:rsidR="00431229" w:rsidRPr="006662F5" w:rsidRDefault="00431229" w:rsidP="00073AC5">
      <w:pPr>
        <w:pStyle w:val="text"/>
      </w:pPr>
      <w:r w:rsidRPr="006662F5">
        <w:t>In 2000, California added a statute designed to protect celebrities against registrations of their names as domain names.</w:t>
      </w:r>
      <w:r w:rsidRPr="006662F5">
        <w:rPr>
          <w:vertAlign w:val="superscript"/>
        </w:rPr>
        <w:footnoteReference w:id="613"/>
      </w:r>
      <w:r w:rsidRPr="006662F5">
        <w:t xml:space="preserve"> The statute prohibits the registration, trafficking, or use of a domain name “that is identical or confusingly similar to the personal name of another living person or deceased personality. …”</w:t>
      </w:r>
      <w:r w:rsidRPr="006662F5">
        <w:rPr>
          <w:vertAlign w:val="superscript"/>
        </w:rPr>
        <w:footnoteReference w:id="614"/>
      </w:r>
      <w:r w:rsidRPr="006662F5">
        <w:t xml:space="preserve"> It does not apply “if the name registered as a domain name is connected to a work of authorship.”</w:t>
      </w:r>
      <w:r w:rsidRPr="006662F5">
        <w:rPr>
          <w:vertAlign w:val="superscript"/>
        </w:rPr>
        <w:footnoteReference w:id="615"/>
      </w:r>
      <w:r w:rsidRPr="006662F5">
        <w:t xml:space="preserve"> The California statute also absolves domain name registrars from liability for dilution or infringement in connection with the registration of such personal names as domain names.</w:t>
      </w:r>
      <w:r w:rsidRPr="006662F5">
        <w:rPr>
          <w:vertAlign w:val="superscript"/>
        </w:rPr>
        <w:footnoteReference w:id="616"/>
      </w:r>
      <w:r w:rsidRPr="006662F5">
        <w:t xml:space="preserve"> Although this statute shares some features of the federal ACPA, it is narrower in scope. It only applies to the registration of a person’s name as a domain name. And it only applies where the domain name is “identical or confusingly similar to” the person’s name; it does not apply to domain names that are merely dilutive of the person’s name. Perhaps most critically, it has been held that this statute can be enforced only by the state attorney general or other state officials and not by a private cause of action.</w:t>
      </w:r>
      <w:r w:rsidRPr="006662F5">
        <w:rPr>
          <w:vertAlign w:val="superscript"/>
        </w:rPr>
        <w:footnoteReference w:id="617"/>
      </w:r>
      <w:r w:rsidRPr="006662F5">
        <w:t xml:space="preserve"> The ACPA also includes a separate provision, similar to the California statute, to protect people against unauthorized registration of their names as domain names.</w:t>
      </w:r>
      <w:r w:rsidRPr="006662F5">
        <w:rPr>
          <w:vertAlign w:val="superscript"/>
        </w:rPr>
        <w:footnoteReference w:id="618"/>
      </w:r>
    </w:p>
    <w:p w:rsidR="00431229" w:rsidRPr="006662F5" w:rsidRDefault="00431229" w:rsidP="00073AC5">
      <w:pPr>
        <w:pStyle w:val="text"/>
      </w:pPr>
      <w:r w:rsidRPr="006662F5">
        <w:t>There is another way that a trademark can be used on the Internet that has attracted some judicial attention: metatags. Metatags are pieces of code in a Web page that are invisible to a user but can be seen by Internet search programs to find relevant Web pages. Usually, metatags contain information relevant to the content of the Web page; in some cases, Web page designers have inserted trademarks of other companies.</w:t>
      </w:r>
      <w:r w:rsidRPr="006662F5">
        <w:rPr>
          <w:vertAlign w:val="superscript"/>
        </w:rPr>
        <w:footnoteReference w:id="619"/>
      </w:r>
      <w:r w:rsidRPr="006662F5">
        <w:t xml:space="preserve"> Whether such a use is deemed improper depends on whether the court deems the defendant to have a legitimate use for the metatag.</w:t>
      </w:r>
      <w:r w:rsidRPr="006662F5">
        <w:rPr>
          <w:vertAlign w:val="superscript"/>
        </w:rPr>
        <w:footnoteReference w:id="620"/>
      </w:r>
      <w:r w:rsidRPr="006662F5">
        <w:t xml:space="preserve"> Conceivably, it could be tarnishing if the metatag led the user to an unsavory Web site.</w:t>
      </w:r>
      <w:r w:rsidRPr="006662F5">
        <w:rPr>
          <w:vertAlign w:val="superscript"/>
        </w:rPr>
        <w:footnoteReference w:id="621"/>
      </w:r>
      <w:r w:rsidRPr="006662F5">
        <w:t xml:space="preserve"> Blurring is more dubious, since a user led to a Web site that has no obvious connection to a well-known trademark (either from the domain name or any marks used on the Web site itself) would not make a mental connection between the errant site and the distinctive trademark.</w:t>
      </w:r>
      <w:r w:rsidRPr="006662F5">
        <w:rPr>
          <w:vertAlign w:val="superscript"/>
        </w:rPr>
        <w:footnoteReference w:id="622"/>
      </w:r>
      <w:r w:rsidRPr="006662F5">
        <w:t xml:space="preserve"> Furthermore, if a trademark use were needed, then metatags would not satisfy the requirement.</w:t>
      </w:r>
    </w:p>
    <w:p w:rsidR="00431229" w:rsidRPr="006662F5" w:rsidRDefault="00431229" w:rsidP="00073AC5">
      <w:pPr>
        <w:pStyle w:val="2ndLevelHeadA0"/>
        <w:rPr>
          <w:rFonts w:cs="Times New Roman"/>
        </w:rPr>
      </w:pPr>
      <w:r w:rsidRPr="006662F5">
        <w:rPr>
          <w:rFonts w:cs="Times New Roman"/>
        </w:rPr>
        <w:t>F.</w:t>
      </w:r>
      <w:r w:rsidRPr="006662F5">
        <w:rPr>
          <w:rFonts w:cs="Times New Roman"/>
        </w:rPr>
        <w:tab/>
        <w:t>Contributory Liability for Dilution</w:t>
      </w:r>
      <w:r>
        <w:rPr>
          <w:rStyle w:val="FootnoteReference"/>
          <w:rFonts w:cs="Times New Roman"/>
        </w:rPr>
        <w:footnoteReference w:id="623"/>
      </w:r>
    </w:p>
    <w:p w:rsidR="00431229" w:rsidRPr="006662F5" w:rsidRDefault="00431229" w:rsidP="00073AC5">
      <w:pPr>
        <w:pStyle w:val="text"/>
      </w:pPr>
      <w:r w:rsidRPr="006662F5">
        <w:t>It is well established that liability for trademark infringement—that is, infringement by confusion—is not limited to the person directly responsible for the violation, such as the seller of an infringing product. Rather, trademark law also imposes liability on those who assist others to commit acts of infringement.</w:t>
      </w:r>
      <w:r w:rsidRPr="006662F5">
        <w:rPr>
          <w:vertAlign w:val="superscript"/>
        </w:rPr>
        <w:footnoteReference w:id="624"/>
      </w:r>
      <w:r w:rsidRPr="006662F5">
        <w:t xml:space="preserve"> But the contributory infringer must know or have good reason to know that the direct infringer will commit an act of infringement.</w:t>
      </w:r>
      <w:r w:rsidRPr="006662F5">
        <w:rPr>
          <w:vertAlign w:val="superscript"/>
        </w:rPr>
        <w:footnoteReference w:id="625"/>
      </w:r>
      <w:r w:rsidRPr="006662F5">
        <w:t xml:space="preserve"> This is a “narrow standard” of liability, not to be construed liberally.</w:t>
      </w:r>
      <w:r w:rsidRPr="006662F5">
        <w:rPr>
          <w:vertAlign w:val="superscript"/>
        </w:rPr>
        <w:footnoteReference w:id="626"/>
      </w:r>
    </w:p>
    <w:p w:rsidR="00431229" w:rsidRPr="006662F5" w:rsidRDefault="00431229" w:rsidP="00073AC5">
      <w:pPr>
        <w:pStyle w:val="text"/>
      </w:pPr>
      <w:r w:rsidRPr="006662F5">
        <w:t xml:space="preserve">Few courts have even mentioned the possibility of contributory liability for dilution. Perhaps this is because acts constituting dilution are so much more difficult to define that it would be difficult to demonstrate that the contributory party was truly at fault for the direct acts causing dilution. If there is a contributory dilution action, it must be construed narrowly. A strict requirement of knowledge both that the direct diluter’s mark is famous and of likely </w:t>
      </w:r>
      <w:r w:rsidRPr="006662F5">
        <w:rPr>
          <w:i/>
          <w:iCs/>
        </w:rPr>
        <w:t>dilution</w:t>
      </w:r>
      <w:r w:rsidRPr="006662F5">
        <w:t xml:space="preserve"> by the </w:t>
      </w:r>
      <w:r w:rsidRPr="006662F5">
        <w:rPr>
          <w:i/>
          <w:iCs/>
        </w:rPr>
        <w:t>known</w:t>
      </w:r>
      <w:r w:rsidRPr="006662F5">
        <w:t xml:space="preserve"> use of the mark by a </w:t>
      </w:r>
      <w:r w:rsidRPr="006662F5">
        <w:rPr>
          <w:i/>
          <w:iCs/>
        </w:rPr>
        <w:t>particular</w:t>
      </w:r>
      <w:r w:rsidRPr="006662F5">
        <w:t xml:space="preserve"> person should be imposed. This is necessary to prevent a contributory dilution claim from being overly protective.</w:t>
      </w:r>
    </w:p>
    <w:p w:rsidR="00431229" w:rsidRPr="006662F5" w:rsidRDefault="00431229" w:rsidP="00073AC5">
      <w:pPr>
        <w:pStyle w:val="text"/>
      </w:pPr>
      <w:r w:rsidRPr="006662F5">
        <w:t>There is some judicial skepticism about the existence of a contributory dilution claim.</w:t>
      </w:r>
      <w:r w:rsidRPr="006662F5">
        <w:rPr>
          <w:vertAlign w:val="superscript"/>
        </w:rPr>
        <w:footnoteReference w:id="627"/>
      </w:r>
      <w:r w:rsidRPr="006662F5">
        <w:t xml:space="preserve"> The Ninth Circuit has endorsed the idea that a contributory dilution claim should be limited, though without actually endorsing the existence of such a claim.</w:t>
      </w:r>
      <w:r w:rsidRPr="006662F5">
        <w:rPr>
          <w:vertAlign w:val="superscript"/>
        </w:rPr>
        <w:footnoteReference w:id="628"/>
      </w:r>
      <w:r w:rsidRPr="006662F5">
        <w:t xml:space="preserve"> Prior to the Ninth Circuit case, a federal district court refused to recognize such a claim at all, either under the FTDA or state law.</w:t>
      </w:r>
      <w:r w:rsidRPr="006662F5">
        <w:rPr>
          <w:vertAlign w:val="superscript"/>
        </w:rPr>
        <w:footnoteReference w:id="629"/>
      </w:r>
      <w:r w:rsidRPr="006662F5">
        <w:t xml:space="preserve"> One district court permitted a claim for contributory dilution to satisfy a motion to dismiss the complaint, calling it “entirely plausible.”</w:t>
      </w:r>
      <w:r w:rsidRPr="006662F5">
        <w:rPr>
          <w:vertAlign w:val="superscript"/>
        </w:rPr>
        <w:footnoteReference w:id="630"/>
      </w:r>
      <w:r w:rsidRPr="006662F5">
        <w:t xml:space="preserve"> The court did not engage in a serious discussion of the claim, which it also called “novel.”</w:t>
      </w:r>
      <w:r w:rsidRPr="006662F5">
        <w:rPr>
          <w:vertAlign w:val="superscript"/>
        </w:rPr>
        <w:footnoteReference w:id="631"/>
      </w:r>
      <w:r w:rsidRPr="006662F5">
        <w:t xml:space="preserve"> One other court permitted a claim for contributory dilution under Illinois law to withstand a motion to dismiss, but without any discussion of the issue at all.</w:t>
      </w:r>
      <w:r w:rsidRPr="006662F5">
        <w:rPr>
          <w:vertAlign w:val="superscript"/>
        </w:rPr>
        <w:footnoteReference w:id="632"/>
      </w:r>
      <w:r w:rsidRPr="006662F5">
        <w:t xml:space="preserve"> In another case, a federal district court granted summary judgment for a defendant on claims of contributory infringement and dilution, but without discussing whether a contributory dilution claim was theoretically viable.</w:t>
      </w:r>
      <w:r w:rsidRPr="006662F5">
        <w:rPr>
          <w:vertAlign w:val="superscript"/>
        </w:rPr>
        <w:footnoteReference w:id="633"/>
      </w:r>
    </w:p>
    <w:p w:rsidR="00431229" w:rsidRPr="006662F5" w:rsidRDefault="00431229" w:rsidP="00073AC5">
      <w:pPr>
        <w:pStyle w:val="2ndLevelHeadA0"/>
        <w:rPr>
          <w:rFonts w:cs="Times New Roman"/>
        </w:rPr>
      </w:pPr>
      <w:r w:rsidRPr="006662F5">
        <w:rPr>
          <w:rFonts w:cs="Times New Roman"/>
        </w:rPr>
        <w:t>G.</w:t>
      </w:r>
      <w:r w:rsidRPr="006662F5">
        <w:rPr>
          <w:rFonts w:cs="Times New Roman"/>
        </w:rPr>
        <w:tab/>
        <w:t>Merchandising of Trademarks and Dilution</w:t>
      </w:r>
    </w:p>
    <w:p w:rsidR="00431229" w:rsidRPr="006662F5" w:rsidRDefault="00431229" w:rsidP="00073AC5">
      <w:pPr>
        <w:pStyle w:val="text"/>
      </w:pPr>
      <w:r w:rsidRPr="006662F5">
        <w:t xml:space="preserve">One use of trademarks that has become prevalent in the last 20 years or so is the use of trademarks as products. Instead of the trademark being used to denote the source of a product, the trademark </w:t>
      </w:r>
      <w:r w:rsidRPr="006662F5">
        <w:rPr>
          <w:i/>
          <w:iCs/>
        </w:rPr>
        <w:t>is</w:t>
      </w:r>
      <w:r w:rsidRPr="006662F5">
        <w:t xml:space="preserve"> the product.</w:t>
      </w:r>
      <w:r w:rsidRPr="006662F5">
        <w:rPr>
          <w:vertAlign w:val="superscript"/>
        </w:rPr>
        <w:footnoteReference w:id="634"/>
      </w:r>
      <w:r w:rsidRPr="006662F5">
        <w:t xml:space="preserve"> One might argue that the unauthorized sale of the marks themselves constitutes a form of dilution because it divests the mark owner of control over the use of the mark. However, at least two courts have considered, and rejected, such dilution claims. In </w:t>
      </w:r>
      <w:r w:rsidRPr="006662F5">
        <w:rPr>
          <w:i/>
          <w:iCs/>
        </w:rPr>
        <w:t>Plasticolor Molded Products v</w:t>
      </w:r>
      <w:r w:rsidRPr="006662F5">
        <w:t>.</w:t>
      </w:r>
      <w:r w:rsidRPr="006662F5">
        <w:rPr>
          <w:i/>
          <w:iCs/>
        </w:rPr>
        <w:t xml:space="preserve"> Ford Motor Co</w:t>
      </w:r>
      <w:r w:rsidRPr="006662F5">
        <w:t>.,</w:t>
      </w:r>
      <w:r w:rsidRPr="006662F5">
        <w:rPr>
          <w:vertAlign w:val="superscript"/>
        </w:rPr>
        <w:footnoteReference w:id="635"/>
      </w:r>
      <w:r w:rsidRPr="006662F5">
        <w:t xml:space="preserve"> the plaintiff requested a declaratory judgment permitting it to use the Ford mark on floor mats and other accessories. Ford then counterclaimed for both infringement and dilution.</w:t>
      </w:r>
      <w:r w:rsidRPr="006662F5">
        <w:rPr>
          <w:vertAlign w:val="superscript"/>
        </w:rPr>
        <w:footnoteReference w:id="636"/>
      </w:r>
      <w:r w:rsidRPr="006662F5">
        <w:t xml:space="preserve"> The court found neither confusion nor dilution.</w:t>
      </w:r>
      <w:r w:rsidRPr="006662F5">
        <w:rPr>
          <w:vertAlign w:val="superscript"/>
        </w:rPr>
        <w:footnoteReference w:id="637"/>
      </w:r>
      <w:r w:rsidRPr="006662F5">
        <w:t xml:space="preserve"> With respect to the dilution claim, the court found that Ford produced no evidence of any lessening of the source-identifying value of its marks.</w:t>
      </w:r>
      <w:r w:rsidRPr="006662F5">
        <w:rPr>
          <w:vertAlign w:val="superscript"/>
        </w:rPr>
        <w:footnoteReference w:id="638"/>
      </w:r>
      <w:r w:rsidRPr="006662F5">
        <w:t xml:space="preserve"> Indeed, the court thought that the defendant’s use might be “likely to </w:t>
      </w:r>
      <w:r w:rsidRPr="006662F5">
        <w:rPr>
          <w:i/>
          <w:iCs/>
        </w:rPr>
        <w:t>increase</w:t>
      </w:r>
      <w:r w:rsidRPr="006662F5">
        <w:t xml:space="preserve"> the distinctiveness of Ford’s marks.”</w:t>
      </w:r>
      <w:r w:rsidRPr="006662F5">
        <w:rPr>
          <w:vertAlign w:val="superscript"/>
        </w:rPr>
        <w:footnoteReference w:id="639"/>
      </w:r>
    </w:p>
    <w:p w:rsidR="00431229" w:rsidRPr="006662F5" w:rsidRDefault="00431229" w:rsidP="00073AC5">
      <w:pPr>
        <w:pStyle w:val="text"/>
      </w:pPr>
      <w:r w:rsidRPr="006662F5">
        <w:t xml:space="preserve">The court in </w:t>
      </w:r>
      <w:r w:rsidRPr="006662F5">
        <w:rPr>
          <w:i/>
          <w:iCs/>
        </w:rPr>
        <w:t>Bi-Rite Enterprises, Inc</w:t>
      </w:r>
      <w:r w:rsidRPr="006662F5">
        <w:t>.</w:t>
      </w:r>
      <w:r w:rsidRPr="006662F5">
        <w:rPr>
          <w:i/>
          <w:iCs/>
        </w:rPr>
        <w:t xml:space="preserve"> v</w:t>
      </w:r>
      <w:r w:rsidRPr="006662F5">
        <w:t>.</w:t>
      </w:r>
      <w:r w:rsidRPr="006662F5">
        <w:rPr>
          <w:i/>
          <w:iCs/>
        </w:rPr>
        <w:t xml:space="preserve"> Button Master </w:t>
      </w:r>
      <w:r w:rsidRPr="006662F5">
        <w:rPr>
          <w:vertAlign w:val="superscript"/>
        </w:rPr>
        <w:footnoteReference w:id="640"/>
      </w:r>
      <w:r w:rsidRPr="006662F5">
        <w:t xml:space="preserve"> was equally emphatic in its rejection of the dilution claim. This case involved the sale of various unlicensed novelty items with the names and marks of recording artists.</w:t>
      </w:r>
      <w:r w:rsidRPr="006662F5">
        <w:rPr>
          <w:vertAlign w:val="superscript"/>
        </w:rPr>
        <w:footnoteReference w:id="641"/>
      </w:r>
      <w:r w:rsidRPr="006662F5">
        <w:t xml:space="preserve"> As in </w:t>
      </w:r>
      <w:r w:rsidRPr="006662F5">
        <w:rPr>
          <w:i/>
          <w:iCs/>
        </w:rPr>
        <w:t>Plasticolor</w:t>
      </w:r>
      <w:r w:rsidRPr="006662F5">
        <w:t xml:space="preserve">, rather than diluting the marks, the court viewed the unauthorized uses as </w:t>
      </w:r>
      <w:r w:rsidRPr="006662F5">
        <w:rPr>
          <w:i/>
          <w:iCs/>
        </w:rPr>
        <w:t>strengthening</w:t>
      </w:r>
      <w:r w:rsidRPr="006662F5">
        <w:t xml:space="preserve"> the value of the plaintiff’s marks.</w:t>
      </w:r>
      <w:r w:rsidRPr="006662F5">
        <w:rPr>
          <w:vertAlign w:val="superscript"/>
        </w:rPr>
        <w:footnoteReference w:id="642"/>
      </w:r>
    </w:p>
    <w:p w:rsidR="00431229" w:rsidRPr="006662F5" w:rsidRDefault="00431229" w:rsidP="00073AC5">
      <w:pPr>
        <w:pStyle w:val="text"/>
      </w:pPr>
      <w:r w:rsidRPr="006662F5">
        <w:t>A leading commentary on the subject also found dilution to be of limited value to the merchandising problem.</w:t>
      </w:r>
      <w:r w:rsidRPr="006662F5">
        <w:rPr>
          <w:vertAlign w:val="superscript"/>
        </w:rPr>
        <w:footnoteReference w:id="643"/>
      </w:r>
    </w:p>
    <w:p w:rsidR="00431229" w:rsidRPr="006662F5" w:rsidRDefault="00431229" w:rsidP="00073AC5">
      <w:pPr>
        <w:pStyle w:val="text"/>
      </w:pPr>
      <w:r w:rsidRPr="006662F5">
        <w:t xml:space="preserve">However, other courts have found dilution liability. In </w:t>
      </w:r>
      <w:r w:rsidRPr="006662F5">
        <w:rPr>
          <w:i/>
          <w:iCs/>
        </w:rPr>
        <w:t>Ford Motor Co</w:t>
      </w:r>
      <w:r w:rsidRPr="006662F5">
        <w:t>.</w:t>
      </w:r>
      <w:r w:rsidRPr="006662F5">
        <w:rPr>
          <w:i/>
          <w:iCs/>
        </w:rPr>
        <w:t xml:space="preserve"> v</w:t>
      </w:r>
      <w:r w:rsidRPr="006662F5">
        <w:t>.</w:t>
      </w:r>
      <w:r w:rsidRPr="006662F5">
        <w:rPr>
          <w:i/>
          <w:iCs/>
        </w:rPr>
        <w:t xml:space="preserve"> Lloyd Design Corp</w:t>
      </w:r>
      <w:r w:rsidRPr="006662F5">
        <w:t>.,</w:t>
      </w:r>
      <w:r w:rsidRPr="006662F5">
        <w:rPr>
          <w:vertAlign w:val="superscript"/>
        </w:rPr>
        <w:footnoteReference w:id="644"/>
      </w:r>
      <w:r w:rsidRPr="006662F5">
        <w:t xml:space="preserve"> a case virtually identical to </w:t>
      </w:r>
      <w:r w:rsidRPr="006662F5">
        <w:rPr>
          <w:i/>
          <w:iCs/>
        </w:rPr>
        <w:t>Plasticolor</w:t>
      </w:r>
      <w:r w:rsidRPr="006662F5">
        <w:t>, the court found that the defendant’s use of plaintiff’s trademarks on floor mats violated the FTDA.</w:t>
      </w:r>
      <w:r w:rsidRPr="006662F5">
        <w:rPr>
          <w:vertAlign w:val="superscript"/>
        </w:rPr>
        <w:footnoteReference w:id="645"/>
      </w:r>
      <w:r w:rsidRPr="006662F5">
        <w:t xml:space="preserve"> The same result was reached in </w:t>
      </w:r>
      <w:r w:rsidRPr="006662F5">
        <w:rPr>
          <w:i/>
          <w:iCs/>
        </w:rPr>
        <w:t>Texas Tech University v</w:t>
      </w:r>
      <w:r w:rsidRPr="006662F5">
        <w:t>.</w:t>
      </w:r>
      <w:r w:rsidRPr="006662F5">
        <w:rPr>
          <w:i/>
          <w:iCs/>
        </w:rPr>
        <w:t xml:space="preserve"> Spiegelberg</w:t>
      </w:r>
      <w:r w:rsidRPr="006662F5">
        <w:t>,</w:t>
      </w:r>
      <w:r w:rsidRPr="006662F5">
        <w:rPr>
          <w:vertAlign w:val="superscript"/>
        </w:rPr>
        <w:footnoteReference w:id="646"/>
      </w:r>
      <w:r w:rsidRPr="006662F5">
        <w:t xml:space="preserve"> a suit against a maker of unlicensed Texas Tech merchandise. In addition to the fed</w:t>
      </w:r>
      <w:r w:rsidRPr="006662F5">
        <w:rPr>
          <w:spacing w:val="-3"/>
        </w:rPr>
        <w:t xml:space="preserve">eral dilution claim (which the court upheld even after the Supreme Court’s decision in </w:t>
      </w:r>
      <w:r w:rsidRPr="006662F5">
        <w:rPr>
          <w:i/>
          <w:iCs/>
          <w:spacing w:val="-3"/>
        </w:rPr>
        <w:t>Moseley v</w:t>
      </w:r>
      <w:r w:rsidRPr="006662F5">
        <w:rPr>
          <w:spacing w:val="-3"/>
        </w:rPr>
        <w:t>.</w:t>
      </w:r>
      <w:r w:rsidRPr="006662F5">
        <w:rPr>
          <w:i/>
          <w:iCs/>
          <w:spacing w:val="-3"/>
        </w:rPr>
        <w:t xml:space="preserve"> V Secret Catalogue, Inc</w:t>
      </w:r>
      <w:r w:rsidRPr="006662F5">
        <w:rPr>
          <w:spacing w:val="-3"/>
        </w:rPr>
        <w:t>.</w:t>
      </w:r>
      <w:r w:rsidRPr="006662F5">
        <w:rPr>
          <w:spacing w:val="-3"/>
          <w:vertAlign w:val="superscript"/>
        </w:rPr>
        <w:footnoteReference w:id="647"/>
      </w:r>
      <w:r w:rsidRPr="006662F5">
        <w:rPr>
          <w:spacing w:val="-3"/>
        </w:rPr>
        <w:t xml:space="preserve"> because the marks were “identical”), the court granted relief under Texas law, stating: “</w:t>
      </w:r>
      <w:r w:rsidRPr="006662F5">
        <w:t>The circulation of unlicensed products bearing Texas Tech’s marks will likely blur the uniqueness of officially licensed products. Undoubtedly, the sale of unlicensed products will result in diminished individuality of the officially licensed products.”</w:t>
      </w:r>
      <w:r w:rsidRPr="006662F5">
        <w:rPr>
          <w:vertAlign w:val="superscript"/>
        </w:rPr>
        <w:footnoteReference w:id="648"/>
      </w:r>
      <w:r w:rsidRPr="006662F5">
        <w:t xml:space="preserve"> This statement may miss the point; while selling unlicensed products may affect the “uniqueness” of licensed products (although perhaps not, if the unlicensed products are clearly labeled as such), it may not affect the uniqueness of the mark itself as pointing to the university.</w:t>
      </w:r>
    </w:p>
    <w:p w:rsidR="00431229" w:rsidRPr="006662F5" w:rsidRDefault="00431229" w:rsidP="00073AC5">
      <w:pPr>
        <w:pStyle w:val="text"/>
      </w:pPr>
      <w:r w:rsidRPr="006662F5">
        <w:t xml:space="preserve">In </w:t>
      </w:r>
      <w:r w:rsidRPr="006662F5">
        <w:rPr>
          <w:i/>
          <w:iCs/>
        </w:rPr>
        <w:t>University of Kansas v</w:t>
      </w:r>
      <w:r w:rsidRPr="006662F5">
        <w:t>.</w:t>
      </w:r>
      <w:r w:rsidRPr="006662F5">
        <w:rPr>
          <w:i/>
          <w:iCs/>
        </w:rPr>
        <w:t xml:space="preserve"> Sinks</w:t>
      </w:r>
      <w:r w:rsidRPr="006662F5">
        <w:t>,</w:t>
      </w:r>
      <w:r w:rsidRPr="006662F5">
        <w:rPr>
          <w:vertAlign w:val="superscript"/>
        </w:rPr>
        <w:footnoteReference w:id="649"/>
      </w:r>
      <w:r w:rsidRPr="006662F5">
        <w:t xml:space="preserve"> a jury found that the defendants’ unlicensed and often “irreverent” uses of the University’s marks on T-shirts and hats constituted actual dilution by tarnishment.</w:t>
      </w:r>
      <w:r w:rsidRPr="006662F5">
        <w:rPr>
          <w:vertAlign w:val="superscript"/>
        </w:rPr>
        <w:footnoteReference w:id="650"/>
      </w:r>
    </w:p>
    <w:p w:rsidR="00431229" w:rsidRPr="006662F5" w:rsidRDefault="00431229" w:rsidP="00073AC5">
      <w:pPr>
        <w:pStyle w:val="text"/>
      </w:pPr>
      <w:r w:rsidRPr="006662F5">
        <w:t xml:space="preserve">In </w:t>
      </w:r>
      <w:r w:rsidRPr="006662F5">
        <w:rPr>
          <w:i/>
          <w:iCs/>
        </w:rPr>
        <w:t>Ford Motor Co</w:t>
      </w:r>
      <w:r w:rsidRPr="006662F5">
        <w:t>.</w:t>
      </w:r>
      <w:r w:rsidRPr="006662F5">
        <w:rPr>
          <w:i/>
          <w:iCs/>
        </w:rPr>
        <w:t xml:space="preserve"> v</w:t>
      </w:r>
      <w:r w:rsidRPr="006662F5">
        <w:t>.</w:t>
      </w:r>
      <w:r w:rsidRPr="006662F5">
        <w:rPr>
          <w:i/>
          <w:iCs/>
        </w:rPr>
        <w:t xml:space="preserve"> GreatDomains</w:t>
      </w:r>
      <w:r w:rsidRPr="006662F5">
        <w:t>.</w:t>
      </w:r>
      <w:r w:rsidRPr="006662F5">
        <w:rPr>
          <w:i/>
          <w:iCs/>
        </w:rPr>
        <w:t>com, Inc</w:t>
      </w:r>
      <w:r w:rsidRPr="006662F5">
        <w:t>.,</w:t>
      </w:r>
      <w:r w:rsidRPr="006662F5">
        <w:rPr>
          <w:vertAlign w:val="superscript"/>
        </w:rPr>
        <w:footnoteReference w:id="651"/>
      </w:r>
      <w:r w:rsidRPr="006662F5">
        <w:t xml:space="preserve"> the district court took an interesting view of the FTDA in the Internet context that is also relevant to the concept of trademarks as merchandise. One defendant owned various domain names that incorporated Ford’s trademarks.</w:t>
      </w:r>
      <w:r w:rsidRPr="006662F5">
        <w:rPr>
          <w:vertAlign w:val="superscript"/>
        </w:rPr>
        <w:footnoteReference w:id="652"/>
      </w:r>
      <w:r w:rsidRPr="006662F5">
        <w:t xml:space="preserve"> The court held that selling the names themselves, unattached to any goods or services, did not constitute dilution.</w:t>
      </w:r>
      <w:r w:rsidRPr="006662F5">
        <w:rPr>
          <w:vertAlign w:val="superscript"/>
        </w:rPr>
        <w:footnoteReference w:id="653"/>
      </w:r>
      <w:r w:rsidRPr="006662F5">
        <w:t xml:space="preserve"> The court noted that “the FTDA does not </w:t>
      </w:r>
      <w:r w:rsidRPr="006662F5">
        <w:rPr>
          <w:i/>
          <w:iCs/>
        </w:rPr>
        <w:t>expressly</w:t>
      </w:r>
      <w:r w:rsidRPr="006662F5">
        <w:t xml:space="preserve"> require use of a mark ‘in connection with any goods or services’”;</w:t>
      </w:r>
      <w:r w:rsidRPr="006662F5">
        <w:rPr>
          <w:vertAlign w:val="superscript"/>
        </w:rPr>
        <w:footnoteReference w:id="654"/>
      </w:r>
      <w:r w:rsidRPr="006662F5">
        <w:t xml:space="preserve"> nevertheless, the court believed that such a requirement was implicit in the various cases stating that registration of a domain name is not a commercial use.</w:t>
      </w:r>
      <w:r w:rsidRPr="006662F5">
        <w:rPr>
          <w:vertAlign w:val="superscript"/>
        </w:rPr>
        <w:footnoteReference w:id="655"/>
      </w:r>
      <w:r w:rsidRPr="006662F5">
        <w:t xml:space="preserve"> The court thus distinguished the well-known </w:t>
      </w:r>
      <w:r w:rsidRPr="006662F5">
        <w:rPr>
          <w:i/>
          <w:iCs/>
        </w:rPr>
        <w:t>Boston Hockey</w:t>
      </w:r>
      <w:r w:rsidRPr="006662F5">
        <w:t xml:space="preserve"> case</w:t>
      </w:r>
      <w:r w:rsidRPr="006662F5">
        <w:rPr>
          <w:vertAlign w:val="superscript"/>
        </w:rPr>
        <w:footnoteReference w:id="656"/>
      </w:r>
      <w:r w:rsidRPr="006662F5">
        <w:t xml:space="preserve"> as a case where the trademark itself was not being sold, but rather the trademark on a cloth emblem.</w:t>
      </w:r>
      <w:r w:rsidRPr="006662F5">
        <w:rPr>
          <w:vertAlign w:val="superscript"/>
        </w:rPr>
        <w:footnoteReference w:id="657"/>
      </w:r>
      <w:r w:rsidRPr="006662F5">
        <w:t xml:space="preserve"> In this case, it was the name itself that was being sold, unattached to any goods or services.</w:t>
      </w:r>
    </w:p>
    <w:p w:rsidR="00431229" w:rsidRPr="006662F5" w:rsidRDefault="00431229" w:rsidP="00073AC5">
      <w:pPr>
        <w:pStyle w:val="text"/>
      </w:pPr>
      <w:r w:rsidRPr="006662F5">
        <w:t xml:space="preserve">Finally, in the case of </w:t>
      </w:r>
      <w:r w:rsidRPr="006662F5">
        <w:rPr>
          <w:i/>
          <w:iCs/>
        </w:rPr>
        <w:t>Au–Tomotive Gold, Inc</w:t>
      </w:r>
      <w:r w:rsidRPr="006662F5">
        <w:t>.</w:t>
      </w:r>
      <w:r w:rsidRPr="006662F5">
        <w:rPr>
          <w:i/>
          <w:iCs/>
        </w:rPr>
        <w:t xml:space="preserve"> v</w:t>
      </w:r>
      <w:r w:rsidRPr="006662F5">
        <w:t>.</w:t>
      </w:r>
      <w:r w:rsidRPr="006662F5">
        <w:rPr>
          <w:i/>
          <w:iCs/>
        </w:rPr>
        <w:t xml:space="preserve"> Volkswagen of America, Inc</w:t>
      </w:r>
      <w:r w:rsidRPr="006662F5">
        <w:t>.,</w:t>
      </w:r>
      <w:r w:rsidRPr="006662F5">
        <w:rPr>
          <w:vertAlign w:val="superscript"/>
        </w:rPr>
        <w:footnoteReference w:id="658"/>
      </w:r>
      <w:r w:rsidRPr="006662F5">
        <w:t xml:space="preserve"> the plaintiff argued that because it obtained the VW trademarks for its marquee license plates from Volkswagen-made “badges” sold by dealers (used to replace a lost VW emblem on the hood or trunk of the car), its merchandise was immune from liability as a “first sale.” However, the Ninth Circuit rejected that argument.</w:t>
      </w:r>
      <w:r w:rsidRPr="006662F5">
        <w:rPr>
          <w:vertAlign w:val="superscript"/>
        </w:rPr>
        <w:footnoteReference w:id="659"/>
      </w:r>
    </w:p>
    <w:p w:rsidR="00431229" w:rsidRPr="006662F5" w:rsidRDefault="00431229" w:rsidP="00073AC5">
      <w:pPr>
        <w:pStyle w:val="1stLevelHeadII"/>
        <w:rPr>
          <w:rFonts w:cs="Times New Roman"/>
        </w:rPr>
      </w:pPr>
      <w:r w:rsidRPr="006662F5">
        <w:rPr>
          <w:rFonts w:cs="Times New Roman"/>
        </w:rPr>
        <w:t>V.</w:t>
      </w:r>
      <w:r w:rsidRPr="006662F5">
        <w:rPr>
          <w:rFonts w:cs="Times New Roman"/>
        </w:rPr>
        <w:t> </w:t>
      </w:r>
      <w:r w:rsidRPr="006662F5">
        <w:rPr>
          <w:rFonts w:cs="Times New Roman"/>
        </w:rPr>
        <w:t>The Requisite Level of Similarity</w:t>
      </w:r>
    </w:p>
    <w:p w:rsidR="00431229" w:rsidRPr="006662F5" w:rsidRDefault="00431229" w:rsidP="00073AC5">
      <w:pPr>
        <w:pStyle w:val="2ndLevel1"/>
        <w:rPr>
          <w:rFonts w:cs="Times New Roman"/>
        </w:rPr>
      </w:pPr>
      <w:r w:rsidRPr="006662F5">
        <w:rPr>
          <w:rFonts w:cs="Times New Roman"/>
        </w:rPr>
        <w:t>A.</w:t>
      </w:r>
      <w:r w:rsidRPr="006662F5">
        <w:rPr>
          <w:rFonts w:cs="Times New Roman"/>
        </w:rPr>
        <w:tab/>
        <w:t>Must the Similarity be “Substantial”? Interpreting the Statutory Mandates</w:t>
      </w:r>
    </w:p>
    <w:p w:rsidR="00431229" w:rsidRPr="006662F5" w:rsidRDefault="00431229" w:rsidP="00073AC5">
      <w:pPr>
        <w:pStyle w:val="text"/>
      </w:pPr>
      <w:r w:rsidRPr="006662F5">
        <w:t>In order for trademark dilution to occur, the second user must evoke an association with the first user. For that to happen, it is not necessary that the second use be identical to the distinctive mark. However, the second user’s mark or device</w:t>
      </w:r>
      <w:r w:rsidRPr="006662F5">
        <w:rPr>
          <w:vertAlign w:val="superscript"/>
        </w:rPr>
        <w:footnoteReference w:id="660"/>
      </w:r>
      <w:r w:rsidRPr="006662F5">
        <w:t xml:space="preserve"> must be sufficiently </w:t>
      </w:r>
      <w:r w:rsidRPr="006662F5">
        <w:rPr>
          <w:i/>
          <w:iCs/>
        </w:rPr>
        <w:t>similar</w:t>
      </w:r>
      <w:r w:rsidRPr="006662F5">
        <w:t xml:space="preserve"> to the first user’s mark to conjure the necessary association.</w:t>
      </w:r>
      <w:r w:rsidRPr="006662F5">
        <w:rPr>
          <w:vertAlign w:val="superscript"/>
        </w:rPr>
        <w:footnoteReference w:id="661"/>
      </w:r>
      <w:r w:rsidRPr="006662F5">
        <w:t xml:space="preserve"> The question is, how similar must the two uses be for dilution to be possible?</w:t>
      </w:r>
    </w:p>
    <w:p w:rsidR="00431229" w:rsidRPr="006662F5" w:rsidRDefault="00431229" w:rsidP="00073AC5">
      <w:pPr>
        <w:pStyle w:val="text"/>
      </w:pPr>
      <w:r w:rsidRPr="006662F5">
        <w:t>The task of making this determination is complicated by the different types of comparisons that are necessary. In some cases, the question will be whether two uses of a word mark are sufficiently similar. In other cases, the relevant comparison will be between a picture, a design, colors, or even the appearance of the product itself. Still other cases will involve a combination of both words and other devices.</w:t>
      </w:r>
    </w:p>
    <w:p w:rsidR="00431229" w:rsidRPr="006662F5" w:rsidRDefault="00431229" w:rsidP="00073AC5">
      <w:pPr>
        <w:pStyle w:val="text"/>
      </w:pPr>
      <w:r w:rsidRPr="006662F5">
        <w:t>Until recently, most courts required that the two uses must be “substantially similar” for dilution to occur under both state and federal law.</w:t>
      </w:r>
      <w:r w:rsidRPr="006662F5">
        <w:rPr>
          <w:vertAlign w:val="superscript"/>
        </w:rPr>
        <w:footnoteReference w:id="662"/>
      </w:r>
      <w:r w:rsidRPr="006662F5">
        <w:t xml:space="preserve"> However, even “substantially similar” does not describe the comparison adequately. At a minimum, the degree of similarity has been held to be greater than in a confusion case.</w:t>
      </w:r>
      <w:r w:rsidRPr="006662F5">
        <w:rPr>
          <w:vertAlign w:val="superscript"/>
        </w:rPr>
        <w:footnoteReference w:id="663"/>
      </w:r>
    </w:p>
    <w:p w:rsidR="00431229" w:rsidRPr="006662F5" w:rsidRDefault="00431229" w:rsidP="00073AC5">
      <w:pPr>
        <w:pStyle w:val="text"/>
      </w:pPr>
      <w:r w:rsidRPr="006662F5">
        <w:t>The Second and Ninth Circuits, interpreting the TDRA, have held that the TDRA altered the requirement of similarity, but only for federal law.</w:t>
      </w:r>
      <w:r w:rsidRPr="006662F5">
        <w:rPr>
          <w:vertAlign w:val="superscript"/>
        </w:rPr>
        <w:footnoteReference w:id="664"/>
      </w:r>
      <w:r w:rsidRPr="006662F5">
        <w:t xml:space="preserve"> The Second Circuit went first, holding that because the TDRA included “degree of similarity” as a factor in determining dilution by blurring, there should not be a threshold test of “substantial similarity” in addition to this factor.</w:t>
      </w:r>
      <w:r w:rsidRPr="006662F5">
        <w:rPr>
          <w:vertAlign w:val="superscript"/>
        </w:rPr>
        <w:footnoteReference w:id="665"/>
      </w:r>
      <w:r w:rsidRPr="006662F5">
        <w:t xml:space="preserve"> This reasoning was essentially followed by the Ninth Circuit.</w:t>
      </w:r>
      <w:r w:rsidRPr="006662F5">
        <w:rPr>
          <w:vertAlign w:val="superscript"/>
        </w:rPr>
        <w:footnoteReference w:id="666"/>
      </w:r>
      <w:r w:rsidRPr="006662F5">
        <w:t xml:space="preserve"> The Trademark Trial and Appeal Board, after waffling somewhat,</w:t>
      </w:r>
      <w:r w:rsidRPr="006662F5">
        <w:rPr>
          <w:vertAlign w:val="superscript"/>
        </w:rPr>
        <w:footnoteReference w:id="667"/>
      </w:r>
      <w:r w:rsidRPr="006662F5">
        <w:t xml:space="preserve"> has adopted the reasoning of the Second and Ninth Circuits.</w:t>
      </w:r>
      <w:r w:rsidRPr="006662F5">
        <w:rPr>
          <w:vertAlign w:val="superscript"/>
        </w:rPr>
        <w:footnoteReference w:id="668"/>
      </w:r>
      <w:r w:rsidRPr="006662F5">
        <w:t xml:space="preserve"> For the moment, other federal courts are using the test of substantial similarity as a threshold requirement for demonstrating dilution. Prior to the Second and Ninth Circuit decisions, several courts had used the same standard of similarity—namely, substantial similarity—for both federal and state claims.</w:t>
      </w:r>
      <w:r w:rsidRPr="006662F5">
        <w:rPr>
          <w:vertAlign w:val="superscript"/>
        </w:rPr>
        <w:footnoteReference w:id="669"/>
      </w:r>
      <w:r w:rsidRPr="006662F5">
        <w:t xml:space="preserve"> Therefore, it is noteworthy that the Second Circuit, in the same case in which it broke with the substantial similarity test under the TDRA, expressly stated that it would continue to require substantial similarity when evaluating claims under New York law.</w:t>
      </w:r>
      <w:r w:rsidRPr="006662F5">
        <w:rPr>
          <w:vertAlign w:val="superscript"/>
        </w:rPr>
        <w:footnoteReference w:id="670"/>
      </w:r>
      <w:r w:rsidRPr="006662F5">
        <w:t xml:space="preserve"> Thus, it may be that most state laws will continue to be governed by the substantial similarity standard—both those patterned after the 1964 Model Bill (which includes New York)</w:t>
      </w:r>
      <w:r w:rsidRPr="006662F5">
        <w:rPr>
          <w:vertAlign w:val="superscript"/>
        </w:rPr>
        <w:footnoteReference w:id="671"/>
      </w:r>
      <w:r w:rsidRPr="006662F5">
        <w:t xml:space="preserve"> and those patterned after the 1992 or 1996 Model Bill. </w:t>
      </w:r>
    </w:p>
    <w:p w:rsidR="00431229" w:rsidRPr="006662F5" w:rsidRDefault="00431229" w:rsidP="00073AC5">
      <w:pPr>
        <w:pStyle w:val="text"/>
      </w:pPr>
      <w:r w:rsidRPr="006662F5">
        <w:t>The situation among those states using the 2007 Model Bill is more complicated. Although the drafters of the Model Bill adopted most of the key provisions of the TDRA, they did not include the six factors included in the TDRA to help measure blurring. Thus, if the Second and Ninth Circuits’ view of the TDRA becomes widespread, courts will have to decide whether the 2007 Model Bill implicitly incorporates the TDRA standard.</w:t>
      </w:r>
      <w:r w:rsidRPr="006662F5">
        <w:rPr>
          <w:vertAlign w:val="superscript"/>
        </w:rPr>
        <w:footnoteReference w:id="672"/>
      </w:r>
      <w:r w:rsidRPr="006662F5">
        <w:t xml:space="preserve"> It is certainly far from clear that the state legislatures that have adopted this version had any idea that such a change would result from the new language, which, unlike the TDRA, says nothing about the proper level of similarity. Moreover, it leaves open the question of the proper level of similarity for tarnishment, for which the TDRA (and the 2007 Model Bill) provide no guiding factors.</w:t>
      </w:r>
      <w:r w:rsidRPr="006662F5">
        <w:rPr>
          <w:vertAlign w:val="superscript"/>
        </w:rPr>
        <w:footnoteReference w:id="673"/>
      </w:r>
    </w:p>
    <w:p w:rsidR="00431229" w:rsidRPr="006662F5" w:rsidRDefault="00431229" w:rsidP="00073AC5">
      <w:pPr>
        <w:pStyle w:val="2ndLevelHeadA0"/>
        <w:rPr>
          <w:rFonts w:cs="Times New Roman"/>
        </w:rPr>
      </w:pPr>
      <w:r w:rsidRPr="006662F5">
        <w:rPr>
          <w:rFonts w:cs="Times New Roman"/>
        </w:rPr>
        <w:t>B.</w:t>
      </w:r>
      <w:r w:rsidRPr="006662F5">
        <w:rPr>
          <w:rFonts w:cs="Times New Roman"/>
        </w:rPr>
        <w:tab/>
        <w:t>Applying the Concept of Similarity: The Case Law</w:t>
      </w:r>
    </w:p>
    <w:p w:rsidR="00431229" w:rsidRPr="006662F5" w:rsidRDefault="00431229" w:rsidP="00073AC5">
      <w:pPr>
        <w:pStyle w:val="text"/>
      </w:pPr>
      <w:r w:rsidRPr="006662F5">
        <w:t xml:space="preserve">In terms of similarity under state law, a leading case comparing word marks is </w:t>
      </w:r>
      <w:r w:rsidRPr="006662F5">
        <w:rPr>
          <w:i/>
          <w:iCs/>
        </w:rPr>
        <w:t>Mead Data Central, Inc</w:t>
      </w:r>
      <w:r w:rsidRPr="006662F5">
        <w:t>.</w:t>
      </w:r>
      <w:r w:rsidRPr="006662F5">
        <w:rPr>
          <w:i/>
          <w:iCs/>
        </w:rPr>
        <w:t xml:space="preserve"> v</w:t>
      </w:r>
      <w:r w:rsidRPr="006662F5">
        <w:t>.</w:t>
      </w:r>
      <w:r w:rsidRPr="006662F5">
        <w:rPr>
          <w:i/>
          <w:iCs/>
        </w:rPr>
        <w:t xml:space="preserve"> Toyota Motor Sales, U</w:t>
      </w:r>
      <w:r w:rsidRPr="006662F5">
        <w:t>.</w:t>
      </w:r>
      <w:r w:rsidRPr="006662F5">
        <w:rPr>
          <w:i/>
          <w:iCs/>
        </w:rPr>
        <w:t>S</w:t>
      </w:r>
      <w:r w:rsidRPr="006662F5">
        <w:t>.</w:t>
      </w:r>
      <w:r w:rsidRPr="006662F5">
        <w:rPr>
          <w:i/>
          <w:iCs/>
        </w:rPr>
        <w:t>A</w:t>
      </w:r>
      <w:r w:rsidRPr="006662F5">
        <w:t>.</w:t>
      </w:r>
      <w:r w:rsidRPr="006662F5">
        <w:rPr>
          <w:i/>
          <w:iCs/>
        </w:rPr>
        <w:t>, Inc</w:t>
      </w:r>
      <w:r w:rsidRPr="006662F5">
        <w:t>.</w:t>
      </w:r>
      <w:r w:rsidRPr="006662F5">
        <w:rPr>
          <w:vertAlign w:val="superscript"/>
        </w:rPr>
        <w:footnoteReference w:id="674"/>
      </w:r>
      <w:r w:rsidRPr="006662F5">
        <w:t xml:space="preserve"> In </w:t>
      </w:r>
      <w:r w:rsidRPr="006662F5">
        <w:rPr>
          <w:i/>
          <w:iCs/>
        </w:rPr>
        <w:t>Mead Data</w:t>
      </w:r>
      <w:r w:rsidRPr="006662F5">
        <w:t>, the Second Circuit considered whether Mead Data’s Lexis mark was substantially similar to Toyota’s Lexus mark. Although the court acknowledged that in common parlance many would pronounce the two words the same way, it did not deem that to be dispositive. The court opined that “in ordinary, reasonably careful speech” the “us” sound in Lexus would be pronounced differently than the “is” sound in Lexis.</w:t>
      </w:r>
      <w:r w:rsidRPr="006662F5">
        <w:rPr>
          <w:vertAlign w:val="superscript"/>
        </w:rPr>
        <w:footnoteReference w:id="675"/>
      </w:r>
      <w:r w:rsidRPr="006662F5">
        <w:t xml:space="preserve"> The court further believed that when the mark was used in commercials, announcers would enunciate more carefully, thus making the distinction more obvious.</w:t>
      </w:r>
      <w:r w:rsidRPr="006662F5">
        <w:rPr>
          <w:vertAlign w:val="superscript"/>
        </w:rPr>
        <w:footnoteReference w:id="676"/>
      </w:r>
      <w:r w:rsidRPr="006662F5">
        <w:t xml:space="preserve"> Finally, the court indicated that the visual image of an automobile in a television commercial would dispel any aural similarity.</w:t>
      </w:r>
      <w:r w:rsidRPr="006662F5">
        <w:rPr>
          <w:vertAlign w:val="superscript"/>
        </w:rPr>
        <w:footnoteReference w:id="677"/>
      </w:r>
    </w:p>
    <w:p w:rsidR="00431229" w:rsidRPr="006662F5" w:rsidRDefault="00431229" w:rsidP="00073AC5">
      <w:pPr>
        <w:pStyle w:val="text"/>
      </w:pPr>
      <w:r w:rsidRPr="006662F5">
        <w:t xml:space="preserve">Thus, </w:t>
      </w:r>
      <w:r w:rsidRPr="006662F5">
        <w:rPr>
          <w:i/>
          <w:iCs/>
        </w:rPr>
        <w:t>Mead Data</w:t>
      </w:r>
      <w:r w:rsidRPr="006662F5">
        <w:t xml:space="preserve"> illustrates two important aspects of the analysis of the similarity needed for dilution: (1) the high degree of required similarity and (2) the importance of context (as in the commercials). Even seemingly very similar marks may be dissimilar when viewed in the context of their respective uses.</w:t>
      </w:r>
      <w:r w:rsidRPr="006662F5">
        <w:rPr>
          <w:vertAlign w:val="superscript"/>
        </w:rPr>
        <w:footnoteReference w:id="678"/>
      </w:r>
    </w:p>
    <w:p w:rsidR="00431229" w:rsidRDefault="00431229" w:rsidP="00073AC5">
      <w:pPr>
        <w:pStyle w:val="text"/>
      </w:pPr>
      <w:r w:rsidRPr="006662F5">
        <w:t xml:space="preserve">In </w:t>
      </w:r>
      <w:r w:rsidRPr="006662F5">
        <w:rPr>
          <w:i/>
          <w:iCs/>
        </w:rPr>
        <w:t>Starbucks Corp</w:t>
      </w:r>
      <w:r w:rsidRPr="006662F5">
        <w:t>.</w:t>
      </w:r>
      <w:r w:rsidRPr="006662F5">
        <w:rPr>
          <w:i/>
          <w:iCs/>
        </w:rPr>
        <w:t xml:space="preserve"> v</w:t>
      </w:r>
      <w:r w:rsidRPr="006662F5">
        <w:t>.</w:t>
      </w:r>
      <w:r w:rsidRPr="006662F5">
        <w:rPr>
          <w:i/>
          <w:iCs/>
        </w:rPr>
        <w:t xml:space="preserve"> Wolfe’s Borough Coffee, Inc</w:t>
      </w:r>
      <w:r w:rsidRPr="006662F5">
        <w:t>.,</w:t>
      </w:r>
      <w:r w:rsidRPr="006662F5">
        <w:rPr>
          <w:vertAlign w:val="superscript"/>
        </w:rPr>
        <w:footnoteReference w:id="679"/>
      </w:r>
      <w:r w:rsidRPr="006662F5">
        <w:t xml:space="preserve"> the Second Circuit upheld the district court’s finding that the mark Starbucks and the item name Mr. Charbucks (both used in connection with coffee) were not “substantially similar” for purposes of New York law.</w:t>
      </w:r>
      <w:r w:rsidRPr="006662F5">
        <w:rPr>
          <w:vertAlign w:val="superscript"/>
        </w:rPr>
        <w:footnoteReference w:id="680"/>
      </w:r>
    </w:p>
    <w:p w:rsidR="00431229" w:rsidRPr="006662F5" w:rsidRDefault="00431229" w:rsidP="00073AC5">
      <w:pPr>
        <w:pStyle w:val="text"/>
      </w:pPr>
      <w:r w:rsidRPr="008214DA">
        <w:t xml:space="preserve">In </w:t>
      </w:r>
      <w:r w:rsidRPr="008214DA">
        <w:rPr>
          <w:i/>
          <w:iCs/>
        </w:rPr>
        <w:t>Akiro, LLC v</w:t>
      </w:r>
      <w:r w:rsidRPr="008214DA">
        <w:t>.</w:t>
      </w:r>
      <w:r w:rsidRPr="008214DA">
        <w:rPr>
          <w:i/>
          <w:iCs/>
        </w:rPr>
        <w:t xml:space="preserve"> House of Cheatham, Inc</w:t>
      </w:r>
      <w:r w:rsidRPr="008214DA">
        <w:t>.,</w:t>
      </w:r>
      <w:r w:rsidRPr="008214DA">
        <w:rPr>
          <w:vertAlign w:val="superscript"/>
        </w:rPr>
        <w:footnoteReference w:id="681"/>
      </w:r>
      <w:r w:rsidRPr="008214DA">
        <w:t xml:space="preserve"> a district court in New York granted summary judgment for defendant, holding that the marks “Miss Jessie’s” and “Aunt Jackie’s” were not substantially similar.</w:t>
      </w:r>
      <w:r w:rsidRPr="008214DA">
        <w:rPr>
          <w:vertAlign w:val="superscript"/>
        </w:rPr>
        <w:footnoteReference w:id="682"/>
      </w:r>
      <w:r w:rsidRPr="008214DA">
        <w:t xml:space="preserve"> The court specifically noted that the test of substantial similarity for dilution was more stringent than the test for similarity required to show confusion.</w:t>
      </w:r>
      <w:r w:rsidRPr="008214DA">
        <w:rPr>
          <w:vertAlign w:val="superscript"/>
        </w:rPr>
        <w:footnoteReference w:id="683"/>
      </w:r>
      <w:r w:rsidRPr="008214DA">
        <w:t xml:space="preserve"> In </w:t>
      </w:r>
      <w:r w:rsidRPr="008214DA">
        <w:br/>
      </w:r>
      <w:r w:rsidRPr="008214DA">
        <w:rPr>
          <w:i/>
          <w:iCs/>
        </w:rPr>
        <w:t>Louis Vuitton Malletier, S.A. v. My Other Bag, Inc.</w:t>
      </w:r>
      <w:r w:rsidRPr="008214DA">
        <w:t>,</w:t>
      </w:r>
      <w:r w:rsidRPr="008214DA">
        <w:rPr>
          <w:vertAlign w:val="superscript"/>
        </w:rPr>
        <w:footnoteReference w:id="684"/>
      </w:r>
      <w:r w:rsidRPr="008214DA">
        <w:t xml:space="preserve"> the Second Circuit upheld the grant of summary judgment on a New York dilution claim, noting that the plaintiff’s parodic use of drawings of Louis Vuitton bags precluded a finding that the uses were “substantially similar.”</w:t>
      </w:r>
      <w:r w:rsidRPr="008214DA">
        <w:rPr>
          <w:vertAlign w:val="superscript"/>
        </w:rPr>
        <w:footnoteReference w:id="685"/>
      </w:r>
      <w:r w:rsidRPr="008214DA">
        <w:t xml:space="preserve"> </w:t>
      </w:r>
      <w:r>
        <w:t xml:space="preserve">In </w:t>
      </w:r>
      <w:r w:rsidRPr="00E539C7">
        <w:rPr>
          <w:i/>
          <w:iCs/>
        </w:rPr>
        <w:t>Kohler Co. v. Bold Int</w:t>
      </w:r>
      <w:r>
        <w:rPr>
          <w:i/>
          <w:iCs/>
        </w:rPr>
        <w:t>ernationa</w:t>
      </w:r>
      <w:r w:rsidRPr="00E539C7">
        <w:rPr>
          <w:i/>
          <w:iCs/>
        </w:rPr>
        <w:t>l FZCO</w:t>
      </w:r>
      <w:r>
        <w:t>,</w:t>
      </w:r>
      <w:r w:rsidRPr="001A1542">
        <w:rPr>
          <w:rStyle w:val="FootnoteReference"/>
        </w:rPr>
        <w:footnoteReference w:id="686"/>
      </w:r>
      <w:r>
        <w:t xml:space="preserve"> the court refused to enter a default judgment on plaintiff’s New York dilution claim, ruling that the plaintiff’s marks that included the word BOLD were not substantially similar to defendant’s marks that also included the word BOLD.  The court cited the fact that plaintiff’s marks included other words (such as “The Bold Look of Kohler”) and differences in the typefaces used by the parties.</w:t>
      </w:r>
      <w:r w:rsidRPr="001A1542">
        <w:rPr>
          <w:rStyle w:val="FootnoteReference"/>
        </w:rPr>
        <w:footnoteReference w:id="687"/>
      </w:r>
      <w:r>
        <w:t xml:space="preserve">  </w:t>
      </w:r>
      <w:r w:rsidRPr="008214DA">
        <w:t xml:space="preserve">And in </w:t>
      </w:r>
      <w:r w:rsidRPr="008214DA">
        <w:rPr>
          <w:i/>
          <w:iCs/>
        </w:rPr>
        <w:t>E.A. Sween Co. v. A</w:t>
      </w:r>
      <w:r>
        <w:rPr>
          <w:i/>
          <w:iCs/>
        </w:rPr>
        <w:t xml:space="preserve"> </w:t>
      </w:r>
      <w:r w:rsidRPr="008214DA">
        <w:rPr>
          <w:i/>
          <w:iCs/>
        </w:rPr>
        <w:t>&amp;</w:t>
      </w:r>
      <w:r>
        <w:rPr>
          <w:i/>
          <w:iCs/>
        </w:rPr>
        <w:t xml:space="preserve"> </w:t>
      </w:r>
      <w:r w:rsidRPr="008214DA">
        <w:rPr>
          <w:i/>
          <w:iCs/>
        </w:rPr>
        <w:t>M Deli Express, Inc.</w:t>
      </w:r>
      <w:r w:rsidRPr="008214DA">
        <w:t>,</w:t>
      </w:r>
      <w:r w:rsidRPr="008214DA">
        <w:rPr>
          <w:vertAlign w:val="superscript"/>
        </w:rPr>
        <w:footnoteReference w:id="688"/>
      </w:r>
      <w:r w:rsidRPr="008214DA">
        <w:t xml:space="preserve"> a district court dismissed a New York dilution claim, citing the dissimilarities between the manner in which the two parties used “Deli Express.”</w:t>
      </w:r>
      <w:r w:rsidRPr="008214DA">
        <w:rPr>
          <w:vertAlign w:val="superscript"/>
        </w:rPr>
        <w:footnoteReference w:id="689"/>
      </w:r>
    </w:p>
    <w:p w:rsidR="00431229" w:rsidRPr="006662F5" w:rsidRDefault="00431229" w:rsidP="00073AC5">
      <w:pPr>
        <w:pStyle w:val="text"/>
      </w:pPr>
      <w:r w:rsidRPr="006662F5">
        <w:t xml:space="preserve">Where the mark is very well known but consists of a phrase whose focal point is a common term, courts have found other phrases using the common term to be dissimilar. Moreover, courts have emphasized the need to view the mark as a whole, particularly where the focal point is a common term. Thus, in </w:t>
      </w:r>
      <w:r w:rsidRPr="006662F5">
        <w:rPr>
          <w:i/>
          <w:iCs/>
        </w:rPr>
        <w:t>Fruit of the Loom, Inc</w:t>
      </w:r>
      <w:r w:rsidRPr="006662F5">
        <w:t>.</w:t>
      </w:r>
      <w:r w:rsidRPr="006662F5">
        <w:rPr>
          <w:i/>
          <w:iCs/>
        </w:rPr>
        <w:t xml:space="preserve"> v</w:t>
      </w:r>
      <w:r w:rsidRPr="006662F5">
        <w:t>.</w:t>
      </w:r>
      <w:r w:rsidRPr="006662F5">
        <w:rPr>
          <w:i/>
          <w:iCs/>
        </w:rPr>
        <w:t xml:space="preserve"> Girouard</w:t>
      </w:r>
      <w:r w:rsidRPr="006662F5">
        <w:t>,</w:t>
      </w:r>
      <w:r w:rsidRPr="006662F5">
        <w:rPr>
          <w:vertAlign w:val="superscript"/>
        </w:rPr>
        <w:footnoteReference w:id="690"/>
      </w:r>
      <w:r w:rsidRPr="006662F5">
        <w:t xml:space="preserve"> the Ninth Circuit, interpreting California law, held that Fruit Flops (used for flip flop sandals) and Fruit Cups (used on a bustier) were dissimilar to the Fruit of the Loom mark.</w:t>
      </w:r>
      <w:r w:rsidRPr="006662F5">
        <w:rPr>
          <w:vertAlign w:val="superscript"/>
        </w:rPr>
        <w:footnoteReference w:id="691"/>
      </w:r>
      <w:r w:rsidRPr="006662F5">
        <w:t xml:space="preserve"> Although the focal point of the plaintiff’s well-known mark was the word Fruit, the court stated that the trademark “gets its special force … from its association with ‘LOOM,’”</w:t>
      </w:r>
      <w:r w:rsidRPr="006662F5">
        <w:rPr>
          <w:vertAlign w:val="superscript"/>
        </w:rPr>
        <w:footnoteReference w:id="692"/>
      </w:r>
      <w:r w:rsidRPr="006662F5">
        <w:t xml:space="preserve"> and therefore was not similar enough to be diluted by Fruit Cups or Fruit Flops.</w:t>
      </w:r>
      <w:r w:rsidRPr="006662F5">
        <w:rPr>
          <w:vertAlign w:val="superscript"/>
        </w:rPr>
        <w:footnoteReference w:id="693"/>
      </w:r>
    </w:p>
    <w:p w:rsidR="00431229" w:rsidRPr="006662F5" w:rsidRDefault="00431229" w:rsidP="00073AC5">
      <w:pPr>
        <w:pStyle w:val="text"/>
      </w:pPr>
      <w:r w:rsidRPr="006662F5">
        <w:t>Similarly, a district court found that a Pee Wee Scouts series of books was insufficiently similar to the Girl Scouts mark to create the possibility of dilution.</w:t>
      </w:r>
      <w:r w:rsidRPr="006662F5">
        <w:rPr>
          <w:vertAlign w:val="superscript"/>
        </w:rPr>
        <w:footnoteReference w:id="694"/>
      </w:r>
      <w:r w:rsidRPr="006662F5">
        <w:t xml:space="preserve"> Though “Scouts” is a focal point of both uses, the additional terms, plus the fact that scouts is a common word, worked against a finding of substantial similarity. Therefore, viewing the marks as a whole, the courts in </w:t>
      </w:r>
      <w:r w:rsidRPr="006662F5">
        <w:rPr>
          <w:i/>
          <w:iCs/>
        </w:rPr>
        <w:t>Fruit of the Loom</w:t>
      </w:r>
      <w:r w:rsidRPr="006662F5">
        <w:t xml:space="preserve"> and </w:t>
      </w:r>
      <w:r w:rsidRPr="006662F5">
        <w:rPr>
          <w:i/>
          <w:iCs/>
        </w:rPr>
        <w:t>Girl Scouts</w:t>
      </w:r>
      <w:r w:rsidRPr="006662F5">
        <w:t xml:space="preserve"> found that the distraction of source required by dilution would not occur where the additional terms made the occurrence of a mental association unlikely.</w:t>
      </w:r>
      <w:r>
        <w:t xml:space="preserve"> </w:t>
      </w:r>
      <w:r w:rsidRPr="008214DA">
        <w:t>Another court, interpreting Delaware law, found that the addition of defendant’s house mark (/UA) to the “Healthbox” mark made its use dissimilar to plaintiff’s Healthbox mark.</w:t>
      </w:r>
      <w:r w:rsidRPr="008214DA">
        <w:rPr>
          <w:vertAlign w:val="superscript"/>
        </w:rPr>
        <w:footnoteReference w:id="695"/>
      </w:r>
    </w:p>
    <w:p w:rsidR="00431229" w:rsidRPr="006662F5" w:rsidRDefault="00431229" w:rsidP="00073AC5">
      <w:pPr>
        <w:pStyle w:val="text"/>
      </w:pPr>
      <w:r w:rsidRPr="006662F5">
        <w:t>It has been held that marks too dissimilar to support a confusion claim are also too dissimilar to support a state dilution claim.</w:t>
      </w:r>
      <w:r w:rsidRPr="006662F5">
        <w:rPr>
          <w:vertAlign w:val="superscript"/>
        </w:rPr>
        <w:footnoteReference w:id="696"/>
      </w:r>
    </w:p>
    <w:p w:rsidR="00431229" w:rsidRPr="006662F5" w:rsidRDefault="00431229" w:rsidP="00073AC5">
      <w:pPr>
        <w:pStyle w:val="text"/>
      </w:pPr>
      <w:r w:rsidRPr="006662F5">
        <w:t xml:space="preserve">“Visual” marks, such as designs, packaging, or product configurations, present difficult problems for a court when describing the existence or nonexistence of substantial similarity. The court cannot rely on pronunciation differences, as in </w:t>
      </w:r>
      <w:r w:rsidRPr="006662F5">
        <w:rPr>
          <w:i/>
          <w:iCs/>
        </w:rPr>
        <w:t>Mead Data</w:t>
      </w:r>
      <w:r w:rsidRPr="006662F5">
        <w:t xml:space="preserve">, or differences in the wording of a phrase, as in </w:t>
      </w:r>
      <w:r w:rsidRPr="006662F5">
        <w:rPr>
          <w:i/>
          <w:iCs/>
        </w:rPr>
        <w:t>Fruit of the Loom</w:t>
      </w:r>
      <w:r w:rsidRPr="006662F5">
        <w:t>. However, courts have found ways to describe similarities and differences in such cases.</w:t>
      </w:r>
    </w:p>
    <w:p w:rsidR="00431229" w:rsidRPr="006662F5" w:rsidRDefault="00431229" w:rsidP="00073AC5">
      <w:pPr>
        <w:pStyle w:val="text"/>
      </w:pPr>
      <w:r w:rsidRPr="006662F5">
        <w:t xml:space="preserve">Trade dress </w:t>
      </w:r>
      <w:r>
        <w:t>may actually</w:t>
      </w:r>
      <w:r w:rsidRPr="006662F5">
        <w:t xml:space="preserve"> enhance similarity when word marks are involved. In one case, a court cited the use of similar trade dress on a similar product—a bull’s head design on a barbecue sauce bottle—as enhancing the similarity between Bull’s Eye sauce and Raging Bull sauce.</w:t>
      </w:r>
      <w:r w:rsidRPr="006662F5">
        <w:rPr>
          <w:vertAlign w:val="superscript"/>
        </w:rPr>
        <w:footnoteReference w:id="697"/>
      </w:r>
    </w:p>
    <w:p w:rsidR="00431229" w:rsidRPr="006662F5" w:rsidRDefault="00431229" w:rsidP="00073AC5">
      <w:pPr>
        <w:pStyle w:val="text"/>
      </w:pPr>
      <w:r w:rsidRPr="006662F5">
        <w:rPr>
          <w:i/>
          <w:iCs/>
        </w:rPr>
        <w:t>Universal City Studios, Inc</w:t>
      </w:r>
      <w:r w:rsidRPr="006662F5">
        <w:t>.</w:t>
      </w:r>
      <w:r w:rsidRPr="006662F5">
        <w:rPr>
          <w:i/>
          <w:iCs/>
        </w:rPr>
        <w:t xml:space="preserve"> v</w:t>
      </w:r>
      <w:r w:rsidRPr="006662F5">
        <w:t>.</w:t>
      </w:r>
      <w:r w:rsidRPr="006662F5">
        <w:rPr>
          <w:i/>
          <w:iCs/>
        </w:rPr>
        <w:t xml:space="preserve"> Nintendo, Inc</w:t>
      </w:r>
      <w:r w:rsidRPr="006662F5">
        <w:t>.</w:t>
      </w:r>
      <w:r w:rsidRPr="006662F5">
        <w:rPr>
          <w:vertAlign w:val="superscript"/>
        </w:rPr>
        <w:footnoteReference w:id="698"/>
      </w:r>
      <w:r w:rsidRPr="006662F5">
        <w:t xml:space="preserve"> involved a comparison between King Kong of movie fame and the Donkey Kong video game character. The court noted several differences between the two characters: the humorous, “nonsexual” Donkey Kong versus the “ferocious,” rampaging King Kong.</w:t>
      </w:r>
      <w:r w:rsidRPr="006662F5">
        <w:rPr>
          <w:vertAlign w:val="superscript"/>
        </w:rPr>
        <w:footnoteReference w:id="699"/>
      </w:r>
      <w:r w:rsidRPr="006662F5">
        <w:t xml:space="preserve"> Although both characters were involved with a female character,</w:t>
      </w:r>
      <w:r w:rsidRPr="006662F5">
        <w:rPr>
          <w:vertAlign w:val="superscript"/>
        </w:rPr>
        <w:footnoteReference w:id="700"/>
      </w:r>
      <w:r w:rsidRPr="006662F5">
        <w:t xml:space="preserve"> the female characters were very different.</w:t>
      </w:r>
      <w:r w:rsidRPr="006662F5">
        <w:rPr>
          <w:vertAlign w:val="superscript"/>
        </w:rPr>
        <w:footnoteReference w:id="701"/>
      </w:r>
    </w:p>
    <w:p w:rsidR="00431229" w:rsidRPr="006662F5" w:rsidRDefault="00431229" w:rsidP="00073AC5">
      <w:pPr>
        <w:pStyle w:val="text"/>
      </w:pPr>
      <w:r w:rsidRPr="006662F5">
        <w:t xml:space="preserve">In </w:t>
      </w:r>
      <w:r w:rsidRPr="006662F5">
        <w:rPr>
          <w:i/>
          <w:iCs/>
        </w:rPr>
        <w:t>Eastern American Trio Products, Inc</w:t>
      </w:r>
      <w:r w:rsidRPr="006662F5">
        <w:t>.</w:t>
      </w:r>
      <w:r w:rsidRPr="006662F5">
        <w:rPr>
          <w:i/>
          <w:iCs/>
        </w:rPr>
        <w:t xml:space="preserve"> v</w:t>
      </w:r>
      <w:r w:rsidRPr="006662F5">
        <w:t>.</w:t>
      </w:r>
      <w:r w:rsidRPr="006662F5">
        <w:rPr>
          <w:i/>
          <w:iCs/>
        </w:rPr>
        <w:t xml:space="preserve"> Tang Electronic Corp</w:t>
      </w:r>
      <w:r w:rsidRPr="006662F5">
        <w:t>.,</w:t>
      </w:r>
      <w:r w:rsidRPr="006662F5">
        <w:rPr>
          <w:vertAlign w:val="superscript"/>
        </w:rPr>
        <w:footnoteReference w:id="702"/>
      </w:r>
      <w:r w:rsidRPr="006662F5">
        <w:t xml:space="preserve"> the court compared the packaging of two pay telephones.</w:t>
      </w:r>
      <w:r w:rsidRPr="006662F5">
        <w:rPr>
          <w:vertAlign w:val="superscript"/>
        </w:rPr>
        <w:footnoteReference w:id="703"/>
      </w:r>
      <w:r w:rsidRPr="006662F5">
        <w:t xml:space="preserve"> Referencing its discussion of similarity and confusion, the court found the products dissimilar.</w:t>
      </w:r>
      <w:r w:rsidRPr="006662F5">
        <w:rPr>
          <w:vertAlign w:val="superscript"/>
        </w:rPr>
        <w:footnoteReference w:id="704"/>
      </w:r>
      <w:r w:rsidRPr="006662F5">
        <w:t xml:space="preserve"> The court cited various differences: color scheme, size of boxes, and use of a distinctive “cartoon character mascot” on one box. These outweighed the use of the picture of a red and grey telephone on each box.</w:t>
      </w:r>
      <w:r w:rsidRPr="006662F5">
        <w:rPr>
          <w:vertAlign w:val="superscript"/>
        </w:rPr>
        <w:footnoteReference w:id="705"/>
      </w:r>
    </w:p>
    <w:p w:rsidR="00431229" w:rsidRPr="006662F5" w:rsidRDefault="00431229" w:rsidP="00073AC5">
      <w:pPr>
        <w:pStyle w:val="text"/>
      </w:pPr>
      <w:r w:rsidRPr="006662F5">
        <w:t xml:space="preserve">In </w:t>
      </w:r>
      <w:r w:rsidRPr="006662F5">
        <w:rPr>
          <w:i/>
          <w:iCs/>
        </w:rPr>
        <w:t>New York Stock Exchange, Inc</w:t>
      </w:r>
      <w:r w:rsidRPr="006662F5">
        <w:t>.</w:t>
      </w:r>
      <w:r w:rsidRPr="006662F5">
        <w:rPr>
          <w:i/>
          <w:iCs/>
        </w:rPr>
        <w:t xml:space="preserve"> v</w:t>
      </w:r>
      <w:r w:rsidRPr="006662F5">
        <w:t>.</w:t>
      </w:r>
      <w:r w:rsidRPr="006662F5">
        <w:rPr>
          <w:i/>
          <w:iCs/>
        </w:rPr>
        <w:t xml:space="preserve"> New York, New York Hotel, LLC</w:t>
      </w:r>
      <w:r w:rsidRPr="006662F5">
        <w:t>,</w:t>
      </w:r>
      <w:r w:rsidRPr="006662F5">
        <w:rPr>
          <w:vertAlign w:val="superscript"/>
        </w:rPr>
        <w:footnoteReference w:id="706"/>
      </w:r>
      <w:r w:rsidRPr="006662F5">
        <w:t xml:space="preserve"> the court indicated that differences between the marks’ use by the two parties lessened the chances of dilution by blurring.</w:t>
      </w:r>
      <w:r w:rsidRPr="006662F5">
        <w:rPr>
          <w:vertAlign w:val="superscript"/>
        </w:rPr>
        <w:footnoteReference w:id="707"/>
      </w:r>
      <w:r w:rsidRPr="006662F5">
        <w:t xml:space="preserve"> In its discussion of plaintiff’s tarnishment claim, however, the court conceded that defendant’s marks would “bring to mind the NYSE and its marks,”</w:t>
      </w:r>
      <w:r w:rsidRPr="006662F5">
        <w:rPr>
          <w:vertAlign w:val="superscript"/>
        </w:rPr>
        <w:footnoteReference w:id="708"/>
      </w:r>
      <w:r w:rsidRPr="006662F5">
        <w:t xml:space="preserve"> indicating the existence of similarity. This apparent anomaly may be explained by the difference between a blurring claim and a tarnishment claim. Tarnishment can be accomplished by “calling to mind” the well-known mark and placing it in an unsavory context. Blurring requires more than “calling to mind,” thus involving a different notion of similarity.</w:t>
      </w:r>
    </w:p>
    <w:p w:rsidR="00431229" w:rsidRPr="006662F5" w:rsidRDefault="00431229" w:rsidP="00073AC5">
      <w:pPr>
        <w:pStyle w:val="text"/>
      </w:pPr>
      <w:r w:rsidRPr="006662F5">
        <w:t xml:space="preserve">Finally, in </w:t>
      </w:r>
      <w:r w:rsidRPr="006662F5">
        <w:rPr>
          <w:i/>
          <w:iCs/>
        </w:rPr>
        <w:t>Landscape Forms, Inc</w:t>
      </w:r>
      <w:r w:rsidRPr="006662F5">
        <w:t>.</w:t>
      </w:r>
      <w:r w:rsidRPr="006662F5">
        <w:rPr>
          <w:i/>
          <w:iCs/>
        </w:rPr>
        <w:t xml:space="preserve"> v</w:t>
      </w:r>
      <w:r w:rsidRPr="006662F5">
        <w:t>.</w:t>
      </w:r>
      <w:r w:rsidRPr="006662F5">
        <w:rPr>
          <w:i/>
          <w:iCs/>
        </w:rPr>
        <w:t xml:space="preserve"> Columbia Cascade Co</w:t>
      </w:r>
      <w:r w:rsidRPr="006662F5">
        <w:t>.,</w:t>
      </w:r>
      <w:r w:rsidRPr="006662F5">
        <w:rPr>
          <w:vertAlign w:val="superscript"/>
        </w:rPr>
        <w:footnoteReference w:id="709"/>
      </w:r>
      <w:r w:rsidRPr="006662F5">
        <w:t xml:space="preserve"> the court held that because the parties’ products—which were the marks in question—were generally displayed in catalogs with each company’s (very different) trade name, the sophisticated buyers of the products would not find the overall appearance of the marks (i.e., the products) in the marketplace to be similar.</w:t>
      </w:r>
      <w:r w:rsidRPr="006662F5">
        <w:rPr>
          <w:vertAlign w:val="superscript"/>
        </w:rPr>
        <w:footnoteReference w:id="710"/>
      </w:r>
      <w:r>
        <w:t xml:space="preserve"> </w:t>
      </w:r>
      <w:r w:rsidRPr="008214DA">
        <w:t>Similarity, however, is a factual inquiry. Thus, courts will be reluctant to decide issues of similarity on a motion to dismiss, where only the pleadings are at issue.</w:t>
      </w:r>
      <w:r w:rsidRPr="008214DA">
        <w:rPr>
          <w:vertAlign w:val="superscript"/>
        </w:rPr>
        <w:footnoteReference w:id="711"/>
      </w:r>
    </w:p>
    <w:p w:rsidR="00431229" w:rsidRPr="006662F5" w:rsidRDefault="00431229" w:rsidP="00073AC5">
      <w:pPr>
        <w:pStyle w:val="text"/>
      </w:pPr>
      <w:r w:rsidRPr="006662F5">
        <w:t>Like strength of the mark, similarity of the two marks is one of the factors courts normally use to assess likelihood of confusion.</w:t>
      </w:r>
      <w:r w:rsidRPr="006662F5">
        <w:rPr>
          <w:vertAlign w:val="superscript"/>
        </w:rPr>
        <w:footnoteReference w:id="712"/>
      </w:r>
      <w:r w:rsidRPr="006662F5">
        <w:t xml:space="preserve"> Moreover, many dilution claims succeed largely or solely on the basis of strength and similarity.</w:t>
      </w:r>
      <w:r w:rsidRPr="006662F5">
        <w:rPr>
          <w:vertAlign w:val="superscript"/>
        </w:rPr>
        <w:footnoteReference w:id="713"/>
      </w:r>
      <w:r w:rsidRPr="006662F5">
        <w:t xml:space="preserve"> Thus, if dilution is not to become a replacement for confusion, these two factors should be evaluated differently in a dilution context than in a confusion context. As discussed in Chapter 2, in those states that do not require a “famous” mark, a significant degree of distinctiveness is usually required for a dilution claim. Similarly, a higher degree of similarity is required for dilution. The requirement of “substantial similarity,” vague though it may be, is a reminder that the threshold of similarity for dilution is higher than for confusion. The high degree of similarity is what distracts the consumer from thinking of the mark as pointing to only one source, causing dilution of the distinctive mark’s uniqueness.</w:t>
      </w:r>
    </w:p>
    <w:p w:rsidR="00431229" w:rsidRPr="006662F5" w:rsidRDefault="00431229" w:rsidP="00073AC5">
      <w:pPr>
        <w:pStyle w:val="1stLevelHeadII"/>
        <w:rPr>
          <w:rFonts w:cs="Times New Roman"/>
        </w:rPr>
      </w:pPr>
      <w:r w:rsidRPr="006662F5">
        <w:rPr>
          <w:rFonts w:cs="Times New Roman"/>
        </w:rPr>
        <w:t>VI.</w:t>
      </w:r>
      <w:r w:rsidRPr="006662F5">
        <w:rPr>
          <w:rFonts w:cs="Times New Roman"/>
        </w:rPr>
        <w:t> </w:t>
      </w:r>
      <w:r w:rsidRPr="006662F5">
        <w:rPr>
          <w:rFonts w:cs="Times New Roman"/>
        </w:rPr>
        <w:t>Actual Versus Likelihood of Dilution and the Continuing Importance of State Dilution Law</w:t>
      </w:r>
    </w:p>
    <w:p w:rsidR="00431229" w:rsidRPr="006662F5" w:rsidRDefault="00431229" w:rsidP="00073AC5">
      <w:pPr>
        <w:pStyle w:val="2ndLevel1"/>
        <w:rPr>
          <w:rFonts w:cs="Times New Roman"/>
        </w:rPr>
      </w:pPr>
      <w:r w:rsidRPr="006662F5">
        <w:rPr>
          <w:rFonts w:cs="Times New Roman"/>
        </w:rPr>
        <w:t>A.</w:t>
      </w:r>
      <w:r w:rsidRPr="006662F5">
        <w:rPr>
          <w:rFonts w:cs="Times New Roman"/>
        </w:rPr>
        <w:tab/>
        <w:t xml:space="preserve">Actual vs. Likelihood of Dilution Under the 1992 and 1996 Model Bills </w:t>
      </w:r>
    </w:p>
    <w:p w:rsidR="00431229" w:rsidRPr="006662F5" w:rsidRDefault="00431229" w:rsidP="00073AC5">
      <w:pPr>
        <w:pStyle w:val="text"/>
        <w:rPr>
          <w:color w:val="FF0000"/>
        </w:rPr>
      </w:pPr>
      <w:r w:rsidRPr="006662F5">
        <w:t>A critical issue that arose under the FTDA before its 2006 replacement by the TDRA, but that also affects state laws patterned after the 1992 and 1996 Model Bills, is whether a plaintiff must demonstrate actual harm from dilution or whether it is instead sufficient to show a likelihood of dilution. Statutes patterned after the 1964 and 2007 Model Bills are clear on this point; they require only a “likelihood” of dilution.</w:t>
      </w:r>
      <w:r w:rsidRPr="006662F5">
        <w:rPr>
          <w:spacing w:val="-3"/>
          <w:vertAlign w:val="superscript"/>
        </w:rPr>
        <w:footnoteReference w:id="714"/>
      </w:r>
      <w:r w:rsidRPr="006662F5">
        <w:t xml:space="preserve"> However, most of the remaining statutes, now used in a majority of states with dilution statutes, are worded like the FTDA prior to its amendment in 2006. Those statutes permit an injunction against a use “which </w:t>
      </w:r>
      <w:r w:rsidRPr="006662F5">
        <w:rPr>
          <w:i/>
          <w:iCs/>
        </w:rPr>
        <w:t>causes</w:t>
      </w:r>
      <w:r w:rsidRPr="006662F5">
        <w:t xml:space="preserve"> dilution of the distinctive quality of” a famous mark.</w:t>
      </w:r>
      <w:r w:rsidRPr="006662F5">
        <w:rPr>
          <w:spacing w:val="-3"/>
          <w:vertAlign w:val="superscript"/>
        </w:rPr>
        <w:footnoteReference w:id="715"/>
      </w:r>
      <w:r w:rsidRPr="006662F5">
        <w:t xml:space="preserve"> The lower federal courts had been divided on this issue prior to a Supreme Court decision in 2003.</w:t>
      </w:r>
      <w:r w:rsidRPr="006662F5">
        <w:rPr>
          <w:spacing w:val="-3"/>
          <w:vertAlign w:val="superscript"/>
        </w:rPr>
        <w:footnoteReference w:id="716"/>
      </w:r>
      <w:r w:rsidRPr="006662F5">
        <w:t xml:space="preserve"> Up to that point, no courts interpreting similarly worded state laws discussed the issue. Some courts pointed to the differences between the wording of the original FTDA (“causes dilution”) and the clear language of the 1964 Model Bill (“likelihood of dilution”), and to the fact that the infringement sections of the Lanham Act specifically refer to “likelihood” of confusion, to support a restrictive view of the FTDA.</w:t>
      </w:r>
      <w:r w:rsidRPr="006662F5">
        <w:rPr>
          <w:spacing w:val="-3"/>
          <w:vertAlign w:val="superscript"/>
        </w:rPr>
        <w:footnoteReference w:id="717"/>
      </w:r>
      <w:r w:rsidRPr="006662F5">
        <w:t xml:space="preserve"> Courts taking a contrary position pointed, in support of a “likelihood of dilution” interpretation, to the difficulty of proving dilution</w:t>
      </w:r>
      <w:r w:rsidRPr="006662F5">
        <w:rPr>
          <w:spacing w:val="-3"/>
          <w:vertAlign w:val="superscript"/>
        </w:rPr>
        <w:footnoteReference w:id="718"/>
      </w:r>
      <w:r w:rsidRPr="006662F5">
        <w:t xml:space="preserve"> and the problem of preventing dilution at its incipience.</w:t>
      </w:r>
      <w:r w:rsidRPr="006662F5">
        <w:rPr>
          <w:spacing w:val="-3"/>
          <w:vertAlign w:val="superscript"/>
        </w:rPr>
        <w:footnoteReference w:id="719"/>
      </w:r>
      <w:r w:rsidRPr="006662F5">
        <w:t xml:space="preserve"> In </w:t>
      </w:r>
      <w:r w:rsidRPr="006662F5">
        <w:rPr>
          <w:i/>
          <w:iCs/>
        </w:rPr>
        <w:t>Moseley v</w:t>
      </w:r>
      <w:r w:rsidRPr="006662F5">
        <w:t>.</w:t>
      </w:r>
      <w:r w:rsidRPr="006662F5">
        <w:rPr>
          <w:i/>
          <w:iCs/>
        </w:rPr>
        <w:t xml:space="preserve"> V Secret Catalogue, Inc</w:t>
      </w:r>
      <w:r w:rsidRPr="006662F5">
        <w:t>.,</w:t>
      </w:r>
      <w:r w:rsidRPr="006662F5">
        <w:rPr>
          <w:spacing w:val="-3"/>
          <w:vertAlign w:val="superscript"/>
        </w:rPr>
        <w:footnoteReference w:id="720"/>
      </w:r>
      <w:r w:rsidRPr="006662F5">
        <w:t xml:space="preserve"> the Supreme Court resolved the split in federal authority and held that a showing of actual dilution, not merely a likelihood of dilution, was required.</w:t>
      </w:r>
      <w:r w:rsidRPr="006662F5">
        <w:rPr>
          <w:spacing w:val="-3"/>
          <w:vertAlign w:val="superscript"/>
        </w:rPr>
        <w:footnoteReference w:id="721"/>
      </w:r>
      <w:r w:rsidRPr="006662F5">
        <w:t xml:space="preserve"> The Court did indicate that actual dilution might be proven by “circumstantial evidence.” However, the only circumstance it could identify was where the marks at issue were “identical.”</w:t>
      </w:r>
      <w:r w:rsidRPr="006662F5">
        <w:rPr>
          <w:spacing w:val="-3"/>
          <w:vertAlign w:val="superscript"/>
        </w:rPr>
        <w:footnoteReference w:id="722"/>
      </w:r>
      <w:r w:rsidRPr="006662F5">
        <w:t xml:space="preserve"> In </w:t>
      </w:r>
      <w:r w:rsidRPr="006662F5">
        <w:rPr>
          <w:i/>
          <w:iCs/>
        </w:rPr>
        <w:t>Ty, Inc</w:t>
      </w:r>
      <w:r w:rsidRPr="006662F5">
        <w:t>.</w:t>
      </w:r>
      <w:r w:rsidRPr="006662F5">
        <w:rPr>
          <w:i/>
          <w:iCs/>
        </w:rPr>
        <w:t xml:space="preserve"> v</w:t>
      </w:r>
      <w:r w:rsidRPr="006662F5">
        <w:t>.</w:t>
      </w:r>
      <w:r w:rsidRPr="006662F5">
        <w:rPr>
          <w:i/>
          <w:iCs/>
        </w:rPr>
        <w:t xml:space="preserve"> Softbelly’s</w:t>
      </w:r>
      <w:r w:rsidRPr="006662F5">
        <w:t>,</w:t>
      </w:r>
      <w:r w:rsidRPr="006662F5">
        <w:rPr>
          <w:i/>
          <w:iCs/>
        </w:rPr>
        <w:t xml:space="preserve"> Inc</w:t>
      </w:r>
      <w:r w:rsidRPr="006662F5">
        <w:t>.,</w:t>
      </w:r>
      <w:r w:rsidRPr="006662F5">
        <w:rPr>
          <w:spacing w:val="-3"/>
          <w:vertAlign w:val="superscript"/>
        </w:rPr>
        <w:footnoteReference w:id="723"/>
      </w:r>
      <w:r w:rsidRPr="006662F5">
        <w:t xml:space="preserve"> the court commented that “[t]he Court did not explain and no one seems to know what that ‘circumstantial evidence’ might be.”</w:t>
      </w:r>
      <w:r w:rsidRPr="006662F5">
        <w:rPr>
          <w:vertAlign w:val="superscript"/>
        </w:rPr>
        <w:footnoteReference w:id="724"/>
      </w:r>
      <w:r w:rsidRPr="006662F5">
        <w:rPr>
          <w:color w:val="FF0000"/>
        </w:rPr>
        <w:t xml:space="preserve"> </w:t>
      </w:r>
    </w:p>
    <w:p w:rsidR="00431229" w:rsidRPr="006662F5" w:rsidRDefault="00431229" w:rsidP="00073AC5">
      <w:pPr>
        <w:pStyle w:val="text"/>
      </w:pPr>
      <w:r w:rsidRPr="006662F5">
        <w:rPr>
          <w:i/>
          <w:iCs/>
        </w:rPr>
        <w:t>Moseley</w:t>
      </w:r>
      <w:r w:rsidRPr="006662F5">
        <w:t xml:space="preserve"> resulted in an amendment to the FTDA in 2006 that, among other things, reworded the operative language to give a cause of action against uses “likely to cause dilution.” However, that legislation did not change the wording of state laws. The </w:t>
      </w:r>
      <w:r w:rsidRPr="006662F5">
        <w:rPr>
          <w:i/>
          <w:iCs/>
        </w:rPr>
        <w:t>Moseley</w:t>
      </w:r>
      <w:r w:rsidRPr="006662F5">
        <w:t xml:space="preserve"> decision appears to have resolved the issue for purposes of state laws that are worded like the pre-amendment FTDA.</w:t>
      </w:r>
      <w:r w:rsidRPr="006662F5">
        <w:rPr>
          <w:vertAlign w:val="superscript"/>
        </w:rPr>
        <w:footnoteReference w:id="725"/>
      </w:r>
      <w:r w:rsidRPr="006662F5">
        <w:t xml:space="preserve"> Therefore, in cases where parties have asserted supplemental claims based on state laws patterned after the 1992 or 1996 Model Bill, actual dilution will almost certainly be required.</w:t>
      </w:r>
      <w:r w:rsidRPr="006662F5">
        <w:rPr>
          <w:vertAlign w:val="superscript"/>
        </w:rPr>
        <w:footnoteReference w:id="726"/>
      </w:r>
      <w:r w:rsidRPr="006662F5">
        <w:t xml:space="preserve"> There is one notable exception to this: Florida. The 2007 Florida statute, apparently learning from the </w:t>
      </w:r>
      <w:r w:rsidRPr="006662F5">
        <w:rPr>
          <w:i/>
          <w:iCs/>
        </w:rPr>
        <w:t>Moseley</w:t>
      </w:r>
      <w:r w:rsidRPr="006662F5">
        <w:t xml:space="preserve"> decision, provides for relief where the second use “is </w:t>
      </w:r>
      <w:r w:rsidRPr="006662F5">
        <w:rPr>
          <w:i/>
          <w:iCs/>
        </w:rPr>
        <w:t>likely</w:t>
      </w:r>
      <w:r w:rsidRPr="006662F5">
        <w:t xml:space="preserve"> to cause dilution.”</w:t>
      </w:r>
      <w:r w:rsidRPr="006662F5">
        <w:rPr>
          <w:vertAlign w:val="superscript"/>
        </w:rPr>
        <w:footnoteReference w:id="727"/>
      </w:r>
      <w:r w:rsidRPr="006662F5">
        <w:t xml:space="preserve"> However, the </w:t>
      </w:r>
      <w:r w:rsidRPr="006662F5">
        <w:rPr>
          <w:i/>
          <w:iCs/>
        </w:rPr>
        <w:t>Moseley</w:t>
      </w:r>
      <w:r w:rsidRPr="006662F5">
        <w:t xml:space="preserve"> decision does not affect the analysis of state laws patterned after the 1964 Model Bill. Another complication was created when Congress enacted the TDRA, which requires only likelihood of dilution.</w:t>
      </w:r>
      <w:r w:rsidRPr="006662F5">
        <w:rPr>
          <w:vertAlign w:val="superscript"/>
        </w:rPr>
        <w:footnoteReference w:id="728"/>
      </w:r>
      <w:r w:rsidRPr="006662F5">
        <w:t xml:space="preserve"> That means that claims under a majority of state laws will be </w:t>
      </w:r>
      <w:r w:rsidRPr="006662F5">
        <w:rPr>
          <w:i/>
          <w:iCs/>
        </w:rPr>
        <w:t>more</w:t>
      </w:r>
      <w:r w:rsidRPr="006662F5">
        <w:t xml:space="preserve"> difficult to prove than under the TDRA.</w:t>
      </w:r>
    </w:p>
    <w:p w:rsidR="00431229" w:rsidRPr="006662F5" w:rsidRDefault="00431229" w:rsidP="00073AC5">
      <w:pPr>
        <w:pStyle w:val="2ndLevelHeadA0"/>
        <w:rPr>
          <w:rFonts w:cs="Times New Roman"/>
        </w:rPr>
      </w:pPr>
      <w:r w:rsidRPr="006662F5">
        <w:rPr>
          <w:rFonts w:cs="Times New Roman"/>
        </w:rPr>
        <w:t>B.</w:t>
      </w:r>
      <w:r w:rsidRPr="006662F5">
        <w:rPr>
          <w:rFonts w:cs="Times New Roman"/>
        </w:rPr>
        <w:tab/>
        <w:t xml:space="preserve">State Laws Patterned After the 2007 Model Bill </w:t>
      </w:r>
    </w:p>
    <w:p w:rsidR="00431229" w:rsidRPr="006662F5" w:rsidRDefault="00431229" w:rsidP="00073AC5">
      <w:pPr>
        <w:pStyle w:val="text"/>
      </w:pPr>
      <w:r w:rsidRPr="006662F5">
        <w:t>The 2007 revision of the Model Bill adopted the likelihood of dilution standard of the TDRA (as well as the separate categories of dilution by blurring and dilution by tarnishment).</w:t>
      </w:r>
      <w:r w:rsidRPr="006662F5">
        <w:rPr>
          <w:vertAlign w:val="superscript"/>
        </w:rPr>
        <w:footnoteReference w:id="729"/>
      </w:r>
      <w:r w:rsidRPr="006662F5">
        <w:t xml:space="preserve"> Therefore, any states adopting this version of the Model Bill—California was the first to do so, followed by Mississippi, Oregon, Alabama, and Texas—will not face the actual dilution problem.</w:t>
      </w:r>
    </w:p>
    <w:p w:rsidR="00431229" w:rsidRPr="006662F5" w:rsidRDefault="00431229" w:rsidP="00073AC5">
      <w:pPr>
        <w:pStyle w:val="2ndLevelHeadA0"/>
        <w:rPr>
          <w:rFonts w:cs="Times New Roman"/>
        </w:rPr>
      </w:pPr>
      <w:r w:rsidRPr="006662F5">
        <w:rPr>
          <w:rFonts w:cs="Times New Roman"/>
        </w:rPr>
        <w:t>C.</w:t>
      </w:r>
      <w:r w:rsidRPr="006662F5">
        <w:rPr>
          <w:rFonts w:cs="Times New Roman"/>
        </w:rPr>
        <w:tab/>
        <w:t xml:space="preserve">State Laws Patterned After the 1964 Model Bill </w:t>
      </w:r>
    </w:p>
    <w:p w:rsidR="00431229" w:rsidRPr="006662F5" w:rsidRDefault="00431229" w:rsidP="00073AC5">
      <w:pPr>
        <w:pStyle w:val="text"/>
      </w:pPr>
      <w:r w:rsidRPr="006662F5">
        <w:t>Nine states still have dilution laws patterned after the 1964 Model Bill.</w:t>
      </w:r>
      <w:r w:rsidRPr="006662F5">
        <w:rPr>
          <w:vertAlign w:val="superscript"/>
        </w:rPr>
        <w:footnoteReference w:id="730"/>
      </w:r>
      <w:r w:rsidRPr="006662F5">
        <w:t xml:space="preserve"> As noted elsewhere in this book, those statutes do not require a “famous” mark, and they may protect marks on a lesser showing of renown than is required under the TDRA or the 1992, 1996, or 2007 Model Bills.</w:t>
      </w:r>
      <w:r w:rsidRPr="006662F5">
        <w:rPr>
          <w:vertAlign w:val="superscript"/>
        </w:rPr>
        <w:footnoteReference w:id="731"/>
      </w:r>
      <w:r w:rsidRPr="006662F5">
        <w:t xml:space="preserve"> In addition, these same statutes require only a “likelihood of dilution.” This makes such state laws a possibly attractive addition to a federal dilution claim.</w:t>
      </w:r>
      <w:r w:rsidRPr="006662F5">
        <w:rPr>
          <w:vertAlign w:val="superscript"/>
        </w:rPr>
        <w:footnoteReference w:id="732"/>
      </w:r>
      <w:r w:rsidRPr="006662F5">
        <w:t xml:space="preserve"> That possibility, and some uncertainty created by such a joinder, is illustrated by some cases discussed in the next paragraph.</w:t>
      </w:r>
    </w:p>
    <w:p w:rsidR="00431229" w:rsidRPr="006662F5" w:rsidRDefault="00431229" w:rsidP="00073AC5">
      <w:pPr>
        <w:pStyle w:val="text"/>
      </w:pPr>
      <w:r w:rsidRPr="006662F5">
        <w:t xml:space="preserve">Ironically, the Starbucks trademark was involved in two separate dilution claims, both of which showed that state law may be analyzed differently than federal law, but only one of which resulted in a victory for Starbucks. In </w:t>
      </w:r>
      <w:r w:rsidRPr="006662F5">
        <w:rPr>
          <w:i/>
          <w:iCs/>
        </w:rPr>
        <w:t>Starbucks Corp</w:t>
      </w:r>
      <w:r w:rsidRPr="006662F5">
        <w:t>.</w:t>
      </w:r>
      <w:r w:rsidRPr="006662F5">
        <w:rPr>
          <w:i/>
          <w:iCs/>
        </w:rPr>
        <w:t xml:space="preserve"> v</w:t>
      </w:r>
      <w:r w:rsidRPr="006662F5">
        <w:t>.</w:t>
      </w:r>
      <w:r w:rsidRPr="006662F5">
        <w:rPr>
          <w:i/>
          <w:iCs/>
        </w:rPr>
        <w:t xml:space="preserve"> Lundberg</w:t>
      </w:r>
      <w:r w:rsidRPr="006662F5">
        <w:t>,</w:t>
      </w:r>
      <w:r w:rsidRPr="006662F5">
        <w:rPr>
          <w:vertAlign w:val="superscript"/>
        </w:rPr>
        <w:footnoteReference w:id="733"/>
      </w:r>
      <w:r w:rsidRPr="006662F5">
        <w:t xml:space="preserve"> the court correctly determined that the Oregon dilution statute required only a likelihood of dilution, rather than the actual dilution required at that time by federal law. It then found that likelihood of dilution was made out by a showing of a mental association between Starbucks and the defendant’s mark, “Sambucks.” On the basis of survey evidence, the court held that likelihood of dilution had been shown. In </w:t>
      </w:r>
      <w:r w:rsidRPr="006662F5">
        <w:rPr>
          <w:i/>
          <w:iCs/>
        </w:rPr>
        <w:t>Starbucks Corp</w:t>
      </w:r>
      <w:r w:rsidRPr="006662F5">
        <w:t>.</w:t>
      </w:r>
      <w:r w:rsidRPr="006662F5">
        <w:rPr>
          <w:i/>
          <w:iCs/>
        </w:rPr>
        <w:t xml:space="preserve"> v</w:t>
      </w:r>
      <w:r w:rsidRPr="006662F5">
        <w:t>.</w:t>
      </w:r>
      <w:r w:rsidRPr="006662F5">
        <w:rPr>
          <w:i/>
          <w:iCs/>
        </w:rPr>
        <w:t xml:space="preserve"> Wolfe’s Borough Coffee</w:t>
      </w:r>
      <w:r w:rsidRPr="006662F5">
        <w:t>,</w:t>
      </w:r>
      <w:r w:rsidRPr="006662F5">
        <w:rPr>
          <w:i/>
          <w:iCs/>
        </w:rPr>
        <w:t xml:space="preserve"> Inc</w:t>
      </w:r>
      <w:r w:rsidRPr="006662F5">
        <w:t>.,</w:t>
      </w:r>
      <w:r w:rsidRPr="006662F5">
        <w:rPr>
          <w:vertAlign w:val="superscript"/>
        </w:rPr>
        <w:footnoteReference w:id="734"/>
      </w:r>
      <w:r w:rsidRPr="006662F5">
        <w:t xml:space="preserve"> where Starbucks sued the proprietor of a coffee shop selling “Charbucks blend” coffee, a New York district court similarly (and correctly) noted that New York’s dilution law only requires a likelihood of dilution. However, in contrast to the Oregon court, the New York court held that a mental association survey was insufficient to demonstrate either actual </w:t>
      </w:r>
      <w:r w:rsidRPr="006662F5">
        <w:rPr>
          <w:i/>
          <w:iCs/>
        </w:rPr>
        <w:t>or</w:t>
      </w:r>
      <w:r w:rsidRPr="006662F5">
        <w:t xml:space="preserve"> potential dilution by blurring.</w:t>
      </w:r>
      <w:r w:rsidRPr="006662F5">
        <w:rPr>
          <w:vertAlign w:val="superscript"/>
        </w:rPr>
        <w:footnoteReference w:id="735"/>
      </w:r>
      <w:r w:rsidRPr="006662F5">
        <w:t xml:space="preserve"> The court also rejected other survey evidence as insufficient to demonstrate either actual or potential dilution by tarnishment, although here the court’s reasoning was not particularly clear.</w:t>
      </w:r>
      <w:r w:rsidRPr="006662F5">
        <w:rPr>
          <w:vertAlign w:val="superscript"/>
        </w:rPr>
        <w:footnoteReference w:id="736"/>
      </w:r>
      <w:r w:rsidRPr="006662F5">
        <w:t xml:space="preserve"> </w:t>
      </w:r>
    </w:p>
    <w:p w:rsidR="00431229" w:rsidRPr="006662F5" w:rsidRDefault="00431229" w:rsidP="00073AC5">
      <w:pPr>
        <w:pStyle w:val="text"/>
      </w:pPr>
      <w:r w:rsidRPr="006662F5">
        <w:t xml:space="preserve">Although the use of mental association as sufficient evidence of likelihood of dilution was common before the Supreme Court’s decision in </w:t>
      </w:r>
      <w:r w:rsidRPr="006662F5">
        <w:rPr>
          <w:i/>
          <w:iCs/>
        </w:rPr>
        <w:t>Moseley</w:t>
      </w:r>
      <w:r w:rsidRPr="006662F5">
        <w:t>, it is submitted that the Supreme Court was correct in its assertion that mental association alone does not demonstrate dilution. Certainly such evidence is highly relevant to a showing of likelihood of dilution. Whether it should be sufficient by itself for such a showing is not as clear.</w:t>
      </w:r>
    </w:p>
    <w:p w:rsidR="00431229" w:rsidRPr="006662F5" w:rsidRDefault="00431229" w:rsidP="00073AC5">
      <w:pPr>
        <w:pStyle w:val="1stLevelHeadII"/>
        <w:rPr>
          <w:rFonts w:cs="Times New Roman"/>
        </w:rPr>
      </w:pPr>
      <w:r w:rsidRPr="006662F5">
        <w:rPr>
          <w:rFonts w:cs="Times New Roman"/>
        </w:rPr>
        <w:t>VII.</w:t>
      </w:r>
      <w:r w:rsidRPr="006662F5">
        <w:rPr>
          <w:rFonts w:cs="Times New Roman"/>
        </w:rPr>
        <w:t> </w:t>
      </w:r>
      <w:r w:rsidRPr="006662F5">
        <w:rPr>
          <w:rFonts w:cs="Times New Roman"/>
        </w:rPr>
        <w:t>Proving Dilution</w:t>
      </w:r>
    </w:p>
    <w:p w:rsidR="00431229" w:rsidRPr="006662F5" w:rsidRDefault="00431229" w:rsidP="00073AC5">
      <w:pPr>
        <w:pStyle w:val="text"/>
      </w:pPr>
      <w:r w:rsidRPr="006662F5">
        <w:t>As discussed earlier in this chapter, courts often have not been particularly demanding of direct proof of dilution. However, the actual-dilution standard likely to be used under the 1992 and 1996 Model Bills, and the definition of blurring under the 2007 Model Bill, seem to invite such evidence. (Moreover, tarnishment may also invite proof of harm to the mark’s reputation.) Cases applying state law have not been very forthcoming about the kind of proof necessary to establish likely or actual dilution. However, some cases applying the FTDA and the TDRA have discussed this issue. Cases and commentary relating to proof under federal law, which would probably be equally applicable under most state laws, are discussed in Chapter 9, Section V.</w:t>
      </w:r>
    </w:p>
    <w:p w:rsidR="00431229" w:rsidRPr="006662F5" w:rsidRDefault="00431229" w:rsidP="00726678">
      <w:pPr>
        <w:widowControl w:val="0"/>
      </w:pPr>
    </w:p>
    <w:p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023B" w:rsidRDefault="009B023B" w:rsidP="002A47A4">
      <w:r>
        <w:separator/>
      </w:r>
    </w:p>
    <w:p w:rsidR="009B023B" w:rsidRDefault="009B023B"/>
    <w:p w:rsidR="009B023B" w:rsidRDefault="009B023B"/>
  </w:endnote>
  <w:endnote w:type="continuationSeparator" w:id="0">
    <w:p w:rsidR="009B023B" w:rsidRDefault="009B023B" w:rsidP="002A47A4">
      <w:r>
        <w:continuationSeparator/>
      </w:r>
    </w:p>
    <w:p w:rsidR="009B023B" w:rsidRDefault="009B023B"/>
    <w:p w:rsidR="009B023B" w:rsidRDefault="009B0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023B" w:rsidRDefault="009B023B" w:rsidP="002A47A4">
      <w:r>
        <w:separator/>
      </w:r>
    </w:p>
    <w:p w:rsidR="009B023B" w:rsidRDefault="009B023B"/>
    <w:p w:rsidR="009B023B" w:rsidRDefault="009B023B"/>
  </w:footnote>
  <w:footnote w:type="continuationSeparator" w:id="0">
    <w:p w:rsidR="009B023B" w:rsidRDefault="009B023B" w:rsidP="002A47A4">
      <w:r>
        <w:continuationSeparator/>
      </w:r>
    </w:p>
    <w:p w:rsidR="009B023B" w:rsidRDefault="009B023B"/>
    <w:p w:rsidR="009B023B" w:rsidRDefault="009B023B"/>
  </w:footnote>
  <w:footnote w:id="1">
    <w:p w:rsidR="00431229" w:rsidRPr="000D523D" w:rsidRDefault="00431229" w:rsidP="00195237">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Costa Mesa,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 </w:t>
      </w:r>
      <w:r>
        <w:rPr>
          <w:color w:val="000000"/>
          <w:sz w:val="20"/>
          <w:szCs w:val="20"/>
        </w:rPr>
        <w:t>From 2019 to 2024, he was an attorney</w:t>
      </w:r>
      <w:r w:rsidRPr="000D523D">
        <w:rPr>
          <w:color w:val="000000"/>
          <w:sz w:val="20"/>
          <w:szCs w:val="20"/>
        </w:rPr>
        <w:t xml:space="preserve"> with the U.S. Copyright Office in Washington, D.C</w:t>
      </w:r>
      <w:r>
        <w:rPr>
          <w:color w:val="000000"/>
          <w:sz w:val="20"/>
          <w:szCs w:val="20"/>
        </w:rPr>
        <w:t xml:space="preserve">. </w:t>
      </w:r>
      <w:r w:rsidRPr="000D523D">
        <w:rPr>
          <w:color w:val="000000"/>
          <w:sz w:val="20"/>
          <w:szCs w:val="20"/>
        </w:rPr>
        <w:t xml:space="preserve"> Prior to </w:t>
      </w:r>
      <w:r>
        <w:rPr>
          <w:color w:val="000000"/>
          <w:sz w:val="20"/>
          <w:szCs w:val="20"/>
        </w:rPr>
        <w:t>1983</w:t>
      </w:r>
      <w:r w:rsidRPr="000D523D">
        <w:rPr>
          <w:color w:val="000000"/>
          <w:sz w:val="20"/>
          <w:szCs w:val="20"/>
        </w:rPr>
        <w:t>, he practiced law in New York City.</w:t>
      </w:r>
      <w:r>
        <w:rPr>
          <w:color w:val="000000"/>
          <w:sz w:val="20"/>
          <w:szCs w:val="20"/>
        </w:rPr>
        <w:t xml:space="preserve">  </w:t>
      </w:r>
    </w:p>
    <w:p w:rsidR="00431229" w:rsidRDefault="00431229" w:rsidP="00195237">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rsidR="00431229" w:rsidRPr="006662F5" w:rsidRDefault="00431229">
      <w:pPr>
        <w:pStyle w:val="footnote"/>
      </w:pPr>
      <w:r w:rsidRPr="006662F5">
        <w:rPr>
          <w:vertAlign w:val="superscript"/>
        </w:rPr>
        <w:footnoteRef/>
      </w:r>
      <w:r w:rsidRPr="006662F5">
        <w:t>Sally Gee, Inc. v. Myra Hogan, Inc., 699 F.2d 621, 625, 217 USPQ 658 (2d Cir. 1983).</w:t>
      </w:r>
    </w:p>
  </w:footnote>
  <w:footnote w:id="3">
    <w:p w:rsidR="00431229" w:rsidRPr="006662F5" w:rsidRDefault="00431229">
      <w:pPr>
        <w:pStyle w:val="footnote"/>
      </w:pPr>
      <w:r w:rsidRPr="006662F5">
        <w:rPr>
          <w:vertAlign w:val="superscript"/>
        </w:rPr>
        <w:footnoteRef/>
      </w:r>
      <w:r w:rsidRPr="006662F5">
        <w:t>American Express Co. v. Vibra Approved Labs. Corp., 10 USPQ2d 2006, 2015 (S.D.N.Y. 1989).</w:t>
      </w:r>
    </w:p>
  </w:footnote>
  <w:footnote w:id="4">
    <w:p w:rsidR="00431229" w:rsidRPr="006662F5" w:rsidRDefault="00431229">
      <w:pPr>
        <w:pStyle w:val="footnote"/>
      </w:pPr>
      <w:r w:rsidRPr="006662F5">
        <w:rPr>
          <w:vertAlign w:val="superscript"/>
        </w:rPr>
        <w:footnoteRef/>
      </w:r>
      <w:r w:rsidRPr="006662F5">
        <w:t>Mortellito v. Nina of Cal., Inc., 335 F. Supp. 1288, 1296, 173 USPQ 346 (S.D.N.Y. 1972).</w:t>
      </w:r>
    </w:p>
  </w:footnote>
  <w:footnote w:id="5">
    <w:p w:rsidR="00431229" w:rsidRPr="006662F5" w:rsidRDefault="00431229">
      <w:pPr>
        <w:pStyle w:val="footnote"/>
      </w:pPr>
      <w:r w:rsidRPr="006662F5">
        <w:rPr>
          <w:vertAlign w:val="superscript"/>
        </w:rPr>
        <w:footnoteRef/>
      </w:r>
      <w:r w:rsidRPr="006662F5">
        <w:t xml:space="preserve">Frank I. Schechter, </w:t>
      </w:r>
      <w:r w:rsidRPr="006662F5">
        <w:rPr>
          <w:i/>
          <w:iCs/>
        </w:rPr>
        <w:t>The Rational Basis of Trademark Protection</w:t>
      </w:r>
      <w:r w:rsidRPr="006662F5">
        <w:t xml:space="preserve">, 40 </w:t>
      </w:r>
      <w:r w:rsidRPr="006662F5">
        <w:rPr>
          <w:smallCaps/>
        </w:rPr>
        <w:t>Harv. L. Rev.</w:t>
      </w:r>
      <w:r w:rsidRPr="006662F5">
        <w:t xml:space="preserve"> 813, 825 (1927) [hereinafter Schechter, </w:t>
      </w:r>
      <w:r w:rsidRPr="006662F5">
        <w:rPr>
          <w:i/>
          <w:iCs/>
        </w:rPr>
        <w:t>Rational Basis</w:t>
      </w:r>
      <w:r w:rsidRPr="006662F5">
        <w:t>].</w:t>
      </w:r>
    </w:p>
  </w:footnote>
  <w:footnote w:id="6">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w:t>
      </w:r>
      <w:r w:rsidRPr="006662F5">
        <w:rPr>
          <w:smallCaps/>
        </w:rPr>
        <w:t>N.Y. Gen. Bus. Law</w:t>
      </w:r>
      <w:r w:rsidRPr="006662F5">
        <w:t xml:space="preserve"> §360-</w:t>
      </w:r>
      <w:r w:rsidRPr="006662F5">
        <w:rPr>
          <w:i/>
          <w:iCs/>
        </w:rPr>
        <w:t>l</w:t>
      </w:r>
      <w:r w:rsidRPr="006662F5">
        <w:t xml:space="preserve"> (McKinney Supp. 2012); </w:t>
      </w:r>
      <w:r w:rsidRPr="006662F5">
        <w:rPr>
          <w:smallCaps/>
        </w:rPr>
        <w:t>Mass. Gen. Laws Ann</w:t>
      </w:r>
      <w:r w:rsidRPr="006662F5">
        <w:t>. ch. 110H §13 (West. 2011).</w:t>
      </w:r>
    </w:p>
  </w:footnote>
  <w:footnote w:id="7">
    <w:p w:rsidR="00431229" w:rsidRPr="006662F5" w:rsidRDefault="00431229">
      <w:pPr>
        <w:pStyle w:val="footnote"/>
      </w:pPr>
      <w:r w:rsidRPr="006662F5">
        <w:rPr>
          <w:vertAlign w:val="superscript"/>
        </w:rPr>
        <w:footnoteRef/>
      </w:r>
      <w:r w:rsidRPr="006662F5">
        <w:t xml:space="preserve">Model State Trademark Bill §13 (1996) [hereinafter 1996 Model Bill], </w:t>
      </w:r>
      <w:r w:rsidRPr="006662F5">
        <w:rPr>
          <w:i/>
          <w:iCs/>
        </w:rPr>
        <w:t>reprinted in</w:t>
      </w:r>
      <w:r w:rsidRPr="006662F5">
        <w:t xml:space="preserve"> 1 Jerome Gilson &amp; Anne Gilson LaLonde, Gilson on Trademarks, app. 1-A (2008 &amp; Supp.); 765 Ill. Comp. Stat. Ann. §1036/5(c) (West 2009); 54 Pa. Cons. Stat. Ann. §1102 (West Supp. 2012) (definition of “dilution”); Tenn. Code Ann. §47-25-501(3)</w:t>
      </w:r>
      <w:r w:rsidRPr="006662F5">
        <w:br/>
        <w:t>(LexisNexis 2001). This was the definition of dilution in the original Federal Trademark Dilution Act (FTDA) as well. It has since been superseded by the Trademark Dilution Revision Act (TDRA).</w:t>
      </w:r>
    </w:p>
  </w:footnote>
  <w:footnote w:id="8">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Community Fed. Sav. &amp; Loan Ass’n v. Orondorff, 678 F.2d 1034, 1037, 215 USPQ 26 (11th Cir. 1982); Wedgwood Homes, Inc. v. Lund, 659 P.2d 377, 383, 222 USPQ 446 (Or. 1983); E &amp; J Gallo Winery v. Pasatiempos Gallo, S.A., 905 F. Supp. 1403, 1416 (E.D. Cal. 1994); Porsche Cars N.A., Inc. v. Manny’s Porshop, Inc., 972 F. Supp. 1128, 1132, 43 USPQ2d 1475 (N.D. Ill. 1997).</w:t>
      </w:r>
    </w:p>
  </w:footnote>
  <w:footnote w:id="9">
    <w:p w:rsidR="00431229" w:rsidRPr="006662F5" w:rsidRDefault="00431229">
      <w:pPr>
        <w:pStyle w:val="footnote"/>
      </w:pPr>
      <w:r w:rsidRPr="006662F5">
        <w:rPr>
          <w:vertAlign w:val="superscript"/>
        </w:rPr>
        <w:footnoteRef/>
      </w:r>
      <w:r w:rsidRPr="006662F5">
        <w:rPr>
          <w:smallCaps/>
          <w:spacing w:val="-3"/>
        </w:rPr>
        <w:t>Model State Trademark Bill</w:t>
      </w:r>
      <w:r w:rsidRPr="006662F5">
        <w:t xml:space="preserve"> §1(l) (INTA 2007) [hereinafter 2007 </w:t>
      </w:r>
      <w:r w:rsidRPr="006662F5">
        <w:rPr>
          <w:smallCaps/>
          <w:spacing w:val="-3"/>
        </w:rPr>
        <w:t>Model Bill</w:t>
      </w:r>
      <w:r w:rsidRPr="006662F5">
        <w:t xml:space="preserve">], </w:t>
      </w:r>
      <w:r w:rsidRPr="006662F5">
        <w:rPr>
          <w:i/>
          <w:iCs/>
        </w:rPr>
        <w:t xml:space="preserve">available at </w:t>
      </w:r>
      <w:r w:rsidRPr="006662F5">
        <w:t>http://www.inta.org/Advocacy/Pages/ModelLawsandGuidelines.aspx; Lanham Act §43(c)(2)(B), 15 U.S.C. §1125(c)(2)(B).</w:t>
      </w:r>
    </w:p>
  </w:footnote>
  <w:footnote w:id="10">
    <w:p w:rsidR="00431229" w:rsidRPr="006662F5" w:rsidRDefault="00431229">
      <w:pPr>
        <w:pStyle w:val="footnote"/>
      </w:pPr>
      <w:r w:rsidRPr="006662F5">
        <w:rPr>
          <w:vertAlign w:val="superscript"/>
        </w:rPr>
        <w:footnoteRef/>
      </w:r>
      <w:r w:rsidRPr="006662F5">
        <w:t xml:space="preserve">2007 </w:t>
      </w:r>
      <w:r w:rsidRPr="006662F5">
        <w:rPr>
          <w:smallCaps/>
          <w:spacing w:val="-3"/>
        </w:rPr>
        <w:t>Model Bill</w:t>
      </w:r>
      <w:r w:rsidRPr="006662F5">
        <w:t xml:space="preserve"> §1(m); Lanham Act §43(c)(2)(C), 15 U.S.C. §1125(c)(2)(C).</w:t>
      </w:r>
    </w:p>
  </w:footnote>
  <w:footnote w:id="11">
    <w:p w:rsidR="00431229" w:rsidRPr="006662F5" w:rsidRDefault="00431229">
      <w:pPr>
        <w:pStyle w:val="footnote"/>
      </w:pPr>
      <w:r w:rsidRPr="006662F5">
        <w:rPr>
          <w:vertAlign w:val="superscript"/>
        </w:rPr>
        <w:footnoteRef/>
      </w:r>
      <w:r w:rsidRPr="006662F5">
        <w:t xml:space="preserve">The 2007 Model Bill makes clear that likelihood of dilution is actionable. Thus, it should be possible to determine whether a given use is likely to impair distinctiveness or reputation without requiring actual evidence of such impairments. In apparent recognition of this problem, the TDRA includes six factors to assist courts in analyzing dilution by blurring. </w:t>
      </w:r>
      <w:r w:rsidRPr="00C4457D">
        <w:rPr>
          <w:lang w:val="da-DK"/>
        </w:rPr>
        <w:t xml:space="preserve">Lanham Act §43(c)(2)(B)(i)–(vi), 15 U.S.C. §1125(c)(2)(B)(i)–(vi). </w:t>
      </w:r>
      <w:r w:rsidRPr="00C4457D">
        <w:rPr>
          <w:i/>
          <w:lang w:val="da-DK"/>
        </w:rPr>
        <w:t>See</w:t>
      </w:r>
      <w:r w:rsidRPr="00C4457D">
        <w:rPr>
          <w:i/>
          <w:iCs/>
          <w:lang w:val="da-DK"/>
        </w:rPr>
        <w:t xml:space="preserve"> </w:t>
      </w:r>
      <w:r w:rsidRPr="00C4457D">
        <w:rPr>
          <w:lang w:val="da-DK"/>
        </w:rPr>
        <w:t xml:space="preserve">Chapter 9, </w:t>
      </w:r>
      <w:r w:rsidRPr="00C4457D">
        <w:rPr>
          <w:spacing w:val="-4"/>
          <w:lang w:val="da-DK"/>
        </w:rPr>
        <w:t>§</w:t>
      </w:r>
      <w:r w:rsidRPr="00C4457D">
        <w:rPr>
          <w:lang w:val="da-DK"/>
        </w:rPr>
        <w:t xml:space="preserve">II.D.2. </w:t>
      </w:r>
      <w:r w:rsidRPr="006662F5">
        <w:t>These factors were not included in the 2007 Model Bill. There are no factors accompanying the TDRA definition of tarnishment.</w:t>
      </w:r>
    </w:p>
  </w:footnote>
  <w:footnote w:id="12">
    <w:p w:rsidR="00431229" w:rsidRPr="006662F5" w:rsidRDefault="00431229">
      <w:pPr>
        <w:pStyle w:val="footnote"/>
      </w:pPr>
      <w:r w:rsidRPr="006662F5">
        <w:rPr>
          <w:vertAlign w:val="superscript"/>
        </w:rPr>
        <w:footnoteRef/>
      </w:r>
      <w:r w:rsidRPr="006662F5">
        <w:t xml:space="preserve">On proving dilution, see Chapter 9, §V; </w:t>
      </w:r>
      <w:r w:rsidRPr="006662F5">
        <w:rPr>
          <w:i/>
          <w:iCs/>
        </w:rPr>
        <w:t>see also</w:t>
      </w:r>
      <w:r w:rsidRPr="006662F5">
        <w:t xml:space="preserve"> </w:t>
      </w:r>
      <w:r w:rsidRPr="006662F5">
        <w:rPr>
          <w:smallCaps/>
        </w:rPr>
        <w:t>Restatement (Third) of Unfair Competition</w:t>
      </w:r>
      <w:r w:rsidRPr="006662F5">
        <w:t xml:space="preserve"> §25, cmt. f (1995). </w:t>
      </w:r>
      <w:r w:rsidRPr="006662F5">
        <w:rPr>
          <w:i/>
          <w:iCs/>
        </w:rPr>
        <w:t>See generally</w:t>
      </w:r>
      <w:r w:rsidRPr="006662F5">
        <w:t xml:space="preserve"> Rebecca Tushnet, </w:t>
      </w:r>
      <w:r w:rsidRPr="006662F5">
        <w:rPr>
          <w:i/>
          <w:iCs/>
        </w:rPr>
        <w:t>Gone in Sixty Milliseconds: Trademark Law and Cognitive Science</w:t>
      </w:r>
      <w:r w:rsidRPr="006662F5">
        <w:t xml:space="preserve">, 86 </w:t>
      </w:r>
      <w:r w:rsidRPr="006662F5">
        <w:rPr>
          <w:smallCaps/>
          <w:spacing w:val="-3"/>
        </w:rPr>
        <w:t>Tex. L. Rev</w:t>
      </w:r>
      <w:r w:rsidRPr="006662F5">
        <w:t>. 507 (2008).</w:t>
      </w:r>
    </w:p>
  </w:footnote>
  <w:footnote w:id="13">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Heidi Ott A.G. v. Target Corp., 153 F. Supp. 2d 1055, 1076 (D. Minn. 2001) (voicing concerns of overprotection by the FTDA); Ringling Bros.-Barnum &amp; Bailey Combined Shows, Inc. v. Utah Div. of Travel Dev., 170 F.3d 449, 459, 50 USPQ2d 1065 (4th Cir.), </w:t>
      </w:r>
      <w:r w:rsidRPr="006662F5">
        <w:rPr>
          <w:i/>
          <w:iCs/>
        </w:rPr>
        <w:t>cert</w:t>
      </w:r>
      <w:r w:rsidRPr="006662F5">
        <w:t>.</w:t>
      </w:r>
      <w:r w:rsidRPr="006662F5">
        <w:rPr>
          <w:i/>
          <w:iCs/>
        </w:rPr>
        <w:t xml:space="preserve"> denied</w:t>
      </w:r>
      <w:r w:rsidRPr="006662F5">
        <w:t>, 528 U.S. 923 (1999).</w:t>
      </w:r>
    </w:p>
  </w:footnote>
  <w:footnote w:id="14">
    <w:p w:rsidR="00431229" w:rsidRPr="006662F5" w:rsidRDefault="00431229">
      <w:pPr>
        <w:pStyle w:val="footnote"/>
      </w:pPr>
      <w:r w:rsidRPr="006662F5">
        <w:rPr>
          <w:vertAlign w:val="superscript"/>
        </w:rPr>
        <w:footnoteRef/>
      </w:r>
      <w:r w:rsidRPr="006662F5">
        <w:t xml:space="preserve">Thane Int’l, Inc. v. Trek Bicycle Corp., 305 F.3d 894, 905, 64 USPQ2d 1564 (9th Cir. 2002) (“‘Dilution causes of action, much more so than infringement and unfair competition laws, tread very close to granting “rights in gross” in a trademark,’ </w:t>
      </w:r>
      <w:r w:rsidRPr="006662F5">
        <w:rPr>
          <w:i/>
          <w:iCs/>
        </w:rPr>
        <w:t>Avery Dennison Corp</w:t>
      </w:r>
      <w:r w:rsidRPr="006662F5">
        <w:t>.</w:t>
      </w:r>
      <w:r w:rsidRPr="006662F5">
        <w:rPr>
          <w:i/>
          <w:iCs/>
        </w:rPr>
        <w:t xml:space="preserve"> v</w:t>
      </w:r>
      <w:r w:rsidRPr="006662F5">
        <w:t>.</w:t>
      </w:r>
      <w:r w:rsidRPr="006662F5">
        <w:rPr>
          <w:i/>
          <w:iCs/>
        </w:rPr>
        <w:t xml:space="preserve"> Sumpton</w:t>
      </w:r>
      <w:r w:rsidRPr="006662F5">
        <w:t xml:space="preserve">, 189 F.3d 868, 875 (9th Cir. 1999), thereby hampering competition and the marketing of new products.”); </w:t>
      </w:r>
      <w:r w:rsidRPr="006662F5">
        <w:rPr>
          <w:i/>
          <w:iCs/>
        </w:rPr>
        <w:t>Ringling Bros</w:t>
      </w:r>
      <w:r w:rsidRPr="006662F5">
        <w:t xml:space="preserve">., 170 F.3d at 456. </w:t>
      </w:r>
    </w:p>
  </w:footnote>
  <w:footnote w:id="15">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Pepsico, Inc. v. Grapette Co., 416 F.2d 285, 287, 163 USPQ 193 (8th Cir. 1969); Lanham Act §10, 15 U.S.C. §1060; Beverly W. Pattishall, </w:t>
      </w:r>
      <w:r w:rsidRPr="006662F5">
        <w:rPr>
          <w:i/>
          <w:iCs/>
        </w:rPr>
        <w:t>The Dilution Rationale for Trademark—Trade Identity Protection, Its Progress and Prospects</w:t>
      </w:r>
      <w:r w:rsidRPr="006662F5">
        <w:t xml:space="preserve">, 71 </w:t>
      </w:r>
      <w:r w:rsidRPr="006662F5">
        <w:rPr>
          <w:smallCaps/>
        </w:rPr>
        <w:t>Nw. U.L. Rev.</w:t>
      </w:r>
      <w:r w:rsidRPr="006662F5">
        <w:t xml:space="preserve"> 618, 633 (1976) [hereinafter Pattishall, </w:t>
      </w:r>
      <w:r w:rsidRPr="006662F5">
        <w:rPr>
          <w:i/>
          <w:iCs/>
        </w:rPr>
        <w:t>Dilution Rationale</w:t>
      </w:r>
      <w:r w:rsidRPr="006662F5">
        <w:t>].</w:t>
      </w:r>
    </w:p>
  </w:footnote>
  <w:footnote w:id="16">
    <w:p w:rsidR="00431229" w:rsidRPr="006662F5" w:rsidRDefault="00431229">
      <w:pPr>
        <w:pStyle w:val="footnote"/>
      </w:pPr>
      <w:r w:rsidRPr="006662F5">
        <w:rPr>
          <w:vertAlign w:val="superscript"/>
        </w:rPr>
        <w:footnoteRef/>
      </w:r>
      <w:r w:rsidRPr="006662F5">
        <w:t>These categories are discussed in §IV, below.</w:t>
      </w:r>
    </w:p>
  </w:footnote>
  <w:footnote w:id="17">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Eli Lilly &amp; Co. v. Natural Answers, Inc., 233 F.3d 456, 466, 56 USPQ2d 1942 (7th Cir. 2000); IP Lund Trading ApS v. Kohler Co., 163 F.3d 27, 47, 49 USPQ2d 1225 (1st Cir. 1998). The Lanham Act and the Model Bill now incorporate a definition of “dilution by blurring.” See</w:t>
      </w:r>
      <w:r w:rsidRPr="006662F5">
        <w:rPr>
          <w:i/>
          <w:iCs/>
        </w:rPr>
        <w:t xml:space="preserve"> </w:t>
      </w:r>
      <w:r w:rsidRPr="006662F5">
        <w:t>§I.A, above.</w:t>
      </w:r>
    </w:p>
  </w:footnote>
  <w:footnote w:id="18">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smallCaps/>
        </w:rPr>
        <w:t>Restatement (Third) of Unfair Competition</w:t>
      </w:r>
      <w:r w:rsidRPr="006662F5">
        <w:t xml:space="preserve"> §25. The Lanham Act and the Model Bill now incorporate a definition of “dilution by tarnishment.” See §I.A, above.</w:t>
      </w:r>
    </w:p>
  </w:footnote>
  <w:footnote w:id="19">
    <w:p w:rsidR="00431229" w:rsidRPr="006662F5" w:rsidRDefault="00431229">
      <w:pPr>
        <w:pStyle w:val="footnote"/>
      </w:pPr>
      <w:r w:rsidRPr="006662F5">
        <w:rPr>
          <w:vertAlign w:val="superscript"/>
        </w:rPr>
        <w:footnoteRef/>
      </w:r>
      <w:r w:rsidRPr="006662F5">
        <w:t>Panavision Int’l, L.P. v. Toeppen, 141 F.3d 1316, 1326, 46 USPQ2d 1511 (9th Cir. 1998) (stating that “[t]o find dilution, a court need not rely on the traditional definitions such as ‘blurring and tarnishment’”); Deere &amp; Co. v. MTD Prods., Inc., 41 F.3d 39, 44, 32 USPQ2d 1936 (2d Cir. 1994) (concluding that “the blurring/tarnishment dichotomy does not necessarily represent the full range of uses that can dilute a mark under New York law”).</w:t>
      </w:r>
    </w:p>
  </w:footnote>
  <w:footnote w:id="20">
    <w:p w:rsidR="00431229" w:rsidRPr="006662F5" w:rsidRDefault="00431229">
      <w:pPr>
        <w:pStyle w:val="footnote"/>
      </w:pPr>
      <w:r w:rsidRPr="006662F5">
        <w:rPr>
          <w:vertAlign w:val="superscript"/>
        </w:rPr>
        <w:footnoteRef/>
      </w:r>
      <w:r w:rsidRPr="006662F5">
        <w:rPr>
          <w:i/>
          <w:iCs/>
        </w:rPr>
        <w:t>See</w:t>
      </w:r>
      <w:r w:rsidRPr="006662F5">
        <w:t xml:space="preserve"> Schechter, </w:t>
      </w:r>
      <w:r w:rsidRPr="006662F5">
        <w:rPr>
          <w:i/>
          <w:iCs/>
        </w:rPr>
        <w:t>Rational Basis</w:t>
      </w:r>
      <w:r w:rsidRPr="006662F5">
        <w:t xml:space="preserve">, 40 </w:t>
      </w:r>
      <w:r w:rsidRPr="006662F5">
        <w:rPr>
          <w:smallCaps/>
          <w:spacing w:val="-3"/>
        </w:rPr>
        <w:t>Harv. L. Rev.</w:t>
      </w:r>
      <w:r w:rsidRPr="006662F5">
        <w:t xml:space="preserve"> at 825.</w:t>
      </w:r>
    </w:p>
  </w:footnote>
  <w:footnote w:id="21">
    <w:p w:rsidR="00431229" w:rsidRPr="006662F5" w:rsidRDefault="00431229">
      <w:pPr>
        <w:pStyle w:val="footnote"/>
      </w:pPr>
      <w:r w:rsidRPr="006662F5">
        <w:rPr>
          <w:vertAlign w:val="superscript"/>
        </w:rPr>
        <w:footnoteRef/>
      </w:r>
      <w:r w:rsidRPr="006662F5">
        <w:t>All the dilution statutes, both state and federal, as well as the various iterations of the Model State Trademark Bill, have expressly eliminated the need for confusion.</w:t>
      </w:r>
    </w:p>
  </w:footnote>
  <w:footnote w:id="22">
    <w:p w:rsidR="00431229" w:rsidRPr="006662F5" w:rsidRDefault="00431229">
      <w:pPr>
        <w:pStyle w:val="footnote"/>
      </w:pPr>
      <w:r w:rsidRPr="006662F5">
        <w:rPr>
          <w:vertAlign w:val="superscript"/>
        </w:rPr>
        <w:footnoteRef/>
      </w:r>
      <w:r w:rsidRPr="000540A5">
        <w:rPr>
          <w:i/>
        </w:rPr>
        <w:t>See</w:t>
      </w:r>
      <w:r w:rsidRPr="006662F5">
        <w:t xml:space="preserve"> Chapter 2, §I.</w:t>
      </w:r>
    </w:p>
  </w:footnote>
  <w:footnote w:id="23">
    <w:p w:rsidR="00431229" w:rsidRPr="006662F5" w:rsidRDefault="00431229">
      <w:pPr>
        <w:pStyle w:val="footnote"/>
      </w:pPr>
      <w:r w:rsidRPr="006662F5">
        <w:rPr>
          <w:vertAlign w:val="superscript"/>
        </w:rPr>
        <w:footnoteRef/>
      </w:r>
      <w:r w:rsidRPr="006662F5">
        <w:t>The requirement of similarity is discussed in §V, below.</w:t>
      </w:r>
    </w:p>
  </w:footnote>
  <w:footnote w:id="24">
    <w:p w:rsidR="00431229" w:rsidRPr="006662F5" w:rsidRDefault="00431229">
      <w:pPr>
        <w:pStyle w:val="footnote"/>
      </w:pPr>
      <w:r w:rsidRPr="006662F5">
        <w:rPr>
          <w:vertAlign w:val="superscript"/>
        </w:rPr>
        <w:footnoteRef/>
      </w:r>
      <w:r w:rsidRPr="006662F5">
        <w:t xml:space="preserve">This is consistent with the Supreme Court’s analysis in </w:t>
      </w:r>
      <w:r w:rsidRPr="006662F5">
        <w:rPr>
          <w:i/>
          <w:iCs/>
        </w:rPr>
        <w:t>Moseley v</w:t>
      </w:r>
      <w:r w:rsidRPr="006662F5">
        <w:t>.</w:t>
      </w:r>
      <w:r w:rsidRPr="006662F5">
        <w:rPr>
          <w:i/>
          <w:iCs/>
        </w:rPr>
        <w:t xml:space="preserve"> V Secret Catalogue, Inc</w:t>
      </w:r>
      <w:r w:rsidRPr="006662F5">
        <w:t xml:space="preserve">., 537 U.S. 418, 65 USPQ2d 1801 (2003), where the Court held that merely conjuring up a famous mark does not constitute dilution by a second user under the FTDA. </w:t>
      </w:r>
      <w:r w:rsidRPr="006662F5">
        <w:rPr>
          <w:i/>
          <w:iCs/>
        </w:rPr>
        <w:t>Id</w:t>
      </w:r>
      <w:r w:rsidRPr="006662F5">
        <w:t>. at 433–34.</w:t>
      </w:r>
    </w:p>
  </w:footnote>
  <w:footnote w:id="25">
    <w:p w:rsidR="00431229" w:rsidRPr="006662F5" w:rsidRDefault="00431229">
      <w:pPr>
        <w:pStyle w:val="footnote"/>
      </w:pPr>
      <w:r w:rsidRPr="006662F5">
        <w:rPr>
          <w:vertAlign w:val="superscript"/>
        </w:rPr>
        <w:footnoteRef/>
      </w:r>
      <w:r w:rsidRPr="006662F5">
        <w:t>See §I.A., above, for a description of different forms of dilution. Blurring is discussed in detail in §IV.A, below.</w:t>
      </w:r>
    </w:p>
  </w:footnote>
  <w:footnote w:id="26">
    <w:p w:rsidR="00431229" w:rsidRPr="006662F5" w:rsidRDefault="00431229">
      <w:pPr>
        <w:pStyle w:val="footnote"/>
      </w:pPr>
      <w:r w:rsidRPr="006662F5">
        <w:rPr>
          <w:vertAlign w:val="superscript"/>
        </w:rPr>
        <w:footnoteRef/>
      </w:r>
      <w:r w:rsidRPr="006662F5">
        <w:t>See §IV.B, below.</w:t>
      </w:r>
    </w:p>
  </w:footnote>
  <w:footnote w:id="27">
    <w:p w:rsidR="00431229" w:rsidRPr="006662F5" w:rsidRDefault="00431229">
      <w:pPr>
        <w:pStyle w:val="footnote"/>
      </w:pPr>
      <w:r w:rsidRPr="006662F5">
        <w:rPr>
          <w:vertAlign w:val="superscript"/>
        </w:rPr>
        <w:footnoteRef/>
      </w:r>
      <w:r w:rsidRPr="006662F5">
        <w:t xml:space="preserve">Moseley v. V Secret Catalogue, Inc., 537 U.S. 418, 433, 65 USPQ2d 1801 (2003); </w:t>
      </w:r>
      <w:r w:rsidRPr="006662F5">
        <w:rPr>
          <w:i/>
          <w:iCs/>
        </w:rPr>
        <w:t>see</w:t>
      </w:r>
      <w:r w:rsidRPr="006662F5">
        <w:t xml:space="preserve"> AutoZone, Inc. v. Tandy Corp., 373 F.3d 786, 801–02, 71 USPQ2d 1385 (6th Cir. 2004) (applying federal principles to a claim under Tennessee law).</w:t>
      </w:r>
    </w:p>
  </w:footnote>
  <w:footnote w:id="28">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smallCaps/>
        </w:rPr>
        <w:t>Restatement (Third) of Unfair Competition</w:t>
      </w:r>
      <w:r w:rsidRPr="006662F5">
        <w:t xml:space="preserve"> §25 cmt. f (evidence not usually available). The problem of demonstrating actual dilution prior to the 2006 amendments to the FTDA is discussed in Chapter 9, §II.C.3. The TDRA permits relief on a showing of likelihood of dilution. Lanham Act §43(c)(1), 15 U.S.C. §1125(c)(1).</w:t>
      </w:r>
    </w:p>
  </w:footnote>
  <w:footnote w:id="29">
    <w:p w:rsidR="00431229" w:rsidRPr="00127AF1" w:rsidRDefault="00431229" w:rsidP="007935B8">
      <w:pPr>
        <w:pStyle w:val="FootnoteText"/>
        <w:rPr>
          <w:color w:val="555555"/>
        </w:rPr>
      </w:pPr>
      <w:r>
        <w:rPr>
          <w:rStyle w:val="FootnoteReference"/>
          <w:rFonts w:eastAsiaTheme="majorEastAsia"/>
        </w:rPr>
        <w:footnoteRef/>
      </w:r>
      <w:r>
        <w:rPr>
          <w:i/>
          <w:iCs/>
        </w:rPr>
        <w:t>See</w:t>
      </w:r>
      <w:r>
        <w:t xml:space="preserve"> </w:t>
      </w:r>
      <w:r w:rsidRPr="00386044">
        <w:rPr>
          <w:color w:val="555555"/>
        </w:rPr>
        <w:t>Fischer &amp; Frichtel Custom Homes, LLC v. Fischer M</w:t>
      </w:r>
      <w:r>
        <w:rPr>
          <w:color w:val="555555"/>
        </w:rPr>
        <w:t>g</w:t>
      </w:r>
      <w:r w:rsidRPr="00386044">
        <w:rPr>
          <w:color w:val="555555"/>
        </w:rPr>
        <w:t>mt</w:t>
      </w:r>
      <w:r>
        <w:rPr>
          <w:color w:val="555555"/>
        </w:rPr>
        <w:t>.</w:t>
      </w:r>
      <w:r w:rsidRPr="00386044">
        <w:rPr>
          <w:color w:val="555555"/>
        </w:rPr>
        <w:t>, LLC</w:t>
      </w:r>
      <w:r>
        <w:rPr>
          <w:color w:val="555555"/>
        </w:rPr>
        <w:t xml:space="preserve">, 2021 WL 1750174, at *7, </w:t>
      </w:r>
      <w:r w:rsidRPr="007935B8">
        <w:rPr>
          <w:color w:val="555555"/>
        </w:rPr>
        <w:t>2021 BL 164398</w:t>
      </w:r>
      <w:r>
        <w:rPr>
          <w:color w:val="555555"/>
        </w:rPr>
        <w:t xml:space="preserve"> (E.D. Mo. May 4, 2021) (“</w:t>
      </w:r>
      <w:r>
        <w:rPr>
          <w:rFonts w:ascii="TimesNewRomanPSMT" w:hAnsi="TimesNewRomanPSMT" w:cs="TimesNewRomanPSMT"/>
        </w:rPr>
        <w:t>[d]ilution cannot be shown by simply demonstrating likelihood of confusion”).</w:t>
      </w:r>
    </w:p>
  </w:footnote>
  <w:footnote w:id="30">
    <w:p w:rsidR="00431229" w:rsidRPr="006662F5" w:rsidRDefault="00431229">
      <w:pPr>
        <w:pStyle w:val="footnote"/>
      </w:pPr>
      <w:r w:rsidRPr="006662F5">
        <w:rPr>
          <w:vertAlign w:val="superscript"/>
        </w:rPr>
        <w:footnoteRef/>
      </w:r>
      <w:r w:rsidRPr="006662F5">
        <w:t>See §I.B, above.</w:t>
      </w:r>
    </w:p>
  </w:footnote>
  <w:footnote w:id="31">
    <w:p w:rsidR="00431229" w:rsidRPr="006662F5" w:rsidRDefault="00431229">
      <w:pPr>
        <w:pStyle w:val="footnote"/>
      </w:pPr>
      <w:r w:rsidRPr="006662F5">
        <w:rPr>
          <w:vertAlign w:val="superscript"/>
        </w:rPr>
        <w:footnoteRef/>
      </w:r>
      <w:r w:rsidRPr="006662F5">
        <w:t xml:space="preserve">I.P. Lund Trading ApS v. Kohler Co., 163 F.3d 27, 48, 49 USPQ2d 1225 (1st Cir. 1998); </w:t>
      </w:r>
      <w:r w:rsidRPr="006662F5">
        <w:rPr>
          <w:i/>
          <w:iCs/>
        </w:rPr>
        <w:t>accord</w:t>
      </w:r>
      <w:r w:rsidRPr="006662F5">
        <w:t xml:space="preserve"> Nexxus Prods. Co. v. CVS N.Y., Inc., 188 F.R.D. 11, 16 (D. Mass. 1999); Playboy Enters., Inc. v. Netscape Commc’ns Corp., 55 F. Supp. 2d 1070, 1087–88, 52 USPQ2d 1162 (C.D. Cal.), </w:t>
      </w:r>
      <w:r w:rsidRPr="006662F5">
        <w:rPr>
          <w:i/>
          <w:iCs/>
        </w:rPr>
        <w:t>aff’d mem</w:t>
      </w:r>
      <w:r w:rsidRPr="006662F5">
        <w:t>., 202 F.3d 278 (9th Cir. 1999).</w:t>
      </w:r>
    </w:p>
  </w:footnote>
  <w:footnote w:id="32">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Polaroid Corp. v. Polaraid, Inc., 319 F.2d 830, 138 USPQ 265 (7th Cir. 1963) (applying the Illinois statute and finding dilution, but also finding confusion).</w:t>
      </w:r>
    </w:p>
  </w:footnote>
  <w:footnote w:id="33">
    <w:p w:rsidR="00431229" w:rsidRPr="006662F5" w:rsidRDefault="00431229">
      <w:pPr>
        <w:pStyle w:val="footnote"/>
      </w:pPr>
      <w:r w:rsidRPr="006662F5">
        <w:rPr>
          <w:vertAlign w:val="superscript"/>
        </w:rPr>
        <w:footnoteRef/>
      </w:r>
      <w:r w:rsidRPr="006662F5">
        <w:t xml:space="preserve">Useful discussions can be found in Beverly W. Pattishall, </w:t>
      </w:r>
      <w:r w:rsidRPr="006662F5">
        <w:rPr>
          <w:i/>
          <w:iCs/>
        </w:rPr>
        <w:t>Dilution Rationale</w:t>
      </w:r>
      <w:r w:rsidRPr="006662F5">
        <w:t>,</w:t>
      </w:r>
      <w:r w:rsidRPr="006662F5">
        <w:rPr>
          <w:i/>
          <w:iCs/>
        </w:rPr>
        <w:t xml:space="preserve"> </w:t>
      </w:r>
      <w:r w:rsidRPr="006662F5">
        <w:t xml:space="preserve">71 </w:t>
      </w:r>
      <w:r w:rsidRPr="006662F5">
        <w:rPr>
          <w:smallCaps/>
        </w:rPr>
        <w:t>Nw. U.L. Rev.</w:t>
      </w:r>
      <w:r w:rsidRPr="006662F5">
        <w:t xml:space="preserve"> at 621–24; Walter J. Derenberg, </w:t>
      </w:r>
      <w:r w:rsidRPr="006662F5">
        <w:rPr>
          <w:i/>
          <w:iCs/>
        </w:rPr>
        <w:t>The Problem of Trademark Dilution and the Antidilution Statutes</w:t>
      </w:r>
      <w:r w:rsidRPr="006662F5">
        <w:t xml:space="preserve">, 44 </w:t>
      </w:r>
      <w:r w:rsidRPr="006662F5">
        <w:rPr>
          <w:smallCaps/>
        </w:rPr>
        <w:t>Cal. L. Rev.</w:t>
      </w:r>
      <w:r w:rsidRPr="006662F5">
        <w:t xml:space="preserve"> 439, 453–63 (1956).</w:t>
      </w:r>
    </w:p>
  </w:footnote>
  <w:footnote w:id="34">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HMH Publ’g Co. v. Lambert, 482 F.2d 595, 599, 178 USPQ 518 (9th Cir. 1973); DCA Food Indus., Inc. v. Hawthorn Mellody, Inc., 470 F. Supp. 574, 582, 202 USPQ 739 (S.D.N.Y. 1979); King Research, Inc. v. Shelton, Inc., 324 F. Supp. 631, 639, 169 USPQ 396 (S.D.N.Y. 1971), </w:t>
      </w:r>
      <w:r w:rsidRPr="006662F5">
        <w:rPr>
          <w:i/>
          <w:iCs/>
        </w:rPr>
        <w:t>aff’d</w:t>
      </w:r>
      <w:r w:rsidRPr="006662F5">
        <w:t xml:space="preserve">, 454 F.2d 66, 172 USPQ 321 (2d Cir. 1972) (dilution claims not appealed); Girl Scouts of the U.S. v. Personality Posters Mfg. Co., 304 F. Supp. 1228, 1233–34, 163 USPQ 505 (S.D.N.Y. 1969); B &amp; L Sales Assocs. v. H. Daroff &amp; Sons, Inc., 298 F. Supp. 908, 911, 162 USPQ 370 (S.D.N.Y. 1969), </w:t>
      </w:r>
      <w:r w:rsidRPr="006662F5">
        <w:rPr>
          <w:i/>
          <w:iCs/>
        </w:rPr>
        <w:t>aff’d</w:t>
      </w:r>
      <w:r w:rsidRPr="006662F5">
        <w:t xml:space="preserve">, 421 F.2d 352, 165 USPQ 353 (2d Cir.), </w:t>
      </w:r>
      <w:r w:rsidRPr="006662F5">
        <w:rPr>
          <w:i/>
          <w:iCs/>
        </w:rPr>
        <w:t>cert</w:t>
      </w:r>
      <w:r w:rsidRPr="006662F5">
        <w:t>.</w:t>
      </w:r>
      <w:r w:rsidRPr="006662F5">
        <w:rPr>
          <w:i/>
          <w:iCs/>
        </w:rPr>
        <w:t xml:space="preserve"> denied</w:t>
      </w:r>
      <w:r w:rsidRPr="006662F5">
        <w:t xml:space="preserve">, 398 U.S. 952 (1970); Haviland &amp; Co. v. Johann Haviland China Corp., 269 F. Supp. 928, 957, 154 USPQ 287 (S.D.N.Y. 1967) (confusion or “unfair intent” required); Field Enters. Educ. Corp. v. Grosset &amp; Dunlap, Inc., 256 F. Supp. 382, 390, 150 USPQ 517 (S.D.N.Y. 1966); Esquire, Inc. v. Esquire Slipper Mfg. Co., 139 F. Supp. 228, 232–33, 109 USPQ 30 (D. Mass. 1956), </w:t>
      </w:r>
      <w:r w:rsidRPr="006662F5">
        <w:rPr>
          <w:i/>
          <w:iCs/>
        </w:rPr>
        <w:t>aff’d on other grounds</w:t>
      </w:r>
      <w:r w:rsidRPr="006662F5">
        <w:t xml:space="preserve">, 243 F.2d 540, 113 USPQ 237 (1st Cir. 1957); </w:t>
      </w:r>
      <w:r w:rsidRPr="006662F5">
        <w:rPr>
          <w:i/>
          <w:iCs/>
        </w:rPr>
        <w:t>see</w:t>
      </w:r>
      <w:r w:rsidRPr="006662F5">
        <w:t xml:space="preserve"> Exquisite Form Indus., Inc. v. Exquisite Fabrics of London, 378 F. Supp. 403, 414–15, 183 USPQ 666 (S.D.N.Y. 1974) (noting different interpretations of New York law); Carter-Wallace, Inc. v. Procter &amp; Gamble Co., 434 F.2d 794, 803, 167 USPQ 713 (9th Cir. 1970) (question of need for confusion is unsettled); </w:t>
      </w:r>
      <w:r w:rsidRPr="006662F5">
        <w:rPr>
          <w:i/>
          <w:iCs/>
        </w:rPr>
        <w:t>see also</w:t>
      </w:r>
      <w:r w:rsidRPr="006662F5">
        <w:t xml:space="preserve"> Pattishall, </w:t>
      </w:r>
      <w:r w:rsidRPr="006662F5">
        <w:rPr>
          <w:i/>
          <w:iCs/>
        </w:rPr>
        <w:t>Dilution Rationale</w:t>
      </w:r>
      <w:r w:rsidRPr="006662F5">
        <w:t xml:space="preserve">, 71 </w:t>
      </w:r>
      <w:r w:rsidRPr="006662F5">
        <w:rPr>
          <w:smallCaps/>
        </w:rPr>
        <w:t>Nw. U.L. Rev.</w:t>
      </w:r>
      <w:r w:rsidRPr="006662F5">
        <w:t xml:space="preserve"> at 621 n.28 (citing additional cases). Even courts in some more recent cases erroneously have required confusion. </w:t>
      </w:r>
      <w:r w:rsidRPr="006662F5">
        <w:rPr>
          <w:i/>
          <w:iCs/>
        </w:rPr>
        <w:t>E</w:t>
      </w:r>
      <w:r w:rsidRPr="006662F5">
        <w:t>.</w:t>
      </w:r>
      <w:r w:rsidRPr="006662F5">
        <w:rPr>
          <w:i/>
          <w:iCs/>
        </w:rPr>
        <w:t>g</w:t>
      </w:r>
      <w:r w:rsidRPr="006662F5">
        <w:t xml:space="preserve">., Beacon Mut. Ins. Co. v. OneBeacon Ins. Group, 290 F. Supp. 2d 241, 252, 68 USPQ2d 1915 (D.R.I. 2003) (“Because the Court has held that Plaintiff cannot survive summary judgment on the likelihood of confusion prong of its Lanham Act claim, so, too, does its dilution claim [under Rhode Island law] fail.”), </w:t>
      </w:r>
      <w:r w:rsidRPr="006662F5">
        <w:rPr>
          <w:i/>
          <w:iCs/>
        </w:rPr>
        <w:t>rev’d on other grounds</w:t>
      </w:r>
      <w:r w:rsidRPr="006662F5">
        <w:t>, 376 F.3d 8, 20 n.6, 71 USPQ2d 1641 (1st Cir. 2004) (likelihood of confusion sufficient under Rhode Island law); Alchemy II, Inc. v. Yes! Entm’t Corp., 844 F. Supp. 560, 571, 30 USPQ2d 1770 (C.D. Cal. 1994).</w:t>
      </w:r>
    </w:p>
  </w:footnote>
  <w:footnote w:id="35">
    <w:p w:rsidR="00431229" w:rsidRPr="006662F5" w:rsidRDefault="00431229">
      <w:pPr>
        <w:pStyle w:val="footnote"/>
      </w:pPr>
      <w:r w:rsidRPr="006662F5">
        <w:rPr>
          <w:vertAlign w:val="superscript"/>
        </w:rPr>
        <w:footnoteRef/>
      </w:r>
      <w:r w:rsidRPr="006662F5">
        <w:t>243 F.2d 540, 113 USPQ 237 (1st Cir. 1957).</w:t>
      </w:r>
    </w:p>
  </w:footnote>
  <w:footnote w:id="36">
    <w:p w:rsidR="00431229" w:rsidRPr="006662F5" w:rsidRDefault="00431229">
      <w:pPr>
        <w:pStyle w:val="footnote"/>
      </w:pPr>
      <w:r w:rsidRPr="006662F5">
        <w:rPr>
          <w:vertAlign w:val="superscript"/>
        </w:rPr>
        <w:footnoteRef/>
      </w:r>
      <w:r w:rsidRPr="006662F5">
        <w:rPr>
          <w:i/>
          <w:iCs/>
        </w:rPr>
        <w:t>Id</w:t>
      </w:r>
      <w:r w:rsidRPr="006662F5">
        <w:t>. at 542. After suit was filed, the defendant agreed not to use the name on its goods or labels or in advertising, thus focusing the inquiry on its use of Esquire as a trade name.</w:t>
      </w:r>
    </w:p>
  </w:footnote>
  <w:footnote w:id="37">
    <w:p w:rsidR="00431229" w:rsidRPr="006662F5" w:rsidRDefault="00431229">
      <w:pPr>
        <w:pStyle w:val="footnote"/>
      </w:pPr>
      <w:r w:rsidRPr="006662F5">
        <w:rPr>
          <w:vertAlign w:val="superscript"/>
        </w:rPr>
        <w:footnoteRef/>
      </w:r>
      <w:r w:rsidRPr="006662F5">
        <w:rPr>
          <w:i/>
          <w:iCs/>
        </w:rPr>
        <w:t>Id</w:t>
      </w:r>
      <w:r w:rsidRPr="006662F5">
        <w:t xml:space="preserve">. The court noted that the Lanham Act can be used to prevent confusion even between sellers of noncompeting goods. </w:t>
      </w:r>
      <w:r w:rsidRPr="006662F5">
        <w:rPr>
          <w:i/>
          <w:iCs/>
        </w:rPr>
        <w:t>Id</w:t>
      </w:r>
      <w:r w:rsidRPr="006662F5">
        <w:t>. at 543.</w:t>
      </w:r>
    </w:p>
  </w:footnote>
  <w:footnote w:id="38">
    <w:p w:rsidR="00431229" w:rsidRPr="006662F5" w:rsidRDefault="00431229">
      <w:pPr>
        <w:pStyle w:val="footnote"/>
      </w:pPr>
      <w:r w:rsidRPr="006662F5">
        <w:rPr>
          <w:vertAlign w:val="superscript"/>
        </w:rPr>
        <w:footnoteRef/>
      </w:r>
      <w:r w:rsidRPr="006662F5">
        <w:rPr>
          <w:i/>
          <w:iCs/>
        </w:rPr>
        <w:t>Id</w:t>
      </w:r>
      <w:r w:rsidRPr="006662F5">
        <w:t>.</w:t>
      </w:r>
    </w:p>
  </w:footnote>
  <w:footnote w:id="39">
    <w:p w:rsidR="00431229" w:rsidRPr="006662F5" w:rsidRDefault="00431229">
      <w:pPr>
        <w:pStyle w:val="footnote"/>
      </w:pPr>
      <w:r w:rsidRPr="006662F5">
        <w:rPr>
          <w:vertAlign w:val="superscript"/>
        </w:rPr>
        <w:footnoteRef/>
      </w:r>
      <w:r w:rsidRPr="006662F5">
        <w:rPr>
          <w:i/>
          <w:iCs/>
        </w:rPr>
        <w:t>Id</w:t>
      </w:r>
      <w:r w:rsidRPr="006662F5">
        <w:t>.</w:t>
      </w:r>
    </w:p>
  </w:footnote>
  <w:footnote w:id="40">
    <w:p w:rsidR="00431229" w:rsidRPr="006662F5" w:rsidRDefault="00431229">
      <w:pPr>
        <w:pStyle w:val="footnote"/>
      </w:pPr>
      <w:r w:rsidRPr="006662F5">
        <w:rPr>
          <w:vertAlign w:val="superscript"/>
        </w:rPr>
        <w:footnoteRef/>
      </w:r>
      <w:r w:rsidRPr="006662F5">
        <w:rPr>
          <w:i/>
          <w:iCs/>
        </w:rPr>
        <w:t>Id</w:t>
      </w:r>
      <w:r w:rsidRPr="006662F5">
        <w:t>. at 544.</w:t>
      </w:r>
    </w:p>
  </w:footnote>
  <w:footnote w:id="41">
    <w:p w:rsidR="00431229" w:rsidRPr="006662F5" w:rsidRDefault="00431229">
      <w:pPr>
        <w:pStyle w:val="footnote"/>
      </w:pPr>
      <w:r w:rsidRPr="006662F5">
        <w:rPr>
          <w:vertAlign w:val="superscript"/>
        </w:rPr>
        <w:footnoteRef/>
      </w:r>
      <w:r w:rsidRPr="006662F5">
        <w:rPr>
          <w:i/>
          <w:iCs/>
        </w:rPr>
        <w:t>Id</w:t>
      </w:r>
      <w:r w:rsidRPr="006662F5">
        <w:t>. at 544–45.</w:t>
      </w:r>
    </w:p>
  </w:footnote>
  <w:footnote w:id="42">
    <w:p w:rsidR="00431229" w:rsidRPr="006662F5" w:rsidRDefault="00431229">
      <w:pPr>
        <w:pStyle w:val="footnote"/>
      </w:pPr>
      <w:r w:rsidRPr="006662F5">
        <w:rPr>
          <w:vertAlign w:val="superscript"/>
        </w:rPr>
        <w:footnoteRef/>
      </w:r>
      <w:r w:rsidRPr="006662F5">
        <w:t xml:space="preserve">Pro-Phy-Lac-Tic Brush Co. v. Jordan Marsh Co., 165 F.2d 549, 76 USPQ 146 (1st Cir. 1948). It is noteworthy that, although the court expressly analyzed a claim of dilution, it did not cite the Massachusetts statute. </w:t>
      </w:r>
      <w:r w:rsidRPr="006662F5">
        <w:rPr>
          <w:i/>
          <w:iCs/>
        </w:rPr>
        <w:t>See id</w:t>
      </w:r>
      <w:r w:rsidRPr="006662F5">
        <w:t>. at 553.</w:t>
      </w:r>
    </w:p>
  </w:footnote>
  <w:footnote w:id="43">
    <w:p w:rsidR="00431229" w:rsidRPr="006662F5" w:rsidRDefault="00431229">
      <w:pPr>
        <w:pStyle w:val="footnote"/>
      </w:pPr>
      <w:r w:rsidRPr="006662F5">
        <w:rPr>
          <w:vertAlign w:val="superscript"/>
        </w:rPr>
        <w:footnoteRef/>
      </w:r>
      <w:r w:rsidRPr="006662F5">
        <w:rPr>
          <w:i/>
          <w:iCs/>
        </w:rPr>
        <w:t>Id</w:t>
      </w:r>
      <w:r w:rsidRPr="006662F5">
        <w:t>.</w:t>
      </w:r>
    </w:p>
  </w:footnote>
  <w:footnote w:id="44">
    <w:p w:rsidR="00431229" w:rsidRPr="006662F5" w:rsidRDefault="00431229">
      <w:pPr>
        <w:pStyle w:val="footnote"/>
      </w:pPr>
      <w:r w:rsidRPr="006662F5">
        <w:rPr>
          <w:vertAlign w:val="superscript"/>
        </w:rPr>
        <w:footnoteRef/>
      </w:r>
      <w:r w:rsidRPr="006662F5">
        <w:rPr>
          <w:i/>
          <w:iCs/>
        </w:rPr>
        <w:t>Id</w:t>
      </w:r>
      <w:r w:rsidRPr="006662F5">
        <w:t>.</w:t>
      </w:r>
    </w:p>
  </w:footnote>
  <w:footnote w:id="45">
    <w:p w:rsidR="00431229" w:rsidRDefault="00431229" w:rsidP="00CA1D96">
      <w:pPr>
        <w:pStyle w:val="footnote"/>
      </w:pPr>
      <w:r>
        <w:rPr>
          <w:vertAlign w:val="superscript"/>
        </w:rPr>
        <w:footnoteRef/>
      </w:r>
      <w:r>
        <w:t xml:space="preserve">Automobile Mut. Ins. Co. of Am. v. Fratelli Scarpellini, SpA, 164 USPQ 671, 672 (T.T.A.B. 1970) (citing cases). </w:t>
      </w:r>
    </w:p>
  </w:footnote>
  <w:footnote w:id="46">
    <w:p w:rsidR="00431229" w:rsidRPr="006662F5" w:rsidRDefault="00431229">
      <w:pPr>
        <w:pStyle w:val="footnote"/>
      </w:pPr>
      <w:r w:rsidRPr="006662F5">
        <w:rPr>
          <w:vertAlign w:val="superscript"/>
        </w:rPr>
        <w:footnoteRef/>
      </w:r>
      <w:r w:rsidRPr="006662F5">
        <w:t>319 F.2d 830, 138 USPQ 265 (7th Cir. 1963).</w:t>
      </w:r>
    </w:p>
  </w:footnote>
  <w:footnote w:id="47">
    <w:p w:rsidR="00431229" w:rsidRPr="006662F5" w:rsidRDefault="00431229">
      <w:pPr>
        <w:pStyle w:val="footnote"/>
      </w:pPr>
      <w:r w:rsidRPr="006662F5">
        <w:rPr>
          <w:vertAlign w:val="superscript"/>
        </w:rPr>
        <w:footnoteRef/>
      </w:r>
      <w:r w:rsidRPr="006662F5">
        <w:rPr>
          <w:i/>
          <w:iCs/>
        </w:rPr>
        <w:t>Id</w:t>
      </w:r>
      <w:r w:rsidRPr="006662F5">
        <w:t>. at 836–37.</w:t>
      </w:r>
    </w:p>
  </w:footnote>
  <w:footnote w:id="48">
    <w:p w:rsidR="00431229" w:rsidRPr="006662F5" w:rsidRDefault="00431229">
      <w:pPr>
        <w:pStyle w:val="footnote"/>
      </w:pPr>
      <w:r w:rsidRPr="006662F5">
        <w:rPr>
          <w:vertAlign w:val="superscript"/>
        </w:rPr>
        <w:footnoteRef/>
      </w:r>
      <w:r w:rsidRPr="006662F5">
        <w:rPr>
          <w:i/>
          <w:iCs/>
        </w:rPr>
        <w:t>Id</w:t>
      </w:r>
      <w:r w:rsidRPr="006662F5">
        <w:t xml:space="preserve">. at 836. The dissenting judge argued that the trial judge’s denial of relief on the dilution count should have been upheld. He noted that there was no evidence of an intent to dilute, nor was there evidence of confusion. </w:t>
      </w:r>
      <w:r w:rsidRPr="006662F5">
        <w:rPr>
          <w:i/>
          <w:iCs/>
        </w:rPr>
        <w:t>Id</w:t>
      </w:r>
      <w:r w:rsidRPr="006662F5">
        <w:t xml:space="preserve">. at 841 (Schnackenberg, J., dissenting). The trial judge’s conclusions were stated rather cursorily. 206 F. Supp. 290, 296, 133 USPQ 671 (N.D. Ill. 1962). The only extended analysis of the dilution statute in the trial court opinion was that, even if defendant’s mark diluted plaintiff’s mark, the defendant’s right to use the mark vested before the passage of the Illinois dilution statute and therefore the statute did not apply. </w:t>
      </w:r>
      <w:r w:rsidRPr="006662F5">
        <w:rPr>
          <w:i/>
          <w:iCs/>
        </w:rPr>
        <w:t>Id</w:t>
      </w:r>
      <w:r w:rsidRPr="006662F5">
        <w:t>.</w:t>
      </w:r>
    </w:p>
  </w:footnote>
  <w:footnote w:id="49">
    <w:p w:rsidR="00431229" w:rsidRPr="006662F5" w:rsidRDefault="00431229">
      <w:pPr>
        <w:pStyle w:val="footnote"/>
      </w:pPr>
      <w:r w:rsidRPr="006662F5">
        <w:rPr>
          <w:vertAlign w:val="superscript"/>
        </w:rPr>
        <w:footnoteRef/>
      </w:r>
      <w:r w:rsidRPr="006662F5">
        <w:t>See</w:t>
      </w:r>
      <w:r w:rsidRPr="006662F5">
        <w:rPr>
          <w:i/>
          <w:iCs/>
        </w:rPr>
        <w:t xml:space="preserve"> </w:t>
      </w:r>
      <w:r w:rsidRPr="006662F5">
        <w:t>§II.A, above.</w:t>
      </w:r>
    </w:p>
  </w:footnote>
  <w:footnote w:id="50">
    <w:p w:rsidR="00431229" w:rsidRPr="006662F5" w:rsidRDefault="00431229">
      <w:pPr>
        <w:pStyle w:val="footnote"/>
      </w:pPr>
      <w:r w:rsidRPr="006662F5">
        <w:rPr>
          <w:vertAlign w:val="superscript"/>
        </w:rPr>
        <w:footnoteRef/>
      </w:r>
      <w:r w:rsidRPr="006662F5">
        <w:t>See cases cited in §II.A.</w:t>
      </w:r>
    </w:p>
  </w:footnote>
  <w:footnote w:id="51">
    <w:p w:rsidR="00431229" w:rsidRPr="006662F5" w:rsidRDefault="00431229">
      <w:pPr>
        <w:pStyle w:val="footnote"/>
      </w:pPr>
      <w:r w:rsidRPr="006662F5">
        <w:rPr>
          <w:vertAlign w:val="superscript"/>
        </w:rPr>
        <w:footnoteRef/>
      </w:r>
      <w:r w:rsidRPr="006662F5">
        <w:t xml:space="preserve">The typical statute of that era allowed an injunction against “likelihood of dilution . . . notwithstanding the absence of competition between the parties or the absence of confusion.” </w:t>
      </w:r>
      <w:r w:rsidRPr="006662F5">
        <w:rPr>
          <w:i/>
          <w:iCs/>
        </w:rPr>
        <w:t>E</w:t>
      </w:r>
      <w:r w:rsidRPr="006662F5">
        <w:t>.</w:t>
      </w:r>
      <w:r w:rsidRPr="006662F5">
        <w:rPr>
          <w:i/>
          <w:iCs/>
        </w:rPr>
        <w:t>g</w:t>
      </w:r>
      <w:r w:rsidRPr="006662F5">
        <w:t xml:space="preserve">., </w:t>
      </w:r>
      <w:r w:rsidRPr="006662F5">
        <w:rPr>
          <w:smallCaps/>
        </w:rPr>
        <w:t>Cal. Bus. &amp; Prof. Code</w:t>
      </w:r>
      <w:r w:rsidRPr="006662F5">
        <w:t xml:space="preserve"> §14330 (West 1987 &amp; Supp. 2006); </w:t>
      </w:r>
      <w:r w:rsidRPr="006662F5">
        <w:rPr>
          <w:smallCaps/>
        </w:rPr>
        <w:t>Fla. Stat. Ann</w:t>
      </w:r>
      <w:r w:rsidRPr="006662F5">
        <w:t xml:space="preserve">. §495.151 (West 2002); </w:t>
      </w:r>
      <w:r w:rsidRPr="006662F5">
        <w:rPr>
          <w:smallCaps/>
        </w:rPr>
        <w:t>Mass. Gen. L. Ann</w:t>
      </w:r>
      <w:r w:rsidRPr="006662F5">
        <w:t xml:space="preserve">. ch. 110H, §13 (West. 2011); </w:t>
      </w:r>
      <w:r w:rsidRPr="006662F5">
        <w:rPr>
          <w:smallCaps/>
        </w:rPr>
        <w:t>N.Y. Gen. Bus. Law</w:t>
      </w:r>
      <w:r w:rsidRPr="006662F5">
        <w:t xml:space="preserve"> §360-</w:t>
      </w:r>
      <w:r w:rsidRPr="006662F5">
        <w:rPr>
          <w:i/>
          <w:iCs/>
        </w:rPr>
        <w:t>l</w:t>
      </w:r>
      <w:r w:rsidRPr="006662F5">
        <w:t xml:space="preserve"> (McKinney Supp. 2012) (formerly §368-d). The Florida statute has been amended, effective January 1, 2007. Although the revised statute generally is patterned after the 1996 Model Bill, it allows relief for a use that is “likely to cause dilution.” </w:t>
      </w:r>
      <w:r w:rsidRPr="006662F5">
        <w:rPr>
          <w:smallCaps/>
        </w:rPr>
        <w:t>Fla. Stat. Ann</w:t>
      </w:r>
      <w:r w:rsidRPr="006662F5">
        <w:t xml:space="preserve">. §495.151 (West Supp. 2010). The California statute was amended effective January 1, 2008, and the amended statute is patterned after the TDRA. </w:t>
      </w:r>
      <w:r w:rsidRPr="006662F5">
        <w:rPr>
          <w:smallCaps/>
        </w:rPr>
        <w:t>Cal. Bus. &amp; Prof. Code</w:t>
      </w:r>
      <w:r w:rsidRPr="006662F5">
        <w:t xml:space="preserve"> §14202(k)–(m), 14247 (West 2008).</w:t>
      </w:r>
    </w:p>
  </w:footnote>
  <w:footnote w:id="52">
    <w:p w:rsidR="00431229" w:rsidRPr="006662F5" w:rsidRDefault="00431229">
      <w:pPr>
        <w:pStyle w:val="footnote"/>
      </w:pPr>
      <w:r w:rsidRPr="006662F5">
        <w:rPr>
          <w:vertAlign w:val="superscript"/>
        </w:rPr>
        <w:footnoteRef/>
      </w:r>
      <w:r w:rsidRPr="006662F5">
        <w:t>The only difference under this interpretation might have been if state courts had considered the “injury to business reputation” aspect of the statutes to be different from “likelihood of dilution.” But there was little indication of that in the case law.</w:t>
      </w:r>
    </w:p>
  </w:footnote>
  <w:footnote w:id="53">
    <w:p w:rsidR="00431229" w:rsidRPr="006662F5" w:rsidRDefault="00431229">
      <w:pPr>
        <w:pStyle w:val="footnote"/>
      </w:pPr>
      <w:r w:rsidRPr="006662F5">
        <w:rPr>
          <w:vertAlign w:val="superscript"/>
        </w:rPr>
        <w:footnoteRef/>
      </w:r>
      <w:r w:rsidRPr="006662F5">
        <w:t>42 N.Y.2d 538, 369 N.E.2d 1162, 399 N.Y.S.2d 628, 198 USPQ 418 (1977). The court of appeals is New York’s highest court.</w:t>
      </w:r>
    </w:p>
  </w:footnote>
  <w:footnote w:id="54">
    <w:p w:rsidR="00431229" w:rsidRPr="006662F5" w:rsidRDefault="00431229">
      <w:pPr>
        <w:pStyle w:val="footnote"/>
      </w:pPr>
      <w:r w:rsidRPr="006662F5">
        <w:rPr>
          <w:vertAlign w:val="superscript"/>
        </w:rPr>
        <w:footnoteRef/>
      </w:r>
      <w:r w:rsidRPr="006662F5">
        <w:t>369 N.E.2d at 1165–66.</w:t>
      </w:r>
    </w:p>
  </w:footnote>
  <w:footnote w:id="55">
    <w:p w:rsidR="00431229" w:rsidRPr="006662F5" w:rsidRDefault="00431229">
      <w:pPr>
        <w:pStyle w:val="footnote"/>
      </w:pPr>
      <w:r w:rsidRPr="006662F5">
        <w:rPr>
          <w:vertAlign w:val="superscript"/>
        </w:rPr>
        <w:footnoteRef/>
      </w:r>
      <w:r w:rsidRPr="006662F5">
        <w:rPr>
          <w:i/>
          <w:iCs/>
        </w:rPr>
        <w:t>Id</w:t>
      </w:r>
      <w:r w:rsidRPr="006662F5">
        <w:t xml:space="preserve">. at 1166. The dissent argued that the majority had thus limited the statute to the most notable of marks. </w:t>
      </w:r>
      <w:r w:rsidRPr="006662F5">
        <w:rPr>
          <w:i/>
          <w:iCs/>
        </w:rPr>
        <w:t>Id</w:t>
      </w:r>
      <w:r w:rsidRPr="006662F5">
        <w:t>. at 1168 (Cooke, J., dissenting). The issue of the required level of distinctiveness is discussed in Chapter 2, §I.</w:t>
      </w:r>
    </w:p>
  </w:footnote>
  <w:footnote w:id="56">
    <w:p w:rsidR="00431229" w:rsidRPr="006662F5" w:rsidRDefault="00431229">
      <w:pPr>
        <w:pStyle w:val="footnote"/>
      </w:pPr>
      <w:r w:rsidRPr="006662F5">
        <w:rPr>
          <w:vertAlign w:val="superscript"/>
        </w:rPr>
        <w:footnoteRef/>
      </w:r>
      <w:r w:rsidRPr="006662F5">
        <w:t>Hormel v. Jim Henson Prods., Inc., 73 F.3d 497, 506, 37 USPQ2d 1516 (2d Cir. 1996).</w:t>
      </w:r>
    </w:p>
  </w:footnote>
  <w:footnote w:id="57">
    <w:p w:rsidR="00431229" w:rsidRPr="006662F5" w:rsidRDefault="00431229">
      <w:pPr>
        <w:pStyle w:val="footnote"/>
      </w:pPr>
      <w:r w:rsidRPr="006662F5">
        <w:rPr>
          <w:vertAlign w:val="superscript"/>
        </w:rPr>
        <w:footnoteRef/>
      </w:r>
      <w:r w:rsidRPr="006662F5">
        <w:t>See §IV, below.</w:t>
      </w:r>
    </w:p>
  </w:footnote>
  <w:footnote w:id="58">
    <w:p w:rsidR="00431229" w:rsidRPr="006662F5" w:rsidRDefault="00431229">
      <w:pPr>
        <w:pStyle w:val="footnote"/>
      </w:pPr>
      <w:r w:rsidRPr="006662F5">
        <w:rPr>
          <w:vertAlign w:val="superscript"/>
        </w:rPr>
        <w:footnoteRef/>
      </w:r>
      <w:r w:rsidRPr="006662F5">
        <w:rPr>
          <w:smallCaps/>
        </w:rPr>
        <w:t>Minn. Stat. Ann.</w:t>
      </w:r>
      <w:r w:rsidRPr="006662F5">
        <w:t xml:space="preserve"> §325D.165 (West 1995). This statute has since been replaced. </w:t>
      </w:r>
      <w:r w:rsidRPr="006662F5">
        <w:rPr>
          <w:i/>
          <w:iCs/>
        </w:rPr>
        <w:t>See</w:t>
      </w:r>
      <w:r w:rsidRPr="006662F5">
        <w:t xml:space="preserve"> </w:t>
      </w:r>
      <w:r w:rsidRPr="006662F5">
        <w:rPr>
          <w:smallCaps/>
        </w:rPr>
        <w:t>Minn. Stat. Ann.</w:t>
      </w:r>
      <w:r w:rsidRPr="006662F5">
        <w:t xml:space="preserve"> §333.285 (West 2011).</w:t>
      </w:r>
    </w:p>
  </w:footnote>
  <w:footnote w:id="59">
    <w:p w:rsidR="00431229" w:rsidRPr="006662F5" w:rsidRDefault="00431229">
      <w:pPr>
        <w:pStyle w:val="footnote"/>
      </w:pPr>
      <w:r w:rsidRPr="006662F5">
        <w:rPr>
          <w:vertAlign w:val="superscript"/>
        </w:rPr>
        <w:footnoteRef/>
      </w:r>
      <w:r w:rsidRPr="006662F5">
        <w:t>This was an interpretation of language in the federal statute that also exists in many newer state statutes. See</w:t>
      </w:r>
      <w:r w:rsidRPr="006662F5">
        <w:rPr>
          <w:i/>
          <w:iCs/>
        </w:rPr>
        <w:t xml:space="preserve"> </w:t>
      </w:r>
      <w:r w:rsidRPr="006662F5">
        <w:t>§VI.A, below.</w:t>
      </w:r>
      <w:r w:rsidRPr="006662F5">
        <w:rPr>
          <w:i/>
          <w:iCs/>
        </w:rPr>
        <w:t xml:space="preserve"> Compare</w:t>
      </w:r>
      <w:r w:rsidRPr="006662F5">
        <w:t xml:space="preserve"> Moseley v. V Secret Catalogue, Inc., 537 U.S. 418, 433, 65 USPQ2d 1801 (2003) (actual dilution must be shown under FTDA), </w:t>
      </w:r>
      <w:r w:rsidRPr="006662F5">
        <w:rPr>
          <w:i/>
          <w:iCs/>
        </w:rPr>
        <w:t>with</w:t>
      </w:r>
      <w:r w:rsidRPr="006662F5">
        <w:t xml:space="preserve"> Savin Corp. v. Savin Grp., 391 F.3d 439, 455–56, 73 USPQ2d 1273 (2d Cir. 2004) (</w:t>
      </w:r>
      <w:r w:rsidRPr="006662F5">
        <w:rPr>
          <w:i/>
          <w:iCs/>
        </w:rPr>
        <w:t>Moseley</w:t>
      </w:r>
      <w:r w:rsidRPr="006662F5">
        <w:t xml:space="preserve"> not applicable to claim under New York dilution law), </w:t>
      </w:r>
      <w:r w:rsidRPr="006662F5">
        <w:rPr>
          <w:i/>
          <w:iCs/>
        </w:rPr>
        <w:t>cert</w:t>
      </w:r>
      <w:r w:rsidRPr="006662F5">
        <w:t>.</w:t>
      </w:r>
      <w:r w:rsidRPr="006662F5">
        <w:rPr>
          <w:i/>
          <w:iCs/>
        </w:rPr>
        <w:t xml:space="preserve"> denied</w:t>
      </w:r>
      <w:r w:rsidRPr="006662F5">
        <w:t xml:space="preserve">, 546 U.S. 822 (2005), Scott Fetzer Co. v. House of Vacuums, Inc., 381 F.3d 477, 489 n.9, 72 USPQ2d 1011 (5th Cir. 2004) (Texas law only requires likelihood of dilution), </w:t>
      </w:r>
      <w:r w:rsidRPr="006662F5">
        <w:rPr>
          <w:i/>
          <w:iCs/>
        </w:rPr>
        <w:t>and</w:t>
      </w:r>
      <w:r w:rsidRPr="006662F5">
        <w:t xml:space="preserve"> Toyota Jidosha Kabushiki Kaisha v. Natural Health Trends Corp., 74 USPQ2d 1475, 1479 (C.D. Cal. 2005) (California law uses likelihood of dilution standard). As noted below, the TDRA changed the federal standard from “causes dilution” to “likely to cause dilution.” </w:t>
      </w:r>
      <w:r w:rsidRPr="006662F5">
        <w:rPr>
          <w:i/>
          <w:iCs/>
        </w:rPr>
        <w:t>See</w:t>
      </w:r>
      <w:r w:rsidRPr="006662F5">
        <w:t xml:space="preserve"> AutoZone, Inc. v. Strick, 466 F. Supp. 2d 1034, 1045 n.5, 81 USPQ2d 1516 (N.D. Ill. 2006) (Illinois law requires actual dilution even though post-TDRA federal law does not), </w:t>
      </w:r>
      <w:r w:rsidRPr="006662F5">
        <w:rPr>
          <w:i/>
          <w:iCs/>
        </w:rPr>
        <w:t>rev’d on other grounds</w:t>
      </w:r>
      <w:r w:rsidRPr="006662F5">
        <w:t>, 543 F.3d 923 (7th Cir. 2008).</w:t>
      </w:r>
    </w:p>
  </w:footnote>
  <w:footnote w:id="60">
    <w:p w:rsidR="00431229" w:rsidRPr="006662F5" w:rsidRDefault="00431229">
      <w:pPr>
        <w:pStyle w:val="footnote"/>
      </w:pPr>
      <w:r w:rsidRPr="006662F5">
        <w:rPr>
          <w:vertAlign w:val="superscript"/>
        </w:rPr>
        <w:footnoteRef/>
      </w:r>
      <w:r w:rsidRPr="006662F5">
        <w:t xml:space="preserve">In </w:t>
      </w:r>
      <w:r w:rsidRPr="006662F5">
        <w:rPr>
          <w:i/>
          <w:iCs/>
        </w:rPr>
        <w:t>Moseley</w:t>
      </w:r>
      <w:r w:rsidRPr="006662F5">
        <w:t xml:space="preserve">, the Supreme Court indicated that tarnishment may not be encompassed by the original FTDA. 537 U.S. at 432. The Court cited the Massachusetts statute (the oldest dilution statute) as an example of a statute that clearly permits such claims. </w:t>
      </w:r>
      <w:r w:rsidRPr="006662F5">
        <w:rPr>
          <w:i/>
          <w:iCs/>
        </w:rPr>
        <w:t>Id</w:t>
      </w:r>
      <w:r w:rsidRPr="006662F5">
        <w:t>. Tarnishment is discussed in §IV.B, below. (The TDRA and the 2007 Model Bill make clear that tarnishment is actionable. See §IV.B.2.)</w:t>
      </w:r>
    </w:p>
  </w:footnote>
  <w:footnote w:id="61">
    <w:p w:rsidR="00431229" w:rsidRPr="006662F5" w:rsidRDefault="00431229">
      <w:pPr>
        <w:pStyle w:val="footnote"/>
      </w:pPr>
      <w:r w:rsidRPr="006662F5">
        <w:rPr>
          <w:vertAlign w:val="superscript"/>
        </w:rPr>
        <w:footnoteRef/>
      </w:r>
      <w:r w:rsidRPr="006662F5">
        <w:t xml:space="preserve">United States Trademark Association, Trademark Review Commission Report and Recommendations to USTA President and Board of Directors, 77 </w:t>
      </w:r>
      <w:r w:rsidRPr="006662F5">
        <w:rPr>
          <w:smallCaps/>
        </w:rPr>
        <w:t>Trademark Rep.</w:t>
      </w:r>
      <w:r w:rsidRPr="006662F5">
        <w:t xml:space="preserve"> 375 (1987) [hereinafter USTA Report].</w:t>
      </w:r>
    </w:p>
  </w:footnote>
  <w:footnote w:id="62">
    <w:p w:rsidR="00431229" w:rsidRPr="006662F5" w:rsidRDefault="00431229">
      <w:pPr>
        <w:pStyle w:val="footnote"/>
      </w:pPr>
      <w:r w:rsidRPr="006662F5">
        <w:rPr>
          <w:vertAlign w:val="superscript"/>
        </w:rPr>
        <w:footnoteRef/>
      </w:r>
      <w:r w:rsidRPr="006662F5">
        <w:rPr>
          <w:i/>
          <w:iCs/>
        </w:rPr>
        <w:t>Id</w:t>
      </w:r>
      <w:r w:rsidRPr="006662F5">
        <w:t>. at 458–59.</w:t>
      </w:r>
    </w:p>
  </w:footnote>
  <w:footnote w:id="63">
    <w:p w:rsidR="00431229" w:rsidRPr="006662F5" w:rsidRDefault="00431229">
      <w:pPr>
        <w:pStyle w:val="footnote"/>
      </w:pPr>
      <w:r w:rsidRPr="006662F5">
        <w:rPr>
          <w:vertAlign w:val="superscript"/>
        </w:rPr>
        <w:footnoteRef/>
      </w:r>
      <w:r w:rsidRPr="006662F5">
        <w:t xml:space="preserve">Some of the statutes refer to “a registrant’s mark,” while others refer to “a famous mark.” These differences may affect which marks are eligible for dilution protection. </w:t>
      </w:r>
      <w:r w:rsidRPr="000540A5">
        <w:rPr>
          <w:i/>
        </w:rPr>
        <w:t>See</w:t>
      </w:r>
      <w:r w:rsidRPr="006662F5">
        <w:t xml:space="preserve"> Chapter 2, §I.B. However, assuming that the mark is eligible, those differences do not affect the core definition of dilution.</w:t>
      </w:r>
    </w:p>
  </w:footnote>
  <w:footnote w:id="64">
    <w:p w:rsidR="00431229" w:rsidRPr="006662F5" w:rsidRDefault="00431229">
      <w:pPr>
        <w:pStyle w:val="footnote"/>
      </w:pPr>
      <w:r w:rsidRPr="006662F5">
        <w:rPr>
          <w:vertAlign w:val="superscript"/>
        </w:rPr>
        <w:footnoteRef/>
      </w:r>
      <w:r w:rsidRPr="006662F5">
        <w:t xml:space="preserve">According to some sources, the 1992 Model Bill’s definition referred to the “registrant’s mark.” However, the authoritative wording of this portion of the 1992 Model Bill is not quite clear. </w:t>
      </w:r>
      <w:r w:rsidRPr="000540A5">
        <w:rPr>
          <w:i/>
        </w:rPr>
        <w:t>See</w:t>
      </w:r>
      <w:r w:rsidRPr="006662F5">
        <w:t xml:space="preserve"> Chapter 2, §I.G.1. The 1996 definition clearly eliminated any such reference.</w:t>
      </w:r>
    </w:p>
  </w:footnote>
  <w:footnote w:id="65">
    <w:p w:rsidR="00431229" w:rsidRPr="006662F5" w:rsidRDefault="00431229">
      <w:pPr>
        <w:pStyle w:val="footnote"/>
      </w:pPr>
      <w:r w:rsidRPr="006662F5">
        <w:rPr>
          <w:vertAlign w:val="superscript"/>
        </w:rPr>
        <w:footnoteRef/>
      </w:r>
      <w:r w:rsidRPr="006662F5">
        <w:t>As a result of a late amendment, the FTDA did not limit itself to registered marks. Thus, the FTDA definition did not include the term “registrant.” The TDRA altered the FTDA’s definition of dilution so that it no longer corresponds to the definition in the 1996 Model Bill.</w:t>
      </w:r>
    </w:p>
  </w:footnote>
  <w:footnote w:id="66">
    <w:p w:rsidR="00431229" w:rsidRPr="006662F5" w:rsidRDefault="00431229">
      <w:pPr>
        <w:pStyle w:val="footnote"/>
      </w:pPr>
      <w:r w:rsidRPr="006662F5">
        <w:rPr>
          <w:vertAlign w:val="superscript"/>
        </w:rPr>
        <w:footnoteRef/>
      </w:r>
      <w:r w:rsidRPr="006662F5">
        <w:t xml:space="preserve">One exception is Alaska. </w:t>
      </w:r>
      <w:r w:rsidRPr="006662F5">
        <w:rPr>
          <w:smallCaps/>
        </w:rPr>
        <w:t>Alaska Stat.</w:t>
      </w:r>
      <w:r w:rsidRPr="006662F5">
        <w:t xml:space="preserve"> §45.50.180 (LexisNexis 2006). See</w:t>
      </w:r>
      <w:r w:rsidRPr="006662F5">
        <w:rPr>
          <w:i/>
          <w:iCs/>
        </w:rPr>
        <w:t xml:space="preserve"> </w:t>
      </w:r>
      <w:r w:rsidRPr="006662F5">
        <w:t xml:space="preserve">§III.B.2, below. The other exceptions are the five states that have adopted the 2007 Model State Trademark Bill’s dilution section (which is similar to the TDRA): California, whose statute was amended in 2007, </w:t>
      </w:r>
      <w:r w:rsidRPr="006662F5">
        <w:rPr>
          <w:smallCaps/>
        </w:rPr>
        <w:t>Cal. Bus. &amp; Prof. Code</w:t>
      </w:r>
      <w:r w:rsidRPr="006662F5">
        <w:t xml:space="preserve"> §14202(k)–(m) (West 2008); Mississippi and Oregon, whose statutes were amended in 2009, </w:t>
      </w:r>
      <w:r w:rsidRPr="006662F5">
        <w:rPr>
          <w:smallCaps/>
        </w:rPr>
        <w:t>Miss. Code Ann</w:t>
      </w:r>
      <w:r w:rsidRPr="006662F5">
        <w:t xml:space="preserve">. §§75-25-1(k)–(m), 75-25-25 (West Supp. 2011), </w:t>
      </w:r>
      <w:r w:rsidRPr="006662F5">
        <w:rPr>
          <w:smallCaps/>
        </w:rPr>
        <w:t>Or. Rev. Stat</w:t>
      </w:r>
      <w:r w:rsidRPr="006662F5">
        <w:t xml:space="preserve">. §§647.005(2), 647.107 (2011); Alabama, whose statute was amended in 2010, </w:t>
      </w:r>
      <w:r w:rsidRPr="006662F5">
        <w:rPr>
          <w:smallCaps/>
        </w:rPr>
        <w:t>Ala. Stat</w:t>
      </w:r>
      <w:r w:rsidRPr="006662F5">
        <w:t xml:space="preserve">. §§8-12-6(2)–(4), 8-12-17 (2010); and Texas, whose statute became effective in September 2012. </w:t>
      </w:r>
      <w:r w:rsidRPr="006662F5">
        <w:rPr>
          <w:smallCaps/>
        </w:rPr>
        <w:t xml:space="preserve">Tex. Bus. &amp; Com. Code Ann. §§16.001(2)–(4), 16.103 (2011). </w:t>
      </w:r>
      <w:r w:rsidRPr="006662F5">
        <w:t>Puerto Rico also has a dilution statute whose definition more closely tracks the TDRA, not the 1996 Model Bill</w:t>
      </w:r>
      <w:r w:rsidRPr="006662F5">
        <w:rPr>
          <w:smallCaps/>
        </w:rPr>
        <w:t>.</w:t>
      </w:r>
      <w:r w:rsidRPr="006662F5">
        <w:t xml:space="preserve"> See</w:t>
      </w:r>
      <w:r w:rsidRPr="006662F5">
        <w:rPr>
          <w:i/>
          <w:iCs/>
        </w:rPr>
        <w:t xml:space="preserve"> </w:t>
      </w:r>
      <w:r w:rsidRPr="006662F5">
        <w:t xml:space="preserve">§III.B.3.b, below. Until 2003, the Washington state dilution statute, patterned after the 1988 federal dilution bill, also had a definition that differed from the Model Bill. </w:t>
      </w:r>
      <w:r w:rsidRPr="006662F5">
        <w:rPr>
          <w:smallCaps/>
        </w:rPr>
        <w:t>Wash. Rev. Code Ann.</w:t>
      </w:r>
      <w:r w:rsidRPr="006662F5">
        <w:t xml:space="preserve"> §19.77.010 (West 1999). However, the Washington statute was amended in 2003 to conform to the 1996 Model Bill. 2003 </w:t>
      </w:r>
      <w:r w:rsidRPr="006662F5">
        <w:rPr>
          <w:smallCaps/>
          <w:spacing w:val="-3"/>
        </w:rPr>
        <w:t>Wash. Legis. Serv.</w:t>
      </w:r>
      <w:r w:rsidRPr="006662F5">
        <w:t xml:space="preserve"> ch. 34 (S.B. 5122) (2003) (available on Westlaw). </w:t>
      </w:r>
    </w:p>
  </w:footnote>
  <w:footnote w:id="67">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Avery Dennison Corp. v. Sumpton, 189 F.3d 868, 871, 51 USPQ2d 1801 (9th Cir. 1999) (citing Panavision Int’l, L.P. v. Toeppen, 141 F.3d 1316, 1324, 46 USPQ2d 1511 (9th Cir. 1998)). Some courts added a fifth factor—the requirement that the mark be “distinctive.” Nabisco, Inc. v. PF Brands, Inc., 191 F.3d 208, 215, 51 USPQ2d 1882 (2d Cir. 1999). </w:t>
      </w:r>
      <w:r w:rsidRPr="000540A5">
        <w:rPr>
          <w:i/>
        </w:rPr>
        <w:t>See</w:t>
      </w:r>
      <w:r w:rsidRPr="006662F5">
        <w:t xml:space="preserve"> Chapter 7, §I</w:t>
      </w:r>
      <w:r>
        <w:t>;</w:t>
      </w:r>
      <w:r w:rsidRPr="006662F5">
        <w:t xml:space="preserve"> Chapter 8, §VIII.</w:t>
      </w:r>
    </w:p>
  </w:footnote>
  <w:footnote w:id="68">
    <w:p w:rsidR="00431229" w:rsidRPr="006662F5" w:rsidRDefault="00431229">
      <w:pPr>
        <w:pStyle w:val="footnote"/>
      </w:pPr>
      <w:r w:rsidRPr="006662F5">
        <w:rPr>
          <w:vertAlign w:val="superscript"/>
        </w:rPr>
        <w:footnoteRef/>
      </w:r>
      <w:r w:rsidRPr="000540A5">
        <w:rPr>
          <w:i/>
        </w:rPr>
        <w:t>See</w:t>
      </w:r>
      <w:r w:rsidRPr="006662F5">
        <w:t xml:space="preserve"> Chapter 2, §I.D.</w:t>
      </w:r>
    </w:p>
  </w:footnote>
  <w:footnote w:id="69">
    <w:p w:rsidR="00431229" w:rsidRPr="006662F5" w:rsidRDefault="00431229">
      <w:pPr>
        <w:pStyle w:val="footnote"/>
      </w:pPr>
      <w:r w:rsidRPr="006662F5">
        <w:rPr>
          <w:vertAlign w:val="superscript"/>
        </w:rPr>
        <w:footnoteRef/>
      </w:r>
      <w:r w:rsidRPr="000540A5">
        <w:rPr>
          <w:i/>
        </w:rPr>
        <w:t>See</w:t>
      </w:r>
      <w:r w:rsidRPr="006662F5">
        <w:t xml:space="preserve"> §III.B.3, below.</w:t>
      </w:r>
    </w:p>
  </w:footnote>
  <w:footnote w:id="70">
    <w:p w:rsidR="00431229" w:rsidRPr="006662F5" w:rsidRDefault="00431229">
      <w:pPr>
        <w:pStyle w:val="footnote"/>
      </w:pPr>
      <w:r w:rsidRPr="006662F5">
        <w:rPr>
          <w:vertAlign w:val="superscript"/>
        </w:rPr>
        <w:footnoteRef/>
      </w:r>
      <w:r w:rsidRPr="006662F5">
        <w:t>However, the operative language of the statute gives a remedy for causing dilution “of the distinctive quality” of the mark.</w:t>
      </w:r>
    </w:p>
  </w:footnote>
  <w:footnote w:id="71">
    <w:p w:rsidR="00431229" w:rsidRPr="006662F5" w:rsidRDefault="00431229">
      <w:pPr>
        <w:pStyle w:val="footnote"/>
      </w:pPr>
      <w:r w:rsidRPr="006662F5">
        <w:rPr>
          <w:vertAlign w:val="superscript"/>
        </w:rPr>
        <w:footnoteRef/>
      </w:r>
      <w:r w:rsidRPr="006662F5">
        <w:t>See discussion in Chapter 9, §II.E.1, regarding the FTDA.</w:t>
      </w:r>
    </w:p>
  </w:footnote>
  <w:footnote w:id="72">
    <w:p w:rsidR="00431229" w:rsidRPr="006662F5" w:rsidRDefault="00431229">
      <w:pPr>
        <w:pStyle w:val="footnote"/>
      </w:pPr>
      <w:r w:rsidRPr="006662F5">
        <w:rPr>
          <w:vertAlign w:val="superscript"/>
        </w:rPr>
        <w:footnoteRef/>
      </w:r>
      <w:r w:rsidRPr="006662F5">
        <w:t xml:space="preserve">Jordache Enters., Inc. v. Hogg Wyld, Ltd., 828 F.2d 1482, 1489–90, 4 USPQ2d 1216 (10th Cir. 1987); New York Stock Exch., Inc. v. New York, N.Y. Hotel, LLC, 69 F. Supp. 2d 479, 490, 52 USPQ2d 1884 (S.D.N.Y. 1999), </w:t>
      </w:r>
      <w:r w:rsidRPr="006662F5">
        <w:rPr>
          <w:i/>
          <w:iCs/>
        </w:rPr>
        <w:t>aff’d in part and rev’d in part</w:t>
      </w:r>
      <w:r w:rsidRPr="006662F5">
        <w:t>, 293 F.3d 550, 62 USPQ2d 1260 (2d Cir. 2002).</w:t>
      </w:r>
    </w:p>
  </w:footnote>
  <w:footnote w:id="73">
    <w:p w:rsidR="00431229" w:rsidRPr="006662F5" w:rsidRDefault="00431229">
      <w:pPr>
        <w:pStyle w:val="footnote"/>
      </w:pPr>
      <w:r w:rsidRPr="006662F5">
        <w:rPr>
          <w:vertAlign w:val="superscript"/>
        </w:rPr>
        <w:footnoteRef/>
      </w:r>
      <w:r w:rsidRPr="006662F5">
        <w:t xml:space="preserve">Alaska is a notable exception. The current Florida statute also deviates from the pattern. It permits relief if the second use “is likely to cause dilution.” </w:t>
      </w:r>
      <w:r w:rsidRPr="006662F5">
        <w:rPr>
          <w:smallCaps/>
        </w:rPr>
        <w:t>Fla. Stat. Ann. §495.151</w:t>
      </w:r>
      <w:r w:rsidRPr="006662F5">
        <w:t xml:space="preserve"> (West Supp. 2010).</w:t>
      </w:r>
    </w:p>
  </w:footnote>
  <w:footnote w:id="74">
    <w:p w:rsidR="00431229" w:rsidRPr="006662F5" w:rsidRDefault="00431229">
      <w:pPr>
        <w:pStyle w:val="footnote"/>
      </w:pPr>
      <w:r w:rsidRPr="006662F5">
        <w:rPr>
          <w:vertAlign w:val="superscript"/>
        </w:rPr>
        <w:footnoteRef/>
      </w:r>
      <w:r w:rsidRPr="006662F5">
        <w:rPr>
          <w:i/>
          <w:iCs/>
        </w:rPr>
        <w:t>Compare</w:t>
      </w:r>
      <w:r w:rsidRPr="006662F5">
        <w:t xml:space="preserve"> Ringling Bros.-Barnum &amp; Bailey Combined Shows, Inc. v. Utah Div. of Travel Dev., 170 F.3d 449, 461, 50 USPQ2d 1065 (4th Cir.), </w:t>
      </w:r>
      <w:r w:rsidRPr="006662F5">
        <w:rPr>
          <w:i/>
          <w:iCs/>
        </w:rPr>
        <w:t>cert</w:t>
      </w:r>
      <w:r w:rsidRPr="006662F5">
        <w:t>.</w:t>
      </w:r>
      <w:r w:rsidRPr="006662F5">
        <w:rPr>
          <w:i/>
          <w:iCs/>
        </w:rPr>
        <w:t xml:space="preserve"> denied</w:t>
      </w:r>
      <w:r w:rsidRPr="006662F5">
        <w:t xml:space="preserve">, 528 U.S. 923 (1999), </w:t>
      </w:r>
      <w:r w:rsidRPr="006662F5">
        <w:rPr>
          <w:i/>
          <w:iCs/>
        </w:rPr>
        <w:t>with</w:t>
      </w:r>
      <w:r w:rsidRPr="006662F5">
        <w:t xml:space="preserve"> Nabisco, Inc. v. PF Brands, Inc., 191 F.3d 208, 224–25, 51 USPQ2d 1882 (2d Cir. 1999). This issue is discussed in greater detail in §VI.A, below, and in Chapter 9, §II.C.3.</w:t>
      </w:r>
    </w:p>
  </w:footnote>
  <w:footnote w:id="75">
    <w:p w:rsidR="00431229" w:rsidRPr="006662F5" w:rsidRDefault="00431229">
      <w:pPr>
        <w:pStyle w:val="footnote"/>
      </w:pPr>
      <w:r w:rsidRPr="006662F5">
        <w:rPr>
          <w:vertAlign w:val="superscript"/>
        </w:rPr>
        <w:footnoteRef/>
      </w:r>
      <w:r w:rsidRPr="006662F5">
        <w:t>Moseley v. V Secret Catalogue, Inc., 537 U.S. 418, 65 USPQ2d 1801 (2003).</w:t>
      </w:r>
    </w:p>
  </w:footnote>
  <w:footnote w:id="76">
    <w:p w:rsidR="00431229" w:rsidRPr="006662F5" w:rsidRDefault="00431229">
      <w:pPr>
        <w:pStyle w:val="footnote"/>
      </w:pPr>
      <w:r w:rsidRPr="006662F5">
        <w:rPr>
          <w:vertAlign w:val="superscript"/>
        </w:rPr>
        <w:footnoteRef/>
      </w:r>
      <w:r w:rsidRPr="006662F5">
        <w:rPr>
          <w:i/>
          <w:iCs/>
        </w:rPr>
        <w:t>Id</w:t>
      </w:r>
      <w:r w:rsidRPr="006662F5">
        <w:t>. at 433.</w:t>
      </w:r>
    </w:p>
  </w:footnote>
  <w:footnote w:id="77">
    <w:p w:rsidR="00431229" w:rsidRPr="006662F5" w:rsidRDefault="00431229">
      <w:pPr>
        <w:pStyle w:val="footnote"/>
      </w:pPr>
      <w:r w:rsidRPr="006662F5">
        <w:rPr>
          <w:vertAlign w:val="superscript"/>
        </w:rPr>
        <w:footnoteRef/>
      </w:r>
      <w:r w:rsidRPr="006662F5">
        <w:t>The history and effect of these amendments is discussed in Chapters 6 and 9.</w:t>
      </w:r>
    </w:p>
  </w:footnote>
  <w:footnote w:id="78">
    <w:p w:rsidR="00431229" w:rsidRPr="006662F5" w:rsidRDefault="00431229">
      <w:pPr>
        <w:pStyle w:val="footnote"/>
      </w:pPr>
      <w:r w:rsidRPr="006662F5">
        <w:rPr>
          <w:vertAlign w:val="superscript"/>
        </w:rPr>
        <w:footnoteRef/>
      </w:r>
      <w:r w:rsidRPr="006662F5">
        <w:rPr>
          <w:i/>
          <w:iCs/>
        </w:rPr>
        <w:t>See</w:t>
      </w:r>
      <w:r w:rsidRPr="006662F5">
        <w:t>,</w:t>
      </w:r>
      <w:r w:rsidRPr="006662F5">
        <w:rPr>
          <w:i/>
          <w:iCs/>
        </w:rPr>
        <w:t xml:space="preserve"> e</w:t>
      </w:r>
      <w:r w:rsidRPr="006662F5">
        <w:t>.</w:t>
      </w:r>
      <w:r w:rsidRPr="006662F5">
        <w:rPr>
          <w:i/>
          <w:iCs/>
        </w:rPr>
        <w:t>g</w:t>
      </w:r>
      <w:r w:rsidRPr="006662F5">
        <w:t xml:space="preserve">., DaimlerChrysler AG v. Bloom, 315 F.3d 932, 935 n.3, 65 USPQ2d 1359 (8th Cir. 2003) (noting that Minnesota’s dilution law is worded the same as the FTDA and therefore assuming that the two laws are “coextensive”); Mashantucket Pequot Tribe v. Redican, 403 F. Supp. 2d 184, 195 (D. Conn. 2005) (Connecticut dilution law interpreted same as FTDA); Scott Fetzer Co. v. Gehring, 288 F. Supp. 2d 696, 701 n.7, 702 n.9 (E.D. Pa. 2003) (noting that Pennsylvania law and federal law are the same in all but jurisdictional portions and interpreting Pennsylvania law to require actual dilution); World Wrestling Fed’n Entm’t, Inc. v. Big Dog Holdings, Inc., 280 F. Supp. 2d 413, 443 (W.D. Pa. 2003) (Pennsylvania law same as federal). This assumption has continued even after the TDRA. McNeil Nutritionals, LLC v. Heartland Sweeteners, LLC, 512 F. Supp. 2d 217, 237-38 (E.D. Pa. 2007) (Pennsylvania law requires actual dilution), </w:t>
      </w:r>
      <w:r w:rsidRPr="006662F5">
        <w:rPr>
          <w:i/>
          <w:iCs/>
        </w:rPr>
        <w:t>aff’d in part, rev’d in part on other grounds</w:t>
      </w:r>
      <w:r w:rsidRPr="006662F5">
        <w:t xml:space="preserve">, 511 F.3d 350, 85 USPQ2d 1545 (3d Cir. 2007) (the court of appeals did not discuss dilution claims); AutoZone, Inc. v. Strick, 466 F. Supp. 2d 1034, 1045 n.5, 81 USPQ2d 1516 (N.D. Ill. 2006), </w:t>
      </w:r>
      <w:r w:rsidRPr="006662F5">
        <w:rPr>
          <w:i/>
          <w:iCs/>
        </w:rPr>
        <w:t>rev’d on other grounds</w:t>
      </w:r>
      <w:r w:rsidRPr="006662F5">
        <w:t xml:space="preserve">, 543 F.3d 923 (7th Cir. 2008); </w:t>
      </w:r>
      <w:r w:rsidRPr="006662F5">
        <w:rPr>
          <w:i/>
          <w:iCs/>
        </w:rPr>
        <w:t>see</w:t>
      </w:r>
      <w:r w:rsidRPr="006662F5">
        <w:t xml:space="preserve"> WEC Holdings, LLC v. Juarez, 2008 U.S. Dist. LEXIS 13841, at *11–12 n.1 (D. Nev. Feb. 5, 2008) (Nevada law essentially the same as FTDA). </w:t>
      </w:r>
      <w:r w:rsidRPr="00BA7350">
        <w:rPr>
          <w:i/>
          <w:iCs/>
        </w:rPr>
        <w:t>But cf.</w:t>
      </w:r>
      <w:r w:rsidRPr="00BA7350">
        <w:t xml:space="preserve"> Russell Rd. Food &amp; Beverage, LLC v. Galam, 180 F. Supp. 3d 724, 742–43 (D. Nev. 2016) (applying Nevada law, appearing to use a likelihood-of-dilution standard but not directly addressing the question).</w:t>
      </w:r>
      <w:r>
        <w:t xml:space="preserve"> </w:t>
      </w:r>
      <w:r w:rsidRPr="006662F5">
        <w:t>The consequences of this result are discussed further in §VI, below</w:t>
      </w:r>
      <w:r w:rsidRPr="00BA7350">
        <w:t>.</w:t>
      </w:r>
    </w:p>
  </w:footnote>
  <w:footnote w:id="79">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w:t>
      </w:r>
      <w:r w:rsidRPr="006662F5">
        <w:rPr>
          <w:smallCaps/>
        </w:rPr>
        <w:t xml:space="preserve">Ark. Code Ann. §4-71-218 </w:t>
      </w:r>
      <w:r w:rsidRPr="006662F5">
        <w:t>(LexisNexis 2001)</w:t>
      </w:r>
      <w:r w:rsidRPr="006662F5">
        <w:rPr>
          <w:smallCaps/>
        </w:rPr>
        <w:t xml:space="preserve">; Fla. Stat. Ann. §495.181 </w:t>
      </w:r>
      <w:r w:rsidRPr="006662F5">
        <w:t>(West Supp. 2010);</w:t>
      </w:r>
      <w:r w:rsidRPr="006662F5">
        <w:rPr>
          <w:smallCaps/>
        </w:rPr>
        <w:t xml:space="preserve"> Idaho Code</w:t>
      </w:r>
      <w:r w:rsidRPr="006662F5">
        <w:t xml:space="preserve"> §48-518 (LexisNexis 2003); 765 </w:t>
      </w:r>
      <w:r w:rsidRPr="006662F5">
        <w:rPr>
          <w:smallCaps/>
        </w:rPr>
        <w:t xml:space="preserve">Ill. Comp. </w:t>
      </w:r>
      <w:r w:rsidRPr="00C4457D">
        <w:rPr>
          <w:smallCaps/>
          <w:lang w:val="de-DE"/>
        </w:rPr>
        <w:t>Stat. Ann.</w:t>
      </w:r>
      <w:r w:rsidRPr="00C4457D">
        <w:rPr>
          <w:lang w:val="de-DE"/>
        </w:rPr>
        <w:t xml:space="preserve"> §1036/90 (West 2009); </w:t>
      </w:r>
      <w:r w:rsidRPr="00C4457D">
        <w:rPr>
          <w:smallCaps/>
          <w:lang w:val="de-DE"/>
        </w:rPr>
        <w:t>Ind. Code Ann.</w:t>
      </w:r>
      <w:r w:rsidRPr="00C4457D">
        <w:rPr>
          <w:lang w:val="de-DE"/>
        </w:rPr>
        <w:t xml:space="preserve"> §24-2-1-0.5 (LexisNexis 2006); </w:t>
      </w:r>
      <w:r w:rsidRPr="00C4457D">
        <w:rPr>
          <w:smallCaps/>
          <w:lang w:val="de-DE"/>
        </w:rPr>
        <w:t>Kan. Stat. Ann</w:t>
      </w:r>
      <w:r w:rsidRPr="00C4457D">
        <w:rPr>
          <w:lang w:val="de-DE"/>
        </w:rPr>
        <w:t xml:space="preserve">. §81-220 (Supp. 2009); </w:t>
      </w:r>
      <w:r w:rsidRPr="00C4457D">
        <w:rPr>
          <w:smallCaps/>
          <w:lang w:val="de-DE"/>
        </w:rPr>
        <w:t>Neb. Rev. Stat</w:t>
      </w:r>
      <w:r w:rsidRPr="00C4457D">
        <w:rPr>
          <w:lang w:val="de-DE"/>
        </w:rPr>
        <w:t xml:space="preserve">. §87-127 (LexisNexis 2007); </w:t>
      </w:r>
      <w:r w:rsidRPr="00C4457D">
        <w:rPr>
          <w:smallCaps/>
          <w:lang w:val="de-DE"/>
        </w:rPr>
        <w:t>N.J. Stat. Ann</w:t>
      </w:r>
      <w:r w:rsidRPr="00C4457D">
        <w:rPr>
          <w:lang w:val="de-DE"/>
        </w:rPr>
        <w:t xml:space="preserve">. §56:3-13a (West 2001); </w:t>
      </w:r>
      <w:r w:rsidRPr="00C4457D">
        <w:rPr>
          <w:smallCaps/>
          <w:lang w:val="de-DE"/>
        </w:rPr>
        <w:t>N.M. Stat. Ann</w:t>
      </w:r>
      <w:r w:rsidRPr="00C4457D">
        <w:rPr>
          <w:lang w:val="de-DE"/>
        </w:rPr>
        <w:t xml:space="preserve">. 1978, §57-3B-2 (West 2003); </w:t>
      </w:r>
      <w:r w:rsidRPr="00C4457D">
        <w:rPr>
          <w:smallCaps/>
          <w:lang w:val="de-DE"/>
        </w:rPr>
        <w:t>Tenn. Code Ann</w:t>
      </w:r>
      <w:r w:rsidRPr="00C4457D">
        <w:rPr>
          <w:lang w:val="de-DE"/>
        </w:rPr>
        <w:t xml:space="preserve">. §47-25-518 (LexisNexis 2001); </w:t>
      </w:r>
      <w:r w:rsidRPr="00C4457D">
        <w:rPr>
          <w:smallCaps/>
          <w:lang w:val="de-DE"/>
        </w:rPr>
        <w:t>Utah Code Ann</w:t>
      </w:r>
      <w:r w:rsidRPr="00C4457D">
        <w:rPr>
          <w:lang w:val="de-DE"/>
        </w:rPr>
        <w:t xml:space="preserve">. §70-3a-102 (West 2004); </w:t>
      </w:r>
      <w:r w:rsidRPr="00C4457D">
        <w:rPr>
          <w:smallCaps/>
          <w:lang w:val="de-DE"/>
        </w:rPr>
        <w:t>Wash. Rev. Code Ann.</w:t>
      </w:r>
      <w:r w:rsidRPr="00C4457D">
        <w:rPr>
          <w:lang w:val="de-DE"/>
        </w:rPr>
        <w:t xml:space="preserve"> §19.77.930 (West 1999); </w:t>
      </w:r>
      <w:r w:rsidRPr="00C4457D">
        <w:rPr>
          <w:smallCaps/>
          <w:lang w:val="de-DE"/>
        </w:rPr>
        <w:t>W. Va. Code</w:t>
      </w:r>
      <w:r w:rsidRPr="00C4457D">
        <w:rPr>
          <w:lang w:val="de-DE"/>
        </w:rPr>
        <w:t xml:space="preserve">. §47-2-19 (LexisNexis 2006). </w:t>
      </w:r>
      <w:r w:rsidRPr="006662F5">
        <w:t xml:space="preserve">California, Mississippi, Oregon, and Texas also have such provisions, but their statutes are now patterned after the 2007 Model Bill, which uses a different standard. (The Texas provision does not appear to have been codified but was Section 3 of the statute that enacted the 2007 Model Bill.) </w:t>
      </w:r>
    </w:p>
  </w:footnote>
  <w:footnote w:id="80">
    <w:p w:rsidR="00431229" w:rsidRPr="00C4457D" w:rsidRDefault="00431229">
      <w:pPr>
        <w:pStyle w:val="footnote"/>
        <w:rPr>
          <w:lang w:val="sv-SE"/>
        </w:rPr>
      </w:pPr>
      <w:r w:rsidRPr="006662F5">
        <w:rPr>
          <w:vertAlign w:val="superscript"/>
        </w:rPr>
        <w:footnoteRef/>
      </w:r>
      <w:r w:rsidRPr="00C4457D">
        <w:rPr>
          <w:smallCaps/>
          <w:lang w:val="sv-SE"/>
        </w:rPr>
        <w:t>Alaska Stat.</w:t>
      </w:r>
      <w:r w:rsidRPr="00C4457D">
        <w:rPr>
          <w:lang w:val="sv-SE"/>
        </w:rPr>
        <w:t xml:space="preserve"> §45.50.180(e) (Lexis Publ’g 2000).</w:t>
      </w:r>
    </w:p>
  </w:footnote>
  <w:footnote w:id="81">
    <w:p w:rsidR="00431229" w:rsidRPr="006662F5" w:rsidRDefault="00431229">
      <w:pPr>
        <w:pStyle w:val="footnote"/>
      </w:pPr>
      <w:r w:rsidRPr="006662F5">
        <w:rPr>
          <w:vertAlign w:val="superscript"/>
        </w:rPr>
        <w:footnoteRef/>
      </w:r>
      <w:r w:rsidRPr="006662F5">
        <w:t xml:space="preserve">The operative language of the Alaska dilution statute allows an injunction “against another’s dilution of the mark.” </w:t>
      </w:r>
      <w:r w:rsidRPr="006662F5">
        <w:rPr>
          <w:smallCaps/>
        </w:rPr>
        <w:t>Alaska Stat.</w:t>
      </w:r>
      <w:r w:rsidRPr="006662F5">
        <w:t xml:space="preserve"> §45.50.180(d) (Lexis Publ’g 2000). Having defined dilution in terms of distinctive quality of the mark, it did not need to mention “distinctive quality” in this part of the statute, unlike the other statutes.</w:t>
      </w:r>
    </w:p>
  </w:footnote>
  <w:footnote w:id="82">
    <w:p w:rsidR="00431229" w:rsidRPr="006662F5" w:rsidRDefault="00431229">
      <w:pPr>
        <w:pStyle w:val="footnote"/>
      </w:pPr>
      <w:r w:rsidRPr="006662F5">
        <w:rPr>
          <w:vertAlign w:val="superscript"/>
        </w:rPr>
        <w:footnoteRef/>
      </w:r>
      <w:r w:rsidRPr="000540A5">
        <w:rPr>
          <w:i/>
        </w:rPr>
        <w:t>See</w:t>
      </w:r>
      <w:r w:rsidRPr="006662F5">
        <w:t xml:space="preserve"> Chapter 2, §I.G.1, for a discussion of the need for a registered mark. Washington’s original statute was even more unique. Undoubtedly, this reflects the fact that it was enacted in 1989, just after the first proposed FTDA failed in 1988. The Washington statute was patterned after the version of the FTDA that passed the Senate in 1988, which had some significant differences from the 1995 FTDA. The key difference was the definition of dilution: “Dilution” means the material reduction of the distinctive quality of a famous mark by another person.” </w:t>
      </w:r>
      <w:r w:rsidRPr="006662F5">
        <w:rPr>
          <w:i/>
          <w:iCs/>
        </w:rPr>
        <w:t>Cf</w:t>
      </w:r>
      <w:r w:rsidRPr="006662F5">
        <w:t xml:space="preserve">. </w:t>
      </w:r>
      <w:r w:rsidRPr="006662F5">
        <w:rPr>
          <w:smallCaps/>
        </w:rPr>
        <w:t>S. Rep. No.</w:t>
      </w:r>
      <w:r w:rsidRPr="006662F5">
        <w:t xml:space="preserve"> 100-515 at 22 (Sept. 15, 1988) (definition of dilution in S. 1883). Like the Alaska statute, the Washington statute defined dilution in terms of the distinctive quality of the mark; however, it included the phrase “</w:t>
      </w:r>
      <w:r w:rsidRPr="006662F5">
        <w:rPr>
          <w:i/>
          <w:iCs/>
        </w:rPr>
        <w:t>material</w:t>
      </w:r>
      <w:r w:rsidRPr="006662F5">
        <w:t xml:space="preserve"> reduction.” Thus, under this definition, another’s use that causes a slight reduction in the uniqueness of a famous mark would not be actionable. However, effective July 23, 2003, the Washington statute was amended to conform to the 1996 Model Bill, which makes it subject to the actual-dilution standard and the argument that tarnishment is not covered. </w:t>
      </w:r>
      <w:r w:rsidRPr="006662F5">
        <w:rPr>
          <w:smallCaps/>
        </w:rPr>
        <w:t>Wash. Rev. Code Ann</w:t>
      </w:r>
      <w:r w:rsidRPr="006662F5">
        <w:t xml:space="preserve">. §19.177.160 (West Supp. 2012). </w:t>
      </w:r>
    </w:p>
  </w:footnote>
  <w:footnote w:id="83">
    <w:p w:rsidR="00431229" w:rsidRPr="006662F5" w:rsidRDefault="00431229">
      <w:pPr>
        <w:pStyle w:val="footnote"/>
      </w:pPr>
      <w:r w:rsidRPr="006662F5">
        <w:rPr>
          <w:vertAlign w:val="superscript"/>
        </w:rPr>
        <w:footnoteRef/>
      </w:r>
      <w:r w:rsidRPr="006662F5">
        <w:t>The “distinctive and famous” language was in the original USTA dilution proposal in 1987. The FTDA also added three exclusions from liability, which were incorporated into the 1996 version of the Model Bill.</w:t>
      </w:r>
    </w:p>
  </w:footnote>
  <w:footnote w:id="84">
    <w:p w:rsidR="00431229" w:rsidRPr="006662F5" w:rsidRDefault="00431229">
      <w:pPr>
        <w:pStyle w:val="footnote"/>
      </w:pPr>
      <w:r w:rsidRPr="006662F5">
        <w:rPr>
          <w:vertAlign w:val="superscript"/>
        </w:rPr>
        <w:footnoteRef/>
      </w:r>
      <w:r w:rsidRPr="006662F5">
        <w:t>537 U.S. 418, 65 USPQ2d 1801 (2003).</w:t>
      </w:r>
    </w:p>
  </w:footnote>
  <w:footnote w:id="85">
    <w:p w:rsidR="00431229" w:rsidRPr="006662F5" w:rsidRDefault="00431229">
      <w:pPr>
        <w:pStyle w:val="footnote"/>
      </w:pPr>
      <w:r w:rsidRPr="006662F5">
        <w:rPr>
          <w:vertAlign w:val="superscript"/>
        </w:rPr>
        <w:footnoteRef/>
      </w:r>
      <w:r w:rsidRPr="006662F5">
        <w:t>The details of this process are contained in Chapter 6, §III.</w:t>
      </w:r>
    </w:p>
  </w:footnote>
  <w:footnote w:id="86">
    <w:p w:rsidR="00431229" w:rsidRPr="006662F5" w:rsidRDefault="00431229">
      <w:pPr>
        <w:pStyle w:val="footnote"/>
      </w:pPr>
      <w:r w:rsidRPr="006662F5">
        <w:rPr>
          <w:vertAlign w:val="superscript"/>
        </w:rPr>
        <w:footnoteRef/>
      </w:r>
      <w:r w:rsidRPr="006662F5">
        <w:t>For a comparison of the TDRA definition of fame with the definitions in state statutes, see Chapter 2, §I.</w:t>
      </w:r>
    </w:p>
  </w:footnote>
  <w:footnote w:id="87">
    <w:p w:rsidR="00431229" w:rsidRPr="006662F5" w:rsidRDefault="00431229">
      <w:pPr>
        <w:pStyle w:val="footnote"/>
      </w:pPr>
      <w:r w:rsidRPr="006662F5">
        <w:rPr>
          <w:vertAlign w:val="superscript"/>
        </w:rPr>
        <w:footnoteRef/>
      </w:r>
      <w:r w:rsidRPr="006662F5">
        <w:t xml:space="preserve">The six factors are: </w:t>
      </w:r>
    </w:p>
    <w:p w:rsidR="00431229" w:rsidRPr="006662F5" w:rsidRDefault="00431229" w:rsidP="00CA1D96">
      <w:pPr>
        <w:pStyle w:val="footnoteindent"/>
      </w:pPr>
      <w:r w:rsidRPr="006662F5">
        <w:t>(i) The degree of similarity between the mark or trade name and the famous mark.</w:t>
      </w:r>
    </w:p>
    <w:p w:rsidR="00431229" w:rsidRPr="006662F5" w:rsidRDefault="00431229" w:rsidP="00CA1D96">
      <w:pPr>
        <w:pStyle w:val="footnoteindent"/>
      </w:pPr>
      <w:r w:rsidRPr="006662F5">
        <w:t>(ii) The degree of inherent or acquired distinctiveness of the famous mark.</w:t>
      </w:r>
    </w:p>
    <w:p w:rsidR="00431229" w:rsidRPr="006662F5" w:rsidRDefault="00431229" w:rsidP="00CA1D96">
      <w:pPr>
        <w:pStyle w:val="footnoteindent"/>
      </w:pPr>
      <w:r w:rsidRPr="006662F5">
        <w:t>(iii) The extent to which the owner of the famous mark is engaging in substantially exclusive use of the mark.</w:t>
      </w:r>
    </w:p>
    <w:p w:rsidR="00431229" w:rsidRPr="006662F5" w:rsidRDefault="00431229" w:rsidP="00CA1D96">
      <w:pPr>
        <w:pStyle w:val="footnoteindent"/>
      </w:pPr>
      <w:r w:rsidRPr="006662F5">
        <w:t>(iv) The degree of recognition of the famous mark.</w:t>
      </w:r>
    </w:p>
    <w:p w:rsidR="00431229" w:rsidRPr="006662F5" w:rsidRDefault="00431229" w:rsidP="00CA1D96">
      <w:pPr>
        <w:pStyle w:val="footnoteindent"/>
      </w:pPr>
      <w:r w:rsidRPr="006662F5">
        <w:t>(v) Whether the user of the mark or trade name intended to create an association with the famous mark.</w:t>
      </w:r>
    </w:p>
    <w:p w:rsidR="00431229" w:rsidRPr="006662F5" w:rsidRDefault="00431229" w:rsidP="00CA1D96">
      <w:pPr>
        <w:pStyle w:val="footnoteindent"/>
      </w:pPr>
      <w:r w:rsidRPr="006662F5">
        <w:t xml:space="preserve">(vi) Any actual association between the mark or trade name and the famous mark. </w:t>
      </w:r>
    </w:p>
    <w:p w:rsidR="00431229" w:rsidRPr="006662F5" w:rsidRDefault="00431229" w:rsidP="00073AC5">
      <w:pPr>
        <w:pStyle w:val="footnoteflush"/>
        <w:rPr>
          <w:rFonts w:cs="Times New Roman"/>
          <w:szCs w:val="20"/>
        </w:rPr>
      </w:pPr>
      <w:r w:rsidRPr="006662F5">
        <w:rPr>
          <w:rFonts w:cs="Times New Roman"/>
          <w:szCs w:val="20"/>
        </w:rPr>
        <w:t>Lanham Act §43(c)(2)(B), 15 U.S.C. §1125(c)(2)(B). See</w:t>
      </w:r>
      <w:r w:rsidRPr="006662F5">
        <w:rPr>
          <w:rFonts w:cs="Times New Roman"/>
          <w:i/>
          <w:iCs/>
          <w:szCs w:val="20"/>
        </w:rPr>
        <w:t xml:space="preserve"> </w:t>
      </w:r>
      <w:r w:rsidRPr="006662F5">
        <w:rPr>
          <w:rFonts w:cs="Times New Roman"/>
          <w:szCs w:val="20"/>
        </w:rPr>
        <w:t>Chapter 9, §II.D.2, for a discussion of the factors. The amendments also changed one of the three exclusions from liability: the “fair use” exclusion. For a discussion of this change, see Chapter 10, §II.</w:t>
      </w:r>
    </w:p>
  </w:footnote>
  <w:footnote w:id="88">
    <w:p w:rsidR="00431229" w:rsidRPr="006662F5" w:rsidRDefault="00431229">
      <w:pPr>
        <w:pStyle w:val="footnote"/>
      </w:pPr>
      <w:r w:rsidRPr="006662F5">
        <w:rPr>
          <w:vertAlign w:val="superscript"/>
        </w:rPr>
        <w:footnoteRef/>
      </w:r>
      <w:r w:rsidRPr="000540A5">
        <w:rPr>
          <w:i/>
        </w:rPr>
        <w:t>See</w:t>
      </w:r>
      <w:r w:rsidRPr="006662F5">
        <w:t xml:space="preserve"> Chapters 8–12.</w:t>
      </w:r>
    </w:p>
  </w:footnote>
  <w:footnote w:id="89">
    <w:p w:rsidR="00431229" w:rsidRPr="006662F5" w:rsidRDefault="00431229">
      <w:pPr>
        <w:pStyle w:val="footnote"/>
      </w:pPr>
      <w:r w:rsidRPr="006662F5">
        <w:rPr>
          <w:vertAlign w:val="superscript"/>
        </w:rPr>
        <w:footnoteRef/>
      </w:r>
      <w:r w:rsidRPr="006662F5">
        <w:t xml:space="preserve">In some post-TDRA cases, the courts have stated that state laws would be interpreted according to pre-TDRA standards. </w:t>
      </w:r>
      <w:r w:rsidRPr="006662F5">
        <w:rPr>
          <w:i/>
          <w:iCs/>
        </w:rPr>
        <w:t>E</w:t>
      </w:r>
      <w:r w:rsidRPr="006662F5">
        <w:t>.</w:t>
      </w:r>
      <w:r w:rsidRPr="006662F5">
        <w:rPr>
          <w:i/>
          <w:iCs/>
        </w:rPr>
        <w:t>g</w:t>
      </w:r>
      <w:r w:rsidRPr="006662F5">
        <w:t xml:space="preserve">., McNeil Nutritionals, LLC v. Heartland Sweeteners, LLC, 512 F. Supp. 2d 217, 237-38 (E.D. Pa. 2007) (Pennsylvania law requires actual dilution), </w:t>
      </w:r>
      <w:r w:rsidRPr="006662F5">
        <w:rPr>
          <w:i/>
          <w:iCs/>
        </w:rPr>
        <w:t>aff’d in part, rev’d in part on other grounds</w:t>
      </w:r>
      <w:r w:rsidRPr="006662F5">
        <w:t xml:space="preserve">, 511 F.3d 350, 85 USPQ2d 1545 (3d Cir. 2007) (the court of appeals did not discuss dilution claims); AutoZone, Inc. v. Strick, 466 F. Supp. 2d 1034, 1045 n.5, 81 USPQ2d 1516 (N.D. Ill. 2006), </w:t>
      </w:r>
      <w:r w:rsidRPr="006662F5">
        <w:rPr>
          <w:i/>
          <w:iCs/>
        </w:rPr>
        <w:t>rev’d on other grounds</w:t>
      </w:r>
      <w:r w:rsidRPr="006662F5">
        <w:t>, 543 F.3d 923 (7th Cir. 2008).</w:t>
      </w:r>
    </w:p>
  </w:footnote>
  <w:footnote w:id="90">
    <w:p w:rsidR="00431229" w:rsidRPr="006662F5" w:rsidRDefault="00431229">
      <w:pPr>
        <w:pStyle w:val="footnote"/>
      </w:pPr>
      <w:r w:rsidRPr="006662F5">
        <w:rPr>
          <w:vertAlign w:val="superscript"/>
        </w:rPr>
        <w:footnoteRef/>
      </w:r>
      <w:r w:rsidRPr="000540A5">
        <w:rPr>
          <w:i/>
        </w:rPr>
        <w:t>See</w:t>
      </w:r>
      <w:r w:rsidRPr="006662F5">
        <w:t xml:space="preserve"> Chapter 2, §I.</w:t>
      </w:r>
    </w:p>
  </w:footnote>
  <w:footnote w:id="91">
    <w:p w:rsidR="00431229" w:rsidRPr="006662F5" w:rsidRDefault="00431229">
      <w:pPr>
        <w:pStyle w:val="footnote"/>
      </w:pPr>
      <w:r w:rsidRPr="006662F5">
        <w:rPr>
          <w:vertAlign w:val="superscript"/>
        </w:rPr>
        <w:footnoteRef/>
      </w:r>
      <w:r w:rsidRPr="006662F5">
        <w:t xml:space="preserve">Guide to Understanding the Model State Trademark Bill, Overview of 2007 Amendments (§1—Definitions), </w:t>
      </w:r>
      <w:r w:rsidRPr="006662F5">
        <w:rPr>
          <w:i/>
          <w:iCs/>
        </w:rPr>
        <w:t>available at</w:t>
      </w:r>
      <w:r w:rsidRPr="006662F5">
        <w:t xml:space="preserve"> http://www.inta.org/Advocacy/Pages/Model</w:t>
      </w:r>
      <w:r w:rsidRPr="006662F5">
        <w:br/>
        <w:t>LawsandGuidelines.aspx. Many states have statutory provisions directing the use of federal precedent to aid the interpretation of similarly worded state trademark laws. INTA believed that those directions probably would lead to the use of TDRA precedent to interpret the new Model Bill provisions.</w:t>
      </w:r>
    </w:p>
  </w:footnote>
  <w:footnote w:id="92">
    <w:p w:rsidR="00431229" w:rsidRPr="006662F5" w:rsidRDefault="00431229">
      <w:pPr>
        <w:pStyle w:val="footnote"/>
      </w:pPr>
      <w:r w:rsidRPr="006662F5">
        <w:rPr>
          <w:vertAlign w:val="superscript"/>
        </w:rPr>
        <w:footnoteRef/>
      </w:r>
      <w:r w:rsidRPr="006662F5">
        <w:t>2007 Model Bill §1(k)–-(m).</w:t>
      </w:r>
    </w:p>
  </w:footnote>
  <w:footnote w:id="93">
    <w:p w:rsidR="00431229" w:rsidRDefault="00431229" w:rsidP="00CA1D96">
      <w:pPr>
        <w:pStyle w:val="footnote"/>
      </w:pPr>
      <w:r>
        <w:rPr>
          <w:vertAlign w:val="superscript"/>
        </w:rPr>
        <w:footnoteRef/>
      </w:r>
      <w:r>
        <w:t xml:space="preserve">Viacom Int’l Inc. v. IJR Capital Invs., LLC, 242 F. Supp. 3d 563, 573–75 (S.D. Tex. 2017). </w:t>
      </w:r>
    </w:p>
  </w:footnote>
  <w:footnote w:id="94">
    <w:p w:rsidR="00431229" w:rsidRPr="006662F5" w:rsidRDefault="00431229">
      <w:pPr>
        <w:pStyle w:val="footnote"/>
      </w:pPr>
      <w:r w:rsidRPr="006662F5">
        <w:rPr>
          <w:vertAlign w:val="superscript"/>
        </w:rPr>
        <w:footnoteRef/>
      </w:r>
      <w:r w:rsidRPr="006662F5">
        <w:rPr>
          <w:smallCaps/>
        </w:rPr>
        <w:t>Cal. Bus. &amp; Prof. Code</w:t>
      </w:r>
      <w:r w:rsidRPr="006662F5">
        <w:t xml:space="preserve"> §§14202(k)–(m), 14247 (West 2008).</w:t>
      </w:r>
    </w:p>
  </w:footnote>
  <w:footnote w:id="95">
    <w:p w:rsidR="00431229" w:rsidRPr="006662F5" w:rsidRDefault="00431229">
      <w:pPr>
        <w:pStyle w:val="footnote"/>
      </w:pPr>
      <w:r w:rsidRPr="006662F5">
        <w:rPr>
          <w:vertAlign w:val="superscript"/>
        </w:rPr>
        <w:footnoteRef/>
      </w:r>
      <w:r w:rsidRPr="006662F5">
        <w:rPr>
          <w:smallCaps/>
        </w:rPr>
        <w:t>Miss. Code. Ann</w:t>
      </w:r>
      <w:r w:rsidRPr="006662F5">
        <w:t>. §§75-25-1(k)–(m), 75-25-25 (West Supp. 2011).</w:t>
      </w:r>
    </w:p>
  </w:footnote>
  <w:footnote w:id="96">
    <w:p w:rsidR="00431229" w:rsidRPr="006662F5" w:rsidRDefault="00431229">
      <w:pPr>
        <w:pStyle w:val="footnote"/>
      </w:pPr>
      <w:r w:rsidRPr="006662F5">
        <w:rPr>
          <w:vertAlign w:val="superscript"/>
        </w:rPr>
        <w:footnoteRef/>
      </w:r>
      <w:r w:rsidRPr="006662F5">
        <w:rPr>
          <w:smallCaps/>
        </w:rPr>
        <w:t>Or. Rev. Stat</w:t>
      </w:r>
      <w:r w:rsidRPr="006662F5">
        <w:t>. §§647.005(2), 647.107 (2011). Oregon’s version contains some variations on the 2007 Model Bill. These are discussed in Chapter 4, §I.B.</w:t>
      </w:r>
    </w:p>
  </w:footnote>
  <w:footnote w:id="97">
    <w:p w:rsidR="00431229" w:rsidRPr="006662F5" w:rsidRDefault="00431229">
      <w:pPr>
        <w:pStyle w:val="footnote"/>
      </w:pPr>
      <w:r w:rsidRPr="006662F5">
        <w:rPr>
          <w:vertAlign w:val="superscript"/>
        </w:rPr>
        <w:footnoteRef/>
      </w:r>
      <w:r w:rsidRPr="006662F5">
        <w:rPr>
          <w:smallCaps/>
        </w:rPr>
        <w:t>Ala. Stat.</w:t>
      </w:r>
      <w:r w:rsidRPr="006662F5">
        <w:t xml:space="preserve"> §§8-12-6(2)–(4), 8-12-17 (2010).</w:t>
      </w:r>
    </w:p>
  </w:footnote>
  <w:footnote w:id="98">
    <w:p w:rsidR="00431229" w:rsidRPr="00C4457D" w:rsidRDefault="00431229">
      <w:pPr>
        <w:pStyle w:val="footnote"/>
        <w:rPr>
          <w:lang w:val="pt-BR"/>
        </w:rPr>
      </w:pPr>
      <w:r w:rsidRPr="006662F5">
        <w:rPr>
          <w:vertAlign w:val="superscript"/>
        </w:rPr>
        <w:footnoteRef/>
      </w:r>
      <w:r w:rsidRPr="00E44D89">
        <w:rPr>
          <w:smallCaps/>
        </w:rPr>
        <w:t xml:space="preserve">Tex. Bus. </w:t>
      </w:r>
      <w:r w:rsidRPr="00C4457D">
        <w:rPr>
          <w:smallCaps/>
          <w:lang w:val="pt-BR"/>
        </w:rPr>
        <w:t>&amp; Com. Code Ann</w:t>
      </w:r>
      <w:r w:rsidRPr="00C4457D">
        <w:rPr>
          <w:lang w:val="pt-BR"/>
        </w:rPr>
        <w:t xml:space="preserve"> §§16.001(2)–(4), 16.103 (2011).</w:t>
      </w:r>
    </w:p>
  </w:footnote>
  <w:footnote w:id="99">
    <w:p w:rsidR="00431229" w:rsidRPr="00E44D89" w:rsidRDefault="00431229">
      <w:pPr>
        <w:pStyle w:val="footnote"/>
        <w:rPr>
          <w:lang w:val="pt-BR"/>
        </w:rPr>
      </w:pPr>
      <w:r w:rsidRPr="006662F5">
        <w:rPr>
          <w:vertAlign w:val="superscript"/>
        </w:rPr>
        <w:footnoteRef/>
      </w:r>
      <w:r w:rsidRPr="00E44D89">
        <w:rPr>
          <w:lang w:val="pt-BR"/>
        </w:rPr>
        <w:t>10 L.P.R.A. §§223(a)–(c), 223y</w:t>
      </w:r>
    </w:p>
  </w:footnote>
  <w:footnote w:id="100">
    <w:p w:rsidR="00431229" w:rsidRPr="00127AF1" w:rsidRDefault="00431229" w:rsidP="007935B8">
      <w:pPr>
        <w:pStyle w:val="footnote"/>
      </w:pPr>
      <w:r>
        <w:rPr>
          <w:vertAlign w:val="superscript"/>
        </w:rPr>
        <w:footnoteRef/>
      </w:r>
      <w:r w:rsidRPr="00E44D89">
        <w:rPr>
          <w:lang w:val="it-IT"/>
        </w:rPr>
        <w:t>Luna Distrib. LLC v. Stoli Grp. (USA), LLC, 2018 WL 5099277, at *20</w:t>
      </w:r>
      <w:r>
        <w:rPr>
          <w:lang w:val="it-IT"/>
        </w:rPr>
        <w:t xml:space="preserve">, </w:t>
      </w:r>
      <w:r w:rsidRPr="007935B8">
        <w:t>2018 BL 534587</w:t>
      </w:r>
      <w:r w:rsidRPr="00E44D89">
        <w:rPr>
          <w:lang w:val="it-IT"/>
        </w:rPr>
        <w:t xml:space="preserve"> (C.D. Cal. July 10, 2018); Gibson Brands, Inc. v. John Hornby Skewes &amp; Co., 2016 WL 7479317, at *8</w:t>
      </w:r>
      <w:r>
        <w:rPr>
          <w:lang w:val="it-IT"/>
        </w:rPr>
        <w:t xml:space="preserve">, </w:t>
      </w:r>
      <w:r w:rsidRPr="007935B8">
        <w:t>2016 BL 434843</w:t>
      </w:r>
      <w:r w:rsidRPr="00E44D89">
        <w:rPr>
          <w:lang w:val="it-IT"/>
        </w:rPr>
        <w:t xml:space="preserve"> (C.D. Cal. Dec. 29, 2016) (citing cases). </w:t>
      </w:r>
    </w:p>
  </w:footnote>
  <w:footnote w:id="101">
    <w:p w:rsidR="00431229" w:rsidRPr="006662F5" w:rsidRDefault="00431229">
      <w:pPr>
        <w:pStyle w:val="footnote"/>
      </w:pPr>
      <w:r w:rsidRPr="006662F5">
        <w:rPr>
          <w:vertAlign w:val="superscript"/>
        </w:rPr>
        <w:footnoteRef/>
      </w:r>
      <w:r w:rsidRPr="006662F5">
        <w:t>319 F.2d 830, 836–37, 138 USPQ 265 (7th Cir. 1963).</w:t>
      </w:r>
    </w:p>
  </w:footnote>
  <w:footnote w:id="102">
    <w:p w:rsidR="00431229" w:rsidRPr="006662F5" w:rsidRDefault="00431229">
      <w:pPr>
        <w:pStyle w:val="footnote"/>
      </w:pPr>
      <w:r w:rsidRPr="006662F5">
        <w:rPr>
          <w:vertAlign w:val="superscript"/>
        </w:rPr>
        <w:footnoteRef/>
      </w:r>
      <w:r w:rsidRPr="006662F5">
        <w:t xml:space="preserve">Allied Maintenance Corp. v. Allied Mechanical Trades, Inc., 42 N.Y.2d 538, 369 N.E.2d 1162, 399 N.Y.S.2d 628, 198 USPQ 418 (1977); </w:t>
      </w:r>
      <w:r w:rsidRPr="006662F5">
        <w:rPr>
          <w:i/>
          <w:iCs/>
        </w:rPr>
        <w:t>see also</w:t>
      </w:r>
      <w:r w:rsidRPr="006662F5">
        <w:t xml:space="preserve"> Pattishall, </w:t>
      </w:r>
      <w:r w:rsidRPr="006662F5">
        <w:rPr>
          <w:i/>
          <w:iCs/>
        </w:rPr>
        <w:t>Dilution Rationale</w:t>
      </w:r>
      <w:r w:rsidRPr="006662F5">
        <w:t xml:space="preserve">, 71 </w:t>
      </w:r>
      <w:r w:rsidRPr="006662F5">
        <w:rPr>
          <w:smallCaps/>
        </w:rPr>
        <w:t>Nw. U.L. Rev.</w:t>
      </w:r>
      <w:r w:rsidRPr="006662F5">
        <w:t xml:space="preserve"> at 627–28 (stating the need for a definition of dilution).</w:t>
      </w:r>
    </w:p>
  </w:footnote>
  <w:footnote w:id="103">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Exxon Corp. v. Oxxford Clothes, Inc., 109 F.3d 1070, 1081, 42 USPQ2d 1417 (5th Cir.), </w:t>
      </w:r>
      <w:r w:rsidRPr="006662F5">
        <w:rPr>
          <w:i/>
          <w:iCs/>
        </w:rPr>
        <w:t>cert</w:t>
      </w:r>
      <w:r w:rsidRPr="006662F5">
        <w:t>.</w:t>
      </w:r>
      <w:r w:rsidRPr="006662F5">
        <w:rPr>
          <w:i/>
          <w:iCs/>
        </w:rPr>
        <w:t xml:space="preserve"> denied</w:t>
      </w:r>
      <w:r w:rsidRPr="006662F5">
        <w:t>, 522 U.S. 915 (1997).</w:t>
      </w:r>
    </w:p>
  </w:footnote>
  <w:footnote w:id="104">
    <w:p w:rsidR="00431229" w:rsidRPr="006662F5" w:rsidRDefault="00431229">
      <w:pPr>
        <w:pStyle w:val="footnote"/>
      </w:pPr>
      <w:r w:rsidRPr="006662F5">
        <w:rPr>
          <w:vertAlign w:val="superscript"/>
        </w:rPr>
        <w:footnoteRef/>
      </w:r>
      <w:r w:rsidRPr="006662F5">
        <w:rPr>
          <w:i/>
          <w:iCs/>
        </w:rPr>
        <w:t>See</w:t>
      </w:r>
      <w:r w:rsidRPr="006662F5">
        <w:t xml:space="preserve"> Jordache Enters., Inc. v. Hogg Wyld, Ltd., 828 F.2d 1482, 1489, 4 USPQ2d 1216 (10th Cir. 1987); Plasticolor Molded Prods. v. Ford Motor Co., 713 F. Supp. 1329, 1344 &amp; n.22, 11 USPQ2d 1023 (C.D. Cal. 1989) (the judge called “genericide” “a malapropism,” suggesting that “generization” or “trademarkicide” would be more appropriate terms), </w:t>
      </w:r>
      <w:r w:rsidRPr="006662F5">
        <w:rPr>
          <w:i/>
          <w:iCs/>
        </w:rPr>
        <w:t>vacated by consent judgment</w:t>
      </w:r>
      <w:r w:rsidRPr="006662F5">
        <w:t xml:space="preserve">, 767 F. Supp. 1036, 18 USPQ2d 1975 (C.D. Cal. 1991); </w:t>
      </w:r>
      <w:r w:rsidRPr="006662F5">
        <w:rPr>
          <w:i/>
          <w:iCs/>
        </w:rPr>
        <w:t>see also</w:t>
      </w:r>
      <w:r w:rsidRPr="006662F5">
        <w:t xml:space="preserve"> Cyd B. Wolf, </w:t>
      </w:r>
      <w:r w:rsidRPr="006662F5">
        <w:rPr>
          <w:i/>
          <w:iCs/>
        </w:rPr>
        <w:t>Trademark Dilution: The Need for Reform</w:t>
      </w:r>
      <w:r w:rsidRPr="006662F5">
        <w:t xml:space="preserve">, 74 </w:t>
      </w:r>
      <w:r w:rsidRPr="006662F5">
        <w:rPr>
          <w:smallCaps/>
        </w:rPr>
        <w:t>Trademark Rep.</w:t>
      </w:r>
      <w:r w:rsidRPr="006662F5">
        <w:t xml:space="preserve"> 311, 319–22 (1984).</w:t>
      </w:r>
    </w:p>
  </w:footnote>
  <w:footnote w:id="105">
    <w:p w:rsidR="00431229" w:rsidRPr="009A6465" w:rsidRDefault="00431229" w:rsidP="009A6465">
      <w:pPr>
        <w:pStyle w:val="FootnoteText"/>
      </w:pPr>
      <w:r>
        <w:rPr>
          <w:rStyle w:val="FootnoteReference"/>
          <w:rFonts w:eastAsiaTheme="majorEastAsia"/>
        </w:rPr>
        <w:footnoteRef/>
      </w:r>
      <w:r>
        <w:rPr>
          <w:i/>
          <w:iCs/>
        </w:rPr>
        <w:t>E.g.,</w:t>
      </w:r>
      <w:r>
        <w:t xml:space="preserve"> Shakuff LLC v. Shakuff Custom Glass Lighting, Inc., 2025 WL 977725, at *9, </w:t>
      </w:r>
      <w:r w:rsidRPr="009A6465">
        <w:t>2025 BL 75537</w:t>
      </w:r>
      <w:r>
        <w:t xml:space="preserve"> (E.D.N.Y. Mar. 7, 2025) (magistrate judge opinion).  </w:t>
      </w:r>
      <w:r>
        <w:rPr>
          <w:i/>
          <w:iCs/>
        </w:rPr>
        <w:t>See also</w:t>
      </w:r>
      <w:r>
        <w:t xml:space="preserve"> New York Times Co. v. Microsoft Corp., 2025 WL 1009179, at *25, </w:t>
      </w:r>
      <w:r w:rsidRPr="00C769FD">
        <w:t>2025 BL 114980</w:t>
      </w:r>
      <w:r>
        <w:t xml:space="preserve"> (S.D.N.Y. Apr. 4, 2025), where the court, in the course of denying a motion to dismiss, appeared to accept that newspapers had made out a proper dilution claim under New York law by alleging that defendant’s artificial intelligence engine diluted their trademarks by incorrectly identifying certain “low quality writing” as attributable to the plaintiffs.</w:t>
      </w:r>
    </w:p>
  </w:footnote>
  <w:footnote w:id="106">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Panavision Int’l, L.P. v. Toeppen, 141 F.3d 1316, 1326, 46 USPQ2d 1511 (9th Cir. 1998); Deere &amp; Co. v. MTD Prods., Inc., 41 F.3d 39, 44, 32 USPQ2d 1936 (2d Cir. 1994). A few courts also have asserted that trading on another’s reputation constitutes dilution. </w:t>
      </w:r>
      <w:r w:rsidRPr="006662F5">
        <w:rPr>
          <w:i/>
          <w:iCs/>
        </w:rPr>
        <w:t>E</w:t>
      </w:r>
      <w:r w:rsidRPr="006662F5">
        <w:t>.</w:t>
      </w:r>
      <w:r w:rsidRPr="006662F5">
        <w:rPr>
          <w:i/>
          <w:iCs/>
        </w:rPr>
        <w:t>g</w:t>
      </w:r>
      <w:r w:rsidRPr="006662F5">
        <w:t xml:space="preserve">., Astra Pharm. Prods., Inc. v. Beckman Instruments, Inc., 718 F.2d 1201, 1209, 220 USPQ 786 (1st Cir. 1983); Pignons S.A. de Mecanique de Precision v. Polaroid Corp., 657 F.2d 482, 494, 212 USPQ 246 (1st Cir. 1981). Certainly, a second user who uses a well-known mark (or a substantially similar one) as its own trademark in order to attract attention to its product may be liable for dilution. </w:t>
      </w:r>
      <w:r w:rsidRPr="006662F5">
        <w:rPr>
          <w:i/>
          <w:iCs/>
        </w:rPr>
        <w:t>See also</w:t>
      </w:r>
      <w:r w:rsidRPr="006662F5">
        <w:t xml:space="preserve"> Lanham Act §43(c)(5)(B)(i), 15 U.S.C. §1125(c)(5)(B)(i) (willful intent to trade on another’s reputation may permit award of damages under the TDRA for blurring); 2007 </w:t>
      </w:r>
      <w:r w:rsidRPr="006662F5">
        <w:rPr>
          <w:smallCaps/>
        </w:rPr>
        <w:t>Model Bill</w:t>
      </w:r>
      <w:r w:rsidRPr="006662F5">
        <w:t xml:space="preserve"> §13(c) (willful intent to cause dilution permits award of damages)</w:t>
      </w:r>
      <w:r w:rsidRPr="006662F5">
        <w:rPr>
          <w:b/>
          <w:bCs/>
        </w:rPr>
        <w:t xml:space="preserve">. </w:t>
      </w:r>
      <w:r w:rsidRPr="006662F5">
        <w:t xml:space="preserve">However, some such uses are just as clearly permissible. </w:t>
      </w:r>
      <w:r w:rsidRPr="006662F5">
        <w:rPr>
          <w:i/>
          <w:iCs/>
        </w:rPr>
        <w:t>See</w:t>
      </w:r>
      <w:r w:rsidRPr="006662F5">
        <w:t xml:space="preserve"> L.L. Bean, Inc. v. Drake Publishers, Inc., 811 F.2d 26, 1 USPQ2d 1753 (1st Cir.), </w:t>
      </w:r>
      <w:r w:rsidRPr="006662F5">
        <w:rPr>
          <w:i/>
          <w:iCs/>
        </w:rPr>
        <w:t>cert</w:t>
      </w:r>
      <w:r w:rsidRPr="006662F5">
        <w:t>.</w:t>
      </w:r>
      <w:r w:rsidRPr="006662F5">
        <w:rPr>
          <w:i/>
          <w:iCs/>
        </w:rPr>
        <w:t xml:space="preserve"> denied</w:t>
      </w:r>
      <w:r w:rsidRPr="006662F5">
        <w:t>, 483 U.S. 1013 (1987) (parody of L.L. Bean catalog permitted under the First Amendment).</w:t>
      </w:r>
    </w:p>
  </w:footnote>
  <w:footnote w:id="107">
    <w:p w:rsidR="00431229" w:rsidRPr="006662F5" w:rsidRDefault="00431229">
      <w:pPr>
        <w:pStyle w:val="footnote"/>
      </w:pPr>
      <w:r w:rsidRPr="006662F5">
        <w:rPr>
          <w:vertAlign w:val="superscript"/>
        </w:rPr>
        <w:footnoteRef/>
      </w:r>
      <w:r w:rsidRPr="006662F5">
        <w:t xml:space="preserve">Alabama, California, Mississippi, Oregon, and Texas, which have adopted the 2007 Model Bill, use the terms “dilution by blurring” and “dilution by tarnishment.” </w:t>
      </w:r>
      <w:r w:rsidRPr="006662F5">
        <w:rPr>
          <w:smallCaps/>
        </w:rPr>
        <w:t>Ala. Stat.</w:t>
      </w:r>
      <w:r w:rsidRPr="006662F5">
        <w:t xml:space="preserve"> §§8-12-6(2)–(4) (2010); </w:t>
      </w:r>
      <w:r w:rsidRPr="006662F5">
        <w:rPr>
          <w:smallCaps/>
        </w:rPr>
        <w:t>Cal. Bus. &amp; Prof. Code</w:t>
      </w:r>
      <w:r w:rsidRPr="006662F5">
        <w:t xml:space="preserve"> §§14202(k)–(m), 14247 (West 2008); </w:t>
      </w:r>
      <w:r w:rsidRPr="006662F5">
        <w:rPr>
          <w:smallCaps/>
        </w:rPr>
        <w:t>Miss. Code Ann</w:t>
      </w:r>
      <w:r w:rsidRPr="006662F5">
        <w:t xml:space="preserve">. §§75-25-1(k)–(m), 75-25-25 (West Supp. 2011); </w:t>
      </w:r>
      <w:r w:rsidRPr="006662F5">
        <w:rPr>
          <w:smallCaps/>
        </w:rPr>
        <w:t>Or. Rev. Stat</w:t>
      </w:r>
      <w:r w:rsidRPr="006662F5">
        <w:t xml:space="preserve">. §647.005(2) (2011); </w:t>
      </w:r>
      <w:r w:rsidRPr="006662F5">
        <w:rPr>
          <w:smallCaps/>
        </w:rPr>
        <w:t>Tex. Bus. &amp; Com. Code Ann</w:t>
      </w:r>
      <w:r w:rsidRPr="006662F5">
        <w:t>. §16.001(2)–(4) (2011).</w:t>
      </w:r>
    </w:p>
  </w:footnote>
  <w:footnote w:id="108">
    <w:p w:rsidR="00431229" w:rsidRPr="006662F5" w:rsidRDefault="00431229">
      <w:pPr>
        <w:pStyle w:val="footnote"/>
      </w:pPr>
      <w:r w:rsidRPr="006662F5">
        <w:rPr>
          <w:vertAlign w:val="superscript"/>
        </w:rPr>
        <w:footnoteRef/>
      </w:r>
      <w:r w:rsidRPr="006662F5">
        <w:t>Lanham Act §43(c)(2)(B) (definition of dilution by blurring), (c)(2)(C) (definition of dilution by tarnishment), 15 U.S.C. §1125(c)(2)(B), (c)(2)(C).</w:t>
      </w:r>
    </w:p>
  </w:footnote>
  <w:footnote w:id="109">
    <w:p w:rsidR="00431229" w:rsidRPr="006662F5" w:rsidRDefault="00431229">
      <w:pPr>
        <w:pStyle w:val="footnote"/>
      </w:pPr>
      <w:r w:rsidRPr="006662F5">
        <w:rPr>
          <w:vertAlign w:val="superscript"/>
        </w:rPr>
        <w:footnoteRef/>
      </w:r>
      <w:r w:rsidRPr="006662F5">
        <w:t xml:space="preserve">The effect of the TDRA amendments is discussed in Chapter 9, §§II.A., II.C.1., II.D., II.E. </w:t>
      </w:r>
    </w:p>
  </w:footnote>
  <w:footnote w:id="110">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New York City Triathlon LLC v. NYC Triathlon Club, Inc., 704 F. Supp. 2d 305, 323 n.5, 95 USPQ2d 1451 (S.D.N.Y. 2010); Gucci Am., Inc. v. Gucci, 2009 U.S. Dist. LEXIS 124888, at *80 (S.D.N.Y. Aug. 5, 2009).</w:t>
      </w:r>
    </w:p>
  </w:footnote>
  <w:footnote w:id="111">
    <w:p w:rsidR="00431229" w:rsidRPr="006662F5" w:rsidRDefault="00431229">
      <w:pPr>
        <w:pStyle w:val="footnote"/>
      </w:pPr>
      <w:r w:rsidRPr="006662F5">
        <w:rPr>
          <w:vertAlign w:val="superscript"/>
        </w:rPr>
        <w:footnoteRef/>
      </w:r>
      <w:r w:rsidRPr="006662F5">
        <w:rPr>
          <w:i/>
          <w:iCs/>
        </w:rPr>
        <w:t>See</w:t>
      </w:r>
      <w:r w:rsidRPr="006662F5">
        <w:t xml:space="preserve"> Schechter, </w:t>
      </w:r>
      <w:r w:rsidRPr="006662F5">
        <w:rPr>
          <w:i/>
          <w:iCs/>
        </w:rPr>
        <w:t>Rational Basis</w:t>
      </w:r>
      <w:r w:rsidRPr="006662F5">
        <w:t xml:space="preserve">, 40 </w:t>
      </w:r>
      <w:r w:rsidRPr="006662F5">
        <w:rPr>
          <w:smallCaps/>
        </w:rPr>
        <w:t>Harv. L. Rev.</w:t>
      </w:r>
      <w:r w:rsidRPr="006662F5">
        <w:t xml:space="preserve"> at 813. See discussion in Chapter 1, §II.A.</w:t>
      </w:r>
    </w:p>
  </w:footnote>
  <w:footnote w:id="112">
    <w:p w:rsidR="00431229" w:rsidRPr="006662F5" w:rsidRDefault="00431229">
      <w:pPr>
        <w:pStyle w:val="footnote"/>
      </w:pPr>
      <w:r w:rsidRPr="006662F5">
        <w:rPr>
          <w:vertAlign w:val="superscript"/>
        </w:rPr>
        <w:footnoteRef/>
      </w:r>
      <w:r w:rsidRPr="006662F5">
        <w:t>Moseley v. V Secret Catalogue, Inc., 537 U.S. 418, 433–34, 65 USPQ2d 1801 (2003).</w:t>
      </w:r>
    </w:p>
  </w:footnote>
  <w:footnote w:id="113">
    <w:p w:rsidR="00431229" w:rsidRPr="006662F5" w:rsidRDefault="00431229">
      <w:pPr>
        <w:pStyle w:val="footnote"/>
      </w:pPr>
      <w:r w:rsidRPr="006662F5">
        <w:rPr>
          <w:vertAlign w:val="superscript"/>
        </w:rPr>
        <w:footnoteRef/>
      </w:r>
      <w:r w:rsidRPr="006662F5">
        <w:rPr>
          <w:i/>
          <w:iCs/>
        </w:rPr>
        <w:t>Id</w:t>
      </w:r>
      <w:r w:rsidRPr="006662F5">
        <w:t>. at 434.</w:t>
      </w:r>
    </w:p>
  </w:footnote>
  <w:footnote w:id="114">
    <w:p w:rsidR="00431229" w:rsidRPr="006662F5" w:rsidRDefault="00431229">
      <w:pPr>
        <w:pStyle w:val="footnote"/>
      </w:pPr>
      <w:r w:rsidRPr="006662F5">
        <w:rPr>
          <w:vertAlign w:val="superscript"/>
        </w:rPr>
        <w:footnoteRef/>
      </w:r>
      <w:r w:rsidRPr="006662F5">
        <w:rPr>
          <w:i/>
          <w:iCs/>
        </w:rPr>
        <w:t>Id</w:t>
      </w:r>
      <w:r w:rsidRPr="006662F5">
        <w:t>. at 433–34.</w:t>
      </w:r>
    </w:p>
  </w:footnote>
  <w:footnote w:id="115">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w:t>
      </w:r>
      <w:r w:rsidRPr="006662F5">
        <w:rPr>
          <w:i/>
          <w:iCs/>
        </w:rPr>
        <w:t>,</w:t>
      </w:r>
      <w:r w:rsidRPr="006662F5">
        <w:t xml:space="preserve"> Edward B. Beharry &amp; Co., Ltd. v. Bedesee Imps., Inc., 95 USPQ2d 1480, 1488 (E.D.N.Y. 2010) (dismissing blurring claim under New York law while upholding possibility of tarnishment).</w:t>
      </w:r>
    </w:p>
  </w:footnote>
  <w:footnote w:id="116">
    <w:p w:rsidR="00431229" w:rsidRPr="006662F5" w:rsidRDefault="00431229">
      <w:pPr>
        <w:pStyle w:val="footnote"/>
      </w:pPr>
      <w:r w:rsidRPr="006662F5">
        <w:rPr>
          <w:vertAlign w:val="superscript"/>
        </w:rPr>
        <w:footnoteRef/>
      </w:r>
      <w:r w:rsidRPr="006662F5">
        <w:t xml:space="preserve">Lanham Act §43(c)(2)(B), 15 U.S.C. §1125(c)(2)(B). </w:t>
      </w:r>
    </w:p>
  </w:footnote>
  <w:footnote w:id="117">
    <w:p w:rsidR="00431229" w:rsidRPr="006662F5" w:rsidRDefault="00431229">
      <w:pPr>
        <w:pStyle w:val="footnote"/>
      </w:pPr>
      <w:r w:rsidRPr="006662F5">
        <w:rPr>
          <w:vertAlign w:val="superscript"/>
        </w:rPr>
        <w:footnoteRef/>
      </w:r>
      <w:r w:rsidRPr="006662F5">
        <w:t>For a discussion of the TDRA, see Chapters 6 and 9.</w:t>
      </w:r>
    </w:p>
  </w:footnote>
  <w:footnote w:id="118">
    <w:p w:rsidR="00431229" w:rsidRPr="006662F5" w:rsidRDefault="00431229">
      <w:pPr>
        <w:pStyle w:val="footnote"/>
      </w:pPr>
      <w:r w:rsidRPr="006662F5">
        <w:rPr>
          <w:vertAlign w:val="superscript"/>
        </w:rPr>
        <w:footnoteRef/>
      </w:r>
      <w:r w:rsidRPr="006662F5">
        <w:t>For additional discussion of the Model Bill revisions, see §§III.B.3.b., above, IV.A.2.a.(iii), below.</w:t>
      </w:r>
    </w:p>
  </w:footnote>
  <w:footnote w:id="119">
    <w:p w:rsidR="00431229" w:rsidRPr="006662F5" w:rsidRDefault="00431229">
      <w:pPr>
        <w:pStyle w:val="footnote"/>
      </w:pPr>
      <w:r w:rsidRPr="006662F5">
        <w:rPr>
          <w:vertAlign w:val="superscript"/>
        </w:rPr>
        <w:footnoteRef/>
      </w:r>
      <w:r w:rsidRPr="006662F5">
        <w:rPr>
          <w:smallCaps/>
        </w:rPr>
        <w:t xml:space="preserve">Ala. Stat. </w:t>
      </w:r>
      <w:r w:rsidRPr="006662F5">
        <w:t>§§8-12-6(2)–(4), 8-12-17 (2010)</w:t>
      </w:r>
      <w:r w:rsidRPr="006662F5">
        <w:rPr>
          <w:smallCaps/>
        </w:rPr>
        <w:t>; Cal. Bus. &amp; Prof. Code</w:t>
      </w:r>
      <w:r w:rsidRPr="006662F5">
        <w:t xml:space="preserve"> §§14202(k)–(m), 14247 (West 2008); </w:t>
      </w:r>
      <w:r w:rsidRPr="006662F5">
        <w:rPr>
          <w:smallCaps/>
        </w:rPr>
        <w:t>Miss. Code Ann</w:t>
      </w:r>
      <w:r w:rsidRPr="006662F5">
        <w:t xml:space="preserve">. §§75-25-1(k)–(m), 75-25-25 (West Supp. 2011); </w:t>
      </w:r>
      <w:r w:rsidRPr="006662F5">
        <w:rPr>
          <w:smallCaps/>
        </w:rPr>
        <w:t>Or. Rev. Stat.</w:t>
      </w:r>
      <w:r w:rsidRPr="006662F5">
        <w:t xml:space="preserve"> §§647.005(2), 647.107 (2011); </w:t>
      </w:r>
      <w:r w:rsidRPr="006662F5">
        <w:rPr>
          <w:smallCaps/>
          <w:spacing w:val="-3"/>
        </w:rPr>
        <w:t>Tex. Bus. &amp; Com. Code Ann</w:t>
      </w:r>
      <w:r w:rsidRPr="006662F5">
        <w:t>. §§16.001(2)–(4), 16.103 (2011).</w:t>
      </w:r>
    </w:p>
  </w:footnote>
  <w:footnote w:id="120">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McNeil Nutritionals, LLC v. Heartland Sweeteners, LLC, 512 F. Supp. 2d 217, 512 F. Supp. 2d 217, 237-38 (E.D. Pa. 2007) (Pennsylvania law requires actual dilution), </w:t>
      </w:r>
      <w:r w:rsidRPr="006662F5">
        <w:rPr>
          <w:i/>
          <w:iCs/>
        </w:rPr>
        <w:t>aff’d in part, rev’d in part on other grounds</w:t>
      </w:r>
      <w:r w:rsidRPr="006662F5">
        <w:t xml:space="preserve">, 511 F.3d 350, 85 USPQ2d 1545 (3d Cir. 2007) (the court of appeals did not discuss dilution claims); AutoZone, Inc. v. Strick, 466 F. Supp. 2d 1034, 1045 n.5, 81 USPQ2d 1516 (N.D. Ill. 2006) (Illinois law requires actual dilution), </w:t>
      </w:r>
      <w:r w:rsidRPr="006662F5">
        <w:rPr>
          <w:i/>
          <w:iCs/>
        </w:rPr>
        <w:t>rev’d on other grounds</w:t>
      </w:r>
      <w:r w:rsidRPr="006662F5">
        <w:t>, 543 F.3d 923 (7th Cir. 2008). This issue is discussed in more detail in §VI, below.</w:t>
      </w:r>
    </w:p>
  </w:footnote>
  <w:footnote w:id="121">
    <w:p w:rsidR="00431229" w:rsidRDefault="00431229" w:rsidP="00CA1D96">
      <w:pPr>
        <w:pStyle w:val="footnote"/>
      </w:pPr>
      <w:r>
        <w:rPr>
          <w:vertAlign w:val="superscript"/>
        </w:rPr>
        <w:footnoteRef/>
      </w:r>
      <w:r>
        <w:t xml:space="preserve">General Cigar Co. v. Cohiba Carribean’s Finest, Inc., 2008 WL 11388659, at *11 (D. Nev. June 30, 2008) (Nevada dilution statute requires actual dilution; court finds actual dilution by use of identical mark and circumstantial evidence). </w:t>
      </w:r>
    </w:p>
  </w:footnote>
  <w:footnote w:id="122">
    <w:p w:rsidR="00431229" w:rsidRPr="006662F5" w:rsidRDefault="00431229">
      <w:pPr>
        <w:pStyle w:val="footnote"/>
      </w:pPr>
      <w:r w:rsidRPr="006662F5">
        <w:rPr>
          <w:vertAlign w:val="superscript"/>
        </w:rPr>
        <w:footnoteRef/>
      </w:r>
      <w:r w:rsidRPr="006662F5">
        <w:t xml:space="preserve">Hormel Foods Corp. v. Jim Henson Prods., Inc., 73 F.3d 497, 506, 37 USPQ2d 1516 (2d Cir. 1996). In one case, after stating the two elements, the court dismissed a dilution claim under New York law, saying simply that “Plaintiff has proffered no such evidence.” New Sensor Corp. v. CE Dist. LLC, 303 F. Supp. 2d 304, 317 (E.D.N.Y. 2004). A similarly unhelpful listing of elements exists in cases decided under Missouri law. </w:t>
      </w:r>
      <w:r w:rsidRPr="006662F5">
        <w:rPr>
          <w:i/>
          <w:iCs/>
        </w:rPr>
        <w:t>See, e</w:t>
      </w:r>
      <w:r w:rsidRPr="006662F5">
        <w:t>.</w:t>
      </w:r>
      <w:r w:rsidRPr="006662F5">
        <w:rPr>
          <w:i/>
          <w:iCs/>
        </w:rPr>
        <w:t>g</w:t>
      </w:r>
      <w:r w:rsidRPr="006662F5">
        <w:t xml:space="preserve">., Community of Christ Copyright Corp. v. Devon Park Restoration, 683 F. Supp. 2d 1006, 1016, 94 USPQ2d 1533 (W.D. Mo. 2010) (“To prevail under the anti-dilution statute, a ‘plaintiff must show its mark or trademark was valid at common law, that its mark is distinctive, and that defendants’ use of its name created a likelihood of dilution of the distinctive quality of plaintiff’s mark.’” (citing Gilbert/Robinson, Inc. v. Carrie Beverage-Mo., Inc., 758 F. Supp. 512, 527 (E.D. Mo. 1991))), </w:t>
      </w:r>
      <w:r w:rsidRPr="006662F5">
        <w:rPr>
          <w:i/>
          <w:iCs/>
        </w:rPr>
        <w:t>aff’d</w:t>
      </w:r>
      <w:r w:rsidRPr="006662F5">
        <w:t>, 634 F.3d 1005, 98 USPQ2d 1167 (8th Cir. 2011).</w:t>
      </w:r>
    </w:p>
  </w:footnote>
  <w:footnote w:id="123">
    <w:p w:rsidR="00431229" w:rsidRPr="006662F5" w:rsidRDefault="00431229">
      <w:pPr>
        <w:pStyle w:val="footnote"/>
      </w:pPr>
      <w:r w:rsidRPr="006662F5">
        <w:rPr>
          <w:vertAlign w:val="superscript"/>
        </w:rPr>
        <w:footnoteRef/>
      </w:r>
      <w:r w:rsidRPr="006662F5">
        <w:t>See discussion of distinctiveness in Chapter 2, §I.</w:t>
      </w:r>
    </w:p>
  </w:footnote>
  <w:footnote w:id="124">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Community Fed. Sav. &amp; Loan Ass’n v. Orondorff, 678 F.2d 1034, 1035, 215 USPQ 26 (11th Cir. 1982) (finding dilution); Toho Co. v. Sears, Roebuck &amp; Co., 645 F.2d 788, 793, 210 USPQ 547 (9th Cir. 1981) (dilution not found); Jaguar Cars, Ltd. v. Skandrani, 771 F. Supp. 1178, 1185, 18 USPQ2d 1626 (S.D. Fla. 1991); General Conference Corp. of Seventh Day Adventists v. Perez, 97 F. Supp. 2d 1154, 1161 (S.D. Fla. 2000); Brown v. It’s Entm’t, Inc., 34 F. Supp. 2d 854, 859, 49 USPQ2d 1939 (E.D.N.Y. 1999); Lane Capital Mgmt., Inc. v. Lane Capital Mgmt., Inc., 15 F. Supp. 2d 389, 400 &amp; n.9 (S.D.N.Y. 1998), </w:t>
      </w:r>
      <w:r w:rsidRPr="006662F5">
        <w:rPr>
          <w:i/>
          <w:iCs/>
        </w:rPr>
        <w:t>aff’d</w:t>
      </w:r>
      <w:r w:rsidRPr="006662F5">
        <w:t xml:space="preserve">, 192 F.3d 337, 52 USPQ2d 1094 (2d Cir. 1999) (dilution not discussed on appeal); Bellsouth Corp. v. Internet Classifieds of Ohio, 1997 WL 33107251, at *23 (N.D. Ga. Nov. 12, 1997); Porsche Cars N.A., Inc. v. Manny’s Porshop, Inc., 972 F. Supp. 1128, 1132, 43 USPQ2d 1475 (N.D. Ill. 1997); Sherwood Ford, Inc. v. Ford Motor Co., 875 F. Supp. 590, 594 (E.D. Mo. 1995) (finding dilution); Georgio Beverly Hills, Inc. v. Revlon Consumer Prods. Corp., 869 F. Supp. 176, 186, 33 USPQ2d 1465 (S.D.N.Y. 1994) (no dilution found); E &amp; J Gallo Winery v. Pasatiempos Gallo, S.A., 905 F. Supp. 1403, 1416 (E.D. Cal. 1994); Gilbert/Robinson, Inc. v. Carrie Beverage-Mo., Inc., 758 F. Supp. 512, 528, 19 USPQ2d 1481 (E.D. Mo. 1991), </w:t>
      </w:r>
      <w:r w:rsidRPr="006662F5">
        <w:rPr>
          <w:i/>
          <w:iCs/>
        </w:rPr>
        <w:t>aff’d</w:t>
      </w:r>
      <w:r w:rsidRPr="006662F5">
        <w:t xml:space="preserve">, 989 F.2d 985, 26 USPQ2d 1378 (8th Cir.), </w:t>
      </w:r>
      <w:r w:rsidRPr="006662F5">
        <w:rPr>
          <w:i/>
          <w:iCs/>
        </w:rPr>
        <w:t>cert</w:t>
      </w:r>
      <w:r w:rsidRPr="006662F5">
        <w:t>.</w:t>
      </w:r>
      <w:r w:rsidRPr="006662F5">
        <w:rPr>
          <w:i/>
          <w:iCs/>
        </w:rPr>
        <w:t xml:space="preserve"> denied</w:t>
      </w:r>
      <w:r w:rsidRPr="006662F5">
        <w:t xml:space="preserve">, 510 U.S. 928 (1993); Baskin-Robbins Ice Cream Co. v. D &amp; L Ice Cream Co., 576 F. Supp. 1055, 1060, 222 USPQ 225 (E.D.N.Y. 1983); Markel v. Scovill Mfg. Co., 471 F. Supp. 1244, 1253, 204 USPQ 641 (W.D.N.Y.), </w:t>
      </w:r>
      <w:r w:rsidRPr="006662F5">
        <w:rPr>
          <w:i/>
          <w:iCs/>
        </w:rPr>
        <w:t>aff’d</w:t>
      </w:r>
      <w:r w:rsidRPr="006662F5">
        <w:t>, 610 F.2d 807 (2d Cir. 1979); Augusta Nat’l, Inc. v. Northwestern Mut. Life Ins. Co., 193 USPQ 210, 222 (S.D. Ga. 1976) (a long discussion of dilution, but with little analysis); Francis H. Leggett &amp; Co. v. Premier Packing Co., 140 F. Supp. 328, 332, 109 USPQ 215 (D. Mass. 1956); Blanding Automotive Ctr., Inc. v. Blanding Auto., Inc., 568 So. 2d 490, 492 (Fla. Dist. Ct. App. 1990) (“significant use” of a distinctive mark sufficient); Wedgwood Homes, Inc. v. Lund, 659 P.2d 377, 383, 222 USPQ 446 (Or. 1983). In one case, a court heard evidence from a marketing expert on the issue of dilution that appeared to conflate somewhat the issues of confusion and dilution. Ramsey’s Mfg. Jewelers, Inc. v. Ramsey, 924 So. 2d 1045, 1056–57 (La. Ct. App. 2006).</w:t>
      </w:r>
    </w:p>
  </w:footnote>
  <w:footnote w:id="125">
    <w:p w:rsidR="00431229" w:rsidRPr="006662F5" w:rsidRDefault="00431229">
      <w:pPr>
        <w:pStyle w:val="footnote"/>
      </w:pPr>
      <w:r w:rsidRPr="006662F5">
        <w:rPr>
          <w:vertAlign w:val="superscript"/>
        </w:rPr>
        <w:footnoteRef/>
      </w:r>
      <w:r w:rsidRPr="006662F5">
        <w:t>See discussion in §IV.C, below.</w:t>
      </w:r>
    </w:p>
  </w:footnote>
  <w:footnote w:id="126">
    <w:p w:rsidR="00431229" w:rsidRPr="006662F5" w:rsidRDefault="00431229" w:rsidP="009A6465">
      <w:pPr>
        <w:pStyle w:val="footnote"/>
      </w:pPr>
      <w:r w:rsidRPr="006662F5">
        <w:rPr>
          <w:vertAlign w:val="superscript"/>
        </w:rPr>
        <w:footnoteRef/>
      </w:r>
      <w:r w:rsidRPr="006662F5">
        <w:t xml:space="preserve">Bebe Stores, Inc. v. May Dep’t Stores Int’l, Inc., 230 F. Supp. 2d 980, 991 (E.D. Mo.) (describing dilution under Missouri law as a lesser—but not different—burden than confusion under the Lanham Act), </w:t>
      </w:r>
      <w:r w:rsidRPr="006662F5">
        <w:rPr>
          <w:i/>
          <w:iCs/>
        </w:rPr>
        <w:t>aff’d</w:t>
      </w:r>
      <w:r w:rsidRPr="006662F5">
        <w:t xml:space="preserve"> </w:t>
      </w:r>
      <w:r w:rsidRPr="006662F5">
        <w:rPr>
          <w:i/>
          <w:iCs/>
        </w:rPr>
        <w:t>in part, remanded in part</w:t>
      </w:r>
      <w:r w:rsidRPr="006662F5">
        <w:t>, 313 F.3d 1056 (8th Cir. 2002) (the court of appeals did not discuss the dilution issue).</w:t>
      </w:r>
      <w:r w:rsidRPr="00BA7350">
        <w:rPr>
          <w:rFonts w:eastAsiaTheme="minorEastAsia"/>
          <w:i/>
          <w:iCs/>
          <w:sz w:val="24"/>
          <w:szCs w:val="22"/>
        </w:rPr>
        <w:t xml:space="preserve"> </w:t>
      </w:r>
      <w:r w:rsidRPr="00BA7350">
        <w:rPr>
          <w:i/>
          <w:iCs/>
        </w:rPr>
        <w:t>See</w:t>
      </w:r>
      <w:r w:rsidRPr="00BA7350">
        <w:t xml:space="preserve"> Robinson v. Langenbach, 2019 WL 1768989, at *14</w:t>
      </w:r>
      <w:r>
        <w:t xml:space="preserve">, </w:t>
      </w:r>
      <w:r w:rsidRPr="009A6465">
        <w:t>2019 BL 145116</w:t>
      </w:r>
      <w:r w:rsidRPr="00BA7350">
        <w:t xml:space="preserve"> (Mo. Ct. App. Apr. 23, 2019) (upholding injunction ordering defendant to remove sign left by plaintiff when it moved, emphasizing that Missouri’s dilution law does not require confusion).  </w:t>
      </w:r>
      <w:r w:rsidRPr="00BA7350">
        <w:rPr>
          <w:i/>
          <w:iCs/>
        </w:rPr>
        <w:t>But cf.</w:t>
      </w:r>
      <w:r w:rsidRPr="00BA7350">
        <w:t xml:space="preserve"> O’Reilly Auto. Stores, Inc. v. Bearing Techs., Ltd., 2018 WL 6566599, at *6 (W.D. Mo. Sept. 19, 2018) (confusion would be sufficient to show dilution under Missouri law, but finding a lack of any such evidence, or any other evidence to support a dilution claim).</w:t>
      </w:r>
    </w:p>
  </w:footnote>
  <w:footnote w:id="127">
    <w:p w:rsidR="00431229" w:rsidRPr="006662F5" w:rsidRDefault="00431229">
      <w:pPr>
        <w:pStyle w:val="footnote"/>
      </w:pPr>
      <w:r w:rsidRPr="006662F5">
        <w:rPr>
          <w:vertAlign w:val="superscript"/>
        </w:rPr>
        <w:footnoteRef/>
      </w:r>
      <w:r w:rsidRPr="006662F5">
        <w:t xml:space="preserve">The required strength varies from jurisdiction to jurisdiction. Under the FTDA and many state laws, a “famous” mark is required. Other jurisdictions have lesser requirements. </w:t>
      </w:r>
      <w:r w:rsidRPr="000540A5">
        <w:rPr>
          <w:i/>
        </w:rPr>
        <w:t>See</w:t>
      </w:r>
      <w:r w:rsidRPr="006662F5">
        <w:t xml:space="preserve"> Chapter 2, §I.</w:t>
      </w:r>
    </w:p>
  </w:footnote>
  <w:footnote w:id="128">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e</w:t>
      </w:r>
      <w:r w:rsidRPr="006662F5">
        <w:t>.</w:t>
      </w:r>
      <w:r w:rsidRPr="006662F5">
        <w:rPr>
          <w:i/>
          <w:iCs/>
        </w:rPr>
        <w:t>g</w:t>
      </w:r>
      <w:r w:rsidRPr="006662F5">
        <w:t xml:space="preserve">., Tetley, Inc. v. Topps Chewing Gum, Inc., 556 F. Supp. 785, 794, 217 USPQ 1128 (E.D.N.Y. 1983) (noting that plaintiff failed to find out about defendant for seven years and defendant would only be selling its product for a short time in the future). In </w:t>
      </w:r>
      <w:r w:rsidRPr="006662F5">
        <w:rPr>
          <w:i/>
          <w:iCs/>
        </w:rPr>
        <w:t>Moseley v</w:t>
      </w:r>
      <w:r w:rsidRPr="006662F5">
        <w:t>.</w:t>
      </w:r>
      <w:r w:rsidRPr="006662F5">
        <w:rPr>
          <w:i/>
          <w:iCs/>
        </w:rPr>
        <w:t xml:space="preserve"> V Secret Catalogue, Inc</w:t>
      </w:r>
      <w:r w:rsidRPr="006662F5">
        <w:t>., 537 U.S. 418, 434, 65 USPQ2d 1801 (2003), the Supreme Court indicated that, under the FTDA (before the TDRA), it may be enough to show that the junior use is identical to the famous mark. However, some uses may not implicate the trademark function sufficiently to cause dilution. Saint Louis Univ. v. Meyer, 89 USPQ2d 1933, 1937 (E.D. Mo. 2008) (use only on forms on file with the Missouri Secretary of State not sufficient for dilution because not on goods or services). The TDRA added six nonmandatory factors to determine blurring; these were not included in the 2007 Model Bill.</w:t>
      </w:r>
    </w:p>
  </w:footnote>
  <w:footnote w:id="129">
    <w:p w:rsidR="00431229" w:rsidRPr="006662F5" w:rsidRDefault="00431229">
      <w:pPr>
        <w:pStyle w:val="footnote"/>
      </w:pPr>
      <w:r w:rsidRPr="006662F5">
        <w:rPr>
          <w:vertAlign w:val="superscript"/>
        </w:rPr>
        <w:footnoteRef/>
      </w:r>
      <w:r w:rsidRPr="006662F5">
        <w:t>Welch Allyn, Inc. v. Tyco Int’l Servs. AG, 200 F. Supp. 2d 130, 150, 63 USPQ2d 1508 (N.D.N.Y. 2002) (plaintiff’s mark known only in the field of stethoscopes and sphygmomanometers).</w:t>
      </w:r>
    </w:p>
  </w:footnote>
  <w:footnote w:id="130">
    <w:p w:rsidR="00431229" w:rsidRPr="006662F5" w:rsidRDefault="00431229">
      <w:pPr>
        <w:pStyle w:val="footnote"/>
      </w:pPr>
      <w:r w:rsidRPr="006662F5">
        <w:rPr>
          <w:vertAlign w:val="superscript"/>
        </w:rPr>
        <w:footnoteRef/>
      </w:r>
      <w:r w:rsidRPr="006662F5">
        <w:t xml:space="preserve">757 F.2d 1176, 226 USPQ 123 (11th Cir.) (interpreting Florida’s original dilution law), </w:t>
      </w:r>
      <w:r w:rsidRPr="006662F5">
        <w:rPr>
          <w:i/>
          <w:iCs/>
        </w:rPr>
        <w:t>cert</w:t>
      </w:r>
      <w:r w:rsidRPr="006662F5">
        <w:t>.</w:t>
      </w:r>
      <w:r w:rsidRPr="006662F5">
        <w:rPr>
          <w:i/>
          <w:iCs/>
        </w:rPr>
        <w:t xml:space="preserve"> denied</w:t>
      </w:r>
      <w:r w:rsidRPr="006662F5">
        <w:t>, 474 U.S. 845 (1985).</w:t>
      </w:r>
    </w:p>
  </w:footnote>
  <w:footnote w:id="131">
    <w:p w:rsidR="00431229" w:rsidRPr="006662F5" w:rsidRDefault="00431229">
      <w:pPr>
        <w:pStyle w:val="footnote"/>
      </w:pPr>
      <w:r w:rsidRPr="006662F5">
        <w:rPr>
          <w:vertAlign w:val="superscript"/>
        </w:rPr>
        <w:footnoteRef/>
      </w:r>
      <w:r w:rsidRPr="006662F5">
        <w:rPr>
          <w:i/>
          <w:iCs/>
        </w:rPr>
        <w:t>Id</w:t>
      </w:r>
      <w:r w:rsidRPr="006662F5">
        <w:t>. at 1186.</w:t>
      </w:r>
    </w:p>
  </w:footnote>
  <w:footnote w:id="132">
    <w:p w:rsidR="00431229" w:rsidRPr="006662F5" w:rsidRDefault="00431229">
      <w:pPr>
        <w:pStyle w:val="footnote"/>
      </w:pPr>
      <w:r w:rsidRPr="006662F5">
        <w:rPr>
          <w:vertAlign w:val="superscript"/>
        </w:rPr>
        <w:footnoteRef/>
      </w:r>
      <w:r w:rsidRPr="006662F5">
        <w:rPr>
          <w:i/>
          <w:iCs/>
        </w:rPr>
        <w:t>Id</w:t>
      </w:r>
      <w:r w:rsidRPr="006662F5">
        <w:t xml:space="preserve">. at 1186–87. The Florida statute has since been amended. It is now similar to the 1996 Model Bill, except that it only requires a “likelihood of dilution.” </w:t>
      </w:r>
      <w:r w:rsidRPr="006662F5">
        <w:rPr>
          <w:smallCaps/>
        </w:rPr>
        <w:t>Fla. Stat. Ann.</w:t>
      </w:r>
      <w:r w:rsidRPr="006662F5">
        <w:t xml:space="preserve"> §495.151(1) (West. Supp. 2010). Because of that “likelihood” language, this analysis may still apply to that statute.</w:t>
      </w:r>
    </w:p>
  </w:footnote>
  <w:footnote w:id="133">
    <w:p w:rsidR="00431229" w:rsidRPr="006662F5" w:rsidRDefault="00431229">
      <w:pPr>
        <w:pStyle w:val="footnote"/>
      </w:pPr>
      <w:r w:rsidRPr="006662F5">
        <w:rPr>
          <w:vertAlign w:val="superscript"/>
        </w:rPr>
        <w:footnoteRef/>
      </w:r>
      <w:r w:rsidRPr="006662F5">
        <w:t>843 F. Supp. 620, 29 USPQ2d 1941 (S.D. Cal. 1993).</w:t>
      </w:r>
    </w:p>
  </w:footnote>
  <w:footnote w:id="134">
    <w:p w:rsidR="00431229" w:rsidRPr="006662F5" w:rsidRDefault="00431229">
      <w:pPr>
        <w:pStyle w:val="footnote"/>
      </w:pPr>
      <w:r w:rsidRPr="006662F5">
        <w:rPr>
          <w:vertAlign w:val="superscript"/>
        </w:rPr>
        <w:footnoteRef/>
      </w:r>
      <w:r w:rsidRPr="006662F5">
        <w:rPr>
          <w:i/>
          <w:iCs/>
        </w:rPr>
        <w:t>Id</w:t>
      </w:r>
      <w:r w:rsidRPr="006662F5">
        <w:t xml:space="preserve">. at 624–25. The court also found confusion. </w:t>
      </w:r>
      <w:r w:rsidRPr="006662F5">
        <w:rPr>
          <w:i/>
          <w:iCs/>
        </w:rPr>
        <w:t>Id</w:t>
      </w:r>
      <w:r w:rsidRPr="006662F5">
        <w:t>. at 624.</w:t>
      </w:r>
    </w:p>
  </w:footnote>
  <w:footnote w:id="135">
    <w:p w:rsidR="00431229" w:rsidRPr="006662F5" w:rsidRDefault="00431229">
      <w:pPr>
        <w:pStyle w:val="footnote"/>
      </w:pPr>
      <w:r w:rsidRPr="006662F5">
        <w:rPr>
          <w:vertAlign w:val="superscript"/>
        </w:rPr>
        <w:footnoteRef/>
      </w:r>
      <w:r w:rsidRPr="006662F5">
        <w:rPr>
          <w:i/>
          <w:iCs/>
        </w:rPr>
        <w:t>Id</w:t>
      </w:r>
      <w:r w:rsidRPr="006662F5">
        <w:t xml:space="preserve">. at 625. The California statute has since been amended and is now like the 2007 Model Bill. </w:t>
      </w:r>
      <w:r w:rsidRPr="006662F5">
        <w:rPr>
          <w:smallCaps/>
        </w:rPr>
        <w:t>Cal. Bus. &amp; Prof. Code</w:t>
      </w:r>
      <w:r w:rsidRPr="006662F5">
        <w:t xml:space="preserve"> §§14202, 14247 (West. 2008).</w:t>
      </w:r>
    </w:p>
  </w:footnote>
  <w:footnote w:id="136">
    <w:p w:rsidR="00431229" w:rsidRPr="006662F5" w:rsidRDefault="00431229">
      <w:pPr>
        <w:pStyle w:val="footnote"/>
      </w:pPr>
      <w:r w:rsidRPr="006662F5">
        <w:rPr>
          <w:vertAlign w:val="superscript"/>
        </w:rPr>
        <w:footnoteRef/>
      </w:r>
      <w:r w:rsidRPr="006662F5">
        <w:t>509 F. Supp. 323, 210 USPQ 841 (N.D. Ill. 1981) (applying Illinois law).</w:t>
      </w:r>
    </w:p>
  </w:footnote>
  <w:footnote w:id="137">
    <w:p w:rsidR="00431229" w:rsidRPr="006662F5" w:rsidRDefault="00431229">
      <w:pPr>
        <w:pStyle w:val="footnote"/>
      </w:pPr>
      <w:r w:rsidRPr="006662F5">
        <w:rPr>
          <w:vertAlign w:val="superscript"/>
        </w:rPr>
        <w:footnoteRef/>
      </w:r>
      <w:r w:rsidRPr="006662F5">
        <w:rPr>
          <w:i/>
          <w:iCs/>
        </w:rPr>
        <w:t>Id</w:t>
      </w:r>
      <w:r w:rsidRPr="006662F5">
        <w:t>. at 332–33.</w:t>
      </w:r>
    </w:p>
  </w:footnote>
  <w:footnote w:id="138">
    <w:p w:rsidR="00431229" w:rsidRPr="006662F5" w:rsidRDefault="00431229">
      <w:pPr>
        <w:pStyle w:val="footnote"/>
      </w:pPr>
      <w:r w:rsidRPr="006662F5">
        <w:rPr>
          <w:vertAlign w:val="superscript"/>
        </w:rPr>
        <w:footnoteRef/>
      </w:r>
      <w:r w:rsidRPr="006662F5">
        <w:rPr>
          <w:i/>
          <w:iCs/>
        </w:rPr>
        <w:t>Id</w:t>
      </w:r>
      <w:r w:rsidRPr="006662F5">
        <w:t>. at 333 n.16.</w:t>
      </w:r>
    </w:p>
  </w:footnote>
  <w:footnote w:id="139">
    <w:p w:rsidR="00431229" w:rsidRPr="006662F5" w:rsidRDefault="00431229">
      <w:pPr>
        <w:pStyle w:val="footnote"/>
      </w:pPr>
      <w:r w:rsidRPr="006662F5">
        <w:rPr>
          <w:vertAlign w:val="superscript"/>
        </w:rPr>
        <w:footnoteRef/>
      </w:r>
      <w:r w:rsidRPr="006662F5">
        <w:t>855 F.2d 480, 8 USPQ2d 1072 (7th Cir. 1988) (applying Illinois law).</w:t>
      </w:r>
    </w:p>
  </w:footnote>
  <w:footnote w:id="140">
    <w:p w:rsidR="00431229" w:rsidRPr="006662F5" w:rsidRDefault="00431229">
      <w:pPr>
        <w:pStyle w:val="footnote"/>
      </w:pPr>
      <w:r w:rsidRPr="006662F5">
        <w:rPr>
          <w:vertAlign w:val="superscript"/>
        </w:rPr>
        <w:footnoteRef/>
      </w:r>
      <w:r w:rsidRPr="006662F5">
        <w:rPr>
          <w:i/>
          <w:iCs/>
        </w:rPr>
        <w:t>Id</w:t>
      </w:r>
      <w:r w:rsidRPr="006662F5">
        <w:t>. at 481.</w:t>
      </w:r>
    </w:p>
  </w:footnote>
  <w:footnote w:id="141">
    <w:p w:rsidR="00431229" w:rsidRPr="006662F5" w:rsidRDefault="00431229">
      <w:pPr>
        <w:pStyle w:val="footnote"/>
      </w:pPr>
      <w:r w:rsidRPr="006662F5">
        <w:rPr>
          <w:vertAlign w:val="superscript"/>
        </w:rPr>
        <w:footnoteRef/>
      </w:r>
      <w:r w:rsidRPr="006662F5">
        <w:rPr>
          <w:i/>
          <w:iCs/>
        </w:rPr>
        <w:t>Id</w:t>
      </w:r>
      <w:r w:rsidRPr="006662F5">
        <w:t>. at 483 (citing length of use and scope of advertising).</w:t>
      </w:r>
    </w:p>
  </w:footnote>
  <w:footnote w:id="142">
    <w:p w:rsidR="00431229" w:rsidRPr="006662F5" w:rsidRDefault="00431229">
      <w:pPr>
        <w:pStyle w:val="footnote"/>
      </w:pPr>
      <w:r w:rsidRPr="006662F5">
        <w:rPr>
          <w:vertAlign w:val="superscript"/>
        </w:rPr>
        <w:footnoteRef/>
      </w:r>
      <w:r w:rsidRPr="006662F5">
        <w:rPr>
          <w:i/>
          <w:iCs/>
        </w:rPr>
        <w:t>Id</w:t>
      </w:r>
      <w:r w:rsidRPr="006662F5">
        <w:t xml:space="preserve">. at 482. The court called the two “deceptively similar,” </w:t>
      </w:r>
      <w:r w:rsidRPr="006662F5">
        <w:rPr>
          <w:i/>
          <w:iCs/>
        </w:rPr>
        <w:t>id</w:t>
      </w:r>
      <w:r w:rsidRPr="006662F5">
        <w:t xml:space="preserve">., though it later stated that confusion was not required by the Illinois dilution statute. </w:t>
      </w:r>
      <w:r w:rsidRPr="006662F5">
        <w:rPr>
          <w:i/>
          <w:iCs/>
        </w:rPr>
        <w:t>Id</w:t>
      </w:r>
      <w:r w:rsidRPr="006662F5">
        <w:t xml:space="preserve">. at 484. The court also doubted the defendant’s good faith in adopting the mark. </w:t>
      </w:r>
      <w:r w:rsidRPr="006662F5">
        <w:rPr>
          <w:i/>
          <w:iCs/>
        </w:rPr>
        <w:t>Id</w:t>
      </w:r>
      <w:r w:rsidRPr="006662F5">
        <w:t>.</w:t>
      </w:r>
      <w:r w:rsidRPr="006662F5">
        <w:rPr>
          <w:i/>
          <w:iCs/>
        </w:rPr>
        <w:t xml:space="preserve"> </w:t>
      </w:r>
      <w:r w:rsidRPr="006662F5">
        <w:t xml:space="preserve">The current Illinois statute is patterned after the 1996 Model Bill. 765 </w:t>
      </w:r>
      <w:r w:rsidRPr="006662F5">
        <w:rPr>
          <w:smallCaps/>
        </w:rPr>
        <w:t>Ill. Comp. Stat.</w:t>
      </w:r>
      <w:r w:rsidRPr="006662F5">
        <w:t xml:space="preserve"> §§1036/5, 1036/65 (West 2009).</w:t>
      </w:r>
    </w:p>
  </w:footnote>
  <w:footnote w:id="143">
    <w:p w:rsidR="00431229" w:rsidRDefault="00431229" w:rsidP="00CA1D96">
      <w:pPr>
        <w:pStyle w:val="footnote"/>
      </w:pPr>
      <w:r>
        <w:rPr>
          <w:vertAlign w:val="superscript"/>
        </w:rPr>
        <w:footnoteRef/>
      </w:r>
      <w:r>
        <w:t xml:space="preserve">932 F. Supp. 2d 754 (N.D. Tex. 2013). </w:t>
      </w:r>
    </w:p>
  </w:footnote>
  <w:footnote w:id="144">
    <w:p w:rsidR="00431229" w:rsidRDefault="00431229" w:rsidP="00CA1D96">
      <w:pPr>
        <w:pStyle w:val="footnote"/>
      </w:pPr>
      <w:r>
        <w:rPr>
          <w:vertAlign w:val="superscript"/>
        </w:rPr>
        <w:footnoteRef/>
      </w:r>
      <w:r>
        <w:rPr>
          <w:i/>
          <w:iCs/>
        </w:rPr>
        <w:t>Id</w:t>
      </w:r>
      <w:r>
        <w:t xml:space="preserve">. at 764. </w:t>
      </w:r>
      <w:r>
        <w:rPr>
          <w:i/>
          <w:iCs/>
        </w:rPr>
        <w:t>See</w:t>
      </w:r>
      <w:r>
        <w:t xml:space="preserve"> Nguyen v. Biondo, 2012 U.S. Dist. LEXIS 188229, at *31 (S.D. Fla. June 15, 2012) (applying Florida law, citing defendant’s use of a “virtually identical mark” together with a finding that the mark was “distinct”), </w:t>
      </w:r>
      <w:r>
        <w:rPr>
          <w:i/>
          <w:iCs/>
        </w:rPr>
        <w:t>aff’d</w:t>
      </w:r>
      <w:r>
        <w:t xml:space="preserve">, 508 F. App’x 932, 109 USPQ2d 1330 (11th Cir. 2013); Board of Regents, Univ. of Tex. Sys. v. Tower Car Wash, Inc., 2012 WL 13028172, at *8 (W.D. Tex. May 17, 2012) (applying former Texas dilution law, citing little more than distinctiveness and similarity). </w:t>
      </w:r>
      <w:r>
        <w:rPr>
          <w:i/>
          <w:iCs/>
        </w:rPr>
        <w:t>See also</w:t>
      </w:r>
      <w:r>
        <w:t xml:space="preserve"> Gruma Corp. v. Mexican Rests., Inc., 497 F. App’x 392, 400 (5th Cir. 2012) (applying former Texas law, using TDRA factors, but relying largely on distinctiveness and similarity in determining that dilution by blurring existed). </w:t>
      </w:r>
    </w:p>
  </w:footnote>
  <w:footnote w:id="145">
    <w:p w:rsidR="00431229" w:rsidRDefault="00431229" w:rsidP="00BA7350">
      <w:pPr>
        <w:pStyle w:val="FootnoteText"/>
      </w:pPr>
      <w:r>
        <w:rPr>
          <w:rStyle w:val="FootnoteReference"/>
          <w:rFonts w:eastAsiaTheme="majorEastAsia"/>
        </w:rPr>
        <w:footnoteRef/>
      </w:r>
      <w:r>
        <w:t>Quincy Bioscience, LLC v. Stein, 2017 WL 10277184, at *3 (M.D. Fla. Nov. 21, 2017) (magistrate judge opinion; default judgment).</w:t>
      </w:r>
    </w:p>
  </w:footnote>
  <w:footnote w:id="146">
    <w:p w:rsidR="00431229" w:rsidRDefault="00431229">
      <w:pPr>
        <w:pStyle w:val="FootnoteText"/>
      </w:pPr>
      <w:r>
        <w:rPr>
          <w:rStyle w:val="FootnoteReference"/>
          <w:rFonts w:eastAsiaTheme="majorEastAsia"/>
        </w:rPr>
        <w:footnoteRef/>
      </w:r>
      <w:r>
        <w:t xml:space="preserve"> Creations LLC v. Easy Breezy, Inc., 2023 WL 11756887, at *3 (W.D. Mo. Oct. 26, 2023).</w:t>
      </w:r>
    </w:p>
  </w:footnote>
  <w:footnote w:id="147">
    <w:p w:rsidR="00431229" w:rsidRDefault="00431229" w:rsidP="00BA7350">
      <w:pPr>
        <w:pStyle w:val="FootnoteText"/>
      </w:pPr>
      <w:r>
        <w:rPr>
          <w:rStyle w:val="FootnoteReference"/>
          <w:rFonts w:eastAsiaTheme="majorEastAsia"/>
        </w:rPr>
        <w:footnoteRef/>
      </w:r>
      <w:r>
        <w:t>DC Comics Inc. v. Unlimited Monkey Bus., Inc., 598 F. Supp. 110, 115 (N.D. Ga. 1984).</w:t>
      </w:r>
    </w:p>
  </w:footnote>
  <w:footnote w:id="148">
    <w:p w:rsidR="00431229" w:rsidRDefault="00431229" w:rsidP="008332C3">
      <w:pPr>
        <w:pStyle w:val="footnote"/>
      </w:pPr>
      <w:r>
        <w:rPr>
          <w:vertAlign w:val="superscript"/>
        </w:rPr>
        <w:footnoteRef/>
      </w:r>
      <w:r>
        <w:t xml:space="preserve">Deckers Outdoor Corp. v. Huang, 2017 WL 1842556, at *4–5, </w:t>
      </w:r>
      <w:r w:rsidRPr="008332C3">
        <w:t>2017 BL 132326</w:t>
      </w:r>
      <w:r>
        <w:t xml:space="preserve"> (E.D.N.Y. Apr. 20, 2017). </w:t>
      </w:r>
    </w:p>
  </w:footnote>
  <w:footnote w:id="149">
    <w:p w:rsidR="00431229" w:rsidRDefault="00431229" w:rsidP="008332C3">
      <w:pPr>
        <w:pStyle w:val="footnote"/>
      </w:pPr>
      <w:r>
        <w:rPr>
          <w:vertAlign w:val="superscript"/>
        </w:rPr>
        <w:footnoteRef/>
      </w:r>
      <w:r>
        <w:t xml:space="preserve">Asia TV USA, Ltd. v. Total Cable USA, LLC, 2018 WL 1626165, at *8, </w:t>
      </w:r>
      <w:r w:rsidRPr="008332C3">
        <w:t>2018 BL 111574</w:t>
      </w:r>
      <w:r>
        <w:t xml:space="preserve"> (S.D.N.Y. Mar. 29, 2018). The court did not discuss whether “ownership” included exclusive licensees. </w:t>
      </w:r>
    </w:p>
  </w:footnote>
  <w:footnote w:id="150">
    <w:p w:rsidR="00431229" w:rsidRDefault="00431229" w:rsidP="00CA1D96">
      <w:pPr>
        <w:pStyle w:val="footnote"/>
      </w:pPr>
      <w:r>
        <w:rPr>
          <w:vertAlign w:val="superscript"/>
        </w:rPr>
        <w:footnoteRef/>
      </w:r>
      <w:r>
        <w:t xml:space="preserve">Ferring Pharm., Inc. v. Braintree Labs., Inc., 221 F. Supp. 3d 161, 169 (D. Mass. 2016). </w:t>
      </w:r>
    </w:p>
  </w:footnote>
  <w:footnote w:id="151">
    <w:p w:rsidR="00431229" w:rsidRDefault="00431229" w:rsidP="00BA7350">
      <w:pPr>
        <w:pStyle w:val="FootnoteText"/>
      </w:pPr>
      <w:r>
        <w:rPr>
          <w:rStyle w:val="FootnoteReference"/>
          <w:rFonts w:eastAsiaTheme="majorEastAsia"/>
        </w:rPr>
        <w:footnoteRef/>
      </w:r>
      <w:r>
        <w:t>830 F.3d 1242 (11</w:t>
      </w:r>
      <w:r w:rsidRPr="00826BD9">
        <w:t>th</w:t>
      </w:r>
      <w:r>
        <w:t xml:space="preserve"> Cir. 2016).</w:t>
      </w:r>
    </w:p>
  </w:footnote>
  <w:footnote w:id="152">
    <w:p w:rsidR="00431229" w:rsidRPr="00296094" w:rsidRDefault="00431229" w:rsidP="00BA7350">
      <w:pPr>
        <w:pStyle w:val="FootnoteText"/>
      </w:pPr>
      <w:r>
        <w:rPr>
          <w:rStyle w:val="FootnoteReference"/>
          <w:rFonts w:eastAsiaTheme="majorEastAsia"/>
        </w:rPr>
        <w:footnoteRef/>
      </w:r>
      <w:r>
        <w:rPr>
          <w:i/>
          <w:iCs/>
        </w:rPr>
        <w:t>Id</w:t>
      </w:r>
      <w:r>
        <w:t xml:space="preserve">. at 1267.  The court also noted a lack of evidence that the public associated the two institutions.  </w:t>
      </w:r>
      <w:r>
        <w:rPr>
          <w:i/>
          <w:iCs/>
        </w:rPr>
        <w:t>Id.</w:t>
      </w:r>
      <w:r>
        <w:t xml:space="preserve"> at 1266 (citing survey evidence) and 1267.</w:t>
      </w:r>
    </w:p>
  </w:footnote>
  <w:footnote w:id="153">
    <w:p w:rsidR="00431229" w:rsidRDefault="00431229" w:rsidP="00D93835">
      <w:pPr>
        <w:pStyle w:val="FootnoteText"/>
      </w:pPr>
      <w:r>
        <w:rPr>
          <w:rStyle w:val="FootnoteReference"/>
          <w:rFonts w:eastAsiaTheme="majorEastAsia"/>
        </w:rPr>
        <w:footnoteRef/>
      </w:r>
      <w:r>
        <w:t xml:space="preserve">2019 WL 935957, </w:t>
      </w:r>
      <w:r w:rsidRPr="00D93835">
        <w:t>2019 BL 62872</w:t>
      </w:r>
      <w:r>
        <w:t xml:space="preserve"> (S.D.N.Y. Feb. 26, 2019).</w:t>
      </w:r>
    </w:p>
  </w:footnote>
  <w:footnote w:id="154">
    <w:p w:rsidR="00431229" w:rsidRPr="00FA38C4" w:rsidRDefault="00431229" w:rsidP="00BA7350">
      <w:pPr>
        <w:pStyle w:val="FootnoteText"/>
      </w:pPr>
      <w:r>
        <w:rPr>
          <w:rStyle w:val="FootnoteReference"/>
          <w:rFonts w:eastAsiaTheme="majorEastAsia"/>
        </w:rPr>
        <w:footnoteRef/>
      </w:r>
      <w:r>
        <w:rPr>
          <w:i/>
          <w:iCs/>
        </w:rPr>
        <w:t>Id</w:t>
      </w:r>
      <w:r>
        <w:t>. at *13.</w:t>
      </w:r>
    </w:p>
  </w:footnote>
  <w:footnote w:id="155">
    <w:p w:rsidR="00431229" w:rsidRPr="00D440C2" w:rsidRDefault="00431229" w:rsidP="00D440C2">
      <w:pPr>
        <w:pStyle w:val="FootnoteText"/>
      </w:pPr>
      <w:r>
        <w:rPr>
          <w:rStyle w:val="FootnoteReference"/>
          <w:rFonts w:eastAsiaTheme="majorEastAsia"/>
        </w:rPr>
        <w:footnoteRef/>
      </w:r>
      <w:r>
        <w:t xml:space="preserve">Robinson v. Langenbach, 2019 WL 1768989, at *14, </w:t>
      </w:r>
      <w:r w:rsidRPr="00D440C2">
        <w:t>2019 BL 145116</w:t>
      </w:r>
      <w:r>
        <w:t xml:space="preserve"> (Mo. Ct. App. Apr. 23, 2019).</w:t>
      </w:r>
    </w:p>
  </w:footnote>
  <w:footnote w:id="156">
    <w:p w:rsidR="00431229" w:rsidRPr="00553480" w:rsidRDefault="00431229" w:rsidP="00BA7350">
      <w:pPr>
        <w:pStyle w:val="FootnoteText"/>
      </w:pPr>
      <w:r>
        <w:rPr>
          <w:rStyle w:val="FootnoteReference"/>
          <w:rFonts w:eastAsiaTheme="majorEastAsia"/>
        </w:rPr>
        <w:footnoteRef/>
      </w:r>
      <w:r>
        <w:rPr>
          <w:i/>
          <w:iCs/>
        </w:rPr>
        <w:t>Id</w:t>
      </w:r>
      <w:r>
        <w:t xml:space="preserve">. </w:t>
      </w:r>
    </w:p>
  </w:footnote>
  <w:footnote w:id="157">
    <w:p w:rsidR="00431229" w:rsidRPr="006662F5" w:rsidRDefault="00431229">
      <w:pPr>
        <w:pStyle w:val="footnote"/>
      </w:pPr>
      <w:r w:rsidRPr="006662F5">
        <w:rPr>
          <w:vertAlign w:val="superscript"/>
        </w:rPr>
        <w:footnoteRef/>
      </w:r>
      <w:r w:rsidRPr="006662F5">
        <w:t>739 F. Supp. 116, 15 USPQ2d 1631 (W.D.N.Y. 1989) (applying New York law).</w:t>
      </w:r>
    </w:p>
  </w:footnote>
  <w:footnote w:id="158">
    <w:p w:rsidR="00431229" w:rsidRPr="006662F5" w:rsidRDefault="00431229">
      <w:pPr>
        <w:pStyle w:val="footnote"/>
      </w:pPr>
      <w:r w:rsidRPr="006662F5">
        <w:rPr>
          <w:vertAlign w:val="superscript"/>
        </w:rPr>
        <w:footnoteRef/>
      </w:r>
      <w:r w:rsidRPr="006662F5">
        <w:rPr>
          <w:i/>
          <w:iCs/>
        </w:rPr>
        <w:t>Id</w:t>
      </w:r>
      <w:r w:rsidRPr="006662F5">
        <w:t>. at 119.</w:t>
      </w:r>
    </w:p>
  </w:footnote>
  <w:footnote w:id="159">
    <w:p w:rsidR="00431229" w:rsidRPr="006662F5" w:rsidRDefault="00431229">
      <w:pPr>
        <w:pStyle w:val="footnote"/>
      </w:pPr>
      <w:r w:rsidRPr="006662F5">
        <w:rPr>
          <w:vertAlign w:val="superscript"/>
        </w:rPr>
        <w:footnoteRef/>
      </w:r>
      <w:r w:rsidRPr="006662F5">
        <w:rPr>
          <w:i/>
          <w:iCs/>
        </w:rPr>
        <w:t>See id</w:t>
      </w:r>
      <w:r w:rsidRPr="006662F5">
        <w:t>. at 118–19.</w:t>
      </w:r>
    </w:p>
  </w:footnote>
  <w:footnote w:id="160">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Tortoise Island Homeowners Ass’n v. Tortoise Island Realty, Inc., 790 So. 2d 525, 535 (Fla. Dist. Ct. App. 2001) (emphasizing local renown and use of almost the same mark); Blaich Assocs., Inc. v. Coach/Blaich Real Estate of Manhasset, Inc., 719 N.Y.S.2d 820, 822 (Sup. Ct. Nassau Co. 2000) (emphasizing that “‘Blaich Associates’ is not a common name,” was used for 40 years, and was virtually copied by defendant); Wedgwood Homes, Inc. v. Lund, 659 P.2d 377, 383, 222 USPQ 446 (Or. 1983) (mark had significance in a particular county and defendant used an identical mark);</w:t>
      </w:r>
      <w:r w:rsidRPr="00BA7350">
        <w:rPr>
          <w:rFonts w:eastAsiaTheme="minorEastAsia"/>
          <w:i/>
          <w:iCs/>
          <w:sz w:val="24"/>
          <w:szCs w:val="22"/>
        </w:rPr>
        <w:t xml:space="preserve"> </w:t>
      </w:r>
      <w:r w:rsidRPr="00BA7350">
        <w:rPr>
          <w:i/>
          <w:iCs/>
        </w:rPr>
        <w:t>see</w:t>
      </w:r>
      <w:r w:rsidRPr="00BA7350">
        <w:t xml:space="preserve"> Van Praagh v. Gratton, 993 F. Supp. 2d 293, 305 (E.D.N.Y. 2014) (finding pleading that defendant used mostly the same mark as plaintiff for competing services sufficient to state claim under New York law, subject to proof of impact on mark’s distinctiveness); Fireman’s Ass’n of the State of N.Y. v. French Am. Sch. of N.Y., 41 A.D.3d 925, 928, 839 N.Y.S.2d 238, 242–43 (3d Dep’t 2007) (finding pleading of dilution sufficient under New York law, where both parties used acronym FASNY, despite absence of confusion)</w:t>
      </w:r>
      <w:r>
        <w:t>;</w:t>
      </w:r>
      <w:r w:rsidRPr="006662F5">
        <w:t xml:space="preserve"> </w:t>
      </w:r>
      <w:r w:rsidRPr="006662F5">
        <w:rPr>
          <w:i/>
          <w:iCs/>
        </w:rPr>
        <w:t>cf</w:t>
      </w:r>
      <w:r w:rsidRPr="006662F5">
        <w:t xml:space="preserve">. </w:t>
      </w:r>
      <w:r w:rsidRPr="00BA7350">
        <w:t>276-8 Pizza Corp. v. Free, 118 A.D.3d 591, 592–93, 988 N.Y.S.2d 609 (App. Div. 1st Dep’t 2014) (defendant had operated other John’s Pizzerias for 16 years in another location; opening a new one in Bronx would not dilute plaintiff’s mark)</w:t>
      </w:r>
      <w:r>
        <w:t xml:space="preserve">; </w:t>
      </w:r>
      <w:r w:rsidRPr="006662F5">
        <w:t xml:space="preserve">Computer Assocs. Int’l, Inc. v. AJV Compterized Data Mgmt., Inc., 889 F. Supp. 630, 639, 36 USPQ2d 1430 (E.D.N.Y. 1995) (relative weakness of mark and lack of predatory intent outweigh fact that the marks are similar). </w:t>
      </w:r>
      <w:r w:rsidRPr="006662F5">
        <w:rPr>
          <w:i/>
          <w:iCs/>
        </w:rPr>
        <w:t>But see</w:t>
      </w:r>
      <w:r w:rsidRPr="006662F5">
        <w:t xml:space="preserve"> Moore Business Forms, Inc. v. Rite Aid Corp., 1992 WL 125561, at *2 (W.D.N.Y. May 29, 1992) (distinctiveness and similarity not sufficient for dilution; court cited dissimilarity of </w:t>
      </w:r>
      <w:r w:rsidRPr="006662F5">
        <w:rPr>
          <w:i/>
          <w:iCs/>
        </w:rPr>
        <w:t>products</w:t>
      </w:r>
      <w:r w:rsidRPr="006662F5">
        <w:t xml:space="preserve"> here).</w:t>
      </w:r>
    </w:p>
  </w:footnote>
  <w:footnote w:id="161">
    <w:p w:rsidR="00431229" w:rsidRPr="006662F5" w:rsidRDefault="00431229">
      <w:pPr>
        <w:pStyle w:val="footnote"/>
      </w:pPr>
      <w:r w:rsidRPr="006662F5">
        <w:rPr>
          <w:vertAlign w:val="superscript"/>
        </w:rPr>
        <w:footnoteRef/>
      </w:r>
      <w:r w:rsidRPr="006662F5">
        <w:t>Eli Lilly &amp; Co. v. Natural Answers, Inc., 233 F.3d 456, 469, 56 USPQ2d 1942 (7th Cir. 2000). See discussion in Chapter 9, §II.D.3.</w:t>
      </w:r>
    </w:p>
  </w:footnote>
  <w:footnote w:id="162">
    <w:p w:rsidR="00431229" w:rsidRPr="006662F5" w:rsidRDefault="00431229">
      <w:pPr>
        <w:pStyle w:val="footnote"/>
      </w:pPr>
      <w:r w:rsidRPr="006662F5">
        <w:rPr>
          <w:vertAlign w:val="superscript"/>
        </w:rPr>
        <w:footnoteRef/>
      </w:r>
      <w:r w:rsidRPr="006662F5">
        <w:t xml:space="preserve">Girl Scouts of the U.S. of Am. v. Bantam Doubleday Dell Publ’g Grp., Inc., 808 F. Supp. 1112, 25 USPQ2d 1737 (S.D.N.Y. 1992) (applying New York law), </w:t>
      </w:r>
      <w:r w:rsidRPr="006662F5">
        <w:rPr>
          <w:i/>
          <w:iCs/>
        </w:rPr>
        <w:t>aff’d</w:t>
      </w:r>
      <w:r w:rsidRPr="006662F5">
        <w:t>, 996 F.2d 1477, 27 USPQ2d 1316 (2d Cir. 1993).</w:t>
      </w:r>
    </w:p>
  </w:footnote>
  <w:footnote w:id="163">
    <w:p w:rsidR="00431229" w:rsidRPr="006662F5" w:rsidRDefault="00431229">
      <w:pPr>
        <w:pStyle w:val="footnote"/>
      </w:pPr>
      <w:r w:rsidRPr="006662F5">
        <w:rPr>
          <w:vertAlign w:val="superscript"/>
        </w:rPr>
        <w:footnoteRef/>
      </w:r>
      <w:r w:rsidRPr="006662F5">
        <w:rPr>
          <w:i/>
          <w:iCs/>
        </w:rPr>
        <w:t>Id</w:t>
      </w:r>
      <w:r w:rsidRPr="006662F5">
        <w:t>. at 1131. See §V., below, discussing similarity.</w:t>
      </w:r>
    </w:p>
  </w:footnote>
  <w:footnote w:id="164">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Solar Sys. &amp; Peripherals, Inc. v. Solarcom Holdings, 44 F. App</w:t>
      </w:r>
      <w:r>
        <w:t>’</w:t>
      </w:r>
      <w:r w:rsidRPr="006662F5">
        <w:t>x. 186, 191 (9th Cir. 2002) (unpublished opinion) (applying Washington’s dilution statute); MasterCard Int’l, Inc. v. Nader 2000 Primary Comm., Inc., 70 USPQ2d 1046, 1055 (S.D.N.Y. 2004) (applying New York’s dilution statute).</w:t>
      </w:r>
    </w:p>
  </w:footnote>
  <w:footnote w:id="165">
    <w:p w:rsidR="00431229" w:rsidRPr="006662F5" w:rsidRDefault="00431229">
      <w:pPr>
        <w:pStyle w:val="footnote"/>
      </w:pPr>
      <w:r w:rsidRPr="006662F5">
        <w:rPr>
          <w:vertAlign w:val="superscript"/>
        </w:rPr>
        <w:footnoteRef/>
      </w:r>
      <w:r w:rsidRPr="006662F5">
        <w:t>Of course, such situations also ought to lead to confusion, especially where the marks are used on the same or complementary products or services. Thus, these cases do not help to separate the dilution analysis from the confusion analysis.</w:t>
      </w:r>
    </w:p>
  </w:footnote>
  <w:footnote w:id="166">
    <w:p w:rsidR="00431229" w:rsidRPr="006662F5" w:rsidRDefault="00431229">
      <w:pPr>
        <w:pStyle w:val="footnote"/>
      </w:pPr>
      <w:r w:rsidRPr="006662F5">
        <w:rPr>
          <w:vertAlign w:val="superscript"/>
        </w:rPr>
        <w:footnoteRef/>
      </w:r>
      <w:r w:rsidRPr="006662F5">
        <w:rPr>
          <w:i/>
          <w:iCs/>
        </w:rPr>
        <w:t>See</w:t>
      </w:r>
      <w:r w:rsidRPr="006662F5">
        <w:t xml:space="preserve"> Visa Int’l Serv. Ass’n v. JSL Corp., 610 F.3d 1088, 1091–92, 95 USPQ2d 1571 (9th Cir. 2010) (applying federal law).</w:t>
      </w:r>
    </w:p>
  </w:footnote>
  <w:footnote w:id="167">
    <w:p w:rsidR="00431229" w:rsidRPr="00D57EA6" w:rsidRDefault="00431229" w:rsidP="00D440C2">
      <w:pPr>
        <w:pStyle w:val="FootnoteText"/>
      </w:pPr>
      <w:r>
        <w:rPr>
          <w:rStyle w:val="FootnoteReference"/>
          <w:rFonts w:eastAsiaTheme="majorEastAsia"/>
        </w:rPr>
        <w:footnoteRef/>
      </w:r>
      <w:r>
        <w:rPr>
          <w:i/>
          <w:iCs/>
        </w:rPr>
        <w:t>See</w:t>
      </w:r>
      <w:r>
        <w:t xml:space="preserve"> Manigault v. ABC Inc., 2018 WL 5818101, at *5, </w:t>
      </w:r>
      <w:r w:rsidRPr="00D440C2">
        <w:t>2018 BL 387393</w:t>
      </w:r>
      <w:r>
        <w:t xml:space="preserve"> (S.D.N.Y. Oct. 10, 2018).</w:t>
      </w:r>
    </w:p>
  </w:footnote>
  <w:footnote w:id="168">
    <w:p w:rsidR="00431229" w:rsidRDefault="00431229" w:rsidP="00BA7350">
      <w:pPr>
        <w:pStyle w:val="FootnoteText"/>
      </w:pPr>
      <w:r>
        <w:rPr>
          <w:rStyle w:val="FootnoteReference"/>
          <w:rFonts w:eastAsiaTheme="majorEastAsia"/>
        </w:rPr>
        <w:footnoteRef/>
      </w:r>
      <w:r>
        <w:t>Jenzabar, Inc. v. Long Bow Grp., Inc., 977 N.E.2d 75, 85–90 (Mass. App. Ct. 2012).</w:t>
      </w:r>
    </w:p>
  </w:footnote>
  <w:footnote w:id="169">
    <w:p w:rsidR="00431229" w:rsidRDefault="00431229" w:rsidP="00D440C2">
      <w:pPr>
        <w:pStyle w:val="FootnoteText"/>
      </w:pPr>
      <w:r>
        <w:rPr>
          <w:rStyle w:val="FootnoteReference"/>
          <w:rFonts w:eastAsiaTheme="majorEastAsia"/>
        </w:rPr>
        <w:footnoteRef/>
      </w:r>
      <w:r>
        <w:t xml:space="preserve"> Spark Therapeutics, Inc. v. Bluebird Bio, Inc. 2022 WL 605724, at *18, </w:t>
      </w:r>
      <w:r w:rsidRPr="00D440C2">
        <w:t>2022 BL 24684</w:t>
      </w:r>
      <w:r>
        <w:t xml:space="preserve"> (D. Del. Jan. 25, 2022).</w:t>
      </w:r>
    </w:p>
  </w:footnote>
  <w:footnote w:id="170">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w:t>
      </w:r>
      <w:r w:rsidRPr="006662F5">
        <w:rPr>
          <w:i/>
          <w:iCs/>
        </w:rPr>
        <w:t xml:space="preserve"> </w:t>
      </w:r>
      <w:r w:rsidRPr="006662F5">
        <w:t>Tortoise Island Homeowners Ass’n v. Tortoise Island Realty, Inc., 790 So. 2d 525, 535 (Fla. Dist. Ct. App. 2001) (homeowners association and real estate agency that sold some homes in the development); Blaich Assocs., Inc. v. Coach/Blaich Real Estate of Manhasset, Inc., 719 N.Y.S.2d 820 (Sup. Ct. Nassau Co. 2000) (real estate brokers); Cushman v. Mutton Hollow Land Dev., Inc., 782 S.W.2d 150 (Mo. Ct. App. 1990) (commercial development and recreational vehicle resort and campground); Wedgwood Homes, Inc. v. Lund, 659 P.2d 377, 383, 222 USPQ 446 (Or. 1983) (homes and retirement apartments); Horseshoe Bay Resort Sales Co. v. Lake Lyndon B. Johnson Improvement Corp., 53 S.W.3d 799 (Tex. App. 2001) (real estate broker and real estate development company).</w:t>
      </w:r>
    </w:p>
  </w:footnote>
  <w:footnote w:id="171">
    <w:p w:rsidR="00431229" w:rsidRPr="006662F5" w:rsidRDefault="00431229" w:rsidP="004E58D1">
      <w:pPr>
        <w:pStyle w:val="footnote"/>
      </w:pPr>
      <w:r w:rsidRPr="006662F5">
        <w:rPr>
          <w:vertAlign w:val="superscript"/>
        </w:rPr>
        <w:footnoteRef/>
      </w:r>
      <w:r w:rsidRPr="006662F5">
        <w:rPr>
          <w:i/>
          <w:iCs/>
        </w:rPr>
        <w:t>E</w:t>
      </w:r>
      <w:r w:rsidRPr="006662F5">
        <w:t>.</w:t>
      </w:r>
      <w:r w:rsidRPr="006662F5">
        <w:rPr>
          <w:i/>
          <w:iCs/>
        </w:rPr>
        <w:t>g</w:t>
      </w:r>
      <w:r w:rsidRPr="006662F5">
        <w:t xml:space="preserve">., </w:t>
      </w:r>
      <w:r>
        <w:t>Hudson Furniture, Inc. v. Mizrahi, 2023 WL 6214908, at *10</w:t>
      </w:r>
      <w:r w:rsidRPr="00BA7350">
        <w:t>–</w:t>
      </w:r>
      <w:r>
        <w:t xml:space="preserve">11, </w:t>
      </w:r>
      <w:r w:rsidRPr="00D440C2">
        <w:t>2023 BL 335684</w:t>
      </w:r>
      <w:r>
        <w:t xml:space="preserve"> (S.D.N.Y. Sept. 23, 2023) (finding violation of New York dilution law); Diageo N. Amer., Inc. v. W.J. Deutsch &amp; Sons Ltd., 626 F. Supp. 3d 635, 646-47 (S.D.N.Y. 2022) (upholding jury verdict finding dilution under New York law against competitor); </w:t>
      </w:r>
      <w:r w:rsidRPr="00BA7350">
        <w:t>Buffalo Transp., Inc. v. Bezu, 2019 WL 1315268, at *4</w:t>
      </w:r>
      <w:r>
        <w:t xml:space="preserve">, </w:t>
      </w:r>
      <w:r w:rsidRPr="001166B3">
        <w:t>2019 BL 99759</w:t>
      </w:r>
      <w:r w:rsidRPr="00BA7350">
        <w:t xml:space="preserve"> (W.D.N.Y. Mar. 22, 2019) (default judgment; court specifically cites similarity of the parties’ businesses); Deckers Outdoor Corp. v. Huang, 2017 WL 1842556, at *4–5</w:t>
      </w:r>
      <w:r>
        <w:t xml:space="preserve">, </w:t>
      </w:r>
      <w:r w:rsidRPr="004E58D1">
        <w:t>2017 BL 132326</w:t>
      </w:r>
      <w:r w:rsidRPr="00BA7350">
        <w:t xml:space="preserve"> (E.D.N.Y. Apr. 20, 2017) (allegations of sale of counterfeit products sufficient to state a claim); S &amp; H Indus., Inc. v. Selander, 932 F. Supp. 2d 754, 764 (N.D. Tex. 2013) (both sides sold power tools);</w:t>
      </w:r>
      <w:r>
        <w:t xml:space="preserve"> </w:t>
      </w:r>
      <w:r w:rsidRPr="006662F5">
        <w:t xml:space="preserve">Gideon’s Int’l, Inc. v. Gideon 300 Ministries, Inc., 94 F. Supp. 2d 566 (E.D. Pa. 1999) (both sides are Christian ministries); Bank Am. Corp. v. Nation’s Bankers Mortg., Inc., 92 F. Supp. 2d 607 (S.D. Tex. 1999) (banking by both sides); Lane Capital Mgmt., Inc. v. Lane Capital Mgmt., Inc., 15 F. Supp. 2d 389 (S.D.N.Y. 1998) (both sides offer financial services), </w:t>
      </w:r>
      <w:r w:rsidRPr="006662F5">
        <w:rPr>
          <w:i/>
          <w:iCs/>
        </w:rPr>
        <w:t>aff’d</w:t>
      </w:r>
      <w:r w:rsidRPr="006662F5">
        <w:t>, 192 F.3d 337, 52 USPQ2d 1094 (2d Cir. 1999) (dilution not discussed on appeal); Lexington Mgmt. Corp. v. Lexington Capital Partners, 10 F. Supp. 2d 271, 47 USPQ2d 1558 (S.D.N.Y. 1998) (mutual fund management and retail brokerage); Porsche Cars N. Am., Inc. v. Manny’s Porshop, Inc., 972 F. Supp. 1128, 43 USPQ2d 1475 (N.D. Ill. 1997) (car distributor and car repair shop); Kraft Gen’l Foods, Inc. v. Allied Old English, Inc., 831 F. Supp. 123, 31 USPQ2d 1094 (S.D.N.Y. 1993) (both sides make barbeque sauce); Emerson Elec. Co. v. Emerson Quiet Kool Corp., 577 F. Supp. 668, 221 USPQ 782 (E.D. Mo. 1983) (electric space heaters and kerosene space heaters); Dreyfus Fund, Inc. v. Royal Bank of Can., 525 F. Supp. 1108, 213 USPQ 872 (S.D.N.Y. 1981) (mutual fund and banking services); Augusta Nat’l, Inc. v. Northwestern Mut. Life Ins. Co., 193 USPQ 210 (S.D. Ga. 1976) (Masters golf tournament and “Ladies Masters” golf tournament); Francis H. Leggett &amp; Co. v. Premier Packing Co., 140 F. Supp. 328, 109 USPQ 215 (D. Mass. 1956) (meat products sold by both parties); Blanding Auto. Ctr., Inc. v. Blanding Auto., Inc., 568 So. 2d 490 (Fla. App. 1990) (both sides do auto repair).</w:t>
      </w:r>
    </w:p>
  </w:footnote>
  <w:footnote w:id="172">
    <w:p w:rsidR="00431229" w:rsidRPr="006662F5" w:rsidRDefault="00431229">
      <w:pPr>
        <w:pStyle w:val="footnote"/>
      </w:pPr>
      <w:r w:rsidRPr="006662F5">
        <w:rPr>
          <w:vertAlign w:val="superscript"/>
        </w:rPr>
        <w:footnoteRef/>
      </w:r>
      <w:r w:rsidRPr="006662F5">
        <w:t>The details of this requirement are discussed in Chapter 2, §I.</w:t>
      </w:r>
    </w:p>
  </w:footnote>
  <w:footnote w:id="173">
    <w:p w:rsidR="00431229" w:rsidRPr="006662F5" w:rsidRDefault="00431229">
      <w:pPr>
        <w:pStyle w:val="footnote"/>
      </w:pPr>
      <w:r w:rsidRPr="006662F5">
        <w:rPr>
          <w:vertAlign w:val="superscript"/>
        </w:rPr>
        <w:footnoteRef/>
      </w:r>
      <w:r w:rsidRPr="006662F5">
        <w:t>See §V, below.</w:t>
      </w:r>
    </w:p>
  </w:footnote>
  <w:footnote w:id="174">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Starbucks Corp. v. Wolfe’s Borough Coffee, Inc., 588 F.3d 97, 114, 92 USPQ2d 1769 (2d Cir. 2009) (interpreting New York law); Hormel Foods Corp. v. Jim Henson Prods., Inc., 73 F.3d 497, 506, 37 USPQ2d 1516 (2d Cir. 1996); Mead Data Cent., Inc. v. Toyota Motor Sales, U.S.A., Inc., 875 F.3d 1026, 1029, 10 USPQ2d 1961 (2d Cir. 1989); Girl Scouts of the U.S. of Am. v. Bantam Doubleday Dell Publ’g Group, Inc., 808 F. Supp. 1112, 1131, 25 USPQ2d 1737 (S.D.N.Y. 1992), </w:t>
      </w:r>
      <w:r w:rsidRPr="006662F5">
        <w:rPr>
          <w:i/>
          <w:iCs/>
        </w:rPr>
        <w:t>aff’d</w:t>
      </w:r>
      <w:r w:rsidRPr="006662F5">
        <w:t xml:space="preserve">, 996 F.2d 1477, 27 USPQ2d 1316 (2d Cir. 1993). Although many courts still require substantial similarity under the TDRA, it is not clear whether that will change. </w:t>
      </w:r>
      <w:r w:rsidRPr="006662F5">
        <w:rPr>
          <w:i/>
          <w:iCs/>
        </w:rPr>
        <w:t>See</w:t>
      </w:r>
      <w:r w:rsidRPr="006662F5">
        <w:t xml:space="preserve"> Levi Strauss &amp; Co. v. Abercrombie &amp; Fitch Trading Co., 633 F.3d 1158, 1171–73, 97 USPQ2d 1947 (9th Cir. 2011) (substantial similarity not required under the TDRA); </w:t>
      </w:r>
      <w:r w:rsidRPr="006662F5">
        <w:rPr>
          <w:i/>
          <w:iCs/>
        </w:rPr>
        <w:t>Starbucks</w:t>
      </w:r>
      <w:r w:rsidRPr="006662F5">
        <w:t>,</w:t>
      </w:r>
      <w:r w:rsidRPr="006662F5">
        <w:rPr>
          <w:i/>
          <w:iCs/>
        </w:rPr>
        <w:t xml:space="preserve"> </w:t>
      </w:r>
      <w:r w:rsidRPr="006662F5">
        <w:t>588 F.3d at 108–09 (same). See also cases cited in Chapter 9, §§II.D.5, III.A.</w:t>
      </w:r>
    </w:p>
  </w:footnote>
  <w:footnote w:id="175">
    <w:p w:rsidR="00431229" w:rsidRPr="006662F5" w:rsidRDefault="00431229">
      <w:pPr>
        <w:pStyle w:val="footnote"/>
      </w:pPr>
      <w:r w:rsidRPr="006662F5">
        <w:rPr>
          <w:vertAlign w:val="superscript"/>
        </w:rPr>
        <w:footnoteRef/>
      </w:r>
      <w:r w:rsidRPr="006662F5">
        <w:rPr>
          <w:i/>
          <w:iCs/>
        </w:rPr>
        <w:t>See</w:t>
      </w:r>
      <w:r w:rsidRPr="006662F5">
        <w:t xml:space="preserve"> V Secret Catalogue, Inc. v. Moseley, 259 F.3d 464, 471 n.3, 59 USPQ2d 1650 (6th Cir. 2001), </w:t>
      </w:r>
      <w:r w:rsidRPr="006662F5">
        <w:rPr>
          <w:i/>
          <w:iCs/>
        </w:rPr>
        <w:t>rev’d on other grounds</w:t>
      </w:r>
      <w:r w:rsidRPr="006662F5">
        <w:t xml:space="preserve">, 537 U.S. 418, 65 USPQ2d 1801 (2003); </w:t>
      </w:r>
      <w:r w:rsidRPr="006662F5">
        <w:rPr>
          <w:i/>
          <w:iCs/>
        </w:rPr>
        <w:t>Mead Data Cent</w:t>
      </w:r>
      <w:r w:rsidRPr="006662F5">
        <w:t>., 875 F.2d at 1031.</w:t>
      </w:r>
    </w:p>
  </w:footnote>
  <w:footnote w:id="176">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Hormel Foods Corp</w:t>
      </w:r>
      <w:r w:rsidRPr="006662F5">
        <w:t>., 73 F.3d at 506.</w:t>
      </w:r>
    </w:p>
  </w:footnote>
  <w:footnote w:id="177">
    <w:p w:rsidR="00431229" w:rsidRPr="006662F5" w:rsidRDefault="00431229">
      <w:pPr>
        <w:pStyle w:val="footnote"/>
      </w:pPr>
      <w:r w:rsidRPr="006662F5">
        <w:rPr>
          <w:vertAlign w:val="superscript"/>
        </w:rPr>
        <w:footnoteRef/>
      </w:r>
      <w:r w:rsidRPr="006662F5">
        <w:rPr>
          <w:i/>
          <w:iCs/>
        </w:rPr>
        <w:t>See Mead Data Cent</w:t>
      </w:r>
      <w:r w:rsidRPr="006662F5">
        <w:t>., 875 F.2d at 1037 (Sweet, J., concurring).</w:t>
      </w:r>
    </w:p>
  </w:footnote>
  <w:footnote w:id="178">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A &amp; H Sportswear, Inc. v. Victoria’s Secret Stores, Inc., 926 F. Supp. 1233, 1265 (E.D. Pa. 1996), </w:t>
      </w:r>
      <w:r w:rsidRPr="006662F5">
        <w:rPr>
          <w:i/>
          <w:iCs/>
        </w:rPr>
        <w:t>aff’d</w:t>
      </w:r>
      <w:r w:rsidRPr="006662F5">
        <w:t>, 166 F.3d 191, 49 USPQ2d 1493 (3d Cir. 1999); Nugget Distribs. Co-op v. Mr. Nugget, Inc., 776 F. Supp. 1012, 1024, 20 USPQ2d 1263 (E.D. Pa. 1991). Pennsylvania has since changed its law to conform to the 1996 Model Bill, under which predatory intent is required only for damages.</w:t>
      </w:r>
    </w:p>
  </w:footnote>
  <w:footnote w:id="179">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W.W.W. Pharm. Co. v. Gillette Co., 984 F.2d 567, 576–77, 25 USPQ2d 1593 (2d Cir. 1993); </w:t>
      </w:r>
      <w:r w:rsidRPr="006662F5">
        <w:rPr>
          <w:i/>
          <w:iCs/>
        </w:rPr>
        <w:t>see</w:t>
      </w:r>
      <w:r w:rsidRPr="006662F5">
        <w:t xml:space="preserve"> Judith Ripka Designs, Ltd. v. Preville, 935 F. Supp. 237, 259 (S.D.N.Y. 1996).</w:t>
      </w:r>
    </w:p>
  </w:footnote>
  <w:footnote w:id="180">
    <w:p w:rsidR="00431229" w:rsidRPr="006662F5" w:rsidRDefault="00431229">
      <w:pPr>
        <w:pStyle w:val="footnote"/>
      </w:pPr>
      <w:r w:rsidRPr="006662F5">
        <w:rPr>
          <w:vertAlign w:val="superscript"/>
        </w:rPr>
        <w:footnoteRef/>
      </w:r>
      <w:r w:rsidRPr="006662F5">
        <w:t xml:space="preserve">Merriam-Webster, Inc. v. Random House, Inc., 35 F.3d 65, 73, 32 USPQ2d 1010 (2d Cir. 1994) (using predatory intent as a factor), </w:t>
      </w:r>
      <w:r w:rsidRPr="006662F5">
        <w:rPr>
          <w:i/>
          <w:iCs/>
        </w:rPr>
        <w:t>cert</w:t>
      </w:r>
      <w:r w:rsidRPr="006662F5">
        <w:t>.</w:t>
      </w:r>
      <w:r w:rsidRPr="006662F5">
        <w:rPr>
          <w:i/>
          <w:iCs/>
        </w:rPr>
        <w:t xml:space="preserve"> denied</w:t>
      </w:r>
      <w:r w:rsidRPr="006662F5">
        <w:t xml:space="preserve">, 513 U.S. 1190 (1995); Deere &amp; Co. v. MTD Prods., Inc., 41 F.3d 39, 45–46, 32 USPQ2d 1936 (2d Cir. 1994); </w:t>
      </w:r>
      <w:r w:rsidRPr="006662F5">
        <w:rPr>
          <w:i/>
          <w:iCs/>
        </w:rPr>
        <w:t>Mead Data Cent</w:t>
      </w:r>
      <w:r w:rsidRPr="006662F5">
        <w:t xml:space="preserve">., 875 F.2d at 1035 (Sweet, J., concurring) (using predatory intent as a factor); Nabisco, Inc. v. PF Brands, Inc., 50 F. Supp. 2d 188, 206–07 (S.D.N.Y.), </w:t>
      </w:r>
      <w:r w:rsidRPr="006662F5">
        <w:rPr>
          <w:i/>
          <w:iCs/>
        </w:rPr>
        <w:t>aff’d on other grounds</w:t>
      </w:r>
      <w:r w:rsidRPr="006662F5">
        <w:t>, 191 F.3d 208, 51 USPQ2d 1882 (2d Cir. 1999); Jim Beam Brands Co. v. Beamish &amp; Crawford, Ltd., 852 F. Supp. 196, 201, 31 USPQ2d 1518 (S.D.N.Y. 1994) (predatory intent as a “relevant” factor).</w:t>
      </w:r>
    </w:p>
  </w:footnote>
  <w:footnote w:id="181">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e</w:t>
      </w:r>
      <w:r w:rsidRPr="006662F5">
        <w:t>.</w:t>
      </w:r>
      <w:r w:rsidRPr="006662F5">
        <w:rPr>
          <w:i/>
          <w:iCs/>
        </w:rPr>
        <w:t>g</w:t>
      </w:r>
      <w:r w:rsidRPr="006662F5">
        <w:t>., Kraft Gen. Foods, Inc. v. Allied Old English, Inc., 831 F. Supp. 123, 134 n.10, 31 USPQ2d 1094 (S.D.N.Y. 1993) (noting the apparent confusion in Second Circuit opinions); Stern’s Miracle-Gro Prod., Inc. v. Shark Prods., Inc., 823 F. Supp. 1077, 1092 n.7, 27 USPQ2d 1267 (S.D.N.Y. 1993) (same).</w:t>
      </w:r>
    </w:p>
  </w:footnote>
  <w:footnote w:id="182">
    <w:p w:rsidR="00431229" w:rsidRPr="006662F5" w:rsidRDefault="00431229">
      <w:pPr>
        <w:pStyle w:val="footnote"/>
      </w:pPr>
      <w:r w:rsidRPr="006662F5">
        <w:rPr>
          <w:vertAlign w:val="superscript"/>
        </w:rPr>
        <w:footnoteRef/>
      </w:r>
      <w:r w:rsidRPr="006662F5">
        <w:t>234 F.3d 1262 (table), 2000 WL 1721126 (2d Cir. 2000) (unpublished opinion).</w:t>
      </w:r>
    </w:p>
  </w:footnote>
  <w:footnote w:id="183">
    <w:p w:rsidR="00431229" w:rsidRPr="006662F5" w:rsidRDefault="00431229">
      <w:pPr>
        <w:pStyle w:val="footnote"/>
      </w:pPr>
      <w:r w:rsidRPr="006662F5">
        <w:rPr>
          <w:vertAlign w:val="superscript"/>
        </w:rPr>
        <w:footnoteRef/>
      </w:r>
      <w:r w:rsidRPr="006662F5">
        <w:rPr>
          <w:i/>
          <w:iCs/>
        </w:rPr>
        <w:t>Id</w:t>
      </w:r>
      <w:r w:rsidRPr="006662F5">
        <w:t>. at *7.</w:t>
      </w:r>
    </w:p>
  </w:footnote>
  <w:footnote w:id="184">
    <w:p w:rsidR="00431229" w:rsidRPr="006662F5" w:rsidRDefault="00431229">
      <w:pPr>
        <w:pStyle w:val="footnote"/>
      </w:pPr>
      <w:r w:rsidRPr="006662F5">
        <w:rPr>
          <w:vertAlign w:val="superscript"/>
        </w:rPr>
        <w:footnoteRef/>
      </w:r>
      <w:r w:rsidRPr="006662F5">
        <w:rPr>
          <w:i/>
          <w:iCs/>
        </w:rPr>
        <w:t>Id</w:t>
      </w:r>
      <w:r w:rsidRPr="006662F5">
        <w:t>. (emphasis added).</w:t>
      </w:r>
    </w:p>
  </w:footnote>
  <w:footnote w:id="185">
    <w:p w:rsidR="00431229" w:rsidRPr="006662F5" w:rsidRDefault="00431229">
      <w:pPr>
        <w:pStyle w:val="footnote"/>
      </w:pPr>
      <w:r w:rsidRPr="006662F5">
        <w:rPr>
          <w:vertAlign w:val="superscript"/>
        </w:rPr>
        <w:footnoteRef/>
      </w:r>
      <w:r w:rsidRPr="006662F5">
        <w:t xml:space="preserve">E.T.F. Enters., Inc. v. Nina Ricci, S.A.R.L., 523 F. Supp. 1147, 1157, 213 USPQ 517 (S.D.N.Y. 1981) (New York law); </w:t>
      </w:r>
      <w:r w:rsidRPr="006662F5">
        <w:rPr>
          <w:i/>
          <w:iCs/>
        </w:rPr>
        <w:t>see</w:t>
      </w:r>
      <w:r w:rsidRPr="006662F5">
        <w:t xml:space="preserve"> Welch Allyn, Inc. v. Tyco Int’l Servs. AG, 200 F. Supp. 2d 130, 150 n.22, 63 USPQ2d 1508 (N.D.N.Y. 2002) (absence of bad faith cited as factor counting against dilution) (citing Sally Gee, Inc. v. Myra Hogan, Inc., 699 F.2d 621, 217 USPQ 658 (2d Cir. 1983)).</w:t>
      </w:r>
    </w:p>
  </w:footnote>
  <w:footnote w:id="186">
    <w:p w:rsidR="00431229" w:rsidRPr="006662F5" w:rsidRDefault="00431229">
      <w:pPr>
        <w:pStyle w:val="footnote"/>
      </w:pPr>
      <w:r w:rsidRPr="006662F5">
        <w:rPr>
          <w:vertAlign w:val="superscript"/>
        </w:rPr>
        <w:footnoteRef/>
      </w:r>
      <w:r w:rsidRPr="006662F5">
        <w:rPr>
          <w:i/>
          <w:iCs/>
        </w:rPr>
        <w:t>See E.T.F. Enters.</w:t>
      </w:r>
      <w:r w:rsidRPr="006662F5">
        <w:t>, 523 F. Supp. at 1157.</w:t>
      </w:r>
    </w:p>
  </w:footnote>
  <w:footnote w:id="187">
    <w:p w:rsidR="00431229" w:rsidRPr="00C4457D" w:rsidRDefault="00431229">
      <w:pPr>
        <w:pStyle w:val="footnote"/>
        <w:rPr>
          <w:lang w:val="es-US"/>
        </w:rPr>
      </w:pPr>
      <w:r w:rsidRPr="006662F5">
        <w:rPr>
          <w:vertAlign w:val="superscript"/>
        </w:rPr>
        <w:footnoteRef/>
      </w:r>
      <w:r w:rsidRPr="00C4457D">
        <w:rPr>
          <w:lang w:val="es-US"/>
        </w:rPr>
        <w:t>41 F.3d 39, 32 USPQ2d 1936 (2d Cir. 1994).</w:t>
      </w:r>
    </w:p>
  </w:footnote>
  <w:footnote w:id="188">
    <w:p w:rsidR="00431229" w:rsidRPr="006662F5" w:rsidRDefault="00431229">
      <w:pPr>
        <w:pStyle w:val="footnote"/>
      </w:pPr>
      <w:r w:rsidRPr="006662F5">
        <w:rPr>
          <w:vertAlign w:val="superscript"/>
        </w:rPr>
        <w:footnoteRef/>
      </w:r>
      <w:r w:rsidRPr="006662F5">
        <w:rPr>
          <w:i/>
          <w:iCs/>
        </w:rPr>
        <w:t>Id</w:t>
      </w:r>
      <w:r w:rsidRPr="006662F5">
        <w:t xml:space="preserve">. at 44; </w:t>
      </w:r>
      <w:r w:rsidRPr="006662F5">
        <w:rPr>
          <w:i/>
          <w:iCs/>
        </w:rPr>
        <w:t>see also</w:t>
      </w:r>
      <w:r w:rsidRPr="006662F5">
        <w:t xml:space="preserve"> Quill Natural Spring Water, Ltd. v. Quill Corp., 1994 WL 559237, at *14 (N.D. Ill. Oct. 7, 1994) (noting the need to balance equities if the mark owner “is not to be awarded a monopoly over the use of its mark for any purpose whatsoever”).</w:t>
      </w:r>
    </w:p>
  </w:footnote>
  <w:footnote w:id="189">
    <w:p w:rsidR="00431229" w:rsidRPr="006662F5" w:rsidRDefault="00431229">
      <w:pPr>
        <w:pStyle w:val="footnote"/>
      </w:pPr>
      <w:r w:rsidRPr="006662F5">
        <w:rPr>
          <w:vertAlign w:val="superscript"/>
        </w:rPr>
        <w:footnoteRef/>
      </w:r>
      <w:r w:rsidRPr="006662F5">
        <w:t>Lanham Act §43(c)(2)(B)(i)–(vi), 15 U.S.C. §1125(c)(2)(B)(i)–(vi).</w:t>
      </w:r>
    </w:p>
  </w:footnote>
  <w:footnote w:id="190">
    <w:p w:rsidR="00431229" w:rsidRPr="006662F5" w:rsidRDefault="00431229">
      <w:pPr>
        <w:pStyle w:val="footnote"/>
      </w:pPr>
      <w:r w:rsidRPr="006662F5">
        <w:rPr>
          <w:vertAlign w:val="superscript"/>
        </w:rPr>
        <w:footnoteRef/>
      </w:r>
      <w:r w:rsidRPr="006662F5">
        <w:t>The 2007 Model Bill, which adopted most of the TDRA revisions, did not include the six factors. See</w:t>
      </w:r>
      <w:r w:rsidRPr="006662F5">
        <w:rPr>
          <w:i/>
          <w:iCs/>
        </w:rPr>
        <w:t xml:space="preserve"> </w:t>
      </w:r>
      <w:r w:rsidRPr="006662F5">
        <w:t xml:space="preserve">§IV.A.2.a.(iii), below. In </w:t>
      </w:r>
      <w:r w:rsidRPr="006662F5">
        <w:rPr>
          <w:i/>
          <w:iCs/>
        </w:rPr>
        <w:t>Dallas Cowboys Football Club, Ltd</w:t>
      </w:r>
      <w:r w:rsidRPr="006662F5">
        <w:t>.</w:t>
      </w:r>
      <w:r w:rsidRPr="006662F5">
        <w:rPr>
          <w:i/>
          <w:iCs/>
        </w:rPr>
        <w:t xml:space="preserve"> v</w:t>
      </w:r>
      <w:r w:rsidRPr="006662F5">
        <w:t>.</w:t>
      </w:r>
      <w:r w:rsidRPr="006662F5">
        <w:rPr>
          <w:i/>
          <w:iCs/>
        </w:rPr>
        <w:t xml:space="preserve"> America’s Team Properties, Inc</w:t>
      </w:r>
      <w:r w:rsidRPr="006662F5">
        <w:t>., 616 F. Supp. 2d 622, 643 (N.D. Tex. 2009), the court combined the analysis of federal and state dilution—despite the fact that Texas law at that time did not mirror the TDRA—and merely stated that it had “consider[ed] the relevant factors of blurring,” including the degree of similarity and defendant’s intent to create an association with plaintiff’s mark.</w:t>
      </w:r>
    </w:p>
  </w:footnote>
  <w:footnote w:id="191">
    <w:p w:rsidR="00431229" w:rsidRPr="006662F5" w:rsidRDefault="00431229">
      <w:pPr>
        <w:pStyle w:val="footnote"/>
      </w:pPr>
      <w:r w:rsidRPr="006662F5">
        <w:rPr>
          <w:vertAlign w:val="superscript"/>
        </w:rPr>
        <w:footnoteRef/>
      </w:r>
      <w:r w:rsidRPr="00C4457D">
        <w:rPr>
          <w:lang w:val="es-US"/>
        </w:rPr>
        <w:t xml:space="preserve">875 F.2d 1026, 10 USPQ2d 1961 (2d Cir. 1989). </w:t>
      </w:r>
      <w:r w:rsidRPr="006662F5">
        <w:t xml:space="preserve">The majority in </w:t>
      </w:r>
      <w:r w:rsidRPr="006662F5">
        <w:rPr>
          <w:i/>
          <w:iCs/>
        </w:rPr>
        <w:t>Mead Data</w:t>
      </w:r>
      <w:r w:rsidRPr="006662F5">
        <w:t xml:space="preserve"> determined that the marks were not similar and that the plaintiff’s Lexis mark was distinctive only in a limited market. </w:t>
      </w:r>
      <w:r w:rsidRPr="006662F5">
        <w:rPr>
          <w:i/>
          <w:iCs/>
        </w:rPr>
        <w:t>Id</w:t>
      </w:r>
      <w:r w:rsidRPr="006662F5">
        <w:t>. at 1031.</w:t>
      </w:r>
    </w:p>
  </w:footnote>
  <w:footnote w:id="192">
    <w:p w:rsidR="00431229" w:rsidRPr="006662F5" w:rsidRDefault="00431229">
      <w:pPr>
        <w:pStyle w:val="footnote"/>
      </w:pPr>
      <w:r w:rsidRPr="006662F5">
        <w:rPr>
          <w:vertAlign w:val="superscript"/>
        </w:rPr>
        <w:footnoteRef/>
      </w:r>
      <w:r w:rsidRPr="006662F5">
        <w:rPr>
          <w:i/>
          <w:iCs/>
        </w:rPr>
        <w:t>Id</w:t>
      </w:r>
      <w:r w:rsidRPr="006662F5">
        <w:t xml:space="preserve">. at 1035 (Sweet, J., concurring) (citing Polaroid Corp. v. Polarad Elecs. Corp., 287 F.2d 492, 495, 128 USPQ 411 (2d Cir.), </w:t>
      </w:r>
      <w:r w:rsidRPr="006662F5">
        <w:rPr>
          <w:i/>
          <w:iCs/>
        </w:rPr>
        <w:t>cert</w:t>
      </w:r>
      <w:r w:rsidRPr="006662F5">
        <w:t>.</w:t>
      </w:r>
      <w:r w:rsidRPr="006662F5">
        <w:rPr>
          <w:i/>
          <w:iCs/>
        </w:rPr>
        <w:t xml:space="preserve"> denied</w:t>
      </w:r>
      <w:r w:rsidRPr="006662F5">
        <w:t>, 368 U.S. 820 (1961)).</w:t>
      </w:r>
    </w:p>
  </w:footnote>
  <w:footnote w:id="193">
    <w:p w:rsidR="00431229" w:rsidRPr="006662F5" w:rsidRDefault="00431229">
      <w:pPr>
        <w:pStyle w:val="footnote"/>
      </w:pPr>
      <w:r w:rsidRPr="006662F5">
        <w:rPr>
          <w:vertAlign w:val="superscript"/>
        </w:rPr>
        <w:footnoteRef/>
      </w:r>
      <w:r w:rsidRPr="006662F5">
        <w:rPr>
          <w:i/>
          <w:iCs/>
        </w:rPr>
        <w:t>Id</w:t>
      </w:r>
      <w:r w:rsidRPr="006662F5">
        <w:t>.</w:t>
      </w:r>
    </w:p>
  </w:footnote>
  <w:footnote w:id="194">
    <w:p w:rsidR="00431229" w:rsidRPr="006662F5" w:rsidRDefault="00431229">
      <w:pPr>
        <w:pStyle w:val="footnote"/>
      </w:pPr>
      <w:r w:rsidRPr="006662F5">
        <w:rPr>
          <w:vertAlign w:val="superscript"/>
        </w:rPr>
        <w:footnoteRef/>
      </w:r>
      <w:r w:rsidRPr="006662F5">
        <w:t xml:space="preserve">A small sampling of the cases: Times Mirror Magazines, Inc. v. Las Vegas Sports News, LLC, 212 F.3d 157, 168–69, 54 USPQ2d 1577 (3d Cir. 2000), </w:t>
      </w:r>
      <w:r w:rsidRPr="006662F5">
        <w:rPr>
          <w:i/>
          <w:iCs/>
        </w:rPr>
        <w:t>cert</w:t>
      </w:r>
      <w:r w:rsidRPr="006662F5">
        <w:t>.</w:t>
      </w:r>
      <w:r w:rsidRPr="006662F5">
        <w:rPr>
          <w:i/>
          <w:iCs/>
        </w:rPr>
        <w:t xml:space="preserve"> denied</w:t>
      </w:r>
      <w:r w:rsidRPr="006662F5">
        <w:t xml:space="preserve">, 531 U.S. 1071 (2001); Sports Auth., Inc. v. Prime Hospitality Corp., 89 F.3d 955, 966, 39 USPQ2d 1511 (2d Cir. 1996); Landscape Forms, Inc. v. Columbia Cascade Co., 117 F. Supp. 2d 360, 370, 56 USPQ2d 1613 (S.D.N.Y. 2000); Paco Sport, Ltd. v. Paco Rabanne Parfums, 86 F. Supp. 2d 305, 329–30, 54 USPQ2d 1205 (S.D.N.Y.), </w:t>
      </w:r>
      <w:r w:rsidRPr="006662F5">
        <w:rPr>
          <w:i/>
          <w:iCs/>
        </w:rPr>
        <w:t>aff’d</w:t>
      </w:r>
      <w:r w:rsidRPr="006662F5">
        <w:t>, 234 F.3d 1262, 2000 WL 1721126 (2d Cir. 2000) (unpublished opinion); Conopco, Inc. v. Cosmair, Inc., 49 F. Supp. 2d 242, 258 n.23 (S.D.N.Y. 1999); Gideons Int’l, Inc. v. Gideon 300 Ministries, Inc., 94 F. Supp. 2d 566, 588 (E.D. Pa. 1999); Computer Assocs. Int’l, Inc. v. AJV Computerized Data Mgmt., Inc., 889 F. Supp. 630, 639, 36 USPQ2d 1430 (E.D.N.Y. 1995).</w:t>
      </w:r>
    </w:p>
  </w:footnote>
  <w:footnote w:id="195">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V Secret Catalogue, Inc. v. Moseley, 259 F.3d 464, 473 n.5, 59 USPQ2d 1650 (6th Cir. 2001) (stating that Judge Sweet’s test “is of only marginal relevance to FTDA analysis, and has been largely discredited by courts in interpreting the federal Act”), </w:t>
      </w:r>
      <w:r w:rsidRPr="006662F5">
        <w:rPr>
          <w:i/>
          <w:iCs/>
        </w:rPr>
        <w:t>rev’d on other grounds</w:t>
      </w:r>
      <w:r w:rsidRPr="006662F5">
        <w:t xml:space="preserve">, 537 U.S. 418, 65 USPQ2d 1801 (2003); Ringling Bros.-Barnum &amp; Bailey Combined Shows, Inc. v. Utah Div. of Travel Dev., 170 F.3d 449, 463–64, 50 USPQ2d 1065 (4th Cir.) (criticizing the test as inappropriate for FTDA cases), </w:t>
      </w:r>
      <w:r w:rsidRPr="006662F5">
        <w:rPr>
          <w:i/>
          <w:iCs/>
        </w:rPr>
        <w:t>cert</w:t>
      </w:r>
      <w:r w:rsidRPr="006662F5">
        <w:t>.</w:t>
      </w:r>
      <w:r w:rsidRPr="006662F5">
        <w:rPr>
          <w:i/>
          <w:iCs/>
        </w:rPr>
        <w:t xml:space="preserve"> denied</w:t>
      </w:r>
      <w:r w:rsidRPr="006662F5">
        <w:t xml:space="preserve">, 528 U.S. 923 (1999); I.P. Lund Trading ApS v. Kohler Co., 163 F.3d 27, 49–50, 49 USPQ2d 1225 (1st Cir. 1998) (citing and agreeing with criticism); Robert N. Klieger, </w:t>
      </w:r>
      <w:r w:rsidRPr="006662F5">
        <w:rPr>
          <w:i/>
          <w:iCs/>
        </w:rPr>
        <w:t>Trademark Dilution: The Whittling Away of the Rational Basis for Trademark Protection</w:t>
      </w:r>
      <w:r w:rsidRPr="006662F5">
        <w:t xml:space="preserve">, 58 </w:t>
      </w:r>
      <w:r w:rsidRPr="006662F5">
        <w:rPr>
          <w:smallCaps/>
        </w:rPr>
        <w:t>U. Pitt. L. Rev.</w:t>
      </w:r>
      <w:r w:rsidRPr="006662F5">
        <w:t xml:space="preserve"> 789, 826–27 (1997); Kenneth L. Port, </w:t>
      </w:r>
      <w:r w:rsidRPr="006662F5">
        <w:rPr>
          <w:i/>
          <w:iCs/>
        </w:rPr>
        <w:t>The “Unnatural” Expansion of Trademark Rights: Is a Federal Dilution Statute Necessary?</w:t>
      </w:r>
      <w:r w:rsidRPr="006662F5">
        <w:t xml:space="preserve">, 18 </w:t>
      </w:r>
      <w:r w:rsidRPr="006662F5">
        <w:rPr>
          <w:smallCaps/>
        </w:rPr>
        <w:t>Seton Hall Legis. J.</w:t>
      </w:r>
      <w:r w:rsidRPr="006662F5">
        <w:t xml:space="preserve"> 433, 455–57 (1994); </w:t>
      </w:r>
      <w:r w:rsidRPr="006662F5">
        <w:rPr>
          <w:i/>
          <w:iCs/>
        </w:rPr>
        <w:t>see also Times Mirror Magazines, Inc</w:t>
      </w:r>
      <w:r w:rsidRPr="006662F5">
        <w:t>., 212 F.3d at 179 n.11 (Barry, J., dissenting) (stating that the Third Circuit was the only circuit not to criticize or reject some or all of the Sweet factors).</w:t>
      </w:r>
    </w:p>
  </w:footnote>
  <w:footnote w:id="196">
    <w:p w:rsidR="00431229" w:rsidRPr="006662F5" w:rsidRDefault="00431229">
      <w:pPr>
        <w:pStyle w:val="footnote"/>
      </w:pPr>
      <w:r w:rsidRPr="006662F5">
        <w:rPr>
          <w:vertAlign w:val="superscript"/>
        </w:rPr>
        <w:footnoteRef/>
      </w:r>
      <w:r w:rsidRPr="006662F5">
        <w:rPr>
          <w:i/>
          <w:iCs/>
        </w:rPr>
        <w:t>See</w:t>
      </w:r>
      <w:r w:rsidRPr="006662F5">
        <w:t xml:space="preserve"> Nabisco, Inc. v. PF Brands, Inc., 191 F.3d 208, 227 n.8, 51 USPQ2d 1882 (2d Cir. 1999) (citing several cases in which only some, or none, of the factors were used).</w:t>
      </w:r>
    </w:p>
  </w:footnote>
  <w:footnote w:id="197">
    <w:p w:rsidR="00431229" w:rsidRPr="006662F5" w:rsidRDefault="00431229" w:rsidP="00651336">
      <w:pPr>
        <w:pStyle w:val="footnote"/>
      </w:pPr>
      <w:r w:rsidRPr="006662F5">
        <w:rPr>
          <w:vertAlign w:val="superscript"/>
        </w:rPr>
        <w:footnoteRef/>
      </w:r>
      <w:r w:rsidRPr="006662F5">
        <w:t xml:space="preserve">Starbucks Corp. v. Wolfe’s Borough Coffee, Inc., 588 F.3d 97, 114, 92 USPQ2d 1769 (2d Cir. 2009); </w:t>
      </w:r>
      <w:r w:rsidRPr="006662F5">
        <w:rPr>
          <w:i/>
          <w:iCs/>
        </w:rPr>
        <w:t>see</w:t>
      </w:r>
      <w:r w:rsidRPr="006662F5">
        <w:t xml:space="preserve"> LaPine v. Seinfeld, </w:t>
      </w:r>
      <w:r w:rsidRPr="006662F5">
        <w:rPr>
          <w:spacing w:val="-4"/>
        </w:rPr>
        <w:t>375 F. App</w:t>
      </w:r>
      <w:r>
        <w:rPr>
          <w:spacing w:val="-4"/>
        </w:rPr>
        <w:t>’</w:t>
      </w:r>
      <w:r w:rsidRPr="006662F5">
        <w:rPr>
          <w:spacing w:val="-4"/>
        </w:rPr>
        <w:t>x. 81, 85, 96 USPQ2d 1130 (2d Cir. 2010) (unpublished opinion) (“</w:t>
      </w:r>
      <w:r w:rsidRPr="006662F5">
        <w:t xml:space="preserve">To determine the likelihood of dilution by blurring [under New York law], courts consider six factors similar to the </w:t>
      </w:r>
      <w:r w:rsidRPr="006662F5">
        <w:rPr>
          <w:i/>
          <w:iCs/>
        </w:rPr>
        <w:t>Polaroid</w:t>
      </w:r>
      <w:r w:rsidRPr="006662F5">
        <w:t xml:space="preserve"> factors [used to determine confusion].”); </w:t>
      </w:r>
      <w:r>
        <w:t xml:space="preserve">Cheddar Bob’s Inc. v. Macsnmelts Mgmt. Co., LLC, 2020 WL 1323018, at *13, </w:t>
      </w:r>
      <w:r w:rsidRPr="00651336">
        <w:t>2020 BL 108943</w:t>
      </w:r>
      <w:r>
        <w:t xml:space="preserve"> (E.D.N.Y. Jan. 14, 2020) (citing the factors); </w:t>
      </w:r>
      <w:r w:rsidRPr="00BA7350">
        <w:t xml:space="preserve">Gucci Am., Inc. v. Guess?, Inc., 868 F. Supp. 2d 207, 241–42 (S.D.N.Y. 2012) (citing the </w:t>
      </w:r>
      <w:r w:rsidRPr="00BA7350">
        <w:rPr>
          <w:i/>
          <w:iCs/>
        </w:rPr>
        <w:t>Mead Data</w:t>
      </w:r>
      <w:r w:rsidRPr="00BA7350">
        <w:t xml:space="preserve"> factors);</w:t>
      </w:r>
      <w:r>
        <w:t xml:space="preserve"> </w:t>
      </w:r>
      <w:r w:rsidRPr="006662F5">
        <w:t>Louis Vuitton Malletier, S.A. v. Hyundai Motor Am., 2012 U.S. Dist. LEXIS 42795, at *44 (Mar. 22, 2012) (same).</w:t>
      </w:r>
    </w:p>
  </w:footnote>
  <w:footnote w:id="198">
    <w:p w:rsidR="00431229" w:rsidRPr="006662F5" w:rsidRDefault="00431229">
      <w:pPr>
        <w:pStyle w:val="footnote"/>
      </w:pPr>
      <w:r w:rsidRPr="006662F5">
        <w:rPr>
          <w:vertAlign w:val="superscript"/>
        </w:rPr>
        <w:footnoteRef/>
      </w:r>
      <w:r w:rsidRPr="006662F5">
        <w:rPr>
          <w:i/>
          <w:iCs/>
        </w:rPr>
        <w:t>See I</w:t>
      </w:r>
      <w:r w:rsidRPr="006662F5">
        <w:t>.</w:t>
      </w:r>
      <w:r w:rsidRPr="006662F5">
        <w:rPr>
          <w:i/>
          <w:iCs/>
        </w:rPr>
        <w:t>P</w:t>
      </w:r>
      <w:r w:rsidRPr="006662F5">
        <w:t>.</w:t>
      </w:r>
      <w:r w:rsidRPr="006662F5">
        <w:rPr>
          <w:i/>
          <w:iCs/>
        </w:rPr>
        <w:t xml:space="preserve"> Lund Trading ApS</w:t>
      </w:r>
      <w:r w:rsidRPr="006662F5">
        <w:t xml:space="preserve">, 163 F.3d at 49; Klieger, </w:t>
      </w:r>
      <w:r w:rsidRPr="006662F5">
        <w:rPr>
          <w:i/>
          <w:iCs/>
        </w:rPr>
        <w:t>Trademark Dilution</w:t>
      </w:r>
      <w:r w:rsidRPr="006662F5">
        <w:t xml:space="preserve">, 58 </w:t>
      </w:r>
      <w:r w:rsidRPr="006662F5">
        <w:rPr>
          <w:smallCaps/>
        </w:rPr>
        <w:t>U. Pitt. L. Rev.</w:t>
      </w:r>
      <w:r w:rsidRPr="006662F5">
        <w:t xml:space="preserve"> at 826–27; </w:t>
      </w:r>
      <w:r w:rsidRPr="006662F5">
        <w:rPr>
          <w:i/>
          <w:iCs/>
        </w:rPr>
        <w:t>see also V Secret Catalogue, Inc</w:t>
      </w:r>
      <w:r w:rsidRPr="006662F5">
        <w:t>., 259 F.3d at 468 (6th Cir. 2001) (noting that many courts have used tests that “seemed to blur the distinction between proving likelihood of confusion . . . and proving trademark dilution”).</w:t>
      </w:r>
    </w:p>
  </w:footnote>
  <w:footnote w:id="199">
    <w:p w:rsidR="00431229" w:rsidRPr="00C4457D" w:rsidRDefault="00431229">
      <w:pPr>
        <w:pStyle w:val="footnote"/>
        <w:rPr>
          <w:lang w:val="da-DK"/>
        </w:rPr>
      </w:pPr>
      <w:r w:rsidRPr="006662F5">
        <w:rPr>
          <w:vertAlign w:val="superscript"/>
        </w:rPr>
        <w:footnoteRef/>
      </w:r>
      <w:r w:rsidRPr="00C4457D">
        <w:rPr>
          <w:lang w:val="da-DK"/>
        </w:rPr>
        <w:t xml:space="preserve">Schechter, </w:t>
      </w:r>
      <w:r w:rsidRPr="00C4457D">
        <w:rPr>
          <w:i/>
          <w:iCs/>
          <w:lang w:val="da-DK"/>
        </w:rPr>
        <w:t>Rational Basis</w:t>
      </w:r>
      <w:r w:rsidRPr="00C4457D">
        <w:rPr>
          <w:lang w:val="da-DK"/>
        </w:rPr>
        <w:t xml:space="preserve">, 40 </w:t>
      </w:r>
      <w:r w:rsidRPr="00C4457D">
        <w:rPr>
          <w:smallCaps/>
          <w:lang w:val="da-DK"/>
        </w:rPr>
        <w:t>Harv. L. Rev.</w:t>
      </w:r>
      <w:r w:rsidRPr="00C4457D">
        <w:rPr>
          <w:i/>
          <w:iCs/>
          <w:lang w:val="da-DK"/>
        </w:rPr>
        <w:t xml:space="preserve"> </w:t>
      </w:r>
      <w:r w:rsidRPr="00C4457D">
        <w:rPr>
          <w:lang w:val="da-DK"/>
        </w:rPr>
        <w:t>at 821–24.</w:t>
      </w:r>
    </w:p>
  </w:footnote>
  <w:footnote w:id="200">
    <w:p w:rsidR="00431229" w:rsidRPr="006662F5" w:rsidRDefault="00431229">
      <w:pPr>
        <w:pStyle w:val="footnote"/>
      </w:pPr>
      <w:r w:rsidRPr="006662F5">
        <w:rPr>
          <w:vertAlign w:val="superscript"/>
        </w:rPr>
        <w:footnoteRef/>
      </w:r>
      <w:r w:rsidRPr="000540A5">
        <w:rPr>
          <w:i/>
        </w:rPr>
        <w:t>See</w:t>
      </w:r>
      <w:r w:rsidRPr="006662F5">
        <w:t xml:space="preserve"> Chapter 2, §II.A.</w:t>
      </w:r>
    </w:p>
  </w:footnote>
  <w:footnote w:id="201">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e</w:t>
      </w:r>
      <w:r w:rsidRPr="006662F5">
        <w:t>.</w:t>
      </w:r>
      <w:r w:rsidRPr="006662F5">
        <w:rPr>
          <w:i/>
          <w:iCs/>
        </w:rPr>
        <w:t>g</w:t>
      </w:r>
      <w:r w:rsidRPr="006662F5">
        <w:t xml:space="preserve">., Sports Auth., Inc. v. Prime Hospitality Corp., 89 F.3d 955, 966, 39 USPQ2d 1511 (2d Cir. 1996) (since products were not similar, this counted against a finding of dilution); </w:t>
      </w:r>
      <w:r w:rsidRPr="006662F5">
        <w:rPr>
          <w:i/>
          <w:iCs/>
        </w:rPr>
        <w:t>see also</w:t>
      </w:r>
      <w:r w:rsidRPr="006662F5">
        <w:t xml:space="preserve"> Jim Beam Brands Co. v. Beamish &amp; Crawford, Ltd., 852 F. Supp. 196, 201, 31 USPQ2d 1518 (S.D.N.Y. 1994) (though not citing Sweet factors, court cited distinctions in the products as weighing against dilution); </w:t>
      </w:r>
      <w:r w:rsidRPr="006662F5">
        <w:rPr>
          <w:i/>
          <w:iCs/>
        </w:rPr>
        <w:t>cf</w:t>
      </w:r>
      <w:r w:rsidRPr="006662F5">
        <w:t>. Soloflex, Inc. v. NordicTrack, Inc., 31 USPQ2d 1721, 1731–32 (D. Or. 1994) (Oregon dilution law not applicable to uses on similar products).</w:t>
      </w:r>
    </w:p>
  </w:footnote>
  <w:footnote w:id="202">
    <w:p w:rsidR="00431229" w:rsidRPr="006662F5" w:rsidRDefault="00431229">
      <w:pPr>
        <w:pStyle w:val="footnote"/>
      </w:pPr>
      <w:r w:rsidRPr="006662F5">
        <w:rPr>
          <w:vertAlign w:val="superscript"/>
        </w:rPr>
        <w:footnoteRef/>
      </w:r>
      <w:r w:rsidRPr="006662F5">
        <w:t>“Reverse confusion” refers to the situation in which a junior user becomes better known than the senior user, causing consumers to believe that the senior user’s goods come from the junior user and that the senior user is the infringer. A &amp; H Sportswear, Inc. v. Victoria’s Secret Stores, Inc., 237 F.3d 198, 227–28, 57 USPQ2d 1097 (3d Cir. 2000).</w:t>
      </w:r>
    </w:p>
  </w:footnote>
  <w:footnote w:id="203">
    <w:p w:rsidR="00431229" w:rsidRPr="006662F5" w:rsidRDefault="00431229">
      <w:pPr>
        <w:pStyle w:val="footnote"/>
      </w:pPr>
      <w:r w:rsidRPr="006662F5">
        <w:rPr>
          <w:vertAlign w:val="superscript"/>
        </w:rPr>
        <w:footnoteRef/>
      </w:r>
      <w:r w:rsidRPr="006662F5">
        <w:rPr>
          <w:i/>
          <w:iCs/>
        </w:rPr>
        <w:t>See</w:t>
      </w:r>
      <w:r w:rsidRPr="006662F5">
        <w:t xml:space="preserve"> Lanham Act §43(c)(1), 15 U.S.C. §1125 (c)(1) (famous mark owner can enjoin another “who </w:t>
      </w:r>
      <w:r w:rsidRPr="006662F5">
        <w:rPr>
          <w:i/>
          <w:iCs/>
        </w:rPr>
        <w:t>at any time after the owner’s mark has become famous</w:t>
      </w:r>
      <w:r w:rsidRPr="006662F5">
        <w:t xml:space="preserve"> commences use of a mark or trade name that is likely to cause dilution . . .” (emphasis added)); 2007 </w:t>
      </w:r>
      <w:r w:rsidRPr="006662F5">
        <w:rPr>
          <w:smallCaps/>
        </w:rPr>
        <w:t>Model Bill</w:t>
      </w:r>
      <w:r w:rsidRPr="006662F5">
        <w:t xml:space="preserve"> §13(a) (also requiring the offending use to begin after the mark becomes famous).</w:t>
      </w:r>
    </w:p>
  </w:footnote>
  <w:footnote w:id="204">
    <w:p w:rsidR="00431229" w:rsidRPr="006662F5" w:rsidRDefault="00431229">
      <w:pPr>
        <w:pStyle w:val="footnote"/>
      </w:pPr>
      <w:r w:rsidRPr="006662F5">
        <w:rPr>
          <w:vertAlign w:val="superscript"/>
        </w:rPr>
        <w:footnoteRef/>
      </w:r>
      <w:r w:rsidRPr="006662F5">
        <w:t>Under the TDRA, predatory intent is used to show that damages are permitted. Lanham Act §43(c)(5)(B), 15 U.S.C. §1125(c)(5)(B).</w:t>
      </w:r>
    </w:p>
  </w:footnote>
  <w:footnote w:id="205">
    <w:p w:rsidR="00431229" w:rsidRPr="006662F5" w:rsidRDefault="00431229">
      <w:pPr>
        <w:pStyle w:val="footnote"/>
      </w:pPr>
      <w:r w:rsidRPr="006662F5">
        <w:rPr>
          <w:vertAlign w:val="superscript"/>
        </w:rPr>
        <w:footnoteRef/>
      </w:r>
      <w:r w:rsidRPr="006662F5">
        <w:t>16 USPQ2d 1275 (N.D.N.Y. 1990).</w:t>
      </w:r>
    </w:p>
  </w:footnote>
  <w:footnote w:id="206">
    <w:p w:rsidR="00431229" w:rsidRPr="006662F5" w:rsidRDefault="00431229">
      <w:pPr>
        <w:pStyle w:val="footnote"/>
      </w:pPr>
      <w:r w:rsidRPr="006662F5">
        <w:rPr>
          <w:vertAlign w:val="superscript"/>
        </w:rPr>
        <w:footnoteRef/>
      </w:r>
      <w:r w:rsidRPr="006662F5">
        <w:t xml:space="preserve">The court analyzed possible dilution in the institutional market for chicken, </w:t>
      </w:r>
      <w:r w:rsidRPr="006662F5">
        <w:rPr>
          <w:i/>
          <w:iCs/>
        </w:rPr>
        <w:t>id</w:t>
      </w:r>
      <w:r w:rsidRPr="006662F5">
        <w:t xml:space="preserve">. at 1279, apparently ignoring the majority in </w:t>
      </w:r>
      <w:r w:rsidRPr="006662F5">
        <w:rPr>
          <w:i/>
          <w:iCs/>
        </w:rPr>
        <w:t>Mead Data</w:t>
      </w:r>
      <w:r w:rsidRPr="006662F5">
        <w:t>, which was unwilling to protect a mark in a limited market.</w:t>
      </w:r>
    </w:p>
  </w:footnote>
  <w:footnote w:id="207">
    <w:p w:rsidR="00431229" w:rsidRPr="006662F5" w:rsidRDefault="00431229">
      <w:pPr>
        <w:pStyle w:val="footnote"/>
      </w:pPr>
      <w:r w:rsidRPr="006662F5">
        <w:rPr>
          <w:vertAlign w:val="superscript"/>
        </w:rPr>
        <w:footnoteRef/>
      </w:r>
      <w:r w:rsidRPr="006662F5">
        <w:rPr>
          <w:i/>
          <w:iCs/>
        </w:rPr>
        <w:t>Id</w:t>
      </w:r>
      <w:r w:rsidRPr="006662F5">
        <w:t>. at 1281. The court made this statement when denying the defendant’s motion for summary judgment on the dilution claim.</w:t>
      </w:r>
    </w:p>
  </w:footnote>
  <w:footnote w:id="208">
    <w:p w:rsidR="00431229" w:rsidRPr="00127AF1" w:rsidRDefault="00431229" w:rsidP="000C013C">
      <w:pPr>
        <w:pStyle w:val="footnote"/>
        <w:rPr>
          <w:spacing w:val="-4"/>
        </w:rPr>
      </w:pPr>
      <w:r w:rsidRPr="006662F5">
        <w:rPr>
          <w:vertAlign w:val="superscript"/>
        </w:rPr>
        <w:footnoteRef/>
      </w:r>
      <w:r w:rsidRPr="00E44D89">
        <w:rPr>
          <w:i/>
          <w:iCs/>
          <w:spacing w:val="-4"/>
        </w:rPr>
        <w:t>E</w:t>
      </w:r>
      <w:r w:rsidRPr="00E44D89">
        <w:rPr>
          <w:spacing w:val="-4"/>
        </w:rPr>
        <w:t>.</w:t>
      </w:r>
      <w:r w:rsidRPr="00E44D89">
        <w:rPr>
          <w:i/>
          <w:iCs/>
          <w:spacing w:val="-4"/>
        </w:rPr>
        <w:t>g</w:t>
      </w:r>
      <w:r w:rsidRPr="00E44D89">
        <w:rPr>
          <w:spacing w:val="-4"/>
        </w:rPr>
        <w:t xml:space="preserve">., LaPine v. Seinfeld, 375 F. </w:t>
      </w:r>
      <w:r w:rsidRPr="006662F5">
        <w:rPr>
          <w:spacing w:val="-4"/>
        </w:rPr>
        <w:t>App</w:t>
      </w:r>
      <w:r>
        <w:rPr>
          <w:spacing w:val="-4"/>
        </w:rPr>
        <w:t>’</w:t>
      </w:r>
      <w:r w:rsidRPr="006662F5">
        <w:rPr>
          <w:spacing w:val="-4"/>
        </w:rPr>
        <w:t>x. 81, 85, 96 USPQ2d 1130 (2d Cir. 2010) (“</w:t>
      </w:r>
      <w:r w:rsidRPr="006662F5">
        <w:t xml:space="preserve">To determine the likelihood of dilution by blurring [under New York law], courts consider six factors similar to the </w:t>
      </w:r>
      <w:r w:rsidRPr="006662F5">
        <w:rPr>
          <w:i/>
          <w:iCs/>
        </w:rPr>
        <w:t>Polaroid</w:t>
      </w:r>
      <w:r w:rsidRPr="006662F5">
        <w:t xml:space="preserve"> factors [used to determine confusion].”); </w:t>
      </w:r>
      <w:r>
        <w:t>Cheddar Bob’s Inc. v. Macsnmelts Mgmt. Co., LLC, 2020 WL 1323018, at *13,</w:t>
      </w:r>
      <w:r w:rsidRPr="00651336">
        <w:rPr>
          <w:rFonts w:ascii="Arial" w:eastAsia="Times New Roman" w:hAnsi="Arial" w:cs="Arial"/>
          <w:color w:val="292E31"/>
        </w:rPr>
        <w:t xml:space="preserve"> </w:t>
      </w:r>
      <w:r w:rsidRPr="00651336">
        <w:t>2020 BL 108943</w:t>
      </w:r>
      <w:r>
        <w:t xml:space="preserve"> (E.D.N.Y. Jan. 14, 2020) (noting the similarity to the </w:t>
      </w:r>
      <w:r w:rsidRPr="00766C0C">
        <w:rPr>
          <w:i/>
          <w:iCs/>
        </w:rPr>
        <w:t>Polaroid</w:t>
      </w:r>
      <w:r>
        <w:t xml:space="preserve"> factors); Hudson Furniture, Inc. v. Misrahi, 2023 WL 6214908, at *11, </w:t>
      </w:r>
      <w:r w:rsidRPr="00651336">
        <w:t>2023 BL 335684</w:t>
      </w:r>
      <w:r>
        <w:t xml:space="preserve"> (S.D.N.Y. Sept. 25, 2023) (“</w:t>
      </w:r>
      <w:r>
        <w:rPr>
          <w:color w:val="000000"/>
          <w:szCs w:val="20"/>
        </w:rPr>
        <w:t xml:space="preserve">The first five factors resemble the </w:t>
      </w:r>
      <w:r>
        <w:rPr>
          <w:i/>
          <w:iCs/>
          <w:color w:val="000000"/>
          <w:szCs w:val="20"/>
        </w:rPr>
        <w:t>Polaroid</w:t>
      </w:r>
      <w:r>
        <w:rPr>
          <w:color w:val="000000"/>
          <w:szCs w:val="20"/>
        </w:rPr>
        <w:t xml:space="preserve"> factors already discussed, so the Court will not rehearse them again</w:t>
      </w:r>
      <w:r>
        <w:t xml:space="preserve">”); </w:t>
      </w:r>
      <w:r w:rsidRPr="00766C0C">
        <w:t>Knowles</w:t>
      </w:r>
      <w:r w:rsidRPr="00BA7350">
        <w:t xml:space="preserve">-Carter v. Feyonce, Inc., 347 F. Supp. 3d 217, 229 (S.D.N.Y. 2018) (noting the congruence between these factors and the </w:t>
      </w:r>
      <w:r w:rsidRPr="00BA7350">
        <w:rPr>
          <w:i/>
          <w:iCs/>
        </w:rPr>
        <w:t xml:space="preserve">Polaroid </w:t>
      </w:r>
      <w:r w:rsidRPr="00BA7350">
        <w:t>factors); Balady, Inc. v. Elhindi, 2014 WL 7342867, at *9</w:t>
      </w:r>
      <w:r w:rsidRPr="00FC4530">
        <w:t xml:space="preserve">, </w:t>
      </w:r>
      <w:r w:rsidRPr="00127AF1">
        <w:t>2014 BL 361755</w:t>
      </w:r>
      <w:r w:rsidRPr="00BA7350">
        <w:t xml:space="preserve"> (E.D.N.Y. Dec. 19, 2014) (noting that most of the factors are the same as the </w:t>
      </w:r>
      <w:r w:rsidRPr="00BA7350">
        <w:rPr>
          <w:i/>
          <w:iCs/>
        </w:rPr>
        <w:t>Polaroid</w:t>
      </w:r>
      <w:r w:rsidRPr="00BA7350">
        <w:t xml:space="preserve"> factors used for confusion); Audemars Piguet Holding S.A. v. Swiss Watch Int’l, 46 F. Supp. 3d 255, 283 (S.D.N.Y. 2014) (noting the similarity between the dilution factors and confusion factors);</w:t>
      </w:r>
      <w:r>
        <w:t xml:space="preserve"> </w:t>
      </w:r>
      <w:r w:rsidRPr="006662F5">
        <w:rPr>
          <w:spacing w:val="-4"/>
        </w:rPr>
        <w:t>L &amp; L Wings, Inc. v. Marco-Destin, Inc., 676 F. Supp. 2d 179, 189 (S.D.N.Y. 2009) (calling the factors “closely analogous” to those used for testing confusion); Freedom Calls Found. v. Bukstel, 2006 WL 845509, at *14</w:t>
      </w:r>
      <w:r>
        <w:rPr>
          <w:spacing w:val="-4"/>
        </w:rPr>
        <w:t>,</w:t>
      </w:r>
      <w:r w:rsidRPr="000C013C">
        <w:rPr>
          <w:rFonts w:ascii="Arial" w:eastAsia="Times New Roman" w:hAnsi="Arial" w:cs="Arial"/>
          <w:color w:val="292E31"/>
        </w:rPr>
        <w:t xml:space="preserve"> </w:t>
      </w:r>
      <w:r w:rsidRPr="000C013C">
        <w:rPr>
          <w:spacing w:val="-4"/>
        </w:rPr>
        <w:t>2006 BL 3739</w:t>
      </w:r>
      <w:r w:rsidRPr="006662F5">
        <w:rPr>
          <w:spacing w:val="-4"/>
        </w:rPr>
        <w:t xml:space="preserve"> (E.D.N.Y. Mar. 3, 2006) (although noting that confusion “may be inconsistent with” dilution, court used Sweet factors and specifically referenced earlier discussion of confusion as including the same factors); Montblanc-Simplo GmbH v. Aurora Due S.r.L., 363 F. Supp. 2d 467, 484 (E.D.N.Y. 2005) (denying claim of dilution; noting the court’s earlier discussion of the relevant factors in its confusion analysis); Pfizer, Inc. v. Y2K Shipping &amp; Trading, Inc., 70 USPQ2d 1592, 1600 (E.D.N.Y. 2004) (finding dilution based on the Sweet factors, stating that “[t]he Court has already discussed these six factors in relation to the federal trademark infringement and unfair competition claims”); Cartier, Inc. v. Four Star Jewelry Creations, Inc., 2003 WL 21056809, at *14 (S.D.N.Y. May 8, 2003) (“Notwithstanding the absence of evidence of predatory intent, the court believes that its discussion of infringement is suggestive of the possible disposition of the dilution claim.”); Paco Sport, Ltd. v. Paco Rabanne Parfums, 86 F. Supp. 2d 305, 330, 54 USPQ2d 1205 (S.D.N.Y.), </w:t>
      </w:r>
      <w:r w:rsidRPr="006662F5">
        <w:rPr>
          <w:i/>
          <w:iCs/>
          <w:spacing w:val="-4"/>
        </w:rPr>
        <w:t>aff’d</w:t>
      </w:r>
      <w:r w:rsidRPr="006662F5">
        <w:rPr>
          <w:spacing w:val="-4"/>
        </w:rPr>
        <w:t xml:space="preserve">, 234 F.3d 1262 (2d Cir. 2000); Landscape Forms, Inc. v. Columbia Cascade Co., 117 F. Supp. 2d 360, 370, 56 USPQ2d 1613 (S.D.N.Y. 2000); Consolidated Cigar Corp. v. Monte Cristi de Tabacos, 58 F. Supp. 2d 188, 200 (S.D.N.Y. 1999); Lane Capital Mgmt., Inc. v. Lane Capital Mgmt., Inc., 15 F. Supp. 2d 389, 400 n.9 (S.D.N.Y. 1998), </w:t>
      </w:r>
      <w:r w:rsidRPr="006662F5">
        <w:rPr>
          <w:i/>
          <w:iCs/>
          <w:spacing w:val="-4"/>
        </w:rPr>
        <w:t>aff’d</w:t>
      </w:r>
      <w:r w:rsidRPr="006662F5">
        <w:rPr>
          <w:spacing w:val="-4"/>
        </w:rPr>
        <w:t xml:space="preserve">, 192 F.3d 337, 52 USPQ2d 1094 (2d Cir. 1999); Haven Capital Mgmt., Inc. v. Havens Advisors, L.L.C., 965 F. Supp. 528, 534 (S.D.N.Y. 1997) (no dilution found), </w:t>
      </w:r>
      <w:r w:rsidRPr="006662F5">
        <w:rPr>
          <w:i/>
          <w:iCs/>
          <w:spacing w:val="-4"/>
        </w:rPr>
        <w:t>aff’d</w:t>
      </w:r>
      <w:r w:rsidRPr="006662F5">
        <w:rPr>
          <w:spacing w:val="-4"/>
        </w:rPr>
        <w:t>, 159 F.3d 1346 (2d Cir. 1998).</w:t>
      </w:r>
    </w:p>
  </w:footnote>
  <w:footnote w:id="209">
    <w:p w:rsidR="00431229" w:rsidRPr="006662F5" w:rsidRDefault="00431229">
      <w:pPr>
        <w:pStyle w:val="footnote"/>
      </w:pPr>
      <w:r w:rsidRPr="006662F5">
        <w:rPr>
          <w:vertAlign w:val="superscript"/>
        </w:rPr>
        <w:footnoteRef/>
      </w:r>
      <w:r w:rsidRPr="006662F5">
        <w:t>117 F. Supp. 2d 360, 56 USPQ2d 1613 (S.D.N.Y. 2000).</w:t>
      </w:r>
    </w:p>
  </w:footnote>
  <w:footnote w:id="210">
    <w:p w:rsidR="00431229" w:rsidRPr="006662F5" w:rsidRDefault="00431229">
      <w:pPr>
        <w:pStyle w:val="footnote"/>
      </w:pPr>
      <w:r w:rsidRPr="006662F5">
        <w:rPr>
          <w:vertAlign w:val="superscript"/>
        </w:rPr>
        <w:footnoteRef/>
      </w:r>
      <w:r w:rsidRPr="006662F5">
        <w:t xml:space="preserve">The claim was that the configuration of defendant’s furniture both infringed and diluted plaintiff’s furniture and configurations. </w:t>
      </w:r>
      <w:r w:rsidRPr="006662F5">
        <w:rPr>
          <w:i/>
          <w:iCs/>
        </w:rPr>
        <w:t>Id</w:t>
      </w:r>
      <w:r w:rsidRPr="006662F5">
        <w:t>. at 362.</w:t>
      </w:r>
    </w:p>
  </w:footnote>
  <w:footnote w:id="211">
    <w:p w:rsidR="00431229" w:rsidRPr="006662F5" w:rsidRDefault="00431229">
      <w:pPr>
        <w:pStyle w:val="footnote"/>
      </w:pPr>
      <w:r w:rsidRPr="006662F5">
        <w:rPr>
          <w:vertAlign w:val="superscript"/>
        </w:rPr>
        <w:footnoteRef/>
      </w:r>
      <w:r w:rsidRPr="006662F5">
        <w:t xml:space="preserve">These factors are used to analyze confusion. </w:t>
      </w:r>
      <w:r w:rsidRPr="006662F5">
        <w:rPr>
          <w:i/>
          <w:iCs/>
        </w:rPr>
        <w:t>See</w:t>
      </w:r>
      <w:r w:rsidRPr="006662F5">
        <w:t xml:space="preserve"> Polaroid Corp. v. Polarad Elecs. Corp., 287 F.2d 492, 495, 128 USPQ 411 (2d Cir.), </w:t>
      </w:r>
      <w:r w:rsidRPr="006662F5">
        <w:rPr>
          <w:i/>
          <w:iCs/>
        </w:rPr>
        <w:t>cert</w:t>
      </w:r>
      <w:r w:rsidRPr="006662F5">
        <w:t>.</w:t>
      </w:r>
      <w:r w:rsidRPr="006662F5">
        <w:rPr>
          <w:i/>
          <w:iCs/>
        </w:rPr>
        <w:t xml:space="preserve"> denied</w:t>
      </w:r>
      <w:r w:rsidRPr="006662F5">
        <w:t>, 368 U.S. 820 (1961).</w:t>
      </w:r>
    </w:p>
  </w:footnote>
  <w:footnote w:id="212">
    <w:p w:rsidR="00431229" w:rsidRPr="006662F5" w:rsidRDefault="00431229">
      <w:pPr>
        <w:pStyle w:val="footnote"/>
      </w:pPr>
      <w:r w:rsidRPr="006662F5">
        <w:rPr>
          <w:vertAlign w:val="superscript"/>
        </w:rPr>
        <w:footnoteRef/>
      </w:r>
      <w:r w:rsidRPr="006662F5">
        <w:t xml:space="preserve">117 F. Supp. 2d at 370. </w:t>
      </w:r>
      <w:r w:rsidRPr="00BA7350">
        <w:rPr>
          <w:i/>
          <w:iCs/>
        </w:rPr>
        <w:t>Accord</w:t>
      </w:r>
      <w:r w:rsidRPr="00BA7350">
        <w:t xml:space="preserve"> Balady, Inc. v. Elhindi, 2014 WL 7342867, at *9 (E.D.N.Y. Dec. 19, 2014).</w:t>
      </w:r>
    </w:p>
  </w:footnote>
  <w:footnote w:id="213">
    <w:p w:rsidR="00431229" w:rsidRPr="006662F5" w:rsidRDefault="00431229">
      <w:pPr>
        <w:pStyle w:val="footnote"/>
        <w:rPr>
          <w:szCs w:val="20"/>
        </w:rPr>
      </w:pPr>
      <w:r w:rsidRPr="006662F5">
        <w:rPr>
          <w:szCs w:val="20"/>
          <w:vertAlign w:val="superscript"/>
        </w:rPr>
        <w:footnoteRef/>
      </w:r>
      <w:r w:rsidRPr="008214DA">
        <w:t>117 F. Supp. 2d at 370 (emphasis added).</w:t>
      </w:r>
    </w:p>
  </w:footnote>
  <w:footnote w:id="214">
    <w:p w:rsidR="00431229" w:rsidRPr="006662F5" w:rsidRDefault="00431229">
      <w:pPr>
        <w:pStyle w:val="footnote"/>
      </w:pPr>
      <w:r w:rsidRPr="006662F5">
        <w:rPr>
          <w:vertAlign w:val="superscript"/>
        </w:rPr>
        <w:footnoteRef/>
      </w:r>
      <w:r w:rsidRPr="006662F5">
        <w:rPr>
          <w:i/>
          <w:iCs/>
        </w:rPr>
        <w:t>Id</w:t>
      </w:r>
      <w:r w:rsidRPr="006662F5">
        <w:t>.</w:t>
      </w:r>
    </w:p>
  </w:footnote>
  <w:footnote w:id="215">
    <w:p w:rsidR="00431229" w:rsidRPr="006662F5" w:rsidRDefault="00431229">
      <w:pPr>
        <w:pStyle w:val="footnote"/>
      </w:pPr>
      <w:r w:rsidRPr="006662F5">
        <w:rPr>
          <w:vertAlign w:val="superscript"/>
        </w:rPr>
        <w:footnoteRef/>
      </w:r>
      <w:r w:rsidRPr="006662F5">
        <w:rPr>
          <w:i/>
          <w:iCs/>
        </w:rPr>
        <w:t>Id</w:t>
      </w:r>
      <w:r w:rsidRPr="006662F5">
        <w:t>.</w:t>
      </w:r>
    </w:p>
  </w:footnote>
  <w:footnote w:id="216">
    <w:p w:rsidR="00431229" w:rsidRPr="006662F5" w:rsidRDefault="00431229">
      <w:pPr>
        <w:pStyle w:val="footnote"/>
      </w:pPr>
      <w:r w:rsidRPr="006662F5">
        <w:rPr>
          <w:vertAlign w:val="superscript"/>
        </w:rPr>
        <w:footnoteRef/>
      </w:r>
      <w:r w:rsidRPr="006662F5">
        <w:rPr>
          <w:i/>
          <w:iCs/>
        </w:rPr>
        <w:t>See also</w:t>
      </w:r>
      <w:r w:rsidRPr="006662F5">
        <w:t xml:space="preserve"> Merriam-Webster, Inc. v. Random House, Inc., 35 F.3d 65, 73, 32 USPQ2d 1010 (2d Cir. 1994) (“The elements of similarity, sophistication, and predatory intent remained for Section 368-d dilution purposes the same as for Section 43(a) [of the Lanham Act] purposes and lead to the same result.”), </w:t>
      </w:r>
      <w:r w:rsidRPr="006662F5">
        <w:rPr>
          <w:i/>
          <w:iCs/>
        </w:rPr>
        <w:t>cert</w:t>
      </w:r>
      <w:r w:rsidRPr="006662F5">
        <w:t>.</w:t>
      </w:r>
      <w:r w:rsidRPr="006662F5">
        <w:rPr>
          <w:i/>
          <w:iCs/>
        </w:rPr>
        <w:t xml:space="preserve"> denied</w:t>
      </w:r>
      <w:r w:rsidRPr="006662F5">
        <w:t>, 513 U.S. 1190 (1995); Greenpoint Fin. Corp. v. Sperry &amp; Hutchinson Co., 116 F. Supp. 2d 405, 413–14 (S.D.N.Y. 2000) (noting that court had discussed many of the dilution factors in the confusion analysis).</w:t>
      </w:r>
    </w:p>
  </w:footnote>
  <w:footnote w:id="217">
    <w:p w:rsidR="00431229" w:rsidRPr="006662F5" w:rsidRDefault="00431229">
      <w:pPr>
        <w:pStyle w:val="footnote"/>
      </w:pPr>
      <w:r w:rsidRPr="006662F5">
        <w:rPr>
          <w:vertAlign w:val="superscript"/>
        </w:rPr>
        <w:footnoteRef/>
      </w:r>
      <w:r w:rsidRPr="006662F5">
        <w:t>Moseley v. V Secret Catalogue, Inc., 537 U.S. 418, 65 USPQ2d 1801 (2003).</w:t>
      </w:r>
    </w:p>
  </w:footnote>
  <w:footnote w:id="218">
    <w:p w:rsidR="00431229" w:rsidRPr="006662F5" w:rsidRDefault="00431229">
      <w:pPr>
        <w:pStyle w:val="footnote"/>
      </w:pPr>
      <w:r w:rsidRPr="006662F5">
        <w:rPr>
          <w:vertAlign w:val="superscript"/>
        </w:rPr>
        <w:footnoteRef/>
      </w:r>
      <w:r w:rsidRPr="006662F5">
        <w:t>191 F.3d 208, 51 USPQ2d 1882 (2d Cir. 1999).</w:t>
      </w:r>
    </w:p>
  </w:footnote>
  <w:footnote w:id="219">
    <w:p w:rsidR="00431229" w:rsidRPr="006662F5" w:rsidRDefault="00431229">
      <w:pPr>
        <w:pStyle w:val="footnote"/>
      </w:pPr>
      <w:r w:rsidRPr="006662F5">
        <w:rPr>
          <w:vertAlign w:val="superscript"/>
        </w:rPr>
        <w:footnoteRef/>
      </w:r>
      <w:r w:rsidRPr="006662F5">
        <w:rPr>
          <w:i/>
          <w:iCs/>
        </w:rPr>
        <w:t>Id</w:t>
      </w:r>
      <w:r w:rsidRPr="006662F5">
        <w:t>. at 227 n.8.</w:t>
      </w:r>
    </w:p>
  </w:footnote>
  <w:footnote w:id="220">
    <w:p w:rsidR="00431229" w:rsidRPr="006662F5" w:rsidRDefault="00431229">
      <w:pPr>
        <w:pStyle w:val="footnote"/>
      </w:pPr>
      <w:r w:rsidRPr="006662F5">
        <w:rPr>
          <w:vertAlign w:val="superscript"/>
        </w:rPr>
        <w:footnoteRef/>
      </w:r>
      <w:r w:rsidRPr="006662F5">
        <w:rPr>
          <w:i/>
          <w:iCs/>
        </w:rPr>
        <w:t>Id</w:t>
      </w:r>
      <w:r w:rsidRPr="006662F5">
        <w:t xml:space="preserve">. at 227–28. The court noted that the FTDA’s requirements of fame and distinctiveness may not easily translate into the concept of “renown.” </w:t>
      </w:r>
      <w:r w:rsidRPr="006662F5">
        <w:rPr>
          <w:i/>
          <w:iCs/>
        </w:rPr>
        <w:t>Id</w:t>
      </w:r>
      <w:r w:rsidRPr="006662F5">
        <w:t xml:space="preserve">. at 227. The Second Circuit required a separate showing of distinctiveness under the FTDA, in addition to a showing of fame. </w:t>
      </w:r>
      <w:r w:rsidRPr="006662F5">
        <w:rPr>
          <w:i/>
          <w:iCs/>
        </w:rPr>
        <w:t>Id</w:t>
      </w:r>
      <w:r w:rsidRPr="006662F5">
        <w:t>. at 215–16; TCPIP Holding Co. v. Haar Commc’ns, Inc., 244 F.3d 88, 93–98, 57 USPQ2d 1969 (2d Cir. 2001).</w:t>
      </w:r>
    </w:p>
  </w:footnote>
  <w:footnote w:id="221">
    <w:p w:rsidR="00431229" w:rsidRPr="006662F5" w:rsidRDefault="00431229">
      <w:pPr>
        <w:pStyle w:val="footnote"/>
      </w:pPr>
      <w:r w:rsidRPr="006662F5">
        <w:rPr>
          <w:vertAlign w:val="superscript"/>
        </w:rPr>
        <w:footnoteRef/>
      </w:r>
      <w:r w:rsidRPr="006662F5">
        <w:rPr>
          <w:i/>
          <w:iCs/>
        </w:rPr>
        <w:t>Id</w:t>
      </w:r>
      <w:r w:rsidRPr="006662F5">
        <w:t>. at 228. The TDRA includes six factors to guide courts in their analyses of dilution by blurring. 15 U.S.C. §1125(c)(2)(B)(i)–(vi). See</w:t>
      </w:r>
      <w:r w:rsidRPr="006662F5">
        <w:rPr>
          <w:i/>
          <w:iCs/>
        </w:rPr>
        <w:t xml:space="preserve"> </w:t>
      </w:r>
      <w:r w:rsidRPr="006662F5">
        <w:t>§IV.A.2.a.iii, below.</w:t>
      </w:r>
    </w:p>
  </w:footnote>
  <w:footnote w:id="222">
    <w:p w:rsidR="00431229" w:rsidRPr="006662F5" w:rsidRDefault="00431229">
      <w:pPr>
        <w:pStyle w:val="footnote"/>
      </w:pPr>
      <w:r w:rsidRPr="006662F5">
        <w:rPr>
          <w:vertAlign w:val="superscript"/>
        </w:rPr>
        <w:footnoteRef/>
      </w:r>
      <w:r w:rsidRPr="006662F5">
        <w:t>Moseley v. V Secret Catalogue, Inc., 537 U.S. 418, 65 USPQ2d 1801 (2003).</w:t>
      </w:r>
    </w:p>
  </w:footnote>
  <w:footnote w:id="223">
    <w:p w:rsidR="00431229" w:rsidRPr="006662F5" w:rsidRDefault="00431229">
      <w:pPr>
        <w:pStyle w:val="footnote"/>
      </w:pPr>
      <w:r w:rsidRPr="006662F5">
        <w:rPr>
          <w:vertAlign w:val="superscript"/>
        </w:rPr>
        <w:footnoteRef/>
      </w:r>
      <w:r w:rsidRPr="006662F5">
        <w:t xml:space="preserve">V Secret Catalogue, Inc. v. Moseley, 259 F.3d 464, 476, 59 USPQ2d 1650 (6th Cir. 2001), </w:t>
      </w:r>
      <w:r w:rsidRPr="006662F5">
        <w:rPr>
          <w:i/>
          <w:iCs/>
        </w:rPr>
        <w:t>rev’d</w:t>
      </w:r>
      <w:r w:rsidRPr="006662F5">
        <w:t xml:space="preserve">, 537 U.S. 418, 65 USPQ2d 1801 (2003); Times Mirror Magazines, Inc. v. Las Vegas Sports News, L.L.C., 212 F.3d 157, 168, 54 USPQ2d 1577 (3d Cir. 2000), </w:t>
      </w:r>
      <w:r w:rsidRPr="006662F5">
        <w:rPr>
          <w:i/>
          <w:iCs/>
        </w:rPr>
        <w:t>cert</w:t>
      </w:r>
      <w:r w:rsidRPr="006662F5">
        <w:t>.</w:t>
      </w:r>
      <w:r w:rsidRPr="006662F5">
        <w:rPr>
          <w:i/>
          <w:iCs/>
        </w:rPr>
        <w:t xml:space="preserve"> denied</w:t>
      </w:r>
      <w:r w:rsidRPr="006662F5">
        <w:t>, 531 U.S. 1071 (2001); New Dana Perfumes Corp. v. Disney Store, Inc., 131 F. Supp. 2d 616, 633 (M.D. Pa. 2001).</w:t>
      </w:r>
    </w:p>
  </w:footnote>
  <w:footnote w:id="224">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smallCaps/>
        </w:rPr>
        <w:t>Restatement (Third) of Unfair Competition</w:t>
      </w:r>
      <w:r w:rsidRPr="006662F5">
        <w:t xml:space="preserve"> §25, cmt. i (1995) (requiring trademark use for dilution). This issue is discussed in §IV.B.5, below. </w:t>
      </w:r>
    </w:p>
  </w:footnote>
  <w:footnote w:id="225">
    <w:p w:rsidR="00431229" w:rsidRPr="006662F5" w:rsidRDefault="00431229">
      <w:pPr>
        <w:pStyle w:val="footnote"/>
      </w:pPr>
      <w:r w:rsidRPr="006662F5">
        <w:rPr>
          <w:vertAlign w:val="superscript"/>
        </w:rPr>
        <w:footnoteRef/>
      </w:r>
      <w:r w:rsidRPr="006662F5">
        <w:t xml:space="preserve">However, it does appear that the court would have considered such intent had it existed. </w:t>
      </w:r>
    </w:p>
  </w:footnote>
  <w:footnote w:id="226">
    <w:p w:rsidR="00431229" w:rsidRPr="006662F5" w:rsidRDefault="00431229">
      <w:pPr>
        <w:pStyle w:val="footnote"/>
      </w:pPr>
      <w:r w:rsidRPr="006662F5">
        <w:rPr>
          <w:vertAlign w:val="superscript"/>
        </w:rPr>
        <w:footnoteRef/>
      </w:r>
      <w:r w:rsidRPr="006662F5">
        <w:t>537 U.S. 418, 65 USPQ2d 1801 (2003).</w:t>
      </w:r>
    </w:p>
  </w:footnote>
  <w:footnote w:id="227">
    <w:p w:rsidR="00431229" w:rsidRPr="006662F5" w:rsidRDefault="00431229">
      <w:pPr>
        <w:pStyle w:val="footnote"/>
      </w:pPr>
      <w:r w:rsidRPr="006662F5">
        <w:rPr>
          <w:vertAlign w:val="superscript"/>
        </w:rPr>
        <w:footnoteRef/>
      </w:r>
      <w:r w:rsidRPr="006662F5">
        <w:t xml:space="preserve">McNeil Nutritionals, LLC v. Heartland Sweeteners, LLC, 512 F. Supp. 2d 217, 237-38 (E.D. Pa. 2007) (Pennsylvania law requires actual dilution), </w:t>
      </w:r>
      <w:r w:rsidRPr="006662F5">
        <w:rPr>
          <w:i/>
          <w:iCs/>
        </w:rPr>
        <w:t>aff’d in part, rev’d in part on other grounds</w:t>
      </w:r>
      <w:r w:rsidRPr="006662F5">
        <w:t xml:space="preserve">, 511 F.3d 350, 85 USPQ2d 1545 (3d Cir. 2007) (the court of appeals did not discuss dilution claims); AutoZone, Inc. v. Strick, 466 F. Supp. 2d 1034, 1045 n.5, 81 USPQ2d 1516 (N.D. Ill. 2006) (Illinois law requires actual dilution), </w:t>
      </w:r>
      <w:r w:rsidRPr="006662F5">
        <w:rPr>
          <w:i/>
          <w:iCs/>
        </w:rPr>
        <w:t>rev’d on other grounds</w:t>
      </w:r>
      <w:r w:rsidRPr="006662F5">
        <w:t>, 543 F.3d 923 (7th Cir. 2008).</w:t>
      </w:r>
    </w:p>
  </w:footnote>
  <w:footnote w:id="228">
    <w:p w:rsidR="00431229" w:rsidRPr="006662F5" w:rsidRDefault="00431229">
      <w:pPr>
        <w:pStyle w:val="footnote"/>
      </w:pPr>
      <w:r w:rsidRPr="006662F5">
        <w:rPr>
          <w:vertAlign w:val="superscript"/>
        </w:rPr>
        <w:footnoteRef/>
      </w:r>
      <w:r w:rsidRPr="006662F5">
        <w:t>537 U.S. at 433.</w:t>
      </w:r>
    </w:p>
  </w:footnote>
  <w:footnote w:id="229">
    <w:p w:rsidR="00431229" w:rsidRPr="006662F5" w:rsidRDefault="00431229">
      <w:pPr>
        <w:pStyle w:val="footnote"/>
      </w:pPr>
      <w:r w:rsidRPr="006662F5">
        <w:rPr>
          <w:vertAlign w:val="superscript"/>
        </w:rPr>
        <w:footnoteRef/>
      </w:r>
      <w:r w:rsidRPr="006662F5">
        <w:rPr>
          <w:i/>
          <w:iCs/>
        </w:rPr>
        <w:t>Id</w:t>
      </w:r>
      <w:r w:rsidRPr="006662F5">
        <w:t>. at 434.</w:t>
      </w:r>
    </w:p>
  </w:footnote>
  <w:footnote w:id="230">
    <w:p w:rsidR="00431229" w:rsidRPr="006662F5" w:rsidRDefault="00431229">
      <w:pPr>
        <w:pStyle w:val="footnote"/>
      </w:pPr>
      <w:r w:rsidRPr="006662F5">
        <w:rPr>
          <w:vertAlign w:val="superscript"/>
        </w:rPr>
        <w:footnoteRef/>
      </w:r>
      <w:r w:rsidRPr="006662F5">
        <w:rPr>
          <w:i/>
          <w:iCs/>
        </w:rPr>
        <w:t>Id</w:t>
      </w:r>
      <w:r w:rsidRPr="006662F5">
        <w:t xml:space="preserve">. In one situation, the Court did indicate the relevant factor—where the junior use is </w:t>
      </w:r>
      <w:r w:rsidRPr="006662F5">
        <w:rPr>
          <w:i/>
          <w:iCs/>
        </w:rPr>
        <w:t>identical</w:t>
      </w:r>
      <w:r w:rsidRPr="006662F5">
        <w:t xml:space="preserve"> to the famous mark—that might be sufficient. </w:t>
      </w:r>
      <w:r w:rsidRPr="006662F5">
        <w:rPr>
          <w:i/>
          <w:iCs/>
        </w:rPr>
        <w:t>Id</w:t>
      </w:r>
      <w:r w:rsidRPr="006662F5">
        <w:t xml:space="preserve">. The Sixth Circuit later noted that </w:t>
      </w:r>
      <w:r w:rsidRPr="006662F5">
        <w:rPr>
          <w:i/>
          <w:iCs/>
        </w:rPr>
        <w:t>Moseley</w:t>
      </w:r>
      <w:r w:rsidRPr="006662F5">
        <w:t xml:space="preserve"> left the status of </w:t>
      </w:r>
      <w:r w:rsidRPr="006662F5">
        <w:rPr>
          <w:i/>
          <w:iCs/>
        </w:rPr>
        <w:t>Nabisco</w:t>
      </w:r>
      <w:r w:rsidRPr="006662F5">
        <w:t xml:space="preserve"> unclear. AutoZone, Inc. v. Tandy Corp., 373 F.3d 786, 805, 71 USPQ2d 1385 (6th Cir. 2004). However, the passage of the TDRA makes the point moot for federal law.</w:t>
      </w:r>
    </w:p>
  </w:footnote>
  <w:footnote w:id="231">
    <w:p w:rsidR="00431229" w:rsidRPr="006662F5" w:rsidRDefault="00431229">
      <w:pPr>
        <w:pStyle w:val="footnote"/>
      </w:pPr>
      <w:r w:rsidRPr="006662F5">
        <w:rPr>
          <w:vertAlign w:val="superscript"/>
        </w:rPr>
        <w:footnoteRef/>
      </w:r>
      <w:r w:rsidRPr="000540A5">
        <w:rPr>
          <w:i/>
        </w:rPr>
        <w:t>See</w:t>
      </w:r>
      <w:r w:rsidRPr="006662F5">
        <w:t xml:space="preserve"> Chapter 9, §II.D.4.</w:t>
      </w:r>
    </w:p>
  </w:footnote>
  <w:footnote w:id="232">
    <w:p w:rsidR="00431229" w:rsidRPr="006662F5" w:rsidRDefault="00431229">
      <w:pPr>
        <w:pStyle w:val="footnote"/>
      </w:pPr>
      <w:r w:rsidRPr="006662F5">
        <w:rPr>
          <w:vertAlign w:val="superscript"/>
        </w:rPr>
        <w:footnoteRef/>
      </w:r>
      <w:r w:rsidRPr="006662F5">
        <w:t>Mississippi did amend its statute, but it went beyond simply modifying the “causes dilution” standard; it adopted the 2007 Model Bill.</w:t>
      </w:r>
    </w:p>
  </w:footnote>
  <w:footnote w:id="233">
    <w:p w:rsidR="00431229" w:rsidRPr="006662F5" w:rsidRDefault="00431229">
      <w:pPr>
        <w:pStyle w:val="footnote"/>
      </w:pPr>
      <w:r w:rsidRPr="006662F5">
        <w:rPr>
          <w:vertAlign w:val="superscript"/>
        </w:rPr>
        <w:footnoteRef/>
      </w:r>
      <w:r w:rsidRPr="00C4121D">
        <w:t>Gucci Am., Inc. v. Guess?, Inc., 868 F. Supp. 2d 207, 241–42 (S.D.N.Y. 2012).</w:t>
      </w:r>
    </w:p>
  </w:footnote>
  <w:footnote w:id="234">
    <w:p w:rsidR="00431229" w:rsidRPr="006662F5" w:rsidRDefault="00431229">
      <w:pPr>
        <w:pStyle w:val="footnote"/>
      </w:pPr>
      <w:r w:rsidRPr="006662F5">
        <w:rPr>
          <w:vertAlign w:val="superscript"/>
        </w:rPr>
        <w:footnoteRef/>
      </w:r>
      <w:r w:rsidRPr="006662F5">
        <w:t>Cottonwood Fin. Ltd. v. Cash Store Fin. Servs., Inc., 778 F. Supp. 2d 726, 745, 749-50 (N.D. Tex. 2011) (applying various tests, including the TDRA factors).</w:t>
      </w:r>
    </w:p>
  </w:footnote>
  <w:footnote w:id="235">
    <w:p w:rsidR="00431229" w:rsidRPr="006662F5" w:rsidRDefault="00431229">
      <w:pPr>
        <w:pStyle w:val="footnote"/>
      </w:pPr>
      <w:r w:rsidRPr="006662F5">
        <w:rPr>
          <w:vertAlign w:val="superscript"/>
        </w:rPr>
        <w:footnoteRef/>
      </w:r>
      <w:r w:rsidRPr="006662F5">
        <w:t>Lanham Act §43(c)(2)(B)(i)–(vi), 15 U.S.C. §1125(c)(2)(B)(i)–(vi). These factors are discussed in Chapter 9, §§II.A.1, II.D.2., II.D.4.</w:t>
      </w:r>
    </w:p>
  </w:footnote>
  <w:footnote w:id="236">
    <w:p w:rsidR="00431229" w:rsidRPr="006662F5" w:rsidRDefault="00431229">
      <w:pPr>
        <w:pStyle w:val="footnote"/>
      </w:pPr>
      <w:r w:rsidRPr="006662F5">
        <w:rPr>
          <w:vertAlign w:val="superscript"/>
        </w:rPr>
        <w:footnoteRef/>
      </w:r>
      <w:r w:rsidRPr="006662F5">
        <w:t xml:space="preserve">Guide to Understanding the Model State Trademark Bill, Overview of 2007 Amendments (§1-Definitions, </w:t>
      </w:r>
      <w:r w:rsidRPr="006662F5">
        <w:rPr>
          <w:i/>
          <w:iCs/>
        </w:rPr>
        <w:t>available at</w:t>
      </w:r>
      <w:r w:rsidRPr="006662F5">
        <w:t xml:space="preserve"> http://www.inta.org/Advocacy/Pages/GuidetoUnder</w:t>
      </w:r>
      <w:r w:rsidRPr="006662F5">
        <w:br/>
        <w:t>standingtheModelStateTrademarkBill.aspx.</w:t>
      </w:r>
    </w:p>
  </w:footnote>
  <w:footnote w:id="237">
    <w:p w:rsidR="00431229" w:rsidRPr="006662F5" w:rsidRDefault="00431229" w:rsidP="00E81EB6">
      <w:pPr>
        <w:pStyle w:val="footnote"/>
      </w:pPr>
      <w:r w:rsidRPr="006662F5">
        <w:rPr>
          <w:vertAlign w:val="superscript"/>
        </w:rPr>
        <w:footnoteRef/>
      </w:r>
      <w:r w:rsidRPr="006662F5">
        <w:rPr>
          <w:i/>
          <w:iCs/>
        </w:rPr>
        <w:t>See</w:t>
      </w:r>
      <w:r w:rsidRPr="006662F5">
        <w:t xml:space="preserve"> Dallas Cowboys Football Club, Ltd. v. America’s Team Props., Inc., 616 F. Supp. 2d 622, 643 (N.D. Tex. 2009) (noting that plaintiff complained of a diminution of uniqueness in its dilution claims under federal and Texas law).</w:t>
      </w:r>
      <w:r>
        <w:t xml:space="preserve"> </w:t>
      </w:r>
      <w:r w:rsidRPr="00C4121D">
        <w:rPr>
          <w:i/>
          <w:iCs/>
        </w:rPr>
        <w:t>See also</w:t>
      </w:r>
      <w:r w:rsidRPr="00C4121D">
        <w:t xml:space="preserve"> </w:t>
      </w:r>
      <w:r>
        <w:t>Spark Therapeutics, Inc. Bluebird Bio, Inc., 2022 WL 605724, at *17</w:t>
      </w:r>
      <w:r w:rsidRPr="00C4121D">
        <w:t>–</w:t>
      </w:r>
      <w:r>
        <w:t xml:space="preserve">18, </w:t>
      </w:r>
      <w:r w:rsidRPr="00E81EB6">
        <w:t>2022 BL 24684</w:t>
      </w:r>
      <w:r>
        <w:t xml:space="preserve"> (D. Del. Jan. 25, 2022) (finding the TDRA factors relevant to an analysis of blurring under Delaware law); </w:t>
      </w:r>
      <w:r w:rsidRPr="00C4121D">
        <w:t>Gruma Corp. v. Mexican Rests., Inc., 497 F. App’x 392, 400 (5th Cir. 2012) (applying former Texas law using TDRA factors, including substantial exclusive use, but relying largely on distinctiveness and similarity in determining that dilution by blurring existed); US Risk Ins. Grp. v. United States Risk Mgmt., 2013 U.S. Dist. LEXIS 118602, at *59–60 (N.D. Tex. July 16, 2013) (stating that TDRA factors would be used; denying defendant’s motion for summary judgment).</w:t>
      </w:r>
    </w:p>
  </w:footnote>
  <w:footnote w:id="238">
    <w:p w:rsidR="00431229" w:rsidRPr="006662F5" w:rsidRDefault="00431229">
      <w:pPr>
        <w:pStyle w:val="footnote"/>
      </w:pPr>
      <w:r w:rsidRPr="006662F5">
        <w:rPr>
          <w:vertAlign w:val="superscript"/>
        </w:rPr>
        <w:footnoteRef/>
      </w:r>
      <w:r w:rsidRPr="006662F5">
        <w:t>Mead Data Cent., Inc. v. Toyota Motor Sales, USA, Inc., 875 F.2d 1026, 10 USPQ2d 1961 (2d Cir. 1989).</w:t>
      </w:r>
    </w:p>
  </w:footnote>
  <w:footnote w:id="239">
    <w:p w:rsidR="00431229" w:rsidRPr="00974D9D" w:rsidRDefault="00431229" w:rsidP="00790EA5">
      <w:pPr>
        <w:pStyle w:val="FootnoteText"/>
      </w:pPr>
      <w:r>
        <w:rPr>
          <w:rStyle w:val="FootnoteReference"/>
          <w:rFonts w:eastAsiaTheme="majorEastAsia"/>
        </w:rPr>
        <w:footnoteRef/>
      </w:r>
      <w:r>
        <w:rPr>
          <w:i/>
          <w:iCs/>
        </w:rPr>
        <w:t>See</w:t>
      </w:r>
      <w:r>
        <w:t xml:space="preserve"> Mintable Pte. Ltd. v. Mintology, Inc., 2024 WL 3454825, at *10, </w:t>
      </w:r>
      <w:r w:rsidRPr="00790EA5">
        <w:t>2024 BL 245923</w:t>
      </w:r>
      <w:r>
        <w:t xml:space="preserve"> (S.D.N.Y. Jul. 18, 2024) (noting similarity to </w:t>
      </w:r>
      <w:r>
        <w:rPr>
          <w:i/>
          <w:iCs/>
        </w:rPr>
        <w:t xml:space="preserve">Polaroid </w:t>
      </w:r>
      <w:r w:rsidRPr="00E44D89">
        <w:t>factors</w:t>
      </w:r>
      <w:r w:rsidRPr="00A2378B">
        <w:t xml:space="preserve"> </w:t>
      </w:r>
      <w:r>
        <w:t xml:space="preserve">and that court had already addressed all but the last factor in the confusion analysis); Portkey Tech. Pte. Ltd. v. Venkateswaran, 2024 WL 3487735, at *12, </w:t>
      </w:r>
      <w:r w:rsidRPr="00790EA5">
        <w:t>2024 BL 249224</w:t>
      </w:r>
      <w:r>
        <w:t xml:space="preserve"> (S.D.N.Y. Jul. 19, 2024) (refusing to dismiss complaint, noting similarity of blurring factors to confusion factors); Girl Scouts of the United States of Amer., v. Boy Scouts of Amer., 597 F. Supp. 3d 581, 604  (S.D.N.Y. 2022) (finding those factors to overlap confusion factors).  At least one court used these factors in denying a motion to dismiss a tarnishment claim. Kwality Foods LLC v. Babco Foods Int’l LLC, 2024 WL 4124241, at *3, </w:t>
      </w:r>
      <w:r w:rsidRPr="00790EA5">
        <w:t>2024 BL 316198</w:t>
      </w:r>
      <w:r>
        <w:t xml:space="preserve"> (S.D.N.Y. Sept. 9, 2024).</w:t>
      </w:r>
    </w:p>
  </w:footnote>
  <w:footnote w:id="240">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e</w:t>
      </w:r>
      <w:r w:rsidRPr="006662F5">
        <w:t>.</w:t>
      </w:r>
      <w:r w:rsidRPr="006662F5">
        <w:rPr>
          <w:i/>
          <w:iCs/>
        </w:rPr>
        <w:t>g</w:t>
      </w:r>
      <w:r w:rsidRPr="006662F5">
        <w:t xml:space="preserve">., Horn’s, Inc. v. Sanofi Beaute, Inc., 963 F. Supp. 318, 328, 43 USPQ2d 1008 (S.D.N.Y. 1997) (also citing lack of predatory intent); Mejia &amp; Assocs., Inc. v. International Bus. Machs. Corp., 920 F. Supp. 540, 552 (S.D.N.Y. 1996); Paco Sport, Ltd. v. Paco Rabanne Parfums, 86 F. Supp. 2d 305, 311–12, 54 USPQ2d 1205 (S.D.N.Y.), </w:t>
      </w:r>
      <w:r w:rsidRPr="006662F5">
        <w:rPr>
          <w:i/>
          <w:iCs/>
        </w:rPr>
        <w:t>aff’d</w:t>
      </w:r>
      <w:r w:rsidRPr="006662F5">
        <w:t>, 234 F.3d 1262, 2000 WL 1721126 (2d Cir. 2000) (unpublished opinion) (supporting district court’s finding of a weak mark); Computer Assocs. Int’l, Inc. v. AJV Computerized Data Mgmt., Inc., 889 F. Supp. 630, 639, 36 USPQ2d 1430 (E.D.N.Y. 1995) (also citing sophistication of customers and lack of predatory intent).</w:t>
      </w:r>
    </w:p>
  </w:footnote>
  <w:footnote w:id="241">
    <w:p w:rsidR="00431229" w:rsidRPr="006662F5" w:rsidRDefault="00431229">
      <w:pPr>
        <w:pStyle w:val="footnote"/>
        <w:rPr>
          <w:szCs w:val="20"/>
        </w:rPr>
      </w:pPr>
      <w:r w:rsidRPr="006662F5">
        <w:rPr>
          <w:szCs w:val="20"/>
          <w:vertAlign w:val="superscript"/>
        </w:rPr>
        <w:footnoteRef/>
      </w:r>
      <w:r w:rsidRPr="008214DA">
        <w:t>Gucci Am., Inc. v. Guess?, Inc., 868 F. Supp. 2d 207, 252–53 (S.D.N.Y. 2012) (citing lack of a “strong mark”).</w:t>
      </w:r>
    </w:p>
  </w:footnote>
  <w:footnote w:id="242">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w:t>
      </w:r>
      <w:r w:rsidRPr="006662F5">
        <w:rPr>
          <w:i/>
          <w:iCs/>
        </w:rPr>
        <w:t xml:space="preserve"> </w:t>
      </w:r>
      <w:r w:rsidRPr="006662F5">
        <w:t>Louis Vuitton Malletier, S.A. v. Hyundai Motor Am., 2012 U.S. Dist. LEXIS 42795, at *46 (S.D.N.Y. Mar. 22, 2012). Similarity is discussed in detail in</w:t>
      </w:r>
      <w:r w:rsidRPr="006662F5">
        <w:rPr>
          <w:i/>
          <w:iCs/>
        </w:rPr>
        <w:t xml:space="preserve"> </w:t>
      </w:r>
      <w:r w:rsidRPr="006662F5">
        <w:t>§V, below.</w:t>
      </w:r>
    </w:p>
  </w:footnote>
  <w:footnote w:id="243">
    <w:p w:rsidR="00431229" w:rsidRPr="006662F5" w:rsidRDefault="00431229" w:rsidP="006A6457">
      <w:pPr>
        <w:pStyle w:val="footnote"/>
      </w:pPr>
      <w:r w:rsidRPr="006662F5">
        <w:rPr>
          <w:vertAlign w:val="superscript"/>
        </w:rPr>
        <w:footnoteRef/>
      </w:r>
      <w:r w:rsidRPr="006662F5">
        <w:rPr>
          <w:i/>
          <w:iCs/>
        </w:rPr>
        <w:t>E</w:t>
      </w:r>
      <w:r w:rsidRPr="006662F5">
        <w:t>.</w:t>
      </w:r>
      <w:r w:rsidRPr="006662F5">
        <w:rPr>
          <w:i/>
          <w:iCs/>
        </w:rPr>
        <w:t>g</w:t>
      </w:r>
      <w:r w:rsidRPr="006662F5">
        <w:t xml:space="preserve">., </w:t>
      </w:r>
      <w:r>
        <w:t xml:space="preserve">Jackpocket, Inc. v. Lottomatrix NY LLC, 645 F. Supp. 3d 185, 279-80 (S.D.N.Y. 2022) (noting that New York law requires “substantial similarity”); </w:t>
      </w:r>
      <w:r w:rsidRPr="00C4121D">
        <w:t>Disney Enters., Inc. v. Sarelli, 322 F. Supp. 3d 413, 440 (S.D.N.Y. 2018) (citing lack of similarity of the characters used by the parties and the difference in services and goods sold as a significant factor in denying blurring claim under New York law);</w:t>
      </w:r>
      <w:r w:rsidRPr="00C4121D">
        <w:rPr>
          <w:rFonts w:eastAsiaTheme="minorEastAsia"/>
          <w:sz w:val="24"/>
          <w:szCs w:val="22"/>
        </w:rPr>
        <w:t xml:space="preserve"> </w:t>
      </w:r>
      <w:r w:rsidRPr="00C4121D">
        <w:t>Gucci Am., Inc. v. Guess?, Inc., 868 F. Supp. 2d 207, 253 (S.D.N.Y. 2012) (lack of similarity causes federal and New York dilution claims to fail);</w:t>
      </w:r>
      <w:r>
        <w:t xml:space="preserve"> </w:t>
      </w:r>
      <w:r w:rsidRPr="006662F5">
        <w:t xml:space="preserve">Merriam-Webster, Inc. v. Random House, Inc., 35 F.3d 65, 71, 32 USPQ2d 1010 (2d Cir. 1994), </w:t>
      </w:r>
      <w:r w:rsidRPr="006662F5">
        <w:rPr>
          <w:i/>
          <w:iCs/>
        </w:rPr>
        <w:t>cert</w:t>
      </w:r>
      <w:r w:rsidRPr="006662F5">
        <w:t>.</w:t>
      </w:r>
      <w:r w:rsidRPr="006662F5">
        <w:rPr>
          <w:i/>
          <w:iCs/>
        </w:rPr>
        <w:t xml:space="preserve"> denied</w:t>
      </w:r>
      <w:r w:rsidRPr="006662F5">
        <w:t xml:space="preserve">, 513 U.S. 1190 (1995); Landscape Forms, Inc. v. Columbia Cascade Co., 117 F. Supp. 2d 360, 367–68, 56 USPQ2d 1613 (S.D.N.Y. 2000); Eastern Am. Trio Prods., Inc. v. Tang Elec. Corp., 97 F. Supp. 2d 395, 408, 54 USPQ2d 1776 (S.D.N.Y. 2000); Conopco, Inc. v. Cosmair, Inc., 49 F. Supp. 2d 242, 258 (S.D.N.Y. 1999); Paco Sport, Ltd. v. Paco Rabanne Parfums, 86 F. Supp. 2d 305, 330, 54 USPQ2d 1205 (S.D.N.Y.), </w:t>
      </w:r>
      <w:r w:rsidRPr="006662F5">
        <w:rPr>
          <w:i/>
          <w:iCs/>
        </w:rPr>
        <w:t>aff’d</w:t>
      </w:r>
      <w:r w:rsidRPr="006662F5">
        <w:t xml:space="preserve">, 234 F.3d 1262 (2d Cir. 2000); Girl Scouts of the United States of Am. v. Bantam Doubleday Dell Publ’g Group, Inc., 808 F. Supp. 1112, 1131, 25 USPQ2d 1737 (S.D.N.Y. 1992) (Sweet factors not cited; dilution fails for lack of similarity), </w:t>
      </w:r>
      <w:r w:rsidRPr="006662F5">
        <w:rPr>
          <w:i/>
          <w:iCs/>
        </w:rPr>
        <w:t>aff’d</w:t>
      </w:r>
      <w:r w:rsidRPr="006662F5">
        <w:t>, 996 F.2d 1477, 27 USPQ2d 1316 (2d Cir. 1993); La Cibeles, Inc. v. Adipar, Ltd., 2000 WL 1253240, at *6</w:t>
      </w:r>
      <w:r>
        <w:t xml:space="preserve">, </w:t>
      </w:r>
      <w:r w:rsidRPr="006A6457">
        <w:t>2000 BL 604</w:t>
      </w:r>
      <w:r w:rsidRPr="006662F5">
        <w:t xml:space="preserve"> (S.D.N.Y. Aug. 31, 2000).</w:t>
      </w:r>
    </w:p>
  </w:footnote>
  <w:footnote w:id="244">
    <w:p w:rsidR="00431229" w:rsidRPr="006662F5" w:rsidRDefault="00431229">
      <w:pPr>
        <w:pStyle w:val="footnote"/>
      </w:pPr>
      <w:r w:rsidRPr="006662F5">
        <w:rPr>
          <w:vertAlign w:val="superscript"/>
        </w:rPr>
        <w:footnoteRef/>
      </w:r>
      <w:r w:rsidRPr="006662F5">
        <w:rPr>
          <w:i/>
          <w:iCs/>
        </w:rPr>
        <w:t>See</w:t>
      </w:r>
      <w:r w:rsidRPr="006662F5">
        <w:t xml:space="preserve"> Landscape Forms, Inc. v. Columbia Cascade Co., 117 F. Supp. 2d 360, 370, 56 USPQ2d 1613 (S.D.N.Y. 2000) (applying its finding of no bad faith in its confusion analysis to the predatory intent factor in dilution).</w:t>
      </w:r>
    </w:p>
  </w:footnote>
  <w:footnote w:id="245">
    <w:p w:rsidR="00431229" w:rsidRPr="006662F5" w:rsidRDefault="00431229">
      <w:pPr>
        <w:pStyle w:val="footnote"/>
      </w:pPr>
      <w:r w:rsidRPr="006662F5">
        <w:rPr>
          <w:vertAlign w:val="superscript"/>
        </w:rPr>
        <w:footnoteRef/>
      </w:r>
      <w:r w:rsidRPr="006662F5">
        <w:t xml:space="preserve">Kraft Gen. Foods, Inc. v. Allied Old English, Inc., 831 F. Supp. 123, 135, 31 USPQ2d 1094 (S.D.N.Y. 1993); </w:t>
      </w:r>
      <w:r w:rsidRPr="006662F5">
        <w:rPr>
          <w:i/>
          <w:iCs/>
        </w:rPr>
        <w:t>see</w:t>
      </w:r>
      <w:r w:rsidRPr="006662F5">
        <w:t xml:space="preserve"> Times Mirror Magazines, Inc. v. Las Vegas Sports News, LLC, 212 F.3d 157, 169, 54 USPQ2d 1577 (3d Cir. 2000) (approving district court’s finding that defendant was aware of plaintiff’s mark when defendant changed the name of its magazine), </w:t>
      </w:r>
      <w:r w:rsidRPr="006662F5">
        <w:rPr>
          <w:i/>
          <w:iCs/>
        </w:rPr>
        <w:t>cert</w:t>
      </w:r>
      <w:r w:rsidRPr="006662F5">
        <w:t>.</w:t>
      </w:r>
      <w:r w:rsidRPr="006662F5">
        <w:rPr>
          <w:i/>
          <w:iCs/>
        </w:rPr>
        <w:t xml:space="preserve"> denied</w:t>
      </w:r>
      <w:r w:rsidRPr="006662F5">
        <w:t>, 531 U.S. 1071 (2001); Stern’s Miracle-Gro Prods., Inc. v. Shark Prods., Inc., 823 F. Supp. 1077, 1092, 27 USPQ2d 1267 (S.D.N.Y. 1993); Hester Indus., Inc. v. Tyson Foods, Inc., 16 USPQ2d 1275, 1281–82 (N.D.N.Y. 1990); Eastman Kodak Co. v. Rakow, 739 F. Supp. 116, 119, 15 USPQ2d 1631 (W.D.N.Y. 1989) (continued use by defendant of stage name Kodak after agreeing not to do so).</w:t>
      </w:r>
    </w:p>
  </w:footnote>
  <w:footnote w:id="246">
    <w:p w:rsidR="00431229" w:rsidRPr="006662F5" w:rsidRDefault="00431229">
      <w:pPr>
        <w:pStyle w:val="footnote"/>
      </w:pPr>
      <w:r w:rsidRPr="006662F5">
        <w:rPr>
          <w:vertAlign w:val="superscript"/>
        </w:rPr>
        <w:footnoteRef/>
      </w:r>
      <w:r w:rsidRPr="006662F5">
        <w:t xml:space="preserve">50 F. Supp. 2d 188 (S.D.N.Y.), </w:t>
      </w:r>
      <w:r w:rsidRPr="006662F5">
        <w:rPr>
          <w:i/>
          <w:iCs/>
        </w:rPr>
        <w:t>aff’d</w:t>
      </w:r>
      <w:r w:rsidRPr="006662F5">
        <w:t>, 191 F.3d 208, 51 USPQ2d 1882 (2d Cir. 1999).</w:t>
      </w:r>
    </w:p>
  </w:footnote>
  <w:footnote w:id="247">
    <w:p w:rsidR="00431229" w:rsidRPr="006662F5" w:rsidRDefault="00431229">
      <w:pPr>
        <w:pStyle w:val="footnote"/>
      </w:pPr>
      <w:r w:rsidRPr="006662F5">
        <w:rPr>
          <w:vertAlign w:val="superscript"/>
        </w:rPr>
        <w:footnoteRef/>
      </w:r>
      <w:r w:rsidRPr="006662F5">
        <w:rPr>
          <w:i/>
          <w:iCs/>
        </w:rPr>
        <w:t>Id</w:t>
      </w:r>
      <w:r w:rsidRPr="006662F5">
        <w:t xml:space="preserve">. at 207. The claim revolved around dilution of the trade dress of Goldfish </w:t>
      </w:r>
      <w:r w:rsidRPr="006662F5">
        <w:softHyphen/>
        <w:t>crackers.</w:t>
      </w:r>
    </w:p>
  </w:footnote>
  <w:footnote w:id="248">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207–08.</w:t>
      </w:r>
    </w:p>
  </w:footnote>
  <w:footnote w:id="249">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208.</w:t>
      </w:r>
    </w:p>
  </w:footnote>
  <w:footnote w:id="250">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208–09.</w:t>
      </w:r>
    </w:p>
  </w:footnote>
  <w:footnote w:id="251">
    <w:p w:rsidR="00431229" w:rsidRPr="006662F5" w:rsidRDefault="00431229">
      <w:pPr>
        <w:pStyle w:val="footnote"/>
      </w:pPr>
      <w:r w:rsidRPr="006662F5">
        <w:rPr>
          <w:vertAlign w:val="superscript"/>
        </w:rPr>
        <w:footnoteRef/>
      </w:r>
      <w:r w:rsidRPr="006662F5">
        <w:t>191 F.3d at 225–26.</w:t>
      </w:r>
    </w:p>
  </w:footnote>
  <w:footnote w:id="252">
    <w:p w:rsidR="00431229" w:rsidRPr="006662F5" w:rsidRDefault="00431229">
      <w:pPr>
        <w:pStyle w:val="footnote"/>
      </w:pPr>
      <w:r w:rsidRPr="006662F5">
        <w:rPr>
          <w:vertAlign w:val="superscript"/>
        </w:rPr>
        <w:footnoteRef/>
      </w:r>
      <w:r w:rsidRPr="006662F5">
        <w:t xml:space="preserve">The court suggested that discovery sanctions under Federal Rule of Civil Procedure 37(b)(2) would be the appropriate course. </w:t>
      </w:r>
      <w:r w:rsidRPr="006662F5">
        <w:rPr>
          <w:i/>
          <w:iCs/>
        </w:rPr>
        <w:t>Id</w:t>
      </w:r>
      <w:r w:rsidRPr="006662F5">
        <w:t>. at 225. To be fair, the district court’s reasoning in this matter was at least tangentially related to intent. It inferred from plaintiff’s refusal to turn over samples of its product in a timely fashion for inspection that the plaintiff showed a bad intent with respect to those products. But the Second Circuit reasonably concluded that this was too far removed from the non-litigation aspects of the case to be relevant.</w:t>
      </w:r>
    </w:p>
  </w:footnote>
  <w:footnote w:id="253">
    <w:p w:rsidR="00431229" w:rsidRPr="006662F5" w:rsidRDefault="00431229">
      <w:pPr>
        <w:pStyle w:val="footnote"/>
      </w:pPr>
      <w:r w:rsidRPr="006662F5">
        <w:rPr>
          <w:vertAlign w:val="superscript"/>
        </w:rPr>
        <w:footnoteRef/>
      </w:r>
      <w:r w:rsidRPr="006662F5">
        <w:rPr>
          <w:i/>
          <w:iCs/>
        </w:rPr>
        <w:t>Id</w:t>
      </w:r>
      <w:r w:rsidRPr="006662F5">
        <w:t>. at 225.</w:t>
      </w:r>
    </w:p>
  </w:footnote>
  <w:footnote w:id="254">
    <w:p w:rsidR="00431229" w:rsidRPr="006662F5" w:rsidRDefault="00431229">
      <w:pPr>
        <w:pStyle w:val="footnote"/>
      </w:pPr>
      <w:r w:rsidRPr="006662F5">
        <w:rPr>
          <w:vertAlign w:val="superscript"/>
        </w:rPr>
        <w:footnoteRef/>
      </w:r>
      <w:r w:rsidRPr="006662F5">
        <w:rPr>
          <w:i/>
          <w:iCs/>
        </w:rPr>
        <w:t>Id</w:t>
      </w:r>
      <w:r w:rsidRPr="006662F5">
        <w:t>. at 226.</w:t>
      </w:r>
    </w:p>
  </w:footnote>
  <w:footnote w:id="255">
    <w:p w:rsidR="00431229" w:rsidRPr="006662F5" w:rsidRDefault="00431229">
      <w:pPr>
        <w:pStyle w:val="footnote"/>
      </w:pPr>
      <w:r w:rsidRPr="006662F5">
        <w:rPr>
          <w:vertAlign w:val="superscript"/>
        </w:rPr>
        <w:footnoteRef/>
      </w:r>
      <w:r w:rsidRPr="006662F5">
        <w:rPr>
          <w:i/>
          <w:iCs/>
        </w:rPr>
        <w:t>Id</w:t>
      </w:r>
      <w:r w:rsidRPr="006662F5">
        <w:t xml:space="preserve">. The Second Circuit did not include predatory intent in its own list of relevant factors. </w:t>
      </w:r>
      <w:r w:rsidRPr="006662F5">
        <w:rPr>
          <w:i/>
          <w:iCs/>
        </w:rPr>
        <w:t>Id</w:t>
      </w:r>
      <w:r w:rsidRPr="006662F5">
        <w:t xml:space="preserve">. at 228. However, its discussion of predatory intent and its admonition that courts not create rigid tests early in the process, </w:t>
      </w:r>
      <w:r w:rsidRPr="006662F5">
        <w:rPr>
          <w:i/>
          <w:iCs/>
        </w:rPr>
        <w:t>see</w:t>
      </w:r>
      <w:r w:rsidRPr="006662F5">
        <w:t xml:space="preserve"> </w:t>
      </w:r>
      <w:r w:rsidRPr="006662F5">
        <w:rPr>
          <w:i/>
          <w:iCs/>
        </w:rPr>
        <w:t>id</w:t>
      </w:r>
      <w:r w:rsidRPr="006662F5">
        <w:t>. at 227–28, appear to contemplate the continuance of predatory intent as a relevant factor.</w:t>
      </w:r>
    </w:p>
  </w:footnote>
  <w:footnote w:id="256">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e</w:t>
      </w:r>
      <w:r w:rsidRPr="006662F5">
        <w:t>.</w:t>
      </w:r>
      <w:r w:rsidRPr="006662F5">
        <w:rPr>
          <w:i/>
          <w:iCs/>
        </w:rPr>
        <w:t>g</w:t>
      </w:r>
      <w:r w:rsidRPr="006662F5">
        <w:t xml:space="preserve">., Louis Vuitton Malletier, S.A. v. Hyundai Motor Am., 2012 U.S. Dist. LEXIS 42795, at *46 (S.D.N.Y. Mar. 22, 2012) (citing predatory intent); Tri-Star Pictures, Inc. v. Unger, 14 F. Supp. 2d 339, 363 &amp; n.26 (S.D.N.Y. 1998); Stern’s Miracle-Gro Prod., Inc. v. Shark Prod., Inc., 823 F. Supp. 1077, 1092, 27 USPQ2d 1267 (S.D.N.Y. 1993); Kraft Gen. Foods, Inc. v. Allied Old English, Inc., 831 F. Supp. 123, 135, 31 USPQ2d 1094 (S.D.N.Y. 1993); McDonald’s Corp. v. McBagels, Inc., 649 F. Supp. 1268, 1281, 1 USPQ2d 1761 (S.D.N.Y. 1986); Toys “R” Us, Inc. v. Canarsie Kiddie Shop, Inc., 559 F. Supp. 1189, 1208, 217 USPQ 1137 (E.D.N.Y. 1983). </w:t>
      </w:r>
      <w:r w:rsidRPr="006662F5">
        <w:rPr>
          <w:i/>
          <w:iCs/>
        </w:rPr>
        <w:t>But see</w:t>
      </w:r>
      <w:r w:rsidRPr="006662F5">
        <w:t xml:space="preserve"> Merriam-Webster, Inc. v. Random House, Inc., 35 F.3d 65, 73, 32 USPQ2d 1010 (2d Cir. 1994) (finding no dilution where the only factor favoring dilution was predatory intent), </w:t>
      </w:r>
      <w:r w:rsidRPr="006662F5">
        <w:rPr>
          <w:i/>
          <w:iCs/>
        </w:rPr>
        <w:t>cert</w:t>
      </w:r>
      <w:r w:rsidRPr="006662F5">
        <w:t>.</w:t>
      </w:r>
      <w:r w:rsidRPr="006662F5">
        <w:rPr>
          <w:i/>
          <w:iCs/>
        </w:rPr>
        <w:t xml:space="preserve"> denied</w:t>
      </w:r>
      <w:r w:rsidRPr="006662F5">
        <w:t>, 513 U.S. 1190 (1995); GTFM, Inc. v. Solid Clothing, Inc., 215 F. Supp. 2d 273, 301 (S.D.N.Y. 2002).</w:t>
      </w:r>
    </w:p>
  </w:footnote>
  <w:footnote w:id="257">
    <w:p w:rsidR="00431229" w:rsidRPr="006662F5" w:rsidRDefault="00431229">
      <w:pPr>
        <w:pStyle w:val="footnote"/>
      </w:pPr>
      <w:r w:rsidRPr="006662F5">
        <w:rPr>
          <w:vertAlign w:val="superscript"/>
        </w:rPr>
        <w:footnoteRef/>
      </w:r>
      <w:r w:rsidRPr="00C4121D">
        <w:t>Disney Enters., Inc. v. Sarelli, 322 F. Supp. 3d 413, 440 (S.D.N.Y. 2018) (citing lack of “evidence that Defendants adopted Plaintiffs’ marks with the intent of profiting from an association with their strong marks,” and, in fact, finding the contrary);</w:t>
      </w:r>
      <w:r>
        <w:t xml:space="preserve"> </w:t>
      </w:r>
      <w:r w:rsidRPr="006662F5">
        <w:t xml:space="preserve">Jim Beam Brands Co. v. Beamish &amp; Crawford, Ltd., 852 F. Supp. 196, 201, 31 USPQ2d 1518 (S.D.N.Y. 1994) (citing the defendant’s “clear good-faith”); </w:t>
      </w:r>
      <w:r w:rsidRPr="006662F5">
        <w:rPr>
          <w:i/>
          <w:iCs/>
        </w:rPr>
        <w:t xml:space="preserve">see also </w:t>
      </w:r>
      <w:r w:rsidRPr="006662F5">
        <w:t>Greenpoint Fin. Corp. v. Sperry &amp; Hutchinson Co., 116 F. Supp. 2d 405, 414 (S.D.N.Y. 2000); Simon &amp; Schuster, Inc. v. Dove Audio, Inc., 970 F. Supp. 279, 302–03 (S.D.N.Y. 1997); Judith Ripka Designs, Ltd. v. Preville, 935 F. Supp. 237, 259 (S.D.N.Y. 1996).</w:t>
      </w:r>
    </w:p>
  </w:footnote>
  <w:footnote w:id="258">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A &amp; H Sportswear, Inc. v. Victoria’s Secret Stores, Inc., 926 F. Supp. 1233, 1265 (E.D. Pa. 1996), </w:t>
      </w:r>
      <w:r w:rsidRPr="006662F5">
        <w:rPr>
          <w:i/>
          <w:iCs/>
        </w:rPr>
        <w:t>aff’d</w:t>
      </w:r>
      <w:r w:rsidRPr="006662F5">
        <w:t xml:space="preserve">, 166 F.3d 191, 49 USPQ2d 1493 (3d Cir. 1999); </w:t>
      </w:r>
      <w:r w:rsidRPr="006662F5">
        <w:rPr>
          <w:i/>
          <w:iCs/>
        </w:rPr>
        <w:t>see</w:t>
      </w:r>
      <w:r w:rsidRPr="006662F5">
        <w:t xml:space="preserve"> Nugget Distribs. Co-op v. Mr. Nugget, 776 F. Supp. 1012, 1024, 20 USPQ2d 1263 (E.D. Pa. 1991). Pennsylvania, which once had a law like New York’s, has since changed its law to conform to the 1996 version of the Model Bill, under which predatory intent is required only for damages.</w:t>
      </w:r>
    </w:p>
  </w:footnote>
  <w:footnote w:id="259">
    <w:p w:rsidR="00431229" w:rsidRPr="006662F5" w:rsidRDefault="00431229">
      <w:pPr>
        <w:pStyle w:val="footnote"/>
      </w:pPr>
      <w:r w:rsidRPr="006662F5">
        <w:rPr>
          <w:vertAlign w:val="superscript"/>
        </w:rPr>
        <w:footnoteRef/>
      </w:r>
      <w:r w:rsidRPr="006662F5">
        <w:t>Sally Gee, Inc. v. Myra Hogan, Inc., 699 F.2d 621, 626, 217 USPQ 658 (2d Cir. 1983).</w:t>
      </w:r>
    </w:p>
  </w:footnote>
  <w:footnote w:id="260">
    <w:p w:rsidR="00431229" w:rsidRPr="006662F5" w:rsidRDefault="00431229">
      <w:pPr>
        <w:pStyle w:val="footnote"/>
      </w:pPr>
      <w:r w:rsidRPr="006662F5">
        <w:rPr>
          <w:vertAlign w:val="superscript"/>
        </w:rPr>
        <w:footnoteRef/>
      </w:r>
      <w:r w:rsidRPr="006662F5">
        <w:t>117 F. Supp. 2d 360, 56 USPQ2d 1613 (S.D.N.Y. 2000).</w:t>
      </w:r>
    </w:p>
  </w:footnote>
  <w:footnote w:id="261">
    <w:p w:rsidR="00431229" w:rsidRPr="006662F5" w:rsidRDefault="00431229">
      <w:pPr>
        <w:pStyle w:val="footnote"/>
      </w:pPr>
      <w:r w:rsidRPr="006662F5">
        <w:rPr>
          <w:vertAlign w:val="superscript"/>
        </w:rPr>
        <w:footnoteRef/>
      </w:r>
      <w:r w:rsidRPr="006662F5">
        <w:rPr>
          <w:i/>
          <w:iCs/>
        </w:rPr>
        <w:t>Id</w:t>
      </w:r>
      <w:r w:rsidRPr="006662F5">
        <w:t>.</w:t>
      </w:r>
    </w:p>
  </w:footnote>
  <w:footnote w:id="262">
    <w:p w:rsidR="00431229" w:rsidRPr="006662F5" w:rsidRDefault="00431229">
      <w:pPr>
        <w:pStyle w:val="footnote"/>
      </w:pPr>
      <w:r w:rsidRPr="006662F5">
        <w:rPr>
          <w:vertAlign w:val="superscript"/>
        </w:rPr>
        <w:footnoteRef/>
      </w:r>
      <w:r w:rsidRPr="006662F5">
        <w:rPr>
          <w:i/>
          <w:iCs/>
        </w:rPr>
        <w:t>Id</w:t>
      </w:r>
      <w:r w:rsidRPr="006662F5">
        <w:t>. at 370</w:t>
      </w:r>
      <w:r>
        <w:t>;</w:t>
      </w:r>
      <w:r w:rsidRPr="00C4121D">
        <w:rPr>
          <w:rFonts w:eastAsiaTheme="minorEastAsia"/>
          <w:sz w:val="24"/>
          <w:szCs w:val="22"/>
        </w:rPr>
        <w:t xml:space="preserve"> </w:t>
      </w:r>
      <w:r w:rsidRPr="00C4121D">
        <w:t>Disney Enters., Inc. v. Sarelli, 322 F. Supp. 3d 413, 440 (S.D.N.Y. 2018) (citing lack of evidence that defendant would become well known).</w:t>
      </w:r>
    </w:p>
  </w:footnote>
  <w:footnote w:id="263">
    <w:p w:rsidR="00431229" w:rsidRPr="006662F5" w:rsidRDefault="00431229">
      <w:pPr>
        <w:pStyle w:val="footnote"/>
      </w:pPr>
      <w:r w:rsidRPr="006662F5">
        <w:rPr>
          <w:vertAlign w:val="superscript"/>
        </w:rPr>
        <w:footnoteRef/>
      </w:r>
      <w:r w:rsidRPr="00C4121D">
        <w:rPr>
          <w:i/>
          <w:iCs/>
        </w:rPr>
        <w:t>E.g.</w:t>
      </w:r>
      <w:r w:rsidRPr="00C4121D">
        <w:t>, Balady, Inc. v. Elhindi, 2014 WL 7342867, at *9 (E.D.N.Y. Dec. 19, 2014) (default judgment) (noting a lack of evidence on this factor, but finding dilution based on other factors).</w:t>
      </w:r>
      <w:r>
        <w:t xml:space="preserve"> </w:t>
      </w:r>
      <w:r w:rsidRPr="006662F5">
        <w:t xml:space="preserve">Therefore, one of the </w:t>
      </w:r>
      <w:r w:rsidRPr="006662F5">
        <w:rPr>
          <w:i/>
          <w:iCs/>
        </w:rPr>
        <w:t>Nabisco</w:t>
      </w:r>
      <w:r w:rsidRPr="006662F5">
        <w:t xml:space="preserve"> factors, the timeliness of the plaintiff’s action against the junior use, becomes important in this analysis.</w:t>
      </w:r>
    </w:p>
  </w:footnote>
  <w:footnote w:id="264">
    <w:p w:rsidR="00431229" w:rsidRPr="00C4457D" w:rsidRDefault="00431229">
      <w:pPr>
        <w:pStyle w:val="footnote"/>
        <w:rPr>
          <w:lang w:val="es-US"/>
        </w:rPr>
      </w:pPr>
      <w:r w:rsidRPr="006662F5">
        <w:rPr>
          <w:vertAlign w:val="superscript"/>
        </w:rPr>
        <w:footnoteRef/>
      </w:r>
      <w:r w:rsidRPr="00C4457D">
        <w:rPr>
          <w:lang w:val="es-US"/>
        </w:rPr>
        <w:t>293 F.3d 550, 62 USPQ2d 1260 (2d Cir. 2002).</w:t>
      </w:r>
    </w:p>
  </w:footnote>
  <w:footnote w:id="265">
    <w:p w:rsidR="00431229" w:rsidRPr="006662F5" w:rsidRDefault="00431229">
      <w:pPr>
        <w:pStyle w:val="footnote"/>
      </w:pPr>
      <w:r w:rsidRPr="006662F5">
        <w:rPr>
          <w:vertAlign w:val="superscript"/>
        </w:rPr>
        <w:footnoteRef/>
      </w:r>
      <w:r w:rsidRPr="006662F5">
        <w:t>GTFM, Inc. v. Solid Clothing, Inc., 215 F. Supp. 2d 273, 301 (S.D.N.Y. 2002).</w:t>
      </w:r>
    </w:p>
  </w:footnote>
  <w:footnote w:id="266">
    <w:p w:rsidR="00431229" w:rsidRPr="006662F5" w:rsidRDefault="00431229">
      <w:pPr>
        <w:pStyle w:val="footnote"/>
      </w:pPr>
      <w:r w:rsidRPr="006662F5">
        <w:rPr>
          <w:vertAlign w:val="superscript"/>
        </w:rPr>
        <w:footnoteRef/>
      </w:r>
      <w:r w:rsidRPr="006662F5">
        <w:rPr>
          <w:i/>
          <w:iCs/>
        </w:rPr>
        <w:t>Id</w:t>
      </w:r>
      <w:r w:rsidRPr="006662F5">
        <w:t>.</w:t>
      </w:r>
    </w:p>
  </w:footnote>
  <w:footnote w:id="267">
    <w:p w:rsidR="00431229" w:rsidRPr="006662F5" w:rsidRDefault="00431229">
      <w:pPr>
        <w:pStyle w:val="footnote"/>
      </w:pPr>
      <w:r w:rsidRPr="006662F5">
        <w:rPr>
          <w:vertAlign w:val="superscript"/>
        </w:rPr>
        <w:footnoteRef/>
      </w:r>
      <w:r w:rsidRPr="006662F5">
        <w:t xml:space="preserve">Katz v. Modiri, 283 F. Supp. 2d 883, 901 (S.D.N.Y. 2003). Implicitly, the same was true in </w:t>
      </w:r>
      <w:r w:rsidRPr="006662F5">
        <w:rPr>
          <w:i/>
          <w:iCs/>
        </w:rPr>
        <w:t>Montblanc-Simplo</w:t>
      </w:r>
      <w:r w:rsidRPr="006662F5">
        <w:t xml:space="preserve"> </w:t>
      </w:r>
      <w:r w:rsidRPr="006662F5">
        <w:rPr>
          <w:i/>
          <w:iCs/>
        </w:rPr>
        <w:t>GmbH v</w:t>
      </w:r>
      <w:r w:rsidRPr="006662F5">
        <w:t>.</w:t>
      </w:r>
      <w:r w:rsidRPr="006662F5">
        <w:rPr>
          <w:i/>
          <w:iCs/>
        </w:rPr>
        <w:t xml:space="preserve"> Aurora Due S</w:t>
      </w:r>
      <w:r w:rsidRPr="006662F5">
        <w:t>.</w:t>
      </w:r>
      <w:r w:rsidRPr="006662F5">
        <w:rPr>
          <w:i/>
          <w:iCs/>
        </w:rPr>
        <w:t>r</w:t>
      </w:r>
      <w:r w:rsidRPr="006662F5">
        <w:t>.</w:t>
      </w:r>
      <w:r w:rsidRPr="006662F5">
        <w:rPr>
          <w:i/>
          <w:iCs/>
        </w:rPr>
        <w:t>L</w:t>
      </w:r>
      <w:r w:rsidRPr="006662F5">
        <w:t xml:space="preserve">., 363 F. Supp. 2d 467 (E.D.N.Y. 2005), where the court, applying the </w:t>
      </w:r>
      <w:r w:rsidRPr="006662F5">
        <w:rPr>
          <w:i/>
          <w:iCs/>
        </w:rPr>
        <w:t>Mead</w:t>
      </w:r>
      <w:r w:rsidRPr="006662F5">
        <w:t xml:space="preserve"> factors, noted that its earlier discussion—in which sophistication weighed against confusion—applied to the dilution discussion. </w:t>
      </w:r>
      <w:r w:rsidRPr="006662F5">
        <w:rPr>
          <w:i/>
          <w:iCs/>
        </w:rPr>
        <w:t>Id</w:t>
      </w:r>
      <w:r w:rsidRPr="006662F5">
        <w:t>. at 484.</w:t>
      </w:r>
      <w:r>
        <w:t xml:space="preserve"> </w:t>
      </w:r>
      <w:r w:rsidRPr="00C4121D">
        <w:rPr>
          <w:i/>
          <w:iCs/>
        </w:rPr>
        <w:t>See also</w:t>
      </w:r>
      <w:r w:rsidRPr="00C4121D">
        <w:t xml:space="preserve"> Disney Enters., Inc. v. Sarelli, 322 F. Supp. 3d 413, 440 (S.D.N.Y. 2018) (citing lack of evidence about customer sophistication).</w:t>
      </w:r>
    </w:p>
  </w:footnote>
  <w:footnote w:id="268">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Binney &amp; Smith v. Rose Art Indus., 60 USPQ2d 2000, 2004 (E.D. Pa. 2001); McNeil Consumer Brands, Inc. v. U.S. Dentek Corp., 116 F. Supp. 2d 604, 606, 56 USPQ2d 1758 (E.D. Pa. 2000).</w:t>
      </w:r>
    </w:p>
  </w:footnote>
  <w:footnote w:id="269">
    <w:p w:rsidR="00431229" w:rsidRPr="006662F5" w:rsidRDefault="00431229">
      <w:pPr>
        <w:pStyle w:val="footnote"/>
      </w:pPr>
      <w:r w:rsidRPr="006662F5">
        <w:rPr>
          <w:vertAlign w:val="superscript"/>
        </w:rPr>
        <w:footnoteRef/>
      </w:r>
      <w:r w:rsidRPr="006662F5">
        <w:t xml:space="preserve">McNeil Consumer Brands, Inc. v. U.S. Dentek Corp., 116 F. Supp. 2d 604, 607–08, 56 USPQ2d 1758 (E.D. Pa. 2000); </w:t>
      </w:r>
      <w:r w:rsidRPr="006662F5">
        <w:rPr>
          <w:i/>
          <w:iCs/>
        </w:rPr>
        <w:t>see</w:t>
      </w:r>
      <w:r w:rsidRPr="006662F5">
        <w:t xml:space="preserve"> Eli Lilly &amp; Co. v. Natural Answers, Inc., 233 F.3d 456, 469, 56 USPQ2d 1942 (7th Cir. 2000).</w:t>
      </w:r>
    </w:p>
  </w:footnote>
  <w:footnote w:id="270">
    <w:p w:rsidR="00431229" w:rsidRPr="006662F5" w:rsidRDefault="00431229">
      <w:pPr>
        <w:pStyle w:val="footnote"/>
      </w:pPr>
      <w:r w:rsidRPr="006662F5">
        <w:rPr>
          <w:vertAlign w:val="superscript"/>
        </w:rPr>
        <w:footnoteRef/>
      </w:r>
      <w:r w:rsidRPr="006662F5">
        <w:t xml:space="preserve">V Secret Catalogue, Inc. v. Moseley, 259 F.3d 464, 476–77 (6th Cir. 2001), </w:t>
      </w:r>
      <w:r w:rsidRPr="006662F5">
        <w:rPr>
          <w:i/>
          <w:iCs/>
        </w:rPr>
        <w:t>rev’d</w:t>
      </w:r>
      <w:r w:rsidRPr="006662F5">
        <w:t>, 537 U.S. 418, 65 USPQ2d 1801 (2003).</w:t>
      </w:r>
    </w:p>
  </w:footnote>
  <w:footnote w:id="271">
    <w:p w:rsidR="00431229" w:rsidRPr="006662F5" w:rsidRDefault="00431229">
      <w:pPr>
        <w:pStyle w:val="footnote"/>
      </w:pPr>
      <w:r w:rsidRPr="006662F5">
        <w:rPr>
          <w:vertAlign w:val="superscript"/>
        </w:rPr>
        <w:footnoteRef/>
      </w:r>
      <w:r w:rsidRPr="006662F5">
        <w:t>See Chapter 9, §II.D.3, for further discussion of this issue.</w:t>
      </w:r>
    </w:p>
  </w:footnote>
  <w:footnote w:id="272">
    <w:p w:rsidR="00431229" w:rsidRPr="006662F5" w:rsidRDefault="00431229">
      <w:pPr>
        <w:pStyle w:val="footnote"/>
      </w:pPr>
      <w:r w:rsidRPr="006662F5">
        <w:rPr>
          <w:vertAlign w:val="superscript"/>
        </w:rPr>
        <w:footnoteRef/>
      </w:r>
      <w:r w:rsidRPr="006662F5">
        <w:t>97 F. Supp. 2d 395, 54 USPQ2d 1776 (S.D.N.Y. 2000).</w:t>
      </w:r>
    </w:p>
  </w:footnote>
  <w:footnote w:id="273">
    <w:p w:rsidR="00431229" w:rsidRPr="006662F5" w:rsidRDefault="00431229">
      <w:pPr>
        <w:pStyle w:val="footnote"/>
      </w:pPr>
      <w:r w:rsidRPr="006662F5">
        <w:rPr>
          <w:vertAlign w:val="superscript"/>
        </w:rPr>
        <w:footnoteRef/>
      </w:r>
      <w:r w:rsidRPr="006662F5">
        <w:rPr>
          <w:i/>
          <w:iCs/>
        </w:rPr>
        <w:t>Id</w:t>
      </w:r>
      <w:r w:rsidRPr="006662F5">
        <w:t xml:space="preserve">. at 425. The court also stated that it had applied the “traditional six factor test” of </w:t>
      </w:r>
      <w:r w:rsidRPr="006662F5">
        <w:rPr>
          <w:i/>
          <w:iCs/>
        </w:rPr>
        <w:t>Mead Data</w:t>
      </w:r>
      <w:r w:rsidRPr="006662F5">
        <w:t xml:space="preserve">. </w:t>
      </w:r>
      <w:r w:rsidRPr="006662F5">
        <w:rPr>
          <w:i/>
          <w:iCs/>
        </w:rPr>
        <w:t>Id</w:t>
      </w:r>
      <w:r w:rsidRPr="006662F5">
        <w:t xml:space="preserve">. Using both tests, the court found no dilution. </w:t>
      </w:r>
      <w:r w:rsidRPr="006662F5">
        <w:rPr>
          <w:i/>
          <w:iCs/>
        </w:rPr>
        <w:t>See</w:t>
      </w:r>
      <w:r w:rsidRPr="006662F5">
        <w:t xml:space="preserve"> Greenpoint Fin. Corp. v. Sperry &amp; Hutchinson Co., 116 F. Supp. 2d 405, 414 (S.D.N.Y. 2000) (using both the </w:t>
      </w:r>
      <w:r w:rsidRPr="006662F5">
        <w:rPr>
          <w:i/>
          <w:iCs/>
        </w:rPr>
        <w:t>Mead Data</w:t>
      </w:r>
      <w:r w:rsidRPr="006662F5">
        <w:t xml:space="preserve"> and </w:t>
      </w:r>
      <w:r w:rsidRPr="006662F5">
        <w:rPr>
          <w:i/>
          <w:iCs/>
        </w:rPr>
        <w:t>Nabisco</w:t>
      </w:r>
      <w:r w:rsidRPr="006662F5">
        <w:t xml:space="preserve"> factors).</w:t>
      </w:r>
    </w:p>
  </w:footnote>
  <w:footnote w:id="274">
    <w:p w:rsidR="00431229" w:rsidRPr="006662F5" w:rsidRDefault="00431229">
      <w:pPr>
        <w:pStyle w:val="footnote"/>
      </w:pPr>
      <w:r w:rsidRPr="006662F5">
        <w:rPr>
          <w:vertAlign w:val="superscript"/>
        </w:rPr>
        <w:footnoteRef/>
      </w:r>
      <w:r w:rsidRPr="006662F5">
        <w:t xml:space="preserve">Starbucks Corp. v. Wolfe’s Borough Coffee, Inc., 588 F.3d 97, 114, 92 USPQ2d 1769 (2d Cir. 2009) (indicating approval of the use of the </w:t>
      </w:r>
      <w:r w:rsidRPr="006662F5">
        <w:rPr>
          <w:i/>
          <w:iCs/>
        </w:rPr>
        <w:t>Mead Data</w:t>
      </w:r>
      <w:r w:rsidRPr="006662F5">
        <w:t xml:space="preserve"> factors); </w:t>
      </w:r>
      <w:r w:rsidRPr="00C4121D">
        <w:t>Gucci Am., Inc. v. Guess?, Inc., 868 F. Supp. 2d 207, 241–42 (S.D.N.Y. 2012);</w:t>
      </w:r>
      <w:r w:rsidRPr="006662F5">
        <w:t xml:space="preserve"> Louis Vuitton Malletier, S.A. v. Hyundai Motor Am., 2012 U.S. Dist. LEXIS 42795, at *44 (S.D.N.Y. Mar. 22, 2012) (same).</w:t>
      </w:r>
    </w:p>
  </w:footnote>
  <w:footnote w:id="275">
    <w:p w:rsidR="00431229" w:rsidRPr="006662F5" w:rsidRDefault="00431229">
      <w:pPr>
        <w:pStyle w:val="footnote"/>
      </w:pPr>
      <w:r w:rsidRPr="006662F5">
        <w:rPr>
          <w:vertAlign w:val="superscript"/>
        </w:rPr>
        <w:footnoteRef/>
      </w:r>
      <w:r w:rsidRPr="006662F5">
        <w:rPr>
          <w:i/>
          <w:iCs/>
          <w:spacing w:val="-4"/>
        </w:rPr>
        <w:t>See</w:t>
      </w:r>
      <w:r w:rsidRPr="006662F5">
        <w:rPr>
          <w:spacing w:val="-4"/>
        </w:rPr>
        <w:t xml:space="preserve"> Guide to Understanding the Model State Trademark Bill, Overview of 2007 </w:t>
      </w:r>
      <w:r w:rsidRPr="006662F5">
        <w:t xml:space="preserve">Amendments, </w:t>
      </w:r>
      <w:r w:rsidRPr="006662F5">
        <w:rPr>
          <w:spacing w:val="-4"/>
        </w:rPr>
        <w:t>§</w:t>
      </w:r>
      <w:r w:rsidRPr="006662F5">
        <w:t xml:space="preserve">1—Definitions, </w:t>
      </w:r>
      <w:r w:rsidRPr="006662F5">
        <w:rPr>
          <w:i/>
          <w:iCs/>
        </w:rPr>
        <w:t>available at</w:t>
      </w:r>
      <w:r w:rsidRPr="006662F5">
        <w:t xml:space="preserve"> http://www.inta.org/Advocacy/Pages/Model</w:t>
      </w:r>
      <w:r w:rsidRPr="006662F5">
        <w:br/>
        <w:t>LawsandGuidelines.aspx.</w:t>
      </w:r>
    </w:p>
  </w:footnote>
  <w:footnote w:id="276">
    <w:p w:rsidR="00431229" w:rsidRPr="006662F5" w:rsidRDefault="00431229">
      <w:pPr>
        <w:pStyle w:val="footnote"/>
      </w:pPr>
      <w:r w:rsidRPr="006662F5">
        <w:rPr>
          <w:vertAlign w:val="superscript"/>
        </w:rPr>
        <w:footnoteRef/>
      </w:r>
      <w:r w:rsidRPr="006662F5">
        <w:t>778 F. Supp. 2d 726 (N.D. Tex. 2011).</w:t>
      </w:r>
    </w:p>
  </w:footnote>
  <w:footnote w:id="277">
    <w:p w:rsidR="00431229" w:rsidRPr="006662F5" w:rsidRDefault="00431229">
      <w:pPr>
        <w:pStyle w:val="footnote"/>
      </w:pPr>
      <w:r w:rsidRPr="006662F5">
        <w:rPr>
          <w:vertAlign w:val="superscript"/>
        </w:rPr>
        <w:footnoteRef/>
      </w:r>
      <w:r w:rsidRPr="006662F5">
        <w:rPr>
          <w:i/>
          <w:iCs/>
        </w:rPr>
        <w:t>Id</w:t>
      </w:r>
      <w:r w:rsidRPr="006662F5">
        <w:t xml:space="preserve">. at 745. There was no precedent for such a test under Texas law (or any other state law). The court acknowledged its </w:t>
      </w:r>
      <w:r w:rsidRPr="006662F5">
        <w:rPr>
          <w:i/>
          <w:iCs/>
        </w:rPr>
        <w:t>Erie</w:t>
      </w:r>
      <w:r w:rsidRPr="006662F5">
        <w:t xml:space="preserve"> obligation to interpret the state statute as a state court would, but noted a lack of helpful precedent. Somewhat ironically, Texas subsequently amended its statute and adopted the 2007 Model Bill. </w:t>
      </w:r>
      <w:r w:rsidRPr="006662F5">
        <w:rPr>
          <w:smallCaps/>
        </w:rPr>
        <w:t>Tex. Bus. &amp; Com. Code Ann</w:t>
      </w:r>
      <w:r w:rsidRPr="006662F5">
        <w:t>. §§16.001(2)–(4), 16.103 (2011).</w:t>
      </w:r>
    </w:p>
  </w:footnote>
  <w:footnote w:id="278">
    <w:p w:rsidR="00431229" w:rsidRPr="006662F5" w:rsidRDefault="00431229">
      <w:pPr>
        <w:pStyle w:val="footnote"/>
      </w:pPr>
      <w:r w:rsidRPr="006662F5">
        <w:rPr>
          <w:vertAlign w:val="superscript"/>
        </w:rPr>
        <w:footnoteRef/>
      </w:r>
      <w:r w:rsidRPr="006662F5">
        <w:t>778 F. Supp. 2d at 745.</w:t>
      </w:r>
    </w:p>
  </w:footnote>
  <w:footnote w:id="279">
    <w:p w:rsidR="00431229" w:rsidRPr="006662F5" w:rsidRDefault="00431229">
      <w:pPr>
        <w:pStyle w:val="footnote"/>
      </w:pPr>
      <w:r w:rsidRPr="006662F5">
        <w:rPr>
          <w:vertAlign w:val="superscript"/>
        </w:rPr>
        <w:footnoteRef/>
      </w:r>
      <w:r w:rsidRPr="006662F5">
        <w:t xml:space="preserve">The court noted that many commentators have differentiated dilution from confusion, but also noted that many courts include confusion in their dilution analyses. </w:t>
      </w:r>
      <w:r w:rsidRPr="006662F5">
        <w:rPr>
          <w:i/>
          <w:iCs/>
        </w:rPr>
        <w:t>Id</w:t>
      </w:r>
      <w:r w:rsidRPr="006662F5">
        <w:t>.</w:t>
      </w:r>
      <w:r w:rsidRPr="006662F5">
        <w:rPr>
          <w:i/>
          <w:iCs/>
        </w:rPr>
        <w:t xml:space="preserve"> </w:t>
      </w:r>
      <w:r w:rsidRPr="006662F5">
        <w:t>at 746-47.</w:t>
      </w:r>
    </w:p>
  </w:footnote>
  <w:footnote w:id="280">
    <w:p w:rsidR="00431229" w:rsidRPr="006662F5" w:rsidRDefault="00431229">
      <w:pPr>
        <w:pStyle w:val="footnote"/>
      </w:pPr>
      <w:r w:rsidRPr="006662F5">
        <w:rPr>
          <w:vertAlign w:val="superscript"/>
        </w:rPr>
        <w:footnoteRef/>
      </w:r>
      <w:r w:rsidRPr="006662F5">
        <w:rPr>
          <w:i/>
          <w:iCs/>
        </w:rPr>
        <w:t>Id</w:t>
      </w:r>
      <w:r w:rsidRPr="006662F5">
        <w:t>. at 746.</w:t>
      </w:r>
    </w:p>
  </w:footnote>
  <w:footnote w:id="281">
    <w:p w:rsidR="00431229" w:rsidRPr="006662F5" w:rsidRDefault="00431229">
      <w:pPr>
        <w:pStyle w:val="footnote"/>
      </w:pPr>
      <w:r w:rsidRPr="006662F5">
        <w:rPr>
          <w:vertAlign w:val="superscript"/>
        </w:rPr>
        <w:footnoteRef/>
      </w:r>
      <w:r w:rsidRPr="006662F5">
        <w:rPr>
          <w:i/>
          <w:iCs/>
        </w:rPr>
        <w:t>Id</w:t>
      </w:r>
      <w:r w:rsidRPr="006662F5">
        <w:t xml:space="preserve">. at 750; </w:t>
      </w:r>
      <w:r w:rsidRPr="006662F5">
        <w:rPr>
          <w:i/>
          <w:iCs/>
        </w:rPr>
        <w:t>see</w:t>
      </w:r>
      <w:r w:rsidRPr="006662F5">
        <w:t xml:space="preserve"> Starbucks Corp. v. Wolfe’s Borough Coffee, Inc., 588 F.3d 97, 114, 92 USPQ2d 1769 (2d Cir. 2009).</w:t>
      </w:r>
    </w:p>
  </w:footnote>
  <w:footnote w:id="282">
    <w:p w:rsidR="00431229" w:rsidRPr="006662F5" w:rsidRDefault="00431229">
      <w:pPr>
        <w:pStyle w:val="footnote"/>
      </w:pPr>
      <w:r w:rsidRPr="006662F5">
        <w:rPr>
          <w:vertAlign w:val="superscript"/>
        </w:rPr>
        <w:footnoteRef/>
      </w:r>
      <w:r w:rsidRPr="006662F5">
        <w:t>778 F. Supp. 2d at 751.</w:t>
      </w:r>
    </w:p>
  </w:footnote>
  <w:footnote w:id="283">
    <w:p w:rsidR="00431229" w:rsidRPr="006662F5" w:rsidRDefault="00431229">
      <w:pPr>
        <w:pStyle w:val="footnote"/>
      </w:pPr>
      <w:r w:rsidRPr="006662F5">
        <w:rPr>
          <w:vertAlign w:val="superscript"/>
        </w:rPr>
        <w:footnoteRef/>
      </w:r>
      <w:r w:rsidRPr="006662F5">
        <w:rPr>
          <w:i/>
          <w:iCs/>
        </w:rPr>
        <w:t>Id</w:t>
      </w:r>
      <w:r w:rsidRPr="006662F5">
        <w:t xml:space="preserve">. at 754–55, 759. The court conceded that the marks in question were not particularly distinctive. </w:t>
      </w:r>
      <w:r w:rsidRPr="006662F5">
        <w:rPr>
          <w:i/>
          <w:iCs/>
        </w:rPr>
        <w:t>Id</w:t>
      </w:r>
      <w:r w:rsidRPr="006662F5">
        <w:t xml:space="preserve">. at 752. In fact, there was no direct evidence of the distinctiveness of plaintiff’s mark, which the court inferred from the number of locations and quantity of advertising. </w:t>
      </w:r>
      <w:r w:rsidRPr="006662F5">
        <w:rPr>
          <w:i/>
          <w:iCs/>
        </w:rPr>
        <w:t>Id</w:t>
      </w:r>
      <w:r w:rsidRPr="006662F5">
        <w:t xml:space="preserve">. at 742–44. The recognition of the mark was limited to a niche market, which made it ineligible for federal protection, but Texas law at that time did not require a famous mark. </w:t>
      </w:r>
    </w:p>
  </w:footnote>
  <w:footnote w:id="284">
    <w:p w:rsidR="00431229" w:rsidRPr="006662F5" w:rsidRDefault="00431229">
      <w:pPr>
        <w:pStyle w:val="footnote"/>
      </w:pPr>
      <w:r w:rsidRPr="006662F5">
        <w:rPr>
          <w:vertAlign w:val="superscript"/>
        </w:rPr>
        <w:footnoteRef/>
      </w:r>
      <w:r w:rsidRPr="006662F5">
        <w:rPr>
          <w:i/>
          <w:iCs/>
        </w:rPr>
        <w:t>Id</w:t>
      </w:r>
      <w:r w:rsidRPr="006662F5">
        <w:t xml:space="preserve">. at 751 (citing Visa Int’l Serv. Ass’n v. JSL Corp., 610 F.3d 1088, 95 USPQ2d1571 (9th Cir. 2010)). </w:t>
      </w:r>
      <w:r w:rsidRPr="006662F5">
        <w:rPr>
          <w:i/>
          <w:iCs/>
        </w:rPr>
        <w:t>Visa</w:t>
      </w:r>
      <w:r w:rsidRPr="006662F5">
        <w:t xml:space="preserve"> is discussed in Chapter 9.</w:t>
      </w:r>
    </w:p>
  </w:footnote>
  <w:footnote w:id="285">
    <w:p w:rsidR="00431229" w:rsidRDefault="00431229" w:rsidP="006A6457">
      <w:pPr>
        <w:pStyle w:val="FootnoteText"/>
      </w:pPr>
      <w:r>
        <w:rPr>
          <w:rStyle w:val="FootnoteReference"/>
          <w:rFonts w:eastAsiaTheme="majorEastAsia"/>
        </w:rPr>
        <w:footnoteRef/>
      </w:r>
      <w:r>
        <w:t xml:space="preserve"> Spark Therapeutics, Inc. v. Bluebird Bio, Inc., 2022 WL 605724, at *17</w:t>
      </w:r>
      <w:r w:rsidRPr="006662F5">
        <w:t>–</w:t>
      </w:r>
      <w:r>
        <w:t xml:space="preserve">18, </w:t>
      </w:r>
      <w:r w:rsidRPr="006A6457">
        <w:t>2022 BL 24684</w:t>
      </w:r>
      <w:r>
        <w:t xml:space="preserve"> (D. Del. Jan. 25, 2022).</w:t>
      </w:r>
    </w:p>
  </w:footnote>
  <w:footnote w:id="286">
    <w:p w:rsidR="00431229" w:rsidRPr="006662F5" w:rsidRDefault="00431229">
      <w:pPr>
        <w:pStyle w:val="footnote"/>
      </w:pPr>
      <w:r w:rsidRPr="006662F5">
        <w:rPr>
          <w:vertAlign w:val="superscript"/>
        </w:rPr>
        <w:footnoteRef/>
      </w:r>
      <w:r w:rsidRPr="006662F5">
        <w:t>The 2007 Model Bill, under which, it was assumed, the factors would be deemed relevant, also requires a famous mark, albeit one famous in the state or a portion of a state.</w:t>
      </w:r>
    </w:p>
  </w:footnote>
  <w:footnote w:id="287">
    <w:p w:rsidR="00431229" w:rsidRDefault="00431229">
      <w:pPr>
        <w:pStyle w:val="FootnoteText"/>
      </w:pPr>
      <w:r>
        <w:rPr>
          <w:rStyle w:val="FootnoteReference"/>
          <w:rFonts w:eastAsiaTheme="majorEastAsia"/>
        </w:rPr>
        <w:footnoteRef/>
      </w:r>
      <w:r w:rsidRPr="00C4121D">
        <w:t xml:space="preserve">In </w:t>
      </w:r>
      <w:r w:rsidRPr="00C4121D">
        <w:rPr>
          <w:i/>
          <w:iCs/>
        </w:rPr>
        <w:t>Gruma Corp</w:t>
      </w:r>
      <w:r w:rsidRPr="00C4121D">
        <w:t>.</w:t>
      </w:r>
      <w:r w:rsidRPr="00C4121D">
        <w:rPr>
          <w:i/>
          <w:iCs/>
        </w:rPr>
        <w:t xml:space="preserve"> v</w:t>
      </w:r>
      <w:r w:rsidRPr="00C4121D">
        <w:t>.</w:t>
      </w:r>
      <w:r w:rsidRPr="00C4121D">
        <w:rPr>
          <w:i/>
          <w:iCs/>
        </w:rPr>
        <w:t xml:space="preserve"> Mexican Restaurants, Inc</w:t>
      </w:r>
      <w:r w:rsidRPr="00C4121D">
        <w:t>., 497 F. App’x 392, 400 (5th Cir. 2012), the court assumed, without deciding, that the TDRA factors would be relevant under the former Texas law. Although it pointed to exclusive use as a factor, its analysis relied largely on distinctiveness and similarity.</w:t>
      </w:r>
    </w:p>
  </w:footnote>
  <w:footnote w:id="288">
    <w:p w:rsidR="00431229" w:rsidRPr="006662F5" w:rsidRDefault="00431229">
      <w:pPr>
        <w:pStyle w:val="footnote"/>
      </w:pPr>
      <w:r w:rsidRPr="006662F5">
        <w:rPr>
          <w:vertAlign w:val="superscript"/>
        </w:rPr>
        <w:footnoteRef/>
      </w:r>
      <w:r w:rsidRPr="006662F5">
        <w:rPr>
          <w:i/>
          <w:iCs/>
        </w:rPr>
        <w:t>See</w:t>
      </w:r>
      <w:r w:rsidRPr="006662F5">
        <w:t xml:space="preserve"> Hormel Foods Corp. v. Jim Henson Prods., Inc., 73 F.3d 497, 507, 37 USPQ2d 1516 (2d Cir. 1996); Deere &amp; Co. v. MTD Prods., Inc., 41 F.3d 39, 44, 32 USPQ2d 1936 (2d Cir. 1994).</w:t>
      </w:r>
    </w:p>
  </w:footnote>
  <w:footnote w:id="289">
    <w:p w:rsidR="00431229" w:rsidRPr="006662F5" w:rsidRDefault="00431229">
      <w:pPr>
        <w:pStyle w:val="footnote"/>
      </w:pPr>
      <w:r w:rsidRPr="006662F5">
        <w:rPr>
          <w:vertAlign w:val="superscript"/>
        </w:rPr>
        <w:footnoteRef/>
      </w:r>
      <w:r w:rsidRPr="006662F5">
        <w:t>Restatement (Third) of Unfair Competition §25 cmt. c (1995).</w:t>
      </w:r>
    </w:p>
  </w:footnote>
  <w:footnote w:id="290">
    <w:p w:rsidR="00431229" w:rsidRPr="006662F5" w:rsidRDefault="00431229">
      <w:pPr>
        <w:pStyle w:val="footnote"/>
      </w:pPr>
      <w:r w:rsidRPr="006662F5">
        <w:rPr>
          <w:vertAlign w:val="superscript"/>
        </w:rPr>
        <w:footnoteRef/>
      </w:r>
      <w:r w:rsidRPr="006662F5">
        <w:rPr>
          <w:i/>
          <w:iCs/>
        </w:rPr>
        <w:t>Id</w:t>
      </w:r>
      <w:r w:rsidRPr="006662F5">
        <w:t>.</w:t>
      </w:r>
    </w:p>
  </w:footnote>
  <w:footnote w:id="291">
    <w:p w:rsidR="00431229" w:rsidRPr="006662F5" w:rsidRDefault="00431229">
      <w:pPr>
        <w:pStyle w:val="footnote"/>
      </w:pPr>
      <w:r w:rsidRPr="006662F5">
        <w:rPr>
          <w:vertAlign w:val="superscript"/>
        </w:rPr>
        <w:footnoteRef/>
      </w:r>
      <w:r w:rsidRPr="006662F5">
        <w:rPr>
          <w:i/>
          <w:iCs/>
        </w:rPr>
        <w:t>Id</w:t>
      </w:r>
      <w:r w:rsidRPr="006662F5">
        <w:t xml:space="preserve">. §25(1)(b) (tarnishment by trademark use); </w:t>
      </w:r>
      <w:r w:rsidRPr="006662F5">
        <w:rPr>
          <w:i/>
          <w:iCs/>
        </w:rPr>
        <w:t>id</w:t>
      </w:r>
      <w:r w:rsidRPr="006662F5">
        <w:t>. §25(2) (non-trademark use).</w:t>
      </w:r>
    </w:p>
  </w:footnote>
  <w:footnote w:id="292">
    <w:p w:rsidR="00431229" w:rsidRPr="006662F5" w:rsidRDefault="00431229">
      <w:pPr>
        <w:pStyle w:val="footnote"/>
      </w:pPr>
      <w:r w:rsidRPr="006662F5">
        <w:rPr>
          <w:vertAlign w:val="superscript"/>
        </w:rPr>
        <w:footnoteRef/>
      </w:r>
      <w:r w:rsidRPr="006662F5">
        <w:rPr>
          <w:i/>
          <w:iCs/>
        </w:rPr>
        <w:t>USTA Report</w:t>
      </w:r>
      <w:r w:rsidRPr="006662F5">
        <w:t xml:space="preserve">, 77 </w:t>
      </w:r>
      <w:r w:rsidRPr="006662F5">
        <w:rPr>
          <w:smallCaps/>
        </w:rPr>
        <w:t>Trademark Rep.</w:t>
      </w:r>
      <w:r w:rsidRPr="006662F5">
        <w:t xml:space="preserve"> at 434.</w:t>
      </w:r>
    </w:p>
  </w:footnote>
  <w:footnote w:id="293">
    <w:p w:rsidR="00431229" w:rsidRPr="006662F5" w:rsidRDefault="00431229">
      <w:pPr>
        <w:pStyle w:val="footnote"/>
      </w:pPr>
      <w:r w:rsidRPr="006662F5">
        <w:rPr>
          <w:vertAlign w:val="superscript"/>
        </w:rPr>
        <w:footnoteRef/>
      </w:r>
      <w:r w:rsidRPr="006662F5">
        <w:rPr>
          <w:i/>
          <w:iCs/>
        </w:rPr>
        <w:t>Id</w:t>
      </w:r>
      <w:r w:rsidRPr="006662F5">
        <w:t xml:space="preserve">. at 433–44. </w:t>
      </w:r>
      <w:r w:rsidRPr="000540A5">
        <w:rPr>
          <w:i/>
        </w:rPr>
        <w:t>See</w:t>
      </w:r>
      <w:r w:rsidRPr="006662F5">
        <w:t xml:space="preserve"> Chapter 6, §II.B.1.</w:t>
      </w:r>
    </w:p>
  </w:footnote>
  <w:footnote w:id="294">
    <w:p w:rsidR="00431229" w:rsidRPr="006662F5" w:rsidRDefault="00431229">
      <w:pPr>
        <w:pStyle w:val="footnote"/>
      </w:pPr>
      <w:r w:rsidRPr="006662F5">
        <w:rPr>
          <w:vertAlign w:val="superscript"/>
        </w:rPr>
        <w:footnoteRef/>
      </w:r>
      <w:r w:rsidRPr="000540A5">
        <w:rPr>
          <w:i/>
        </w:rPr>
        <w:t>See</w:t>
      </w:r>
      <w:r w:rsidRPr="006662F5">
        <w:t xml:space="preserve"> Chapter 9, §II.E.1. </w:t>
      </w:r>
    </w:p>
  </w:footnote>
  <w:footnote w:id="295">
    <w:p w:rsidR="00431229" w:rsidRPr="006662F5" w:rsidRDefault="00431229">
      <w:pPr>
        <w:pStyle w:val="footnote"/>
      </w:pPr>
      <w:r w:rsidRPr="006662F5">
        <w:rPr>
          <w:vertAlign w:val="superscript"/>
        </w:rPr>
        <w:footnoteRef/>
      </w:r>
      <w:r w:rsidRPr="006662F5">
        <w:t xml:space="preserve">Whether such non-trademark uses are covered by dilution statutes patterned after the 1992, 1996, and 2007 Model Bills is open to some question. </w:t>
      </w:r>
      <w:r w:rsidRPr="000540A5">
        <w:rPr>
          <w:i/>
        </w:rPr>
        <w:t>See</w:t>
      </w:r>
      <w:r w:rsidRPr="006662F5">
        <w:t xml:space="preserve"> Chapter 9, §IV.</w:t>
      </w:r>
    </w:p>
  </w:footnote>
  <w:footnote w:id="296">
    <w:p w:rsidR="00431229" w:rsidRPr="006662F5" w:rsidRDefault="00431229">
      <w:pPr>
        <w:pStyle w:val="footnote"/>
      </w:pPr>
      <w:r w:rsidRPr="006662F5">
        <w:rPr>
          <w:vertAlign w:val="superscript"/>
        </w:rPr>
        <w:footnoteRef/>
      </w:r>
      <w:r w:rsidRPr="006662F5">
        <w:t xml:space="preserve">Lanham Act §45, 15 U.S.C. §1127 (definition of dilution), </w:t>
      </w:r>
      <w:r w:rsidRPr="006662F5">
        <w:rPr>
          <w:i/>
          <w:iCs/>
        </w:rPr>
        <w:t xml:space="preserve">superseded by </w:t>
      </w:r>
      <w:r w:rsidRPr="006662F5">
        <w:t xml:space="preserve">the Trademark Dilution Revision Act of 2006; </w:t>
      </w:r>
      <w:r w:rsidRPr="006662F5">
        <w:rPr>
          <w:i/>
          <w:iCs/>
        </w:rPr>
        <w:t>see</w:t>
      </w:r>
      <w:r w:rsidRPr="006662F5">
        <w:t xml:space="preserve"> 15 U.S.C. §1125(c)(2)(B), (C) (definitions of dilution by blurring and dilution by tarnishment); 1996 </w:t>
      </w:r>
      <w:r w:rsidRPr="006662F5">
        <w:rPr>
          <w:smallCaps/>
        </w:rPr>
        <w:t>Model Bill</w:t>
      </w:r>
      <w:r w:rsidRPr="006662F5">
        <w:t xml:space="preserve"> §1(K) (definition of dilution).</w:t>
      </w:r>
    </w:p>
  </w:footnote>
  <w:footnote w:id="297">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Hormel Foods Corp. v. Jim Henson Prods., Inc., 73 F.3d 497, 37 USPQ2d 1516 (2d Cir. 1996); Deere &amp; Co. v. MTD Prods., Inc., 41 F.3d 39, 32 USPQ2d 1936 (2d Cir. 1994); American Express Co. v. Vibra Approved Labs. Co., 10 USPQ2d 2006 (S.D.N.Y. 1989); Original Appalachian Artworks, Inc. v. Topps Chewing Gum, Inc., 642 F. Supp. 1031, 231 USPQ 850 (N.D. Ga. 1986); Tetley, Inc. v. Topps Chewing Gum, Inc., 556 F. Supp. 785, 217 USPQ 1128 (E.D.N.Y. 1983); Coca-Cola Co. v. Gemini Rising, Inc., 346 F. Supp. 1183, 175 USPQ 56 (E.D.N.Y. 1972).</w:t>
      </w:r>
    </w:p>
  </w:footnote>
  <w:footnote w:id="298">
    <w:p w:rsidR="00431229" w:rsidRPr="006662F5" w:rsidRDefault="00431229">
      <w:pPr>
        <w:pStyle w:val="footnote"/>
      </w:pPr>
      <w:r w:rsidRPr="006662F5">
        <w:rPr>
          <w:vertAlign w:val="superscript"/>
        </w:rPr>
        <w:footnoteRef/>
      </w:r>
      <w:r w:rsidRPr="006662F5">
        <w:t xml:space="preserve">Courts in many cases have attempted to do so. </w:t>
      </w:r>
      <w:r w:rsidRPr="006662F5">
        <w:rPr>
          <w:i/>
          <w:iCs/>
        </w:rPr>
        <w:t>E</w:t>
      </w:r>
      <w:r w:rsidRPr="006662F5">
        <w:t>.</w:t>
      </w:r>
      <w:r w:rsidRPr="006662F5">
        <w:rPr>
          <w:i/>
          <w:iCs/>
        </w:rPr>
        <w:t>g</w:t>
      </w:r>
      <w:r w:rsidRPr="006662F5">
        <w:t>.,</w:t>
      </w:r>
      <w:r w:rsidRPr="006662F5">
        <w:rPr>
          <w:i/>
          <w:iCs/>
        </w:rPr>
        <w:t xml:space="preserve"> </w:t>
      </w:r>
      <w:r w:rsidRPr="006662F5">
        <w:t xml:space="preserve">Mutual of Omaha Ins. Co. v. Novak, 836 F.2d 397, 401, 5 USPQ2d 1314 (8th Cir. 1987), </w:t>
      </w:r>
      <w:r w:rsidRPr="006662F5">
        <w:rPr>
          <w:i/>
          <w:iCs/>
        </w:rPr>
        <w:t>cert</w:t>
      </w:r>
      <w:r w:rsidRPr="006662F5">
        <w:t>.</w:t>
      </w:r>
      <w:r w:rsidRPr="006662F5">
        <w:rPr>
          <w:i/>
          <w:iCs/>
        </w:rPr>
        <w:t xml:space="preserve"> denied</w:t>
      </w:r>
      <w:r w:rsidRPr="006662F5">
        <w:t xml:space="preserve">, 488 U.S. 933 (1988); Chemical Corp. of Am. v. Anheuser-Busch, Inc., 306 F.2d 433, 437–38, 134 USPQ 524 (5th Cir. 1962) (although nominally basing its analysis on infringement, the court clearly used a dilution-by-tarnishment theory), </w:t>
      </w:r>
      <w:r w:rsidRPr="006662F5">
        <w:rPr>
          <w:i/>
          <w:iCs/>
        </w:rPr>
        <w:t>cert</w:t>
      </w:r>
      <w:r w:rsidRPr="006662F5">
        <w:t>.</w:t>
      </w:r>
      <w:r w:rsidRPr="006662F5">
        <w:rPr>
          <w:i/>
          <w:iCs/>
        </w:rPr>
        <w:t xml:space="preserve"> denied</w:t>
      </w:r>
      <w:r w:rsidRPr="006662F5">
        <w:t xml:space="preserve">, 372 U.S. 965 (1963); </w:t>
      </w:r>
      <w:r w:rsidRPr="006662F5">
        <w:rPr>
          <w:i/>
          <w:iCs/>
        </w:rPr>
        <w:t>Coca-Cola Co</w:t>
      </w:r>
      <w:r w:rsidRPr="006662F5">
        <w:t xml:space="preserve">., 346 F. Supp. at 1189; </w:t>
      </w:r>
      <w:r w:rsidRPr="006662F5">
        <w:rPr>
          <w:i/>
          <w:iCs/>
        </w:rPr>
        <w:t>cf</w:t>
      </w:r>
      <w:r w:rsidRPr="006662F5">
        <w:t xml:space="preserve">. Anheuser-Busch, Inc. v. Florist’s Ass‘n of Greater Cleveland, Inc., 603 F. Supp. 35, 38–39, 224 USPQ 493 (N.D. Ohio 1984) (no confusion found by florist’s advertisement “This Bud’s for You”). Other courts, however, have recognized that confusion is not the issue. </w:t>
      </w:r>
      <w:r w:rsidRPr="006662F5">
        <w:rPr>
          <w:i/>
          <w:iCs/>
        </w:rPr>
        <w:t>See, e</w:t>
      </w:r>
      <w:r w:rsidRPr="006662F5">
        <w:t>.</w:t>
      </w:r>
      <w:r w:rsidRPr="006662F5">
        <w:rPr>
          <w:i/>
          <w:iCs/>
        </w:rPr>
        <w:t>g</w:t>
      </w:r>
      <w:r w:rsidRPr="006662F5">
        <w:t>.,</w:t>
      </w:r>
      <w:r w:rsidRPr="006662F5">
        <w:rPr>
          <w:i/>
          <w:iCs/>
        </w:rPr>
        <w:t xml:space="preserve"> Hormel Foods Corp</w:t>
      </w:r>
      <w:r w:rsidRPr="006662F5">
        <w:t xml:space="preserve">., 73 F.3d at 503 (noting that “a parody depends on a lack of confusion to make its point”); </w:t>
      </w:r>
      <w:r w:rsidRPr="006662F5">
        <w:rPr>
          <w:i/>
          <w:iCs/>
        </w:rPr>
        <w:t>Deere &amp; Co</w:t>
      </w:r>
      <w:r w:rsidRPr="006662F5">
        <w:t>., 41 F.3d at 42 n.5; Jordache Enters., Inc. v. Hogg Wyld, Ltd., 828 F.2d 1482, 1486, 4 USPQ2d 1216 (10th Cir. 1987).</w:t>
      </w:r>
    </w:p>
  </w:footnote>
  <w:footnote w:id="299">
    <w:p w:rsidR="00431229" w:rsidRPr="006662F5" w:rsidRDefault="00431229">
      <w:pPr>
        <w:pStyle w:val="footnote"/>
      </w:pPr>
      <w:r w:rsidRPr="006662F5">
        <w:rPr>
          <w:vertAlign w:val="superscript"/>
        </w:rPr>
        <w:footnoteRef/>
      </w:r>
      <w:r w:rsidRPr="006662F5">
        <w:t xml:space="preserve">Gerard N. Magliocca, </w:t>
      </w:r>
      <w:r w:rsidRPr="006662F5">
        <w:rPr>
          <w:i/>
          <w:iCs/>
        </w:rPr>
        <w:t>One and Inseparable: Dilution and Infringement in Trademark Law</w:t>
      </w:r>
      <w:r w:rsidRPr="006662F5">
        <w:t xml:space="preserve">, 85 </w:t>
      </w:r>
      <w:r w:rsidRPr="006662F5">
        <w:rPr>
          <w:smallCaps/>
        </w:rPr>
        <w:t>Minn. L. Rev.</w:t>
      </w:r>
      <w:r w:rsidRPr="006662F5">
        <w:t xml:space="preserve"> 949, 1016–19, 1035–36 (2001).</w:t>
      </w:r>
    </w:p>
  </w:footnote>
  <w:footnote w:id="300">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David S. Welkowitz, </w:t>
      </w:r>
      <w:r w:rsidRPr="006662F5">
        <w:rPr>
          <w:i/>
          <w:iCs/>
        </w:rPr>
        <w:t>Reexamining Trademark Dilution</w:t>
      </w:r>
      <w:r w:rsidRPr="006662F5">
        <w:t xml:space="preserve">, 44 </w:t>
      </w:r>
      <w:r w:rsidRPr="006662F5">
        <w:rPr>
          <w:smallCaps/>
        </w:rPr>
        <w:t>Vand. L. Rev.</w:t>
      </w:r>
      <w:r w:rsidRPr="006662F5">
        <w:t xml:space="preserve"> 531, 587–88 (1991).</w:t>
      </w:r>
    </w:p>
  </w:footnote>
  <w:footnote w:id="301">
    <w:p w:rsidR="00431229" w:rsidRPr="006662F5" w:rsidRDefault="00431229">
      <w:pPr>
        <w:pStyle w:val="footnote"/>
      </w:pPr>
      <w:r w:rsidRPr="006662F5">
        <w:rPr>
          <w:vertAlign w:val="superscript"/>
        </w:rPr>
        <w:footnoteRef/>
      </w:r>
      <w:r w:rsidRPr="006662F5">
        <w:t>Moseley v. V Secret Catalogue, Inc., 537 U.S. 418, 430, 432, 65 USPQ2d 1801 (2003).</w:t>
      </w:r>
    </w:p>
  </w:footnote>
  <w:footnote w:id="302">
    <w:p w:rsidR="00431229" w:rsidRPr="00127AF1" w:rsidRDefault="00431229" w:rsidP="00740021">
      <w:pPr>
        <w:pStyle w:val="footnote"/>
        <w:rPr>
          <w:spacing w:val="-4"/>
        </w:rPr>
      </w:pPr>
      <w:r w:rsidRPr="006662F5">
        <w:rPr>
          <w:vertAlign w:val="superscript"/>
        </w:rPr>
        <w:footnoteRef/>
      </w:r>
      <w:r w:rsidRPr="006662F5">
        <w:rPr>
          <w:spacing w:val="-4"/>
        </w:rPr>
        <w:t xml:space="preserve">BDO Seidman LLP v. Alliantgroup, L.P., </w:t>
      </w:r>
      <w:r w:rsidRPr="006662F5">
        <w:t>2009 WL 1322555, at *10</w:t>
      </w:r>
      <w:r>
        <w:t xml:space="preserve">, </w:t>
      </w:r>
      <w:r w:rsidRPr="00740021">
        <w:t>2009 BL 102177</w:t>
      </w:r>
      <w:r w:rsidRPr="006662F5">
        <w:t xml:space="preserve"> (S.D. Tex. July 15, 2009) (denying defendant’s motion for summary judgment and pointing to possible injury to plaintiff’s business reputation);</w:t>
      </w:r>
      <w:r w:rsidRPr="006662F5">
        <w:rPr>
          <w:spacing w:val="-4"/>
        </w:rPr>
        <w:t xml:space="preserve"> Procter &amp; Gamble Co. v. Amway Corp., 80 F. Supp. 2d 639, 670 (S.D. Tex. 1999) (permitting suit for injury to business reputation even if there is no injury to the trademark), </w:t>
      </w:r>
      <w:r w:rsidRPr="006662F5">
        <w:rPr>
          <w:i/>
          <w:iCs/>
          <w:spacing w:val="-4"/>
        </w:rPr>
        <w:t>aff’d in part, rev’d in part</w:t>
      </w:r>
      <w:r w:rsidRPr="006662F5">
        <w:rPr>
          <w:spacing w:val="-4"/>
        </w:rPr>
        <w:t xml:space="preserve">, 242 F.3d 539, 58 USPQ2d 1008 (5th Cir.), </w:t>
      </w:r>
      <w:r w:rsidRPr="006662F5">
        <w:rPr>
          <w:i/>
          <w:iCs/>
          <w:spacing w:val="-4"/>
        </w:rPr>
        <w:t>cert</w:t>
      </w:r>
      <w:r w:rsidRPr="006662F5">
        <w:rPr>
          <w:spacing w:val="-4"/>
        </w:rPr>
        <w:t>.</w:t>
      </w:r>
      <w:r w:rsidRPr="006662F5">
        <w:rPr>
          <w:i/>
          <w:iCs/>
          <w:spacing w:val="-4"/>
        </w:rPr>
        <w:t xml:space="preserve"> denied</w:t>
      </w:r>
      <w:r w:rsidRPr="006662F5">
        <w:rPr>
          <w:spacing w:val="-4"/>
        </w:rPr>
        <w:t xml:space="preserve">, 534 U.S. 945 (2001); MDT Corp. v. New York Stock Exch., Inc., 858 F. Supp. 1028, 1034, 30 USPQ2d 1849 (C.D. Cal. 1994) (pointing to this language as denoting tarnishment); </w:t>
      </w:r>
      <w:r w:rsidRPr="00C4121D">
        <w:rPr>
          <w:spacing w:val="-4"/>
        </w:rPr>
        <w:t>Menudo Int’l LLC v. In Miami Prod. LLC, 2018 WL 1745395, at *5</w:t>
      </w:r>
      <w:r>
        <w:rPr>
          <w:spacing w:val="-4"/>
        </w:rPr>
        <w:t>–</w:t>
      </w:r>
      <w:r w:rsidRPr="00C4121D">
        <w:rPr>
          <w:spacing w:val="-4"/>
        </w:rPr>
        <w:t>6</w:t>
      </w:r>
      <w:r>
        <w:rPr>
          <w:spacing w:val="-4"/>
        </w:rPr>
        <w:t xml:space="preserve">, </w:t>
      </w:r>
      <w:r w:rsidRPr="00740021">
        <w:rPr>
          <w:spacing w:val="-4"/>
        </w:rPr>
        <w:t>2018 BL 127263</w:t>
      </w:r>
      <w:r w:rsidRPr="00C4121D">
        <w:rPr>
          <w:spacing w:val="-4"/>
        </w:rPr>
        <w:t xml:space="preserve"> (S.D. Fla. Apr. 11, 2018) (applying current Florida dilution statute, based on the 1996 Model Bill, to a claim of injury to business reputation);</w:t>
      </w:r>
      <w:r>
        <w:rPr>
          <w:spacing w:val="-4"/>
        </w:rPr>
        <w:t xml:space="preserve"> </w:t>
      </w:r>
      <w:r w:rsidRPr="006662F5">
        <w:rPr>
          <w:spacing w:val="-4"/>
        </w:rPr>
        <w:t xml:space="preserve">Sakura Japanese Steakhouse, Inc. v. Lin Yan, Inc., 827 So. 2d 1105, 1107 (Fla. Dist. Ct. App. 2002) (in dicta, specifically treating tarnishment as a form of injury to business reputation); Marks v. Cayo Hueso, Ltd., 437 So. 2d 775, 777 (Fla. Dist. Ct. App. 1983); </w:t>
      </w:r>
      <w:r w:rsidRPr="006662F5">
        <w:rPr>
          <w:i/>
          <w:iCs/>
          <w:spacing w:val="-4"/>
        </w:rPr>
        <w:t>see also</w:t>
      </w:r>
      <w:r w:rsidRPr="006662F5">
        <w:rPr>
          <w:spacing w:val="-4"/>
        </w:rPr>
        <w:t xml:space="preserve"> Safeway Stores, Inc. v. Safeway Discount Drugs, Inc., 675 F.2d 1160, 1168, 216 USPQ 599 (11th Cir. 1982).</w:t>
      </w:r>
      <w:r>
        <w:rPr>
          <w:spacing w:val="-4"/>
        </w:rPr>
        <w:t xml:space="preserve"> </w:t>
      </w:r>
      <w:r w:rsidRPr="00C4121D">
        <w:rPr>
          <w:i/>
          <w:iCs/>
          <w:spacing w:val="-4"/>
        </w:rPr>
        <w:t>But cf.</w:t>
      </w:r>
      <w:r w:rsidRPr="00C4121D">
        <w:rPr>
          <w:spacing w:val="-4"/>
        </w:rPr>
        <w:t xml:space="preserve"> Law Offices of Bradley J. Rephen, P.C. v. Lemberg &amp; Assocs., LLC, 2011 WL 13267203, at *5 (S.D.N.Y. June 6, 2011) (New York dilution law only applies to injuries to </w:t>
      </w:r>
      <w:r w:rsidRPr="00C4121D">
        <w:rPr>
          <w:i/>
          <w:iCs/>
          <w:spacing w:val="-4"/>
        </w:rPr>
        <w:t>business</w:t>
      </w:r>
      <w:r w:rsidRPr="00C4121D">
        <w:rPr>
          <w:spacing w:val="-4"/>
        </w:rPr>
        <w:t xml:space="preserve"> reputation, not personal reputation).</w:t>
      </w:r>
    </w:p>
  </w:footnote>
  <w:footnote w:id="303">
    <w:p w:rsidR="00431229" w:rsidRPr="00127AF1" w:rsidRDefault="00431229" w:rsidP="000D72AB">
      <w:pPr>
        <w:pStyle w:val="footnote"/>
        <w:rPr>
          <w:spacing w:val="-4"/>
        </w:rPr>
      </w:pPr>
      <w:r w:rsidRPr="006662F5">
        <w:rPr>
          <w:vertAlign w:val="superscript"/>
        </w:rPr>
        <w:footnoteRef/>
      </w:r>
      <w:r w:rsidRPr="006662F5">
        <w:t xml:space="preserve">Nevertheless, the headings of some, but by no means all, of the newer state statutes include the phrase “Injury to business reputation.” </w:t>
      </w:r>
      <w:r w:rsidRPr="00E44D89">
        <w:rPr>
          <w:i/>
          <w:iCs/>
          <w:lang w:val="sv-SE"/>
        </w:rPr>
        <w:t>E</w:t>
      </w:r>
      <w:r w:rsidRPr="00E44D89">
        <w:rPr>
          <w:lang w:val="sv-SE"/>
        </w:rPr>
        <w:t>.</w:t>
      </w:r>
      <w:r w:rsidRPr="00E44D89">
        <w:rPr>
          <w:i/>
          <w:iCs/>
          <w:lang w:val="sv-SE"/>
        </w:rPr>
        <w:t>g</w:t>
      </w:r>
      <w:r w:rsidRPr="00E44D89">
        <w:rPr>
          <w:lang w:val="sv-SE"/>
        </w:rPr>
        <w:t xml:space="preserve">., </w:t>
      </w:r>
      <w:r w:rsidRPr="00E44D89">
        <w:rPr>
          <w:smallCaps/>
          <w:lang w:val="sv-SE"/>
        </w:rPr>
        <w:t>Ark. Code Ann.</w:t>
      </w:r>
      <w:r w:rsidRPr="00E44D89">
        <w:rPr>
          <w:lang w:val="sv-SE"/>
        </w:rPr>
        <w:t xml:space="preserve"> §4-71-213 (LexisNexis 2001); </w:t>
      </w:r>
      <w:r w:rsidRPr="00E44D89">
        <w:rPr>
          <w:smallCaps/>
          <w:lang w:val="sv-SE"/>
        </w:rPr>
        <w:t>Haw. Rev. Stat. Ann.</w:t>
      </w:r>
      <w:r w:rsidRPr="00E44D89">
        <w:rPr>
          <w:lang w:val="sv-SE"/>
        </w:rPr>
        <w:t xml:space="preserve"> </w:t>
      </w:r>
      <w:r w:rsidRPr="006662F5">
        <w:t xml:space="preserve">§482-32 (LexisNexis 2005); 54 </w:t>
      </w:r>
      <w:r w:rsidRPr="006662F5">
        <w:rPr>
          <w:smallCaps/>
        </w:rPr>
        <w:t>Pa. Cons. Stat. Ann.</w:t>
      </w:r>
      <w:r w:rsidRPr="006662F5">
        <w:t xml:space="preserve"> §1124 (West Supp. 2012). </w:t>
      </w:r>
      <w:r w:rsidRPr="006662F5">
        <w:rPr>
          <w:i/>
          <w:iCs/>
        </w:rPr>
        <w:t>But cf</w:t>
      </w:r>
      <w:r w:rsidRPr="006662F5">
        <w:t xml:space="preserve">. </w:t>
      </w:r>
      <w:r w:rsidRPr="006662F5">
        <w:rPr>
          <w:smallCaps/>
        </w:rPr>
        <w:t>Neb. Rev. Stat.</w:t>
      </w:r>
      <w:r w:rsidRPr="006662F5">
        <w:t xml:space="preserve"> §87-140 (LexisNexis 2007) (heading does not contain the phrase); </w:t>
      </w:r>
      <w:r w:rsidRPr="006662F5">
        <w:rPr>
          <w:smallCaps/>
        </w:rPr>
        <w:t>N.J. Stat. Ann.</w:t>
      </w:r>
      <w:r w:rsidRPr="006662F5">
        <w:t xml:space="preserve"> §56:3-13.20 (West 2001) (heading does not contain the phrase). However, one probably should not overestimate the significance of these headings, particularly when they do not conform to the statutory language. Courts vary in their use of headings to aid in statutory construction. </w:t>
      </w:r>
      <w:r w:rsidRPr="006662F5">
        <w:rPr>
          <w:i/>
          <w:iCs/>
        </w:rPr>
        <w:t>See, e</w:t>
      </w:r>
      <w:r w:rsidRPr="006662F5">
        <w:t>.</w:t>
      </w:r>
      <w:r w:rsidRPr="006662F5">
        <w:rPr>
          <w:i/>
          <w:iCs/>
        </w:rPr>
        <w:t>g</w:t>
      </w:r>
      <w:r w:rsidRPr="006662F5">
        <w:t>.,</w:t>
      </w:r>
      <w:r w:rsidRPr="006662F5">
        <w:rPr>
          <w:i/>
          <w:iCs/>
        </w:rPr>
        <w:t xml:space="preserve"> </w:t>
      </w:r>
      <w:r w:rsidRPr="006662F5">
        <w:t xml:space="preserve">Denuptiis v. Unocal Corp., 63 P.3d 272, 278 n.115 (Alaska 2003) (“[C]aptions are not part of the statute.”); Pleak v. Entrada Prop. Owners’ Ass’n, 73 P.3d 602, 605 (Ariz. Ct. App. 2003) (“[A]lthough title and section headings of statutes are not law, we may look to them for guidance.”); Brandon v. Arkansas Pub. Serv. Comm’n, 992 S.W.2d 834, 937 (Ark. Ct. App. 1999) (“While the title of an act is not part of the law, it may be referred to in order to help ascertain the intent of the General Assembly.”); </w:t>
      </w:r>
      <w:r w:rsidRPr="006662F5">
        <w:rPr>
          <w:i/>
          <w:iCs/>
        </w:rPr>
        <w:t>In re</w:t>
      </w:r>
      <w:r w:rsidRPr="006662F5">
        <w:t xml:space="preserve"> Marriage of Belger, 654 N.W.2d 902, 905 (Iowa 2002) (“When construing this statute, we consider the whole statute, including the title.”); State v. Schweitzer, 646 N.W.2d 117, 120 (Iowa Ct. App. 2002) (“The title of a statute, however, cannot limit the plain meaning of the text.”); Gregor v. Argenot Great Cent. Ins. Co., 851 So. 2d 959, 964 (La. 2003) (“[T]he title of a law may be examined to determine its purpose.”); Coast Hotels &amp; Casinos, Inc. v. Nevada State Labor Comm’n, 34 P.3d 546, 551 (Nev. 2001) (“The title of a statute may be considered in determining legislative intent.”); Jiggetts v. Dowling, 196 Misc. 2d 678, 765 N.Y.S.2d 731, 739 (N.Y. Sup. Ct. 2003) (“‘[A] heading of a portion of a statute such as a chapter or a section usually is not a part of the act and does not extend or restrict the language contained in the body of the statute . . . .’” (quoting 1 </w:t>
      </w:r>
      <w:r w:rsidRPr="006662F5">
        <w:rPr>
          <w:smallCaps/>
          <w:spacing w:val="-3"/>
        </w:rPr>
        <w:t>McKinney’s Cons. Law of N.Y.</w:t>
      </w:r>
      <w:r w:rsidRPr="006662F5">
        <w:t xml:space="preserve">, </w:t>
      </w:r>
      <w:r w:rsidRPr="006662F5">
        <w:rPr>
          <w:i/>
          <w:iCs/>
        </w:rPr>
        <w:t>Statutes</w:t>
      </w:r>
      <w:r w:rsidRPr="006662F5">
        <w:t>, §123[b])); Church v. Grant Cty., 69 P.3d 759, 763 n.4 (Or. 2003) (“In the context of statutory construction, a statute’s caption is of no legal significance.”); Harrisburg Area Cmty. Coll. v. Pennsylvania State Emps.’ Ret. Sys., 821 A.2d 1255, 1259 (Pa. Commw. Ct. 2003) (“[T]he headings prefixed to titles, sections and other divisions of a statute may be used to aid in construing the statute.”); Commonwealth v. Reefer, 816 A.2d 1136, 1143 n.10 (Pa. Super. Ct. 2003)</w:t>
      </w:r>
      <w:r>
        <w:t xml:space="preserve"> </w:t>
      </w:r>
      <w:r w:rsidRPr="006662F5">
        <w:t xml:space="preserve">(“‘[T]he title, preamble, headings, and other divisions of a statute may be considered in the construction but shall not be considered to control.’”) (citations omitted); </w:t>
      </w:r>
      <w:r w:rsidRPr="006662F5">
        <w:rPr>
          <w:i/>
          <w:iCs/>
        </w:rPr>
        <w:t>In re</w:t>
      </w:r>
      <w:r w:rsidRPr="006662F5">
        <w:t xml:space="preserve"> Lindsey A.F., 663 N.W.2d 757, 761 (Wis. 2003) (“While titles may be considered in resolving doubt as to a statute’s meaning, they should not be used to create a doubt where none would otherwise exist.”); </w:t>
      </w:r>
      <w:r w:rsidRPr="006662F5">
        <w:rPr>
          <w:smallCaps/>
        </w:rPr>
        <w:t>W. Va. Code Ann.</w:t>
      </w:r>
      <w:r w:rsidRPr="006662F5">
        <w:t xml:space="preserve"> §2-2-10(z) (LexisNexis 2007) (“The sectional headings or headlines of the several sections of this code printed in black-faced type are intended as mere catchwords to indicate the contents of the section and shall not be deemed or taken to be titles of such sections, or as any part of the statute, and, unless expressly so provided, they shall not be so deemed when any of such sections, including the headlines, are amended or reenacted.”).</w:t>
      </w:r>
      <w:r>
        <w:t xml:space="preserve"> </w:t>
      </w:r>
      <w:r>
        <w:rPr>
          <w:i/>
        </w:rPr>
        <w:t xml:space="preserve">See </w:t>
      </w:r>
      <w:r w:rsidRPr="00C4121D">
        <w:rPr>
          <w:spacing w:val="-4"/>
        </w:rPr>
        <w:t>Menudo Int’l LLC v. In Miami Prod. LLC, 2018 WL 1745395, at *5</w:t>
      </w:r>
      <w:r>
        <w:rPr>
          <w:spacing w:val="-4"/>
        </w:rPr>
        <w:t>–</w:t>
      </w:r>
      <w:r w:rsidRPr="00C4121D">
        <w:rPr>
          <w:spacing w:val="-4"/>
        </w:rPr>
        <w:t>6</w:t>
      </w:r>
      <w:r>
        <w:rPr>
          <w:spacing w:val="-4"/>
        </w:rPr>
        <w:t xml:space="preserve">, </w:t>
      </w:r>
      <w:r w:rsidRPr="000D72AB">
        <w:rPr>
          <w:spacing w:val="-4"/>
        </w:rPr>
        <w:t>2018 BL 127263</w:t>
      </w:r>
      <w:r w:rsidRPr="00C4121D">
        <w:rPr>
          <w:spacing w:val="-4"/>
        </w:rPr>
        <w:t xml:space="preserve"> (S.D. Fla. Apr. 11, 2018) (applying current Florida dilution statute, based on the 1996 Model Bill, to a claim of injury to business reputation)</w:t>
      </w:r>
      <w:r>
        <w:rPr>
          <w:spacing w:val="-4"/>
        </w:rPr>
        <w:t>.</w:t>
      </w:r>
    </w:p>
  </w:footnote>
  <w:footnote w:id="304">
    <w:p w:rsidR="00431229" w:rsidRPr="006662F5" w:rsidRDefault="00431229">
      <w:pPr>
        <w:pStyle w:val="footnote"/>
      </w:pPr>
      <w:r w:rsidRPr="006662F5">
        <w:rPr>
          <w:vertAlign w:val="superscript"/>
        </w:rPr>
        <w:footnoteRef/>
      </w:r>
      <w:r w:rsidRPr="006662F5">
        <w:t>Lanham Act §43(c)(2)(C), 15 U.S.C. §1125(c)(2)(C).</w:t>
      </w:r>
    </w:p>
  </w:footnote>
  <w:footnote w:id="305">
    <w:p w:rsidR="00431229" w:rsidRPr="006662F5" w:rsidRDefault="00431229">
      <w:pPr>
        <w:pStyle w:val="footnote"/>
      </w:pPr>
      <w:r w:rsidRPr="006662F5">
        <w:rPr>
          <w:vertAlign w:val="superscript"/>
        </w:rPr>
        <w:footnoteRef/>
      </w:r>
      <w:r w:rsidRPr="006662F5">
        <w:t xml:space="preserve">2007 </w:t>
      </w:r>
      <w:r w:rsidRPr="006662F5">
        <w:rPr>
          <w:smallCaps/>
          <w:spacing w:val="-3"/>
        </w:rPr>
        <w:t>Model Bill</w:t>
      </w:r>
      <w:r w:rsidRPr="006662F5">
        <w:t xml:space="preserve"> §1(m).</w:t>
      </w:r>
    </w:p>
  </w:footnote>
  <w:footnote w:id="306">
    <w:p w:rsidR="00431229" w:rsidRPr="006662F5" w:rsidRDefault="00431229">
      <w:pPr>
        <w:pStyle w:val="footnote"/>
      </w:pPr>
      <w:r w:rsidRPr="006662F5">
        <w:rPr>
          <w:vertAlign w:val="superscript"/>
        </w:rPr>
        <w:footnoteRef/>
      </w:r>
      <w:r w:rsidRPr="006662F5">
        <w:t xml:space="preserve">MDT Corp. v. New York Stock Exch., Inc., 858 F. Supp. 1028, 1034, 30 USPQ2d 1849 (C.D. Cal. 1994) (pointing to this language as denoting tarnishment); </w:t>
      </w:r>
      <w:r w:rsidRPr="006662F5">
        <w:rPr>
          <w:i/>
          <w:iCs/>
        </w:rPr>
        <w:t xml:space="preserve">see also </w:t>
      </w:r>
      <w:r w:rsidRPr="006662F5">
        <w:t xml:space="preserve">Safeway Stores, Inc. v. Safeway Discount Drugs, Inc., 675 F.2d 1160, 1168, 216 USPQ 599 (11th Cir. 1982); Procter &amp; Gamble Co. v. Amway Corp., 80 F. Supp. 2d 639, 670 (S.D. Tex. 1999) (permitting suit for injury to business reputation even if there was no injury to the trademark), </w:t>
      </w:r>
      <w:r w:rsidRPr="006662F5">
        <w:rPr>
          <w:i/>
          <w:iCs/>
        </w:rPr>
        <w:t>aff’d in part, rev’d in part</w:t>
      </w:r>
      <w:r w:rsidRPr="006662F5">
        <w:t xml:space="preserve">, 242 F.3d 539, 58 USPQ2d 1008 (5th Cir.), </w:t>
      </w:r>
      <w:r w:rsidRPr="006662F5">
        <w:rPr>
          <w:i/>
          <w:iCs/>
        </w:rPr>
        <w:t>cert</w:t>
      </w:r>
      <w:r w:rsidRPr="006662F5">
        <w:t>.</w:t>
      </w:r>
      <w:r w:rsidRPr="006662F5">
        <w:rPr>
          <w:i/>
          <w:iCs/>
        </w:rPr>
        <w:t xml:space="preserve"> denied</w:t>
      </w:r>
      <w:r w:rsidRPr="006662F5">
        <w:t>, 534 U.S. 945 (2001); Marks v. Cayo Hueso, Ltd., 437 So. 2d 775, 777 (Fla. Dist. Ct. App. 1983). The Supreme Court also pointed to this language as the source of protection for tarnishment. Moseley v. V Secret Catalogue, Inc., 537 U.S. 418, 432, 433, 65 USPQ2d 1801 (2003).</w:t>
      </w:r>
    </w:p>
  </w:footnote>
  <w:footnote w:id="307">
    <w:p w:rsidR="00431229" w:rsidRPr="006662F5" w:rsidRDefault="00431229">
      <w:pPr>
        <w:pStyle w:val="footnote"/>
      </w:pPr>
      <w:r w:rsidRPr="006662F5">
        <w:rPr>
          <w:vertAlign w:val="superscript"/>
        </w:rPr>
        <w:footnoteRef/>
      </w:r>
      <w:r w:rsidRPr="006662F5">
        <w:t>Restatement (Third) of Unfair Competition §25 cmt. c (1995).</w:t>
      </w:r>
    </w:p>
  </w:footnote>
  <w:footnote w:id="308">
    <w:p w:rsidR="00431229" w:rsidRPr="006662F5" w:rsidRDefault="00431229">
      <w:pPr>
        <w:pStyle w:val="footnote"/>
      </w:pPr>
      <w:r w:rsidRPr="006662F5">
        <w:rPr>
          <w:vertAlign w:val="superscript"/>
        </w:rPr>
        <w:footnoteRef/>
      </w:r>
      <w:r w:rsidRPr="006662F5">
        <w:t xml:space="preserve">1996 </w:t>
      </w:r>
      <w:r w:rsidRPr="006662F5">
        <w:rPr>
          <w:smallCaps/>
          <w:spacing w:val="-3"/>
        </w:rPr>
        <w:t>Model Bill</w:t>
      </w:r>
      <w:r w:rsidRPr="006662F5">
        <w:t xml:space="preserve"> §13. </w:t>
      </w:r>
    </w:p>
  </w:footnote>
  <w:footnote w:id="309">
    <w:p w:rsidR="00431229" w:rsidRPr="006662F5" w:rsidRDefault="00431229">
      <w:pPr>
        <w:pStyle w:val="footnote"/>
      </w:pPr>
      <w:r w:rsidRPr="006662F5">
        <w:rPr>
          <w:vertAlign w:val="superscript"/>
        </w:rPr>
        <w:footnoteRef/>
      </w:r>
      <w:r w:rsidRPr="006662F5">
        <w:rPr>
          <w:i/>
          <w:iCs/>
        </w:rPr>
        <w:t>USTA Report</w:t>
      </w:r>
      <w:r w:rsidRPr="006662F5">
        <w:t xml:space="preserve">, 77 </w:t>
      </w:r>
      <w:r w:rsidRPr="006662F5">
        <w:rPr>
          <w:smallCaps/>
        </w:rPr>
        <w:t>Trademark Rep.</w:t>
      </w:r>
      <w:r w:rsidRPr="006662F5">
        <w:t xml:space="preserve"> at 433–34.</w:t>
      </w:r>
    </w:p>
  </w:footnote>
  <w:footnote w:id="310">
    <w:p w:rsidR="00431229" w:rsidRPr="006662F5" w:rsidRDefault="00431229">
      <w:pPr>
        <w:pStyle w:val="footnote"/>
      </w:pPr>
      <w:r w:rsidRPr="006662F5">
        <w:rPr>
          <w:vertAlign w:val="superscript"/>
        </w:rPr>
        <w:footnoteRef/>
      </w:r>
      <w:r w:rsidRPr="006662F5">
        <w:t xml:space="preserve">133 </w:t>
      </w:r>
      <w:r w:rsidRPr="006662F5">
        <w:rPr>
          <w:smallCaps/>
        </w:rPr>
        <w:t>Cong. Rec.</w:t>
      </w:r>
      <w:r w:rsidRPr="006662F5">
        <w:t xml:space="preserve"> S16,550 (Nov. 19, 1987) (reprinting S. 1883 as introduced by Sen. DeConcini). </w:t>
      </w:r>
      <w:r w:rsidRPr="000540A5">
        <w:rPr>
          <w:i/>
        </w:rPr>
        <w:t>See</w:t>
      </w:r>
      <w:r w:rsidRPr="006662F5">
        <w:t xml:space="preserve"> Chapter 6, §II.B.2.</w:t>
      </w:r>
    </w:p>
  </w:footnote>
  <w:footnote w:id="311">
    <w:p w:rsidR="00431229" w:rsidRPr="006662F5" w:rsidRDefault="00431229">
      <w:pPr>
        <w:pStyle w:val="footnote"/>
      </w:pPr>
      <w:r w:rsidRPr="006662F5">
        <w:rPr>
          <w:vertAlign w:val="superscript"/>
        </w:rPr>
        <w:footnoteRef/>
      </w:r>
      <w:r w:rsidRPr="006662F5">
        <w:rPr>
          <w:smallCaps/>
        </w:rPr>
        <w:t>S. Rep. No.</w:t>
      </w:r>
      <w:r w:rsidRPr="006662F5">
        <w:t xml:space="preserve"> 515, 100th Cong., 2d Sess. 1, </w:t>
      </w:r>
      <w:r w:rsidRPr="006662F5">
        <w:rPr>
          <w:i/>
          <w:iCs/>
        </w:rPr>
        <w:t>reprinted in</w:t>
      </w:r>
      <w:r w:rsidRPr="006662F5">
        <w:t xml:space="preserve"> 1988 </w:t>
      </w:r>
      <w:r w:rsidRPr="006662F5">
        <w:rPr>
          <w:smallCaps/>
        </w:rPr>
        <w:t xml:space="preserve">U.S.C.C.A.N. </w:t>
      </w:r>
      <w:r w:rsidRPr="006662F5">
        <w:t>5577, 5579.</w:t>
      </w:r>
    </w:p>
  </w:footnote>
  <w:footnote w:id="312">
    <w:p w:rsidR="00431229" w:rsidRPr="006662F5" w:rsidRDefault="00431229">
      <w:pPr>
        <w:pStyle w:val="footnote"/>
      </w:pPr>
      <w:r w:rsidRPr="006662F5">
        <w:rPr>
          <w:vertAlign w:val="superscript"/>
        </w:rPr>
        <w:footnoteRef/>
      </w:r>
      <w:r w:rsidRPr="006662F5">
        <w:t>H.R. 1295, introduced March 22, 1995 by Rep. Moorhead, 1995 Cong. US HR 1295 (available on Westlaw).</w:t>
      </w:r>
    </w:p>
  </w:footnote>
  <w:footnote w:id="313">
    <w:p w:rsidR="00431229" w:rsidRPr="006662F5" w:rsidRDefault="00431229">
      <w:pPr>
        <w:pStyle w:val="footnote"/>
      </w:pPr>
      <w:r w:rsidRPr="006662F5">
        <w:rPr>
          <w:vertAlign w:val="superscript"/>
        </w:rPr>
        <w:footnoteRef/>
      </w:r>
      <w:r w:rsidRPr="006662F5">
        <w:rPr>
          <w:i/>
          <w:iCs/>
        </w:rPr>
        <w:t>Compare</w:t>
      </w:r>
      <w:r w:rsidRPr="006662F5">
        <w:t xml:space="preserve"> Testimony of Mary Ann Alford, Executive Vice President of the International Trademark Association, 1995 WL 435750 (F.D.C.H.) (definition encompasses tarnishment), </w:t>
      </w:r>
      <w:r w:rsidRPr="006662F5">
        <w:rPr>
          <w:i/>
          <w:iCs/>
        </w:rPr>
        <w:t>with</w:t>
      </w:r>
      <w:r w:rsidRPr="006662F5">
        <w:t xml:space="preserve"> Testimony of Jonathan E. Moskin, Pennie &amp; Edmonds, 1995 WL 437437 (F.D.C.H.) (dilution bill does not include tarnishment).</w:t>
      </w:r>
    </w:p>
  </w:footnote>
  <w:footnote w:id="314">
    <w:p w:rsidR="00431229" w:rsidRPr="006662F5" w:rsidRDefault="00431229">
      <w:pPr>
        <w:pStyle w:val="footnote"/>
      </w:pPr>
      <w:r w:rsidRPr="006662F5">
        <w:rPr>
          <w:vertAlign w:val="superscript"/>
        </w:rPr>
        <w:footnoteRef/>
      </w:r>
      <w:r w:rsidRPr="006662F5">
        <w:t>Testimony of Mary Ann Alford, Executive Vice President of the International Trademark Association, 1995 WL 435750 (F.D.C.H.) (definition encompasses tarnishment); Testimony of James K. Baughman, Assistant General Counsel, Campbell Soup Co., 1995 WL 435742 (July 19, 1995) (noting some uses that harm the reputation of marks); Testimony of Nils Victor Montan of Time Warner Entertainment Co., 1995 WL 435749 (July 19, 1995) (noting undesirable depictions of Warner Bros. characters on T-shirts).</w:t>
      </w:r>
    </w:p>
  </w:footnote>
  <w:footnote w:id="315">
    <w:p w:rsidR="00431229" w:rsidRPr="006662F5" w:rsidRDefault="00431229">
      <w:pPr>
        <w:pStyle w:val="footnote"/>
      </w:pPr>
      <w:r w:rsidRPr="006662F5">
        <w:rPr>
          <w:vertAlign w:val="superscript"/>
        </w:rPr>
        <w:footnoteRef/>
      </w:r>
      <w:r w:rsidRPr="006662F5">
        <w:t xml:space="preserve">1995 </w:t>
      </w:r>
      <w:r w:rsidRPr="006662F5">
        <w:rPr>
          <w:smallCaps/>
        </w:rPr>
        <w:t>H.R. Rep.</w:t>
      </w:r>
      <w:r w:rsidRPr="006662F5">
        <w:t xml:space="preserve"> at 2 (emphasis added).</w:t>
      </w:r>
    </w:p>
  </w:footnote>
  <w:footnote w:id="316">
    <w:p w:rsidR="00431229" w:rsidRPr="006662F5" w:rsidRDefault="00431229">
      <w:pPr>
        <w:pStyle w:val="footnote"/>
      </w:pPr>
      <w:r w:rsidRPr="006662F5">
        <w:rPr>
          <w:vertAlign w:val="superscript"/>
        </w:rPr>
        <w:footnoteRef/>
      </w:r>
      <w:r w:rsidRPr="006662F5">
        <w:rPr>
          <w:i/>
          <w:iCs/>
        </w:rPr>
        <w:t>Id</w:t>
      </w:r>
      <w:r w:rsidRPr="006662F5">
        <w:t>. at 8.</w:t>
      </w:r>
    </w:p>
  </w:footnote>
  <w:footnote w:id="317">
    <w:p w:rsidR="00431229" w:rsidRPr="006662F5" w:rsidRDefault="00431229">
      <w:pPr>
        <w:pStyle w:val="footnote"/>
      </w:pPr>
      <w:r w:rsidRPr="006662F5">
        <w:rPr>
          <w:vertAlign w:val="superscript"/>
        </w:rPr>
        <w:footnoteRef/>
      </w:r>
      <w:r w:rsidRPr="006662F5">
        <w:t>537 U.S. 418, 65 USPQ2d 1801 (2003).</w:t>
      </w:r>
    </w:p>
  </w:footnote>
  <w:footnote w:id="318">
    <w:p w:rsidR="00431229" w:rsidRPr="006662F5" w:rsidRDefault="00431229">
      <w:pPr>
        <w:pStyle w:val="footnote"/>
      </w:pPr>
      <w:r w:rsidRPr="006662F5">
        <w:rPr>
          <w:vertAlign w:val="superscript"/>
        </w:rPr>
        <w:footnoteRef/>
      </w:r>
      <w:r w:rsidRPr="006662F5">
        <w:rPr>
          <w:i/>
          <w:iCs/>
        </w:rPr>
        <w:t>Id</w:t>
      </w:r>
      <w:r w:rsidRPr="006662F5">
        <w:t>. at 432.</w:t>
      </w:r>
    </w:p>
  </w:footnote>
  <w:footnote w:id="319">
    <w:p w:rsidR="00431229" w:rsidRPr="006662F5" w:rsidRDefault="00431229">
      <w:pPr>
        <w:pStyle w:val="footnote"/>
      </w:pPr>
      <w:r w:rsidRPr="006662F5">
        <w:rPr>
          <w:vertAlign w:val="superscript"/>
        </w:rPr>
        <w:footnoteRef/>
      </w:r>
      <w:r w:rsidRPr="006662F5">
        <w:rPr>
          <w:i/>
          <w:iCs/>
        </w:rPr>
        <w:t>Id</w:t>
      </w:r>
      <w:r w:rsidRPr="006662F5">
        <w:t xml:space="preserve">. The Court had previously quoted a portion of the legislative history concerning tarnishment. </w:t>
      </w:r>
      <w:r w:rsidRPr="006662F5">
        <w:rPr>
          <w:i/>
          <w:iCs/>
        </w:rPr>
        <w:t>Id</w:t>
      </w:r>
      <w:r w:rsidRPr="006662F5">
        <w:t>. at 431 (quoting remarks of Sen. Hatch).</w:t>
      </w:r>
    </w:p>
  </w:footnote>
  <w:footnote w:id="320">
    <w:p w:rsidR="00431229" w:rsidRPr="006662F5" w:rsidRDefault="00431229">
      <w:pPr>
        <w:pStyle w:val="footnote"/>
      </w:pPr>
      <w:r w:rsidRPr="006662F5">
        <w:rPr>
          <w:vertAlign w:val="superscript"/>
        </w:rPr>
        <w:footnoteRef/>
      </w:r>
      <w:r w:rsidRPr="006662F5">
        <w:rPr>
          <w:i/>
          <w:iCs/>
        </w:rPr>
        <w:t>Id</w:t>
      </w:r>
      <w:r w:rsidRPr="006662F5">
        <w:t>. at 432.</w:t>
      </w:r>
    </w:p>
  </w:footnote>
  <w:footnote w:id="321">
    <w:p w:rsidR="00431229" w:rsidRPr="006662F5" w:rsidRDefault="00431229">
      <w:pPr>
        <w:pStyle w:val="footnote"/>
      </w:pPr>
      <w:r w:rsidRPr="006662F5">
        <w:rPr>
          <w:vertAlign w:val="superscript"/>
        </w:rPr>
        <w:footnoteRef/>
      </w:r>
      <w:r w:rsidRPr="006662F5">
        <w:rPr>
          <w:i/>
          <w:iCs/>
        </w:rPr>
        <w:t>Id</w:t>
      </w:r>
      <w:r w:rsidRPr="006662F5">
        <w:t xml:space="preserve">. (requiring “actual dilution” to impose liability). Although the </w:t>
      </w:r>
      <w:r w:rsidRPr="006662F5">
        <w:rPr>
          <w:i/>
          <w:iCs/>
        </w:rPr>
        <w:t>Moseley</w:t>
      </w:r>
      <w:r w:rsidRPr="006662F5">
        <w:t xml:space="preserve"> opinion does not directly tie the Court’s tarnishment observation to the FTDA definition of dilution, the definition was referred to by some Justices, expressing similar sentiments, at the oral argument. </w:t>
      </w:r>
      <w:r w:rsidRPr="006662F5">
        <w:rPr>
          <w:i/>
          <w:iCs/>
        </w:rPr>
        <w:t>See</w:t>
      </w:r>
      <w:r w:rsidRPr="006662F5">
        <w:t xml:space="preserve"> Tr. of Oral Argument at 5, 6, 43.</w:t>
      </w:r>
    </w:p>
  </w:footnote>
  <w:footnote w:id="322">
    <w:p w:rsidR="00431229" w:rsidRPr="006662F5" w:rsidRDefault="00431229" w:rsidP="00B5405C">
      <w:pPr>
        <w:pStyle w:val="footnote"/>
      </w:pPr>
      <w:r w:rsidRPr="006662F5">
        <w:rPr>
          <w:vertAlign w:val="superscript"/>
        </w:rPr>
        <w:footnoteRef/>
      </w:r>
      <w:r w:rsidRPr="006662F5">
        <w:t xml:space="preserve">A small number recognized the issue. </w:t>
      </w:r>
      <w:r w:rsidRPr="006662F5">
        <w:rPr>
          <w:i/>
          <w:iCs/>
        </w:rPr>
        <w:t>E</w:t>
      </w:r>
      <w:r w:rsidRPr="006662F5">
        <w:t>.</w:t>
      </w:r>
      <w:r w:rsidRPr="006662F5">
        <w:rPr>
          <w:i/>
          <w:iCs/>
        </w:rPr>
        <w:t>g</w:t>
      </w:r>
      <w:r w:rsidRPr="006662F5">
        <w:t>., Scott Fetzer Co. v. House of Vacuums, Inc., 381 F.3d 477, 489 n.8, 72 USPQ2d 1011 (5th Cir. 2004); Starbucks Corp. v. Wolfe’s Borough Coffee, Inc., 2004 WL 2158120, at *8 n.8</w:t>
      </w:r>
      <w:r>
        <w:t xml:space="preserve">, </w:t>
      </w:r>
      <w:r w:rsidRPr="00B5405C">
        <w:t>2009 BL 260606</w:t>
      </w:r>
      <w:r w:rsidRPr="006662F5">
        <w:t xml:space="preserve"> (S.D.N.Y. Sept. 28, 2004). However, those courts found it unnecessary to decide the issue at that time.</w:t>
      </w:r>
    </w:p>
  </w:footnote>
  <w:footnote w:id="323">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Mattel, Inc. v. Walking Mountain Prods., 353 F.3d 792, 812, 69 USPQ2d 1257 (9th Cir. 2003) (dilution claim barred as noncommercial use); Nitro Leisure Prods., LLC v. Acushnet Co., 341 F.3d 1356, 1365–66, 67 USPQ2d 1814 (Fed. Cir. 2003) (affirming denial of preliminary injunction for lack of evidence of actual dilution); MasterCard Int’l, Inc. v. Nader 2000 Primary Comm., Inc., 70 USPQ2d 1046, 1052–54 (S.D.N.Y. 2004) (rejecting claim on grounds of noncommercial use and lack of evidence); Playmakers, LLC v. ESPN, Inc., 297 F. Supp. 2d 1277, 1285, 69 USPQ2d 1439 (W.D. Wash. 2003) (mark found too weak to support a tarnishment claim), </w:t>
      </w:r>
      <w:r w:rsidRPr="006662F5">
        <w:rPr>
          <w:i/>
          <w:iCs/>
        </w:rPr>
        <w:t>aff’d</w:t>
      </w:r>
      <w:r w:rsidRPr="006662F5">
        <w:t xml:space="preserve">, 376 F.3d 894, 71 USPQ2d 1759 (9th Cir. 2004) (no ruling on dilution); Caterpillar, Inc. v. Walt Disney Co., 287 F. Supp. 2d 913, 921, 68 USPQ2d 1461 (C.D. Ill. 2003) (rejecting tarnishment claim for lack of evidence of actual dilution); Perkins Sch. for the Blind v. Maxi-Aids, Inc., 274 F. Supp. 2d 319, 325–26, 69 USPQ2d 1932 (E.D.N.Y. 2003) (dilution includes blurring and tarnishment); Wham-O, Inc. v. Paramount Pictures Corp., 286 F. Supp. 2d 1254, 1260–61, 68 USPQ2d 1841 (N.D. Cal. 2003) (denying preliminary injunction); World Wrestling Fed’n Entm’t, Inc. v. Big Dog Holdings, Inc., 280 F. Supp. 2d 413, 442 (W.D. Pa. 2003) (denying relief; noting that the </w:t>
      </w:r>
      <w:r w:rsidRPr="006662F5">
        <w:rPr>
          <w:i/>
          <w:iCs/>
        </w:rPr>
        <w:t>Restatement</w:t>
      </w:r>
      <w:r w:rsidRPr="006662F5">
        <w:t xml:space="preserve"> would not permit dilution claims for parodies and criticism); Four Seasons Hotels &amp; Resorts B.V. v. Consorcio Barr, S.A., 267 F. Supp. 2d 1268, 1332 (S.D. Fla. 2003) (finding tarnishment using actual-dilution standard); </w:t>
      </w:r>
      <w:r w:rsidRPr="006662F5">
        <w:rPr>
          <w:i/>
          <w:iCs/>
        </w:rPr>
        <w:t>see</w:t>
      </w:r>
      <w:r w:rsidRPr="006662F5">
        <w:t xml:space="preserve"> AutoZone, Inc. v. Tandy Corp., 373 F.3d 786, 801, 71 USPQ2d 1385 (6th Cir. 2004) (diluting includes blurring and </w:t>
      </w:r>
      <w:r w:rsidRPr="006662F5">
        <w:softHyphen/>
        <w:t>tarnishment) (quoting Eli Lilly &amp; Co. v. Natural Answers, Inc., 233 F.3d 456, 466 (7th Cir. 2000)); University of Kansas v. Sinks, 644 F. Supp. 2d 1287, 1294 (D. Kan. 2008) (upholding jury finding of actual dilution—apparently by tarnishment—based on standard under the original FTDA).</w:t>
      </w:r>
    </w:p>
  </w:footnote>
  <w:footnote w:id="324">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w:t>
      </w:r>
      <w:r w:rsidRPr="006662F5">
        <w:rPr>
          <w:i/>
          <w:iCs/>
        </w:rPr>
        <w:t xml:space="preserve"> Nader 2000 Primary Comm</w:t>
      </w:r>
      <w:r w:rsidRPr="006662F5">
        <w:t>.</w:t>
      </w:r>
      <w:r w:rsidRPr="006662F5">
        <w:rPr>
          <w:i/>
          <w:iCs/>
        </w:rPr>
        <w:t>, Inc</w:t>
      </w:r>
      <w:r w:rsidRPr="006662F5">
        <w:t xml:space="preserve">., 70 USPQ2d at 1052; </w:t>
      </w:r>
      <w:r w:rsidRPr="006662F5">
        <w:rPr>
          <w:i/>
          <w:iCs/>
        </w:rPr>
        <w:t>see</w:t>
      </w:r>
      <w:r w:rsidRPr="006662F5">
        <w:t xml:space="preserve"> Club Mediterranee, S.A. v. Fox Searchlight Pictures, Inc., 2004 U.S. Dist. LEXIS 3543, at *8 (S.D. Fla. Feb. 13, 2004) (in suit by Club Med against distributor of movie entitled </w:t>
      </w:r>
      <w:r w:rsidRPr="006662F5">
        <w:rPr>
          <w:i/>
          <w:iCs/>
        </w:rPr>
        <w:t>Club Dread</w:t>
      </w:r>
      <w:r w:rsidRPr="006662F5">
        <w:t xml:space="preserve">, court notes that merely calling to mind the famous mark is not sufficient); </w:t>
      </w:r>
      <w:r w:rsidRPr="006662F5">
        <w:rPr>
          <w:i/>
          <w:iCs/>
        </w:rPr>
        <w:t>see</w:t>
      </w:r>
      <w:r w:rsidRPr="006662F5">
        <w:t xml:space="preserve"> Kinetic Concepts, Inc. v. Bluesky Med. Grp., Inc., 2005 WL 3068223, at *2 &amp; n.20 (W.D. Tex. Nov. 1, 2005) (requiring actual dilution for tarnishment).</w:t>
      </w:r>
    </w:p>
  </w:footnote>
  <w:footnote w:id="325">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Kinetic Concepts</w:t>
      </w:r>
      <w:r w:rsidRPr="006662F5">
        <w:t xml:space="preserve">, 2005 WL 3068223, at *2 &amp; n.20 (citing Scott Fetzer Co. v. House of Vacuums, Inc., 381 F.3d 477, 489 n.8 (5th Cir. 2004)). But the court in </w:t>
      </w:r>
      <w:r w:rsidRPr="006662F5">
        <w:rPr>
          <w:i/>
          <w:iCs/>
        </w:rPr>
        <w:t>Scott Fetzer</w:t>
      </w:r>
      <w:r w:rsidRPr="006662F5">
        <w:t xml:space="preserve"> merely </w:t>
      </w:r>
      <w:r w:rsidRPr="006662F5">
        <w:rPr>
          <w:i/>
          <w:iCs/>
        </w:rPr>
        <w:t>assumed</w:t>
      </w:r>
      <w:r w:rsidRPr="006662F5">
        <w:t xml:space="preserve"> the continued viability of tarnishment, and the court did not grant relief on that theory. </w:t>
      </w:r>
      <w:r w:rsidRPr="006662F5">
        <w:rPr>
          <w:i/>
          <w:iCs/>
        </w:rPr>
        <w:t>See Scott Fetzer</w:t>
      </w:r>
      <w:r w:rsidRPr="006662F5">
        <w:t>, 381 F.3d at 489 n.8.</w:t>
      </w:r>
    </w:p>
  </w:footnote>
  <w:footnote w:id="326">
    <w:p w:rsidR="00431229" w:rsidRPr="006662F5" w:rsidRDefault="00431229">
      <w:pPr>
        <w:pStyle w:val="footnote"/>
      </w:pPr>
      <w:r w:rsidRPr="006662F5">
        <w:rPr>
          <w:vertAlign w:val="superscript"/>
        </w:rPr>
        <w:footnoteRef/>
      </w:r>
      <w:r w:rsidRPr="006662F5">
        <w:rPr>
          <w:smallCaps/>
        </w:rPr>
        <w:t>Ind. Code Ann.</w:t>
      </w:r>
      <w:r w:rsidRPr="006662F5">
        <w:t xml:space="preserve"> §24-2-1-13.5(a) (LexisNexis 2006).</w:t>
      </w:r>
    </w:p>
  </w:footnote>
  <w:footnote w:id="327">
    <w:p w:rsidR="00431229" w:rsidRPr="006662F5" w:rsidRDefault="00431229">
      <w:pPr>
        <w:pStyle w:val="footnote"/>
      </w:pPr>
      <w:r w:rsidRPr="006662F5">
        <w:rPr>
          <w:vertAlign w:val="superscript"/>
        </w:rPr>
        <w:footnoteRef/>
      </w:r>
      <w:r w:rsidRPr="006662F5">
        <w:t>See 1995 H.R. Rep. at 2, 8.</w:t>
      </w:r>
    </w:p>
  </w:footnote>
  <w:footnote w:id="328">
    <w:p w:rsidR="00431229" w:rsidRPr="006662F5" w:rsidRDefault="00431229">
      <w:pPr>
        <w:pStyle w:val="footnote"/>
      </w:pPr>
      <w:r w:rsidRPr="006662F5">
        <w:rPr>
          <w:vertAlign w:val="superscript"/>
        </w:rPr>
        <w:footnoteRef/>
      </w:r>
      <w:r w:rsidRPr="006662F5">
        <w:t xml:space="preserve">To some degree, </w:t>
      </w:r>
      <w:r w:rsidRPr="006662F5">
        <w:rPr>
          <w:i/>
          <w:iCs/>
        </w:rPr>
        <w:t>all</w:t>
      </w:r>
      <w:r w:rsidRPr="006662F5">
        <w:t xml:space="preserve"> parodic or satiric uses are “predatory” in that they use distinctive marks to draw attention to the parody. However, some parodies are contained within other products, usually periodicals, and are not necessarily used to sell the underlying product. </w:t>
      </w:r>
      <w:r w:rsidRPr="006662F5">
        <w:rPr>
          <w:i/>
          <w:iCs/>
        </w:rPr>
        <w:t>Compare</w:t>
      </w:r>
      <w:r w:rsidRPr="006662F5">
        <w:t xml:space="preserve"> L.L. Bean, Inc. v. Drake Publishers, Inc., 811 F.2d 26, 1 USPQ2d 1753 (1st Cir.), </w:t>
      </w:r>
      <w:r w:rsidRPr="006662F5">
        <w:rPr>
          <w:i/>
          <w:iCs/>
        </w:rPr>
        <w:t>cert</w:t>
      </w:r>
      <w:r w:rsidRPr="006662F5">
        <w:t>.</w:t>
      </w:r>
      <w:r w:rsidRPr="006662F5">
        <w:rPr>
          <w:i/>
          <w:iCs/>
        </w:rPr>
        <w:t xml:space="preserve"> denied</w:t>
      </w:r>
      <w:r w:rsidRPr="006662F5">
        <w:t xml:space="preserve">, 483 U.S. 1013 (1987) (parody of L.L. Bean catalog contained within a magazine), </w:t>
      </w:r>
      <w:r w:rsidRPr="006662F5">
        <w:rPr>
          <w:i/>
          <w:iCs/>
        </w:rPr>
        <w:t>with</w:t>
      </w:r>
      <w:r w:rsidRPr="006662F5">
        <w:t xml:space="preserve"> Coca-Cola Co. v. Gemini Rising, Inc., 346 F. Supp. 1183, 175 USPQ 56 (E.D.N.Y. 1972) (poster with parody of Coca-Cola slogan as the product).</w:t>
      </w:r>
    </w:p>
  </w:footnote>
  <w:footnote w:id="329">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w:t>
      </w:r>
      <w:r w:rsidRPr="006662F5">
        <w:rPr>
          <w:i/>
          <w:iCs/>
        </w:rPr>
        <w:t xml:space="preserve"> Hormel Foods Corp</w:t>
      </w:r>
      <w:r w:rsidRPr="006662F5">
        <w:t xml:space="preserve">., 73 F.3d at 507 (no tarnishment likely); Tommy Hilfiger Licensing, Inc. v. Nature Labs, LLC, 221 F. Supp. 2d 410, 422–23 (S.D.N.Y. 2002) (no tarnishment found). This is consistent with the TDRA and 2007 Model Bill definitions of dilution by tarnishment, which focus on harm to the famous mark’s reputation. </w:t>
      </w:r>
      <w:r w:rsidRPr="006662F5">
        <w:rPr>
          <w:i/>
          <w:iCs/>
        </w:rPr>
        <w:t>See</w:t>
      </w:r>
      <w:r w:rsidRPr="006662F5">
        <w:t xml:space="preserve"> Lanham Act §43(c)(2)(C), 15 U.S.C. §1125(c)(2)(C); Model Bill §1(m) (INTA 2007).</w:t>
      </w:r>
    </w:p>
  </w:footnote>
  <w:footnote w:id="330">
    <w:p w:rsidR="00431229" w:rsidRPr="006662F5" w:rsidRDefault="00431229">
      <w:pPr>
        <w:pStyle w:val="footnote"/>
      </w:pPr>
      <w:r w:rsidRPr="006662F5">
        <w:rPr>
          <w:vertAlign w:val="superscript"/>
        </w:rPr>
        <w:footnoteRef/>
      </w:r>
      <w:r w:rsidRPr="006662F5">
        <w:t xml:space="preserve">The 2007 Model Bill may require a trademark use for both blurring and tarnishment. </w:t>
      </w:r>
      <w:r w:rsidRPr="006662F5">
        <w:rPr>
          <w:i/>
          <w:iCs/>
        </w:rPr>
        <w:t>See</w:t>
      </w:r>
      <w:r w:rsidRPr="006662F5">
        <w:t xml:space="preserve"> the discussion of the TDRA in Chapter 9, §IV.</w:t>
      </w:r>
    </w:p>
  </w:footnote>
  <w:footnote w:id="331">
    <w:p w:rsidR="00431229" w:rsidRPr="006662F5" w:rsidRDefault="00431229">
      <w:pPr>
        <w:pStyle w:val="footnote"/>
      </w:pPr>
      <w:r w:rsidRPr="006662F5">
        <w:rPr>
          <w:vertAlign w:val="superscript"/>
        </w:rPr>
        <w:footnoteRef/>
      </w:r>
      <w:r w:rsidRPr="006662F5">
        <w:rPr>
          <w:i/>
          <w:iCs/>
        </w:rPr>
        <w:t>Compare L</w:t>
      </w:r>
      <w:r w:rsidRPr="006662F5">
        <w:t>.</w:t>
      </w:r>
      <w:r w:rsidRPr="006662F5">
        <w:rPr>
          <w:i/>
          <w:iCs/>
        </w:rPr>
        <w:t>L</w:t>
      </w:r>
      <w:r w:rsidRPr="006662F5">
        <w:t>.</w:t>
      </w:r>
      <w:r w:rsidRPr="006662F5">
        <w:rPr>
          <w:i/>
          <w:iCs/>
        </w:rPr>
        <w:t xml:space="preserve"> Bean, Inc</w:t>
      </w:r>
      <w:r w:rsidRPr="006662F5">
        <w:t xml:space="preserve">., 811 F.2d 26 (upholding First Amendment defense), </w:t>
      </w:r>
      <w:r w:rsidRPr="006662F5">
        <w:rPr>
          <w:i/>
          <w:iCs/>
        </w:rPr>
        <w:t>with</w:t>
      </w:r>
      <w:r w:rsidRPr="006662F5">
        <w:t xml:space="preserve"> Anheuser-Busch, Inc. v. Balducci Publ’ns, 28 F.3d 769, 31 USPQ2d 1296 (8th Cir. 1994), </w:t>
      </w:r>
      <w:r w:rsidRPr="006662F5">
        <w:rPr>
          <w:i/>
          <w:iCs/>
        </w:rPr>
        <w:t>cert</w:t>
      </w:r>
      <w:r w:rsidRPr="006662F5">
        <w:t>.</w:t>
      </w:r>
      <w:r w:rsidRPr="006662F5">
        <w:rPr>
          <w:i/>
          <w:iCs/>
        </w:rPr>
        <w:t xml:space="preserve"> denied</w:t>
      </w:r>
      <w:r w:rsidRPr="006662F5">
        <w:t xml:space="preserve">, 513 U.S. 1112 (1995) (rejecting First Amendment defense). The First Amendment issues are discussed at greater length in </w:t>
      </w:r>
      <w:r w:rsidRPr="006662F5">
        <w:rPr>
          <w:b/>
          <w:bCs/>
        </w:rPr>
        <w:t>§</w:t>
      </w:r>
      <w:r w:rsidRPr="006662F5">
        <w:t>IV.B.3.c, below.</w:t>
      </w:r>
    </w:p>
  </w:footnote>
  <w:footnote w:id="332">
    <w:p w:rsidR="00431229" w:rsidRPr="006662F5" w:rsidRDefault="00431229">
      <w:pPr>
        <w:pStyle w:val="footnote"/>
      </w:pPr>
      <w:r w:rsidRPr="006662F5">
        <w:rPr>
          <w:vertAlign w:val="superscript"/>
        </w:rPr>
        <w:footnoteRef/>
      </w:r>
      <w:r w:rsidRPr="006662F5">
        <w:t>346 F. Supp. 1183, 175 USPQ 56 (E.D.N.Y. 1972).</w:t>
      </w:r>
    </w:p>
  </w:footnote>
  <w:footnote w:id="333">
    <w:p w:rsidR="00431229" w:rsidRPr="006662F5" w:rsidRDefault="00431229">
      <w:pPr>
        <w:pStyle w:val="footnote"/>
      </w:pPr>
      <w:r w:rsidRPr="006662F5">
        <w:rPr>
          <w:vertAlign w:val="superscript"/>
        </w:rPr>
        <w:footnoteRef/>
      </w:r>
      <w:r w:rsidRPr="006662F5">
        <w:t xml:space="preserve">This refers to the use of white script letters on a red background. </w:t>
      </w:r>
      <w:r w:rsidRPr="006662F5">
        <w:rPr>
          <w:i/>
          <w:iCs/>
        </w:rPr>
        <w:t>See id</w:t>
      </w:r>
      <w:r w:rsidRPr="006662F5">
        <w:t>. at 1187.</w:t>
      </w:r>
    </w:p>
  </w:footnote>
  <w:footnote w:id="334">
    <w:p w:rsidR="00431229" w:rsidRPr="006662F5" w:rsidRDefault="00431229">
      <w:pPr>
        <w:pStyle w:val="footnote"/>
      </w:pPr>
      <w:r w:rsidRPr="006662F5">
        <w:rPr>
          <w:vertAlign w:val="superscript"/>
        </w:rPr>
        <w:footnoteRef/>
      </w:r>
      <w:r w:rsidRPr="006662F5">
        <w:rPr>
          <w:i/>
          <w:iCs/>
        </w:rPr>
        <w:t>Id</w:t>
      </w:r>
      <w:r w:rsidRPr="006662F5">
        <w:t>. at 1191–92.</w:t>
      </w:r>
    </w:p>
  </w:footnote>
  <w:footnote w:id="335">
    <w:p w:rsidR="00431229" w:rsidRPr="006662F5" w:rsidRDefault="00431229">
      <w:pPr>
        <w:pStyle w:val="footnote"/>
      </w:pPr>
      <w:r w:rsidRPr="006662F5">
        <w:rPr>
          <w:vertAlign w:val="superscript"/>
        </w:rPr>
        <w:footnoteRef/>
      </w:r>
      <w:r w:rsidRPr="006662F5">
        <w:rPr>
          <w:i/>
          <w:iCs/>
        </w:rPr>
        <w:t>Id</w:t>
      </w:r>
      <w:r w:rsidRPr="006662F5">
        <w:t>. at 1191 (citation omitted). This statement was made in the context of confusion but clearly uses the language of dilution.</w:t>
      </w:r>
    </w:p>
  </w:footnote>
  <w:footnote w:id="336">
    <w:p w:rsidR="00431229" w:rsidRPr="00C4457D" w:rsidRDefault="00431229">
      <w:pPr>
        <w:pStyle w:val="footnote"/>
        <w:rPr>
          <w:lang w:val="nb-NO"/>
        </w:rPr>
      </w:pPr>
      <w:r w:rsidRPr="006662F5">
        <w:rPr>
          <w:vertAlign w:val="superscript"/>
        </w:rPr>
        <w:footnoteRef/>
      </w:r>
      <w:r w:rsidRPr="00C4457D">
        <w:rPr>
          <w:lang w:val="nb-NO"/>
        </w:rPr>
        <w:t>215 USPQ 124 (N.D. Ga. 1981).</w:t>
      </w:r>
    </w:p>
  </w:footnote>
  <w:footnote w:id="337">
    <w:p w:rsidR="00431229" w:rsidRPr="00C4457D" w:rsidRDefault="00431229">
      <w:pPr>
        <w:pStyle w:val="footnote"/>
        <w:rPr>
          <w:lang w:val="nb-NO"/>
        </w:rPr>
      </w:pPr>
      <w:r w:rsidRPr="006662F5">
        <w:rPr>
          <w:vertAlign w:val="superscript"/>
        </w:rPr>
        <w:footnoteRef/>
      </w:r>
      <w:r w:rsidRPr="00C4457D">
        <w:rPr>
          <w:i/>
          <w:iCs/>
          <w:lang w:val="nb-NO"/>
        </w:rPr>
        <w:t>Id</w:t>
      </w:r>
      <w:r w:rsidRPr="00C4457D">
        <w:rPr>
          <w:lang w:val="nb-NO"/>
        </w:rPr>
        <w:t>. at 125.</w:t>
      </w:r>
    </w:p>
  </w:footnote>
  <w:footnote w:id="338">
    <w:p w:rsidR="00431229" w:rsidRPr="006662F5" w:rsidRDefault="00431229">
      <w:pPr>
        <w:pStyle w:val="footnote"/>
      </w:pPr>
      <w:r w:rsidRPr="006662F5">
        <w:rPr>
          <w:vertAlign w:val="superscript"/>
        </w:rPr>
        <w:footnoteRef/>
      </w:r>
      <w:r w:rsidRPr="006662F5">
        <w:rPr>
          <w:i/>
          <w:iCs/>
        </w:rPr>
        <w:t>Id</w:t>
      </w:r>
      <w:r w:rsidRPr="006662F5">
        <w:t>. at 134.</w:t>
      </w:r>
    </w:p>
  </w:footnote>
  <w:footnote w:id="339">
    <w:p w:rsidR="00431229" w:rsidRPr="006662F5" w:rsidRDefault="00431229">
      <w:pPr>
        <w:pStyle w:val="footnote"/>
      </w:pPr>
      <w:r w:rsidRPr="006662F5">
        <w:rPr>
          <w:vertAlign w:val="superscript"/>
        </w:rPr>
        <w:footnoteRef/>
      </w:r>
      <w:r w:rsidRPr="006662F5">
        <w:rPr>
          <w:i/>
          <w:iCs/>
        </w:rPr>
        <w:t>Id</w:t>
      </w:r>
      <w:r w:rsidRPr="006662F5">
        <w:t>. at 135.</w:t>
      </w:r>
    </w:p>
  </w:footnote>
  <w:footnote w:id="340">
    <w:p w:rsidR="00431229" w:rsidRPr="006662F5" w:rsidRDefault="00431229">
      <w:pPr>
        <w:pStyle w:val="footnote"/>
      </w:pPr>
      <w:r w:rsidRPr="006662F5">
        <w:rPr>
          <w:vertAlign w:val="superscript"/>
        </w:rPr>
        <w:footnoteRef/>
      </w:r>
      <w:r w:rsidRPr="006662F5">
        <w:t>American Express Co. v. Vibra Approved Labs. Corp., 10 USPQ2d 2006, 2007 (S.D.N.Y. 1989).</w:t>
      </w:r>
    </w:p>
  </w:footnote>
  <w:footnote w:id="341">
    <w:p w:rsidR="00431229" w:rsidRPr="00C4457D" w:rsidRDefault="00431229">
      <w:pPr>
        <w:pStyle w:val="footnote"/>
        <w:rPr>
          <w:lang w:val="it-IT"/>
        </w:rPr>
      </w:pPr>
      <w:r w:rsidRPr="006662F5">
        <w:rPr>
          <w:vertAlign w:val="superscript"/>
        </w:rPr>
        <w:footnoteRef/>
      </w:r>
      <w:r w:rsidRPr="00C4457D">
        <w:rPr>
          <w:lang w:val="it-IT"/>
        </w:rPr>
        <w:t>Coca-Cola Co. v. Alma-Leo USA, Inc., 719 F. Supp. 725, 728–29, 12 USPQ2d 1487 (N.D. Ill. 1989).</w:t>
      </w:r>
    </w:p>
  </w:footnote>
  <w:footnote w:id="342">
    <w:p w:rsidR="00431229" w:rsidRPr="00C4457D" w:rsidRDefault="00431229">
      <w:pPr>
        <w:pStyle w:val="footnote"/>
        <w:rPr>
          <w:lang w:val="it-IT"/>
        </w:rPr>
      </w:pPr>
      <w:r w:rsidRPr="006662F5">
        <w:rPr>
          <w:vertAlign w:val="superscript"/>
        </w:rPr>
        <w:footnoteRef/>
      </w:r>
      <w:r w:rsidRPr="00C4457D">
        <w:rPr>
          <w:lang w:val="it-IT"/>
        </w:rPr>
        <w:t>Dallas Cowboy Cheerleaders, Inc. v. Pussycat Cinema, Ltd., 604 F.2d 200, 205 n.8, 203 USPQ 161 (2d Cir. 1979).</w:t>
      </w:r>
    </w:p>
  </w:footnote>
  <w:footnote w:id="343">
    <w:p w:rsidR="00431229" w:rsidRPr="00C4457D" w:rsidRDefault="00431229">
      <w:pPr>
        <w:pStyle w:val="footnote"/>
        <w:rPr>
          <w:lang w:val="it-IT"/>
        </w:rPr>
      </w:pPr>
      <w:r w:rsidRPr="006662F5">
        <w:rPr>
          <w:vertAlign w:val="superscript"/>
        </w:rPr>
        <w:footnoteRef/>
      </w:r>
      <w:r w:rsidRPr="00C4457D">
        <w:rPr>
          <w:i/>
          <w:iCs/>
          <w:lang w:val="it-IT"/>
        </w:rPr>
        <w:t>E</w:t>
      </w:r>
      <w:r w:rsidRPr="00C4457D">
        <w:rPr>
          <w:lang w:val="it-IT"/>
        </w:rPr>
        <w:t>.</w:t>
      </w:r>
      <w:r w:rsidRPr="00C4457D">
        <w:rPr>
          <w:i/>
          <w:iCs/>
          <w:lang w:val="it-IT"/>
        </w:rPr>
        <w:t>g</w:t>
      </w:r>
      <w:r w:rsidRPr="00C4457D">
        <w:rPr>
          <w:lang w:val="it-IT"/>
        </w:rPr>
        <w:t xml:space="preserve">., Mattel, Inc. v. Jcom, Inc., 48 USPQ2d 1467 (S.D.N.Y. 1998); Hasbro, Inc. v. Internet Entm’t Grp., Ltd., 40 USPQ2d 1479, 1479 (W.D. Wash. 1996); </w:t>
      </w:r>
      <w:r w:rsidRPr="00C4457D">
        <w:rPr>
          <w:i/>
          <w:iCs/>
          <w:lang w:val="it-IT"/>
        </w:rPr>
        <w:t>see also</w:t>
      </w:r>
      <w:r w:rsidRPr="00C4457D">
        <w:rPr>
          <w:lang w:val="it-IT"/>
        </w:rPr>
        <w:t xml:space="preserve"> American Dairy Queen Corp. v. New Line Prods., Inc., 35 F. Supp. 2d 727, 733 (D. Minn. 1998) (finding tarnishment under the FTDA by movie entitled </w:t>
      </w:r>
      <w:r w:rsidRPr="00C4457D">
        <w:rPr>
          <w:i/>
          <w:iCs/>
          <w:lang w:val="it-IT"/>
        </w:rPr>
        <w:t>Dairy Queens</w:t>
      </w:r>
      <w:r w:rsidRPr="00C4457D">
        <w:rPr>
          <w:lang w:val="it-IT"/>
        </w:rPr>
        <w:t xml:space="preserve"> that included “off color humor” and potentially offensive scenes).</w:t>
      </w:r>
    </w:p>
  </w:footnote>
  <w:footnote w:id="344">
    <w:p w:rsidR="00431229" w:rsidRPr="00C4457D" w:rsidRDefault="00431229">
      <w:pPr>
        <w:pStyle w:val="footnote"/>
        <w:rPr>
          <w:lang w:val="it-IT"/>
        </w:rPr>
      </w:pPr>
      <w:r w:rsidRPr="006662F5">
        <w:rPr>
          <w:vertAlign w:val="superscript"/>
        </w:rPr>
        <w:footnoteRef/>
      </w:r>
      <w:r w:rsidRPr="00C4457D">
        <w:rPr>
          <w:lang w:val="it-IT"/>
        </w:rPr>
        <w:t>652 F. Supp. 2d 512, 92 USPQ2d 1835 (S.D.N.Y. 2009).</w:t>
      </w:r>
    </w:p>
  </w:footnote>
  <w:footnote w:id="345">
    <w:p w:rsidR="00431229" w:rsidRPr="006662F5" w:rsidRDefault="00431229">
      <w:pPr>
        <w:pStyle w:val="footnote"/>
      </w:pPr>
      <w:r w:rsidRPr="006662F5">
        <w:rPr>
          <w:vertAlign w:val="superscript"/>
        </w:rPr>
        <w:footnoteRef/>
      </w:r>
      <w:r w:rsidRPr="006662F5">
        <w:rPr>
          <w:i/>
          <w:iCs/>
        </w:rPr>
        <w:t>Id</w:t>
      </w:r>
      <w:r w:rsidRPr="006662F5">
        <w:t>. at 525–26.</w:t>
      </w:r>
    </w:p>
  </w:footnote>
  <w:footnote w:id="346">
    <w:p w:rsidR="00431229" w:rsidRPr="006662F5" w:rsidRDefault="00431229">
      <w:pPr>
        <w:pStyle w:val="footnote"/>
      </w:pPr>
      <w:r w:rsidRPr="006662F5">
        <w:rPr>
          <w:vertAlign w:val="superscript"/>
        </w:rPr>
        <w:footnoteRef/>
      </w:r>
      <w:r w:rsidRPr="006662F5">
        <w:t xml:space="preserve">811 F.2d 26, 1 USPQ2d 1753 (1st Cir.), </w:t>
      </w:r>
      <w:r w:rsidRPr="006662F5">
        <w:rPr>
          <w:i/>
          <w:iCs/>
        </w:rPr>
        <w:t>cert</w:t>
      </w:r>
      <w:r w:rsidRPr="006662F5">
        <w:t>.</w:t>
      </w:r>
      <w:r w:rsidRPr="006662F5">
        <w:rPr>
          <w:i/>
          <w:iCs/>
        </w:rPr>
        <w:t xml:space="preserve"> denied</w:t>
      </w:r>
      <w:r w:rsidRPr="006662F5">
        <w:t>, 483 U.S. 1013 (1987).</w:t>
      </w:r>
    </w:p>
  </w:footnote>
  <w:footnote w:id="347">
    <w:p w:rsidR="00431229" w:rsidRPr="006662F5" w:rsidRDefault="00431229">
      <w:pPr>
        <w:pStyle w:val="footnote"/>
      </w:pPr>
      <w:r w:rsidRPr="006662F5">
        <w:rPr>
          <w:vertAlign w:val="superscript"/>
        </w:rPr>
        <w:footnoteRef/>
      </w:r>
      <w:r w:rsidRPr="006662F5">
        <w:rPr>
          <w:i/>
          <w:iCs/>
        </w:rPr>
        <w:t>Id</w:t>
      </w:r>
      <w:r w:rsidRPr="006662F5">
        <w:t>. at 32–34. The effect of the First Amendment on a dilution claim is discussed in further detail in §IV.B.3.c, below.</w:t>
      </w:r>
    </w:p>
  </w:footnote>
  <w:footnote w:id="348">
    <w:p w:rsidR="00431229" w:rsidRPr="006662F5" w:rsidRDefault="00431229">
      <w:pPr>
        <w:pStyle w:val="footnote"/>
      </w:pPr>
      <w:r w:rsidRPr="006662F5">
        <w:rPr>
          <w:vertAlign w:val="superscript"/>
        </w:rPr>
        <w:footnoteRef/>
      </w:r>
      <w:r w:rsidRPr="006662F5">
        <w:t xml:space="preserve">V Secret Catalogue, Inc. v. Moseley, 605 F.3d 382, 387–89, 95 USPQ2d 1050 (6th Cir. 2010), </w:t>
      </w:r>
      <w:r w:rsidRPr="006662F5">
        <w:rPr>
          <w:i/>
          <w:iCs/>
        </w:rPr>
        <w:t>cert</w:t>
      </w:r>
      <w:r w:rsidRPr="006662F5">
        <w:t>.</w:t>
      </w:r>
      <w:r w:rsidRPr="006662F5">
        <w:rPr>
          <w:i/>
          <w:iCs/>
        </w:rPr>
        <w:t xml:space="preserve"> denied</w:t>
      </w:r>
      <w:r w:rsidRPr="006662F5">
        <w:t>, 131 S. Ct. 1003 (2011). For further discussion of this decision, see Chapter 9, §II.E.2.a.</w:t>
      </w:r>
    </w:p>
  </w:footnote>
  <w:footnote w:id="349">
    <w:p w:rsidR="00431229" w:rsidRPr="006662F5" w:rsidRDefault="00431229">
      <w:pPr>
        <w:pStyle w:val="footnote"/>
      </w:pPr>
      <w:r w:rsidRPr="006662F5">
        <w:rPr>
          <w:vertAlign w:val="superscript"/>
        </w:rPr>
        <w:footnoteRef/>
      </w:r>
      <w:r w:rsidRPr="006662F5">
        <w:t>556 F. Supp. 785, 217 USPQ 1128 (E.D.N.Y. 1983).</w:t>
      </w:r>
    </w:p>
  </w:footnote>
  <w:footnote w:id="350">
    <w:p w:rsidR="00431229" w:rsidRPr="006662F5" w:rsidRDefault="00431229">
      <w:pPr>
        <w:pStyle w:val="footnote"/>
      </w:pPr>
      <w:r w:rsidRPr="006662F5">
        <w:rPr>
          <w:vertAlign w:val="superscript"/>
        </w:rPr>
        <w:footnoteRef/>
      </w:r>
      <w:r w:rsidRPr="006662F5">
        <w:rPr>
          <w:i/>
          <w:iCs/>
        </w:rPr>
        <w:t>Id</w:t>
      </w:r>
      <w:r w:rsidRPr="006662F5">
        <w:t>. at 786.</w:t>
      </w:r>
    </w:p>
  </w:footnote>
  <w:footnote w:id="351">
    <w:p w:rsidR="00431229" w:rsidRPr="006662F5" w:rsidRDefault="00431229">
      <w:pPr>
        <w:pStyle w:val="footnote"/>
      </w:pPr>
      <w:r w:rsidRPr="006662F5">
        <w:rPr>
          <w:vertAlign w:val="superscript"/>
        </w:rPr>
        <w:footnoteRef/>
      </w:r>
      <w:r w:rsidRPr="006662F5">
        <w:rPr>
          <w:i/>
          <w:iCs/>
        </w:rPr>
        <w:t>Id</w:t>
      </w:r>
      <w:r w:rsidRPr="006662F5">
        <w:t xml:space="preserve">. at 794. The court also questioned the distinctive quality of plaintiff’s mark for dilution purposes. </w:t>
      </w:r>
      <w:r w:rsidRPr="006662F5">
        <w:rPr>
          <w:i/>
          <w:iCs/>
        </w:rPr>
        <w:t>Id</w:t>
      </w:r>
      <w:r w:rsidRPr="006662F5">
        <w:t>.</w:t>
      </w:r>
    </w:p>
  </w:footnote>
  <w:footnote w:id="352">
    <w:p w:rsidR="00431229" w:rsidRPr="006662F5" w:rsidRDefault="00431229">
      <w:pPr>
        <w:pStyle w:val="footnote"/>
      </w:pPr>
      <w:r w:rsidRPr="006662F5">
        <w:rPr>
          <w:vertAlign w:val="superscript"/>
        </w:rPr>
        <w:footnoteRef/>
      </w:r>
      <w:r w:rsidRPr="006662F5">
        <w:t>645 F.2d 788, 210 USPQ 547 (9th Cir. 1981).</w:t>
      </w:r>
    </w:p>
  </w:footnote>
  <w:footnote w:id="353">
    <w:p w:rsidR="00431229" w:rsidRPr="006662F5" w:rsidRDefault="00431229">
      <w:pPr>
        <w:pStyle w:val="footnote"/>
      </w:pPr>
      <w:r w:rsidRPr="006662F5">
        <w:rPr>
          <w:vertAlign w:val="superscript"/>
        </w:rPr>
        <w:footnoteRef/>
      </w:r>
      <w:r w:rsidRPr="006662F5">
        <w:rPr>
          <w:i/>
          <w:iCs/>
        </w:rPr>
        <w:t>Id</w:t>
      </w:r>
      <w:r w:rsidRPr="006662F5">
        <w:t>. at 793 (denying dilution claim).</w:t>
      </w:r>
    </w:p>
  </w:footnote>
  <w:footnote w:id="354">
    <w:p w:rsidR="00431229" w:rsidRPr="006662F5" w:rsidRDefault="00431229">
      <w:pPr>
        <w:pStyle w:val="footnote"/>
      </w:pPr>
      <w:r w:rsidRPr="006662F5">
        <w:rPr>
          <w:vertAlign w:val="superscript"/>
        </w:rPr>
        <w:footnoteRef/>
      </w:r>
      <w:r w:rsidRPr="006662F5">
        <w:t>823 F. Supp. 48, 28 USPQ2d 1173 (D. Mass. 1993).</w:t>
      </w:r>
    </w:p>
  </w:footnote>
  <w:footnote w:id="355">
    <w:p w:rsidR="00431229" w:rsidRPr="006662F5" w:rsidRDefault="00431229">
      <w:pPr>
        <w:pStyle w:val="footnote"/>
      </w:pPr>
      <w:r w:rsidRPr="006662F5">
        <w:rPr>
          <w:vertAlign w:val="superscript"/>
        </w:rPr>
        <w:footnoteRef/>
      </w:r>
      <w:r w:rsidRPr="006662F5">
        <w:t>Defendant’s T-shirts contained “Black Hog” and “Dead Dog” (a dog skeleton) designs to parody plaintiff’s Black Dog design.</w:t>
      </w:r>
    </w:p>
  </w:footnote>
  <w:footnote w:id="356">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59.</w:t>
      </w:r>
    </w:p>
  </w:footnote>
  <w:footnote w:id="357">
    <w:p w:rsidR="00431229" w:rsidRPr="00C4457D" w:rsidRDefault="00431229">
      <w:pPr>
        <w:pStyle w:val="footnote"/>
        <w:rPr>
          <w:lang w:val="da-DK"/>
        </w:rPr>
      </w:pPr>
      <w:r w:rsidRPr="006662F5">
        <w:rPr>
          <w:vertAlign w:val="superscript"/>
        </w:rPr>
        <w:footnoteRef/>
      </w:r>
      <w:r w:rsidRPr="00C4457D">
        <w:rPr>
          <w:lang w:val="da-DK"/>
        </w:rPr>
        <w:t>73 F.3d 497, 37 USPQ2d 1516 (2d Cir. 1996).</w:t>
      </w:r>
    </w:p>
  </w:footnote>
  <w:footnote w:id="358">
    <w:p w:rsidR="00431229" w:rsidRPr="006662F5" w:rsidRDefault="00431229">
      <w:pPr>
        <w:pStyle w:val="footnote"/>
      </w:pPr>
      <w:r w:rsidRPr="006662F5">
        <w:rPr>
          <w:vertAlign w:val="superscript"/>
        </w:rPr>
        <w:footnoteRef/>
      </w:r>
      <w:r w:rsidRPr="006662F5">
        <w:t>Originally, Hormel claimed dilution from both the movie and the movie’s associated merchandising. However, after the district judge rejected both of those claims, 1995 WL 567369, at *2 (S.D.N.Y. Sept. 25, 1995), Hormel only pursued the claim against merchandising on appeal. 79 F.3d at 500.</w:t>
      </w:r>
    </w:p>
  </w:footnote>
  <w:footnote w:id="359">
    <w:p w:rsidR="00431229" w:rsidRPr="006662F5" w:rsidRDefault="00431229">
      <w:pPr>
        <w:pStyle w:val="footnote"/>
      </w:pPr>
      <w:r w:rsidRPr="006662F5">
        <w:rPr>
          <w:vertAlign w:val="superscript"/>
        </w:rPr>
        <w:footnoteRef/>
      </w:r>
      <w:r w:rsidRPr="006662F5">
        <w:rPr>
          <w:i/>
          <w:iCs/>
        </w:rPr>
        <w:t>Id</w:t>
      </w:r>
      <w:r w:rsidRPr="006662F5">
        <w:t>. at 507.</w:t>
      </w:r>
    </w:p>
  </w:footnote>
  <w:footnote w:id="360">
    <w:p w:rsidR="00431229" w:rsidRPr="006662F5" w:rsidRDefault="00431229">
      <w:pPr>
        <w:pStyle w:val="footnote"/>
      </w:pPr>
      <w:r w:rsidRPr="006662F5">
        <w:rPr>
          <w:vertAlign w:val="superscript"/>
        </w:rPr>
        <w:footnoteRef/>
      </w:r>
      <w:r w:rsidRPr="006662F5">
        <w:rPr>
          <w:i/>
          <w:iCs/>
        </w:rPr>
        <w:t>Id</w:t>
      </w:r>
      <w:r w:rsidRPr="006662F5">
        <w:t>. at 508.</w:t>
      </w:r>
    </w:p>
  </w:footnote>
  <w:footnote w:id="361">
    <w:p w:rsidR="00431229" w:rsidRPr="006662F5" w:rsidRDefault="00431229">
      <w:pPr>
        <w:pStyle w:val="footnote"/>
      </w:pPr>
      <w:r w:rsidRPr="006662F5">
        <w:rPr>
          <w:vertAlign w:val="superscript"/>
        </w:rPr>
        <w:footnoteRef/>
      </w:r>
      <w:r w:rsidRPr="006662F5">
        <w:t>828 F.2d 1482, 4 USPQ2d 1216 (10th Cir. 1987).</w:t>
      </w:r>
    </w:p>
  </w:footnote>
  <w:footnote w:id="362">
    <w:p w:rsidR="00431229" w:rsidRPr="006662F5" w:rsidRDefault="00431229">
      <w:pPr>
        <w:pStyle w:val="footnote"/>
      </w:pPr>
      <w:r w:rsidRPr="006662F5">
        <w:rPr>
          <w:vertAlign w:val="superscript"/>
        </w:rPr>
        <w:footnoteRef/>
      </w:r>
      <w:r w:rsidRPr="006662F5">
        <w:t xml:space="preserve">The defendant disclaimed an intent to parody the Jordache mark, but the district court rejected its explanation. </w:t>
      </w:r>
      <w:r w:rsidRPr="006662F5">
        <w:rPr>
          <w:i/>
          <w:iCs/>
        </w:rPr>
        <w:t>Id</w:t>
      </w:r>
      <w:r w:rsidRPr="006662F5">
        <w:t>. at 1486–87.</w:t>
      </w:r>
    </w:p>
  </w:footnote>
  <w:footnote w:id="363">
    <w:p w:rsidR="00431229" w:rsidRPr="006662F5" w:rsidRDefault="00431229">
      <w:pPr>
        <w:pStyle w:val="footnote"/>
      </w:pPr>
      <w:r w:rsidRPr="006662F5">
        <w:rPr>
          <w:vertAlign w:val="superscript"/>
        </w:rPr>
        <w:footnoteRef/>
      </w:r>
      <w:r w:rsidRPr="006662F5">
        <w:rPr>
          <w:i/>
          <w:iCs/>
        </w:rPr>
        <w:t>Id</w:t>
      </w:r>
      <w:r w:rsidRPr="006662F5">
        <w:t>. at 1490.</w:t>
      </w:r>
    </w:p>
  </w:footnote>
  <w:footnote w:id="364">
    <w:p w:rsidR="00431229" w:rsidRPr="006662F5" w:rsidRDefault="00431229">
      <w:pPr>
        <w:pStyle w:val="footnote"/>
      </w:pPr>
      <w:r w:rsidRPr="006662F5">
        <w:rPr>
          <w:vertAlign w:val="superscript"/>
        </w:rPr>
        <w:footnoteRef/>
      </w:r>
      <w:r w:rsidRPr="006662F5">
        <w:rPr>
          <w:i/>
          <w:iCs/>
        </w:rPr>
        <w:t>Id</w:t>
      </w:r>
      <w:r w:rsidRPr="006662F5">
        <w:t xml:space="preserve">. at 1490–91. The court distinguished other cases, noting that they involved noncompeting goods. </w:t>
      </w:r>
      <w:r w:rsidRPr="006662F5">
        <w:rPr>
          <w:i/>
          <w:iCs/>
        </w:rPr>
        <w:t>Id</w:t>
      </w:r>
      <w:r w:rsidRPr="006662F5">
        <w:t>. at 1491. This aspect of tarnishment is discussed in §IV.B.6. in this chapter.</w:t>
      </w:r>
    </w:p>
  </w:footnote>
  <w:footnote w:id="365">
    <w:p w:rsidR="00431229" w:rsidRPr="006662F5" w:rsidRDefault="00431229">
      <w:pPr>
        <w:pStyle w:val="footnote"/>
      </w:pPr>
      <w:r w:rsidRPr="006662F5">
        <w:rPr>
          <w:vertAlign w:val="superscript"/>
        </w:rPr>
        <w:footnoteRef/>
      </w:r>
      <w:r w:rsidRPr="006662F5">
        <w:rPr>
          <w:i/>
          <w:iCs/>
        </w:rPr>
        <w:t>Cf</w:t>
      </w:r>
      <w:r w:rsidRPr="006662F5">
        <w:t>. Gucci Shops, Inc. v. R.H. Macy &amp; Co., 446 F. Supp. 838 (S.D.N.Y. 1977) (finding dilution where diaper bag was labeled Gucchi Goo, with a stripe similar to that used by Gucci).</w:t>
      </w:r>
    </w:p>
  </w:footnote>
  <w:footnote w:id="366">
    <w:p w:rsidR="00431229" w:rsidRPr="006662F5" w:rsidRDefault="00431229">
      <w:pPr>
        <w:pStyle w:val="footnote"/>
      </w:pPr>
      <w:r w:rsidRPr="006662F5">
        <w:rPr>
          <w:vertAlign w:val="superscript"/>
        </w:rPr>
        <w:footnoteRef/>
      </w:r>
      <w:r w:rsidRPr="006662F5">
        <w:t>Restatement (Third) of Unfair Competition §25 cmt. I (1995).</w:t>
      </w:r>
    </w:p>
  </w:footnote>
  <w:footnote w:id="367">
    <w:p w:rsidR="00431229" w:rsidRPr="006662F5" w:rsidRDefault="00431229">
      <w:pPr>
        <w:pStyle w:val="footnote"/>
      </w:pPr>
      <w:r w:rsidRPr="006662F5">
        <w:rPr>
          <w:vertAlign w:val="superscript"/>
        </w:rPr>
        <w:footnoteRef/>
      </w:r>
      <w:r w:rsidRPr="006662F5">
        <w:rPr>
          <w:i/>
          <w:iCs/>
        </w:rPr>
        <w:t>Jordache</w:t>
      </w:r>
      <w:r w:rsidRPr="006662F5">
        <w:t>, 828 F.2d at 1490.</w:t>
      </w:r>
    </w:p>
  </w:footnote>
  <w:footnote w:id="368">
    <w:p w:rsidR="00431229" w:rsidRPr="006662F5" w:rsidRDefault="00431229">
      <w:pPr>
        <w:pStyle w:val="footnote"/>
      </w:pPr>
      <w:r w:rsidRPr="006662F5">
        <w:rPr>
          <w:vertAlign w:val="superscript"/>
        </w:rPr>
        <w:footnoteRef/>
      </w:r>
      <w:r w:rsidRPr="006662F5">
        <w:rPr>
          <w:i/>
          <w:iCs/>
        </w:rPr>
        <w:t>See</w:t>
      </w:r>
      <w:r w:rsidRPr="006662F5">
        <w:t xml:space="preserve"> 1996 </w:t>
      </w:r>
      <w:r w:rsidRPr="006662F5">
        <w:rPr>
          <w:smallCaps/>
          <w:spacing w:val="-3"/>
        </w:rPr>
        <w:t>Model Bill</w:t>
      </w:r>
      <w:r w:rsidRPr="006662F5">
        <w:t xml:space="preserve"> §1(K).</w:t>
      </w:r>
    </w:p>
  </w:footnote>
  <w:footnote w:id="369">
    <w:p w:rsidR="00431229" w:rsidRPr="006662F5" w:rsidRDefault="00431229">
      <w:pPr>
        <w:pStyle w:val="footnote"/>
      </w:pPr>
      <w:r w:rsidRPr="006662F5">
        <w:rPr>
          <w:vertAlign w:val="superscript"/>
        </w:rPr>
        <w:footnoteRef/>
      </w:r>
      <w:r w:rsidRPr="006662F5">
        <w:t xml:space="preserve">69 F. Supp. 2d 479, 52 USPQ2d 1884 (S.D.N.Y. 1999), </w:t>
      </w:r>
      <w:r w:rsidRPr="006662F5">
        <w:rPr>
          <w:i/>
          <w:iCs/>
        </w:rPr>
        <w:t>aff’d in part and rev’d in part</w:t>
      </w:r>
      <w:r w:rsidRPr="006662F5">
        <w:t>, 293 F.3d 550, 62 USPQ2d 1260 (2d Cir. 2002).</w:t>
      </w:r>
    </w:p>
  </w:footnote>
  <w:footnote w:id="370">
    <w:p w:rsidR="00431229" w:rsidRPr="006662F5" w:rsidRDefault="00431229">
      <w:pPr>
        <w:pStyle w:val="footnote"/>
      </w:pPr>
      <w:r w:rsidRPr="006662F5">
        <w:rPr>
          <w:vertAlign w:val="superscript"/>
        </w:rPr>
        <w:footnoteRef/>
      </w:r>
      <w:r w:rsidRPr="006662F5">
        <w:t xml:space="preserve">The casino also sold merchandise, such as T-shirts, with “New York $lot Exchange” printed on them. </w:t>
      </w:r>
      <w:r w:rsidRPr="006662F5">
        <w:rPr>
          <w:i/>
          <w:iCs/>
        </w:rPr>
        <w:t>Id</w:t>
      </w:r>
      <w:r w:rsidRPr="006662F5">
        <w:t>. at 483.</w:t>
      </w:r>
    </w:p>
  </w:footnote>
  <w:footnote w:id="371">
    <w:p w:rsidR="00431229" w:rsidRPr="006662F5" w:rsidRDefault="00431229">
      <w:pPr>
        <w:pStyle w:val="footnote"/>
      </w:pPr>
      <w:r w:rsidRPr="006662F5">
        <w:rPr>
          <w:vertAlign w:val="superscript"/>
        </w:rPr>
        <w:footnoteRef/>
      </w:r>
      <w:r w:rsidRPr="006662F5">
        <w:rPr>
          <w:i/>
          <w:iCs/>
        </w:rPr>
        <w:t>Id</w:t>
      </w:r>
      <w:r w:rsidRPr="006662F5">
        <w:t>. at 491.</w:t>
      </w:r>
    </w:p>
  </w:footnote>
  <w:footnote w:id="372">
    <w:p w:rsidR="00431229" w:rsidRPr="006662F5" w:rsidRDefault="00431229">
      <w:pPr>
        <w:pStyle w:val="footnote"/>
      </w:pPr>
      <w:r w:rsidRPr="006662F5">
        <w:rPr>
          <w:vertAlign w:val="superscript"/>
        </w:rPr>
        <w:footnoteRef/>
      </w:r>
      <w:r w:rsidRPr="006662F5">
        <w:rPr>
          <w:i/>
          <w:iCs/>
        </w:rPr>
        <w:t>Id</w:t>
      </w:r>
      <w:r w:rsidRPr="006662F5">
        <w:t>. at 491–92.</w:t>
      </w:r>
    </w:p>
  </w:footnote>
  <w:footnote w:id="373">
    <w:p w:rsidR="00431229" w:rsidRPr="006662F5" w:rsidRDefault="00431229">
      <w:pPr>
        <w:pStyle w:val="footnote"/>
      </w:pPr>
      <w:r w:rsidRPr="006662F5">
        <w:rPr>
          <w:vertAlign w:val="superscript"/>
        </w:rPr>
        <w:footnoteRef/>
      </w:r>
      <w:r w:rsidRPr="006662F5">
        <w:rPr>
          <w:i/>
          <w:iCs/>
        </w:rPr>
        <w:t>Id</w:t>
      </w:r>
      <w:r w:rsidRPr="006662F5">
        <w:t xml:space="preserve">. at 492. In addition, the court noted that there was some expressive content in the casino’s allusion to the similarities between investing and gambling, somewhat alleviating the predatory nature of the use. </w:t>
      </w:r>
      <w:r w:rsidRPr="006662F5">
        <w:rPr>
          <w:i/>
          <w:iCs/>
        </w:rPr>
        <w:t>Id</w:t>
      </w:r>
      <w:r w:rsidRPr="006662F5">
        <w:t>. at 493–94.</w:t>
      </w:r>
    </w:p>
  </w:footnote>
  <w:footnote w:id="374">
    <w:p w:rsidR="00431229" w:rsidRPr="006662F5" w:rsidRDefault="00431229">
      <w:pPr>
        <w:pStyle w:val="footnote"/>
      </w:pPr>
      <w:r w:rsidRPr="006662F5">
        <w:rPr>
          <w:vertAlign w:val="superscript"/>
        </w:rPr>
        <w:footnoteRef/>
      </w:r>
      <w:r w:rsidRPr="006662F5">
        <w:t xml:space="preserve">Indeed, as in </w:t>
      </w:r>
      <w:r w:rsidRPr="006662F5">
        <w:rPr>
          <w:i/>
          <w:iCs/>
        </w:rPr>
        <w:t>Jordache</w:t>
      </w:r>
      <w:r w:rsidRPr="006662F5">
        <w:t xml:space="preserve">, the court indicated that parodies may increase, rather than decrease, mark identification. </w:t>
      </w:r>
      <w:r w:rsidRPr="006662F5">
        <w:rPr>
          <w:i/>
          <w:iCs/>
        </w:rPr>
        <w:t>Id</w:t>
      </w:r>
      <w:r w:rsidRPr="006662F5">
        <w:t>. at 490.</w:t>
      </w:r>
    </w:p>
  </w:footnote>
  <w:footnote w:id="375">
    <w:p w:rsidR="00431229" w:rsidRPr="006662F5" w:rsidRDefault="00431229">
      <w:pPr>
        <w:pStyle w:val="footnote"/>
      </w:pPr>
      <w:r w:rsidRPr="006662F5">
        <w:rPr>
          <w:vertAlign w:val="superscript"/>
        </w:rPr>
        <w:footnoteRef/>
      </w:r>
      <w:r w:rsidRPr="006662F5">
        <w:t>293 F.3d at 558.</w:t>
      </w:r>
    </w:p>
  </w:footnote>
  <w:footnote w:id="376">
    <w:p w:rsidR="00431229" w:rsidRPr="006662F5" w:rsidRDefault="00431229">
      <w:pPr>
        <w:pStyle w:val="footnote"/>
      </w:pPr>
      <w:r w:rsidRPr="006662F5">
        <w:rPr>
          <w:vertAlign w:val="superscript"/>
        </w:rPr>
        <w:footnoteRef/>
      </w:r>
      <w:r w:rsidRPr="006662F5">
        <w:rPr>
          <w:i/>
          <w:iCs/>
        </w:rPr>
        <w:t>Id</w:t>
      </w:r>
      <w:r w:rsidRPr="006662F5">
        <w:t>.</w:t>
      </w:r>
    </w:p>
  </w:footnote>
  <w:footnote w:id="377">
    <w:p w:rsidR="00431229" w:rsidRPr="006662F5" w:rsidRDefault="00431229">
      <w:pPr>
        <w:pStyle w:val="footnote"/>
      </w:pPr>
      <w:r w:rsidRPr="006662F5">
        <w:rPr>
          <w:vertAlign w:val="superscript"/>
        </w:rPr>
        <w:footnoteRef/>
      </w:r>
      <w:r w:rsidRPr="006662F5">
        <w:t>221 F. Supp. 2d 410 (S.D.N.Y. 2002).</w:t>
      </w:r>
    </w:p>
  </w:footnote>
  <w:footnote w:id="378">
    <w:p w:rsidR="00431229" w:rsidRPr="006662F5" w:rsidRDefault="00431229">
      <w:pPr>
        <w:pStyle w:val="footnote"/>
      </w:pPr>
      <w:r w:rsidRPr="006662F5">
        <w:rPr>
          <w:vertAlign w:val="superscript"/>
        </w:rPr>
        <w:footnoteRef/>
      </w:r>
      <w:r w:rsidRPr="006662F5">
        <w:rPr>
          <w:i/>
          <w:iCs/>
        </w:rPr>
        <w:t>Id</w:t>
      </w:r>
      <w:r w:rsidRPr="006662F5">
        <w:t>. at 422–23.</w:t>
      </w:r>
    </w:p>
  </w:footnote>
  <w:footnote w:id="379">
    <w:p w:rsidR="00431229" w:rsidRPr="006662F5" w:rsidRDefault="00431229">
      <w:pPr>
        <w:pStyle w:val="footnote"/>
      </w:pPr>
      <w:r w:rsidRPr="006662F5">
        <w:rPr>
          <w:vertAlign w:val="superscript"/>
        </w:rPr>
        <w:footnoteRef/>
      </w:r>
      <w:r w:rsidRPr="006662F5">
        <w:t>Caterpillar, Inc. v. Walt Disney Co., 287 F. Supp. 2d 913, 922, 68 USPQ2d 1461 (C.D. Ill. 2003).</w:t>
      </w:r>
    </w:p>
  </w:footnote>
  <w:footnote w:id="380">
    <w:p w:rsidR="00431229" w:rsidRPr="006662F5" w:rsidRDefault="00431229">
      <w:pPr>
        <w:pStyle w:val="footnote"/>
      </w:pPr>
      <w:r w:rsidRPr="006662F5">
        <w:rPr>
          <w:vertAlign w:val="superscript"/>
        </w:rPr>
        <w:footnoteRef/>
      </w:r>
      <w:r w:rsidRPr="006662F5">
        <w:t>Wham-O, Inc. v. Paramount Pictures Corp., 286 F. Supp. 2d 1254, 1261, 68 USPQ2d 1841 (N.D. Cal. 2003).</w:t>
      </w:r>
    </w:p>
  </w:footnote>
  <w:footnote w:id="381">
    <w:p w:rsidR="00431229" w:rsidRPr="006662F5" w:rsidRDefault="00431229">
      <w:pPr>
        <w:pStyle w:val="footnote"/>
      </w:pPr>
      <w:r w:rsidRPr="006662F5">
        <w:rPr>
          <w:vertAlign w:val="superscript"/>
        </w:rPr>
        <w:footnoteRef/>
      </w:r>
      <w:r w:rsidRPr="006662F5">
        <w:t>Louis Vuitton Malletier, SA v. Haute Diggity Dog, LLC, 507 F.3d 252, 268–69, 84 USPQ2d 1969 (4th Cir. 2007).</w:t>
      </w:r>
    </w:p>
  </w:footnote>
  <w:footnote w:id="382">
    <w:p w:rsidR="00431229" w:rsidRPr="006662F5" w:rsidRDefault="00431229">
      <w:pPr>
        <w:pStyle w:val="footnote"/>
      </w:pPr>
      <w:r w:rsidRPr="006662F5">
        <w:rPr>
          <w:vertAlign w:val="superscript"/>
        </w:rPr>
        <w:footnoteRef/>
      </w:r>
      <w:r w:rsidRPr="006662F5">
        <w:rPr>
          <w:i/>
          <w:iCs/>
        </w:rPr>
        <w:t>Id</w:t>
      </w:r>
      <w:r w:rsidRPr="006662F5">
        <w:t xml:space="preserve">. at 267. </w:t>
      </w:r>
      <w:r w:rsidRPr="006662F5">
        <w:rPr>
          <w:i/>
          <w:iCs/>
        </w:rPr>
        <w:t>But cf</w:t>
      </w:r>
      <w:r w:rsidRPr="006662F5">
        <w:t>. Rosetta Stone Ltd. v. Google, Inc., 676 F.3d 144, 170-71, 102 USPQ2d 1473 (4th Cir. 2012) (that a use may increase the renown of the plaintiff’s mark does not, per se, eliminate the likelihood of dilution).</w:t>
      </w:r>
    </w:p>
  </w:footnote>
  <w:footnote w:id="383">
    <w:p w:rsidR="00431229" w:rsidRPr="006662F5" w:rsidRDefault="00431229">
      <w:pPr>
        <w:pStyle w:val="footnote"/>
      </w:pPr>
      <w:r w:rsidRPr="006662F5">
        <w:rPr>
          <w:vertAlign w:val="superscript"/>
        </w:rPr>
        <w:footnoteRef/>
      </w:r>
      <w:r w:rsidRPr="006662F5">
        <w:t>Anheuser-Busch, Inc. v. VIP Prods., Inc., 666 F. Supp. 2d 974, 987–88 (E.D. Mo. 2008).</w:t>
      </w:r>
    </w:p>
  </w:footnote>
  <w:footnote w:id="384">
    <w:p w:rsidR="00431229" w:rsidRPr="006662F5" w:rsidRDefault="00431229">
      <w:pPr>
        <w:pStyle w:val="footnote"/>
      </w:pPr>
      <w:r w:rsidRPr="006662F5">
        <w:rPr>
          <w:vertAlign w:val="superscript"/>
        </w:rPr>
        <w:footnoteRef/>
      </w:r>
      <w:r w:rsidRPr="006662F5">
        <w:rPr>
          <w:i/>
          <w:iCs/>
        </w:rPr>
        <w:t>Id</w:t>
      </w:r>
      <w:r w:rsidRPr="006662F5">
        <w:t>. at 988.</w:t>
      </w:r>
    </w:p>
  </w:footnote>
  <w:footnote w:id="385">
    <w:p w:rsidR="00431229" w:rsidRPr="006662F5" w:rsidRDefault="00431229">
      <w:pPr>
        <w:pStyle w:val="footnote"/>
      </w:pPr>
      <w:r w:rsidRPr="006662F5">
        <w:rPr>
          <w:vertAlign w:val="superscript"/>
        </w:rPr>
        <w:footnoteRef/>
      </w:r>
      <w:r w:rsidRPr="006662F5">
        <w:t>World Wrestling Fed’n Entm’t, Inc. v. Big Dog Holdings, Inc., 280 F. Supp. 2d 413, 443 (W.D. Pa. 2003).</w:t>
      </w:r>
    </w:p>
  </w:footnote>
  <w:footnote w:id="386">
    <w:p w:rsidR="00431229" w:rsidRPr="006662F5" w:rsidRDefault="00431229">
      <w:pPr>
        <w:pStyle w:val="footnote"/>
      </w:pPr>
      <w:r w:rsidRPr="006662F5">
        <w:rPr>
          <w:vertAlign w:val="superscript"/>
        </w:rPr>
        <w:footnoteRef/>
      </w:r>
      <w:r w:rsidRPr="006662F5">
        <w:t>MasterCard Int’l, Inc. v. Nader 2000 Primary Comm., Inc., 70 USPQ2d 1046, 1053–55 (S.D.N.Y. 2004) (rejecting claims under the FTDA and New York law).</w:t>
      </w:r>
    </w:p>
  </w:footnote>
  <w:footnote w:id="387">
    <w:p w:rsidR="00431229" w:rsidRPr="006662F5" w:rsidRDefault="00431229">
      <w:pPr>
        <w:pStyle w:val="footnote"/>
      </w:pPr>
      <w:r w:rsidRPr="006662F5">
        <w:rPr>
          <w:vertAlign w:val="superscript"/>
        </w:rPr>
        <w:footnoteRef/>
      </w:r>
      <w:r w:rsidRPr="006662F5">
        <w:t>446 F. Supp. 838 (S.D.N.Y. 1977).</w:t>
      </w:r>
    </w:p>
  </w:footnote>
  <w:footnote w:id="388">
    <w:p w:rsidR="00431229" w:rsidRPr="006662F5" w:rsidRDefault="00431229">
      <w:pPr>
        <w:pStyle w:val="footnote"/>
      </w:pPr>
      <w:r w:rsidRPr="006662F5">
        <w:rPr>
          <w:vertAlign w:val="superscript"/>
        </w:rPr>
        <w:footnoteRef/>
      </w:r>
      <w:r w:rsidRPr="006662F5">
        <w:rPr>
          <w:i/>
          <w:iCs/>
        </w:rPr>
        <w:t>Id</w:t>
      </w:r>
      <w:r w:rsidRPr="006662F5">
        <w:t xml:space="preserve">. at 840. The diaper bag also sported a colored stripe similar to the one used by Gucci. </w:t>
      </w:r>
      <w:r w:rsidRPr="006662F5">
        <w:rPr>
          <w:i/>
          <w:iCs/>
        </w:rPr>
        <w:t>Id</w:t>
      </w:r>
      <w:r w:rsidRPr="006662F5">
        <w:t>.</w:t>
      </w:r>
    </w:p>
  </w:footnote>
  <w:footnote w:id="389">
    <w:p w:rsidR="00431229" w:rsidRPr="006662F5" w:rsidRDefault="00431229">
      <w:pPr>
        <w:pStyle w:val="footnote"/>
      </w:pPr>
      <w:r w:rsidRPr="006662F5">
        <w:rPr>
          <w:vertAlign w:val="superscript"/>
        </w:rPr>
        <w:footnoteRef/>
      </w:r>
      <w:r w:rsidRPr="006662F5">
        <w:t>642 F. Supp. 1031, 231 USPQ 850 (N.D. Ga. 1986).</w:t>
      </w:r>
    </w:p>
  </w:footnote>
  <w:footnote w:id="390">
    <w:p w:rsidR="00431229" w:rsidRPr="006662F5" w:rsidRDefault="00431229">
      <w:pPr>
        <w:pStyle w:val="footnote"/>
      </w:pPr>
      <w:r w:rsidRPr="006662F5">
        <w:rPr>
          <w:vertAlign w:val="superscript"/>
        </w:rPr>
        <w:footnoteRef/>
      </w:r>
      <w:r w:rsidRPr="006662F5">
        <w:rPr>
          <w:i/>
          <w:iCs/>
        </w:rPr>
        <w:t>Id</w:t>
      </w:r>
      <w:r w:rsidRPr="006662F5">
        <w:t>. at 1039–40.</w:t>
      </w:r>
    </w:p>
  </w:footnote>
  <w:footnote w:id="391">
    <w:p w:rsidR="00431229" w:rsidRPr="006662F5" w:rsidRDefault="00431229">
      <w:pPr>
        <w:pStyle w:val="footnote"/>
      </w:pPr>
      <w:r w:rsidRPr="006662F5">
        <w:rPr>
          <w:vertAlign w:val="superscript"/>
        </w:rPr>
        <w:footnoteRef/>
      </w:r>
      <w:r w:rsidRPr="006662F5">
        <w:t xml:space="preserve">28 F.3d 769, 31 USPQ2d 1296 (8th Cir. 1994), </w:t>
      </w:r>
      <w:r w:rsidRPr="006662F5">
        <w:rPr>
          <w:i/>
          <w:iCs/>
        </w:rPr>
        <w:t>cert</w:t>
      </w:r>
      <w:r w:rsidRPr="006662F5">
        <w:t>.</w:t>
      </w:r>
      <w:r w:rsidRPr="006662F5">
        <w:rPr>
          <w:i/>
          <w:iCs/>
        </w:rPr>
        <w:t xml:space="preserve"> denied</w:t>
      </w:r>
      <w:r w:rsidRPr="006662F5">
        <w:t>, 513 U.S. 1112 (1995).</w:t>
      </w:r>
    </w:p>
  </w:footnote>
  <w:footnote w:id="392">
    <w:p w:rsidR="00431229" w:rsidRPr="006662F5" w:rsidRDefault="00431229">
      <w:pPr>
        <w:pStyle w:val="footnote"/>
      </w:pPr>
      <w:r w:rsidRPr="006662F5">
        <w:rPr>
          <w:vertAlign w:val="superscript"/>
        </w:rPr>
        <w:footnoteRef/>
      </w:r>
      <w:r w:rsidRPr="006662F5">
        <w:t xml:space="preserve">The advertisement used the parody of, among other things, the catch phrase for Michelob Dry: “One Taste and You’ll Drink It Dry,” substituting “Oily” for “Dry.” </w:t>
      </w:r>
      <w:r w:rsidRPr="006662F5">
        <w:rPr>
          <w:i/>
          <w:iCs/>
        </w:rPr>
        <w:t>Id</w:t>
      </w:r>
      <w:r w:rsidRPr="006662F5">
        <w:t>. at 772.</w:t>
      </w:r>
    </w:p>
  </w:footnote>
  <w:footnote w:id="393">
    <w:p w:rsidR="00431229" w:rsidRPr="006662F5" w:rsidRDefault="00431229">
      <w:pPr>
        <w:pStyle w:val="footnote"/>
      </w:pPr>
      <w:r w:rsidRPr="006662F5">
        <w:rPr>
          <w:vertAlign w:val="superscript"/>
        </w:rPr>
        <w:footnoteRef/>
      </w:r>
      <w:r w:rsidRPr="006662F5">
        <w:rPr>
          <w:i/>
          <w:iCs/>
        </w:rPr>
        <w:t>Id</w:t>
      </w:r>
      <w:r w:rsidRPr="006662F5">
        <w:t>.</w:t>
      </w:r>
    </w:p>
  </w:footnote>
  <w:footnote w:id="394">
    <w:p w:rsidR="00431229" w:rsidRPr="006662F5" w:rsidRDefault="00431229">
      <w:pPr>
        <w:pStyle w:val="footnote"/>
      </w:pPr>
      <w:r w:rsidRPr="006662F5">
        <w:rPr>
          <w:vertAlign w:val="superscript"/>
        </w:rPr>
        <w:footnoteRef/>
      </w:r>
      <w:r w:rsidRPr="006662F5">
        <w:rPr>
          <w:i/>
          <w:iCs/>
        </w:rPr>
        <w:t>Id</w:t>
      </w:r>
      <w:r w:rsidRPr="006662F5">
        <w:t xml:space="preserve">. at 777. The appeals court, reversing the district court, also found confusion. </w:t>
      </w:r>
      <w:r w:rsidRPr="006662F5">
        <w:rPr>
          <w:i/>
          <w:iCs/>
        </w:rPr>
        <w:t>Id</w:t>
      </w:r>
      <w:r w:rsidRPr="006662F5">
        <w:t>. at 775.</w:t>
      </w:r>
    </w:p>
  </w:footnote>
  <w:footnote w:id="395">
    <w:p w:rsidR="00431229" w:rsidRPr="006662F5" w:rsidRDefault="00431229">
      <w:pPr>
        <w:pStyle w:val="footnote"/>
      </w:pPr>
      <w:r w:rsidRPr="006662F5">
        <w:rPr>
          <w:vertAlign w:val="superscript"/>
        </w:rPr>
        <w:footnoteRef/>
      </w:r>
      <w:r w:rsidRPr="006662F5">
        <w:t>Reconciling the Garbage Pail Kids case is far more difficult. Apparently, the court simply believed that it was a less lighthearted joke than those in the cases finding no dilution, such as Bagzilla and Spa’am.</w:t>
      </w:r>
    </w:p>
  </w:footnote>
  <w:footnote w:id="396">
    <w:p w:rsidR="00431229" w:rsidRPr="006662F5" w:rsidRDefault="00431229">
      <w:pPr>
        <w:pStyle w:val="footnote"/>
      </w:pPr>
      <w:r w:rsidRPr="006662F5">
        <w:rPr>
          <w:vertAlign w:val="superscript"/>
        </w:rPr>
        <w:footnoteRef/>
      </w:r>
      <w:r w:rsidRPr="006662F5">
        <w:t>For an extended discussion, see Chapter 9, §II.E.</w:t>
      </w:r>
    </w:p>
  </w:footnote>
  <w:footnote w:id="397">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Gideon’s Int’l, Inc. v. Gideon 300 Ministries, Inc., 94 F. Supp. 2d 566, 587 (E.D. Pa. 1999) (defendant, a Christian ministry, tarnished the Gideon mark by soliciting funds, an activity that plaintiff organization did not engage in); New York State Soc’y of Certified Pub. Accountants v. Eric Louis Assocs., Inc., 79 F. Supp. 2d 331, 346 (S.D.N.Y. 1999) (holding that profit-making activity of defendant may tarnish not-for-profit organization, but rejecting claim that “headhunter” firm was necessarily “unscrupulous” and tarnishing).</w:t>
      </w:r>
    </w:p>
  </w:footnote>
  <w:footnote w:id="398">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Sony Computer Entm’t, Inc. v. Connectix Corp., 203 F.3d 596, 608–09, 53 USPQ2d 1705 (9th Cir.) (rejecting claim based on defendant’s device, which allowed use of PlayStation games without a dedicated console), </w:t>
      </w:r>
      <w:r w:rsidRPr="006662F5">
        <w:rPr>
          <w:i/>
          <w:iCs/>
        </w:rPr>
        <w:t>cert</w:t>
      </w:r>
      <w:r w:rsidRPr="006662F5">
        <w:t>.</w:t>
      </w:r>
      <w:r w:rsidRPr="006662F5">
        <w:rPr>
          <w:i/>
          <w:iCs/>
        </w:rPr>
        <w:t xml:space="preserve"> denied</w:t>
      </w:r>
      <w:r w:rsidRPr="006662F5">
        <w:t xml:space="preserve">, 531 U.S. 871 (2000); Lexington Mgmt. Corp. v. Lexington Capital Partners, 10 F. Supp. 2d 271, 287–80, 47 USPQ2d 1558 (S.D.N.Y. 1998) (defendant’s “cold calling” practices and alleged regulatory problems did not demonstrate tarnishment); </w:t>
      </w:r>
      <w:r w:rsidRPr="006662F5">
        <w:rPr>
          <w:i/>
          <w:iCs/>
        </w:rPr>
        <w:t>cf</w:t>
      </w:r>
      <w:r w:rsidRPr="006662F5">
        <w:t>. Libbey Glass, Inc. v. Oneida, Ltd., 61 F. Supp. 2d 700, 718 (N.D. Ohio 1999) (finding an issue of fact as to inferior quality of defendant’s product).</w:t>
      </w:r>
    </w:p>
  </w:footnote>
  <w:footnote w:id="399">
    <w:p w:rsidR="00431229" w:rsidRPr="00C4457D" w:rsidRDefault="00431229">
      <w:pPr>
        <w:pStyle w:val="footnote"/>
        <w:rPr>
          <w:lang w:val="es-US"/>
        </w:rPr>
      </w:pPr>
      <w:r w:rsidRPr="006662F5">
        <w:rPr>
          <w:vertAlign w:val="superscript"/>
        </w:rPr>
        <w:footnoteRef/>
      </w:r>
      <w:r w:rsidRPr="00C4457D">
        <w:rPr>
          <w:lang w:val="es-US"/>
        </w:rPr>
        <w:t>41 F.3d 39, 32 USPQ2d 1936 (2d Cir. 1994).</w:t>
      </w:r>
    </w:p>
  </w:footnote>
  <w:footnote w:id="400">
    <w:p w:rsidR="00431229" w:rsidRPr="006662F5" w:rsidRDefault="00431229">
      <w:pPr>
        <w:pStyle w:val="footnote"/>
      </w:pPr>
      <w:r w:rsidRPr="006662F5">
        <w:rPr>
          <w:vertAlign w:val="superscript"/>
        </w:rPr>
        <w:footnoteRef/>
      </w:r>
      <w:r w:rsidRPr="006662F5">
        <w:rPr>
          <w:i/>
          <w:iCs/>
        </w:rPr>
        <w:t>Id</w:t>
      </w:r>
      <w:r w:rsidRPr="006662F5">
        <w:t>. at 41.</w:t>
      </w:r>
    </w:p>
  </w:footnote>
  <w:footnote w:id="401">
    <w:p w:rsidR="00431229" w:rsidRPr="006662F5" w:rsidRDefault="00431229">
      <w:pPr>
        <w:pStyle w:val="footnote"/>
      </w:pPr>
      <w:r w:rsidRPr="006662F5">
        <w:rPr>
          <w:vertAlign w:val="superscript"/>
        </w:rPr>
        <w:footnoteRef/>
      </w:r>
      <w:r w:rsidRPr="006662F5">
        <w:rPr>
          <w:i/>
          <w:iCs/>
        </w:rPr>
        <w:t>Id</w:t>
      </w:r>
      <w:r w:rsidRPr="006662F5">
        <w:t xml:space="preserve">. at 44. The appeals court noted that conventional tests for blurring were inapposite because defendant used Deere’s mark to refer to Deere. </w:t>
      </w:r>
      <w:r w:rsidRPr="006662F5">
        <w:rPr>
          <w:i/>
          <w:iCs/>
        </w:rPr>
        <w:t>Id</w:t>
      </w:r>
      <w:r w:rsidRPr="006662F5">
        <w:t>.</w:t>
      </w:r>
    </w:p>
  </w:footnote>
  <w:footnote w:id="402">
    <w:p w:rsidR="00431229" w:rsidRPr="006662F5" w:rsidRDefault="00431229">
      <w:pPr>
        <w:pStyle w:val="footnote"/>
      </w:pPr>
      <w:r w:rsidRPr="006662F5">
        <w:rPr>
          <w:vertAlign w:val="superscript"/>
        </w:rPr>
        <w:footnoteRef/>
      </w:r>
      <w:r w:rsidRPr="006662F5">
        <w:rPr>
          <w:i/>
          <w:iCs/>
        </w:rPr>
        <w:t>Id</w:t>
      </w:r>
      <w:r w:rsidRPr="006662F5">
        <w:t>. at 44–45. Compare the “nominative fair use” exclusion, discussed in Chapter 10, §II.A.</w:t>
      </w:r>
    </w:p>
  </w:footnote>
  <w:footnote w:id="403">
    <w:p w:rsidR="00431229" w:rsidRPr="006662F5" w:rsidRDefault="00431229">
      <w:pPr>
        <w:pStyle w:val="footnote"/>
      </w:pPr>
      <w:r w:rsidRPr="006662F5">
        <w:rPr>
          <w:vertAlign w:val="superscript"/>
        </w:rPr>
        <w:footnoteRef/>
      </w:r>
      <w:r w:rsidRPr="006662F5">
        <w:rPr>
          <w:i/>
          <w:iCs/>
        </w:rPr>
        <w:t>Id</w:t>
      </w:r>
      <w:r w:rsidRPr="006662F5">
        <w:t>. at 44.</w:t>
      </w:r>
    </w:p>
  </w:footnote>
  <w:footnote w:id="404">
    <w:p w:rsidR="00431229" w:rsidRPr="006662F5" w:rsidRDefault="00431229">
      <w:pPr>
        <w:pStyle w:val="footnote"/>
      </w:pPr>
      <w:r w:rsidRPr="006662F5">
        <w:rPr>
          <w:vertAlign w:val="superscript"/>
        </w:rPr>
        <w:footnoteRef/>
      </w:r>
      <w:r w:rsidRPr="006662F5">
        <w:rPr>
          <w:i/>
          <w:iCs/>
        </w:rPr>
        <w:t>Id</w:t>
      </w:r>
      <w:r w:rsidRPr="006662F5">
        <w:t>. (“Nor is there tarnishment, which is usually found where a distinctive mark is depicted in a context of sexual activity, obscenity, or illegal activity.”).</w:t>
      </w:r>
    </w:p>
  </w:footnote>
  <w:footnote w:id="405">
    <w:p w:rsidR="00431229" w:rsidRPr="006662F5" w:rsidRDefault="00431229">
      <w:pPr>
        <w:pStyle w:val="footnote"/>
      </w:pPr>
      <w:r w:rsidRPr="006662F5">
        <w:rPr>
          <w:vertAlign w:val="superscript"/>
        </w:rPr>
        <w:footnoteRef/>
      </w:r>
      <w:r w:rsidRPr="006662F5">
        <w:t>Hormel Foods Corp. v. Jim Henson Prods., Inc., 73 F.3d 497, 37 USPQ2d 1516 (2d Cir. 1996).</w:t>
      </w:r>
    </w:p>
  </w:footnote>
  <w:footnote w:id="406">
    <w:p w:rsidR="00431229" w:rsidRPr="006662F5" w:rsidRDefault="00431229">
      <w:pPr>
        <w:pStyle w:val="footnote"/>
      </w:pPr>
      <w:r w:rsidRPr="006662F5">
        <w:rPr>
          <w:vertAlign w:val="superscript"/>
        </w:rPr>
        <w:footnoteRef/>
      </w:r>
      <w:r w:rsidRPr="006662F5">
        <w:rPr>
          <w:i/>
          <w:iCs/>
        </w:rPr>
        <w:t>Id</w:t>
      </w:r>
      <w:r w:rsidRPr="006662F5">
        <w:t>. at 507.</w:t>
      </w:r>
    </w:p>
  </w:footnote>
  <w:footnote w:id="407">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smallCaps/>
        </w:rPr>
        <w:t>Restatement (Third) of Unfair Competition</w:t>
      </w:r>
      <w:r w:rsidRPr="006662F5">
        <w:t xml:space="preserve"> §25(1)(b) (1995). It is highly unlikely that any court would find MTD’s alteration to be tortious independent of the dilution claim, as required by §25(2).</w:t>
      </w:r>
    </w:p>
  </w:footnote>
  <w:footnote w:id="408">
    <w:p w:rsidR="00431229" w:rsidRPr="006662F5" w:rsidRDefault="00431229">
      <w:pPr>
        <w:pStyle w:val="footnote"/>
      </w:pPr>
      <w:r w:rsidRPr="006662F5">
        <w:rPr>
          <w:vertAlign w:val="superscript"/>
        </w:rPr>
        <w:footnoteRef/>
      </w:r>
      <w:r w:rsidRPr="006662F5">
        <w:rPr>
          <w:i/>
          <w:iCs/>
        </w:rPr>
        <w:t>Deere</w:t>
      </w:r>
      <w:r w:rsidRPr="006662F5">
        <w:t>, 41 F.3d at 44 (citing Smith v. Chanel, Inc., 402 F.2d 562, 567, 159 USPQ 388 (9th Cir. 1968)).</w:t>
      </w:r>
    </w:p>
  </w:footnote>
  <w:footnote w:id="409">
    <w:p w:rsidR="00431229" w:rsidRPr="006662F5" w:rsidRDefault="00431229">
      <w:pPr>
        <w:pStyle w:val="footnote"/>
      </w:pPr>
      <w:r w:rsidRPr="006662F5">
        <w:rPr>
          <w:vertAlign w:val="superscript"/>
        </w:rPr>
        <w:footnoteRef/>
      </w:r>
      <w:r w:rsidRPr="006662F5">
        <w:rPr>
          <w:i/>
          <w:iCs/>
        </w:rPr>
        <w:t>Cf</w:t>
      </w:r>
      <w:r w:rsidRPr="006662F5">
        <w:t xml:space="preserve">. Yankee Publ’g, Inc. v. News Am. Publ’g, Inc., 809 F. Supp. 267, 278–79, 282, 25 USPQ2d 1752 (S.D.N.Y. 1992) (rejecting dilution claim over use by New York magazine of a spoof of </w:t>
      </w:r>
      <w:r w:rsidRPr="006662F5">
        <w:rPr>
          <w:i/>
          <w:iCs/>
        </w:rPr>
        <w:t>Old Farmer’s Almanac</w:t>
      </w:r>
      <w:r w:rsidRPr="006662F5">
        <w:t xml:space="preserve"> as the cover of an issue of </w:t>
      </w:r>
      <w:r w:rsidRPr="006662F5">
        <w:rPr>
          <w:i/>
          <w:iCs/>
        </w:rPr>
        <w:t>New York</w:t>
      </w:r>
      <w:r w:rsidRPr="006662F5">
        <w:t xml:space="preserve"> magazine; court noted marked differences in potential audiences); Eveready Battery Co. v. Adolph Coors Co., 765 F. Supp. 440, 451, 19 USPQ2d 1265 (N.D. Ill. 1991) (rejecting, inter alia, dilution claim by battery company against a beer company’s parody of the Energizer Bunny in its commercial).</w:t>
      </w:r>
    </w:p>
  </w:footnote>
  <w:footnote w:id="410">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Deere</w:t>
      </w:r>
      <w:r w:rsidRPr="006662F5">
        <w:t>, 41 F.3d at 44–45.</w:t>
      </w:r>
    </w:p>
  </w:footnote>
  <w:footnote w:id="411">
    <w:p w:rsidR="00431229" w:rsidRPr="006662F5" w:rsidRDefault="00431229">
      <w:pPr>
        <w:pStyle w:val="footnote"/>
      </w:pPr>
      <w:r w:rsidRPr="006662F5">
        <w:rPr>
          <w:vertAlign w:val="superscript"/>
        </w:rPr>
        <w:footnoteRef/>
      </w:r>
      <w:r w:rsidRPr="006662F5">
        <w:rPr>
          <w:i/>
          <w:iCs/>
        </w:rPr>
        <w:t>See id</w:t>
      </w:r>
      <w:r w:rsidRPr="006662F5">
        <w:t>. at 45.</w:t>
      </w:r>
    </w:p>
  </w:footnote>
  <w:footnote w:id="412">
    <w:p w:rsidR="00431229" w:rsidRPr="008443CC" w:rsidRDefault="00431229">
      <w:pPr>
        <w:pStyle w:val="FootnoteText"/>
      </w:pPr>
      <w:r>
        <w:rPr>
          <w:rStyle w:val="FootnoteReference"/>
          <w:rFonts w:eastAsiaTheme="majorEastAsia"/>
        </w:rPr>
        <w:footnoteRef/>
      </w:r>
      <w:r w:rsidRPr="00E44D89">
        <w:t>McHugh Fuller Law Grp</w:t>
      </w:r>
      <w:r>
        <w:t>. PLLC v. PruittHealth, Inc., 300 Ga. 140, 794 S.E.2d 150, 156</w:t>
      </w:r>
      <w:r w:rsidRPr="006662F5">
        <w:t>–</w:t>
      </w:r>
      <w:r>
        <w:t>57 (Ga. 2016).</w:t>
      </w:r>
    </w:p>
  </w:footnote>
  <w:footnote w:id="413">
    <w:p w:rsidR="00431229" w:rsidRPr="008D6091" w:rsidRDefault="00431229">
      <w:pPr>
        <w:pStyle w:val="FootnoteText"/>
      </w:pPr>
      <w:r>
        <w:rPr>
          <w:rStyle w:val="FootnoteReference"/>
          <w:rFonts w:eastAsiaTheme="majorEastAsia"/>
        </w:rPr>
        <w:footnoteRef/>
      </w:r>
      <w:r w:rsidRPr="008D6091">
        <w:t xml:space="preserve">794 S.E.2d at </w:t>
      </w:r>
      <w:r w:rsidRPr="00E44D89">
        <w:t>156.</w:t>
      </w:r>
    </w:p>
  </w:footnote>
  <w:footnote w:id="414">
    <w:p w:rsidR="00431229" w:rsidRPr="008D6091" w:rsidRDefault="00431229">
      <w:pPr>
        <w:pStyle w:val="FootnoteText"/>
      </w:pPr>
      <w:r>
        <w:rPr>
          <w:rStyle w:val="FootnoteReference"/>
          <w:rFonts w:eastAsiaTheme="majorEastAsia"/>
        </w:rPr>
        <w:footnoteRef/>
      </w:r>
      <w:r w:rsidRPr="00E44D89">
        <w:rPr>
          <w:i/>
          <w:iCs/>
        </w:rPr>
        <w:t>Id</w:t>
      </w:r>
      <w:r w:rsidRPr="00E44D89">
        <w:t>. at 156</w:t>
      </w:r>
      <w:r w:rsidRPr="006662F5">
        <w:t>–</w:t>
      </w:r>
      <w:r w:rsidRPr="00E44D89">
        <w:t>57.  The court stated that if the advertisi</w:t>
      </w:r>
      <w:r>
        <w:t xml:space="preserve">ng was deceptive, then a claim under another theory would have to be pursued. </w:t>
      </w:r>
      <w:r>
        <w:rPr>
          <w:i/>
          <w:iCs/>
        </w:rPr>
        <w:t>Id</w:t>
      </w:r>
      <w:r>
        <w:t>. at 157.</w:t>
      </w:r>
    </w:p>
  </w:footnote>
  <w:footnote w:id="415">
    <w:p w:rsidR="00431229" w:rsidRPr="006662F5" w:rsidRDefault="00431229">
      <w:pPr>
        <w:pStyle w:val="footnote"/>
      </w:pPr>
      <w:r w:rsidRPr="006662F5">
        <w:rPr>
          <w:vertAlign w:val="superscript"/>
        </w:rPr>
        <w:footnoteRef/>
      </w:r>
      <w:r w:rsidRPr="00407BA2">
        <w:t xml:space="preserve">15 U.S.C. §1125(c)(3)(A); </w:t>
      </w:r>
      <w:r w:rsidRPr="00407BA2">
        <w:rPr>
          <w:smallCaps/>
        </w:rPr>
        <w:t xml:space="preserve">Ariz. Rev. </w:t>
      </w:r>
      <w:r w:rsidRPr="00E44D89">
        <w:rPr>
          <w:smallCaps/>
        </w:rPr>
        <w:t>Stat</w:t>
      </w:r>
      <w:r w:rsidRPr="00E44D89">
        <w:t xml:space="preserve">. §44-1448.01 C.1 (West 2003); </w:t>
      </w:r>
      <w:r w:rsidRPr="00E44D89">
        <w:rPr>
          <w:smallCaps/>
        </w:rPr>
        <w:t>Ark. Code Ann.</w:t>
      </w:r>
      <w:r w:rsidRPr="00E44D89">
        <w:t xml:space="preserve"> </w:t>
      </w:r>
      <w:r w:rsidRPr="006662F5">
        <w:t xml:space="preserve">§4-71-213(c)(1) (LexisNexis 2001); </w:t>
      </w:r>
      <w:r w:rsidRPr="006662F5">
        <w:rPr>
          <w:smallCaps/>
        </w:rPr>
        <w:t>Cal. Bus. &amp; Prof. Code</w:t>
      </w:r>
      <w:r w:rsidRPr="006662F5">
        <w:t xml:space="preserve"> §14247(b)(1) (West 2008); </w:t>
      </w:r>
      <w:r w:rsidRPr="006662F5">
        <w:rPr>
          <w:smallCaps/>
        </w:rPr>
        <w:t xml:space="preserve">Fla. Stat. Ann. </w:t>
      </w:r>
      <w:r w:rsidRPr="006662F5">
        <w:t xml:space="preserve">§495.151(3)(a) (West Supp. 2010); </w:t>
      </w:r>
      <w:r w:rsidRPr="006662F5">
        <w:rPr>
          <w:smallCaps/>
        </w:rPr>
        <w:t>Haw. Rev. Stat. Ann</w:t>
      </w:r>
      <w:r w:rsidRPr="006662F5">
        <w:t xml:space="preserve">. §482-32(8)(c) (LexisNexis 2005); 765 </w:t>
      </w:r>
      <w:r w:rsidRPr="006662F5">
        <w:rPr>
          <w:smallCaps/>
        </w:rPr>
        <w:t>Ill. Comp. Stat. Ann</w:t>
      </w:r>
      <w:r w:rsidRPr="006662F5">
        <w:t xml:space="preserve">. §1036/65(b)(1) (West 2009); </w:t>
      </w:r>
      <w:r w:rsidRPr="006662F5">
        <w:rPr>
          <w:smallCaps/>
        </w:rPr>
        <w:t>Ind. Code Ann.</w:t>
      </w:r>
      <w:r w:rsidRPr="006662F5">
        <w:t xml:space="preserve"> §24-2-1-13.5(e)(1) (LexisNexis 2006); </w:t>
      </w:r>
      <w:r w:rsidRPr="006662F5">
        <w:rPr>
          <w:smallCaps/>
        </w:rPr>
        <w:t xml:space="preserve">Kan. </w:t>
      </w:r>
      <w:r w:rsidRPr="00C4457D">
        <w:rPr>
          <w:smallCaps/>
          <w:lang w:val="de-DE"/>
        </w:rPr>
        <w:t>Stat. Ann.</w:t>
      </w:r>
      <w:r w:rsidRPr="00C4457D">
        <w:rPr>
          <w:lang w:val="de-DE"/>
        </w:rPr>
        <w:t xml:space="preserve"> §81-214(c)(1) (Supp. 2009); </w:t>
      </w:r>
      <w:r w:rsidRPr="00C4457D">
        <w:rPr>
          <w:smallCaps/>
          <w:lang w:val="de-DE"/>
        </w:rPr>
        <w:t>Minn. Stat. Ann.</w:t>
      </w:r>
      <w:r w:rsidRPr="00C4457D">
        <w:rPr>
          <w:lang w:val="de-DE"/>
        </w:rPr>
        <w:t xml:space="preserve"> §333.285(c)(1) (West 2004); </w:t>
      </w:r>
      <w:r w:rsidRPr="00C4457D">
        <w:rPr>
          <w:smallCaps/>
          <w:lang w:val="de-DE"/>
        </w:rPr>
        <w:t>Miss. Code Ann</w:t>
      </w:r>
      <w:r w:rsidRPr="00C4457D">
        <w:rPr>
          <w:lang w:val="de-DE"/>
        </w:rPr>
        <w:t xml:space="preserve">. §75-25-25(d)(1) (West Supp. 2011); </w:t>
      </w:r>
      <w:r w:rsidRPr="00C4457D">
        <w:rPr>
          <w:smallCaps/>
          <w:lang w:val="de-DE"/>
        </w:rPr>
        <w:t xml:space="preserve">Mont. Code Ann. </w:t>
      </w:r>
      <w:r w:rsidRPr="00C4457D">
        <w:rPr>
          <w:lang w:val="de-DE"/>
        </w:rPr>
        <w:t xml:space="preserve">§30-13-334(4)(a) (2007); </w:t>
      </w:r>
      <w:r w:rsidRPr="00C4457D">
        <w:rPr>
          <w:smallCaps/>
          <w:lang w:val="de-DE"/>
        </w:rPr>
        <w:t>Neb. Rev. Stat.</w:t>
      </w:r>
      <w:r w:rsidRPr="00C4457D">
        <w:rPr>
          <w:lang w:val="de-DE"/>
        </w:rPr>
        <w:t xml:space="preserve"> §87-140(3)(a) (LexisNexis 2007); </w:t>
      </w:r>
      <w:r w:rsidRPr="00C4457D">
        <w:rPr>
          <w:smallCaps/>
          <w:lang w:val="de-DE"/>
        </w:rPr>
        <w:t>Nev. Rev. Stat. Ann.</w:t>
      </w:r>
      <w:r w:rsidRPr="00C4457D">
        <w:rPr>
          <w:lang w:val="de-DE"/>
        </w:rPr>
        <w:t xml:space="preserve"> §600.435(4) (LexisNexis 2004); 54 </w:t>
      </w:r>
      <w:r w:rsidRPr="00C4457D">
        <w:rPr>
          <w:smallCaps/>
          <w:lang w:val="de-DE"/>
        </w:rPr>
        <w:t>Pa. Cons. Stat. Ann.</w:t>
      </w:r>
      <w:r w:rsidRPr="00C4457D">
        <w:rPr>
          <w:lang w:val="de-DE"/>
        </w:rPr>
        <w:t xml:space="preserve"> </w:t>
      </w:r>
      <w:r w:rsidRPr="006662F5">
        <w:t xml:space="preserve">§1124 (West Supp. 2012); </w:t>
      </w:r>
      <w:r w:rsidRPr="006662F5">
        <w:rPr>
          <w:smallCaps/>
        </w:rPr>
        <w:t xml:space="preserve">Tenn. Code Ann. </w:t>
      </w:r>
      <w:r w:rsidRPr="006662F5">
        <w:t xml:space="preserve">§47-25-513(c)(1) (LexisNexis 2001); </w:t>
      </w:r>
      <w:r w:rsidRPr="006662F5">
        <w:rPr>
          <w:smallCaps/>
        </w:rPr>
        <w:t>Utah Code Ann.</w:t>
      </w:r>
      <w:r w:rsidRPr="006662F5">
        <w:t xml:space="preserve"> §70-3a-403(5)(a) (West 2004); </w:t>
      </w:r>
      <w:r w:rsidRPr="006662F5">
        <w:rPr>
          <w:smallCaps/>
        </w:rPr>
        <w:t>Wash. Rev. Code Ann.</w:t>
      </w:r>
      <w:r w:rsidRPr="006662F5">
        <w:t xml:space="preserve"> §19.77.160(3)(a) (West Supp. 2012); </w:t>
      </w:r>
      <w:r w:rsidRPr="006662F5">
        <w:rPr>
          <w:i/>
          <w:iCs/>
        </w:rPr>
        <w:t>see</w:t>
      </w:r>
      <w:r w:rsidRPr="006662F5">
        <w:t xml:space="preserve"> 2007 </w:t>
      </w:r>
      <w:r w:rsidRPr="006662F5">
        <w:rPr>
          <w:smallCaps/>
        </w:rPr>
        <w:t>Model Bill</w:t>
      </w:r>
      <w:r w:rsidRPr="006662F5">
        <w:t xml:space="preserve"> §13(d)(1). The 2007 Model Bill (used in Alabama, California, Mississippi, Oregon, and Texas) adopted the language of the TDRA, which expanded the fair use exclusion to encompass a parody or criticism of the goods or services of the famous mark owner. This exclusion also may encompass the </w:t>
      </w:r>
      <w:r w:rsidRPr="006662F5">
        <w:rPr>
          <w:i/>
          <w:iCs/>
        </w:rPr>
        <w:t>Deere</w:t>
      </w:r>
      <w:r w:rsidRPr="006662F5">
        <w:t xml:space="preserve"> situation. (As discussed in Chapter 4, §I.B., Oregon’s version of the 2007 Model Bill is a little different than the Model Bill, but that difference primarily affects the noncommercial use and news reporting exclusions.)</w:t>
      </w:r>
    </w:p>
  </w:footnote>
  <w:footnote w:id="416">
    <w:p w:rsidR="00431229" w:rsidRPr="006662F5" w:rsidRDefault="00431229">
      <w:pPr>
        <w:pStyle w:val="footnote"/>
      </w:pPr>
      <w:r w:rsidRPr="006662F5">
        <w:rPr>
          <w:vertAlign w:val="superscript"/>
        </w:rPr>
        <w:footnoteRef/>
      </w:r>
      <w:r w:rsidRPr="006662F5">
        <w:t>See the discussion of this issue in Chapter 10, §II.B.</w:t>
      </w:r>
    </w:p>
  </w:footnote>
  <w:footnote w:id="417">
    <w:p w:rsidR="00431229" w:rsidRPr="006662F5" w:rsidRDefault="00431229">
      <w:pPr>
        <w:pStyle w:val="footnote"/>
      </w:pPr>
      <w:r w:rsidRPr="006662F5">
        <w:rPr>
          <w:vertAlign w:val="superscript"/>
        </w:rPr>
        <w:footnoteRef/>
      </w:r>
      <w:r w:rsidRPr="006662F5">
        <w:t xml:space="preserve">It should be noted that the New York statute, which was interpreted in </w:t>
      </w:r>
      <w:r w:rsidRPr="006662F5">
        <w:rPr>
          <w:i/>
          <w:iCs/>
        </w:rPr>
        <w:t>Deere</w:t>
      </w:r>
      <w:r w:rsidRPr="006662F5">
        <w:t>, is the same as the 1964 Model Bill.</w:t>
      </w:r>
    </w:p>
  </w:footnote>
  <w:footnote w:id="418">
    <w:p w:rsidR="00431229" w:rsidRPr="006662F5" w:rsidRDefault="00431229">
      <w:pPr>
        <w:pStyle w:val="footnote"/>
      </w:pPr>
      <w:r w:rsidRPr="006662F5">
        <w:rPr>
          <w:vertAlign w:val="superscript"/>
        </w:rPr>
        <w:footnoteRef/>
      </w:r>
      <w:r w:rsidRPr="006662F5">
        <w:t>This discussion focuses on tarnishment cases, which are the most likely to implicate First Amendment issues. For other discussions of the First Amendment as a defense to dilution, see Chapter 4, §II, and Chapter 10, §IV.C, H.</w:t>
      </w:r>
    </w:p>
  </w:footnote>
  <w:footnote w:id="419">
    <w:p w:rsidR="00431229" w:rsidRPr="006662F5" w:rsidRDefault="00431229" w:rsidP="001C0FAE">
      <w:pPr>
        <w:pStyle w:val="footnote"/>
      </w:pPr>
      <w:r w:rsidRPr="006662F5">
        <w:rPr>
          <w:vertAlign w:val="superscript"/>
        </w:rPr>
        <w:footnoteRef/>
      </w:r>
      <w:r w:rsidRPr="006662F5">
        <w:rPr>
          <w:i/>
          <w:iCs/>
        </w:rPr>
        <w:t>See</w:t>
      </w:r>
      <w:r w:rsidRPr="006662F5">
        <w:t xml:space="preserve"> GTFM, LLC v. Universal Studios, Inc., 2006 WL 1377048</w:t>
      </w:r>
      <w:r>
        <w:t xml:space="preserve">, </w:t>
      </w:r>
      <w:r w:rsidRPr="001C0FAE">
        <w:t>2006 BL 182357</w:t>
      </w:r>
      <w:r w:rsidRPr="006662F5">
        <w:t xml:space="preserve"> (S.D.N.Y. May 16, 2006) (citing First Amendment concerns, rejecting claim by makers of FUBU (“For Us, By Us”) apparel against parody in a movie).</w:t>
      </w:r>
    </w:p>
  </w:footnote>
  <w:footnote w:id="420">
    <w:p w:rsidR="00431229" w:rsidRPr="006662F5" w:rsidRDefault="00431229">
      <w:pPr>
        <w:pStyle w:val="footnote"/>
      </w:pPr>
      <w:r w:rsidRPr="006662F5">
        <w:rPr>
          <w:vertAlign w:val="superscript"/>
        </w:rPr>
        <w:footnoteRef/>
      </w:r>
      <w:r w:rsidRPr="006662F5">
        <w:t xml:space="preserve">811 F.2d 26, 1 USPQ2d 1753 (1st Cir.), </w:t>
      </w:r>
      <w:r w:rsidRPr="006662F5">
        <w:rPr>
          <w:i/>
          <w:iCs/>
        </w:rPr>
        <w:t>cert</w:t>
      </w:r>
      <w:r w:rsidRPr="006662F5">
        <w:t>.</w:t>
      </w:r>
      <w:r w:rsidRPr="006662F5">
        <w:rPr>
          <w:i/>
          <w:iCs/>
        </w:rPr>
        <w:t xml:space="preserve"> denied</w:t>
      </w:r>
      <w:r w:rsidRPr="006662F5">
        <w:t>, 483 U.S. 1013 (1987).</w:t>
      </w:r>
    </w:p>
  </w:footnote>
  <w:footnote w:id="421">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27.</w:t>
      </w:r>
    </w:p>
  </w:footnote>
  <w:footnote w:id="422">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w:t>
      </w:r>
    </w:p>
  </w:footnote>
  <w:footnote w:id="423">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w:t>
      </w:r>
    </w:p>
  </w:footnote>
  <w:footnote w:id="424">
    <w:p w:rsidR="00431229" w:rsidRPr="006662F5" w:rsidRDefault="00431229">
      <w:pPr>
        <w:pStyle w:val="footnote"/>
      </w:pPr>
      <w:r w:rsidRPr="006662F5">
        <w:rPr>
          <w:vertAlign w:val="superscript"/>
        </w:rPr>
        <w:footnoteRef/>
      </w:r>
      <w:r w:rsidRPr="00C4457D">
        <w:rPr>
          <w:i/>
          <w:iCs/>
          <w:lang w:val="da-DK"/>
        </w:rPr>
        <w:t>Id</w:t>
      </w:r>
      <w:r w:rsidRPr="00C4457D">
        <w:rPr>
          <w:lang w:val="da-DK"/>
        </w:rPr>
        <w:t xml:space="preserve">. at 29. </w:t>
      </w:r>
      <w:r w:rsidRPr="006662F5">
        <w:t xml:space="preserve">The court cited </w:t>
      </w:r>
      <w:r w:rsidRPr="006662F5">
        <w:rPr>
          <w:i/>
          <w:iCs/>
        </w:rPr>
        <w:t>Dallas Cowboys Cheerleaders, Inc</w:t>
      </w:r>
      <w:r w:rsidRPr="006662F5">
        <w:t>.</w:t>
      </w:r>
      <w:r w:rsidRPr="006662F5">
        <w:rPr>
          <w:i/>
          <w:iCs/>
        </w:rPr>
        <w:t xml:space="preserve"> v</w:t>
      </w:r>
      <w:r w:rsidRPr="006662F5">
        <w:t>.</w:t>
      </w:r>
      <w:r w:rsidRPr="006662F5">
        <w:rPr>
          <w:i/>
          <w:iCs/>
        </w:rPr>
        <w:t xml:space="preserve"> Pussycat Cinema, Ltd</w:t>
      </w:r>
      <w:r w:rsidRPr="006662F5">
        <w:t>., 604 F.2d 200, 206, 203 USPQ 161 (2d Cir. 1979), as illustrative of a case taking the property rights view.</w:t>
      </w:r>
    </w:p>
  </w:footnote>
  <w:footnote w:id="425">
    <w:p w:rsidR="00431229" w:rsidRPr="006662F5" w:rsidRDefault="00431229">
      <w:pPr>
        <w:pStyle w:val="footnote"/>
      </w:pPr>
      <w:r w:rsidRPr="006662F5">
        <w:rPr>
          <w:vertAlign w:val="superscript"/>
        </w:rPr>
        <w:footnoteRef/>
      </w:r>
      <w:r w:rsidRPr="006662F5">
        <w:t>811 F.2d at 32–33. That it was part of a magazine sold for profit does not make it commercial for First Amendment purposes. New York Times, Inc. v. Sullivan, 376 U.S. 254, 266 (1964); Hoffman v. Capital Cities/ABC, Inc., 255 F.3d 1180, 1185, 59 USPQ2d 1363 (9th Cir. 2001).</w:t>
      </w:r>
    </w:p>
  </w:footnote>
  <w:footnote w:id="426">
    <w:p w:rsidR="00431229" w:rsidRPr="006662F5" w:rsidRDefault="00431229">
      <w:pPr>
        <w:pStyle w:val="footnote"/>
      </w:pPr>
      <w:r w:rsidRPr="006662F5">
        <w:rPr>
          <w:vertAlign w:val="superscript"/>
        </w:rPr>
        <w:footnoteRef/>
      </w:r>
      <w:r w:rsidRPr="006662F5">
        <w:t xml:space="preserve">811 F.2d at 33. The court further rejected L.L. Bean’s argument that alternative means of expression existed. </w:t>
      </w:r>
      <w:r w:rsidRPr="006662F5">
        <w:rPr>
          <w:i/>
          <w:iCs/>
        </w:rPr>
        <w:t>Id</w:t>
      </w:r>
      <w:r w:rsidRPr="006662F5">
        <w:t xml:space="preserve">. at 34. The parody was aimed at the L.L. Bean symbol, making the use of the mark—or a parody thereof—essential to the commentary. </w:t>
      </w:r>
      <w:r w:rsidRPr="006662F5">
        <w:rPr>
          <w:i/>
          <w:iCs/>
        </w:rPr>
        <w:t>Id</w:t>
      </w:r>
      <w:r w:rsidRPr="006662F5">
        <w:t>.</w:t>
      </w:r>
    </w:p>
  </w:footnote>
  <w:footnote w:id="427">
    <w:p w:rsidR="00431229" w:rsidRPr="006662F5" w:rsidRDefault="00431229">
      <w:pPr>
        <w:pStyle w:val="footnote"/>
      </w:pPr>
      <w:r w:rsidRPr="006662F5">
        <w:rPr>
          <w:vertAlign w:val="superscript"/>
        </w:rPr>
        <w:footnoteRef/>
      </w:r>
      <w:r w:rsidRPr="006662F5">
        <w:t xml:space="preserve">28 F.3d 769, 31 USPQ2d 1296 (8th Cir. 1994), </w:t>
      </w:r>
      <w:r w:rsidRPr="006662F5">
        <w:rPr>
          <w:i/>
          <w:iCs/>
        </w:rPr>
        <w:t>cert</w:t>
      </w:r>
      <w:r w:rsidRPr="006662F5">
        <w:t>.</w:t>
      </w:r>
      <w:r w:rsidRPr="006662F5">
        <w:rPr>
          <w:i/>
          <w:iCs/>
        </w:rPr>
        <w:t xml:space="preserve"> denied</w:t>
      </w:r>
      <w:r w:rsidRPr="006662F5">
        <w:t>, 513 U.S. 1112 (1995).</w:t>
      </w:r>
    </w:p>
  </w:footnote>
  <w:footnote w:id="428">
    <w:p w:rsidR="00431229" w:rsidRPr="006662F5" w:rsidRDefault="00431229">
      <w:pPr>
        <w:pStyle w:val="footnote"/>
      </w:pPr>
      <w:r w:rsidRPr="006662F5">
        <w:rPr>
          <w:vertAlign w:val="superscript"/>
        </w:rPr>
        <w:footnoteRef/>
      </w:r>
      <w:r w:rsidRPr="006662F5">
        <w:t>The fake advertisement pictured a can of Michelob Oily beer being poured on what appears to be an oil slick.</w:t>
      </w:r>
    </w:p>
  </w:footnote>
  <w:footnote w:id="429">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777–78.</w:t>
      </w:r>
    </w:p>
  </w:footnote>
  <w:footnote w:id="430">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778.</w:t>
      </w:r>
    </w:p>
  </w:footnote>
  <w:footnote w:id="431">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w:t>
      </w:r>
    </w:p>
  </w:footnote>
  <w:footnote w:id="432">
    <w:p w:rsidR="00431229" w:rsidRPr="006662F5" w:rsidRDefault="00431229">
      <w:pPr>
        <w:pStyle w:val="footnote"/>
      </w:pPr>
      <w:r w:rsidRPr="006662F5">
        <w:rPr>
          <w:vertAlign w:val="superscript"/>
        </w:rPr>
        <w:footnoteRef/>
      </w:r>
      <w:r w:rsidRPr="006662F5">
        <w:t xml:space="preserve">28 F. Supp. 2d 1120 (C.D. Cal. 1998), </w:t>
      </w:r>
      <w:r w:rsidRPr="006662F5">
        <w:rPr>
          <w:i/>
          <w:iCs/>
        </w:rPr>
        <w:t>aff’d</w:t>
      </w:r>
      <w:r w:rsidRPr="006662F5">
        <w:t xml:space="preserve">, 296 F.3d 894, 63 USPQ2d 1715 (9th Cir. 2002), </w:t>
      </w:r>
      <w:r w:rsidRPr="006662F5">
        <w:rPr>
          <w:i/>
          <w:iCs/>
        </w:rPr>
        <w:t>cert</w:t>
      </w:r>
      <w:r w:rsidRPr="006662F5">
        <w:t>.</w:t>
      </w:r>
      <w:r w:rsidRPr="006662F5">
        <w:rPr>
          <w:i/>
          <w:iCs/>
        </w:rPr>
        <w:t xml:space="preserve"> denied</w:t>
      </w:r>
      <w:r w:rsidRPr="006662F5">
        <w:t>, 537 U.S. 1171 (2003).</w:t>
      </w:r>
    </w:p>
  </w:footnote>
  <w:footnote w:id="433">
    <w:p w:rsidR="00431229" w:rsidRPr="006662F5" w:rsidRDefault="00431229">
      <w:pPr>
        <w:pStyle w:val="footnote"/>
      </w:pPr>
      <w:r w:rsidRPr="006662F5">
        <w:rPr>
          <w:vertAlign w:val="superscript"/>
        </w:rPr>
        <w:footnoteRef/>
      </w:r>
      <w:r w:rsidRPr="006662F5">
        <w:rPr>
          <w:i/>
          <w:iCs/>
        </w:rPr>
        <w:t>Id</w:t>
      </w:r>
      <w:r w:rsidRPr="006662F5">
        <w:t xml:space="preserve">. at 1125. The song referred to Barbie as a “ ‘blond bimbo girl’ . . . whose ‘life is plastic.’” </w:t>
      </w:r>
      <w:r w:rsidRPr="006662F5">
        <w:rPr>
          <w:i/>
          <w:iCs/>
        </w:rPr>
        <w:t>Id</w:t>
      </w:r>
      <w:r w:rsidRPr="006662F5">
        <w:t>.</w:t>
      </w:r>
    </w:p>
  </w:footnote>
  <w:footnote w:id="434">
    <w:p w:rsidR="00431229" w:rsidRPr="006662F5" w:rsidRDefault="00431229">
      <w:pPr>
        <w:pStyle w:val="footnote"/>
      </w:pPr>
      <w:r w:rsidRPr="006662F5">
        <w:rPr>
          <w:vertAlign w:val="superscript"/>
        </w:rPr>
        <w:footnoteRef/>
      </w:r>
      <w:r w:rsidRPr="006662F5">
        <w:rPr>
          <w:i/>
          <w:iCs/>
        </w:rPr>
        <w:t>Id</w:t>
      </w:r>
      <w:r w:rsidRPr="006662F5">
        <w:t>. at 1155.</w:t>
      </w:r>
    </w:p>
  </w:footnote>
  <w:footnote w:id="435">
    <w:p w:rsidR="00431229" w:rsidRPr="006662F5" w:rsidRDefault="00431229">
      <w:pPr>
        <w:pStyle w:val="footnote"/>
      </w:pPr>
      <w:r w:rsidRPr="006662F5">
        <w:rPr>
          <w:vertAlign w:val="superscript"/>
        </w:rPr>
        <w:footnoteRef/>
      </w:r>
      <w:r w:rsidRPr="006662F5">
        <w:rPr>
          <w:i/>
          <w:iCs/>
        </w:rPr>
        <w:t>Id</w:t>
      </w:r>
      <w:r w:rsidRPr="006662F5">
        <w:t>. at 1156.</w:t>
      </w:r>
    </w:p>
  </w:footnote>
  <w:footnote w:id="436">
    <w:p w:rsidR="00431229" w:rsidRPr="006662F5" w:rsidRDefault="00431229">
      <w:pPr>
        <w:pStyle w:val="footnote"/>
      </w:pPr>
      <w:r w:rsidRPr="006662F5">
        <w:rPr>
          <w:vertAlign w:val="superscript"/>
        </w:rPr>
        <w:footnoteRef/>
      </w:r>
      <w:r w:rsidRPr="006662F5">
        <w:t xml:space="preserve">On this basis, the court distinguished the </w:t>
      </w:r>
      <w:r w:rsidRPr="006662F5">
        <w:rPr>
          <w:i/>
          <w:iCs/>
        </w:rPr>
        <w:t>Balducci</w:t>
      </w:r>
      <w:r w:rsidRPr="006662F5">
        <w:t xml:space="preserve"> decision. However, the court’s observations about </w:t>
      </w:r>
      <w:r w:rsidRPr="006662F5">
        <w:rPr>
          <w:i/>
          <w:iCs/>
        </w:rPr>
        <w:t xml:space="preserve">Balducci </w:t>
      </w:r>
      <w:r w:rsidRPr="006662F5">
        <w:t xml:space="preserve">indicate that it found </w:t>
      </w:r>
      <w:r w:rsidRPr="006662F5">
        <w:rPr>
          <w:i/>
          <w:iCs/>
        </w:rPr>
        <w:t>L</w:t>
      </w:r>
      <w:r w:rsidRPr="006662F5">
        <w:t>.</w:t>
      </w:r>
      <w:r w:rsidRPr="006662F5">
        <w:rPr>
          <w:i/>
          <w:iCs/>
        </w:rPr>
        <w:t>L</w:t>
      </w:r>
      <w:r w:rsidRPr="006662F5">
        <w:t>.</w:t>
      </w:r>
      <w:r w:rsidRPr="006662F5">
        <w:rPr>
          <w:i/>
          <w:iCs/>
        </w:rPr>
        <w:t xml:space="preserve"> Bean</w:t>
      </w:r>
      <w:r w:rsidRPr="006662F5">
        <w:t xml:space="preserve"> generally more persuasive than </w:t>
      </w:r>
      <w:r w:rsidRPr="006662F5">
        <w:rPr>
          <w:i/>
          <w:iCs/>
        </w:rPr>
        <w:t>Balducci</w:t>
      </w:r>
      <w:r w:rsidRPr="006662F5">
        <w:t xml:space="preserve">. </w:t>
      </w:r>
      <w:r w:rsidRPr="006662F5">
        <w:rPr>
          <w:i/>
          <w:iCs/>
        </w:rPr>
        <w:t>Id</w:t>
      </w:r>
      <w:r w:rsidRPr="006662F5">
        <w:t>. at 1156 n.56.</w:t>
      </w:r>
    </w:p>
  </w:footnote>
  <w:footnote w:id="437">
    <w:p w:rsidR="00431229" w:rsidRPr="006662F5" w:rsidRDefault="00431229">
      <w:pPr>
        <w:pStyle w:val="footnote"/>
      </w:pPr>
      <w:r w:rsidRPr="006662F5">
        <w:rPr>
          <w:vertAlign w:val="superscript"/>
        </w:rPr>
        <w:footnoteRef/>
      </w:r>
      <w:r w:rsidRPr="006662F5">
        <w:rPr>
          <w:i/>
          <w:iCs/>
        </w:rPr>
        <w:t>Id</w:t>
      </w:r>
      <w:r w:rsidRPr="006662F5">
        <w:t xml:space="preserve">.; </w:t>
      </w:r>
      <w:r w:rsidRPr="006662F5">
        <w:rPr>
          <w:i/>
          <w:iCs/>
        </w:rPr>
        <w:t>see</w:t>
      </w:r>
      <w:r w:rsidRPr="006662F5">
        <w:t xml:space="preserve"> Lanham Act §43(c)(3)(C), 15 U.S.C. §1125(c)(3)(C) (excluding noncommercial use of a famous mark from a TDRA claim); </w:t>
      </w:r>
      <w:r w:rsidRPr="006662F5">
        <w:rPr>
          <w:i/>
          <w:iCs/>
        </w:rPr>
        <w:t>see also</w:t>
      </w:r>
      <w:r w:rsidRPr="006662F5">
        <w:t xml:space="preserve"> Dr. Seuss Enters., L.P. v. Penguin Books USA, Inc., 924 F. Supp. 1559, 1573–74 (S.D. Cal. 1996) (finding use of Cat in the Hat symbol and other related symbols in a book about the O.J. Simpson trial, entitled “The Cat Not in the Hat! A Parody by Dr. Juice,” to be noncommercial expression under the FTDA), </w:t>
      </w:r>
      <w:r w:rsidRPr="006662F5">
        <w:rPr>
          <w:i/>
          <w:iCs/>
        </w:rPr>
        <w:t>aff’d on other grounds</w:t>
      </w:r>
      <w:r w:rsidRPr="006662F5">
        <w:t xml:space="preserve">, 109 F.3d 1394, 42 USPQ2d 1184 (9th Cir. 1997). Although the Ninth Circuit in </w:t>
      </w:r>
      <w:r w:rsidRPr="006662F5">
        <w:rPr>
          <w:i/>
          <w:iCs/>
        </w:rPr>
        <w:t>Dr</w:t>
      </w:r>
      <w:r w:rsidRPr="006662F5">
        <w:t>.</w:t>
      </w:r>
      <w:r w:rsidRPr="006662F5">
        <w:rPr>
          <w:i/>
          <w:iCs/>
        </w:rPr>
        <w:t xml:space="preserve"> Seuss </w:t>
      </w:r>
      <w:r w:rsidRPr="006662F5">
        <w:t>did not rule on the dilution claim, it did say that “the cry of ‘parody!’ does not magically fend off otherwise legitimate claims of trademark infringement or dilution.” 109 F.3d at 1405.</w:t>
      </w:r>
    </w:p>
  </w:footnote>
  <w:footnote w:id="438">
    <w:p w:rsidR="00431229" w:rsidRPr="006662F5" w:rsidRDefault="00431229">
      <w:pPr>
        <w:pStyle w:val="footnote"/>
      </w:pPr>
      <w:r w:rsidRPr="006662F5">
        <w:rPr>
          <w:vertAlign w:val="superscript"/>
        </w:rPr>
        <w:footnoteRef/>
      </w:r>
      <w:r w:rsidRPr="006662F5">
        <w:t xml:space="preserve">296 F.3d 894, 906–07, 63 USPQ2d 1715 (9th Cir. 2002), </w:t>
      </w:r>
      <w:r w:rsidRPr="006662F5">
        <w:rPr>
          <w:i/>
          <w:iCs/>
        </w:rPr>
        <w:t>cert</w:t>
      </w:r>
      <w:r w:rsidRPr="006662F5">
        <w:t>.</w:t>
      </w:r>
      <w:r w:rsidRPr="006662F5">
        <w:rPr>
          <w:i/>
          <w:iCs/>
        </w:rPr>
        <w:t xml:space="preserve"> denied</w:t>
      </w:r>
      <w:r w:rsidRPr="006662F5">
        <w:t xml:space="preserve">, 537 U.S. 1171 (2003). The Ninth Circuit’s opinion also distinguished a “commercial use in commerce” from a “noncommercial use.” This may be significant for 1992, 1996, and 2007 Model Bill states, since all three Model Bills require a “commercial” use of the mark by the second user. Interestingly, the TDRA does not require a “commercial use in commerce,” only a “use in commerce.” </w:t>
      </w:r>
      <w:r w:rsidRPr="000540A5">
        <w:rPr>
          <w:i/>
        </w:rPr>
        <w:t>See</w:t>
      </w:r>
      <w:r w:rsidRPr="006662F5">
        <w:t xml:space="preserve"> Chapter 7, </w:t>
      </w:r>
      <w:r w:rsidRPr="006662F5">
        <w:rPr>
          <w:spacing w:val="-4"/>
        </w:rPr>
        <w:t>§</w:t>
      </w:r>
      <w:r w:rsidRPr="006662F5">
        <w:t>III.</w:t>
      </w:r>
    </w:p>
  </w:footnote>
  <w:footnote w:id="439">
    <w:p w:rsidR="00431229" w:rsidRPr="006662F5" w:rsidRDefault="00431229">
      <w:pPr>
        <w:pStyle w:val="footnote"/>
      </w:pPr>
      <w:r w:rsidRPr="006662F5">
        <w:rPr>
          <w:vertAlign w:val="superscript"/>
        </w:rPr>
        <w:footnoteRef/>
      </w:r>
      <w:r w:rsidRPr="006662F5">
        <w:t>Universal Commc’n Sys., Inc. v. Lycos, Inc., 478 F.3d 413, 423–25 (1st Cir. 2007).</w:t>
      </w:r>
    </w:p>
  </w:footnote>
  <w:footnote w:id="440">
    <w:p w:rsidR="00431229" w:rsidRPr="00C4457D" w:rsidRDefault="00431229">
      <w:pPr>
        <w:pStyle w:val="footnote"/>
        <w:rPr>
          <w:lang w:val="es-US"/>
        </w:rPr>
      </w:pPr>
      <w:r w:rsidRPr="006662F5">
        <w:rPr>
          <w:vertAlign w:val="superscript"/>
        </w:rPr>
        <w:footnoteRef/>
      </w:r>
      <w:r w:rsidRPr="00C4457D">
        <w:rPr>
          <w:i/>
          <w:iCs/>
          <w:lang w:val="es-US"/>
        </w:rPr>
        <w:t>Id</w:t>
      </w:r>
      <w:r w:rsidRPr="00C4457D">
        <w:rPr>
          <w:lang w:val="es-US"/>
        </w:rPr>
        <w:t>.</w:t>
      </w:r>
    </w:p>
  </w:footnote>
  <w:footnote w:id="441">
    <w:p w:rsidR="00431229" w:rsidRPr="00C4457D" w:rsidRDefault="00431229">
      <w:pPr>
        <w:pStyle w:val="footnote"/>
        <w:rPr>
          <w:lang w:val="es-US"/>
        </w:rPr>
      </w:pPr>
      <w:r w:rsidRPr="006662F5">
        <w:rPr>
          <w:vertAlign w:val="superscript"/>
        </w:rPr>
        <w:footnoteRef/>
      </w:r>
      <w:r w:rsidRPr="00C4457D">
        <w:rPr>
          <w:lang w:val="es-US"/>
        </w:rPr>
        <w:t>875 F.2d 994, 10 USPQ2d 1825 (2d Cir. 1989).</w:t>
      </w:r>
    </w:p>
  </w:footnote>
  <w:footnote w:id="442">
    <w:p w:rsidR="00431229" w:rsidRPr="00C4457D" w:rsidRDefault="00431229">
      <w:pPr>
        <w:pStyle w:val="footnote"/>
        <w:rPr>
          <w:lang w:val="es-US"/>
        </w:rPr>
      </w:pPr>
      <w:r w:rsidRPr="006662F5">
        <w:rPr>
          <w:vertAlign w:val="superscript"/>
        </w:rPr>
        <w:footnoteRef/>
      </w:r>
      <w:r w:rsidRPr="00C4457D">
        <w:rPr>
          <w:lang w:val="es-US"/>
        </w:rPr>
        <w:t>886 F.2d 490, 12 USPQ2d 1289 (2d Cir. 1989).</w:t>
      </w:r>
    </w:p>
  </w:footnote>
  <w:footnote w:id="443">
    <w:p w:rsidR="00431229" w:rsidRPr="006662F5" w:rsidRDefault="00431229">
      <w:pPr>
        <w:pStyle w:val="footnote"/>
      </w:pPr>
      <w:r w:rsidRPr="006662F5">
        <w:rPr>
          <w:vertAlign w:val="superscript"/>
        </w:rPr>
        <w:footnoteRef/>
      </w:r>
      <w:r w:rsidRPr="006662F5">
        <w:rPr>
          <w:i/>
          <w:iCs/>
        </w:rPr>
        <w:t>Rogers</w:t>
      </w:r>
      <w:r w:rsidRPr="006662F5">
        <w:t>, 875 F.2d at 1001–02.</w:t>
      </w:r>
    </w:p>
  </w:footnote>
  <w:footnote w:id="444">
    <w:p w:rsidR="00431229" w:rsidRPr="006662F5" w:rsidRDefault="00431229">
      <w:pPr>
        <w:pStyle w:val="footnote"/>
      </w:pPr>
      <w:r w:rsidRPr="006662F5">
        <w:rPr>
          <w:vertAlign w:val="superscript"/>
        </w:rPr>
        <w:footnoteRef/>
      </w:r>
      <w:r w:rsidRPr="006662F5">
        <w:rPr>
          <w:i/>
          <w:iCs/>
        </w:rPr>
        <w:t>Cliffs Notes</w:t>
      </w:r>
      <w:r w:rsidRPr="006662F5">
        <w:t xml:space="preserve">, 886 F.2d at 492. The parody summarized novels not used by Cliffs Notes and was clearly labeled a parody. </w:t>
      </w:r>
      <w:r w:rsidRPr="006662F5">
        <w:rPr>
          <w:i/>
          <w:iCs/>
        </w:rPr>
        <w:t>Id</w:t>
      </w:r>
      <w:r w:rsidRPr="006662F5">
        <w:t>.</w:t>
      </w:r>
    </w:p>
  </w:footnote>
  <w:footnote w:id="445">
    <w:p w:rsidR="00431229" w:rsidRPr="006662F5" w:rsidRDefault="00431229">
      <w:pPr>
        <w:pStyle w:val="footnote"/>
      </w:pPr>
      <w:r w:rsidRPr="006662F5">
        <w:rPr>
          <w:vertAlign w:val="superscript"/>
        </w:rPr>
        <w:footnoteRef/>
      </w:r>
      <w:r w:rsidRPr="006662F5">
        <w:rPr>
          <w:i/>
          <w:iCs/>
        </w:rPr>
        <w:t>Id</w:t>
      </w:r>
      <w:r w:rsidRPr="006662F5">
        <w:t>. at 494 (citation omitted).</w:t>
      </w:r>
    </w:p>
  </w:footnote>
  <w:footnote w:id="446">
    <w:p w:rsidR="00431229" w:rsidRPr="006662F5" w:rsidRDefault="00431229">
      <w:pPr>
        <w:pStyle w:val="footnote"/>
      </w:pPr>
      <w:r w:rsidRPr="006662F5">
        <w:rPr>
          <w:vertAlign w:val="superscript"/>
        </w:rPr>
        <w:footnoteRef/>
      </w:r>
      <w:r w:rsidRPr="006662F5">
        <w:rPr>
          <w:i/>
          <w:iCs/>
        </w:rPr>
        <w:t>Id</w:t>
      </w:r>
      <w:r w:rsidRPr="006662F5">
        <w:t>. at 495.</w:t>
      </w:r>
    </w:p>
  </w:footnote>
  <w:footnote w:id="447">
    <w:p w:rsidR="00431229" w:rsidRPr="006662F5" w:rsidRDefault="00431229">
      <w:pPr>
        <w:pStyle w:val="footnote"/>
      </w:pPr>
      <w:r w:rsidRPr="006662F5">
        <w:rPr>
          <w:vertAlign w:val="superscript"/>
        </w:rPr>
        <w:footnoteRef/>
      </w:r>
      <w:r w:rsidRPr="006662F5">
        <w:rPr>
          <w:i/>
          <w:iCs/>
        </w:rPr>
        <w:t>Id</w:t>
      </w:r>
      <w:r w:rsidRPr="006662F5">
        <w:t>. at 496.</w:t>
      </w:r>
    </w:p>
  </w:footnote>
  <w:footnote w:id="448">
    <w:p w:rsidR="00431229" w:rsidRPr="006662F5" w:rsidRDefault="00431229">
      <w:pPr>
        <w:pStyle w:val="footnote"/>
      </w:pPr>
      <w:r w:rsidRPr="006662F5">
        <w:rPr>
          <w:vertAlign w:val="superscript"/>
        </w:rPr>
        <w:footnoteRef/>
      </w:r>
      <w:r w:rsidRPr="006662F5">
        <w:rPr>
          <w:i/>
          <w:iCs/>
        </w:rPr>
        <w:t>Cf</w:t>
      </w:r>
      <w:r w:rsidRPr="006662F5">
        <w:t xml:space="preserve">. Anheuser-Busch, Inc. v. Balducci Publ’ns, 28 F.3d 769, 776–77, 31 USPQ2d 1296 (8th Cir. 1994), </w:t>
      </w:r>
      <w:r w:rsidRPr="006662F5">
        <w:rPr>
          <w:i/>
          <w:iCs/>
        </w:rPr>
        <w:t>cert</w:t>
      </w:r>
      <w:r w:rsidRPr="006662F5">
        <w:t>.</w:t>
      </w:r>
      <w:r w:rsidRPr="006662F5">
        <w:rPr>
          <w:i/>
          <w:iCs/>
        </w:rPr>
        <w:t xml:space="preserve"> denied</w:t>
      </w:r>
      <w:r w:rsidRPr="006662F5">
        <w:t>, 513 U.S. 1112 (1995) (finding that the balance tipped in favor of preventing confusion).</w:t>
      </w:r>
    </w:p>
  </w:footnote>
  <w:footnote w:id="449">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e</w:t>
      </w:r>
      <w:r w:rsidRPr="006662F5">
        <w:t>.</w:t>
      </w:r>
      <w:r w:rsidRPr="006662F5">
        <w:rPr>
          <w:i/>
          <w:iCs/>
        </w:rPr>
        <w:t>g</w:t>
      </w:r>
      <w:r w:rsidRPr="006662F5">
        <w:t xml:space="preserve">., Cliffs Notes, Inc. v. Bantam Doubleday Dell Publ’g Group, Inc., 718 F. Supp. 1159, 1168, 11 USPQ2d 1515 (S.D.N.Y.) (although not deciding the dilution claim, court noted that First Amendment interests “would likely weigh more heavily in defendant’s favor” in that circumstance), </w:t>
      </w:r>
      <w:r w:rsidRPr="006662F5">
        <w:rPr>
          <w:i/>
          <w:iCs/>
        </w:rPr>
        <w:t>vacated on other grounds</w:t>
      </w:r>
      <w:r w:rsidRPr="006662F5">
        <w:t>, 886 F.2d 490, 12 USPQ2d 1289 (2d Cir. 1989).</w:t>
      </w:r>
    </w:p>
  </w:footnote>
  <w:footnote w:id="450">
    <w:p w:rsidR="00431229" w:rsidRPr="006662F5" w:rsidRDefault="00431229">
      <w:pPr>
        <w:pStyle w:val="footnote"/>
      </w:pPr>
      <w:r w:rsidRPr="006662F5">
        <w:rPr>
          <w:vertAlign w:val="superscript"/>
        </w:rPr>
        <w:footnoteRef/>
      </w:r>
      <w:r w:rsidRPr="006662F5">
        <w:t>TCPIP Holding Co. v. Haar Commc’ns, Inc., 244 F.3d 88, 95, 57 USPQ2d 1969 (2d Cir. 2001).</w:t>
      </w:r>
    </w:p>
  </w:footnote>
  <w:footnote w:id="451">
    <w:p w:rsidR="00431229" w:rsidRPr="006662F5" w:rsidRDefault="00431229">
      <w:pPr>
        <w:pStyle w:val="footnote"/>
      </w:pPr>
      <w:r w:rsidRPr="006662F5">
        <w:rPr>
          <w:vertAlign w:val="superscript"/>
        </w:rPr>
        <w:footnoteRef/>
      </w:r>
      <w:r w:rsidRPr="006662F5">
        <w:t xml:space="preserve">Mattel, Inc. v. MCA Records, Inc., 296 F.3d 894, 902–07, 63 USPQ2d 1715 (9th Cir. 2002), </w:t>
      </w:r>
      <w:r w:rsidRPr="006662F5">
        <w:rPr>
          <w:i/>
          <w:iCs/>
        </w:rPr>
        <w:t>cert</w:t>
      </w:r>
      <w:r w:rsidRPr="006662F5">
        <w:t>.</w:t>
      </w:r>
      <w:r w:rsidRPr="006662F5">
        <w:rPr>
          <w:i/>
          <w:iCs/>
        </w:rPr>
        <w:t xml:space="preserve"> denied</w:t>
      </w:r>
      <w:r w:rsidRPr="006662F5">
        <w:t>, 537 U.S. 1171 (2003).</w:t>
      </w:r>
    </w:p>
  </w:footnote>
  <w:footnote w:id="452">
    <w:p w:rsidR="00431229" w:rsidRPr="006662F5" w:rsidRDefault="00431229">
      <w:pPr>
        <w:pStyle w:val="footnote"/>
      </w:pPr>
      <w:r w:rsidRPr="006662F5">
        <w:rPr>
          <w:vertAlign w:val="superscript"/>
        </w:rPr>
        <w:footnoteRef/>
      </w:r>
      <w:r w:rsidRPr="006662F5">
        <w:t>809 F. Supp. 267, 25 USPQ2d 1752 (S.D.N.Y. 1992).</w:t>
      </w:r>
    </w:p>
  </w:footnote>
  <w:footnote w:id="453">
    <w:p w:rsidR="00431229" w:rsidRPr="006662F5" w:rsidRDefault="00431229">
      <w:pPr>
        <w:pStyle w:val="footnote"/>
      </w:pPr>
      <w:r w:rsidRPr="006662F5">
        <w:rPr>
          <w:vertAlign w:val="superscript"/>
        </w:rPr>
        <w:footnoteRef/>
      </w:r>
      <w:r w:rsidRPr="006662F5">
        <w:rPr>
          <w:i/>
          <w:iCs/>
        </w:rPr>
        <w:t>Id</w:t>
      </w:r>
      <w:r w:rsidRPr="006662F5">
        <w:t xml:space="preserve">. at 282. The court stated that “the same First Amendment considerations that limit a cause of action under the Lanham Act apply also to a cause of action under New York [dilution] law.” </w:t>
      </w:r>
      <w:r w:rsidRPr="006662F5">
        <w:rPr>
          <w:i/>
          <w:iCs/>
        </w:rPr>
        <w:t>Id</w:t>
      </w:r>
      <w:r w:rsidRPr="006662F5">
        <w:t xml:space="preserve">. at 283. </w:t>
      </w:r>
      <w:r w:rsidRPr="006662F5">
        <w:rPr>
          <w:i/>
          <w:iCs/>
        </w:rPr>
        <w:t>See</w:t>
      </w:r>
      <w:r w:rsidRPr="006662F5">
        <w:t xml:space="preserve"> United We Stand Am., Inc. v. United We Stand, Am. N.Y., Inc., 128 F.3d 86, 91 (2d Cir. 1997) (noting in dicta that the First Amendment could be applied to political speech uses of trademarks that allegedly dilute the mark), </w:t>
      </w:r>
      <w:r w:rsidRPr="006662F5">
        <w:rPr>
          <w:i/>
          <w:iCs/>
        </w:rPr>
        <w:t>cert</w:t>
      </w:r>
      <w:r w:rsidRPr="006662F5">
        <w:t>.</w:t>
      </w:r>
      <w:r w:rsidRPr="006662F5">
        <w:rPr>
          <w:i/>
          <w:iCs/>
        </w:rPr>
        <w:t xml:space="preserve"> denied</w:t>
      </w:r>
      <w:r w:rsidRPr="006662F5">
        <w:t xml:space="preserve">, 523 U.S. 1076 (1998). </w:t>
      </w:r>
      <w:r>
        <w:rPr>
          <w:i/>
          <w:iCs/>
        </w:rPr>
        <w:t>See also</w:t>
      </w:r>
      <w:r>
        <w:t xml:space="preserve"> Jenzabar, Inc. v. Long Bow, Inc., 977 N.E.2d 75, 90 (Mass. App. 2012) (expressive content on website critical of plaintiff’s product not actionable under Massachusetts law). </w:t>
      </w:r>
      <w:r w:rsidRPr="006662F5">
        <w:t xml:space="preserve">Oddly, in </w:t>
      </w:r>
      <w:r w:rsidRPr="006662F5">
        <w:rPr>
          <w:i/>
          <w:iCs/>
        </w:rPr>
        <w:t>MasterCard International, Inc</w:t>
      </w:r>
      <w:r w:rsidRPr="006662F5">
        <w:t>.</w:t>
      </w:r>
      <w:r w:rsidRPr="006662F5">
        <w:rPr>
          <w:i/>
          <w:iCs/>
        </w:rPr>
        <w:t xml:space="preserve"> v</w:t>
      </w:r>
      <w:r w:rsidRPr="006662F5">
        <w:t>.</w:t>
      </w:r>
      <w:r w:rsidRPr="006662F5">
        <w:rPr>
          <w:i/>
          <w:iCs/>
        </w:rPr>
        <w:t xml:space="preserve"> Nader 2000 Primary Committee, Inc</w:t>
      </w:r>
      <w:r w:rsidRPr="006662F5">
        <w:t xml:space="preserve">., 70 USPQ2d 1046, 1053, 1055 (S.D.N.Y. 2004), the court, although citing </w:t>
      </w:r>
      <w:r w:rsidRPr="006662F5">
        <w:rPr>
          <w:i/>
          <w:iCs/>
        </w:rPr>
        <w:t>United We Stand</w:t>
      </w:r>
      <w:r w:rsidRPr="006662F5">
        <w:t xml:space="preserve"> for a different proposition in its FTDA discussion, did not even mention the First Amendment in its discussion of New York’s dilution law, on which it granted summary judgment to the defendant. The court merely said there was no evidence of dilution by blurring or tarnishment.</w:t>
      </w:r>
    </w:p>
  </w:footnote>
  <w:footnote w:id="454">
    <w:p w:rsidR="00431229" w:rsidRPr="00C4457D" w:rsidRDefault="00431229">
      <w:pPr>
        <w:pStyle w:val="footnote"/>
        <w:rPr>
          <w:lang w:val="sv-SE"/>
        </w:rPr>
      </w:pPr>
      <w:r w:rsidRPr="006662F5">
        <w:rPr>
          <w:vertAlign w:val="superscript"/>
        </w:rPr>
        <w:footnoteRef/>
      </w:r>
      <w:r w:rsidRPr="00C4457D">
        <w:rPr>
          <w:lang w:val="sv-SE"/>
        </w:rPr>
        <w:t>35 F. Supp. 2d 727 (D. Minn. 1998).</w:t>
      </w:r>
    </w:p>
  </w:footnote>
  <w:footnote w:id="455">
    <w:p w:rsidR="00431229" w:rsidRPr="006662F5" w:rsidRDefault="00431229">
      <w:pPr>
        <w:pStyle w:val="footnote"/>
      </w:pPr>
      <w:r w:rsidRPr="006662F5">
        <w:rPr>
          <w:vertAlign w:val="superscript"/>
        </w:rPr>
        <w:footnoteRef/>
      </w:r>
      <w:r w:rsidRPr="006662F5">
        <w:t xml:space="preserve">This finding appears to have been based largely on the strength of the Dairy Queen mark and the similarity of the </w:t>
      </w:r>
      <w:r w:rsidRPr="006662F5">
        <w:rPr>
          <w:i/>
          <w:iCs/>
        </w:rPr>
        <w:t>Dairy Queens</w:t>
      </w:r>
      <w:r w:rsidRPr="006662F5">
        <w:t xml:space="preserve"> title to the mark, as there was no evidence of bad faith or actual confusion. </w:t>
      </w:r>
      <w:r w:rsidRPr="006662F5">
        <w:rPr>
          <w:i/>
          <w:iCs/>
        </w:rPr>
        <w:t>See id</w:t>
      </w:r>
      <w:r w:rsidRPr="006662F5">
        <w:t>. at 730–32.</w:t>
      </w:r>
    </w:p>
  </w:footnote>
  <w:footnote w:id="456">
    <w:p w:rsidR="00431229" w:rsidRPr="006662F5" w:rsidRDefault="00431229">
      <w:pPr>
        <w:pStyle w:val="footnote"/>
      </w:pPr>
      <w:r w:rsidRPr="006662F5">
        <w:rPr>
          <w:vertAlign w:val="superscript"/>
        </w:rPr>
        <w:footnoteRef/>
      </w:r>
      <w:r w:rsidRPr="006662F5">
        <w:rPr>
          <w:i/>
          <w:iCs/>
        </w:rPr>
        <w:t>Id</w:t>
      </w:r>
      <w:r w:rsidRPr="006662F5">
        <w:t>. at 733.</w:t>
      </w:r>
    </w:p>
  </w:footnote>
  <w:footnote w:id="457">
    <w:p w:rsidR="00431229" w:rsidRPr="006662F5" w:rsidRDefault="00431229">
      <w:pPr>
        <w:pStyle w:val="footnote"/>
      </w:pPr>
      <w:r w:rsidRPr="006662F5">
        <w:rPr>
          <w:vertAlign w:val="superscript"/>
        </w:rPr>
        <w:footnoteRef/>
      </w:r>
      <w:r w:rsidRPr="006662F5">
        <w:rPr>
          <w:i/>
          <w:iCs/>
        </w:rPr>
        <w:t>Id</w:t>
      </w:r>
      <w:r w:rsidRPr="006662F5">
        <w:t>. at 733–34.</w:t>
      </w:r>
    </w:p>
  </w:footnote>
  <w:footnote w:id="458">
    <w:p w:rsidR="00431229" w:rsidRPr="006662F5" w:rsidRDefault="00431229">
      <w:pPr>
        <w:pStyle w:val="footnote"/>
      </w:pPr>
      <w:r w:rsidRPr="006662F5">
        <w:rPr>
          <w:vertAlign w:val="superscript"/>
        </w:rPr>
        <w:footnoteRef/>
      </w:r>
      <w:r w:rsidRPr="006662F5">
        <w:rPr>
          <w:i/>
          <w:iCs/>
        </w:rPr>
        <w:t>Id</w:t>
      </w:r>
      <w:r w:rsidRPr="006662F5">
        <w:t xml:space="preserve">. at 735. This is a very questionable assumption, since the film did not propose a commercial transaction. </w:t>
      </w:r>
      <w:r w:rsidRPr="006662F5">
        <w:rPr>
          <w:i/>
          <w:iCs/>
        </w:rPr>
        <w:t>See</w:t>
      </w:r>
      <w:r w:rsidRPr="006662F5">
        <w:t xml:space="preserve"> Hoffman v. Capital Cities/ABC, Inc., 255 F.3d 1180, 1185, 59 USPQ2d 1363 (9th Cir. 2001) (picture using body double with Dustin Hoffman’s head in a magazine article not commercial speech).</w:t>
      </w:r>
    </w:p>
  </w:footnote>
  <w:footnote w:id="459">
    <w:p w:rsidR="00431229" w:rsidRPr="006662F5" w:rsidRDefault="00431229">
      <w:pPr>
        <w:pStyle w:val="footnote"/>
      </w:pPr>
      <w:r w:rsidRPr="006662F5">
        <w:rPr>
          <w:vertAlign w:val="superscript"/>
        </w:rPr>
        <w:footnoteRef/>
      </w:r>
      <w:r w:rsidRPr="006662F5">
        <w:rPr>
          <w:i/>
          <w:iCs/>
        </w:rPr>
        <w:t>Id</w:t>
      </w:r>
      <w:r w:rsidRPr="006662F5">
        <w:t>. at 734.</w:t>
      </w:r>
    </w:p>
  </w:footnote>
  <w:footnote w:id="460">
    <w:p w:rsidR="00431229" w:rsidRPr="006662F5" w:rsidRDefault="00431229">
      <w:pPr>
        <w:pStyle w:val="footnote"/>
      </w:pPr>
      <w:r w:rsidRPr="006662F5">
        <w:rPr>
          <w:vertAlign w:val="superscript"/>
        </w:rPr>
        <w:footnoteRef/>
      </w:r>
      <w:r w:rsidRPr="006662F5">
        <w:rPr>
          <w:i/>
          <w:iCs/>
        </w:rPr>
        <w:t>Id</w:t>
      </w:r>
      <w:r w:rsidRPr="006662F5">
        <w:t xml:space="preserve">. (citing Mutual of Omaha Ins. Co. v. Novak, 836 F.2d 397, 5 USPQ2d 1314 (8th Cir. 1987), </w:t>
      </w:r>
      <w:r w:rsidRPr="006662F5">
        <w:rPr>
          <w:i/>
          <w:iCs/>
        </w:rPr>
        <w:t>cert</w:t>
      </w:r>
      <w:r w:rsidRPr="006662F5">
        <w:t>.</w:t>
      </w:r>
      <w:r w:rsidRPr="006662F5">
        <w:rPr>
          <w:i/>
          <w:iCs/>
        </w:rPr>
        <w:t xml:space="preserve"> denied</w:t>
      </w:r>
      <w:r w:rsidRPr="006662F5">
        <w:t xml:space="preserve">, 488 U.S. 933 (1988), and Anheuser-Busch, Inc. v. Balducci Publ’ns, 28 F.3d 769, 31 USPQ2d 1296 (8th Cir. 1994), </w:t>
      </w:r>
      <w:r w:rsidRPr="006662F5">
        <w:rPr>
          <w:i/>
          <w:iCs/>
        </w:rPr>
        <w:t>cert</w:t>
      </w:r>
      <w:r w:rsidRPr="006662F5">
        <w:t>.</w:t>
      </w:r>
      <w:r w:rsidRPr="006662F5">
        <w:rPr>
          <w:i/>
          <w:iCs/>
        </w:rPr>
        <w:t xml:space="preserve"> denied</w:t>
      </w:r>
      <w:r w:rsidRPr="006662F5">
        <w:t xml:space="preserve">, 513 U.S. 1112 (1995)). In </w:t>
      </w:r>
      <w:r w:rsidRPr="006662F5">
        <w:rPr>
          <w:i/>
          <w:iCs/>
        </w:rPr>
        <w:t>Novak</w:t>
      </w:r>
      <w:r w:rsidRPr="006662F5">
        <w:t xml:space="preserve">, the Eighth Circuit found trademark infringement where defendant sold T-shirts, caps, and mugs containing a Mutant of Omaha parody of plaintiff’s Mutual of Omaha Native American logo. The defendant intended the parody as a protest against the use of nuclear power. </w:t>
      </w:r>
      <w:r w:rsidRPr="006662F5">
        <w:rPr>
          <w:i/>
          <w:iCs/>
        </w:rPr>
        <w:t>Novak</w:t>
      </w:r>
      <w:r w:rsidRPr="006662F5">
        <w:t>, 836 F.2d at 400.</w:t>
      </w:r>
    </w:p>
  </w:footnote>
  <w:footnote w:id="461">
    <w:p w:rsidR="00431229" w:rsidRPr="006662F5" w:rsidRDefault="00431229">
      <w:pPr>
        <w:pStyle w:val="footnote"/>
      </w:pPr>
      <w:r w:rsidRPr="006662F5">
        <w:rPr>
          <w:vertAlign w:val="superscript"/>
        </w:rPr>
        <w:footnoteRef/>
      </w:r>
      <w:r w:rsidRPr="006662F5">
        <w:t xml:space="preserve">The alternative means argument was not even mentioned in </w:t>
      </w:r>
      <w:r w:rsidRPr="006662F5">
        <w:rPr>
          <w:i/>
          <w:iCs/>
        </w:rPr>
        <w:t>Yankee Publishing</w:t>
      </w:r>
      <w:r w:rsidRPr="006662F5">
        <w:t xml:space="preserve">. The assumption in the </w:t>
      </w:r>
      <w:r w:rsidRPr="006662F5">
        <w:rPr>
          <w:i/>
          <w:iCs/>
        </w:rPr>
        <w:t>Dairy Queen</w:t>
      </w:r>
      <w:r w:rsidRPr="006662F5">
        <w:t xml:space="preserve"> case that some people might think Dairy Queen had licensed its name for the movie seems to give inadequate weight to free expression; it would be easy to require a disclaimer to dispel any confusion. And this, of course, does not account for the dilution claim.</w:t>
      </w:r>
    </w:p>
  </w:footnote>
  <w:footnote w:id="462">
    <w:p w:rsidR="00431229" w:rsidRPr="00C4457D" w:rsidRDefault="00431229" w:rsidP="00CA1D96">
      <w:pPr>
        <w:pStyle w:val="footnote"/>
        <w:rPr>
          <w:highlight w:val="yellow"/>
        </w:rPr>
      </w:pPr>
      <w:r>
        <w:rPr>
          <w:vertAlign w:val="superscript"/>
        </w:rPr>
        <w:footnoteRef/>
      </w:r>
      <w:r w:rsidRPr="00C4457D">
        <w:t>582 U.S. 218</w:t>
      </w:r>
      <w:r w:rsidRPr="00220D63">
        <w:t xml:space="preserve"> (2017). </w:t>
      </w:r>
    </w:p>
  </w:footnote>
  <w:footnote w:id="463">
    <w:p w:rsidR="00431229" w:rsidRDefault="00431229" w:rsidP="00C4121D">
      <w:pPr>
        <w:pStyle w:val="FootnoteText"/>
      </w:pPr>
      <w:r w:rsidRPr="00220D63">
        <w:rPr>
          <w:rStyle w:val="FootnoteReference"/>
          <w:rFonts w:eastAsiaTheme="majorEastAsia"/>
        </w:rPr>
        <w:footnoteRef/>
      </w:r>
      <w:r w:rsidRPr="00C4457D">
        <w:t>588 U.S. 388</w:t>
      </w:r>
      <w:r w:rsidRPr="00220D63">
        <w:t xml:space="preserve"> (2019).</w:t>
      </w:r>
    </w:p>
  </w:footnote>
  <w:footnote w:id="464">
    <w:p w:rsidR="00431229" w:rsidRDefault="00431229" w:rsidP="00CA1D96">
      <w:pPr>
        <w:pStyle w:val="footnote"/>
      </w:pPr>
      <w:r>
        <w:rPr>
          <w:vertAlign w:val="superscript"/>
        </w:rPr>
        <w:footnoteRef/>
      </w:r>
      <w:r>
        <w:rPr>
          <w:i/>
          <w:iCs/>
        </w:rPr>
        <w:t>Tam,</w:t>
      </w:r>
      <w:r>
        <w:t xml:space="preserve"> 582 U.S. at 223. </w:t>
      </w:r>
      <w:r>
        <w:rPr>
          <w:i/>
          <w:iCs/>
        </w:rPr>
        <w:t>See</w:t>
      </w:r>
      <w:r>
        <w:t xml:space="preserve"> Lanham Act §2(a), 15 U.S.C. §1052(a). </w:t>
      </w:r>
    </w:p>
  </w:footnote>
  <w:footnote w:id="465">
    <w:p w:rsidR="00431229" w:rsidRPr="00FD32D0" w:rsidRDefault="00431229" w:rsidP="00CA1D96">
      <w:pPr>
        <w:pStyle w:val="footnote"/>
      </w:pPr>
      <w:r>
        <w:rPr>
          <w:vertAlign w:val="superscript"/>
        </w:rPr>
        <w:footnoteRef/>
      </w:r>
      <w:r>
        <w:rPr>
          <w:i/>
          <w:iCs/>
        </w:rPr>
        <w:t xml:space="preserve">See Tam, </w:t>
      </w:r>
      <w:r w:rsidRPr="00C4457D">
        <w:t>582 U.S. at 223</w:t>
      </w:r>
      <w:r w:rsidRPr="00220D63">
        <w:t xml:space="preserve">; </w:t>
      </w:r>
      <w:r w:rsidRPr="00220D63">
        <w:rPr>
          <w:i/>
          <w:iCs/>
        </w:rPr>
        <w:t>id.</w:t>
      </w:r>
      <w:r w:rsidRPr="00220D63">
        <w:t xml:space="preserve"> at </w:t>
      </w:r>
      <w:r w:rsidRPr="00C4457D">
        <w:t>247-48</w:t>
      </w:r>
      <w:r w:rsidRPr="00220D63">
        <w:t xml:space="preserve"> (Kennedy, J., concurring). </w:t>
      </w:r>
      <w:r w:rsidRPr="00C26FCC">
        <w:t xml:space="preserve">Although the Court was unanimous (8-0, with Justice Gorsuch not participating) in its decision that Section 2(a)’s ban on disparaging marks was unconstitutional, the Justices split 4-4 on the First Amendment rationale for the decision—except that all eight agreed that trademark registration did not constitute government speech. In </w:t>
      </w:r>
      <w:r w:rsidRPr="00C26FCC">
        <w:rPr>
          <w:i/>
          <w:iCs/>
        </w:rPr>
        <w:t xml:space="preserve">Brunetti, </w:t>
      </w:r>
      <w:r w:rsidRPr="00C26FCC">
        <w:t xml:space="preserve">a majority agreed that the bar constituted viewpoint discrimination. </w:t>
      </w:r>
      <w:r w:rsidRPr="00220D63">
        <w:rPr>
          <w:i/>
        </w:rPr>
        <w:t>Brunetti</w:t>
      </w:r>
      <w:r w:rsidRPr="00220D63">
        <w:t xml:space="preserve">, </w:t>
      </w:r>
      <w:r w:rsidRPr="00C4457D">
        <w:t>588 U.S. at 390, 391-95</w:t>
      </w:r>
      <w:r w:rsidRPr="00220D63">
        <w:t>.</w:t>
      </w:r>
    </w:p>
  </w:footnote>
  <w:footnote w:id="466">
    <w:p w:rsidR="00431229" w:rsidRDefault="00431229" w:rsidP="00CA1D96">
      <w:pPr>
        <w:pStyle w:val="footnote"/>
      </w:pPr>
      <w:r>
        <w:rPr>
          <w:vertAlign w:val="superscript"/>
        </w:rPr>
        <w:footnoteRef/>
      </w:r>
      <w:r>
        <w:t xml:space="preserve">The possible effect of </w:t>
      </w:r>
      <w:r>
        <w:rPr>
          <w:i/>
          <w:iCs/>
        </w:rPr>
        <w:t>Tam</w:t>
      </w:r>
      <w:r>
        <w:t xml:space="preserve"> on federal dilution claims is discussed in Chapters 9 and 10. </w:t>
      </w:r>
    </w:p>
  </w:footnote>
  <w:footnote w:id="467">
    <w:p w:rsidR="00431229" w:rsidRPr="006662F5" w:rsidRDefault="00431229">
      <w:pPr>
        <w:pStyle w:val="footnote"/>
      </w:pPr>
      <w:r w:rsidRPr="006662F5">
        <w:rPr>
          <w:vertAlign w:val="superscript"/>
        </w:rPr>
        <w:footnoteRef/>
      </w:r>
      <w:r w:rsidRPr="006662F5">
        <w:rPr>
          <w:i/>
          <w:iCs/>
        </w:rPr>
        <w:t>See</w:t>
      </w:r>
      <w:r w:rsidRPr="006662F5">
        <w:t xml:space="preserve"> Prolife Minn. v. Minnesota Pro-Life Comm., 632 N.W.2d 748, 753–54 (Minn. App. 2001) (rejecting a prior restraint argument in an infringement case). </w:t>
      </w:r>
      <w:r w:rsidRPr="006662F5">
        <w:rPr>
          <w:i/>
          <w:iCs/>
        </w:rPr>
        <w:t>But cf</w:t>
      </w:r>
      <w:r w:rsidRPr="006662F5">
        <w:t xml:space="preserve">. DVD Copy Control Ass’n v. Bunner, 113 Cal. Rptr. 2d 338, 60 USPQ2d 1803 (Cal. Ct. App. 2001) (refusing injunction on prior restraint grounds), </w:t>
      </w:r>
      <w:r w:rsidRPr="006662F5">
        <w:rPr>
          <w:i/>
          <w:iCs/>
        </w:rPr>
        <w:t>rev’d</w:t>
      </w:r>
      <w:r w:rsidRPr="006662F5">
        <w:t xml:space="preserve">, 31 Cal. 4th 864, 889, 4 Cal. Rptr. 3d 69 (Cal. 2003) (finding no free speech violation via the injunction). On remand, the Court of Appeal found that the original injunction against trade secret violations was not properly issued </w:t>
      </w:r>
      <w:r w:rsidRPr="006662F5">
        <w:rPr>
          <w:i/>
          <w:iCs/>
        </w:rPr>
        <w:t>and</w:t>
      </w:r>
      <w:r w:rsidRPr="006662F5">
        <w:t xml:space="preserve"> that therefore a prior restraint existed. 116 Cal. App. 4th 241, 256, 10 Cal. Rptr. 3d 185 (Cal. Ct. App. 2004). </w:t>
      </w:r>
      <w:r w:rsidRPr="006662F5">
        <w:rPr>
          <w:i/>
          <w:iCs/>
        </w:rPr>
        <w:t>See generally</w:t>
      </w:r>
      <w:r w:rsidRPr="006662F5">
        <w:t xml:space="preserve"> Mark A. Lemley &amp; Eugene Volokh, </w:t>
      </w:r>
      <w:r w:rsidRPr="006662F5">
        <w:rPr>
          <w:i/>
          <w:iCs/>
        </w:rPr>
        <w:t>Freedom of Speech and Injunctions in Intellectual Property Cases</w:t>
      </w:r>
      <w:r w:rsidRPr="006662F5">
        <w:t xml:space="preserve">, 48 </w:t>
      </w:r>
      <w:r w:rsidRPr="006662F5">
        <w:rPr>
          <w:smallCaps/>
        </w:rPr>
        <w:t>Duke L.J.</w:t>
      </w:r>
      <w:r w:rsidRPr="006662F5">
        <w:t xml:space="preserve"> 147 (1998).</w:t>
      </w:r>
    </w:p>
  </w:footnote>
  <w:footnote w:id="468">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w:t>
      </w:r>
      <w:r w:rsidRPr="006662F5">
        <w:rPr>
          <w:smallCaps/>
        </w:rPr>
        <w:t>Cal. Code Civ. Proc.</w:t>
      </w:r>
      <w:r w:rsidRPr="006662F5">
        <w:t xml:space="preserve"> §425.16(b)(1) (West. Supp. 2004). This law is known as an “anti-SLAPP” law because it protects against “Strategic Lawsuits Against Public Participation,” brought by companies against people who complain about the companies’ practices.</w:t>
      </w:r>
    </w:p>
  </w:footnote>
  <w:footnote w:id="469">
    <w:p w:rsidR="00431229" w:rsidRPr="006662F5" w:rsidRDefault="00431229" w:rsidP="001C0FAE">
      <w:pPr>
        <w:pStyle w:val="footnote"/>
      </w:pPr>
      <w:r w:rsidRPr="006662F5">
        <w:rPr>
          <w:vertAlign w:val="superscript"/>
        </w:rPr>
        <w:footnoteRef/>
      </w:r>
      <w:r w:rsidRPr="006662F5">
        <w:t xml:space="preserve">In </w:t>
      </w:r>
      <w:r w:rsidRPr="006662F5">
        <w:rPr>
          <w:i/>
          <w:iCs/>
        </w:rPr>
        <w:t>Bosley Medical Institute, Inc</w:t>
      </w:r>
      <w:r w:rsidRPr="006662F5">
        <w:t>.</w:t>
      </w:r>
      <w:r w:rsidRPr="006662F5">
        <w:rPr>
          <w:i/>
          <w:iCs/>
        </w:rPr>
        <w:t xml:space="preserve"> v</w:t>
      </w:r>
      <w:r w:rsidRPr="006662F5">
        <w:t>.</w:t>
      </w:r>
      <w:r w:rsidRPr="006662F5">
        <w:rPr>
          <w:i/>
          <w:iCs/>
        </w:rPr>
        <w:t xml:space="preserve"> Kremer</w:t>
      </w:r>
      <w:r w:rsidRPr="006662F5">
        <w:t>, 2004 WL 964163</w:t>
      </w:r>
      <w:r>
        <w:t xml:space="preserve">, </w:t>
      </w:r>
      <w:r w:rsidRPr="001C0FAE">
        <w:t>2004 BL 3388</w:t>
      </w:r>
      <w:r w:rsidRPr="006662F5">
        <w:t xml:space="preserve"> (S.D. Cal. Apr. 30, 2004), the court applied California’s anti-SLAPP law to dismiss a state dilution claim against a cybergriper. </w:t>
      </w:r>
      <w:r w:rsidRPr="006662F5">
        <w:rPr>
          <w:i/>
          <w:iCs/>
        </w:rPr>
        <w:t>Id</w:t>
      </w:r>
      <w:r w:rsidRPr="006662F5">
        <w:t>. at *10–11. However, the use of the anti-SLAPP provision in that case was reversed on appeal. Bosley Med. Inst., Inc. v. Kremer, 403 F.3d 672, 682, 74 USPQ2d 1280 (9th Cir. 2005).</w:t>
      </w:r>
    </w:p>
  </w:footnote>
  <w:footnote w:id="470">
    <w:p w:rsidR="00431229" w:rsidRPr="006662F5" w:rsidRDefault="00431229">
      <w:pPr>
        <w:pStyle w:val="footnote"/>
      </w:pPr>
      <w:r w:rsidRPr="006662F5">
        <w:rPr>
          <w:vertAlign w:val="superscript"/>
        </w:rPr>
        <w:footnoteRef/>
      </w:r>
      <w:r w:rsidRPr="00C4457D">
        <w:rPr>
          <w:lang w:val="pt-BR"/>
        </w:rPr>
        <w:t xml:space="preserve">Lanham Act §43(c)(3)(C), 15 U.S.C. §1125(c)(3)(C); </w:t>
      </w:r>
      <w:r w:rsidRPr="00C4457D">
        <w:rPr>
          <w:smallCaps/>
          <w:lang w:val="pt-BR"/>
        </w:rPr>
        <w:t xml:space="preserve">Ala. </w:t>
      </w:r>
      <w:r w:rsidRPr="006662F5">
        <w:rPr>
          <w:smallCaps/>
        </w:rPr>
        <w:t>Stat.</w:t>
      </w:r>
      <w:r w:rsidRPr="006662F5">
        <w:t xml:space="preserve"> §8-12-17(d)(2) (2010); </w:t>
      </w:r>
      <w:r w:rsidRPr="006662F5">
        <w:rPr>
          <w:smallCaps/>
        </w:rPr>
        <w:t>Ariz. Rev. Stat</w:t>
      </w:r>
      <w:r w:rsidRPr="006662F5">
        <w:t xml:space="preserve">. §44-1448.01 C.2 (West 2003); </w:t>
      </w:r>
      <w:r w:rsidRPr="006662F5">
        <w:rPr>
          <w:smallCaps/>
        </w:rPr>
        <w:t>Ark. Code Ann.</w:t>
      </w:r>
      <w:r w:rsidRPr="006662F5">
        <w:t xml:space="preserve"> §4-71-213(c)(2) (LexisNexis 2001); </w:t>
      </w:r>
      <w:r w:rsidRPr="006662F5">
        <w:rPr>
          <w:smallCaps/>
        </w:rPr>
        <w:t>Cal. Bus. &amp; Prof. Code</w:t>
      </w:r>
      <w:r w:rsidRPr="006662F5">
        <w:t xml:space="preserve"> §14247(b)(2) (West 2008); </w:t>
      </w:r>
      <w:r w:rsidRPr="006662F5">
        <w:rPr>
          <w:smallCaps/>
        </w:rPr>
        <w:t xml:space="preserve">Fla. Stat. Ann. </w:t>
      </w:r>
      <w:r w:rsidRPr="006662F5">
        <w:t xml:space="preserve">§495.151(3)(b) (West Supp. 2010); </w:t>
      </w:r>
      <w:r w:rsidRPr="006662F5">
        <w:rPr>
          <w:smallCaps/>
        </w:rPr>
        <w:t>Haw. Rev. Stat. Ann</w:t>
      </w:r>
      <w:r w:rsidRPr="006662F5">
        <w:t xml:space="preserve">. §482-32(8)(c) (LexisNexis 2005); 765 </w:t>
      </w:r>
      <w:r w:rsidRPr="006662F5">
        <w:rPr>
          <w:smallCaps/>
        </w:rPr>
        <w:t xml:space="preserve">Ill. Comp. </w:t>
      </w:r>
      <w:r w:rsidRPr="00E44D89">
        <w:rPr>
          <w:smallCaps/>
        </w:rPr>
        <w:t>Stat. Ann</w:t>
      </w:r>
      <w:r w:rsidRPr="00E44D89">
        <w:t xml:space="preserve">. §1036/65(b)(2) (West 2001); </w:t>
      </w:r>
      <w:r w:rsidRPr="00E44D89">
        <w:rPr>
          <w:smallCaps/>
        </w:rPr>
        <w:t>Ind. Code Ann.</w:t>
      </w:r>
      <w:r w:rsidRPr="00E44D89">
        <w:t xml:space="preserve"> §24-2-1-13.5(e)(2) (LexisNexis 2006); </w:t>
      </w:r>
      <w:r w:rsidRPr="00E44D89">
        <w:rPr>
          <w:smallCaps/>
        </w:rPr>
        <w:t xml:space="preserve">Kan. </w:t>
      </w:r>
      <w:r w:rsidRPr="00C4457D">
        <w:rPr>
          <w:smallCaps/>
          <w:lang w:val="de-DE"/>
        </w:rPr>
        <w:t>Stat. Ann.</w:t>
      </w:r>
      <w:r w:rsidRPr="00C4457D">
        <w:rPr>
          <w:lang w:val="de-DE"/>
        </w:rPr>
        <w:t xml:space="preserve"> §81-214(c)(2) (Supp. 2006); </w:t>
      </w:r>
      <w:r w:rsidRPr="00C4457D">
        <w:rPr>
          <w:smallCaps/>
          <w:lang w:val="de-DE"/>
        </w:rPr>
        <w:t>Minn. Stat. Ann.</w:t>
      </w:r>
      <w:r w:rsidRPr="00C4457D">
        <w:rPr>
          <w:lang w:val="de-DE"/>
        </w:rPr>
        <w:t xml:space="preserve"> §333.285(c)(2) (West 2004); </w:t>
      </w:r>
      <w:r w:rsidRPr="00C4457D">
        <w:rPr>
          <w:smallCaps/>
          <w:lang w:val="de-DE"/>
        </w:rPr>
        <w:t>Miss. Code Ann</w:t>
      </w:r>
      <w:r w:rsidRPr="00C4457D">
        <w:rPr>
          <w:lang w:val="de-DE"/>
        </w:rPr>
        <w:t xml:space="preserve">. §75-25-25(d)(2) (West. Supp. 2011); </w:t>
      </w:r>
      <w:r w:rsidRPr="00C4457D">
        <w:rPr>
          <w:smallCaps/>
          <w:lang w:val="de-DE"/>
        </w:rPr>
        <w:t xml:space="preserve">Mont. Code Ann. </w:t>
      </w:r>
      <w:r w:rsidRPr="00C4457D">
        <w:rPr>
          <w:lang w:val="de-DE"/>
        </w:rPr>
        <w:t xml:space="preserve">§30-13-334(4)(b) (2007); </w:t>
      </w:r>
      <w:r w:rsidRPr="00C4457D">
        <w:rPr>
          <w:smallCaps/>
          <w:lang w:val="de-DE"/>
        </w:rPr>
        <w:t>Neb. Rev. Stat.</w:t>
      </w:r>
      <w:r w:rsidRPr="00C4457D">
        <w:rPr>
          <w:lang w:val="de-DE"/>
        </w:rPr>
        <w:t xml:space="preserve"> §87-140(3)(b) (LexisNexis 2007); 54 </w:t>
      </w:r>
      <w:r w:rsidRPr="00C4457D">
        <w:rPr>
          <w:smallCaps/>
          <w:lang w:val="de-DE"/>
        </w:rPr>
        <w:t>Pa. Cons. Stat. Ann.</w:t>
      </w:r>
      <w:r w:rsidRPr="00C4457D">
        <w:rPr>
          <w:lang w:val="de-DE"/>
        </w:rPr>
        <w:t xml:space="preserve"> §1124 (West 2012); </w:t>
      </w:r>
      <w:r w:rsidRPr="00C4457D">
        <w:rPr>
          <w:smallCaps/>
          <w:lang w:val="de-DE"/>
        </w:rPr>
        <w:t xml:space="preserve">Tenn. Code Ann. </w:t>
      </w:r>
      <w:r w:rsidRPr="00C4457D">
        <w:rPr>
          <w:lang w:val="de-DE"/>
        </w:rPr>
        <w:t xml:space="preserve">§47-25-513(c)(2) (LexisNexis 2001); </w:t>
      </w:r>
      <w:r w:rsidRPr="00C4457D">
        <w:rPr>
          <w:smallCaps/>
          <w:lang w:val="de-DE"/>
        </w:rPr>
        <w:t>Tex. Bus. &amp; Com. Code Ann.</w:t>
      </w:r>
      <w:r w:rsidRPr="00C4457D">
        <w:rPr>
          <w:lang w:val="de-DE"/>
        </w:rPr>
        <w:t xml:space="preserve"> </w:t>
      </w:r>
      <w:r w:rsidRPr="00E44D89">
        <w:t xml:space="preserve">§16.103(d)(2) (2011); </w:t>
      </w:r>
      <w:r w:rsidRPr="00E44D89">
        <w:rPr>
          <w:smallCaps/>
        </w:rPr>
        <w:t>Utah Code Ann.</w:t>
      </w:r>
      <w:r w:rsidRPr="00E44D89">
        <w:t xml:space="preserve"> </w:t>
      </w:r>
      <w:r w:rsidRPr="006662F5">
        <w:t xml:space="preserve">§70-3a-403(5)(b) (West 2004); </w:t>
      </w:r>
      <w:r w:rsidRPr="006662F5">
        <w:rPr>
          <w:smallCaps/>
        </w:rPr>
        <w:t>Wash. Rev. Code Ann.</w:t>
      </w:r>
      <w:r w:rsidRPr="006662F5">
        <w:t xml:space="preserve"> §19.77.160(3)(b) (West Supp. 2012); </w:t>
      </w:r>
      <w:r w:rsidRPr="006662F5">
        <w:rPr>
          <w:i/>
          <w:iCs/>
        </w:rPr>
        <w:t>see</w:t>
      </w:r>
      <w:r w:rsidRPr="006662F5">
        <w:t xml:space="preserve"> 2007 </w:t>
      </w:r>
      <w:r w:rsidRPr="006662F5">
        <w:rPr>
          <w:smallCaps/>
        </w:rPr>
        <w:t>Model Bill</w:t>
      </w:r>
      <w:r w:rsidRPr="006662F5">
        <w:t xml:space="preserve"> §13(d)(2). Oregon’s 2009 amendment created an odd variation in the exclusions contained in the 2007 Model Bill. All three exclusions, including the noncommercial use exclusion, were subsumed under the nominative or descriptive fair use language, with a specific reference to a noncommercial use. </w:t>
      </w:r>
      <w:r w:rsidRPr="006662F5">
        <w:rPr>
          <w:smallCaps/>
        </w:rPr>
        <w:t>Or. Rev. Stat</w:t>
      </w:r>
      <w:r w:rsidRPr="006662F5">
        <w:t xml:space="preserve">. §647.107(5)(b) (2011). But noncommercial uses may be other than nominative or descriptive fair uses. In essence, Oregon seems to have adopted something similar to the House version of the TDRA (which was not enacted), which would have eliminated the noncommercial use provision in favor of a general fair use provision. </w:t>
      </w:r>
    </w:p>
  </w:footnote>
  <w:footnote w:id="471">
    <w:p w:rsidR="00431229" w:rsidRPr="006662F5" w:rsidRDefault="00431229">
      <w:pPr>
        <w:pStyle w:val="footnote"/>
      </w:pPr>
      <w:r w:rsidRPr="006662F5">
        <w:rPr>
          <w:vertAlign w:val="superscript"/>
        </w:rPr>
        <w:footnoteRef/>
      </w:r>
      <w:r w:rsidRPr="000540A5">
        <w:rPr>
          <w:i/>
        </w:rPr>
        <w:t>See</w:t>
      </w:r>
      <w:r w:rsidRPr="006662F5">
        <w:t xml:space="preserve"> Chapter 10, §IV.</w:t>
      </w:r>
    </w:p>
  </w:footnote>
  <w:footnote w:id="472">
    <w:p w:rsidR="00431229" w:rsidRPr="006662F5" w:rsidRDefault="00431229">
      <w:pPr>
        <w:pStyle w:val="footnote"/>
      </w:pPr>
      <w:r w:rsidRPr="006662F5">
        <w:rPr>
          <w:vertAlign w:val="superscript"/>
        </w:rPr>
        <w:footnoteRef/>
      </w:r>
      <w:r w:rsidRPr="006662F5">
        <w:rPr>
          <w:smallCaps/>
        </w:rPr>
        <w:t>H.R. Rep. No.</w:t>
      </w:r>
      <w:r w:rsidRPr="006662F5">
        <w:t xml:space="preserve"> 104-374, at 4, 1995 U.S.C.C.A.N. 1029, 1031 (Nov. 30, 1995); </w:t>
      </w:r>
      <w:r w:rsidRPr="006662F5">
        <w:rPr>
          <w:i/>
          <w:iCs/>
        </w:rPr>
        <w:t>see</w:t>
      </w:r>
      <w:r w:rsidRPr="006662F5">
        <w:t xml:space="preserve"> 141 </w:t>
      </w:r>
      <w:r w:rsidRPr="006662F5">
        <w:rPr>
          <w:smallCaps/>
        </w:rPr>
        <w:t>Cong. Rec.</w:t>
      </w:r>
      <w:r w:rsidRPr="006662F5">
        <w:t xml:space="preserve"> S19312 (Dec. 29, 1995) (remarks of Sen. Leahy).</w:t>
      </w:r>
    </w:p>
  </w:footnote>
  <w:footnote w:id="473">
    <w:p w:rsidR="00431229" w:rsidRPr="00E44D89" w:rsidRDefault="00431229">
      <w:pPr>
        <w:pStyle w:val="footnote"/>
      </w:pPr>
      <w:r w:rsidRPr="006662F5">
        <w:rPr>
          <w:vertAlign w:val="superscript"/>
        </w:rPr>
        <w:footnoteRef/>
      </w:r>
      <w:r w:rsidRPr="006662F5">
        <w:rPr>
          <w:smallCaps/>
        </w:rPr>
        <w:t>Ark. Code Ann.</w:t>
      </w:r>
      <w:r w:rsidRPr="006662F5">
        <w:t xml:space="preserve"> §4-71-218 (LexisNexis 2001); </w:t>
      </w:r>
      <w:r w:rsidRPr="006662F5">
        <w:rPr>
          <w:smallCaps/>
        </w:rPr>
        <w:t xml:space="preserve">Cal. Bus. &amp; Prof. </w:t>
      </w:r>
      <w:r w:rsidRPr="00E44D89">
        <w:rPr>
          <w:smallCaps/>
        </w:rPr>
        <w:t>Code</w:t>
      </w:r>
      <w:r w:rsidRPr="00E44D89">
        <w:t xml:space="preserve"> §14272 (West 2008); </w:t>
      </w:r>
      <w:r w:rsidRPr="00E44D89">
        <w:rPr>
          <w:smallCaps/>
        </w:rPr>
        <w:t>Fla. Stat. Ann.</w:t>
      </w:r>
      <w:r w:rsidRPr="00E44D89">
        <w:t xml:space="preserve"> </w:t>
      </w:r>
      <w:r w:rsidRPr="006662F5">
        <w:t>§495.181 (West Supp. 2010)</w:t>
      </w:r>
      <w:r w:rsidRPr="006662F5">
        <w:rPr>
          <w:smallCaps/>
        </w:rPr>
        <w:t>; Idaho Code</w:t>
      </w:r>
      <w:r w:rsidRPr="006662F5">
        <w:t xml:space="preserve"> §48-518 (LexisNexis 2003); 765 </w:t>
      </w:r>
      <w:r w:rsidRPr="006662F5">
        <w:rPr>
          <w:smallCaps/>
        </w:rPr>
        <w:t xml:space="preserve">Ill. Comp. </w:t>
      </w:r>
      <w:r w:rsidRPr="00E44D89">
        <w:rPr>
          <w:smallCaps/>
          <w:lang w:val="de-DE"/>
        </w:rPr>
        <w:t>Stat. Ann.</w:t>
      </w:r>
      <w:r w:rsidRPr="00E44D89">
        <w:rPr>
          <w:lang w:val="de-DE"/>
        </w:rPr>
        <w:t xml:space="preserve"> §1036/90 (West 2001); </w:t>
      </w:r>
      <w:r w:rsidRPr="00E44D89">
        <w:rPr>
          <w:smallCaps/>
          <w:lang w:val="de-DE"/>
        </w:rPr>
        <w:t>Ind. Code Ann.</w:t>
      </w:r>
      <w:r w:rsidRPr="00E44D89">
        <w:rPr>
          <w:lang w:val="de-DE"/>
        </w:rPr>
        <w:t xml:space="preserve"> §24-2-1-0.5 (LexisNexis 2006); </w:t>
      </w:r>
      <w:r w:rsidRPr="00E44D89">
        <w:rPr>
          <w:smallCaps/>
          <w:lang w:val="de-DE"/>
        </w:rPr>
        <w:t>Kan. Stat. Ann</w:t>
      </w:r>
      <w:r w:rsidRPr="00E44D89">
        <w:rPr>
          <w:lang w:val="de-DE"/>
        </w:rPr>
        <w:t xml:space="preserve">. §81-220 (Supp. 2009); </w:t>
      </w:r>
      <w:r w:rsidRPr="00E44D89">
        <w:rPr>
          <w:smallCaps/>
          <w:lang w:val="de-DE"/>
        </w:rPr>
        <w:t>Miss. Code Ann</w:t>
      </w:r>
      <w:r w:rsidRPr="00E44D89">
        <w:rPr>
          <w:lang w:val="de-DE"/>
        </w:rPr>
        <w:t xml:space="preserve">. §75-25-37 (2009); </w:t>
      </w:r>
      <w:r w:rsidRPr="00E44D89">
        <w:rPr>
          <w:smallCaps/>
          <w:lang w:val="de-DE"/>
        </w:rPr>
        <w:t>Or. Rev. Stat</w:t>
      </w:r>
      <w:r w:rsidRPr="00E44D89">
        <w:rPr>
          <w:lang w:val="de-DE"/>
        </w:rPr>
        <w:t xml:space="preserve">. § 647.115(3) (2011); </w:t>
      </w:r>
      <w:r w:rsidRPr="00E44D89">
        <w:rPr>
          <w:smallCaps/>
          <w:lang w:val="de-DE"/>
        </w:rPr>
        <w:t>Neb. Rev. Stat</w:t>
      </w:r>
      <w:r w:rsidRPr="00E44D89">
        <w:rPr>
          <w:lang w:val="de-DE"/>
        </w:rPr>
        <w:t xml:space="preserve">. §87-127 (LexisNexis 2007); </w:t>
      </w:r>
      <w:r w:rsidRPr="00E44D89">
        <w:rPr>
          <w:smallCaps/>
          <w:lang w:val="de-DE"/>
        </w:rPr>
        <w:t>N.J. Stat. Ann</w:t>
      </w:r>
      <w:r w:rsidRPr="00E44D89">
        <w:rPr>
          <w:lang w:val="de-DE"/>
        </w:rPr>
        <w:t xml:space="preserve">. §56:3-13a (West 2001); </w:t>
      </w:r>
      <w:r w:rsidRPr="00E44D89">
        <w:rPr>
          <w:smallCaps/>
          <w:lang w:val="de-DE"/>
        </w:rPr>
        <w:t>N.M. Stat. Ann</w:t>
      </w:r>
      <w:r w:rsidRPr="00E44D89">
        <w:rPr>
          <w:lang w:val="de-DE"/>
        </w:rPr>
        <w:t xml:space="preserve">. 1978, §57-3B-2 (West 2003); </w:t>
      </w:r>
      <w:r w:rsidRPr="00E44D89">
        <w:rPr>
          <w:smallCaps/>
          <w:lang w:val="de-DE"/>
        </w:rPr>
        <w:t>Tenn. Code Ann</w:t>
      </w:r>
      <w:r w:rsidRPr="00E44D89">
        <w:rPr>
          <w:lang w:val="de-DE"/>
        </w:rPr>
        <w:t xml:space="preserve">. §47-25-518 (LexisNexis 2001); </w:t>
      </w:r>
      <w:r w:rsidRPr="00E44D89">
        <w:rPr>
          <w:smallCaps/>
          <w:lang w:val="de-DE"/>
        </w:rPr>
        <w:t>Utah Code Ann</w:t>
      </w:r>
      <w:r w:rsidRPr="00E44D89">
        <w:rPr>
          <w:lang w:val="de-DE"/>
        </w:rPr>
        <w:t xml:space="preserve">. </w:t>
      </w:r>
      <w:r w:rsidRPr="00E44D89">
        <w:t>§70-3a-102 (West 2004)</w:t>
      </w:r>
      <w:r w:rsidRPr="00E44D89">
        <w:rPr>
          <w:smallCaps/>
        </w:rPr>
        <w:t>; Wash. Rev. Code Ann.</w:t>
      </w:r>
      <w:r w:rsidRPr="00E44D89">
        <w:t xml:space="preserve"> §19.77.930 (West 1999); </w:t>
      </w:r>
      <w:r w:rsidRPr="00E44D89">
        <w:rPr>
          <w:smallCaps/>
        </w:rPr>
        <w:t>W. Va. Code</w:t>
      </w:r>
      <w:r w:rsidRPr="00E44D89">
        <w:t xml:space="preserve">. §47-2-19 (LexisNexis 2006); </w:t>
      </w:r>
      <w:r w:rsidRPr="00E44D89">
        <w:rPr>
          <w:i/>
          <w:iCs/>
        </w:rPr>
        <w:t>see</w:t>
      </w:r>
      <w:r w:rsidRPr="00E44D89">
        <w:t xml:space="preserve"> Citigroup, Inc. v. City Holding Co., 171 F. Supp. 2d 333, 354 (S.D.N.Y. 2001) (interpreting West Virginia law).</w:t>
      </w:r>
    </w:p>
  </w:footnote>
  <w:footnote w:id="474">
    <w:p w:rsidR="00431229" w:rsidRPr="006662F5" w:rsidRDefault="00431229">
      <w:pPr>
        <w:pStyle w:val="footnote"/>
      </w:pPr>
      <w:r w:rsidRPr="006662F5">
        <w:rPr>
          <w:vertAlign w:val="superscript"/>
        </w:rPr>
        <w:footnoteRef/>
      </w:r>
      <w:r w:rsidRPr="006662F5">
        <w:t>A more complete discussion of this exclusion is contained in Chapter 10, §IV.</w:t>
      </w:r>
    </w:p>
  </w:footnote>
  <w:footnote w:id="475">
    <w:p w:rsidR="00431229" w:rsidRPr="006662F5" w:rsidRDefault="00431229">
      <w:pPr>
        <w:pStyle w:val="footnote"/>
      </w:pPr>
      <w:r w:rsidRPr="006662F5">
        <w:rPr>
          <w:vertAlign w:val="superscript"/>
        </w:rPr>
        <w:footnoteRef/>
      </w:r>
      <w:r w:rsidRPr="006662F5">
        <w:t xml:space="preserve">E. &amp; J. Gallo Winery v. Spider Webs Ltd., 129 F. Supp. 2d 1033, 1037 (S.D. Tex. 2001) (Texas law does not require commercial use), </w:t>
      </w:r>
      <w:r w:rsidRPr="006662F5">
        <w:rPr>
          <w:i/>
          <w:iCs/>
        </w:rPr>
        <w:t>aff’d</w:t>
      </w:r>
      <w:r w:rsidRPr="006662F5">
        <w:t>, 286 F.3d 270, 62 USPQ2d 1404 (5th Cir. 2002) (the Fifth Circuit declined to decide this issue).</w:t>
      </w:r>
    </w:p>
  </w:footnote>
  <w:footnote w:id="476">
    <w:p w:rsidR="00431229" w:rsidRPr="006662F5" w:rsidRDefault="00431229">
      <w:pPr>
        <w:pStyle w:val="footnote"/>
      </w:pPr>
      <w:r w:rsidRPr="006662F5">
        <w:rPr>
          <w:vertAlign w:val="superscript"/>
        </w:rPr>
        <w:footnoteRef/>
      </w:r>
      <w:r w:rsidRPr="006662F5">
        <w:t>Deere &amp; Co. v. MTD Prods., Inc., 41 F.3d 39, 32 USPQ2d 1936 (2d Cir. 1994).</w:t>
      </w:r>
    </w:p>
  </w:footnote>
  <w:footnote w:id="477">
    <w:p w:rsidR="00431229" w:rsidRPr="006662F5" w:rsidRDefault="00431229">
      <w:pPr>
        <w:pStyle w:val="footnote"/>
      </w:pPr>
      <w:r w:rsidRPr="006662F5">
        <w:rPr>
          <w:vertAlign w:val="superscript"/>
        </w:rPr>
        <w:footnoteRef/>
      </w:r>
      <w:r w:rsidRPr="006662F5">
        <w:t xml:space="preserve">Anheuser-Busch, Inc. v. Balducci Publ’ns, 28 F.3d 769, 31 USPQ2d 1296 (8th Cir. 1994), </w:t>
      </w:r>
      <w:r w:rsidRPr="006662F5">
        <w:rPr>
          <w:i/>
          <w:iCs/>
        </w:rPr>
        <w:t>cert</w:t>
      </w:r>
      <w:r w:rsidRPr="006662F5">
        <w:t>.</w:t>
      </w:r>
      <w:r w:rsidRPr="006662F5">
        <w:rPr>
          <w:i/>
          <w:iCs/>
        </w:rPr>
        <w:t xml:space="preserve"> denied</w:t>
      </w:r>
      <w:r w:rsidRPr="006662F5">
        <w:t>, 513 U.S. 1112 (1995).</w:t>
      </w:r>
    </w:p>
  </w:footnote>
  <w:footnote w:id="478">
    <w:p w:rsidR="00431229" w:rsidRPr="006662F5" w:rsidRDefault="00431229">
      <w:pPr>
        <w:pStyle w:val="footnote"/>
      </w:pPr>
      <w:r w:rsidRPr="006662F5">
        <w:rPr>
          <w:vertAlign w:val="superscript"/>
        </w:rPr>
        <w:footnoteRef/>
      </w:r>
      <w:r w:rsidRPr="006662F5">
        <w:t xml:space="preserve">In </w:t>
      </w:r>
      <w:r w:rsidRPr="006662F5">
        <w:rPr>
          <w:i/>
          <w:iCs/>
        </w:rPr>
        <w:t>Deere</w:t>
      </w:r>
      <w:r w:rsidRPr="006662F5">
        <w:t xml:space="preserve">, the defendant used an altered Deere logo to refer to Deere; in </w:t>
      </w:r>
      <w:r w:rsidRPr="006662F5">
        <w:rPr>
          <w:i/>
          <w:iCs/>
        </w:rPr>
        <w:t>Balducci</w:t>
      </w:r>
      <w:r w:rsidRPr="006662F5">
        <w:t>, the defendant used the Michelob mark as part of a parody advertisement. See §IV.B.3.b, above.</w:t>
      </w:r>
    </w:p>
  </w:footnote>
  <w:footnote w:id="479">
    <w:p w:rsidR="00431229" w:rsidRPr="006662F5" w:rsidRDefault="00431229">
      <w:pPr>
        <w:pStyle w:val="footnote"/>
      </w:pPr>
      <w:r w:rsidRPr="006662F5">
        <w:rPr>
          <w:vertAlign w:val="superscript"/>
        </w:rPr>
        <w:footnoteRef/>
      </w:r>
      <w:r w:rsidRPr="006662F5">
        <w:rPr>
          <w:smallCaps/>
        </w:rPr>
        <w:t>Restatement (Third) of Unfair Competition</w:t>
      </w:r>
      <w:r w:rsidRPr="006662F5">
        <w:t xml:space="preserve"> §25(2) (1995). The </w:t>
      </w:r>
      <w:r w:rsidRPr="006662F5">
        <w:rPr>
          <w:i/>
          <w:iCs/>
          <w:spacing w:val="-3"/>
        </w:rPr>
        <w:t>Restatement</w:t>
      </w:r>
      <w:r w:rsidRPr="006662F5">
        <w:t xml:space="preserve"> would permit claims against non-trademark uses only if they are independently tortious, as, for example, a trade disparagement claim.</w:t>
      </w:r>
    </w:p>
  </w:footnote>
  <w:footnote w:id="480">
    <w:p w:rsidR="00431229" w:rsidRPr="00C4457D" w:rsidRDefault="00431229">
      <w:pPr>
        <w:pStyle w:val="footnote"/>
        <w:rPr>
          <w:lang w:val="nb-NO"/>
        </w:rPr>
      </w:pPr>
      <w:r w:rsidRPr="006662F5">
        <w:rPr>
          <w:vertAlign w:val="superscript"/>
        </w:rPr>
        <w:footnoteRef/>
      </w:r>
      <w:r w:rsidRPr="00C4457D">
        <w:rPr>
          <w:lang w:val="nb-NO"/>
        </w:rPr>
        <w:t>53 S.W.3d 895 (Tex. App. 2001).</w:t>
      </w:r>
    </w:p>
  </w:footnote>
  <w:footnote w:id="481">
    <w:p w:rsidR="00431229" w:rsidRPr="00C4457D" w:rsidRDefault="00431229">
      <w:pPr>
        <w:pStyle w:val="footnote"/>
        <w:rPr>
          <w:lang w:val="nb-NO"/>
        </w:rPr>
      </w:pPr>
      <w:r w:rsidRPr="006662F5">
        <w:rPr>
          <w:vertAlign w:val="superscript"/>
        </w:rPr>
        <w:footnoteRef/>
      </w:r>
      <w:r w:rsidRPr="00C4457D">
        <w:rPr>
          <w:i/>
          <w:iCs/>
          <w:lang w:val="nb-NO"/>
        </w:rPr>
        <w:t>Id</w:t>
      </w:r>
      <w:r w:rsidRPr="00C4457D">
        <w:rPr>
          <w:lang w:val="nb-NO"/>
        </w:rPr>
        <w:t>. at 897.</w:t>
      </w:r>
    </w:p>
  </w:footnote>
  <w:footnote w:id="482">
    <w:p w:rsidR="00431229" w:rsidRPr="006662F5" w:rsidRDefault="00431229">
      <w:pPr>
        <w:pStyle w:val="footnote"/>
      </w:pPr>
      <w:r w:rsidRPr="006662F5">
        <w:rPr>
          <w:vertAlign w:val="superscript"/>
        </w:rPr>
        <w:footnoteRef/>
      </w:r>
      <w:r w:rsidRPr="006662F5">
        <w:rPr>
          <w:i/>
          <w:iCs/>
        </w:rPr>
        <w:t>Id</w:t>
      </w:r>
      <w:r w:rsidRPr="006662F5">
        <w:t xml:space="preserve">. at 899 (citation omitted); </w:t>
      </w:r>
      <w:r w:rsidRPr="006662F5">
        <w:rPr>
          <w:i/>
          <w:iCs/>
        </w:rPr>
        <w:t>accord</w:t>
      </w:r>
      <w:r w:rsidRPr="006662F5">
        <w:t xml:space="preserve"> TMI, Inc. v. Maxwell, 368 F.3d 433, 440, 70 USPQ2d 1630 (5th Cir. 2004). This is even broader than the </w:t>
      </w:r>
      <w:r w:rsidRPr="006662F5">
        <w:rPr>
          <w:i/>
          <w:iCs/>
        </w:rPr>
        <w:t>Restatement</w:t>
      </w:r>
      <w:r w:rsidRPr="006662F5">
        <w:t xml:space="preserve"> approach, which allows dilution claims for independently tortious activity.</w:t>
      </w:r>
    </w:p>
  </w:footnote>
  <w:footnote w:id="483">
    <w:p w:rsidR="00431229" w:rsidRPr="006662F5" w:rsidRDefault="00431229">
      <w:pPr>
        <w:pStyle w:val="footnote"/>
      </w:pPr>
      <w:r w:rsidRPr="006662F5">
        <w:rPr>
          <w:vertAlign w:val="superscript"/>
        </w:rPr>
        <w:footnoteRef/>
      </w:r>
      <w:r w:rsidRPr="006662F5">
        <w:t>Texas has since adopted the 2007 Model Bill.</w:t>
      </w:r>
    </w:p>
  </w:footnote>
  <w:footnote w:id="484">
    <w:p w:rsidR="00431229" w:rsidRPr="006662F5" w:rsidRDefault="00431229">
      <w:pPr>
        <w:pStyle w:val="footnote"/>
      </w:pPr>
      <w:r w:rsidRPr="006662F5">
        <w:rPr>
          <w:vertAlign w:val="superscript"/>
        </w:rPr>
        <w:footnoteRef/>
      </w:r>
      <w:r w:rsidRPr="006662F5">
        <w:t>828 F.2d 1482, 4 USPQ2d 1216 (10th Cir. 1987).</w:t>
      </w:r>
    </w:p>
  </w:footnote>
  <w:footnote w:id="485">
    <w:p w:rsidR="00431229" w:rsidRPr="006662F5" w:rsidRDefault="00431229">
      <w:pPr>
        <w:pStyle w:val="footnote"/>
      </w:pPr>
      <w:r w:rsidRPr="006662F5">
        <w:rPr>
          <w:vertAlign w:val="superscript"/>
        </w:rPr>
        <w:footnoteRef/>
      </w:r>
      <w:r w:rsidRPr="006662F5">
        <w:t>It is unclear whether a plaintiff could bring a separate claim for injury to business reputation based on a non-trademark use.</w:t>
      </w:r>
    </w:p>
  </w:footnote>
  <w:footnote w:id="486">
    <w:p w:rsidR="00431229" w:rsidRDefault="00431229" w:rsidP="00CA1D96">
      <w:pPr>
        <w:pStyle w:val="footnote"/>
      </w:pPr>
      <w:r>
        <w:rPr>
          <w:vertAlign w:val="superscript"/>
        </w:rPr>
        <w:footnoteRef/>
      </w:r>
      <w:r>
        <w:t xml:space="preserve">McHugh Fuller Law Grp. v. PruittHealth, Inc., 300 Ga. 140, 147–48, 794 S.E.2d 150, 156–57 (2016). </w:t>
      </w:r>
    </w:p>
  </w:footnote>
  <w:footnote w:id="487">
    <w:p w:rsidR="00431229" w:rsidRDefault="00431229" w:rsidP="00CA1D96">
      <w:pPr>
        <w:pStyle w:val="footnote"/>
      </w:pPr>
      <w:r>
        <w:rPr>
          <w:vertAlign w:val="superscript"/>
        </w:rPr>
        <w:footnoteRef/>
      </w:r>
      <w:r>
        <w:rPr>
          <w:i/>
          <w:iCs/>
        </w:rPr>
        <w:t>Id.</w:t>
      </w:r>
      <w:r>
        <w:t xml:space="preserve"> at 147, 794 S.E.2d at 156. </w:t>
      </w:r>
      <w:r>
        <w:rPr>
          <w:i/>
          <w:iCs/>
        </w:rPr>
        <w:t>Accord</w:t>
      </w:r>
      <w:r>
        <w:t xml:space="preserve"> John Paul Mitchell Sys. v. Randalls Food Mkts., 17 S.W.3d 721, 736–37 (Tex. App. 2000) (sales of plaintiff’s genuine goods not actionable as dilution under Texas law). </w:t>
      </w:r>
      <w:r>
        <w:rPr>
          <w:i/>
          <w:iCs/>
        </w:rPr>
        <w:t>See</w:t>
      </w:r>
      <w:r>
        <w:t xml:space="preserve"> Climb Tech, LLC v. Reeves, 2009 WL 10670045, at *9 (W.D. Tex. Feb. 11, 2009) (granting summary judgment to defendants, pointing to lack of use by defendants as trademark and lack of evidence of injury to business reputation). </w:t>
      </w:r>
    </w:p>
  </w:footnote>
  <w:footnote w:id="488">
    <w:p w:rsidR="00431229" w:rsidRDefault="00431229" w:rsidP="00BB06F1">
      <w:pPr>
        <w:pStyle w:val="FootnoteText"/>
      </w:pPr>
      <w:r>
        <w:rPr>
          <w:rStyle w:val="FootnoteReference"/>
          <w:rFonts w:eastAsiaTheme="majorEastAsia"/>
        </w:rPr>
        <w:footnoteRef/>
      </w:r>
      <w:r>
        <w:t>Jenzabar, Inc. v. Long Bow Grp., Inc., 977 N.E.2d 75 (Mass App. Ct. 2012).</w:t>
      </w:r>
    </w:p>
  </w:footnote>
  <w:footnote w:id="489">
    <w:p w:rsidR="00431229" w:rsidRPr="006662F5" w:rsidRDefault="00431229">
      <w:pPr>
        <w:pStyle w:val="footnote"/>
      </w:pPr>
      <w:r w:rsidRPr="006662F5">
        <w:rPr>
          <w:vertAlign w:val="superscript"/>
        </w:rPr>
        <w:footnoteRef/>
      </w:r>
      <w:r w:rsidRPr="006662F5">
        <w:t xml:space="preserve">Ford Motor Co. v. Ultra Coachbuilders Inc., 57 USPQ2d 1356 (C.D. Cal.) (defendant converted Ford and Lincoln cars to stretch limousines and left the original identifying trademark badges on the cars; court held not a trademark use), </w:t>
      </w:r>
      <w:r w:rsidRPr="006662F5">
        <w:rPr>
          <w:i/>
          <w:iCs/>
        </w:rPr>
        <w:t>aff’d mem</w:t>
      </w:r>
      <w:r w:rsidRPr="006662F5">
        <w:t>., 238 F.3d 428 (9th Cir. 2000).</w:t>
      </w:r>
    </w:p>
  </w:footnote>
  <w:footnote w:id="490">
    <w:p w:rsidR="00431229" w:rsidRPr="006662F5" w:rsidRDefault="00431229">
      <w:pPr>
        <w:pStyle w:val="footnote"/>
      </w:pPr>
      <w:r w:rsidRPr="006662F5">
        <w:rPr>
          <w:vertAlign w:val="superscript"/>
        </w:rPr>
        <w:footnoteRef/>
      </w:r>
      <w:r w:rsidRPr="006662F5">
        <w:t xml:space="preserve">Lanham Act §43(c)(1), 15 U.S.C. §1125(c)(1); 2007 </w:t>
      </w:r>
      <w:r w:rsidRPr="006662F5">
        <w:rPr>
          <w:smallCaps/>
          <w:spacing w:val="-3"/>
        </w:rPr>
        <w:t>Model Bill</w:t>
      </w:r>
      <w:r w:rsidRPr="006662F5">
        <w:t xml:space="preserve"> §13(a); </w:t>
      </w:r>
      <w:r w:rsidRPr="006662F5">
        <w:rPr>
          <w:i/>
          <w:iCs/>
        </w:rPr>
        <w:t>see</w:t>
      </w:r>
      <w:r w:rsidRPr="006662F5">
        <w:t xml:space="preserve"> Lanham Act §43(c)(5), 15 U.S.C. §1125(c)(5) (also referring to use of a “mark or trade name” by the second user). (The 2007 Model Bill does not contain this language in its remedies section.)</w:t>
      </w:r>
    </w:p>
  </w:footnote>
  <w:footnote w:id="491">
    <w:p w:rsidR="00431229" w:rsidRPr="006662F5" w:rsidRDefault="00431229">
      <w:pPr>
        <w:pStyle w:val="footnote"/>
      </w:pPr>
      <w:r w:rsidRPr="006662F5">
        <w:rPr>
          <w:vertAlign w:val="superscript"/>
        </w:rPr>
        <w:footnoteRef/>
      </w:r>
      <w:r w:rsidRPr="006662F5">
        <w:rPr>
          <w:i/>
          <w:iCs/>
        </w:rPr>
        <w:t>See</w:t>
      </w:r>
      <w:r w:rsidRPr="006662F5">
        <w:t xml:space="preserve"> Chapter 9, §IV.</w:t>
      </w:r>
    </w:p>
  </w:footnote>
  <w:footnote w:id="492">
    <w:p w:rsidR="00431229" w:rsidRPr="00EB518C" w:rsidRDefault="00431229">
      <w:pPr>
        <w:pStyle w:val="FootnoteText"/>
      </w:pPr>
      <w:r>
        <w:rPr>
          <w:rStyle w:val="FootnoteReference"/>
          <w:rFonts w:eastAsiaTheme="majorEastAsia"/>
        </w:rPr>
        <w:footnoteRef/>
      </w:r>
      <w:r>
        <w:t xml:space="preserve"> Note also that the Supreme Court’s decision in </w:t>
      </w:r>
      <w:r>
        <w:rPr>
          <w:i/>
          <w:iCs/>
        </w:rPr>
        <w:t>Jack Daniel’s Properties, Inc. v. VIP Prods. LLC</w:t>
      </w:r>
      <w:r>
        <w:t>, 599 U.S.140 (2023), that the TDRA’s noncommercial use exclusion only applies to non-trademark uses indicates that the TDRA applies to non-trademark uses as well as trademark uses.</w:t>
      </w:r>
    </w:p>
  </w:footnote>
  <w:footnote w:id="493">
    <w:p w:rsidR="00431229" w:rsidRPr="006662F5" w:rsidRDefault="00431229">
      <w:pPr>
        <w:pStyle w:val="footnote"/>
      </w:pPr>
      <w:r w:rsidRPr="006662F5">
        <w:rPr>
          <w:vertAlign w:val="superscript"/>
        </w:rPr>
        <w:footnoteRef/>
      </w:r>
      <w:r w:rsidRPr="006662F5">
        <w:t>231 F. Supp. 836, 143 USPQ 2 (D. Mass. 1964).</w:t>
      </w:r>
    </w:p>
  </w:footnote>
  <w:footnote w:id="494">
    <w:p w:rsidR="00431229" w:rsidRPr="006662F5" w:rsidRDefault="00431229">
      <w:pPr>
        <w:pStyle w:val="footnote"/>
      </w:pPr>
      <w:r w:rsidRPr="006662F5">
        <w:rPr>
          <w:vertAlign w:val="superscript"/>
        </w:rPr>
        <w:footnoteRef/>
      </w:r>
      <w:r w:rsidRPr="006662F5">
        <w:rPr>
          <w:i/>
          <w:iCs/>
        </w:rPr>
        <w:t>Id</w:t>
      </w:r>
      <w:r w:rsidRPr="006662F5">
        <w:t>. at 844.</w:t>
      </w:r>
    </w:p>
  </w:footnote>
  <w:footnote w:id="495">
    <w:p w:rsidR="00431229" w:rsidRPr="006662F5" w:rsidRDefault="00431229">
      <w:pPr>
        <w:pStyle w:val="footnote"/>
      </w:pPr>
      <w:r w:rsidRPr="006662F5">
        <w:rPr>
          <w:vertAlign w:val="superscript"/>
        </w:rPr>
        <w:footnoteRef/>
      </w:r>
      <w:r w:rsidRPr="006662F5">
        <w:rPr>
          <w:i/>
          <w:iCs/>
        </w:rPr>
        <w:t>Id</w:t>
      </w:r>
      <w:r w:rsidRPr="006662F5">
        <w:t xml:space="preserve">.; </w:t>
      </w:r>
      <w:r w:rsidRPr="006662F5">
        <w:rPr>
          <w:i/>
          <w:iCs/>
        </w:rPr>
        <w:t>see</w:t>
      </w:r>
      <w:r w:rsidRPr="006662F5">
        <w:t xml:space="preserve"> Steinway &amp; Sons v. Robert Demars &amp; Friends, 210 USPQ 954, 964 (C.D. Cal. 1981) (citing low price and low quality of defendant’s goods).</w:t>
      </w:r>
    </w:p>
  </w:footnote>
  <w:footnote w:id="496">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Hasbro, Inc. v. Internet Entm’t Grp., Ltd., 40 USPQ2d 1479, 1479 (W.D. Wash. 1996) (enjoining use of Candyland.com as domain name for pornographic Web site).</w:t>
      </w:r>
    </w:p>
  </w:footnote>
  <w:footnote w:id="497">
    <w:p w:rsidR="00431229" w:rsidRPr="006662F5" w:rsidRDefault="00431229">
      <w:pPr>
        <w:pStyle w:val="footnote"/>
      </w:pPr>
      <w:r w:rsidRPr="006662F5">
        <w:rPr>
          <w:vertAlign w:val="superscript"/>
        </w:rPr>
        <w:footnoteRef/>
      </w:r>
      <w:r w:rsidRPr="006662F5">
        <w:t xml:space="preserve">12 USPQ2d 1657 (E.D. Cal. 1989), </w:t>
      </w:r>
      <w:r w:rsidRPr="006662F5">
        <w:rPr>
          <w:i/>
          <w:iCs/>
        </w:rPr>
        <w:t>aff’d on other grounds</w:t>
      </w:r>
      <w:r w:rsidRPr="006662F5">
        <w:t>, 967 F.2d 1280 (9th Cir. 1992).</w:t>
      </w:r>
    </w:p>
  </w:footnote>
  <w:footnote w:id="498">
    <w:p w:rsidR="00431229" w:rsidRPr="006662F5" w:rsidRDefault="00431229">
      <w:pPr>
        <w:pStyle w:val="footnote"/>
      </w:pPr>
      <w:r w:rsidRPr="006662F5">
        <w:rPr>
          <w:vertAlign w:val="superscript"/>
        </w:rPr>
        <w:footnoteRef/>
      </w:r>
      <w:r w:rsidRPr="006662F5">
        <w:rPr>
          <w:i/>
          <w:iCs/>
        </w:rPr>
        <w:t>Id</w:t>
      </w:r>
      <w:r w:rsidRPr="006662F5">
        <w:t>. at 1660. The defendants included Joseph Gallo, a member of the Ernest and Julio Gallo family.</w:t>
      </w:r>
    </w:p>
  </w:footnote>
  <w:footnote w:id="499">
    <w:p w:rsidR="00431229" w:rsidRPr="006662F5" w:rsidRDefault="00431229">
      <w:pPr>
        <w:pStyle w:val="footnote"/>
      </w:pPr>
      <w:r w:rsidRPr="006662F5">
        <w:rPr>
          <w:vertAlign w:val="superscript"/>
        </w:rPr>
        <w:footnoteRef/>
      </w:r>
      <w:r w:rsidRPr="006662F5">
        <w:rPr>
          <w:i/>
          <w:iCs/>
        </w:rPr>
        <w:t>Id</w:t>
      </w:r>
      <w:r w:rsidRPr="006662F5">
        <w:t xml:space="preserve">. at 1669; </w:t>
      </w:r>
      <w:r w:rsidRPr="006662F5">
        <w:rPr>
          <w:i/>
          <w:iCs/>
        </w:rPr>
        <w:t>see also</w:t>
      </w:r>
      <w:r w:rsidRPr="006662F5">
        <w:t xml:space="preserve"> E. &amp; J. Gallo Winery v. Spider Webs, Inc., 129 F. Supp. 2d 1033, 1041–42 (S.D. Tex. 2001) (enjoining, under Texas dilution law, defendants’ use of ernestandjuliogallo.com Web site, which contained negative comments about Gallo and was purportedly poorly designed), </w:t>
      </w:r>
      <w:r w:rsidRPr="006662F5">
        <w:rPr>
          <w:i/>
          <w:iCs/>
        </w:rPr>
        <w:t>aff’d</w:t>
      </w:r>
      <w:r w:rsidRPr="006662F5">
        <w:t>, 286 F.3d 270, 62 USPQ2d 1404 (5th Cir. 2002).</w:t>
      </w:r>
    </w:p>
  </w:footnote>
  <w:footnote w:id="500">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w:t>
      </w:r>
      <w:r w:rsidRPr="00BB06F1">
        <w:t xml:space="preserve">Estée Lauder Cosmetics, Ltd. v. Get Your MAC On, LLC, 2015 U.S. Dist. LEXIS 7286, at *8 (D. Ariz. Jan. 22, 2015) (default judgment finding dilution under Arizona law for counterfeit goods); Johnson &amp; Johnson v. Azam Int’l Trading, 2013 U.S. Dist. LEXIS 112755, at *28 (E.D.N.Y. July 18, 2013) (default judgment, finding tarnishment from counterfeit goods); </w:t>
      </w:r>
      <w:r w:rsidRPr="006662F5">
        <w:t>Burberry Ltd. v. Designers Imps., Inc., 2010 U.S. Dist. LEXIS 3605, at *20–21 (S.D.N.Y. Jan. 19, 2010) (using finding of dilution under federal law to find dilution under state law).</w:t>
      </w:r>
    </w:p>
  </w:footnote>
  <w:footnote w:id="501">
    <w:p w:rsidR="00431229" w:rsidRPr="006662F5" w:rsidRDefault="00431229">
      <w:pPr>
        <w:pStyle w:val="footnote"/>
      </w:pPr>
      <w:r w:rsidRPr="006662F5">
        <w:rPr>
          <w:vertAlign w:val="superscript"/>
        </w:rPr>
        <w:footnoteRef/>
      </w:r>
      <w:r w:rsidRPr="006662F5">
        <w:t>129 F. Supp. 2d 254 (S.D.N.Y. 2001).</w:t>
      </w:r>
    </w:p>
  </w:footnote>
  <w:footnote w:id="502">
    <w:p w:rsidR="00431229" w:rsidRPr="006662F5" w:rsidRDefault="00431229">
      <w:pPr>
        <w:pStyle w:val="footnote"/>
      </w:pPr>
      <w:r w:rsidRPr="006662F5">
        <w:rPr>
          <w:vertAlign w:val="superscript"/>
        </w:rPr>
        <w:footnoteRef/>
      </w:r>
      <w:r w:rsidRPr="006662F5">
        <w:rPr>
          <w:i/>
          <w:iCs/>
        </w:rPr>
        <w:t>Id</w:t>
      </w:r>
      <w:r w:rsidRPr="006662F5">
        <w:t xml:space="preserve">. at 255. The court dismissed other dilution claims, including a tarnishment claim based on the defendant’s use of unauthorized distribution channels. </w:t>
      </w:r>
      <w:r w:rsidRPr="006662F5">
        <w:rPr>
          <w:i/>
          <w:iCs/>
        </w:rPr>
        <w:t>Id</w:t>
      </w:r>
      <w:r w:rsidRPr="006662F5">
        <w:t>.</w:t>
      </w:r>
    </w:p>
  </w:footnote>
  <w:footnote w:id="503">
    <w:p w:rsidR="00431229" w:rsidRPr="006662F5" w:rsidRDefault="00431229">
      <w:pPr>
        <w:pStyle w:val="footnote"/>
      </w:pPr>
      <w:r w:rsidRPr="006662F5">
        <w:rPr>
          <w:vertAlign w:val="superscript"/>
        </w:rPr>
        <w:footnoteRef/>
      </w:r>
      <w:r w:rsidRPr="006662F5">
        <w:t>267 F. Supp. 2d 1268, 1332–33 (S.D. Fla. 2003).</w:t>
      </w:r>
    </w:p>
  </w:footnote>
  <w:footnote w:id="504">
    <w:p w:rsidR="00431229" w:rsidRPr="006662F5" w:rsidRDefault="00431229" w:rsidP="001C0FAE">
      <w:pPr>
        <w:pStyle w:val="footnote"/>
      </w:pPr>
      <w:r w:rsidRPr="006662F5">
        <w:rPr>
          <w:vertAlign w:val="superscript"/>
        </w:rPr>
        <w:footnoteRef/>
      </w:r>
      <w:r w:rsidRPr="006662F5">
        <w:t xml:space="preserve">In </w:t>
      </w:r>
      <w:r w:rsidRPr="006662F5">
        <w:rPr>
          <w:i/>
          <w:iCs/>
        </w:rPr>
        <w:t>Scott Fetzer Co</w:t>
      </w:r>
      <w:r w:rsidRPr="006662F5">
        <w:t>.</w:t>
      </w:r>
      <w:r w:rsidRPr="006662F5">
        <w:rPr>
          <w:i/>
          <w:iCs/>
        </w:rPr>
        <w:t xml:space="preserve"> v</w:t>
      </w:r>
      <w:r w:rsidRPr="006662F5">
        <w:t>.</w:t>
      </w:r>
      <w:r w:rsidRPr="006662F5">
        <w:rPr>
          <w:i/>
          <w:iCs/>
        </w:rPr>
        <w:t xml:space="preserve"> Gehring</w:t>
      </w:r>
      <w:r w:rsidRPr="006662F5">
        <w:t xml:space="preserve">, 288 F. Supp. 2d 696 (E.D. Pa. 2003), the court upheld a dilution claim involving a sale of genuine goods in an unauthorized manner. </w:t>
      </w:r>
      <w:r w:rsidRPr="006662F5">
        <w:rPr>
          <w:i/>
          <w:iCs/>
        </w:rPr>
        <w:t>Id</w:t>
      </w:r>
      <w:r w:rsidRPr="006662F5">
        <w:t xml:space="preserve">. at 701–02; </w:t>
      </w:r>
      <w:r w:rsidRPr="006662F5">
        <w:rPr>
          <w:i/>
          <w:iCs/>
        </w:rPr>
        <w:t>see</w:t>
      </w:r>
      <w:r w:rsidRPr="006662F5">
        <w:t xml:space="preserve"> 7-Eleven, Inc. v. McEvoy, 300 F. Supp. 2d 352, 357 (D. Md. 2004) (terminated franchisee; dilution claim upheld). </w:t>
      </w:r>
      <w:r w:rsidRPr="006662F5">
        <w:rPr>
          <w:i/>
          <w:iCs/>
        </w:rPr>
        <w:t>But see</w:t>
      </w:r>
      <w:r w:rsidRPr="006662F5">
        <w:t xml:space="preserve"> Scott Fetzer Co. v. House of Vacuums, Inc., 381 F.3d 477, 489–90, 72 USPQ2d 1011 (5th Cir. 2004) (unauthorized sales and reconditioning of branded vacuums not grounds for tarnishment claim)</w:t>
      </w:r>
      <w:r>
        <w:t xml:space="preserve">; AL Infinity LLC v. Crown Cell, Inc., 2023 WL 5097979, at * 11, </w:t>
      </w:r>
      <w:r w:rsidRPr="001C0FAE">
        <w:t>2023 BL 274850</w:t>
      </w:r>
      <w:r>
        <w:t xml:space="preserve"> (S.D.N.Y. Aug. 9, 2023) (unauthorized sales of genuine goods not actionable under New York law)</w:t>
      </w:r>
      <w:r w:rsidRPr="006662F5">
        <w:t>.</w:t>
      </w:r>
    </w:p>
  </w:footnote>
  <w:footnote w:id="505">
    <w:p w:rsidR="00431229" w:rsidRPr="006662F5" w:rsidRDefault="00431229">
      <w:pPr>
        <w:pStyle w:val="footnote"/>
      </w:pPr>
      <w:r w:rsidRPr="006662F5">
        <w:rPr>
          <w:vertAlign w:val="superscript"/>
        </w:rPr>
        <w:footnoteRef/>
      </w:r>
      <w:r w:rsidRPr="006662F5">
        <w:rPr>
          <w:i/>
          <w:iCs/>
        </w:rPr>
        <w:t>Cf</w:t>
      </w:r>
      <w:r w:rsidRPr="006662F5">
        <w:t>. Lorillard Tobacco Co. v. Van Dyke Liquor Mkt., Inc., 427 F. Supp. 2d 822 (E.D. Mich. 2007) (counterfeit cigarettes; dilution and confusion found); Nike, Inc. v. Variety Wholesalers, Inc., 274 F. Supp. 2d 1352, 1372 (S.D. Ga. 2003) (counterfeit goods; dilution claim upheld); Perkins Sch. for the Blind v. Maxi-Aids, Inc., 274 F. Supp. 2d 319, 325–26, 69 USPQ2d 1932 (E.D.N.Y. 2003) (upholding dilution claim for sale of gray market goods with substituted warranty); Bayer Corp. v. Custom Sch. Frames, LLC, 259 F. Supp. 2d 503, 509–10, 67 USPQ2d 1185 (E.D. La. 2003) (dilution by gray market goods that were materially different from ones authorized for distribution in this country); Pepsico, Inc. v. California Sec. Cans, 238 F. Supp. 2d 1172 (C.D. Cal. 2002) (dilution by counterfeit goods).</w:t>
      </w:r>
    </w:p>
  </w:footnote>
  <w:footnote w:id="506">
    <w:p w:rsidR="00431229" w:rsidRPr="006662F5" w:rsidRDefault="00431229">
      <w:pPr>
        <w:pStyle w:val="footnote"/>
      </w:pPr>
      <w:r w:rsidRPr="006662F5">
        <w:rPr>
          <w:vertAlign w:val="superscript"/>
        </w:rPr>
        <w:footnoteRef/>
      </w:r>
      <w:r w:rsidRPr="006662F5">
        <w:t>215 F. Supp. 2d 273, 301 (S.D.N.Y. 2002).</w:t>
      </w:r>
    </w:p>
  </w:footnote>
  <w:footnote w:id="507">
    <w:p w:rsidR="00431229" w:rsidRPr="006662F5" w:rsidRDefault="00431229">
      <w:pPr>
        <w:pStyle w:val="footnote"/>
      </w:pPr>
      <w:r w:rsidRPr="006662F5">
        <w:rPr>
          <w:vertAlign w:val="superscript"/>
        </w:rPr>
        <w:footnoteRef/>
      </w:r>
      <w:r w:rsidRPr="006662F5">
        <w:t>676 F. Supp. 2d 179 (S.D.N.Y. 2009).</w:t>
      </w:r>
    </w:p>
  </w:footnote>
  <w:footnote w:id="508">
    <w:p w:rsidR="00431229" w:rsidRPr="006662F5" w:rsidRDefault="00431229">
      <w:pPr>
        <w:pStyle w:val="footnote"/>
      </w:pPr>
      <w:r w:rsidRPr="006662F5">
        <w:rPr>
          <w:vertAlign w:val="superscript"/>
        </w:rPr>
        <w:footnoteRef/>
      </w:r>
      <w:r w:rsidRPr="006662F5">
        <w:rPr>
          <w:i/>
          <w:iCs/>
        </w:rPr>
        <w:t>Id</w:t>
      </w:r>
      <w:r w:rsidRPr="006662F5">
        <w:t>. at 190. (The court also found infringement by confusion.)</w:t>
      </w:r>
    </w:p>
  </w:footnote>
  <w:footnote w:id="509">
    <w:p w:rsidR="00431229" w:rsidRPr="00C4457D" w:rsidRDefault="00431229" w:rsidP="00CA1D96">
      <w:pPr>
        <w:pStyle w:val="footnote"/>
        <w:rPr>
          <w:lang w:val="sv-SE"/>
        </w:rPr>
      </w:pPr>
      <w:r>
        <w:rPr>
          <w:vertAlign w:val="superscript"/>
        </w:rPr>
        <w:footnoteRef/>
      </w:r>
      <w:r w:rsidRPr="00C4457D">
        <w:rPr>
          <w:lang w:val="sv-SE"/>
        </w:rPr>
        <w:t xml:space="preserve">1 F. Supp. 3d 598 (S.D. Tex. 2014). </w:t>
      </w:r>
    </w:p>
  </w:footnote>
  <w:footnote w:id="510">
    <w:p w:rsidR="00431229" w:rsidRDefault="00431229" w:rsidP="00CA1D96">
      <w:pPr>
        <w:pStyle w:val="footnote"/>
      </w:pPr>
      <w:r>
        <w:rPr>
          <w:vertAlign w:val="superscript"/>
        </w:rPr>
        <w:footnoteRef/>
      </w:r>
      <w:r>
        <w:rPr>
          <w:i/>
          <w:iCs/>
        </w:rPr>
        <w:t>Id</w:t>
      </w:r>
      <w:r>
        <w:t xml:space="preserve">. at 615. Defendant’s bar was close enough to serve largely the same customer base as plaintiff’s bar. However, the court refused to find dilution from another bar owned by defendant (also a Rebels Honky Tonk) in another city based solely on testimony that it allowed people 18 or older into the bar. </w:t>
      </w:r>
      <w:r>
        <w:rPr>
          <w:i/>
          <w:iCs/>
        </w:rPr>
        <w:t>Id</w:t>
      </w:r>
      <w:r>
        <w:t xml:space="preserve">. It is also noteworthy that the owner of the defendant’s bar originally worked for plaintiff. </w:t>
      </w:r>
      <w:r>
        <w:rPr>
          <w:i/>
          <w:iCs/>
        </w:rPr>
        <w:t>Id</w:t>
      </w:r>
      <w:r>
        <w:t xml:space="preserve">. at 606–07. </w:t>
      </w:r>
    </w:p>
  </w:footnote>
  <w:footnote w:id="511">
    <w:p w:rsidR="00431229" w:rsidRPr="006662F5" w:rsidRDefault="00431229">
      <w:pPr>
        <w:pStyle w:val="footnote"/>
      </w:pPr>
      <w:r w:rsidRPr="006662F5">
        <w:rPr>
          <w:vertAlign w:val="superscript"/>
        </w:rPr>
        <w:footnoteRef/>
      </w:r>
      <w:r w:rsidRPr="006662F5">
        <w:t xml:space="preserve">Pepsico, Inc. v. #1 Wholesale, L.L.C., 84 USPQ2d 1040, 1044 (N.D. Ga. 2007). The court could have found tarnishment based on the possibility that consumers would blame Pepsico for any quality issues with the product (although that would really be confusion, rather than dilution); the court cited such concerns in its discussion of infringement. </w:t>
      </w:r>
      <w:r w:rsidRPr="006662F5">
        <w:rPr>
          <w:i/>
          <w:iCs/>
        </w:rPr>
        <w:t>Id</w:t>
      </w:r>
      <w:r w:rsidRPr="006662F5">
        <w:t>. at *5–6.</w:t>
      </w:r>
    </w:p>
  </w:footnote>
  <w:footnote w:id="512">
    <w:p w:rsidR="00431229" w:rsidRPr="006662F5" w:rsidRDefault="00431229">
      <w:pPr>
        <w:pStyle w:val="footnote"/>
      </w:pPr>
      <w:r w:rsidRPr="006662F5">
        <w:rPr>
          <w:vertAlign w:val="superscript"/>
        </w:rPr>
        <w:footnoteRef/>
      </w:r>
      <w:r w:rsidRPr="006662F5">
        <w:t>Dallas Cowboys Football Club, Ltd. v. America’s Team Props., Inc., 616 F. Supp. 2d 622, 643, 92 USPQ2d 1325 (N.D. Tex. 2009).</w:t>
      </w:r>
    </w:p>
  </w:footnote>
  <w:footnote w:id="513">
    <w:p w:rsidR="00431229" w:rsidRPr="006662F5" w:rsidRDefault="00431229">
      <w:pPr>
        <w:pStyle w:val="footnote"/>
      </w:pPr>
      <w:r w:rsidRPr="006662F5">
        <w:rPr>
          <w:vertAlign w:val="superscript"/>
        </w:rPr>
        <w:footnoteRef/>
      </w:r>
      <w:r w:rsidRPr="006662F5">
        <w:t xml:space="preserve">942 F. Supp. 1513 (S.D. Tex. 1996), </w:t>
      </w:r>
      <w:r w:rsidRPr="006662F5">
        <w:rPr>
          <w:i/>
          <w:iCs/>
        </w:rPr>
        <w:t>aff’d</w:t>
      </w:r>
      <w:r w:rsidRPr="006662F5">
        <w:t>, 155 F.3d 526, 48 USPQ2d 1065 (5th Cir. 1998).</w:t>
      </w:r>
    </w:p>
  </w:footnote>
  <w:footnote w:id="514">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1527.</w:t>
      </w:r>
    </w:p>
  </w:footnote>
  <w:footnote w:id="515">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1565–66.</w:t>
      </w:r>
    </w:p>
  </w:footnote>
  <w:footnote w:id="516">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1566.</w:t>
      </w:r>
    </w:p>
  </w:footnote>
  <w:footnote w:id="517">
    <w:p w:rsidR="00431229" w:rsidRPr="006662F5" w:rsidRDefault="00431229">
      <w:pPr>
        <w:pStyle w:val="footnote"/>
      </w:pPr>
      <w:r w:rsidRPr="006662F5">
        <w:rPr>
          <w:vertAlign w:val="superscript"/>
        </w:rPr>
        <w:footnoteRef/>
      </w:r>
      <w:r w:rsidRPr="006662F5">
        <w:rPr>
          <w:i/>
          <w:iCs/>
        </w:rPr>
        <w:t>Id</w:t>
      </w:r>
      <w:r w:rsidRPr="006662F5">
        <w:t>.</w:t>
      </w:r>
    </w:p>
  </w:footnote>
  <w:footnote w:id="518">
    <w:p w:rsidR="00431229" w:rsidRPr="006662F5" w:rsidRDefault="00431229">
      <w:pPr>
        <w:pStyle w:val="footnote"/>
      </w:pPr>
      <w:r w:rsidRPr="006662F5">
        <w:rPr>
          <w:vertAlign w:val="superscript"/>
        </w:rPr>
        <w:footnoteRef/>
      </w:r>
      <w:r w:rsidRPr="006662F5">
        <w:rPr>
          <w:i/>
          <w:iCs/>
        </w:rPr>
        <w:t>Id</w:t>
      </w:r>
      <w:r w:rsidRPr="006662F5">
        <w:t>.</w:t>
      </w:r>
    </w:p>
  </w:footnote>
  <w:footnote w:id="519">
    <w:p w:rsidR="00431229" w:rsidRPr="006662F5" w:rsidRDefault="00431229">
      <w:pPr>
        <w:pStyle w:val="footnote"/>
      </w:pPr>
      <w:r w:rsidRPr="006662F5">
        <w:rPr>
          <w:vertAlign w:val="superscript"/>
        </w:rPr>
        <w:footnoteRef/>
      </w:r>
      <w:r w:rsidRPr="006662F5">
        <w:rPr>
          <w:i/>
          <w:iCs/>
        </w:rPr>
        <w:t>Id</w:t>
      </w:r>
      <w:r w:rsidRPr="006662F5">
        <w:t xml:space="preserve">. The court also rejected most of plaintiff’s blurring claims, accepting only one of them. </w:t>
      </w:r>
      <w:r w:rsidRPr="006662F5">
        <w:rPr>
          <w:i/>
          <w:iCs/>
        </w:rPr>
        <w:t>Id</w:t>
      </w:r>
      <w:r w:rsidRPr="006662F5">
        <w:t xml:space="preserve">. at 1567. The major difference here is that the court viewed the blurring claim as requiring the holes to be source identifiers, but it did not similarly view the tarnishment claims as requiring the holes to be source identifiers. </w:t>
      </w:r>
      <w:r w:rsidRPr="006662F5">
        <w:rPr>
          <w:i/>
          <w:iCs/>
        </w:rPr>
        <w:t>Id</w:t>
      </w:r>
      <w:r w:rsidRPr="006662F5">
        <w:t>.</w:t>
      </w:r>
    </w:p>
  </w:footnote>
  <w:footnote w:id="520">
    <w:p w:rsidR="00431229" w:rsidRPr="006662F5" w:rsidRDefault="00431229">
      <w:pPr>
        <w:pStyle w:val="footnote"/>
      </w:pPr>
      <w:r w:rsidRPr="006662F5">
        <w:rPr>
          <w:vertAlign w:val="superscript"/>
        </w:rPr>
        <w:footnoteRef/>
      </w:r>
      <w:r w:rsidRPr="006662F5">
        <w:t>588 F.3d 97, 92 USPQ2d 1769 (2d Cir. 2009).</w:t>
      </w:r>
    </w:p>
  </w:footnote>
  <w:footnote w:id="521">
    <w:p w:rsidR="00431229" w:rsidRPr="006662F5" w:rsidRDefault="00431229">
      <w:pPr>
        <w:pStyle w:val="footnote"/>
      </w:pPr>
      <w:r w:rsidRPr="006662F5">
        <w:rPr>
          <w:vertAlign w:val="superscript"/>
        </w:rPr>
        <w:footnoteRef/>
      </w:r>
      <w:r w:rsidRPr="006662F5">
        <w:rPr>
          <w:i/>
          <w:iCs/>
        </w:rPr>
        <w:t>Id</w:t>
      </w:r>
      <w:r w:rsidRPr="006662F5">
        <w:t>. at 111.</w:t>
      </w:r>
    </w:p>
  </w:footnote>
  <w:footnote w:id="522">
    <w:p w:rsidR="00431229" w:rsidRPr="006662F5" w:rsidRDefault="00431229">
      <w:pPr>
        <w:pStyle w:val="footnote"/>
      </w:pPr>
      <w:r w:rsidRPr="006662F5">
        <w:rPr>
          <w:vertAlign w:val="superscript"/>
        </w:rPr>
        <w:footnoteRef/>
      </w:r>
      <w:r w:rsidRPr="006662F5">
        <w:rPr>
          <w:i/>
          <w:iCs/>
        </w:rPr>
        <w:t>Id</w:t>
      </w:r>
      <w:r w:rsidRPr="006662F5">
        <w:t>. at 110–11.</w:t>
      </w:r>
    </w:p>
  </w:footnote>
  <w:footnote w:id="523">
    <w:p w:rsidR="00431229" w:rsidRDefault="00431229" w:rsidP="00CA1D96">
      <w:pPr>
        <w:pStyle w:val="footnote"/>
      </w:pPr>
      <w:r>
        <w:rPr>
          <w:vertAlign w:val="superscript"/>
        </w:rPr>
        <w:footnoteRef/>
      </w:r>
      <w:r>
        <w:t xml:space="preserve">108 USPQ2d 1785 (S.D.N.Y. 2013). </w:t>
      </w:r>
    </w:p>
  </w:footnote>
  <w:footnote w:id="524">
    <w:p w:rsidR="00431229" w:rsidRDefault="00431229" w:rsidP="00CA1D96">
      <w:pPr>
        <w:pStyle w:val="footnote"/>
      </w:pPr>
      <w:r>
        <w:rPr>
          <w:vertAlign w:val="superscript"/>
        </w:rPr>
        <w:footnoteRef/>
      </w:r>
      <w:r>
        <w:rPr>
          <w:i/>
          <w:iCs/>
        </w:rPr>
        <w:t>Id</w:t>
      </w:r>
      <w:r>
        <w:t xml:space="preserve">. at 1793. </w:t>
      </w:r>
      <w:r>
        <w:rPr>
          <w:i/>
          <w:iCs/>
        </w:rPr>
        <w:t>Accord</w:t>
      </w:r>
      <w:r>
        <w:t xml:space="preserve"> Deep Foods, Inc. v. Deep Foods, Inc., 419 F. Supp. 3d 569, 585-86 (W.D.N.Y. 2019) (dismissing complaint, finding no allegations of inferiority of goods); Eleutian Tech., Inc. v. Ellucian Co., 2017 U.S. Dist. LEXIS 25589, at *17–21 (D. Utah Feb. 21, 2017) (dismissing allegations of tarnishment under federal and Utah law as conclusory, but with leave to amend). </w:t>
      </w:r>
    </w:p>
  </w:footnote>
  <w:footnote w:id="525">
    <w:p w:rsidR="00431229" w:rsidRDefault="00431229" w:rsidP="001C0FAE">
      <w:pPr>
        <w:pStyle w:val="FootnoteText"/>
      </w:pPr>
      <w:r>
        <w:rPr>
          <w:rStyle w:val="FootnoteReference"/>
          <w:rFonts w:eastAsiaTheme="majorEastAsia"/>
        </w:rPr>
        <w:footnoteRef/>
      </w:r>
      <w:r>
        <w:t xml:space="preserve"> </w:t>
      </w:r>
      <w:r w:rsidRPr="00281C1D">
        <w:t>2021 WL 1750174</w:t>
      </w:r>
      <w:r>
        <w:t xml:space="preserve">, </w:t>
      </w:r>
      <w:r w:rsidRPr="001C0FAE">
        <w:t>2021 BL 164398</w:t>
      </w:r>
      <w:r w:rsidRPr="00281C1D">
        <w:t xml:space="preserve"> (E.D. Mo. May 4, 2021)</w:t>
      </w:r>
      <w:r>
        <w:t>.</w:t>
      </w:r>
    </w:p>
  </w:footnote>
  <w:footnote w:id="526">
    <w:p w:rsidR="00431229" w:rsidRPr="00281C1D" w:rsidRDefault="00431229">
      <w:pPr>
        <w:pStyle w:val="FootnoteText"/>
      </w:pPr>
      <w:r>
        <w:rPr>
          <w:rStyle w:val="FootnoteReference"/>
          <w:rFonts w:eastAsiaTheme="majorEastAsia"/>
        </w:rPr>
        <w:footnoteRef/>
      </w:r>
      <w:r>
        <w:t xml:space="preserve"> </w:t>
      </w:r>
      <w:r>
        <w:rPr>
          <w:i/>
          <w:iCs/>
        </w:rPr>
        <w:t>Id</w:t>
      </w:r>
      <w:r>
        <w:t>. at *7.</w:t>
      </w:r>
    </w:p>
  </w:footnote>
  <w:footnote w:id="527">
    <w:p w:rsidR="00431229" w:rsidRPr="00127AF1" w:rsidRDefault="00431229" w:rsidP="001C0FAE">
      <w:pPr>
        <w:pStyle w:val="FootnoteText"/>
      </w:pPr>
      <w:r>
        <w:rPr>
          <w:rStyle w:val="FootnoteReference"/>
          <w:rFonts w:eastAsiaTheme="majorEastAsia"/>
        </w:rPr>
        <w:footnoteRef/>
      </w:r>
      <w:r w:rsidRPr="00C4457D">
        <w:rPr>
          <w:lang w:val="da-DK"/>
        </w:rPr>
        <w:t xml:space="preserve"> 2022 WL 605724</w:t>
      </w:r>
      <w:r>
        <w:rPr>
          <w:lang w:val="da-DK"/>
        </w:rPr>
        <w:t xml:space="preserve">, </w:t>
      </w:r>
      <w:r w:rsidRPr="001C0FAE">
        <w:t>2022 BL 24684</w:t>
      </w:r>
      <w:r w:rsidRPr="00C4457D">
        <w:rPr>
          <w:lang w:val="da-DK"/>
        </w:rPr>
        <w:t xml:space="preserve"> (D. Del. Jan. 25, 2022).</w:t>
      </w:r>
    </w:p>
  </w:footnote>
  <w:footnote w:id="528">
    <w:p w:rsidR="00431229" w:rsidRPr="00C4457D" w:rsidRDefault="00431229">
      <w:pPr>
        <w:pStyle w:val="FootnoteText"/>
        <w:rPr>
          <w:lang w:val="da-DK"/>
        </w:rPr>
      </w:pPr>
      <w:r>
        <w:rPr>
          <w:rStyle w:val="FootnoteReference"/>
          <w:rFonts w:eastAsiaTheme="majorEastAsia"/>
        </w:rPr>
        <w:footnoteRef/>
      </w:r>
      <w:r w:rsidRPr="00C4457D">
        <w:rPr>
          <w:lang w:val="da-DK"/>
        </w:rPr>
        <w:t xml:space="preserve"> </w:t>
      </w:r>
      <w:r w:rsidRPr="00C4457D">
        <w:rPr>
          <w:i/>
          <w:iCs/>
          <w:lang w:val="da-DK"/>
        </w:rPr>
        <w:t>Id</w:t>
      </w:r>
      <w:r w:rsidRPr="00C4457D">
        <w:rPr>
          <w:lang w:val="da-DK"/>
        </w:rPr>
        <w:t>. at *19.</w:t>
      </w:r>
    </w:p>
  </w:footnote>
  <w:footnote w:id="529">
    <w:p w:rsidR="00431229" w:rsidRPr="006662F5" w:rsidRDefault="00431229">
      <w:pPr>
        <w:pStyle w:val="footnote"/>
      </w:pPr>
      <w:r w:rsidRPr="006662F5">
        <w:rPr>
          <w:vertAlign w:val="superscript"/>
        </w:rPr>
        <w:footnoteRef/>
      </w:r>
      <w:r w:rsidRPr="006662F5">
        <w:t xml:space="preserve">Under the TDRA, the Sixth Circuit has formalized this presumption in sexually oriented tarnishment cases. V Secret Catalogue, Inc. v. Moseley, 605 F.3d 382, 387–89, 95 USPQ2d 1050 (6th Cir. 2010), </w:t>
      </w:r>
      <w:r w:rsidRPr="006662F5">
        <w:rPr>
          <w:i/>
          <w:iCs/>
        </w:rPr>
        <w:t>cert</w:t>
      </w:r>
      <w:r w:rsidRPr="006662F5">
        <w:t>.</w:t>
      </w:r>
      <w:r w:rsidRPr="006662F5">
        <w:rPr>
          <w:i/>
          <w:iCs/>
        </w:rPr>
        <w:t xml:space="preserve"> denied</w:t>
      </w:r>
      <w:r w:rsidRPr="006662F5">
        <w:t>, 131 S. Ct. 1003 (2011).</w:t>
      </w:r>
    </w:p>
  </w:footnote>
  <w:footnote w:id="530">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Hormel Foods Corp. v. Jim Henson Prods., Inc., 73 F.3d 497, 508, 37 USPQ2d 1516 (2d Cir. 1996) (citing lack of evidence as a factor); </w:t>
      </w:r>
      <w:r>
        <w:t xml:space="preserve">Margel v. E.G.L. Gem Lab Ltd., 2015 WL 13678930, at *11 (S.D.N.Y. Sept. 10, 2015) (rejecting tarnishment claim for lack of evidence of harm to the mark); </w:t>
      </w:r>
      <w:r w:rsidRPr="006662F5">
        <w:t xml:space="preserve">Anheuser-Busch, Inc. v. VIP Prods., Inc., 666 F. Supp. 2d 974, 988 (E.D. Mo. 2008) (the court noted an absence of evidence of harm to the mark when it rejected a tarnishment claim); Caterpillar, Inc. v. Walt Disney Co., 287 F. Supp. 2d 913, 922, 68 USPQ2d 1461 (C.D. Ill. 2003) (no evidence that viewers of movie would attribute bad acts of Caterpillar user to the company); Wham-O, Inc. v. Paramount Pictures Corp., 286 F. Supp. 2d 1254, 1261, 68 USPQ2d 1841 (N.D. Cal. 2003) (same); Tommy Hilfiger Licensing, Inc. v. Nature Labs, LLC, 221 F. Supp. 2d 410, 422 (S.D.N.Y. 2002) (no tarnishment found; parody may </w:t>
      </w:r>
      <w:r w:rsidRPr="006662F5">
        <w:rPr>
          <w:i/>
          <w:iCs/>
        </w:rPr>
        <w:t>increase</w:t>
      </w:r>
      <w:r w:rsidRPr="006662F5">
        <w:t xml:space="preserve"> trademark recognition); New York Stock Exch., Inc. v. New York, N.Y. Hotel, LLC, 69 F. Supp. 2d 479, 492, 52 USPQ2d 1884 (S.D.N.Y. 1999) (no evidence of tarnishment; parody may </w:t>
      </w:r>
      <w:r w:rsidRPr="006662F5">
        <w:rPr>
          <w:i/>
          <w:iCs/>
        </w:rPr>
        <w:t>increase</w:t>
      </w:r>
      <w:r w:rsidRPr="006662F5">
        <w:t xml:space="preserve"> trademark recognition), </w:t>
      </w:r>
      <w:r w:rsidRPr="006662F5">
        <w:rPr>
          <w:i/>
          <w:iCs/>
        </w:rPr>
        <w:t>aff’d in part and rev’d in part</w:t>
      </w:r>
      <w:r w:rsidRPr="006662F5">
        <w:t>, 293 F.3d 550, 62 USPQ2d 1260 (2d Cir. 2002) (the Second Circuit ultimately reversed the grant of summary judgment on the tarnishment claim); Clinique Labs., Inc. v. Dep Corp., 945 F. Supp. 547, 562 (S.D.N.Y. 1996) (no tarnishment shown by poor quality products); Graham Webb Int’l Ltd. P’ship v. Emporium Drug Mart, Inc., 916 F. Supp. 909, 918 (E.D. Ark. 1995) (unauthorized sale of goods; court rejects dilution, finding no evidence of harm); Schiefflin &amp; Co. v. Jack Co. of Boca, Inc., 850 F. Supp. 232, 251, 31 USPQ2d 1865 (S.D.N.Y. 1994) (Dom Popignon does not tarnish Dom Perignon; court cites lack of evidence of harm); Stern’s Miracle-Gro Prods., Inc. v. Shark Prods., Inc., 823 F. Supp. 1077, 1091–92, 27 USPQ2d 1267 (S.D.N.Y. 1993) (rejecting tarnishment for lack of evidence, but finding blurring); Black Dog Tavern Co. v. Hall, 823 F. Supp. 48, 59, 28 USPQ2d 1173 (D. Mass. 1993) (lack of evidence of dilution); Tetley, Inc. v. Topps Chewing Gum, Inc., 556 F. Supp. 785, 794, 217 USPQ 1128 (E.D.N.Y. 1983) (citing lack of evidence of tarnishment).</w:t>
      </w:r>
    </w:p>
  </w:footnote>
  <w:footnote w:id="531">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Stop the Olympic Prison v. U.S. Olympic Comm., 489 F. Supp. 1112, 1126, 207 USPQ 237 (S.D.N.Y. 1980).</w:t>
      </w:r>
    </w:p>
  </w:footnote>
  <w:footnote w:id="532">
    <w:p w:rsidR="00431229" w:rsidRPr="006662F5" w:rsidRDefault="00431229">
      <w:pPr>
        <w:pStyle w:val="footnote"/>
      </w:pPr>
      <w:r w:rsidRPr="006662F5">
        <w:rPr>
          <w:vertAlign w:val="superscript"/>
        </w:rPr>
        <w:footnoteRef/>
      </w:r>
      <w:r w:rsidRPr="006662F5">
        <w:t>537 U.S. 418, 65 USPQ2d 1801 (2003).</w:t>
      </w:r>
    </w:p>
  </w:footnote>
  <w:footnote w:id="533">
    <w:p w:rsidR="00431229" w:rsidRPr="006662F5" w:rsidRDefault="00431229">
      <w:pPr>
        <w:pStyle w:val="footnote"/>
      </w:pPr>
      <w:r w:rsidRPr="006662F5">
        <w:rPr>
          <w:vertAlign w:val="superscript"/>
        </w:rPr>
        <w:footnoteRef/>
      </w:r>
      <w:r w:rsidRPr="006662F5">
        <w:rPr>
          <w:i/>
          <w:iCs/>
        </w:rPr>
        <w:t>See</w:t>
      </w:r>
      <w:r w:rsidRPr="006662F5">
        <w:t xml:space="preserve"> Scott Fetzer Co. v. Gehring, 288 F. Supp. 2d 696, 701 n.7, 702 n.9 (E.D. Pa. 2003) (Pennsylvania law, worded like the original FTDA, to be interpreted same way); </w:t>
      </w:r>
      <w:r w:rsidRPr="006662F5">
        <w:rPr>
          <w:i/>
          <w:iCs/>
        </w:rPr>
        <w:t>cf</w:t>
      </w:r>
      <w:r w:rsidRPr="006662F5">
        <w:t xml:space="preserve">. Four Seasons Hotels &amp; Resorts B.V. v. Consorcio Barr, S.A., 267 F. Supp. 2d 1268, 1332 (S.D. Fla. 2003) (actual harm shown in claim under original FTDA; liability also found under Florida dilution law, then worded like the 1964 Model Bill). In </w:t>
      </w:r>
      <w:r w:rsidRPr="006662F5">
        <w:rPr>
          <w:i/>
          <w:iCs/>
        </w:rPr>
        <w:t>Four Seasons</w:t>
      </w:r>
      <w:r w:rsidRPr="006662F5">
        <w:t xml:space="preserve">, the court did not address the issue of whether tarnishment was a viable claim after </w:t>
      </w:r>
      <w:r w:rsidRPr="006662F5">
        <w:rPr>
          <w:i/>
          <w:iCs/>
        </w:rPr>
        <w:t>Moseley</w:t>
      </w:r>
      <w:r w:rsidRPr="006662F5">
        <w:t xml:space="preserve">. However, the TDRA makes clear that “dilution by tarnishment” claims are now actionable under federal law and that the appropriate standard is “likelihood” of dilution, not actual dilution. </w:t>
      </w:r>
    </w:p>
  </w:footnote>
  <w:footnote w:id="534">
    <w:p w:rsidR="00431229" w:rsidRPr="006662F5" w:rsidRDefault="00431229" w:rsidP="001C0FAE">
      <w:pPr>
        <w:pStyle w:val="footnote"/>
      </w:pPr>
      <w:r w:rsidRPr="006662F5">
        <w:rPr>
          <w:vertAlign w:val="superscript"/>
        </w:rPr>
        <w:footnoteRef/>
      </w:r>
      <w:r w:rsidRPr="006662F5">
        <w:rPr>
          <w:i/>
          <w:iCs/>
        </w:rPr>
        <w:t>See</w:t>
      </w:r>
      <w:r w:rsidRPr="006662F5">
        <w:t xml:space="preserve"> </w:t>
      </w:r>
      <w:r w:rsidRPr="006662F5">
        <w:rPr>
          <w:smallCaps/>
        </w:rPr>
        <w:t>Restatement (Third) of Unfair Competition</w:t>
      </w:r>
      <w:r w:rsidRPr="006662F5">
        <w:t xml:space="preserve"> §25 cmt. f (1995) (the mental state required for dilution “is not that which serves as the basis for liability for trademark infringement”); </w:t>
      </w:r>
      <w:r w:rsidRPr="00AD7BE9">
        <w:t>Fischer &amp; Frichtel Custom Homes, LLC v. Fischer Management, LLC</w:t>
      </w:r>
      <w:r>
        <w:t>,</w:t>
      </w:r>
      <w:r w:rsidRPr="00281C1D">
        <w:t xml:space="preserve"> 2021 WL 1750174, at *7</w:t>
      </w:r>
      <w:r>
        <w:t xml:space="preserve">, </w:t>
      </w:r>
      <w:r w:rsidRPr="001C0FAE">
        <w:t>2021 BL 164398</w:t>
      </w:r>
      <w:r w:rsidRPr="00281C1D">
        <w:t xml:space="preserve"> (E.D. Mo. May 4, 2021)</w:t>
      </w:r>
      <w:r>
        <w:t xml:space="preserve"> (“</w:t>
      </w:r>
      <w:r>
        <w:rPr>
          <w:rFonts w:ascii="TimesNewRomanPSMT" w:hAnsi="TimesNewRomanPSMT" w:cs="TimesNewRomanPSMT"/>
        </w:rPr>
        <w:t>[d]ilution cannot be shown by simply demonstrating likelihood of confusion”)</w:t>
      </w:r>
      <w:r>
        <w:t xml:space="preserve">; </w:t>
      </w:r>
      <w:r w:rsidRPr="006662F5">
        <w:t>Freedom Calls Found. v. Bukstel, 2006 WL 845509, at *14 &amp; n.15</w:t>
      </w:r>
      <w:r>
        <w:t xml:space="preserve">, </w:t>
      </w:r>
      <w:r w:rsidRPr="001C0FAE">
        <w:t>2006 BL 3739</w:t>
      </w:r>
      <w:r w:rsidRPr="006662F5">
        <w:t xml:space="preserve"> (E.D.N.Y. Mar. 3, 2006) (noting that confusion “may be inconsistent with” dilution).</w:t>
      </w:r>
    </w:p>
  </w:footnote>
  <w:footnote w:id="535">
    <w:p w:rsidR="00431229" w:rsidRPr="006662F5" w:rsidRDefault="00431229">
      <w:pPr>
        <w:pStyle w:val="footnote"/>
      </w:pPr>
      <w:r w:rsidRPr="006662F5">
        <w:rPr>
          <w:vertAlign w:val="superscript"/>
        </w:rPr>
        <w:footnoteRef/>
      </w:r>
      <w:r w:rsidRPr="006662F5">
        <w:t>Conceivably, confusion could harm the mark’s reputation by associating it with poor-quality goods or other undesirable traits. That would technically fit the TDRA’s and the 2007 Model Bill’s definition of dilution by tarnishment. See Chapter 9, §§II.E and F, for a discussion of this issue under the TDRA.</w:t>
      </w:r>
    </w:p>
  </w:footnote>
  <w:footnote w:id="536">
    <w:p w:rsidR="00431229" w:rsidRPr="006662F5" w:rsidRDefault="00431229">
      <w:pPr>
        <w:pStyle w:val="footnote"/>
      </w:pPr>
      <w:r w:rsidRPr="006662F5">
        <w:rPr>
          <w:vertAlign w:val="superscript"/>
        </w:rPr>
        <w:footnoteRef/>
      </w:r>
      <w:r w:rsidRPr="006662F5">
        <w:t>If the associated goods produced by another are of low quality, that may cause tarnishment. That issue is discussed in §IV.B. in this chapter.</w:t>
      </w:r>
    </w:p>
  </w:footnote>
  <w:footnote w:id="537">
    <w:p w:rsidR="00431229" w:rsidRPr="006662F5" w:rsidRDefault="00431229" w:rsidP="00A34C93">
      <w:pPr>
        <w:pStyle w:val="footnote"/>
      </w:pPr>
      <w:r w:rsidRPr="006662F5">
        <w:rPr>
          <w:vertAlign w:val="superscript"/>
        </w:rPr>
        <w:footnoteRef/>
      </w:r>
      <w:r w:rsidRPr="006662F5">
        <w:rPr>
          <w:i/>
          <w:iCs/>
        </w:rPr>
        <w:t>E</w:t>
      </w:r>
      <w:r w:rsidRPr="006662F5">
        <w:t>.</w:t>
      </w:r>
      <w:r w:rsidRPr="006662F5">
        <w:rPr>
          <w:i/>
          <w:iCs/>
        </w:rPr>
        <w:t>g</w:t>
      </w:r>
      <w:r w:rsidRPr="006662F5">
        <w:t xml:space="preserve">., Babbit Elecs. Inc. v. Dynascan Corp., 38 F.3d 1161, 1182, 33 USPQ2d 1001 (11th Cir. 1994); Pignons S.A. de Mecanique de Precision v. Polaroid Corp., 657 F.2d 482, 494–95, 212 USPQ 246 (1st Cir. 1981); James Burrough, Ltd. v. Sign of Beefeater, Inc., 540 F.2d 266, 274 n.16, 192 USPQ 555 (7th Cir. 1976); </w:t>
      </w:r>
      <w:r w:rsidRPr="00BB06F1">
        <w:t>J-B Weld Co. v. Gorilla Glue Co., 2018 WL 6356768, at *4 n.1</w:t>
      </w:r>
      <w:r>
        <w:t xml:space="preserve">, </w:t>
      </w:r>
      <w:r w:rsidRPr="00A34C93">
        <w:t>2018 BL 498280</w:t>
      </w:r>
      <w:r w:rsidRPr="00BB06F1">
        <w:t xml:space="preserve"> (N.D. Ga. Oct. 17, 2018) (stating that Georgia trademark law (including dilution) is coterminous with federal law, but only referring to likelihood of confusion); Treasury Mgmt. Servs., Inc. v. Wall Str. Sys. Del., Inc., 2017 WL 1821114, at *5,</w:t>
      </w:r>
      <w:r w:rsidRPr="00E27120">
        <w:rPr>
          <w:rFonts w:ascii="Arial" w:eastAsia="Times New Roman" w:hAnsi="Arial" w:cs="Arial"/>
          <w:color w:val="292E31"/>
        </w:rPr>
        <w:t xml:space="preserve"> </w:t>
      </w:r>
      <w:r w:rsidRPr="00E27120">
        <w:t>2017 BL 150614</w:t>
      </w:r>
      <w:r>
        <w:t>,</w:t>
      </w:r>
      <w:r w:rsidRPr="00BB06F1">
        <w:t xml:space="preserve"> 123 USPQ2d 1357 (D. Del. May 5, 2017) (denying motion to dismiss, assuming confusion would satisfy Delaware dilution law); Russell Rd. Food &amp; Beverage, LLC v. Galam, 180 F. Supp. 3d 724, 743 (D. Nev. 2016) (interpreting Nevada law); A.M. Surgical, Inc. v. Akhtar, 2016 WL 11543560, at *8</w:t>
      </w:r>
      <w:r>
        <w:t xml:space="preserve">, </w:t>
      </w:r>
      <w:r w:rsidRPr="00E27120">
        <w:t>2016 BL 126483</w:t>
      </w:r>
      <w:r w:rsidRPr="00BB06F1">
        <w:t xml:space="preserve"> (E.D.N.Y. Apr. 19, 2016) (in default setting, treating allegations of confusion as causing dilution by blurring and injury to business reputation under New York law); 165 Park Row, Inc. v. JHR Dev., LLC, 2014 U.S. Dist. LEXIS 13575, at *8 n.3 (D. Me. Feb. 4, 2014) (the parties treated the Maine dilution claim as coterminous with infringement claims under both Maine and federal law); </w:t>
      </w:r>
      <w:r w:rsidRPr="006662F5">
        <w:t xml:space="preserve">Community of Christ Copyright Corp. v. Devon Park Restoration, 683 F. Supp. 2d 1006, 1016, 94 USPQ2d 1533 (W.D. Mo. 2010) (“Defendants’ continued use of the marks-in-suit will adversely affect the distinctiveness of those marks, thereby causing members of the public to have difficulty distinguishing Defendants’ services from Plaintiffs’ services.”), </w:t>
      </w:r>
      <w:r w:rsidRPr="006662F5">
        <w:rPr>
          <w:i/>
          <w:iCs/>
        </w:rPr>
        <w:t>aff’d</w:t>
      </w:r>
      <w:r w:rsidRPr="006662F5">
        <w:t>, 634 F.3d 1005, 98 USPQ2d 1167 (8th Cir. 2011);</w:t>
      </w:r>
      <w:r w:rsidRPr="00BB06F1">
        <w:rPr>
          <w:rFonts w:eastAsiaTheme="minorEastAsia"/>
          <w:sz w:val="24"/>
          <w:szCs w:val="22"/>
        </w:rPr>
        <w:t xml:space="preserve"> </w:t>
      </w:r>
      <w:r w:rsidRPr="00BB06F1">
        <w:t xml:space="preserve">Venture Tape Corp. v. McGill’s Glass Warehouse, 2006 U.S. Dist. LEXIS 101417, at *12 (D. Mass. Apr. 10, 2006) (treating confusion as sufficient to satisfy the Massachusetts dilution statute), </w:t>
      </w:r>
      <w:r w:rsidRPr="00BB06F1">
        <w:rPr>
          <w:i/>
          <w:iCs/>
        </w:rPr>
        <w:t>aff’d</w:t>
      </w:r>
      <w:r w:rsidRPr="00BB06F1">
        <w:t>, 540 F.3d 56, 88 USPQ2d 1051 (1st Cir. 2008) (the court of appeals did not discuss dilution);</w:t>
      </w:r>
      <w:r w:rsidRPr="006662F5">
        <w:t xml:space="preserve"> Southeastern La. Entm’t v. Hollywood Entm’t Corp., 56 USPQ2d 1688, 1691 (E.D. La. 2000) (FTDA case: stipulation of confusion ends dilution inquiry); Tri-Star Pictures, Inc. v. Unger, 14 F. Supp. 2d 339, 363 (S.D.N.Y. 1998); Lane Capital Mgmt., Inc. v. Lane Capital Mgmt., Inc., 15 F. Supp. 2d 389, 400 (S.D.N.Y. 1998), </w:t>
      </w:r>
      <w:r w:rsidRPr="006662F5">
        <w:rPr>
          <w:i/>
          <w:iCs/>
        </w:rPr>
        <w:t>aff’d</w:t>
      </w:r>
      <w:r w:rsidRPr="006662F5">
        <w:t>, 192 F.3d 337, 52 USPQ2d 1094 (2d Cir. 1999) (dilution not discussed on appeal); Bellsouth Corp. v. Internet Classifieds of Ohio, 1997 WL 33107251, at *23 (N.D. Ga. Nov. 12, 1997)</w:t>
      </w:r>
      <w:r w:rsidRPr="006662F5">
        <w:rPr>
          <w:b/>
          <w:bCs/>
        </w:rPr>
        <w:t xml:space="preserve"> </w:t>
      </w:r>
      <w:r w:rsidRPr="006662F5">
        <w:t xml:space="preserve">(“a showing of likelihood of confusion is sufficient to demonstrate the dilution of a trademark”); Sherwood Ford, Inc. v. Ford Motor Co., 875 F. Supp. 590, 594 (E.D. Mo. 1995) (same set of facts demonstrates both confusion and dilution); Philip Morris, Inc. v. Star Tobacco Corp., 879 F. Supp. 379, 389, 35 USPQ2d 1178 (S.D.N.Y. 1995); Nelson/Weather-Rite, Inc. v. Leatherman Tool Grp., Inc., 40 USPQ2d 1239, 1244 (N.D. Ill. 1995) (stating that “a trade dress that is likely to confuse is necessarily one that is likely to dilute”); Kraft Gen. Foods, Inc. v. Allied Old English, Inc., 831 F. Supp. 123, 134, 31 USPQ2d 1094 (S.D.N.Y. 1993); Saks &amp; Co. v. Hill, 843 F. Supp. 620, 624, 29 USPQ2d 1941 (S.D. Cal. 1993); Emerson Elec. Co. v. Emerson Quiet Kool Corp., 577 F. Supp. 668, 679, 221 USPQ 782 (E.D. Mo. 1983) (confusion constitutes dilution); Skil Corp. v. Barnet, 150 N.E.2d 551, 555, 117 USPQ 461 (Sup. Jud. Ct. Mass. 1958) (stating that “any possibility that the defendant may confuse the public as to the source of the goods sold by him may be given consideration”); </w:t>
      </w:r>
      <w:r w:rsidRPr="00BB06F1">
        <w:t>Cold Spring Constr., Inc. v. Cold Spring Builders, Inc., 45 Misc. 3d 1222(A), 5 N.Y.S.3d 327 (Sup. Ct. Suffolk Co. 2014) (seemingly requiring confusion);</w:t>
      </w:r>
      <w:r>
        <w:t xml:space="preserve"> </w:t>
      </w:r>
      <w:r w:rsidRPr="006662F5">
        <w:t>Blaich Assocs., Inc. v. Coach/Blaich Real Estate of Manhasset, Inc., 719 N.Y.S.2d 820, 822 (Sup. Ct. Nassau Co. 2000);</w:t>
      </w:r>
      <w:r w:rsidRPr="006662F5">
        <w:rPr>
          <w:i/>
          <w:iCs/>
        </w:rPr>
        <w:t xml:space="preserve"> see</w:t>
      </w:r>
      <w:r w:rsidRPr="006662F5">
        <w:t xml:space="preserve"> Bebe Stores, Inc. v. May Dep’t Stores Int’l, Inc., 230 F. Supp. 2d 980, 991 (E.D. Mo.) (describing dilution under Missouri law as a lesser burden than confusion under the Lanham Act), </w:t>
      </w:r>
      <w:r w:rsidRPr="006662F5">
        <w:rPr>
          <w:i/>
          <w:iCs/>
        </w:rPr>
        <w:t>aff’d in part, remanded in part</w:t>
      </w:r>
      <w:r w:rsidRPr="006662F5">
        <w:t xml:space="preserve">, 313 F.3d 1056 (8th Cir. 2002) (the court of appeals did not discuss the dilution issue); </w:t>
      </w:r>
      <w:r w:rsidRPr="006662F5">
        <w:rPr>
          <w:i/>
          <w:iCs/>
        </w:rPr>
        <w:t>see also</w:t>
      </w:r>
      <w:r w:rsidRPr="006662F5">
        <w:t xml:space="preserve"> Planetary Motion, Inc. v. Techsplosion Inc., 261 F.3d 1188, 59 USPQ2d 1894 (11th Cir. 2001) (district court enjoined dilution under Florida law and the court of appeals apparently affirmed a dilution injunction, though only discussed confusion). </w:t>
      </w:r>
      <w:r w:rsidRPr="006662F5">
        <w:rPr>
          <w:i/>
          <w:iCs/>
        </w:rPr>
        <w:t>But see</w:t>
      </w:r>
      <w:r w:rsidRPr="006662F5">
        <w:t xml:space="preserve"> Star Mkts., Ltd. v. Texaco, Inc., 950 F. Supp. 1030, 1037 (D. Haw. 1996) (stating that “a finding of trademark dilution does not necessarily flow from a finding of trademark infringement”).</w:t>
      </w:r>
    </w:p>
  </w:footnote>
  <w:footnote w:id="538">
    <w:p w:rsidR="00431229" w:rsidRPr="006662F5" w:rsidRDefault="00431229">
      <w:pPr>
        <w:pStyle w:val="footnote"/>
      </w:pPr>
      <w:r w:rsidRPr="006662F5">
        <w:rPr>
          <w:vertAlign w:val="superscript"/>
        </w:rPr>
        <w:footnoteRef/>
      </w:r>
      <w:r w:rsidRPr="006662F5">
        <w:t xml:space="preserve">Dreyfus Fund, Inc. v. Royal Bank of Can., 525 F. Supp. 1108, 1125, 213 USPQ 872 (S.D.N.Y. 1981); </w:t>
      </w:r>
      <w:r w:rsidRPr="006662F5">
        <w:rPr>
          <w:i/>
          <w:iCs/>
        </w:rPr>
        <w:t>see</w:t>
      </w:r>
      <w:r w:rsidRPr="006662F5">
        <w:t xml:space="preserve"> Nabisco, Inc. v. PF Brands, Inc., 191 F.3d 208, 219, 51 USPQ2d 1882 (2d Cir. 1999) (“Consumer confusion would undoubtedly dilute the distinctive selling power of a trademark.”).</w:t>
      </w:r>
    </w:p>
  </w:footnote>
  <w:footnote w:id="539">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E. Remy Martin &amp; Co., S.A. v. Shaw-Ross Int’l Imps., Inc., 756 F.2d 1525, 1534, 225 USPQ 1131 (11th Cir. 1985); Quabaug Rubber Co. v. Fabiano Shoe Co., 567 F.2d 154, 161 n.14, 195 USPQ 689 (1st Cir. 1977); Union Carbide Corp. v. Ever-Ready Inc., 531 F.2d 366, 389, 188 USPQ 623 (7th Cir.), </w:t>
      </w:r>
      <w:r w:rsidRPr="006662F5">
        <w:rPr>
          <w:i/>
          <w:iCs/>
        </w:rPr>
        <w:t>cert</w:t>
      </w:r>
      <w:r w:rsidRPr="006662F5">
        <w:t>.</w:t>
      </w:r>
      <w:r w:rsidRPr="006662F5">
        <w:rPr>
          <w:i/>
          <w:iCs/>
        </w:rPr>
        <w:t xml:space="preserve"> denied</w:t>
      </w:r>
      <w:r w:rsidRPr="006662F5">
        <w:t>, 429 U.S. 830, 191 USPQ 416 (1976); President &amp; Trustees of Colby Coll. v. Colby Coll.-N.H., 508 F.2d 804, 808 n.4, 185 USPQ 65 (1st Cir. 1975); OBH, Inc. v. Spotlight Magazine, Inc., 86 F. Supp. 2d 176, 197 n.12, 54 USPQ2d 1383 (W.D.N.Y. 2000); Nature’s Bounty, Inc. v. SuperX Drugs Corp., 490 F. Supp. 50, 55 n.6, 207 USPQ 263 (E.D.N.Y. 1980).</w:t>
      </w:r>
    </w:p>
  </w:footnote>
  <w:footnote w:id="540">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w:t>
      </w:r>
      <w:r w:rsidRPr="006662F5">
        <w:rPr>
          <w:smallCaps/>
        </w:rPr>
        <w:t>Kan. Stat. Ann.</w:t>
      </w:r>
      <w:r w:rsidRPr="006662F5">
        <w:t xml:space="preserve"> §81-202(k) (Supp. 2009) (definition of “dilution”); 765 </w:t>
      </w:r>
      <w:r w:rsidRPr="006662F5">
        <w:rPr>
          <w:smallCaps/>
        </w:rPr>
        <w:t>Ill. Comp. Stat. Ann.</w:t>
      </w:r>
      <w:r w:rsidRPr="006662F5">
        <w:t xml:space="preserve"> §1036/5(c) (West 2009) (same). The original FTDA definition was the same as these, but it was altered by the TDRA. The TDRA and 2007 Model Bill definitions of dilution by blurring (they separately define “dilution by blurring” and “dilution by tarnishment”) focus more on uniqueness, or distinctiveness, than the core source identifying function. </w:t>
      </w:r>
      <w:r w:rsidRPr="006662F5">
        <w:rPr>
          <w:i/>
          <w:iCs/>
        </w:rPr>
        <w:t>See</w:t>
      </w:r>
      <w:r w:rsidRPr="006662F5">
        <w:t xml:space="preserve"> Lanham Act §43(c)(2)(B), 15 U.S.C. §1125(c)(2)(B). Generic uses could cause the mark not to be a mark (and thus to be less “distinctive” in the technical trademark sense), though they do not “blur” in the sense of causing one to see the mark as identifying more than one source.</w:t>
      </w:r>
    </w:p>
  </w:footnote>
  <w:footnote w:id="541">
    <w:p w:rsidR="00431229" w:rsidRPr="006662F5" w:rsidRDefault="00431229">
      <w:pPr>
        <w:pStyle w:val="footnote"/>
      </w:pPr>
      <w:r w:rsidRPr="006662F5">
        <w:rPr>
          <w:vertAlign w:val="superscript"/>
        </w:rPr>
        <w:footnoteRef/>
      </w:r>
      <w:r w:rsidRPr="006662F5">
        <w:t>For example, at one time, television advertisements for Advil-brand ibuprofen referred to Tylenol as another kind of pain reliever in the manner of aspirin (as in “first there was aspirin, then Tylenol, now . . .”).</w:t>
      </w:r>
    </w:p>
  </w:footnote>
  <w:footnote w:id="542">
    <w:p w:rsidR="00431229" w:rsidRPr="006662F5" w:rsidRDefault="00431229">
      <w:pPr>
        <w:pStyle w:val="footnote"/>
      </w:pPr>
      <w:r w:rsidRPr="006662F5">
        <w:rPr>
          <w:vertAlign w:val="superscript"/>
        </w:rPr>
        <w:footnoteRef/>
      </w:r>
      <w:r w:rsidRPr="006662F5">
        <w:rPr>
          <w:i/>
          <w:iCs/>
        </w:rPr>
        <w:t>See</w:t>
      </w:r>
      <w:r w:rsidRPr="006662F5">
        <w:t xml:space="preserve"> Eventide Inc. v. DOD Elecs. Corp., 1995 WL 239044 (S.D.N.Y. Apr. 24, 1995) (use of plaintiff’s Harmonizer mark by defendant as a generic term for the device found diluting).</w:t>
      </w:r>
    </w:p>
  </w:footnote>
  <w:footnote w:id="543">
    <w:p w:rsidR="00431229" w:rsidRPr="006662F5" w:rsidRDefault="00431229">
      <w:pPr>
        <w:pStyle w:val="footnote"/>
      </w:pPr>
      <w:r w:rsidRPr="006662F5">
        <w:rPr>
          <w:vertAlign w:val="superscript"/>
        </w:rPr>
        <w:footnoteRef/>
      </w:r>
      <w:r w:rsidRPr="006662F5">
        <w:t xml:space="preserve">To the extent that the second user deceives or causes confusion among the public, a cause of action would exist for either trademark infringement or unfair competition. </w:t>
      </w:r>
      <w:r w:rsidRPr="006662F5">
        <w:rPr>
          <w:i/>
          <w:iCs/>
        </w:rPr>
        <w:t>See, e</w:t>
      </w:r>
      <w:r w:rsidRPr="006662F5">
        <w:t>.</w:t>
      </w:r>
      <w:r w:rsidRPr="006662F5">
        <w:rPr>
          <w:i/>
          <w:iCs/>
        </w:rPr>
        <w:t>g</w:t>
      </w:r>
      <w:r w:rsidRPr="006662F5">
        <w:t xml:space="preserve">., Ronson Corp. v. Mills Sales Co., 113 USPQ 356, 356 (Sup. Ct. N.Y. Co. 1957) (holding that sales of “Ronson-type” lighters could mislead or confuse the public, which might assume a connection between plaintiff’s products and defendant’s imitations). The issue is discussed at length in Walter J. Derenberg, </w:t>
      </w:r>
      <w:r w:rsidRPr="006662F5">
        <w:rPr>
          <w:i/>
          <w:iCs/>
        </w:rPr>
        <w:t>The Problem of Trademark Dilution and the Antidilution Statutes</w:t>
      </w:r>
      <w:r w:rsidRPr="006662F5">
        <w:t xml:space="preserve">, 44 </w:t>
      </w:r>
      <w:r w:rsidRPr="006662F5">
        <w:rPr>
          <w:smallCaps/>
        </w:rPr>
        <w:t>Cal. L. Rev.</w:t>
      </w:r>
      <w:r w:rsidRPr="006662F5">
        <w:t xml:space="preserve"> 439, 463–76 (1956).</w:t>
      </w:r>
    </w:p>
  </w:footnote>
  <w:footnote w:id="544">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Smith v. Chanel, Inc., 402 F.2d 562, 563, 159 USPQ 388 (9th Cir. 1968).</w:t>
      </w:r>
    </w:p>
  </w:footnote>
  <w:footnote w:id="545">
    <w:p w:rsidR="00431229" w:rsidRPr="006662F5" w:rsidRDefault="00431229">
      <w:pPr>
        <w:pStyle w:val="footnote"/>
      </w:pPr>
      <w:r w:rsidRPr="006662F5">
        <w:rPr>
          <w:vertAlign w:val="superscript"/>
        </w:rPr>
        <w:footnoteRef/>
      </w:r>
      <w:r w:rsidRPr="006662F5">
        <w:rPr>
          <w:i/>
          <w:iCs/>
        </w:rPr>
        <w:t>Id</w:t>
      </w:r>
      <w:r w:rsidRPr="006662F5">
        <w:t>. at 567.</w:t>
      </w:r>
    </w:p>
  </w:footnote>
  <w:footnote w:id="546">
    <w:p w:rsidR="00431229" w:rsidRPr="006662F5" w:rsidRDefault="00431229">
      <w:pPr>
        <w:pStyle w:val="footnote"/>
      </w:pPr>
      <w:r w:rsidRPr="006662F5">
        <w:rPr>
          <w:vertAlign w:val="superscript"/>
        </w:rPr>
        <w:footnoteRef/>
      </w:r>
      <w:r w:rsidRPr="006662F5">
        <w:t>705 F. Supp. 128, 9 USPQ2d 1882 (S.D.N.Y. 1988).</w:t>
      </w:r>
    </w:p>
  </w:footnote>
  <w:footnote w:id="547">
    <w:p w:rsidR="00431229" w:rsidRPr="006662F5" w:rsidRDefault="00431229">
      <w:pPr>
        <w:pStyle w:val="footnote"/>
      </w:pPr>
      <w:r w:rsidRPr="006662F5">
        <w:rPr>
          <w:vertAlign w:val="superscript"/>
        </w:rPr>
        <w:footnoteRef/>
      </w:r>
      <w:r w:rsidRPr="006662F5">
        <w:rPr>
          <w:i/>
          <w:iCs/>
        </w:rPr>
        <w:t>Id</w:t>
      </w:r>
      <w:r w:rsidRPr="006662F5">
        <w:t>. at 134.</w:t>
      </w:r>
    </w:p>
  </w:footnote>
  <w:footnote w:id="548">
    <w:p w:rsidR="00431229" w:rsidRPr="006662F5" w:rsidRDefault="00431229">
      <w:pPr>
        <w:pStyle w:val="footnote"/>
      </w:pPr>
      <w:r w:rsidRPr="006662F5">
        <w:rPr>
          <w:vertAlign w:val="superscript"/>
        </w:rPr>
        <w:footnoteRef/>
      </w:r>
      <w:r w:rsidRPr="000540A5">
        <w:rPr>
          <w:i/>
        </w:rPr>
        <w:t>See</w:t>
      </w:r>
      <w:r w:rsidRPr="006662F5">
        <w:t xml:space="preserve"> Chapter 10, §II.A.2.</w:t>
      </w:r>
    </w:p>
  </w:footnote>
  <w:footnote w:id="549">
    <w:p w:rsidR="00431229" w:rsidRPr="006662F5" w:rsidRDefault="00431229">
      <w:pPr>
        <w:pStyle w:val="footnote"/>
      </w:pPr>
      <w:r w:rsidRPr="006662F5">
        <w:rPr>
          <w:vertAlign w:val="superscript"/>
        </w:rPr>
        <w:footnoteRef/>
      </w:r>
      <w:r w:rsidRPr="006662F5">
        <w:t>705 F. Supp. at 134.</w:t>
      </w:r>
    </w:p>
  </w:footnote>
  <w:footnote w:id="550">
    <w:p w:rsidR="00431229" w:rsidRPr="006662F5" w:rsidRDefault="00431229">
      <w:pPr>
        <w:pStyle w:val="footnote"/>
      </w:pPr>
      <w:r w:rsidRPr="006662F5">
        <w:rPr>
          <w:vertAlign w:val="superscript"/>
        </w:rPr>
        <w:footnoteRef/>
      </w:r>
      <w:r w:rsidRPr="006662F5">
        <w:rPr>
          <w:smallCaps/>
        </w:rPr>
        <w:t>1996 Model Bill</w:t>
      </w:r>
      <w:r w:rsidRPr="006662F5">
        <w:t xml:space="preserve"> §13. The original version of the FTDA contained the same exclusion. Lanham Act §43(c)(4)(A), 15 U.S.C. §1125(c)(4)(A) (amended and renumbered by the Trademark Dilution Revision Act of 2006). The essence of the comparative advertising exclusion was retained in the 2006 amendments, although the scope and wording of the “fair use” exclusion was significantly altered (as well as being renumbered). </w:t>
      </w:r>
      <w:r w:rsidRPr="006662F5">
        <w:rPr>
          <w:i/>
          <w:iCs/>
        </w:rPr>
        <w:t>See</w:t>
      </w:r>
      <w:r w:rsidRPr="006662F5">
        <w:t xml:space="preserve"> Lanham Act §43(c)(3)(A)(i), 15 U.S.C. §1125(c)(3)(A)(i). The 2007 Model Bill adopted the TDRA version of the exclusion. 2007 </w:t>
      </w:r>
      <w:r w:rsidRPr="006662F5">
        <w:rPr>
          <w:smallCaps/>
        </w:rPr>
        <w:t>Model Bill</w:t>
      </w:r>
      <w:r w:rsidRPr="006662F5">
        <w:t xml:space="preserve"> §13(d)(1).</w:t>
      </w:r>
    </w:p>
  </w:footnote>
  <w:footnote w:id="551">
    <w:p w:rsidR="00431229" w:rsidRPr="006662F5" w:rsidRDefault="00431229">
      <w:pPr>
        <w:pStyle w:val="footnote"/>
      </w:pPr>
      <w:r w:rsidRPr="006662F5">
        <w:rPr>
          <w:vertAlign w:val="superscript"/>
        </w:rPr>
        <w:footnoteRef/>
      </w:r>
      <w:r w:rsidRPr="006662F5">
        <w:rPr>
          <w:smallCaps/>
        </w:rPr>
        <w:t>Ariz. Rev. Stat</w:t>
      </w:r>
      <w:r w:rsidRPr="006662F5">
        <w:t xml:space="preserve">. §44-1448.01 C.2. (West Supp. 2003); </w:t>
      </w:r>
      <w:r w:rsidRPr="006662F5">
        <w:rPr>
          <w:smallCaps/>
        </w:rPr>
        <w:t>Ark. Code Ann.</w:t>
      </w:r>
      <w:r w:rsidRPr="006662F5">
        <w:br/>
        <w:t xml:space="preserve">§4-71-213(c)(2) (LexisNexis 2001); </w:t>
      </w:r>
      <w:r w:rsidRPr="006662F5">
        <w:rPr>
          <w:smallCaps/>
        </w:rPr>
        <w:t>Fla. Stat. Ann. §495.151(3)(</w:t>
      </w:r>
      <w:r w:rsidRPr="006662F5">
        <w:t>b)</w:t>
      </w:r>
      <w:r w:rsidRPr="006662F5">
        <w:rPr>
          <w:smallCaps/>
        </w:rPr>
        <w:t xml:space="preserve"> </w:t>
      </w:r>
      <w:r w:rsidRPr="006662F5">
        <w:t xml:space="preserve">(West Supp. 2010); </w:t>
      </w:r>
      <w:r w:rsidRPr="006662F5">
        <w:rPr>
          <w:smallCaps/>
        </w:rPr>
        <w:t>Haw. Rev. Stat. Ann</w:t>
      </w:r>
      <w:r w:rsidRPr="006662F5">
        <w:t xml:space="preserve">. §482-32(8)(c) (LexisNexis 2005); 765 </w:t>
      </w:r>
      <w:r w:rsidRPr="006662F5">
        <w:rPr>
          <w:smallCaps/>
        </w:rPr>
        <w:t xml:space="preserve">Ill. Comp. </w:t>
      </w:r>
      <w:r w:rsidRPr="00C4457D">
        <w:rPr>
          <w:smallCaps/>
          <w:lang w:val="de-DE"/>
        </w:rPr>
        <w:t>Stat. Ann</w:t>
      </w:r>
      <w:r w:rsidRPr="00C4457D">
        <w:rPr>
          <w:lang w:val="de-DE"/>
        </w:rPr>
        <w:t xml:space="preserve">. §1036/65(b)(2) (West 2009); </w:t>
      </w:r>
      <w:r w:rsidRPr="00C4457D">
        <w:rPr>
          <w:smallCaps/>
          <w:lang w:val="de-DE"/>
        </w:rPr>
        <w:t>Ind. Code Ann</w:t>
      </w:r>
      <w:r w:rsidRPr="00C4457D">
        <w:rPr>
          <w:lang w:val="de-DE"/>
        </w:rPr>
        <w:t xml:space="preserve">. §24-2-1-13.5(e)(1) (LexisNexis 2006); </w:t>
      </w:r>
      <w:r w:rsidRPr="00C4457D">
        <w:rPr>
          <w:smallCaps/>
          <w:lang w:val="de-DE"/>
        </w:rPr>
        <w:t>Kan. Stat. Ann.</w:t>
      </w:r>
      <w:r w:rsidRPr="00C4457D">
        <w:rPr>
          <w:lang w:val="de-DE"/>
        </w:rPr>
        <w:t xml:space="preserve"> §81-214(c)(2) (Supp. 2009); </w:t>
      </w:r>
      <w:r w:rsidRPr="00C4457D">
        <w:rPr>
          <w:smallCaps/>
          <w:lang w:val="de-DE"/>
        </w:rPr>
        <w:t>Minn. Stat. Ann.</w:t>
      </w:r>
      <w:r w:rsidRPr="00C4457D">
        <w:rPr>
          <w:lang w:val="de-DE"/>
        </w:rPr>
        <w:t xml:space="preserve"> §333.285(c)(2) (West 2004); </w:t>
      </w:r>
      <w:r w:rsidRPr="00C4457D">
        <w:rPr>
          <w:smallCaps/>
          <w:lang w:val="de-DE"/>
        </w:rPr>
        <w:t xml:space="preserve">Mont. Code Ann. </w:t>
      </w:r>
      <w:r w:rsidRPr="00C4457D">
        <w:rPr>
          <w:lang w:val="sv-SE"/>
        </w:rPr>
        <w:t xml:space="preserve">§30-13-334(4)(a) (2007); </w:t>
      </w:r>
      <w:r w:rsidRPr="00C4457D">
        <w:rPr>
          <w:smallCaps/>
          <w:lang w:val="sv-SE"/>
        </w:rPr>
        <w:t>Neb. Rev. Stat.</w:t>
      </w:r>
      <w:r w:rsidRPr="00C4457D">
        <w:rPr>
          <w:lang w:val="sv-SE"/>
        </w:rPr>
        <w:t xml:space="preserve"> §87-140(3)(b) (LexisNexis 2007); </w:t>
      </w:r>
      <w:r w:rsidRPr="00C4457D">
        <w:rPr>
          <w:smallCaps/>
          <w:lang w:val="sv-SE"/>
        </w:rPr>
        <w:t>Nev. Rev. Stat. Ann.</w:t>
      </w:r>
      <w:r w:rsidRPr="00C4457D">
        <w:rPr>
          <w:lang w:val="sv-SE"/>
        </w:rPr>
        <w:t xml:space="preserve"> §600.435(4) (LexisNexis 2004); 54 </w:t>
      </w:r>
      <w:r w:rsidRPr="00C4457D">
        <w:rPr>
          <w:smallCaps/>
          <w:lang w:val="sv-SE"/>
        </w:rPr>
        <w:t>Pa. Cons. Stat. Ann.</w:t>
      </w:r>
      <w:r w:rsidRPr="00C4457D">
        <w:rPr>
          <w:lang w:val="sv-SE"/>
        </w:rPr>
        <w:t xml:space="preserve"> §1124 (West Supp. 2012); </w:t>
      </w:r>
      <w:r w:rsidRPr="00C4457D">
        <w:rPr>
          <w:smallCaps/>
          <w:lang w:val="sv-SE"/>
        </w:rPr>
        <w:t xml:space="preserve">Tenn. Code Ann. </w:t>
      </w:r>
      <w:r w:rsidRPr="00C4457D">
        <w:rPr>
          <w:lang w:val="sv-SE"/>
        </w:rPr>
        <w:t xml:space="preserve">§47-25-513(c)(2) (LexisNexis 2001); </w:t>
      </w:r>
      <w:r w:rsidRPr="00C4457D">
        <w:rPr>
          <w:smallCaps/>
          <w:lang w:val="sv-SE"/>
        </w:rPr>
        <w:t>Utah Code Ann.</w:t>
      </w:r>
      <w:r w:rsidRPr="00C4457D">
        <w:rPr>
          <w:lang w:val="sv-SE"/>
        </w:rPr>
        <w:t xml:space="preserve"> </w:t>
      </w:r>
      <w:r w:rsidRPr="006662F5">
        <w:t xml:space="preserve">§70-3a-403(5)(a) (West 2004); </w:t>
      </w:r>
      <w:r w:rsidRPr="006662F5">
        <w:rPr>
          <w:smallCaps/>
        </w:rPr>
        <w:t>Wash. Rev. Code Ann.</w:t>
      </w:r>
      <w:r w:rsidRPr="006662F5">
        <w:t xml:space="preserve"> §19.77.160(3)(a) (West Supp. 2012). </w:t>
      </w:r>
      <w:r w:rsidRPr="006662F5">
        <w:rPr>
          <w:i/>
          <w:iCs/>
        </w:rPr>
        <w:t>See</w:t>
      </w:r>
      <w:r w:rsidRPr="006662F5">
        <w:t xml:space="preserve"> 1996 </w:t>
      </w:r>
      <w:r w:rsidRPr="006662F5">
        <w:rPr>
          <w:smallCaps/>
        </w:rPr>
        <w:t>Model Bill</w:t>
      </w:r>
      <w:r w:rsidRPr="006662F5">
        <w:t xml:space="preserve"> §13. The 2007 Model Bill adopted the reworded version of the exclusion contained in the TDRA. 2007 </w:t>
      </w:r>
      <w:r w:rsidRPr="006662F5">
        <w:rPr>
          <w:smallCaps/>
        </w:rPr>
        <w:t>Model Bill</w:t>
      </w:r>
      <w:r w:rsidRPr="006662F5">
        <w:t xml:space="preserve"> §13(d)(1)(A). California, </w:t>
      </w:r>
      <w:r w:rsidRPr="006662F5">
        <w:rPr>
          <w:spacing w:val="-4"/>
        </w:rPr>
        <w:t xml:space="preserve">Mississippi, Oregon, Alabama, and Texas have adopted this version. </w:t>
      </w:r>
      <w:r w:rsidRPr="006662F5">
        <w:rPr>
          <w:smallCaps/>
          <w:spacing w:val="-4"/>
        </w:rPr>
        <w:t>Ala. Stat.</w:t>
      </w:r>
      <w:r w:rsidRPr="006662F5">
        <w:rPr>
          <w:spacing w:val="-4"/>
        </w:rPr>
        <w:t xml:space="preserve"> §8-12-17(d)(1)</w:t>
      </w:r>
      <w:r w:rsidRPr="006662F5">
        <w:rPr>
          <w:spacing w:val="-2"/>
        </w:rPr>
        <w:t xml:space="preserve"> </w:t>
      </w:r>
      <w:r w:rsidRPr="006662F5">
        <w:t xml:space="preserve">(2010); </w:t>
      </w:r>
      <w:r w:rsidRPr="006662F5">
        <w:rPr>
          <w:smallCaps/>
        </w:rPr>
        <w:t>Cal. Bus. &amp; Prof. Code</w:t>
      </w:r>
      <w:r w:rsidRPr="006662F5">
        <w:t xml:space="preserve"> §14247(b)(1)(A) (West 2008); </w:t>
      </w:r>
      <w:r w:rsidRPr="006662F5">
        <w:rPr>
          <w:smallCaps/>
        </w:rPr>
        <w:t>Miss. Code Ann</w:t>
      </w:r>
      <w:r w:rsidRPr="006662F5">
        <w:t xml:space="preserve">. §75-25-25(d)(1) (West Supp. 2011); </w:t>
      </w:r>
      <w:r w:rsidRPr="006662F5">
        <w:rPr>
          <w:smallCaps/>
        </w:rPr>
        <w:t>Or. Rev. Stat</w:t>
      </w:r>
      <w:r w:rsidRPr="006662F5">
        <w:t xml:space="preserve">. §647.107(5)(A)(a) (2011); </w:t>
      </w:r>
      <w:r w:rsidRPr="006662F5">
        <w:rPr>
          <w:smallCaps/>
        </w:rPr>
        <w:t>Tex. Bus. &amp; Com. Code Ann</w:t>
      </w:r>
      <w:r w:rsidRPr="006662F5">
        <w:t xml:space="preserve">. §16.103(d)(1) (2011). The different wording (and Oregon adopted a slightly different wording than the 2007 Model Bill) does not eliminate the comparative advertising provision, though it does alter the phraseology. </w:t>
      </w:r>
      <w:r w:rsidRPr="000540A5">
        <w:rPr>
          <w:i/>
        </w:rPr>
        <w:t>See</w:t>
      </w:r>
      <w:r w:rsidRPr="006662F5">
        <w:t xml:space="preserve"> Chapter 10, §II.B.</w:t>
      </w:r>
    </w:p>
  </w:footnote>
  <w:footnote w:id="552">
    <w:p w:rsidR="00431229" w:rsidRPr="006662F5" w:rsidRDefault="00431229">
      <w:pPr>
        <w:pStyle w:val="footnote"/>
      </w:pPr>
      <w:r w:rsidRPr="006662F5">
        <w:rPr>
          <w:vertAlign w:val="superscript"/>
        </w:rPr>
        <w:footnoteRef/>
      </w:r>
      <w:r w:rsidRPr="006662F5">
        <w:rPr>
          <w:smallCaps/>
        </w:rPr>
        <w:t>Restatement (Third) of Unfair Competition</w:t>
      </w:r>
      <w:r w:rsidRPr="006662F5">
        <w:t xml:space="preserve"> §25, cmt. i (1995) (stating that “the use of another’s mark in comparative advertising . . . does not dilute the distinctiveness of the mark”).</w:t>
      </w:r>
    </w:p>
  </w:footnote>
  <w:footnote w:id="553">
    <w:p w:rsidR="00431229" w:rsidRPr="006662F5" w:rsidRDefault="00431229">
      <w:pPr>
        <w:pStyle w:val="footnote"/>
      </w:pPr>
      <w:r w:rsidRPr="006662F5">
        <w:rPr>
          <w:vertAlign w:val="superscript"/>
        </w:rPr>
        <w:footnoteRef/>
      </w:r>
      <w:r w:rsidRPr="006662F5">
        <w:t xml:space="preserve">The </w:t>
      </w:r>
      <w:r w:rsidRPr="006662F5">
        <w:rPr>
          <w:i/>
          <w:iCs/>
        </w:rPr>
        <w:t>Restatement</w:t>
      </w:r>
      <w:r w:rsidRPr="006662F5">
        <w:t xml:space="preserve"> does not appear to distinguish between “fair use” and other uses in comparative advertising. </w:t>
      </w:r>
      <w:r w:rsidRPr="006662F5">
        <w:rPr>
          <w:i/>
          <w:iCs/>
        </w:rPr>
        <w:t>See</w:t>
      </w:r>
      <w:r w:rsidRPr="006662F5">
        <w:t xml:space="preserve"> </w:t>
      </w:r>
      <w:r w:rsidRPr="006662F5">
        <w:rPr>
          <w:i/>
          <w:iCs/>
        </w:rPr>
        <w:t>id</w:t>
      </w:r>
      <w:r w:rsidRPr="006662F5">
        <w:t>.</w:t>
      </w:r>
    </w:p>
  </w:footnote>
  <w:footnote w:id="554">
    <w:p w:rsidR="00431229" w:rsidRPr="006662F5" w:rsidRDefault="00431229">
      <w:pPr>
        <w:pStyle w:val="footnote"/>
      </w:pPr>
      <w:r w:rsidRPr="006662F5">
        <w:rPr>
          <w:vertAlign w:val="superscript"/>
        </w:rPr>
        <w:footnoteRef/>
      </w:r>
      <w:r w:rsidRPr="006662F5">
        <w:rPr>
          <w:i/>
          <w:iCs/>
        </w:rPr>
        <w:t>See</w:t>
      </w:r>
      <w:r w:rsidRPr="006662F5">
        <w:t xml:space="preserve"> Wal-Mart Stores, Inc. v. Samara Bros., Inc., 529 U.S. 205, 213–14, 54 USPQ2d 1065 (2000).</w:t>
      </w:r>
    </w:p>
  </w:footnote>
  <w:footnote w:id="555">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Polyglycoat Corp. v. Environmental Chems., Inc., 509 F. Supp. 36, 214 USPQ 52 (S.D.N.Y. 1980); Norton Co. v. Newage Indus., 204 USPQ 382 (E.D. Pa. 1979); Eventide, Inc. v. DOD Elecs. Corp., 1995 WL 239044 (S.D.N.Y. Apr. 24, 1995). In </w:t>
      </w:r>
      <w:r w:rsidRPr="006662F5">
        <w:rPr>
          <w:i/>
          <w:iCs/>
        </w:rPr>
        <w:t>Ty, Inc</w:t>
      </w:r>
      <w:r w:rsidRPr="006662F5">
        <w:t>.</w:t>
      </w:r>
      <w:r w:rsidRPr="006662F5">
        <w:rPr>
          <w:i/>
          <w:iCs/>
        </w:rPr>
        <w:t xml:space="preserve"> v</w:t>
      </w:r>
      <w:r w:rsidRPr="006662F5">
        <w:t>.</w:t>
      </w:r>
      <w:r w:rsidRPr="006662F5">
        <w:rPr>
          <w:i/>
          <w:iCs/>
        </w:rPr>
        <w:t xml:space="preserve"> Perryman</w:t>
      </w:r>
      <w:r w:rsidRPr="006662F5">
        <w:t xml:space="preserve">, 306 F.3d 509, 513–14, 64 USPQ2d 1689 (7th Cir. 2002), </w:t>
      </w:r>
      <w:r w:rsidRPr="006662F5">
        <w:rPr>
          <w:i/>
          <w:iCs/>
        </w:rPr>
        <w:t>cert</w:t>
      </w:r>
      <w:r w:rsidRPr="006662F5">
        <w:t>.</w:t>
      </w:r>
      <w:r w:rsidRPr="006662F5">
        <w:rPr>
          <w:i/>
          <w:iCs/>
        </w:rPr>
        <w:t xml:space="preserve"> denied</w:t>
      </w:r>
      <w:r w:rsidRPr="006662F5">
        <w:t xml:space="preserve">, 538 U.S. 971 (2003), the Seventh Circuit refused to allow a claim for genericide under the FTDA. </w:t>
      </w:r>
      <w:r w:rsidRPr="006662F5">
        <w:rPr>
          <w:i/>
          <w:iCs/>
        </w:rPr>
        <w:t xml:space="preserve">See </w:t>
      </w:r>
      <w:r w:rsidRPr="006662F5">
        <w:t>Chapter 9, §II.G.</w:t>
      </w:r>
    </w:p>
  </w:footnote>
  <w:footnote w:id="556">
    <w:p w:rsidR="00431229" w:rsidRPr="006662F5" w:rsidRDefault="00431229">
      <w:pPr>
        <w:pStyle w:val="footnote"/>
      </w:pPr>
      <w:r w:rsidRPr="006662F5">
        <w:rPr>
          <w:vertAlign w:val="superscript"/>
        </w:rPr>
        <w:footnoteRef/>
      </w:r>
      <w:r w:rsidRPr="006662F5">
        <w:t>1995 WL 239044 (S.D.N.Y. Apr. 24, 1995).</w:t>
      </w:r>
    </w:p>
  </w:footnote>
  <w:footnote w:id="557">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*5–7.</w:t>
      </w:r>
    </w:p>
  </w:footnote>
  <w:footnote w:id="558">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*9.</w:t>
      </w:r>
    </w:p>
  </w:footnote>
  <w:footnote w:id="559">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*17 (citations omitted).</w:t>
      </w:r>
    </w:p>
  </w:footnote>
  <w:footnote w:id="560">
    <w:p w:rsidR="00431229" w:rsidRPr="006662F5" w:rsidRDefault="00431229">
      <w:pPr>
        <w:pStyle w:val="footnote"/>
      </w:pPr>
      <w:r w:rsidRPr="006662F5">
        <w:rPr>
          <w:vertAlign w:val="superscript"/>
        </w:rPr>
        <w:footnoteRef/>
      </w:r>
      <w:r w:rsidRPr="006662F5">
        <w:rPr>
          <w:i/>
          <w:iCs/>
        </w:rPr>
        <w:t>Id</w:t>
      </w:r>
      <w:r w:rsidRPr="006662F5">
        <w:t>.</w:t>
      </w:r>
    </w:p>
  </w:footnote>
  <w:footnote w:id="561">
    <w:p w:rsidR="00431229" w:rsidRPr="006662F5" w:rsidRDefault="00431229">
      <w:pPr>
        <w:pStyle w:val="footnote"/>
      </w:pPr>
      <w:r w:rsidRPr="006662F5">
        <w:rPr>
          <w:vertAlign w:val="superscript"/>
        </w:rPr>
        <w:footnoteRef/>
      </w:r>
      <w:r w:rsidRPr="006662F5">
        <w:rPr>
          <w:i/>
          <w:iCs/>
        </w:rPr>
        <w:t>Id</w:t>
      </w:r>
      <w:r w:rsidRPr="006662F5">
        <w:t>. (stating that “[plaintiff’s] ownership of the trademark HARMONIZER cannot prevent an entity, including a competitor, from using the term ‘harmonizer’ as it is defined in the dictionary”). The descriptive fair use defense/exclusion is discussed in Chapter 4, §I.A.2, and Chapter 10, §II.A.1.</w:t>
      </w:r>
    </w:p>
  </w:footnote>
  <w:footnote w:id="562">
    <w:p w:rsidR="00431229" w:rsidRPr="006662F5" w:rsidRDefault="00431229">
      <w:pPr>
        <w:pStyle w:val="footnote"/>
      </w:pPr>
      <w:r w:rsidRPr="006662F5">
        <w:rPr>
          <w:vertAlign w:val="superscript"/>
        </w:rPr>
        <w:footnoteRef/>
      </w:r>
      <w:r w:rsidRPr="006662F5">
        <w:t>204 USPQ 382 (E.D. Pa. 1979).</w:t>
      </w:r>
    </w:p>
  </w:footnote>
  <w:footnote w:id="563">
    <w:p w:rsidR="00431229" w:rsidRPr="006662F5" w:rsidRDefault="00431229">
      <w:pPr>
        <w:pStyle w:val="footnote"/>
      </w:pPr>
      <w:r w:rsidRPr="006662F5">
        <w:rPr>
          <w:vertAlign w:val="superscript"/>
        </w:rPr>
        <w:footnoteRef/>
      </w:r>
      <w:r w:rsidRPr="006662F5">
        <w:rPr>
          <w:i/>
          <w:iCs/>
        </w:rPr>
        <w:t>Id</w:t>
      </w:r>
      <w:r w:rsidRPr="006662F5">
        <w:t>. at 384.</w:t>
      </w:r>
    </w:p>
  </w:footnote>
  <w:footnote w:id="564">
    <w:p w:rsidR="00431229" w:rsidRPr="006662F5" w:rsidRDefault="00431229">
      <w:pPr>
        <w:pStyle w:val="footnote"/>
      </w:pPr>
      <w:r w:rsidRPr="006662F5">
        <w:rPr>
          <w:vertAlign w:val="superscript"/>
        </w:rPr>
        <w:footnoteRef/>
      </w:r>
      <w:r w:rsidRPr="006662F5">
        <w:t>509 F. Supp. 36, 214 USPQ 52 (S.D.N.Y. 1980).</w:t>
      </w:r>
    </w:p>
  </w:footnote>
  <w:footnote w:id="565">
    <w:p w:rsidR="00431229" w:rsidRPr="006662F5" w:rsidRDefault="00431229">
      <w:pPr>
        <w:pStyle w:val="footnote"/>
      </w:pPr>
      <w:r w:rsidRPr="006662F5">
        <w:rPr>
          <w:vertAlign w:val="superscript"/>
        </w:rPr>
        <w:footnoteRef/>
      </w:r>
      <w:r w:rsidRPr="006662F5">
        <w:rPr>
          <w:i/>
          <w:iCs/>
        </w:rPr>
        <w:t>Id</w:t>
      </w:r>
      <w:r w:rsidRPr="006662F5">
        <w:t xml:space="preserve">. at 37. The defendant called its product Polycracker. However, the similarity between the two marks was not the basis of the plaintiff’s claim. </w:t>
      </w:r>
      <w:r w:rsidRPr="006662F5">
        <w:rPr>
          <w:i/>
          <w:iCs/>
        </w:rPr>
        <w:t>Id</w:t>
      </w:r>
      <w:r w:rsidRPr="006662F5">
        <w:t>. at 38.</w:t>
      </w:r>
    </w:p>
  </w:footnote>
  <w:footnote w:id="566">
    <w:p w:rsidR="00431229" w:rsidRPr="006662F5" w:rsidRDefault="00431229">
      <w:pPr>
        <w:pStyle w:val="footnote"/>
      </w:pPr>
      <w:r w:rsidRPr="006662F5">
        <w:rPr>
          <w:vertAlign w:val="superscript"/>
        </w:rPr>
        <w:footnoteRef/>
      </w:r>
      <w:r w:rsidRPr="006662F5">
        <w:rPr>
          <w:i/>
          <w:iCs/>
        </w:rPr>
        <w:t>Id</w:t>
      </w:r>
      <w:r w:rsidRPr="006662F5">
        <w:t xml:space="preserve">. at 37; </w:t>
      </w:r>
      <w:r w:rsidRPr="006662F5">
        <w:rPr>
          <w:i/>
          <w:iCs/>
        </w:rPr>
        <w:t>see also</w:t>
      </w:r>
      <w:r w:rsidRPr="006662F5">
        <w:t xml:space="preserve"> Adolph Coors Co. v. A. Genderson &amp; Sons, Inc., 486 F. Supp. 131, 136 (D. Colo. 1980) (allowing claim for dilution; confusion also found).</w:t>
      </w:r>
    </w:p>
  </w:footnote>
  <w:footnote w:id="567">
    <w:p w:rsidR="00431229" w:rsidRPr="006662F5" w:rsidRDefault="00431229">
      <w:pPr>
        <w:pStyle w:val="footnote"/>
      </w:pPr>
      <w:r w:rsidRPr="006662F5">
        <w:rPr>
          <w:vertAlign w:val="superscript"/>
        </w:rPr>
        <w:footnoteRef/>
      </w:r>
      <w:r w:rsidRPr="006662F5">
        <w:t>509 F. Supp. at 39.</w:t>
      </w:r>
    </w:p>
  </w:footnote>
  <w:footnote w:id="568">
    <w:p w:rsidR="00431229" w:rsidRPr="006662F5" w:rsidRDefault="00431229">
      <w:pPr>
        <w:pStyle w:val="footnote"/>
      </w:pPr>
      <w:r w:rsidRPr="006662F5">
        <w:rPr>
          <w:vertAlign w:val="superscript"/>
        </w:rPr>
        <w:footnoteRef/>
      </w:r>
      <w:r w:rsidRPr="006662F5">
        <w:rPr>
          <w:i/>
          <w:iCs/>
        </w:rPr>
        <w:t>Id</w:t>
      </w:r>
      <w:r w:rsidRPr="006662F5">
        <w:t>.</w:t>
      </w:r>
      <w:r w:rsidRPr="006662F5">
        <w:rPr>
          <w:i/>
          <w:iCs/>
        </w:rPr>
        <w:t xml:space="preserve"> </w:t>
      </w:r>
      <w:r w:rsidRPr="006662F5">
        <w:t xml:space="preserve">In a footnote, the court stated that an injunction also might be proper under New York’s dilution statute, even in the absence of any likelihood of confusion. </w:t>
      </w:r>
      <w:r w:rsidRPr="006662F5">
        <w:rPr>
          <w:i/>
          <w:iCs/>
        </w:rPr>
        <w:t>Id</w:t>
      </w:r>
      <w:r w:rsidRPr="006662F5">
        <w:t>. at 39 n.6. Despite the problem, the court only restricted the kind of typeface used to promote the defendant’s product as a Polyglycoat remover and required a disclaimer to be placed on the product.</w:t>
      </w:r>
    </w:p>
  </w:footnote>
  <w:footnote w:id="569">
    <w:p w:rsidR="00431229" w:rsidRPr="006662F5" w:rsidRDefault="00431229">
      <w:pPr>
        <w:pStyle w:val="footnote"/>
      </w:pPr>
      <w:r w:rsidRPr="006662F5">
        <w:rPr>
          <w:vertAlign w:val="superscript"/>
        </w:rPr>
        <w:footnoteRef/>
      </w:r>
      <w:r w:rsidRPr="006662F5">
        <w:rPr>
          <w:i/>
          <w:iCs/>
        </w:rPr>
        <w:t>See</w:t>
      </w:r>
      <w:r w:rsidRPr="006662F5">
        <w:t xml:space="preserve"> Model Bill §13(d)(1)(A) (INTA 2007) (comparative advertising excluded from liability).</w:t>
      </w:r>
    </w:p>
  </w:footnote>
  <w:footnote w:id="570">
    <w:p w:rsidR="00431229" w:rsidRPr="006662F5" w:rsidRDefault="00431229">
      <w:pPr>
        <w:pStyle w:val="footnote"/>
      </w:pPr>
      <w:r w:rsidRPr="006662F5">
        <w:rPr>
          <w:vertAlign w:val="superscript"/>
        </w:rPr>
        <w:footnoteRef/>
      </w:r>
      <w:r w:rsidRPr="006662F5">
        <w:t xml:space="preserve">151 F. Supp. 513, 113 USPQ 274 (S.D.N.Y. 1957); </w:t>
      </w:r>
      <w:r w:rsidRPr="006662F5">
        <w:rPr>
          <w:i/>
          <w:iCs/>
        </w:rPr>
        <w:t>see also</w:t>
      </w:r>
      <w:r w:rsidRPr="006662F5">
        <w:t xml:space="preserve"> Westward Coach Mfg. Co. v. Ford Motor Co., 258 F. Supp. 67, 79 (S.D. Ind. 1966) (denying relief assuming, arguendo, that Indiana allows a common-law dilution claim).</w:t>
      </w:r>
    </w:p>
  </w:footnote>
  <w:footnote w:id="571">
    <w:p w:rsidR="00431229" w:rsidRPr="006662F5" w:rsidRDefault="00431229">
      <w:pPr>
        <w:pStyle w:val="footnote"/>
      </w:pPr>
      <w:r w:rsidRPr="006662F5">
        <w:rPr>
          <w:vertAlign w:val="superscript"/>
        </w:rPr>
        <w:footnoteRef/>
      </w:r>
      <w:r w:rsidRPr="006662F5">
        <w:t>151 F. Supp. at 514.</w:t>
      </w:r>
    </w:p>
  </w:footnote>
  <w:footnote w:id="572">
    <w:p w:rsidR="00431229" w:rsidRPr="006662F5" w:rsidRDefault="00431229">
      <w:pPr>
        <w:pStyle w:val="footnote"/>
      </w:pPr>
      <w:r w:rsidRPr="006662F5">
        <w:rPr>
          <w:vertAlign w:val="superscript"/>
        </w:rPr>
        <w:footnoteRef/>
      </w:r>
      <w:r w:rsidRPr="006662F5">
        <w:t>139 F. Supp. 321, 107 USPQ 350 (D. Mass. 1955).</w:t>
      </w:r>
    </w:p>
  </w:footnote>
  <w:footnote w:id="573">
    <w:p w:rsidR="00431229" w:rsidRPr="006662F5" w:rsidRDefault="00431229">
      <w:pPr>
        <w:pStyle w:val="footnote"/>
      </w:pPr>
      <w:r w:rsidRPr="006662F5">
        <w:rPr>
          <w:vertAlign w:val="superscript"/>
        </w:rPr>
        <w:footnoteRef/>
      </w:r>
      <w:r w:rsidRPr="006662F5">
        <w:rPr>
          <w:i/>
          <w:iCs/>
        </w:rPr>
        <w:t>Id</w:t>
      </w:r>
      <w:r w:rsidRPr="006662F5">
        <w:t>. at 322.</w:t>
      </w:r>
    </w:p>
  </w:footnote>
  <w:footnote w:id="574">
    <w:p w:rsidR="00431229" w:rsidRPr="006662F5" w:rsidRDefault="00431229">
      <w:pPr>
        <w:pStyle w:val="footnote"/>
      </w:pPr>
      <w:r w:rsidRPr="006662F5">
        <w:rPr>
          <w:vertAlign w:val="superscript"/>
        </w:rPr>
        <w:footnoteRef/>
      </w:r>
      <w:r w:rsidRPr="006662F5">
        <w:rPr>
          <w:i/>
          <w:iCs/>
        </w:rPr>
        <w:t>Id</w:t>
      </w:r>
      <w:r w:rsidRPr="006662F5">
        <w:t>. at 323 (footnote omitted).</w:t>
      </w:r>
    </w:p>
  </w:footnote>
  <w:footnote w:id="575">
    <w:p w:rsidR="00431229" w:rsidRPr="006662F5" w:rsidRDefault="00431229">
      <w:pPr>
        <w:pStyle w:val="footnote"/>
      </w:pPr>
      <w:r w:rsidRPr="006662F5">
        <w:rPr>
          <w:vertAlign w:val="superscript"/>
        </w:rPr>
        <w:footnoteRef/>
      </w:r>
      <w:r w:rsidRPr="006662F5">
        <w:rPr>
          <w:i/>
          <w:iCs/>
        </w:rPr>
        <w:t>Id</w:t>
      </w:r>
      <w:r w:rsidRPr="006662F5">
        <w:t>. at 323–24 (“If a party chooses an unstable mark, he must accept the consequences.”).</w:t>
      </w:r>
    </w:p>
  </w:footnote>
  <w:footnote w:id="576">
    <w:p w:rsidR="00431229" w:rsidRPr="006662F5" w:rsidRDefault="00431229">
      <w:pPr>
        <w:pStyle w:val="footnote"/>
      </w:pPr>
      <w:r w:rsidRPr="006662F5">
        <w:rPr>
          <w:vertAlign w:val="superscript"/>
        </w:rPr>
        <w:footnoteRef/>
      </w:r>
      <w:r w:rsidRPr="006662F5">
        <w:rPr>
          <w:i/>
          <w:iCs/>
        </w:rPr>
        <w:t>Id</w:t>
      </w:r>
      <w:r w:rsidRPr="006662F5">
        <w:t>. at 323 n.6.</w:t>
      </w:r>
    </w:p>
  </w:footnote>
  <w:footnote w:id="577">
    <w:p w:rsidR="00431229" w:rsidRPr="006662F5" w:rsidRDefault="00431229">
      <w:pPr>
        <w:pStyle w:val="footnote"/>
      </w:pPr>
      <w:r w:rsidRPr="006662F5">
        <w:rPr>
          <w:vertAlign w:val="superscript"/>
        </w:rPr>
        <w:footnoteRef/>
      </w:r>
      <w:r w:rsidRPr="006662F5">
        <w:t xml:space="preserve">In </w:t>
      </w:r>
      <w:r w:rsidRPr="006662F5">
        <w:rPr>
          <w:i/>
          <w:iCs/>
        </w:rPr>
        <w:t>Bolger v</w:t>
      </w:r>
      <w:r w:rsidRPr="006662F5">
        <w:t>.</w:t>
      </w:r>
      <w:r w:rsidRPr="006662F5">
        <w:rPr>
          <w:i/>
          <w:iCs/>
        </w:rPr>
        <w:t xml:space="preserve"> Youngs Drug Products Corp</w:t>
      </w:r>
      <w:r w:rsidRPr="006662F5">
        <w:t>., 463 U.S. 60, 66 (1983), the Supreme Court described commercial speech as speech that “does no more than propose a commercial transaction.”</w:t>
      </w:r>
    </w:p>
  </w:footnote>
  <w:footnote w:id="578">
    <w:p w:rsidR="00431229" w:rsidRPr="006662F5" w:rsidRDefault="00431229">
      <w:pPr>
        <w:pStyle w:val="footnote"/>
      </w:pPr>
      <w:r w:rsidRPr="006662F5">
        <w:rPr>
          <w:vertAlign w:val="superscript"/>
        </w:rPr>
        <w:footnoteRef/>
      </w:r>
      <w:r w:rsidRPr="006662F5">
        <w:rPr>
          <w:i/>
          <w:iCs/>
        </w:rPr>
        <w:t>See</w:t>
      </w:r>
      <w:r w:rsidRPr="006662F5">
        <w:t xml:space="preserve"> Friedman v. Rogers, 440 U.S. 1 (1979) (applying lower standard of scrutiny when analyzing a dispute involving a trademark for optician services under the commercial speech doctrine).</w:t>
      </w:r>
    </w:p>
  </w:footnote>
  <w:footnote w:id="579">
    <w:p w:rsidR="00431229" w:rsidRPr="006662F5" w:rsidRDefault="00431229">
      <w:pPr>
        <w:pStyle w:val="footnote"/>
      </w:pPr>
      <w:r w:rsidRPr="006662F5">
        <w:rPr>
          <w:vertAlign w:val="superscript"/>
        </w:rPr>
        <w:footnoteRef/>
      </w:r>
      <w:r w:rsidRPr="00127AF1">
        <w:rPr>
          <w:i/>
          <w:iCs/>
        </w:rPr>
        <w:t>See generally</w:t>
      </w:r>
      <w:r w:rsidRPr="006662F5">
        <w:t xml:space="preserve"> Julius R. Lunsford, Trademarks and Semantics: The Use and Misuse of Trademarks in Dictionaries and Trade Journals, 62 </w:t>
      </w:r>
      <w:r w:rsidRPr="006662F5">
        <w:rPr>
          <w:smallCaps/>
        </w:rPr>
        <w:t>Trademark Rep.</w:t>
      </w:r>
      <w:r w:rsidRPr="006662F5">
        <w:t xml:space="preserve"> 520 (1972); Gary C. Robb, Trademark Misuse in Dictionaries: Inadequacy of Existing Legal Action and a Suggested Cure, 65 </w:t>
      </w:r>
      <w:r w:rsidRPr="006662F5">
        <w:rPr>
          <w:smallCaps/>
        </w:rPr>
        <w:t>Marquette L. Rev.</w:t>
      </w:r>
      <w:r w:rsidRPr="006662F5">
        <w:t xml:space="preserve"> 179, 185–89 (1981).</w:t>
      </w:r>
    </w:p>
  </w:footnote>
  <w:footnote w:id="580">
    <w:p w:rsidR="00431229" w:rsidRPr="006662F5" w:rsidRDefault="00431229">
      <w:pPr>
        <w:pStyle w:val="footnote"/>
      </w:pPr>
      <w:r w:rsidRPr="006662F5">
        <w:rPr>
          <w:vertAlign w:val="superscript"/>
        </w:rPr>
        <w:footnoteRef/>
      </w:r>
      <w:r w:rsidRPr="006662F5">
        <w:t xml:space="preserve">In the </w:t>
      </w:r>
      <w:r w:rsidRPr="006662F5">
        <w:rPr>
          <w:i/>
          <w:iCs/>
        </w:rPr>
        <w:t>Eventide</w:t>
      </w:r>
      <w:r w:rsidRPr="006662F5">
        <w:t xml:space="preserve"> case, discussed earlier in this section, the court enjoined a competitive nondescriptive use. 1995 WL 239044 (S.D.N.Y. Apr. 24, 1995). Had the defendant been a magazine or dictionary publisher using the term generically but not descriptively, an injunction would have raised serious First Amendment issues.</w:t>
      </w:r>
    </w:p>
  </w:footnote>
  <w:footnote w:id="581">
    <w:p w:rsidR="00431229" w:rsidRPr="006662F5" w:rsidRDefault="00431229">
      <w:pPr>
        <w:pStyle w:val="footnote"/>
      </w:pPr>
      <w:r w:rsidRPr="006662F5">
        <w:rPr>
          <w:vertAlign w:val="superscript"/>
        </w:rPr>
        <w:footnoteRef/>
      </w:r>
      <w:r w:rsidRPr="006662F5">
        <w:t>The TDRA’s noncommercial use exclusion is found in §43(c)(3)(C), 15 U.S.C. §1125(c)(3)(C).</w:t>
      </w:r>
    </w:p>
  </w:footnote>
  <w:footnote w:id="582">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smallCaps/>
        </w:rPr>
        <w:t>H.R. Rep. No.</w:t>
      </w:r>
      <w:r w:rsidRPr="006662F5">
        <w:t xml:space="preserve"> 104-374 at 4, 104th Cong., 1st Sess., 1995 U.S.C.C.A.N. 1029, 1031 (Nov. 30, 1995).</w:t>
      </w:r>
    </w:p>
  </w:footnote>
  <w:footnote w:id="583">
    <w:p w:rsidR="00431229" w:rsidRPr="006662F5" w:rsidRDefault="00431229">
      <w:pPr>
        <w:pStyle w:val="footnote"/>
      </w:pPr>
      <w:r w:rsidRPr="006662F5">
        <w:rPr>
          <w:vertAlign w:val="superscript"/>
        </w:rPr>
        <w:footnoteRef/>
      </w:r>
      <w:r w:rsidRPr="006662F5">
        <w:t xml:space="preserve">In many of these, states there are separate statutory sections providing that federal precedent should be viewed as persuasive authority. </w:t>
      </w:r>
      <w:r w:rsidRPr="006662F5">
        <w:rPr>
          <w:smallCaps/>
        </w:rPr>
        <w:t>Ark. Code Ann.</w:t>
      </w:r>
      <w:r w:rsidRPr="006662F5">
        <w:t xml:space="preserve"> §4-71-218 (LexisNexis 2001); </w:t>
      </w:r>
      <w:r w:rsidRPr="006662F5">
        <w:rPr>
          <w:smallCaps/>
        </w:rPr>
        <w:t>Cal. Bus. &amp; Prof. Code</w:t>
      </w:r>
      <w:r w:rsidRPr="006662F5">
        <w:t xml:space="preserve"> §14272 (West 2008); </w:t>
      </w:r>
      <w:r w:rsidRPr="006662F5">
        <w:rPr>
          <w:smallCaps/>
        </w:rPr>
        <w:t>Fla. Stat. Ann.</w:t>
      </w:r>
      <w:r w:rsidRPr="006662F5">
        <w:t xml:space="preserve"> §495.181 (West Supp. 2010); </w:t>
      </w:r>
      <w:r w:rsidRPr="006662F5">
        <w:rPr>
          <w:smallCaps/>
        </w:rPr>
        <w:t>Idaho Code</w:t>
      </w:r>
      <w:r w:rsidRPr="006662F5">
        <w:t xml:space="preserve"> §48-518 (LexisNexis 2003); 765 </w:t>
      </w:r>
      <w:r w:rsidRPr="006662F5">
        <w:rPr>
          <w:smallCaps/>
        </w:rPr>
        <w:t>Ill. Comp. Stat. Ann.</w:t>
      </w:r>
      <w:r w:rsidRPr="006662F5">
        <w:t xml:space="preserve"> §1036/90 (West 2009); </w:t>
      </w:r>
      <w:r w:rsidRPr="006662F5">
        <w:rPr>
          <w:smallCaps/>
        </w:rPr>
        <w:t>Ind. Code Ann</w:t>
      </w:r>
      <w:r w:rsidRPr="006662F5">
        <w:t xml:space="preserve">. §24-2-1-0.5 (LexisNexis 2006); </w:t>
      </w:r>
      <w:r w:rsidRPr="006662F5">
        <w:rPr>
          <w:smallCaps/>
        </w:rPr>
        <w:t>Kan. Stat. Ann</w:t>
      </w:r>
      <w:r w:rsidRPr="006662F5">
        <w:t xml:space="preserve">. §81-220 (Supp. 2009); </w:t>
      </w:r>
      <w:r w:rsidRPr="006662F5">
        <w:rPr>
          <w:smallCaps/>
        </w:rPr>
        <w:t>Miss. Code Ann.</w:t>
      </w:r>
      <w:r w:rsidRPr="006662F5">
        <w:t xml:space="preserve"> §75-25-37 (2011); </w:t>
      </w:r>
      <w:r w:rsidRPr="006662F5">
        <w:rPr>
          <w:smallCaps/>
        </w:rPr>
        <w:t>Neb. Rev. Stat</w:t>
      </w:r>
      <w:r w:rsidRPr="006662F5">
        <w:t xml:space="preserve">. §87-127 (LexisNexis 2007); </w:t>
      </w:r>
      <w:r w:rsidRPr="006662F5">
        <w:rPr>
          <w:smallCaps/>
        </w:rPr>
        <w:t>N.J. Stat. Ann</w:t>
      </w:r>
      <w:r w:rsidRPr="006662F5">
        <w:t xml:space="preserve">. §56:3-13a (West 2001); </w:t>
      </w:r>
      <w:r w:rsidRPr="006662F5">
        <w:rPr>
          <w:smallCaps/>
        </w:rPr>
        <w:t>N.M. Stat. Ann</w:t>
      </w:r>
      <w:r w:rsidRPr="006662F5">
        <w:t xml:space="preserve">. 1978, §57-3B-2 (West 2003); </w:t>
      </w:r>
      <w:r w:rsidRPr="006662F5">
        <w:rPr>
          <w:smallCaps/>
        </w:rPr>
        <w:t>Or. Rev. Stat</w:t>
      </w:r>
      <w:r w:rsidRPr="006662F5">
        <w:t xml:space="preserve">. §647.115(3) (2009); </w:t>
      </w:r>
      <w:r w:rsidRPr="006662F5">
        <w:rPr>
          <w:smallCaps/>
        </w:rPr>
        <w:t>Tenn. Code Ann</w:t>
      </w:r>
      <w:r w:rsidRPr="006662F5">
        <w:t xml:space="preserve">. §47-25-518 (LexisNexis 2001); </w:t>
      </w:r>
      <w:r w:rsidRPr="006662F5">
        <w:rPr>
          <w:smallCaps/>
        </w:rPr>
        <w:t>Utah Code Ann</w:t>
      </w:r>
      <w:r w:rsidRPr="006662F5">
        <w:t>. §70-3a-102 (West 2004)</w:t>
      </w:r>
      <w:r w:rsidRPr="006662F5">
        <w:rPr>
          <w:smallCaps/>
        </w:rPr>
        <w:t xml:space="preserve">; Wash. Rev. Code Ann. </w:t>
      </w:r>
      <w:r w:rsidRPr="006662F5">
        <w:t>§19.77.930 (West 1999)</w:t>
      </w:r>
      <w:r w:rsidRPr="006662F5">
        <w:rPr>
          <w:smallCaps/>
        </w:rPr>
        <w:t>; W. Va. Code</w:t>
      </w:r>
      <w:r w:rsidRPr="006662F5">
        <w:t>. §47-2-19 (LexisNexis 2006).</w:t>
      </w:r>
    </w:p>
  </w:footnote>
  <w:footnote w:id="584">
    <w:p w:rsidR="00431229" w:rsidRPr="006662F5" w:rsidRDefault="00431229">
      <w:pPr>
        <w:pStyle w:val="footnote"/>
      </w:pPr>
      <w:r w:rsidRPr="006662F5">
        <w:rPr>
          <w:vertAlign w:val="superscript"/>
        </w:rPr>
        <w:footnoteRef/>
      </w:r>
      <w:r w:rsidRPr="006662F5">
        <w:t>See §IV.B.3.c. in this chapter.</w:t>
      </w:r>
    </w:p>
  </w:footnote>
  <w:footnote w:id="585">
    <w:p w:rsidR="00431229" w:rsidRPr="006662F5" w:rsidRDefault="00431229">
      <w:pPr>
        <w:pStyle w:val="footnote"/>
      </w:pPr>
      <w:r w:rsidRPr="006662F5">
        <w:rPr>
          <w:vertAlign w:val="superscript"/>
        </w:rPr>
        <w:footnoteRef/>
      </w:r>
      <w:r w:rsidRPr="006662F5">
        <w:t xml:space="preserve">Ty, Inc. v. Perryman, 306 F.3d 509, 513–14, 64 USPQ2d 1689 (7th Cir. 2002), </w:t>
      </w:r>
      <w:r w:rsidRPr="006662F5">
        <w:rPr>
          <w:i/>
          <w:iCs/>
        </w:rPr>
        <w:t>cert</w:t>
      </w:r>
      <w:r w:rsidRPr="006662F5">
        <w:t>.</w:t>
      </w:r>
      <w:r w:rsidRPr="006662F5">
        <w:rPr>
          <w:i/>
          <w:iCs/>
        </w:rPr>
        <w:t xml:space="preserve"> denied</w:t>
      </w:r>
      <w:r w:rsidRPr="006662F5">
        <w:t>, 538 U.S. 971 (2003).</w:t>
      </w:r>
    </w:p>
  </w:footnote>
  <w:footnote w:id="586">
    <w:p w:rsidR="00431229" w:rsidRPr="006662F5" w:rsidRDefault="00431229">
      <w:pPr>
        <w:pStyle w:val="footnote"/>
      </w:pPr>
      <w:r w:rsidRPr="006662F5">
        <w:rPr>
          <w:vertAlign w:val="superscript"/>
        </w:rPr>
        <w:footnoteRef/>
      </w:r>
      <w:r w:rsidRPr="006662F5">
        <w:t xml:space="preserve">Some relief has been given on confusion grounds, using an “initial interest confusion” theory. </w:t>
      </w:r>
      <w:r w:rsidRPr="006662F5">
        <w:rPr>
          <w:i/>
          <w:iCs/>
        </w:rPr>
        <w:t>See</w:t>
      </w:r>
      <w:r w:rsidRPr="006662F5">
        <w:t xml:space="preserve"> Brookfield Commc’ns v. West Coast Entm’t, 174 F.3d 1036, 1062, 50 USPQ2d 1545 (9th Cir. 1999). The theory is that Internet users are initially confused by reaching the Web site of someone other than the company for which they were searching, even if the confusion is dispelled by the contents of the Web site. </w:t>
      </w:r>
      <w:r w:rsidRPr="006662F5">
        <w:rPr>
          <w:i/>
          <w:iCs/>
        </w:rPr>
        <w:t>But cf</w:t>
      </w:r>
      <w:r w:rsidRPr="006662F5">
        <w:t xml:space="preserve">. Network Automation, Inc. v. Advanced Sys. Concepts, Inc., 638 F.3d 1137, 1147–48, 97 USPQ2d 2036 (9th Cir. 2011) (limiting the use of </w:t>
      </w:r>
      <w:r w:rsidRPr="006662F5">
        <w:rPr>
          <w:i/>
          <w:iCs/>
        </w:rPr>
        <w:t>Brookfield</w:t>
      </w:r>
      <w:r w:rsidRPr="006662F5">
        <w:t>’s analysis).</w:t>
      </w:r>
    </w:p>
  </w:footnote>
  <w:footnote w:id="587">
    <w:p w:rsidR="00431229" w:rsidRPr="00C4457D" w:rsidRDefault="00431229">
      <w:pPr>
        <w:pStyle w:val="footnote"/>
        <w:rPr>
          <w:lang w:val="fr-FR"/>
        </w:rPr>
      </w:pPr>
      <w:r w:rsidRPr="006662F5">
        <w:rPr>
          <w:vertAlign w:val="superscript"/>
        </w:rPr>
        <w:footnoteRef/>
      </w:r>
      <w:r w:rsidRPr="00C4457D">
        <w:rPr>
          <w:i/>
          <w:iCs/>
          <w:lang w:val="fr-FR"/>
        </w:rPr>
        <w:t>E</w:t>
      </w:r>
      <w:r w:rsidRPr="00C4457D">
        <w:rPr>
          <w:lang w:val="fr-FR"/>
        </w:rPr>
        <w:t>.</w:t>
      </w:r>
      <w:r w:rsidRPr="00C4457D">
        <w:rPr>
          <w:i/>
          <w:iCs/>
          <w:lang w:val="fr-FR"/>
        </w:rPr>
        <w:t>g</w:t>
      </w:r>
      <w:r w:rsidRPr="00C4457D">
        <w:rPr>
          <w:lang w:val="fr-FR"/>
        </w:rPr>
        <w:t>., Mattel, Inc. v. Internet Dimensions, Inc., 55 USPQ2d 1620, 1627 (S.D.N.Y. 2000).</w:t>
      </w:r>
    </w:p>
  </w:footnote>
  <w:footnote w:id="588">
    <w:p w:rsidR="00431229" w:rsidRPr="006662F5" w:rsidRDefault="00431229">
      <w:pPr>
        <w:pStyle w:val="footnote"/>
      </w:pPr>
      <w:r w:rsidRPr="006662F5">
        <w:rPr>
          <w:vertAlign w:val="superscript"/>
        </w:rPr>
        <w:footnoteRef/>
      </w:r>
      <w:r w:rsidRPr="006662F5">
        <w:t>Pub. L. No. 106-113, 113 Stat. 1536 (1999). Most of the ACPA was codified at 15 U.S.C. §1125(d). Portions were also codified at 15 U.S.C. §§1127 and 8131. A few sections were not codified. See Chapter 14 for a discussion of the ACPA.</w:t>
      </w:r>
    </w:p>
  </w:footnote>
  <w:footnote w:id="589">
    <w:p w:rsidR="00431229" w:rsidRPr="006662F5" w:rsidRDefault="00431229">
      <w:pPr>
        <w:pStyle w:val="footnote"/>
      </w:pPr>
      <w:r w:rsidRPr="006662F5">
        <w:rPr>
          <w:vertAlign w:val="superscript"/>
        </w:rPr>
        <w:footnoteRef/>
      </w:r>
      <w:r w:rsidRPr="006662F5">
        <w:t>Lanham Act §43(d)(1)(A), 15 U.S.C. §1125(d)(1)(A).</w:t>
      </w:r>
    </w:p>
  </w:footnote>
  <w:footnote w:id="590">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Panavision Int’l, L.P. v. Toeppen, 141 F.3d 1316, 1327, 46 USPQ2d 1511 (9th Cir. 1998); Virtual Works, Inc. v. Network Solutions, Inc., 106 F. Supp. 2d 845, 847–48, 54 USPQ2d 1126 (E.D. Va. 2000), </w:t>
      </w:r>
      <w:r w:rsidRPr="006662F5">
        <w:rPr>
          <w:i/>
          <w:iCs/>
        </w:rPr>
        <w:t>aff’d on other grounds</w:t>
      </w:r>
      <w:r w:rsidRPr="006662F5">
        <w:t xml:space="preserve">, 238 F.3d 264, 57 USPQ2d 1547 (4th Cir. 2001) (affirming on ACPA grounds only); PACCAR, Inc. v. Telescan Techs., LLC, 115 F. Supp. 2d 772, 779–80 (E.D. Mich. 2000), </w:t>
      </w:r>
      <w:r w:rsidRPr="006662F5">
        <w:rPr>
          <w:i/>
          <w:iCs/>
        </w:rPr>
        <w:t>vacated in part, aff’d in part on other grounds</w:t>
      </w:r>
      <w:r w:rsidRPr="006662F5">
        <w:t xml:space="preserve">, 319 F.3d 243, 65 USPQ2d 1761 (6th Cir. 2003) (the Sixth Circuit did not rule on the dilution issue); Jews for Jesus v. Brodsky, 993 F. Supp. 282, 306–07, 46 USPQ2d 1652 (D.N.J.), </w:t>
      </w:r>
      <w:r w:rsidRPr="006662F5">
        <w:rPr>
          <w:i/>
          <w:iCs/>
        </w:rPr>
        <w:t>aff’d</w:t>
      </w:r>
      <w:r w:rsidRPr="006662F5">
        <w:t>, 159 F.3d 1351 (3d Cir. 1998); Lozano Enters. v. La Opinion Publ’g Co., 44 USPQ2d 1764, 1769 (C.D. Cal. 1997); Intermatic, Inc. v. Toeppen, 947 F. Supp. 1227, 1240, 40 USPQ2d 1412 (N.D. Ill. 1996). See Chapter 9, §II.H, for a discussion of the FTDA and TDRA cases.</w:t>
      </w:r>
    </w:p>
  </w:footnote>
  <w:footnote w:id="591">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Panavision Int’l</w:t>
      </w:r>
      <w:r w:rsidRPr="006662F5">
        <w:t>, 141 F.3d at 1326.</w:t>
      </w:r>
    </w:p>
  </w:footnote>
  <w:footnote w:id="592">
    <w:p w:rsidR="00431229" w:rsidRPr="006662F5" w:rsidRDefault="00431229">
      <w:pPr>
        <w:pStyle w:val="footnote"/>
      </w:pPr>
      <w:r w:rsidRPr="006662F5">
        <w:rPr>
          <w:vertAlign w:val="superscript"/>
        </w:rPr>
        <w:footnoteRef/>
      </w:r>
      <w:r w:rsidRPr="006662F5">
        <w:rPr>
          <w:i/>
          <w:iCs/>
        </w:rPr>
        <w:t>Id</w:t>
      </w:r>
      <w:r w:rsidRPr="006662F5">
        <w:t xml:space="preserve">. (quoting </w:t>
      </w:r>
      <w:r w:rsidRPr="006662F5">
        <w:rPr>
          <w:i/>
          <w:iCs/>
        </w:rPr>
        <w:t>Intermatic</w:t>
      </w:r>
      <w:r w:rsidRPr="006662F5">
        <w:t>, 947 F. Supp. at 1304).</w:t>
      </w:r>
    </w:p>
  </w:footnote>
  <w:footnote w:id="593">
    <w:p w:rsidR="00431229" w:rsidRPr="006662F5" w:rsidRDefault="00431229">
      <w:pPr>
        <w:pStyle w:val="footnote"/>
      </w:pPr>
      <w:r w:rsidRPr="006662F5">
        <w:rPr>
          <w:vertAlign w:val="superscript"/>
        </w:rPr>
        <w:footnoteRef/>
      </w:r>
      <w:r w:rsidRPr="006662F5">
        <w:rPr>
          <w:i/>
          <w:iCs/>
        </w:rPr>
        <w:t>See</w:t>
      </w:r>
      <w:r w:rsidRPr="006662F5">
        <w:t xml:space="preserve"> Strick Corp. v. Strickland, 162 F. Supp. 2d 372, 379–80, 60 USPQ2d 1889 (E.D. Pa. 2001); Ford Motor Co. v. GreatDomains.com, Inc., 177 F. Supp. 2d 635, 653–54 (E.D. Mich. 2001); HQM, Ltd. v. Hatfield, 71 F. Supp. 2d 500, 508–09 (D. Md. 1999); Hasbro, Inc. v. Clue Computing, Inc., 66 F. Supp. 2d 117, 133, 52 USPQ2d 1402 (D. Mass. 1999), </w:t>
      </w:r>
      <w:r w:rsidRPr="006662F5">
        <w:rPr>
          <w:i/>
          <w:iCs/>
        </w:rPr>
        <w:t>aff’d</w:t>
      </w:r>
      <w:r w:rsidRPr="006662F5">
        <w:t>, 232 F.3d 1, 56 USPQ2d 1766 (1st Cir. 2000). These cases are discussed in Chapter 9, §II.H.2.</w:t>
      </w:r>
    </w:p>
  </w:footnote>
  <w:footnote w:id="594">
    <w:p w:rsidR="00431229" w:rsidRPr="006662F5" w:rsidRDefault="00431229">
      <w:pPr>
        <w:pStyle w:val="footnote"/>
      </w:pPr>
      <w:r w:rsidRPr="006662F5">
        <w:rPr>
          <w:vertAlign w:val="superscript"/>
        </w:rPr>
        <w:footnoteRef/>
      </w:r>
      <w:r w:rsidRPr="006662F5">
        <w:t>This issue is discussed further in Chapter 9, §II.H.3.</w:t>
      </w:r>
    </w:p>
  </w:footnote>
  <w:footnote w:id="595">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E. &amp; J. Gallo Winery v. Spider Webs Ltd., 129 F. Supp. 2d 1033 (S.D. Tex. 2001), </w:t>
      </w:r>
      <w:r w:rsidRPr="006662F5">
        <w:rPr>
          <w:i/>
          <w:iCs/>
        </w:rPr>
        <w:t>aff’d</w:t>
      </w:r>
      <w:r w:rsidRPr="006662F5">
        <w:t xml:space="preserve">, 286 F.3d 270, 62 USPQ2d 1404 (5th Cir. 2002) (the Fifth Circuit declined to reach this issue); Horseshoe Bay Resort Sales Co. v. Lake Lyndon B. Johnson Improvement Corp., 53 S.W.3d 799 (Tex. App. 2001). In some FTDA cases, the courts have assumed that the per se analysis also applies to claims under state dilution laws. </w:t>
      </w:r>
      <w:r w:rsidRPr="006662F5">
        <w:rPr>
          <w:i/>
          <w:iCs/>
        </w:rPr>
        <w:t>E</w:t>
      </w:r>
      <w:r w:rsidRPr="006662F5">
        <w:t>.</w:t>
      </w:r>
      <w:r w:rsidRPr="006662F5">
        <w:rPr>
          <w:i/>
          <w:iCs/>
        </w:rPr>
        <w:t>g</w:t>
      </w:r>
      <w:r w:rsidRPr="006662F5">
        <w:t>.,</w:t>
      </w:r>
      <w:r w:rsidRPr="006662F5">
        <w:rPr>
          <w:i/>
          <w:iCs/>
        </w:rPr>
        <w:t xml:space="preserve"> Intermatic</w:t>
      </w:r>
      <w:r w:rsidRPr="006662F5">
        <w:t xml:space="preserve">, 947 F. Supp. at 1241 (Illinois law); Panavision Int’l, L.P. v. Toeppen, 945 F. Supp. 1296, 1304 (C.D. Cal. 1996), </w:t>
      </w:r>
      <w:r w:rsidRPr="006662F5">
        <w:rPr>
          <w:i/>
          <w:iCs/>
        </w:rPr>
        <w:t>aff’d</w:t>
      </w:r>
      <w:r w:rsidRPr="006662F5">
        <w:t xml:space="preserve">, 141 F.3d 1316, 1327, 46 USPQ2d 1511 (9th Cir. 1998). </w:t>
      </w:r>
      <w:r w:rsidRPr="006662F5">
        <w:rPr>
          <w:i/>
          <w:iCs/>
        </w:rPr>
        <w:t>Cf</w:t>
      </w:r>
      <w:r w:rsidRPr="006662F5">
        <w:t>.</w:t>
      </w:r>
      <w:r w:rsidRPr="006662F5">
        <w:rPr>
          <w:i/>
          <w:iCs/>
        </w:rPr>
        <w:t xml:space="preserve"> Strick</w:t>
      </w:r>
      <w:r w:rsidRPr="006662F5">
        <w:t>, 162 F. Supp. 2d at 378 n.10, 379–80 (stating that Pennsylvania law uses same analysis as FTDA, but rejecting per se rule under FTDA).</w:t>
      </w:r>
    </w:p>
  </w:footnote>
  <w:footnote w:id="596">
    <w:p w:rsidR="00431229" w:rsidRPr="006662F5" w:rsidRDefault="00431229">
      <w:pPr>
        <w:pStyle w:val="footnote"/>
      </w:pPr>
      <w:r w:rsidRPr="006662F5">
        <w:rPr>
          <w:vertAlign w:val="superscript"/>
        </w:rPr>
        <w:footnoteRef/>
      </w:r>
      <w:r w:rsidRPr="006662F5">
        <w:t xml:space="preserve">129 F. Supp. 2d 1033 (S.D. Tex. 2001), </w:t>
      </w:r>
      <w:r w:rsidRPr="006662F5">
        <w:rPr>
          <w:i/>
          <w:iCs/>
        </w:rPr>
        <w:t>aff’d</w:t>
      </w:r>
      <w:r w:rsidRPr="006662F5">
        <w:t>, 286 F.3d 270, 62 USPQ2d 1404 (5th Cir. 2002).</w:t>
      </w:r>
    </w:p>
  </w:footnote>
  <w:footnote w:id="597">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1035.</w:t>
      </w:r>
    </w:p>
  </w:footnote>
  <w:footnote w:id="598">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w:t>
      </w:r>
    </w:p>
  </w:footnote>
  <w:footnote w:id="599">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1035–36, 1039–41.</w:t>
      </w:r>
    </w:p>
  </w:footnote>
  <w:footnote w:id="600">
    <w:p w:rsidR="00431229" w:rsidRPr="006662F5" w:rsidRDefault="00431229">
      <w:pPr>
        <w:pStyle w:val="footnote"/>
      </w:pPr>
      <w:r w:rsidRPr="006662F5">
        <w:rPr>
          <w:vertAlign w:val="superscript"/>
        </w:rPr>
        <w:footnoteRef/>
      </w:r>
      <w:r w:rsidRPr="006662F5">
        <w:rPr>
          <w:i/>
          <w:iCs/>
        </w:rPr>
        <w:t>Id</w:t>
      </w:r>
      <w:r w:rsidRPr="006662F5">
        <w:t>. at 1039–41.</w:t>
      </w:r>
    </w:p>
  </w:footnote>
  <w:footnote w:id="601">
    <w:p w:rsidR="00431229" w:rsidRPr="006662F5" w:rsidRDefault="00431229">
      <w:pPr>
        <w:pStyle w:val="footnote"/>
      </w:pPr>
      <w:r w:rsidRPr="006662F5">
        <w:rPr>
          <w:vertAlign w:val="superscript"/>
        </w:rPr>
        <w:footnoteRef/>
      </w:r>
      <w:r w:rsidRPr="006662F5">
        <w:rPr>
          <w:i/>
          <w:iCs/>
        </w:rPr>
        <w:t>Id</w:t>
      </w:r>
      <w:r w:rsidRPr="006662F5">
        <w:t xml:space="preserve">. at 1041–42. The court further found a violation of the ACPA. </w:t>
      </w:r>
      <w:r w:rsidRPr="006662F5">
        <w:rPr>
          <w:i/>
          <w:iCs/>
        </w:rPr>
        <w:t>Id</w:t>
      </w:r>
      <w:r w:rsidRPr="006662F5">
        <w:t>. at 1047–48.</w:t>
      </w:r>
    </w:p>
  </w:footnote>
  <w:footnote w:id="602">
    <w:p w:rsidR="00431229" w:rsidRPr="00C4457D" w:rsidRDefault="00431229">
      <w:pPr>
        <w:pStyle w:val="footnote"/>
        <w:rPr>
          <w:lang w:val="pt-BR"/>
        </w:rPr>
      </w:pPr>
      <w:r w:rsidRPr="006662F5">
        <w:rPr>
          <w:vertAlign w:val="superscript"/>
        </w:rPr>
        <w:footnoteRef/>
      </w:r>
      <w:r w:rsidRPr="006662F5">
        <w:rPr>
          <w:i/>
          <w:iCs/>
        </w:rPr>
        <w:t>Id</w:t>
      </w:r>
      <w:r w:rsidRPr="006662F5">
        <w:t xml:space="preserve">. at 1037. The Fifth Circuit declined to decide this issue. 286 F.3d at 278. Before the TDRA, the FTDA required a “commercial use in commerce.” The TDRA only requires a “use in commerce.” Texas has since adopted the 2007 Model Bill, which requires both a famous mark and a “commercial use” of the famous mark by the second user. </w:t>
      </w:r>
      <w:r w:rsidRPr="00C4457D">
        <w:rPr>
          <w:smallCaps/>
          <w:lang w:val="pt-BR"/>
        </w:rPr>
        <w:t>Tex. Bus. &amp; Com. Code Ann.</w:t>
      </w:r>
      <w:r w:rsidRPr="00C4457D">
        <w:rPr>
          <w:lang w:val="pt-BR"/>
        </w:rPr>
        <w:t xml:space="preserve"> §16.013(a) (2011).</w:t>
      </w:r>
    </w:p>
  </w:footnote>
  <w:footnote w:id="603">
    <w:p w:rsidR="00431229" w:rsidRPr="00C4457D" w:rsidRDefault="00431229">
      <w:pPr>
        <w:pStyle w:val="footnote"/>
        <w:rPr>
          <w:lang w:val="pt-BR"/>
        </w:rPr>
      </w:pPr>
      <w:r w:rsidRPr="006662F5">
        <w:rPr>
          <w:vertAlign w:val="superscript"/>
        </w:rPr>
        <w:footnoteRef/>
      </w:r>
      <w:r w:rsidRPr="00C4457D">
        <w:rPr>
          <w:lang w:val="pt-BR"/>
        </w:rPr>
        <w:t>53 S.W.3d 799 (Tex. App. 2001).</w:t>
      </w:r>
    </w:p>
  </w:footnote>
  <w:footnote w:id="604">
    <w:p w:rsidR="00431229" w:rsidRPr="006662F5" w:rsidRDefault="00431229">
      <w:pPr>
        <w:pStyle w:val="footnote"/>
      </w:pPr>
      <w:r w:rsidRPr="006662F5">
        <w:rPr>
          <w:vertAlign w:val="superscript"/>
        </w:rPr>
        <w:footnoteRef/>
      </w:r>
      <w:r w:rsidRPr="006662F5">
        <w:rPr>
          <w:i/>
          <w:iCs/>
        </w:rPr>
        <w:t>Id</w:t>
      </w:r>
      <w:r w:rsidRPr="006662F5">
        <w:t xml:space="preserve">. at 804–05. The defendant was aware of the plaintiff’s prior use of the designation. </w:t>
      </w:r>
      <w:r w:rsidRPr="006662F5">
        <w:rPr>
          <w:i/>
          <w:iCs/>
        </w:rPr>
        <w:t>Id</w:t>
      </w:r>
      <w:r w:rsidRPr="006662F5">
        <w:t>. at 805.</w:t>
      </w:r>
    </w:p>
  </w:footnote>
  <w:footnote w:id="605">
    <w:p w:rsidR="00431229" w:rsidRPr="006662F5" w:rsidRDefault="00431229">
      <w:pPr>
        <w:pStyle w:val="footnote"/>
      </w:pPr>
      <w:r w:rsidRPr="006662F5">
        <w:rPr>
          <w:vertAlign w:val="superscript"/>
        </w:rPr>
        <w:footnoteRef/>
      </w:r>
      <w:r w:rsidRPr="006662F5">
        <w:rPr>
          <w:i/>
          <w:iCs/>
        </w:rPr>
        <w:t>Id</w:t>
      </w:r>
      <w:r w:rsidRPr="006662F5">
        <w:t>. at 804.</w:t>
      </w:r>
    </w:p>
  </w:footnote>
  <w:footnote w:id="606">
    <w:p w:rsidR="00431229" w:rsidRPr="006662F5" w:rsidRDefault="00431229">
      <w:pPr>
        <w:pStyle w:val="footnote"/>
      </w:pPr>
      <w:r w:rsidRPr="006662F5">
        <w:rPr>
          <w:vertAlign w:val="superscript"/>
        </w:rPr>
        <w:footnoteRef/>
      </w:r>
      <w:r w:rsidRPr="006662F5">
        <w:t xml:space="preserve">The court found the designation Horseshoe Bay to be a trademark, despite the fact that it also had geographic significance. It based this conclusion largely on the fact that the name was coined by the plaintiff, and the name previously had no geographic significance. </w:t>
      </w:r>
      <w:r w:rsidRPr="006662F5">
        <w:rPr>
          <w:i/>
          <w:iCs/>
        </w:rPr>
        <w:t>Id</w:t>
      </w:r>
      <w:r w:rsidRPr="006662F5">
        <w:t xml:space="preserve">. at 806–09. The court’s finding that the mark was distinctive is discussed in Chapter 2, §I.A.2. </w:t>
      </w:r>
    </w:p>
  </w:footnote>
  <w:footnote w:id="607">
    <w:p w:rsidR="00431229" w:rsidRPr="006662F5" w:rsidRDefault="00431229">
      <w:pPr>
        <w:pStyle w:val="footnote"/>
      </w:pPr>
      <w:r w:rsidRPr="006662F5">
        <w:rPr>
          <w:vertAlign w:val="superscript"/>
        </w:rPr>
        <w:footnoteRef/>
      </w:r>
      <w:r w:rsidRPr="006662F5">
        <w:rPr>
          <w:i/>
          <w:iCs/>
        </w:rPr>
        <w:t>Id</w:t>
      </w:r>
      <w:r w:rsidRPr="006662F5">
        <w:t xml:space="preserve">. at 812 (citing E. &amp; J. Gallo Winery v. Spider Webs Ltd., 129 F. Supp. 2d 1033, 1038–39 (S.D. Tex. 2001), </w:t>
      </w:r>
      <w:r w:rsidRPr="006662F5">
        <w:rPr>
          <w:i/>
          <w:iCs/>
        </w:rPr>
        <w:t>aff’d</w:t>
      </w:r>
      <w:r w:rsidRPr="006662F5">
        <w:t>, 286 F.3d 270, 62 USPQ2d 1404 (5th Cir. 2002), and Intermatic, Inc. v. Toeppen, 947 F. Supp. 1227, 1240, 40 USPQ2d 1412 (N.D. Ill. 1996)).</w:t>
      </w:r>
      <w:r>
        <w:t xml:space="preserve"> </w:t>
      </w:r>
      <w:r w:rsidRPr="00BB06F1">
        <w:rPr>
          <w:i/>
          <w:iCs/>
        </w:rPr>
        <w:t>See</w:t>
      </w:r>
      <w:r w:rsidRPr="00BB06F1">
        <w:t xml:space="preserve"> Auto Prepurchase Inspections, L.L.C. v. Dickinson, 2009 WL 10669960, at *8 (W.D. Tex. Apr. 29, 2009).</w:t>
      </w:r>
    </w:p>
  </w:footnote>
  <w:footnote w:id="608">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Hasbro, Inc. v. Clue Computing, Inc., 66 F. Supp. 2d 117, 133, 52 USPQ2d 1402 (D. Mass. 1999) (noting that “Clue” is a common term), </w:t>
      </w:r>
      <w:r w:rsidRPr="006662F5">
        <w:rPr>
          <w:i/>
          <w:iCs/>
        </w:rPr>
        <w:t>aff’d</w:t>
      </w:r>
      <w:r w:rsidRPr="006662F5">
        <w:t xml:space="preserve">, 232 F.3d 1, 56 USPQ2d 1766 (1st Cir. 2000); Trans Union LLC v. Credit Research, Inc., 142 F. Supp. 2d 1029, 1046 (N.D. Ill. 2001) (refusing to enjoin domain names using marks consisting of common terms). </w:t>
      </w:r>
      <w:r w:rsidRPr="006662F5">
        <w:rPr>
          <w:i/>
          <w:iCs/>
        </w:rPr>
        <w:t>But see</w:t>
      </w:r>
      <w:r w:rsidRPr="006662F5">
        <w:t xml:space="preserve"> Registral.com, LLC v. Fisher Controls Int’l, Inc., 2001 WL 34109376 (S.D. Tex. June 28, 2001) (granting relief for domain name fisher.com).</w:t>
      </w:r>
    </w:p>
  </w:footnote>
  <w:footnote w:id="609">
    <w:p w:rsidR="00431229" w:rsidRPr="006662F5" w:rsidRDefault="00431229">
      <w:pPr>
        <w:pStyle w:val="footnote"/>
      </w:pPr>
      <w:r w:rsidRPr="006662F5">
        <w:rPr>
          <w:vertAlign w:val="superscript"/>
        </w:rPr>
        <w:footnoteRef/>
      </w:r>
      <w:r w:rsidRPr="006662F5">
        <w:t xml:space="preserve">A domain name registrar is an entity authorized by the Internet Corporation for Assigned Names and Numbers (ICANN) to accept registrations and assign domain names to registrants. </w:t>
      </w:r>
      <w:r w:rsidRPr="006662F5">
        <w:rPr>
          <w:i/>
          <w:iCs/>
        </w:rPr>
        <w:t>See</w:t>
      </w:r>
      <w:r w:rsidRPr="006662F5">
        <w:t xml:space="preserve"> Lockheed Martin Corp. v. Network Solutions, Inc., 141 F. Supp. 2d 648, 651, 59 USPQ2d 1231 (N.D. Tex. 2001).</w:t>
      </w:r>
    </w:p>
  </w:footnote>
  <w:footnote w:id="610">
    <w:p w:rsidR="00431229" w:rsidRPr="006662F5" w:rsidRDefault="00431229">
      <w:pPr>
        <w:pStyle w:val="footnote"/>
      </w:pPr>
      <w:r w:rsidRPr="006662F5">
        <w:rPr>
          <w:vertAlign w:val="superscript"/>
        </w:rPr>
        <w:footnoteRef/>
      </w:r>
      <w:r w:rsidRPr="006662F5">
        <w:rPr>
          <w:i/>
          <w:iCs/>
        </w:rPr>
        <w:t>Id</w:t>
      </w:r>
      <w:r w:rsidRPr="006662F5">
        <w:t>. at 656.</w:t>
      </w:r>
    </w:p>
  </w:footnote>
  <w:footnote w:id="611">
    <w:p w:rsidR="00431229" w:rsidRPr="006662F5" w:rsidRDefault="00431229">
      <w:pPr>
        <w:pStyle w:val="footnote"/>
      </w:pPr>
      <w:r w:rsidRPr="006662F5">
        <w:rPr>
          <w:vertAlign w:val="superscript"/>
        </w:rPr>
        <w:footnoteRef/>
      </w:r>
      <w:r w:rsidRPr="006662F5">
        <w:rPr>
          <w:i/>
          <w:iCs/>
        </w:rPr>
        <w:t>Id</w:t>
      </w:r>
      <w:r w:rsidRPr="006662F5">
        <w:t>.</w:t>
      </w:r>
    </w:p>
  </w:footnote>
  <w:footnote w:id="612">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w:t>
      </w:r>
      <w:r w:rsidRPr="006662F5">
        <w:rPr>
          <w:i/>
          <w:iCs/>
        </w:rPr>
        <w:t xml:space="preserve"> Lockheed Martin Corp</w:t>
      </w:r>
      <w:r w:rsidRPr="006662F5">
        <w:t xml:space="preserve">., 985 F. Supp. at 959–60, </w:t>
      </w:r>
      <w:r w:rsidRPr="006662F5">
        <w:rPr>
          <w:i/>
          <w:iCs/>
        </w:rPr>
        <w:t>aff’d</w:t>
      </w:r>
      <w:r w:rsidRPr="006662F5">
        <w:t>, 194 F.3d 980 (9th Cir. 1999).</w:t>
      </w:r>
    </w:p>
  </w:footnote>
  <w:footnote w:id="613">
    <w:p w:rsidR="00431229" w:rsidRPr="006662F5" w:rsidRDefault="00431229">
      <w:pPr>
        <w:pStyle w:val="footnote"/>
      </w:pPr>
      <w:r w:rsidRPr="006662F5">
        <w:rPr>
          <w:vertAlign w:val="superscript"/>
        </w:rPr>
        <w:footnoteRef/>
      </w:r>
      <w:r w:rsidRPr="006662F5">
        <w:rPr>
          <w:smallCaps/>
        </w:rPr>
        <w:t>Cal. Bus. &amp; Prof. Code</w:t>
      </w:r>
      <w:r w:rsidRPr="006662F5">
        <w:t xml:space="preserve"> §§17525–17527 (West Supp. 2002); </w:t>
      </w:r>
      <w:r w:rsidRPr="006662F5">
        <w:rPr>
          <w:i/>
          <w:iCs/>
        </w:rPr>
        <w:t>see</w:t>
      </w:r>
      <w:r w:rsidRPr="006662F5">
        <w:t xml:space="preserve"> Lanham Act §47, 15 U.S.C. §8131 (prohibiting cyberpiracy as it relates to registration of a person’s name as a domain name).</w:t>
      </w:r>
    </w:p>
  </w:footnote>
  <w:footnote w:id="614">
    <w:p w:rsidR="00431229" w:rsidRPr="006662F5" w:rsidRDefault="00431229">
      <w:pPr>
        <w:pStyle w:val="footnote"/>
      </w:pPr>
      <w:r w:rsidRPr="006662F5">
        <w:rPr>
          <w:vertAlign w:val="superscript"/>
        </w:rPr>
        <w:footnoteRef/>
      </w:r>
      <w:r w:rsidRPr="006662F5">
        <w:rPr>
          <w:smallCaps/>
        </w:rPr>
        <w:t>Cal. Bus. &amp; Prof. Code</w:t>
      </w:r>
      <w:r w:rsidRPr="006662F5">
        <w:t xml:space="preserve"> §17525(a) (West Supp. 2002).</w:t>
      </w:r>
    </w:p>
  </w:footnote>
  <w:footnote w:id="615">
    <w:p w:rsidR="00431229" w:rsidRPr="006662F5" w:rsidRDefault="00431229">
      <w:pPr>
        <w:pStyle w:val="footnote"/>
      </w:pPr>
      <w:r w:rsidRPr="006662F5">
        <w:rPr>
          <w:vertAlign w:val="superscript"/>
        </w:rPr>
        <w:footnoteRef/>
      </w:r>
      <w:r w:rsidRPr="006662F5">
        <w:rPr>
          <w:i/>
          <w:iCs/>
        </w:rPr>
        <w:t>Id</w:t>
      </w:r>
      <w:r w:rsidRPr="006662F5">
        <w:t xml:space="preserve">. §17525(b); </w:t>
      </w:r>
      <w:r w:rsidRPr="006662F5">
        <w:rPr>
          <w:i/>
          <w:iCs/>
        </w:rPr>
        <w:t>see</w:t>
      </w:r>
      <w:r w:rsidRPr="006662F5">
        <w:t xml:space="preserve"> Lanham Act §47(1)(B), 15 U.S.C. §1129(1)(B) (providing a similar exception).</w:t>
      </w:r>
    </w:p>
  </w:footnote>
  <w:footnote w:id="616">
    <w:p w:rsidR="00431229" w:rsidRPr="006662F5" w:rsidRDefault="00431229">
      <w:pPr>
        <w:pStyle w:val="footnote"/>
      </w:pPr>
      <w:r w:rsidRPr="006662F5">
        <w:rPr>
          <w:vertAlign w:val="superscript"/>
        </w:rPr>
        <w:footnoteRef/>
      </w:r>
      <w:r w:rsidRPr="006662F5">
        <w:rPr>
          <w:smallCaps/>
        </w:rPr>
        <w:t>Cal. Bus. &amp; Prof. Code</w:t>
      </w:r>
      <w:r w:rsidRPr="006662F5">
        <w:t xml:space="preserve"> §17525(c) (West Supp. 2002).</w:t>
      </w:r>
    </w:p>
  </w:footnote>
  <w:footnote w:id="617">
    <w:p w:rsidR="00431229" w:rsidRPr="006662F5" w:rsidRDefault="00431229">
      <w:pPr>
        <w:pStyle w:val="footnote"/>
      </w:pPr>
      <w:r w:rsidRPr="006662F5">
        <w:rPr>
          <w:vertAlign w:val="superscript"/>
        </w:rPr>
        <w:footnoteRef/>
      </w:r>
      <w:r w:rsidRPr="006662F5">
        <w:t>Wright v. Domain Source, Inc., 2002 U.S. Dist. LEXIS 16024 (N.D. Ill. Aug. 27, 2002).</w:t>
      </w:r>
    </w:p>
  </w:footnote>
  <w:footnote w:id="618">
    <w:p w:rsidR="00431229" w:rsidRPr="006662F5" w:rsidRDefault="00431229">
      <w:pPr>
        <w:pStyle w:val="footnote"/>
      </w:pPr>
      <w:r w:rsidRPr="006662F5">
        <w:rPr>
          <w:vertAlign w:val="superscript"/>
        </w:rPr>
        <w:footnoteRef/>
      </w:r>
      <w:r w:rsidRPr="006662F5">
        <w:t xml:space="preserve">Lanham Act §47, 15 U.S.C. §8131. Although in general the ACPA applies where the domain name dilutes a famous mark, 15 U.S.C. §1125(d)(1)(A)(ii)(II), the section of the ACPA dealing with domain names and personal names only applies to domain names that are identical or “substantially and confusingly similar” to the person’s name. Lanham Act §47(1)(A), 15 U.S.C. §8131(1)(A). This reflects the fact that personal names are not necessarily trademarks; §47 is narrower than the California statute in another respect: it only applies to living persons. </w:t>
      </w:r>
      <w:r w:rsidRPr="006662F5">
        <w:rPr>
          <w:i/>
          <w:iCs/>
        </w:rPr>
        <w:t>Id</w:t>
      </w:r>
      <w:r w:rsidRPr="006662F5">
        <w:t>.</w:t>
      </w:r>
    </w:p>
  </w:footnote>
  <w:footnote w:id="619">
    <w:p w:rsidR="00431229" w:rsidRPr="006662F5" w:rsidRDefault="00431229">
      <w:pPr>
        <w:pStyle w:val="footnote"/>
      </w:pPr>
      <w:r w:rsidRPr="006662F5">
        <w:rPr>
          <w:vertAlign w:val="superscript"/>
        </w:rPr>
        <w:footnoteRef/>
      </w:r>
      <w:r w:rsidRPr="006662F5">
        <w:rPr>
          <w:i/>
          <w:iCs/>
        </w:rPr>
        <w:t>See</w:t>
      </w:r>
      <w:r w:rsidRPr="006662F5">
        <w:t xml:space="preserve"> Trans Union LLC v. Credit Research, Inc., 142 F. Supp. 2d 1029 (N.D. Ill. 2001).</w:t>
      </w:r>
    </w:p>
  </w:footnote>
  <w:footnote w:id="620">
    <w:p w:rsidR="00431229" w:rsidRPr="006662F5" w:rsidRDefault="00431229">
      <w:pPr>
        <w:pStyle w:val="footnote"/>
      </w:pPr>
      <w:r w:rsidRPr="006662F5">
        <w:rPr>
          <w:vertAlign w:val="superscript"/>
        </w:rPr>
        <w:footnoteRef/>
      </w:r>
      <w:r w:rsidRPr="006662F5">
        <w:rPr>
          <w:i/>
          <w:iCs/>
        </w:rPr>
        <w:t>Id</w:t>
      </w:r>
      <w:r w:rsidRPr="006662F5">
        <w:t xml:space="preserve">. at 1040; Bihari v. Gross, 119 F. Supp. 2d 309, 321–24, 56 USPQ2d 1489 (S.D.N.Y. 2000); </w:t>
      </w:r>
      <w:r w:rsidRPr="006662F5">
        <w:rPr>
          <w:i/>
          <w:iCs/>
        </w:rPr>
        <w:t xml:space="preserve">see also </w:t>
      </w:r>
      <w:r w:rsidRPr="006662F5">
        <w:t xml:space="preserve">Playboy Enters., Inc. v. Welles, 279 F.3d 796, 804, 61 USPQ2d 1508 (9th Cir. 2002) (finding “no descriptive substitute for the trademarks used in Welles’ metatags”; nominative fair use applied). </w:t>
      </w:r>
      <w:r w:rsidRPr="000540A5">
        <w:rPr>
          <w:i/>
        </w:rPr>
        <w:t>See</w:t>
      </w:r>
      <w:r w:rsidRPr="006662F5">
        <w:t xml:space="preserve"> Chapter 9, §II.H.6.</w:t>
      </w:r>
    </w:p>
  </w:footnote>
  <w:footnote w:id="621">
    <w:p w:rsidR="00431229" w:rsidRPr="006662F5" w:rsidRDefault="00431229">
      <w:pPr>
        <w:pStyle w:val="footnote"/>
      </w:pPr>
      <w:r w:rsidRPr="006662F5">
        <w:rPr>
          <w:vertAlign w:val="superscript"/>
        </w:rPr>
        <w:footnoteRef/>
      </w:r>
      <w:r w:rsidRPr="006662F5">
        <w:rPr>
          <w:i/>
          <w:iCs/>
        </w:rPr>
        <w:t>But cf</w:t>
      </w:r>
      <w:r w:rsidRPr="006662F5">
        <w:t>., Ford Motor Co. v. 2600 Enters., 177 F. Supp. 2d 661, 664–65, 61 USPQ2d 1757 (E.D. Mich. 2001) (link to “ford.com” Web site in defendant’s “fuckgeneralmotors.com” site not a commercial use).</w:t>
      </w:r>
    </w:p>
  </w:footnote>
  <w:footnote w:id="622">
    <w:p w:rsidR="00431229" w:rsidRPr="006662F5" w:rsidRDefault="00431229">
      <w:pPr>
        <w:pStyle w:val="footnote"/>
      </w:pPr>
      <w:r w:rsidRPr="006662F5">
        <w:rPr>
          <w:vertAlign w:val="superscript"/>
        </w:rPr>
        <w:footnoteRef/>
      </w:r>
      <w:r w:rsidRPr="006662F5">
        <w:t>Most likely the user would attribute arriving at the errant site to some sort of computer error.</w:t>
      </w:r>
    </w:p>
  </w:footnote>
  <w:footnote w:id="623">
    <w:p w:rsidR="00431229" w:rsidRPr="00BD7C63" w:rsidRDefault="00431229">
      <w:pPr>
        <w:pStyle w:val="FootnoteText"/>
      </w:pPr>
      <w:r>
        <w:rPr>
          <w:rStyle w:val="FootnoteReference"/>
          <w:rFonts w:eastAsiaTheme="majorEastAsia"/>
        </w:rPr>
        <w:footnoteRef/>
      </w:r>
      <w:r>
        <w:t xml:space="preserve"> For a discussion of contributory liability in federal dilution cases see Chapter 9, section II.I.</w:t>
      </w:r>
    </w:p>
  </w:footnote>
  <w:footnote w:id="624">
    <w:p w:rsidR="00431229" w:rsidRPr="006662F5" w:rsidRDefault="00431229">
      <w:pPr>
        <w:pStyle w:val="footnote"/>
      </w:pPr>
      <w:r w:rsidRPr="006662F5">
        <w:rPr>
          <w:vertAlign w:val="superscript"/>
        </w:rPr>
        <w:footnoteRef/>
      </w:r>
      <w:r w:rsidRPr="006662F5">
        <w:rPr>
          <w:i/>
          <w:iCs/>
        </w:rPr>
        <w:t>See</w:t>
      </w:r>
      <w:r w:rsidRPr="006662F5">
        <w:t xml:space="preserve"> Coca-Cola Co. v. Snow Crest Beverages, Inc., 64 F. Supp. 980, 989, 68 USPQ 437 (D. Mass. 1946), </w:t>
      </w:r>
      <w:r w:rsidRPr="006662F5">
        <w:rPr>
          <w:i/>
          <w:iCs/>
        </w:rPr>
        <w:t>aff’d</w:t>
      </w:r>
      <w:r w:rsidRPr="006662F5">
        <w:t xml:space="preserve">, 162 F.2d 280, 73 USPQ 518 (1st Cir.), </w:t>
      </w:r>
      <w:r w:rsidRPr="006662F5">
        <w:rPr>
          <w:i/>
          <w:iCs/>
        </w:rPr>
        <w:t>cert</w:t>
      </w:r>
      <w:r w:rsidRPr="006662F5">
        <w:t>.</w:t>
      </w:r>
      <w:r w:rsidRPr="006662F5">
        <w:rPr>
          <w:i/>
          <w:iCs/>
        </w:rPr>
        <w:t xml:space="preserve"> denied</w:t>
      </w:r>
      <w:r w:rsidRPr="006662F5">
        <w:t>, 332 U.S. 809, 75 USPQ 365 (1947).</w:t>
      </w:r>
    </w:p>
  </w:footnote>
  <w:footnote w:id="625">
    <w:p w:rsidR="00431229" w:rsidRPr="006662F5" w:rsidRDefault="00431229">
      <w:pPr>
        <w:pStyle w:val="footnote"/>
      </w:pPr>
      <w:r w:rsidRPr="006662F5">
        <w:rPr>
          <w:vertAlign w:val="superscript"/>
        </w:rPr>
        <w:footnoteRef/>
      </w:r>
      <w:r w:rsidRPr="006662F5">
        <w:rPr>
          <w:i/>
          <w:iCs/>
        </w:rPr>
        <w:t>Id</w:t>
      </w:r>
      <w:r w:rsidRPr="006662F5">
        <w:t xml:space="preserve">. at 989; Inwood Labs. v. Ives Labs., 456 U.S. 844, 854, 214 USPQ 1 (1982); </w:t>
      </w:r>
      <w:r w:rsidRPr="006662F5">
        <w:rPr>
          <w:i/>
          <w:iCs/>
        </w:rPr>
        <w:t>see</w:t>
      </w:r>
      <w:r w:rsidRPr="006662F5">
        <w:t xml:space="preserve"> Tiffany (NJ), Inc. v. eBay, Inc., 600 F.3d 93, 106 (2d Cir.) (assuming, without deciding, that the </w:t>
      </w:r>
      <w:r w:rsidRPr="006662F5">
        <w:rPr>
          <w:i/>
          <w:iCs/>
        </w:rPr>
        <w:t>Inwood</w:t>
      </w:r>
      <w:r w:rsidRPr="006662F5">
        <w:t xml:space="preserve"> test applied), </w:t>
      </w:r>
      <w:r w:rsidRPr="006662F5">
        <w:rPr>
          <w:i/>
          <w:iCs/>
        </w:rPr>
        <w:t>cert</w:t>
      </w:r>
      <w:r w:rsidRPr="006662F5">
        <w:t>.</w:t>
      </w:r>
      <w:r w:rsidRPr="006662F5">
        <w:rPr>
          <w:i/>
          <w:iCs/>
        </w:rPr>
        <w:t xml:space="preserve"> denied</w:t>
      </w:r>
      <w:r w:rsidRPr="006662F5">
        <w:t>, 131 S. Ct. 647 (2010).</w:t>
      </w:r>
    </w:p>
  </w:footnote>
  <w:footnote w:id="626">
    <w:p w:rsidR="00431229" w:rsidRPr="006662F5" w:rsidRDefault="00431229">
      <w:pPr>
        <w:pStyle w:val="footnote"/>
      </w:pPr>
      <w:r w:rsidRPr="006662F5">
        <w:rPr>
          <w:vertAlign w:val="superscript"/>
        </w:rPr>
        <w:footnoteRef/>
      </w:r>
      <w:r w:rsidRPr="006662F5">
        <w:rPr>
          <w:i/>
          <w:iCs/>
        </w:rPr>
        <w:t>See</w:t>
      </w:r>
      <w:r w:rsidRPr="006662F5">
        <w:t xml:space="preserve"> Lockheed Martin Corp. v. Network Solutions, Inc., 175 F.R.D. 640, 646, 44 USPQ2d 1521 (C.D. Cal. 1997), </w:t>
      </w:r>
      <w:r w:rsidRPr="006662F5">
        <w:rPr>
          <w:i/>
          <w:iCs/>
        </w:rPr>
        <w:t>aff’d</w:t>
      </w:r>
      <w:r w:rsidRPr="006662F5">
        <w:t>, 194 F.3d 980, 986, 52 USPQ2d 1481 (9th Cir. 1999) (quoting Sony Corp. v. Universal City Studios, 464 U.S. 417, 439 n.19, 220 USPQ 665 (1984)).</w:t>
      </w:r>
    </w:p>
  </w:footnote>
  <w:footnote w:id="627">
    <w:p w:rsidR="00431229" w:rsidRPr="006662F5" w:rsidRDefault="00431229">
      <w:pPr>
        <w:pStyle w:val="footnote"/>
      </w:pPr>
      <w:r w:rsidRPr="006662F5">
        <w:rPr>
          <w:vertAlign w:val="superscript"/>
        </w:rPr>
        <w:footnoteRef/>
      </w:r>
      <w:r w:rsidRPr="006662F5">
        <w:t xml:space="preserve">Tiffany (NJ), Inc. v. eBay, Inc., 576 F. Supp. 2d 463, 526 (S.D.N.Y. 2008), </w:t>
      </w:r>
      <w:r w:rsidRPr="006662F5">
        <w:rPr>
          <w:i/>
          <w:iCs/>
        </w:rPr>
        <w:t>aff’d</w:t>
      </w:r>
      <w:r w:rsidRPr="006662F5">
        <w:t xml:space="preserve">, 600 F.3d 93 (2d Cir.) (the Second Circuit declined to reach this issue), </w:t>
      </w:r>
      <w:r w:rsidRPr="006662F5">
        <w:rPr>
          <w:i/>
          <w:iCs/>
        </w:rPr>
        <w:t>cert</w:t>
      </w:r>
      <w:r w:rsidRPr="006662F5">
        <w:t>.</w:t>
      </w:r>
      <w:r w:rsidRPr="006662F5">
        <w:rPr>
          <w:i/>
          <w:iCs/>
        </w:rPr>
        <w:t xml:space="preserve"> denied</w:t>
      </w:r>
      <w:r w:rsidRPr="006662F5">
        <w:t>, 131 S. Ct. 647 (2010). See</w:t>
      </w:r>
      <w:r w:rsidRPr="006662F5">
        <w:rPr>
          <w:i/>
          <w:iCs/>
        </w:rPr>
        <w:t xml:space="preserve"> </w:t>
      </w:r>
      <w:r w:rsidRPr="006662F5">
        <w:t>Chapter 9, §II.I, for a discussion of contributory liability under the TDRA.</w:t>
      </w:r>
    </w:p>
  </w:footnote>
  <w:footnote w:id="628">
    <w:p w:rsidR="00431229" w:rsidRPr="006662F5" w:rsidRDefault="00431229">
      <w:pPr>
        <w:pStyle w:val="footnote"/>
      </w:pPr>
      <w:r w:rsidRPr="006662F5">
        <w:rPr>
          <w:vertAlign w:val="superscript"/>
        </w:rPr>
        <w:footnoteRef/>
      </w:r>
      <w:r w:rsidRPr="006662F5">
        <w:t>Lockheed Martin Corp. v. Network Solutions, Inc., 194 F.3d 980, 986, 52 USPQ2d 1481 (9th Cir. 1999) (any such claim should be limited to knowingly supplying diluting product or to exercising control over production).</w:t>
      </w:r>
    </w:p>
  </w:footnote>
  <w:footnote w:id="629">
    <w:p w:rsidR="00431229" w:rsidRPr="006662F5" w:rsidRDefault="00431229">
      <w:pPr>
        <w:pStyle w:val="footnote"/>
      </w:pPr>
      <w:r w:rsidRPr="006662F5">
        <w:rPr>
          <w:vertAlign w:val="superscript"/>
        </w:rPr>
        <w:footnoteRef/>
      </w:r>
      <w:r w:rsidRPr="006662F5">
        <w:t>Academy of Motion Picture Arts &amp; Sciences v. Network Solutions, Inc., 989 F. Supp. 1276, 1279 (C.D. Cal. 1997) (refusing to permit a claim under either the FTDA or California law for contributory dilution).</w:t>
      </w:r>
    </w:p>
  </w:footnote>
  <w:footnote w:id="630">
    <w:p w:rsidR="00431229" w:rsidRPr="006662F5" w:rsidRDefault="00431229" w:rsidP="00C4506F">
      <w:pPr>
        <w:pStyle w:val="footnote"/>
      </w:pPr>
      <w:r w:rsidRPr="006662F5">
        <w:rPr>
          <w:vertAlign w:val="superscript"/>
        </w:rPr>
        <w:footnoteRef/>
      </w:r>
      <w:r w:rsidRPr="006662F5">
        <w:t>Steinway, Inc. v. Ashley, 2002 WL 122929, at *2</w:t>
      </w:r>
      <w:r>
        <w:t xml:space="preserve">, </w:t>
      </w:r>
      <w:r w:rsidRPr="00C4506F">
        <w:t>2002 BL 1368</w:t>
      </w:r>
      <w:r w:rsidRPr="006662F5">
        <w:t xml:space="preserve"> (S.D.N.Y. Jan. 29, 2002). The court also permitted claims of contributory infringement to go forward. </w:t>
      </w:r>
      <w:r w:rsidRPr="006662F5">
        <w:rPr>
          <w:i/>
          <w:iCs/>
        </w:rPr>
        <w:t>Id</w:t>
      </w:r>
      <w:r w:rsidRPr="006662F5">
        <w:t>.</w:t>
      </w:r>
    </w:p>
  </w:footnote>
  <w:footnote w:id="631">
    <w:p w:rsidR="00431229" w:rsidRPr="006662F5" w:rsidRDefault="00431229">
      <w:pPr>
        <w:pStyle w:val="footnote"/>
      </w:pPr>
      <w:r w:rsidRPr="006662F5">
        <w:rPr>
          <w:vertAlign w:val="superscript"/>
        </w:rPr>
        <w:footnoteRef/>
      </w:r>
      <w:r w:rsidRPr="006662F5">
        <w:rPr>
          <w:i/>
          <w:iCs/>
        </w:rPr>
        <w:t>Id</w:t>
      </w:r>
      <w:r w:rsidRPr="006662F5">
        <w:t>.</w:t>
      </w:r>
    </w:p>
  </w:footnote>
  <w:footnote w:id="632">
    <w:p w:rsidR="00431229" w:rsidRPr="006662F5" w:rsidRDefault="00431229">
      <w:pPr>
        <w:pStyle w:val="footnote"/>
      </w:pPr>
      <w:r w:rsidRPr="006662F5">
        <w:rPr>
          <w:vertAlign w:val="superscript"/>
        </w:rPr>
        <w:footnoteRef/>
      </w:r>
      <w:r w:rsidRPr="006662F5">
        <w:t>Kegan v. Apple Computer Inc., 42 USPQ2d 1053, 1062 (N.D. Ill. 1996).</w:t>
      </w:r>
    </w:p>
  </w:footnote>
  <w:footnote w:id="633">
    <w:p w:rsidR="00431229" w:rsidRPr="006662F5" w:rsidRDefault="00431229">
      <w:pPr>
        <w:pStyle w:val="footnote"/>
      </w:pPr>
      <w:r w:rsidRPr="006662F5">
        <w:rPr>
          <w:vertAlign w:val="superscript"/>
        </w:rPr>
        <w:footnoteRef/>
      </w:r>
      <w:r w:rsidRPr="006662F5">
        <w:t xml:space="preserve">Fare Deals, Ltd. v. World Choice Travel.com, Inc., 180 F. Supp. 2d 678, 696–97 (D. Md. 2001). The court analyzed the two contributory claims together, using the same standard. </w:t>
      </w:r>
      <w:r w:rsidRPr="006662F5">
        <w:rPr>
          <w:i/>
          <w:iCs/>
        </w:rPr>
        <w:t>Id</w:t>
      </w:r>
      <w:r w:rsidRPr="006662F5">
        <w:t>.;</w:t>
      </w:r>
      <w:r w:rsidRPr="006662F5">
        <w:rPr>
          <w:i/>
          <w:iCs/>
        </w:rPr>
        <w:t xml:space="preserve"> see also</w:t>
      </w:r>
      <w:r w:rsidRPr="006662F5">
        <w:t xml:space="preserve"> Perfect 10, Inc. v. Cybernet Ventures, Inc., 167 F. Supp. 2d 1114, 1123 n.9 (C.D. Cal. 2001) (declining to address the issue directly, but noting the variance in authority).</w:t>
      </w:r>
    </w:p>
  </w:footnote>
  <w:footnote w:id="634">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International Order of Job’s Daughters v. Lindeberg &amp; Co., 633 F.2d 912, 208 USPQ 718 (9th Cir. 1980) (sale of rings with insignia of fraternal order), </w:t>
      </w:r>
      <w:r w:rsidRPr="006662F5">
        <w:rPr>
          <w:i/>
          <w:iCs/>
        </w:rPr>
        <w:t>cert</w:t>
      </w:r>
      <w:r w:rsidRPr="006662F5">
        <w:t>.</w:t>
      </w:r>
      <w:r w:rsidRPr="006662F5">
        <w:rPr>
          <w:i/>
          <w:iCs/>
        </w:rPr>
        <w:t xml:space="preserve"> denied</w:t>
      </w:r>
      <w:r w:rsidRPr="006662F5">
        <w:t xml:space="preserve">, 452 U.S. 941, 213 USPQ 1056 (1981); Boston Prof’l Hockey Ass’n v. Dallas Cap &amp; Emblem Mfg., 510 F.2d 1004, 185 USPQ 364 (5th Cir.) (sale of insignia of professional hockey team), </w:t>
      </w:r>
      <w:r w:rsidRPr="006662F5">
        <w:rPr>
          <w:i/>
          <w:iCs/>
        </w:rPr>
        <w:t>cert</w:t>
      </w:r>
      <w:r w:rsidRPr="006662F5">
        <w:t>.</w:t>
      </w:r>
      <w:r w:rsidRPr="006662F5">
        <w:rPr>
          <w:i/>
          <w:iCs/>
        </w:rPr>
        <w:t xml:space="preserve"> denied</w:t>
      </w:r>
      <w:r w:rsidRPr="006662F5">
        <w:t>, 423 U.S. 868, 187 USPQ 480 (1975).</w:t>
      </w:r>
    </w:p>
  </w:footnote>
  <w:footnote w:id="635">
    <w:p w:rsidR="00431229" w:rsidRPr="006662F5" w:rsidRDefault="00431229">
      <w:pPr>
        <w:pStyle w:val="footnote"/>
      </w:pPr>
      <w:r w:rsidRPr="006662F5">
        <w:rPr>
          <w:vertAlign w:val="superscript"/>
        </w:rPr>
        <w:footnoteRef/>
      </w:r>
      <w:r w:rsidRPr="006662F5">
        <w:t xml:space="preserve">713 F. Supp. 1329, 11 USPQ2d 1023 (C.D. Cal. 1989), </w:t>
      </w:r>
      <w:r w:rsidRPr="006662F5">
        <w:rPr>
          <w:i/>
          <w:iCs/>
        </w:rPr>
        <w:t>vacated pursuant to consent judgment</w:t>
      </w:r>
      <w:r w:rsidRPr="006662F5">
        <w:t>, 767 F. Supp. 1036, 18 USPQ2d 1975 (C.D. Cal. 1991).</w:t>
      </w:r>
    </w:p>
  </w:footnote>
  <w:footnote w:id="636">
    <w:p w:rsidR="00431229" w:rsidRPr="006662F5" w:rsidRDefault="00431229">
      <w:pPr>
        <w:pStyle w:val="footnote"/>
      </w:pPr>
      <w:r w:rsidRPr="006662F5">
        <w:rPr>
          <w:vertAlign w:val="superscript"/>
        </w:rPr>
        <w:footnoteRef/>
      </w:r>
      <w:r w:rsidRPr="006662F5">
        <w:rPr>
          <w:i/>
          <w:iCs/>
        </w:rPr>
        <w:t>Id</w:t>
      </w:r>
      <w:r w:rsidRPr="006662F5">
        <w:t>. at 1333.</w:t>
      </w:r>
    </w:p>
  </w:footnote>
  <w:footnote w:id="637">
    <w:p w:rsidR="00431229" w:rsidRPr="00C4457D" w:rsidRDefault="00431229">
      <w:pPr>
        <w:pStyle w:val="footnote"/>
        <w:rPr>
          <w:lang w:val="da-DK"/>
        </w:rPr>
      </w:pPr>
      <w:r w:rsidRPr="006662F5">
        <w:rPr>
          <w:vertAlign w:val="superscript"/>
        </w:rPr>
        <w:footnoteRef/>
      </w:r>
      <w:r w:rsidRPr="006662F5">
        <w:t xml:space="preserve">The court rejected defendant’s argument that the dilution statute was preempted by federal patent and trademark laws. </w:t>
      </w:r>
      <w:r w:rsidRPr="00C4457D">
        <w:rPr>
          <w:i/>
          <w:iCs/>
          <w:lang w:val="da-DK"/>
        </w:rPr>
        <w:t>Id</w:t>
      </w:r>
      <w:r w:rsidRPr="00C4457D">
        <w:rPr>
          <w:lang w:val="da-DK"/>
        </w:rPr>
        <w:t>. at 1344–47.</w:t>
      </w:r>
    </w:p>
  </w:footnote>
  <w:footnote w:id="638">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1348–49.</w:t>
      </w:r>
    </w:p>
  </w:footnote>
  <w:footnote w:id="639">
    <w:p w:rsidR="00431229" w:rsidRPr="00C4457D" w:rsidRDefault="00431229">
      <w:pPr>
        <w:pStyle w:val="footnote"/>
        <w:rPr>
          <w:lang w:val="da-DK"/>
        </w:rPr>
      </w:pPr>
      <w:r w:rsidRPr="006662F5">
        <w:rPr>
          <w:vertAlign w:val="superscript"/>
        </w:rPr>
        <w:footnoteRef/>
      </w:r>
      <w:r w:rsidRPr="00C4457D">
        <w:rPr>
          <w:i/>
          <w:iCs/>
          <w:lang w:val="da-DK"/>
        </w:rPr>
        <w:t>Id</w:t>
      </w:r>
      <w:r w:rsidRPr="00C4457D">
        <w:rPr>
          <w:lang w:val="da-DK"/>
        </w:rPr>
        <w:t>. at 1349.</w:t>
      </w:r>
    </w:p>
  </w:footnote>
  <w:footnote w:id="640">
    <w:p w:rsidR="00431229" w:rsidRPr="00C4457D" w:rsidRDefault="00431229">
      <w:pPr>
        <w:pStyle w:val="footnote"/>
        <w:rPr>
          <w:lang w:val="da-DK"/>
        </w:rPr>
      </w:pPr>
      <w:r w:rsidRPr="006662F5">
        <w:rPr>
          <w:vertAlign w:val="superscript"/>
        </w:rPr>
        <w:footnoteRef/>
      </w:r>
      <w:r w:rsidRPr="00C4457D">
        <w:rPr>
          <w:lang w:val="da-DK"/>
        </w:rPr>
        <w:t>555 F. Supp. 1188, 217 USPQ 910 (S.D.N.Y. 1983).</w:t>
      </w:r>
    </w:p>
  </w:footnote>
  <w:footnote w:id="641">
    <w:p w:rsidR="00431229" w:rsidRPr="006662F5" w:rsidRDefault="00431229">
      <w:pPr>
        <w:pStyle w:val="footnote"/>
      </w:pPr>
      <w:r w:rsidRPr="006662F5">
        <w:rPr>
          <w:vertAlign w:val="superscript"/>
        </w:rPr>
        <w:footnoteRef/>
      </w:r>
      <w:r w:rsidRPr="006662F5">
        <w:rPr>
          <w:i/>
          <w:iCs/>
        </w:rPr>
        <w:t>Id</w:t>
      </w:r>
      <w:r w:rsidRPr="006662F5">
        <w:t>. at 1191.</w:t>
      </w:r>
    </w:p>
  </w:footnote>
  <w:footnote w:id="642">
    <w:p w:rsidR="00431229" w:rsidRPr="006662F5" w:rsidRDefault="00431229">
      <w:pPr>
        <w:pStyle w:val="footnote"/>
      </w:pPr>
      <w:r w:rsidRPr="006662F5">
        <w:rPr>
          <w:vertAlign w:val="superscript"/>
        </w:rPr>
        <w:footnoteRef/>
      </w:r>
      <w:r w:rsidRPr="006662F5">
        <w:rPr>
          <w:i/>
          <w:iCs/>
        </w:rPr>
        <w:t>Id</w:t>
      </w:r>
      <w:r w:rsidRPr="006662F5">
        <w:t>. at 1196.</w:t>
      </w:r>
    </w:p>
  </w:footnote>
  <w:footnote w:id="643">
    <w:p w:rsidR="00431229" w:rsidRPr="006662F5" w:rsidRDefault="00431229">
      <w:pPr>
        <w:pStyle w:val="footnote"/>
      </w:pPr>
      <w:r w:rsidRPr="006662F5">
        <w:rPr>
          <w:vertAlign w:val="superscript"/>
        </w:rPr>
        <w:footnoteRef/>
      </w:r>
      <w:r w:rsidRPr="006662F5">
        <w:t xml:space="preserve">Robert Denicola, Institutional Publicity Rights: An Analysis of the Merchandising of Famous Trade Symbols, 62 </w:t>
      </w:r>
      <w:r w:rsidRPr="006662F5">
        <w:rPr>
          <w:smallCaps/>
        </w:rPr>
        <w:t>N.C.L. Rev.</w:t>
      </w:r>
      <w:r w:rsidRPr="006662F5">
        <w:t xml:space="preserve"> 603, 639 (1984).</w:t>
      </w:r>
    </w:p>
  </w:footnote>
  <w:footnote w:id="644">
    <w:p w:rsidR="00431229" w:rsidRPr="006662F5" w:rsidRDefault="00431229">
      <w:pPr>
        <w:pStyle w:val="footnote"/>
      </w:pPr>
      <w:r w:rsidRPr="006662F5">
        <w:rPr>
          <w:vertAlign w:val="superscript"/>
        </w:rPr>
        <w:footnoteRef/>
      </w:r>
      <w:r w:rsidRPr="006662F5">
        <w:t>184 F. Supp. 2d 665, 62 USPQ2d 1109 (E.D. Mich. 2002).</w:t>
      </w:r>
    </w:p>
  </w:footnote>
  <w:footnote w:id="645">
    <w:p w:rsidR="00431229" w:rsidRPr="006662F5" w:rsidRDefault="00431229">
      <w:pPr>
        <w:pStyle w:val="footnote"/>
      </w:pPr>
      <w:r w:rsidRPr="006662F5">
        <w:rPr>
          <w:vertAlign w:val="superscript"/>
        </w:rPr>
        <w:footnoteRef/>
      </w:r>
      <w:r w:rsidRPr="006662F5">
        <w:rPr>
          <w:i/>
          <w:iCs/>
        </w:rPr>
        <w:t>Id</w:t>
      </w:r>
      <w:r w:rsidRPr="006662F5">
        <w:t xml:space="preserve">. at 683. The court also found likelihood of confusion. </w:t>
      </w:r>
      <w:r w:rsidRPr="006662F5">
        <w:rPr>
          <w:i/>
          <w:iCs/>
        </w:rPr>
        <w:t>Id</w:t>
      </w:r>
      <w:r w:rsidRPr="006662F5">
        <w:t>. at 677.</w:t>
      </w:r>
    </w:p>
  </w:footnote>
  <w:footnote w:id="646">
    <w:p w:rsidR="00431229" w:rsidRPr="006662F5" w:rsidRDefault="00431229">
      <w:pPr>
        <w:pStyle w:val="footnote"/>
      </w:pPr>
      <w:r w:rsidRPr="006662F5">
        <w:rPr>
          <w:vertAlign w:val="superscript"/>
        </w:rPr>
        <w:footnoteRef/>
      </w:r>
      <w:r w:rsidRPr="006662F5">
        <w:t>461 F. Supp. 2d 510 (N.D. Tex. 2006).</w:t>
      </w:r>
    </w:p>
  </w:footnote>
  <w:footnote w:id="647">
    <w:p w:rsidR="00431229" w:rsidRPr="006662F5" w:rsidRDefault="00431229">
      <w:pPr>
        <w:pStyle w:val="footnote"/>
      </w:pPr>
      <w:r w:rsidRPr="006662F5">
        <w:rPr>
          <w:vertAlign w:val="superscript"/>
        </w:rPr>
        <w:footnoteRef/>
      </w:r>
      <w:r w:rsidRPr="006662F5">
        <w:t xml:space="preserve">537 U.S. 418, 65 USPQ2d 1801 (2003). See discussion in §VI.A, below. </w:t>
      </w:r>
    </w:p>
  </w:footnote>
  <w:footnote w:id="648">
    <w:p w:rsidR="00431229" w:rsidRPr="006662F5" w:rsidRDefault="00431229">
      <w:pPr>
        <w:pStyle w:val="footnote"/>
      </w:pPr>
      <w:r w:rsidRPr="006662F5">
        <w:rPr>
          <w:vertAlign w:val="superscript"/>
        </w:rPr>
        <w:footnoteRef/>
      </w:r>
      <w:r w:rsidRPr="006662F5">
        <w:t>461 F. Supp. 2d at 524.</w:t>
      </w:r>
    </w:p>
  </w:footnote>
  <w:footnote w:id="649">
    <w:p w:rsidR="00431229" w:rsidRPr="006662F5" w:rsidRDefault="00431229">
      <w:pPr>
        <w:pStyle w:val="footnote"/>
      </w:pPr>
      <w:r w:rsidRPr="006662F5">
        <w:rPr>
          <w:vertAlign w:val="superscript"/>
        </w:rPr>
        <w:footnoteRef/>
      </w:r>
      <w:r w:rsidRPr="006662F5">
        <w:t>644 F. Supp. 2d 1287 (D. Kan. 2008).</w:t>
      </w:r>
    </w:p>
  </w:footnote>
  <w:footnote w:id="650">
    <w:p w:rsidR="00431229" w:rsidRPr="006662F5" w:rsidRDefault="00431229">
      <w:pPr>
        <w:pStyle w:val="footnote"/>
      </w:pPr>
      <w:r w:rsidRPr="006662F5">
        <w:rPr>
          <w:vertAlign w:val="superscript"/>
        </w:rPr>
        <w:footnoteRef/>
      </w:r>
      <w:r w:rsidRPr="006662F5">
        <w:rPr>
          <w:i/>
          <w:iCs/>
        </w:rPr>
        <w:t>Id</w:t>
      </w:r>
      <w:r w:rsidRPr="006662F5">
        <w:t>. at 1305–06. The court declined to overturn the jury’s verdict, which was based on the testimony of a single witness about Kansas fans’ purported reactions and some blog entries in a local blog.</w:t>
      </w:r>
    </w:p>
  </w:footnote>
  <w:footnote w:id="651">
    <w:p w:rsidR="00431229" w:rsidRPr="00C4457D" w:rsidRDefault="00431229">
      <w:pPr>
        <w:pStyle w:val="footnote"/>
        <w:rPr>
          <w:lang w:val="de-DE"/>
        </w:rPr>
      </w:pPr>
      <w:r w:rsidRPr="006662F5">
        <w:rPr>
          <w:vertAlign w:val="superscript"/>
        </w:rPr>
        <w:footnoteRef/>
      </w:r>
      <w:r w:rsidRPr="00C4457D">
        <w:rPr>
          <w:lang w:val="de-DE"/>
        </w:rPr>
        <w:t>177 F. Supp. 2d 635 (E.D. Mich. 2001).</w:t>
      </w:r>
      <w:r w:rsidRPr="00C4457D">
        <w:rPr>
          <w:lang w:val="de-DE"/>
        </w:rPr>
        <w:softHyphen/>
      </w:r>
    </w:p>
  </w:footnote>
  <w:footnote w:id="652">
    <w:p w:rsidR="00431229" w:rsidRPr="00C4457D" w:rsidRDefault="00431229">
      <w:pPr>
        <w:pStyle w:val="footnote"/>
        <w:rPr>
          <w:lang w:val="de-DE"/>
        </w:rPr>
      </w:pPr>
      <w:r w:rsidRPr="006662F5">
        <w:rPr>
          <w:vertAlign w:val="superscript"/>
        </w:rPr>
        <w:footnoteRef/>
      </w:r>
      <w:r w:rsidRPr="00C4457D">
        <w:rPr>
          <w:lang w:val="de-DE"/>
        </w:rPr>
        <w:t xml:space="preserve">Examples cited by the court included “4fordparts.com,” “4fordtrucks.com,”“jaguar-enthusiastsclub.com,” and “vintagevolvos.com.” </w:t>
      </w:r>
      <w:r w:rsidRPr="00C4457D">
        <w:rPr>
          <w:i/>
          <w:iCs/>
          <w:lang w:val="de-DE"/>
        </w:rPr>
        <w:t>Id</w:t>
      </w:r>
      <w:r w:rsidRPr="00C4457D">
        <w:rPr>
          <w:lang w:val="de-DE"/>
        </w:rPr>
        <w:t>. at 646.</w:t>
      </w:r>
    </w:p>
  </w:footnote>
  <w:footnote w:id="653">
    <w:p w:rsidR="00431229" w:rsidRPr="00C4457D" w:rsidRDefault="00431229">
      <w:pPr>
        <w:pStyle w:val="footnote"/>
        <w:rPr>
          <w:lang w:val="de-DE"/>
        </w:rPr>
      </w:pPr>
      <w:r w:rsidRPr="006662F5">
        <w:rPr>
          <w:vertAlign w:val="superscript"/>
        </w:rPr>
        <w:footnoteRef/>
      </w:r>
      <w:r w:rsidRPr="00C4457D">
        <w:rPr>
          <w:i/>
          <w:iCs/>
          <w:lang w:val="de-DE"/>
        </w:rPr>
        <w:t>Id</w:t>
      </w:r>
      <w:r w:rsidRPr="00C4457D">
        <w:rPr>
          <w:lang w:val="de-DE"/>
        </w:rPr>
        <w:t>. at 648.</w:t>
      </w:r>
    </w:p>
  </w:footnote>
  <w:footnote w:id="654">
    <w:p w:rsidR="00431229" w:rsidRPr="00C4457D" w:rsidRDefault="00431229">
      <w:pPr>
        <w:pStyle w:val="footnote"/>
        <w:rPr>
          <w:lang w:val="de-DE"/>
        </w:rPr>
      </w:pPr>
      <w:r w:rsidRPr="006662F5">
        <w:rPr>
          <w:vertAlign w:val="superscript"/>
        </w:rPr>
        <w:footnoteRef/>
      </w:r>
      <w:r w:rsidRPr="00C4457D">
        <w:rPr>
          <w:i/>
          <w:iCs/>
          <w:lang w:val="de-DE"/>
        </w:rPr>
        <w:t>Id</w:t>
      </w:r>
      <w:r w:rsidRPr="00C4457D">
        <w:rPr>
          <w:lang w:val="de-DE"/>
        </w:rPr>
        <w:t>.</w:t>
      </w:r>
    </w:p>
  </w:footnote>
  <w:footnote w:id="655">
    <w:p w:rsidR="00431229" w:rsidRPr="00C4457D" w:rsidRDefault="00431229">
      <w:pPr>
        <w:pStyle w:val="footnote"/>
        <w:rPr>
          <w:lang w:val="de-DE"/>
        </w:rPr>
      </w:pPr>
      <w:r w:rsidRPr="006662F5">
        <w:rPr>
          <w:vertAlign w:val="superscript"/>
        </w:rPr>
        <w:footnoteRef/>
      </w:r>
      <w:r w:rsidRPr="00C4457D">
        <w:rPr>
          <w:i/>
          <w:iCs/>
          <w:lang w:val="de-DE"/>
        </w:rPr>
        <w:t>Id</w:t>
      </w:r>
      <w:r w:rsidRPr="00C4457D">
        <w:rPr>
          <w:lang w:val="de-DE"/>
        </w:rPr>
        <w:t>.</w:t>
      </w:r>
    </w:p>
  </w:footnote>
  <w:footnote w:id="656">
    <w:p w:rsidR="00431229" w:rsidRPr="00C4457D" w:rsidRDefault="00431229">
      <w:pPr>
        <w:pStyle w:val="footnote"/>
        <w:rPr>
          <w:lang w:val="de-DE"/>
        </w:rPr>
      </w:pPr>
      <w:r w:rsidRPr="006662F5">
        <w:rPr>
          <w:vertAlign w:val="superscript"/>
        </w:rPr>
        <w:footnoteRef/>
      </w:r>
      <w:r w:rsidRPr="00C4457D">
        <w:rPr>
          <w:lang w:val="de-DE"/>
        </w:rPr>
        <w:t xml:space="preserve">Boston Prof’l Hockey Assn., Inc. v. Dallas Cap &amp; Emblem Mfg., Inc., 510 F.2d 1004, 185 USPQ 364 (5th Cir.), </w:t>
      </w:r>
      <w:r w:rsidRPr="00C4457D">
        <w:rPr>
          <w:i/>
          <w:iCs/>
          <w:lang w:val="de-DE"/>
        </w:rPr>
        <w:t>cert</w:t>
      </w:r>
      <w:r w:rsidRPr="00C4457D">
        <w:rPr>
          <w:lang w:val="de-DE"/>
        </w:rPr>
        <w:t>.</w:t>
      </w:r>
      <w:r w:rsidRPr="00C4457D">
        <w:rPr>
          <w:i/>
          <w:iCs/>
          <w:lang w:val="de-DE"/>
        </w:rPr>
        <w:t xml:space="preserve"> denied</w:t>
      </w:r>
      <w:r w:rsidRPr="00C4457D">
        <w:rPr>
          <w:lang w:val="de-DE"/>
        </w:rPr>
        <w:t>, 423 U.S. 868, 187 USPQ 480 (1975).</w:t>
      </w:r>
    </w:p>
  </w:footnote>
  <w:footnote w:id="657">
    <w:p w:rsidR="00431229" w:rsidRPr="006662F5" w:rsidRDefault="00431229">
      <w:pPr>
        <w:pStyle w:val="footnote"/>
      </w:pPr>
      <w:r w:rsidRPr="006662F5">
        <w:rPr>
          <w:vertAlign w:val="superscript"/>
        </w:rPr>
        <w:footnoteRef/>
      </w:r>
      <w:r w:rsidRPr="006662F5">
        <w:t>177 F. Supp. 2d at 654.</w:t>
      </w:r>
    </w:p>
  </w:footnote>
  <w:footnote w:id="658">
    <w:p w:rsidR="00431229" w:rsidRPr="006662F5" w:rsidRDefault="00431229">
      <w:pPr>
        <w:pStyle w:val="footnote"/>
      </w:pPr>
      <w:r w:rsidRPr="006662F5">
        <w:rPr>
          <w:vertAlign w:val="superscript"/>
        </w:rPr>
        <w:footnoteRef/>
      </w:r>
      <w:r w:rsidRPr="006662F5">
        <w:t>603 F.3d 1133, 94 USPQ2d 1873 (9th Cir. 2010).</w:t>
      </w:r>
    </w:p>
  </w:footnote>
  <w:footnote w:id="659">
    <w:p w:rsidR="00431229" w:rsidRPr="006662F5" w:rsidRDefault="00431229">
      <w:pPr>
        <w:pStyle w:val="footnote"/>
      </w:pPr>
      <w:r w:rsidRPr="006662F5">
        <w:rPr>
          <w:vertAlign w:val="superscript"/>
        </w:rPr>
        <w:footnoteRef/>
      </w:r>
      <w:r w:rsidRPr="006662F5">
        <w:rPr>
          <w:i/>
          <w:iCs/>
        </w:rPr>
        <w:t>Id</w:t>
      </w:r>
      <w:r w:rsidRPr="006662F5">
        <w:t>. at 1135–39.</w:t>
      </w:r>
    </w:p>
  </w:footnote>
  <w:footnote w:id="660">
    <w:p w:rsidR="00431229" w:rsidRPr="006662F5" w:rsidRDefault="00431229">
      <w:pPr>
        <w:pStyle w:val="footnote"/>
      </w:pPr>
      <w:r w:rsidRPr="006662F5">
        <w:rPr>
          <w:vertAlign w:val="superscript"/>
        </w:rPr>
        <w:footnoteRef/>
      </w:r>
      <w:r w:rsidRPr="006662F5">
        <w:t>It is assumed here that in some cases the second use may not be a trademark use, and hence the term “device” is used to cover those uses.</w:t>
      </w:r>
    </w:p>
  </w:footnote>
  <w:footnote w:id="661">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smallCaps/>
        </w:rPr>
        <w:t>Restatement (Third) of Unfair Competition</w:t>
      </w:r>
      <w:r w:rsidRPr="006662F5">
        <w:t xml:space="preserve"> §25 cmt. f (1995) (stating that “the resemblance between the two must be sufficiently close that the subsequent use evokes the requisite mental association”); V Secret Catalogue, Inc. v. Moseley, 259 F.3d 464, 471 n.3, 59 USPQ2d 1650 (6th Cir. 2001), </w:t>
      </w:r>
      <w:r w:rsidRPr="006662F5">
        <w:rPr>
          <w:i/>
          <w:iCs/>
        </w:rPr>
        <w:t>rev’d on other grounds</w:t>
      </w:r>
      <w:r w:rsidRPr="006662F5">
        <w:t>, 537 U.S. 418, 65 USPQ2d 1801 (2003).</w:t>
      </w:r>
    </w:p>
  </w:footnote>
  <w:footnote w:id="662">
    <w:p w:rsidR="00431229" w:rsidRPr="006662F5" w:rsidRDefault="00431229" w:rsidP="00C4506F">
      <w:pPr>
        <w:pStyle w:val="footnote"/>
      </w:pPr>
      <w:r w:rsidRPr="006662F5">
        <w:rPr>
          <w:vertAlign w:val="superscript"/>
        </w:rPr>
        <w:footnoteRef/>
      </w:r>
      <w:r w:rsidRPr="006662F5">
        <w:rPr>
          <w:i/>
          <w:iCs/>
        </w:rPr>
        <w:t>E</w:t>
      </w:r>
      <w:r w:rsidRPr="006662F5">
        <w:t>.</w:t>
      </w:r>
      <w:r w:rsidRPr="006662F5">
        <w:rPr>
          <w:i/>
          <w:iCs/>
        </w:rPr>
        <w:t>g</w:t>
      </w:r>
      <w:r w:rsidRPr="006662F5">
        <w:t xml:space="preserve">., McNeil Consumer Brands, Inc. v. U.S. Dentek Corp., 116 F. Supp. 2d 604, 608, 56 USPQ2d 1758 (E.D. Pa. 2000); Eli Lilly &amp; Co. v. Natural Answers, Inc., 86 F. Supp. 2d 834, 852 (S.D. Ind.), </w:t>
      </w:r>
      <w:r w:rsidRPr="006662F5">
        <w:rPr>
          <w:i/>
          <w:iCs/>
        </w:rPr>
        <w:t>aff’d</w:t>
      </w:r>
      <w:r w:rsidRPr="006662F5">
        <w:t xml:space="preserve">, 233 F.3d 456, 56 USPQ2d 1942 (7th Cir. 2000); Ringling Bros.-Barnum &amp; Bailey Combined Shows, Inc. v. Utah Div. of Travel Dev., 955 F. Supp. 605, 618, 42 USPQ2d 1161 (E.D. Va. 1997), </w:t>
      </w:r>
      <w:r w:rsidRPr="006662F5">
        <w:rPr>
          <w:i/>
          <w:iCs/>
        </w:rPr>
        <w:t>aff’d</w:t>
      </w:r>
      <w:r w:rsidRPr="006662F5">
        <w:t xml:space="preserve">, 170 F.3d 449, 50 USPQ2d 1065 (4th Cir.), </w:t>
      </w:r>
      <w:r w:rsidRPr="006662F5">
        <w:rPr>
          <w:i/>
          <w:iCs/>
        </w:rPr>
        <w:t>cert</w:t>
      </w:r>
      <w:r w:rsidRPr="006662F5">
        <w:t>.</w:t>
      </w:r>
      <w:r w:rsidRPr="006662F5">
        <w:rPr>
          <w:i/>
          <w:iCs/>
        </w:rPr>
        <w:t xml:space="preserve"> denied</w:t>
      </w:r>
      <w:r w:rsidRPr="006662F5">
        <w:t xml:space="preserve">, 528 U.S. 923 (1999). </w:t>
      </w:r>
      <w:r w:rsidRPr="000540A5">
        <w:rPr>
          <w:i/>
        </w:rPr>
        <w:t>See</w:t>
      </w:r>
      <w:r w:rsidRPr="006662F5">
        <w:t xml:space="preserve"> Chapter 9, §III. In </w:t>
      </w:r>
      <w:r w:rsidRPr="006662F5">
        <w:rPr>
          <w:i/>
          <w:iCs/>
        </w:rPr>
        <w:t>V Secret Catalogue, Inc</w:t>
      </w:r>
      <w:r w:rsidRPr="006662F5">
        <w:t>.</w:t>
      </w:r>
      <w:r w:rsidRPr="006662F5">
        <w:rPr>
          <w:i/>
          <w:iCs/>
        </w:rPr>
        <w:t xml:space="preserve"> v</w:t>
      </w:r>
      <w:r w:rsidRPr="006662F5">
        <w:t>.</w:t>
      </w:r>
      <w:r w:rsidRPr="006662F5">
        <w:rPr>
          <w:i/>
          <w:iCs/>
        </w:rPr>
        <w:t xml:space="preserve"> Moseley</w:t>
      </w:r>
      <w:r w:rsidRPr="006662F5">
        <w:t xml:space="preserve">, 259 F.3d 464, 471 n.3, 59 USPQ2d 1650 (6th Cir. 2001), </w:t>
      </w:r>
      <w:r w:rsidRPr="006662F5">
        <w:rPr>
          <w:i/>
          <w:iCs/>
        </w:rPr>
        <w:t>rev’d on other grounds</w:t>
      </w:r>
      <w:r w:rsidRPr="006662F5">
        <w:t xml:space="preserve">, 537 U.S. 418, 65 USPQ2d 1801 (2003), the court, quoting </w:t>
      </w:r>
      <w:r w:rsidRPr="006662F5">
        <w:rPr>
          <w:i/>
          <w:iCs/>
        </w:rPr>
        <w:t>Nabisco, Inc</w:t>
      </w:r>
      <w:r w:rsidRPr="006662F5">
        <w:t>.</w:t>
      </w:r>
      <w:r w:rsidRPr="006662F5">
        <w:rPr>
          <w:i/>
          <w:iCs/>
        </w:rPr>
        <w:t xml:space="preserve"> v</w:t>
      </w:r>
      <w:r w:rsidRPr="006662F5">
        <w:t>.</w:t>
      </w:r>
      <w:r w:rsidRPr="006662F5">
        <w:rPr>
          <w:i/>
          <w:iCs/>
        </w:rPr>
        <w:t xml:space="preserve"> PF Brands, Inc</w:t>
      </w:r>
      <w:r w:rsidRPr="006662F5">
        <w:t>., 191 F.3d 208, 51 USPQ2d 1882 (2d Cir. 1999), stated that “[t]he marks must be of sufficient similarity so that, in the mind of the consumer, the junior mark will conjure an association with the senior.”</w:t>
      </w:r>
      <w:r>
        <w:t xml:space="preserve"> </w:t>
      </w:r>
      <w:r w:rsidRPr="00BB06F1">
        <w:t xml:space="preserve">In an odd interpretation of the Florida statute, a district court held that Florida’s dilution statute </w:t>
      </w:r>
      <w:r w:rsidRPr="00BB06F1">
        <w:rPr>
          <w:i/>
          <w:iCs/>
        </w:rPr>
        <w:t>only</w:t>
      </w:r>
      <w:r w:rsidRPr="00BB06F1">
        <w:t xml:space="preserve"> applies to “similar” uses, not to identical uses. Menudo Int’l LLC v. In Miami Prod. LLC, 2018 WL 1745395, at *5–6</w:t>
      </w:r>
      <w:r>
        <w:t xml:space="preserve">, </w:t>
      </w:r>
      <w:r w:rsidRPr="00C4506F">
        <w:t>2018 BL 127263</w:t>
      </w:r>
      <w:r w:rsidRPr="00BB06F1">
        <w:t xml:space="preserve"> (S.D. Fla. Apr. 11, 2018).</w:t>
      </w:r>
    </w:p>
  </w:footnote>
  <w:footnote w:id="663">
    <w:p w:rsidR="00431229" w:rsidRPr="006662F5" w:rsidRDefault="00431229">
      <w:pPr>
        <w:pStyle w:val="footnote"/>
      </w:pPr>
      <w:r w:rsidRPr="006662F5">
        <w:rPr>
          <w:vertAlign w:val="superscript"/>
        </w:rPr>
        <w:footnoteRef/>
      </w:r>
      <w:r w:rsidRPr="006662F5">
        <w:t xml:space="preserve">Toyota Motor Sales, U.S.A., Inc. v. Profile Cocktail Lounge, Inc., 2001 WL 123787, at *6 (N.D. Ill. Feb. 13, 2001). The Ninth Circuit, for example, required that the two marks be “identical or nearly identical,” which indicates a need for more similarity than is required in a confusion case. Thane Int’l, Inc. v. Trek Bicycle Corp., 305 F.3d 894, 906, 64 USPQ2d 1564 (9th Cir. 2002). However, it is not clear that this refinement was particularly helpful or limiting. </w:t>
      </w:r>
      <w:r w:rsidRPr="006662F5">
        <w:rPr>
          <w:i/>
          <w:iCs/>
        </w:rPr>
        <w:t>See</w:t>
      </w:r>
      <w:r w:rsidRPr="006662F5">
        <w:t xml:space="preserve"> </w:t>
      </w:r>
      <w:r w:rsidRPr="006662F5">
        <w:rPr>
          <w:i/>
          <w:iCs/>
        </w:rPr>
        <w:t>id</w:t>
      </w:r>
      <w:r w:rsidRPr="006662F5">
        <w:t xml:space="preserve">. (a jury could find that OrbiTrek and Trek are nearly identical); Jada Toys, Inc. v. Mattel, Inc., 518 F.3d 628, 635, 85 USPQ2d 1895 (9th Cir. 2008) (jury could find that Hot Rigz and Hot Wheels are nearly identical); Nike, Inc. v. Nikepal Int’l, Inc., 84 USPQ2d 1820, 1827 (E.D. Cal. 2007) (Nikepal nearly identical to Nike). Although primarily applied to federal law claims, the rule was also used in cases involving both federal and California claims. </w:t>
      </w:r>
      <w:r w:rsidRPr="006662F5">
        <w:rPr>
          <w:i/>
          <w:iCs/>
        </w:rPr>
        <w:t>Jada Toys</w:t>
      </w:r>
      <w:r w:rsidRPr="006662F5">
        <w:t>, 518 F.3d at 636 n.6. The Ninth Circuit has abrogated this standard for TDRA cases, as discussed below. The Ninth Circuit’s standard is discussed in more detail in Chapter 9, §III.A.</w:t>
      </w:r>
    </w:p>
  </w:footnote>
  <w:footnote w:id="664">
    <w:p w:rsidR="00431229" w:rsidRPr="006662F5" w:rsidRDefault="00431229">
      <w:pPr>
        <w:pStyle w:val="footnote"/>
      </w:pPr>
      <w:r w:rsidRPr="006662F5">
        <w:rPr>
          <w:vertAlign w:val="superscript"/>
        </w:rPr>
        <w:footnoteRef/>
      </w:r>
      <w:r w:rsidRPr="006662F5">
        <w:t>Levi Strauss &amp; Co. v. Abercrombie &amp; Fitch Trading Co., 633 F.3d 1158, 1171–73, 97 USPQ2d 1947 (9th Cir. 2011); Starbucks Corp. v. Wolfe’s Borough Coffee, Inc., 588 F.3d 97, 108–09, 92 USPQ2d 1769 (2d Cir. 2009).</w:t>
      </w:r>
    </w:p>
  </w:footnote>
  <w:footnote w:id="665">
    <w:p w:rsidR="00431229" w:rsidRPr="006662F5" w:rsidRDefault="00431229">
      <w:pPr>
        <w:pStyle w:val="footnote"/>
      </w:pPr>
      <w:r w:rsidRPr="006662F5">
        <w:rPr>
          <w:vertAlign w:val="superscript"/>
        </w:rPr>
        <w:footnoteRef/>
      </w:r>
      <w:r w:rsidRPr="006662F5">
        <w:rPr>
          <w:i/>
          <w:iCs/>
        </w:rPr>
        <w:t>Starbucks</w:t>
      </w:r>
      <w:r w:rsidRPr="006662F5">
        <w:t>, 588 F.3d at 108–09.</w:t>
      </w:r>
    </w:p>
  </w:footnote>
  <w:footnote w:id="666">
    <w:p w:rsidR="00431229" w:rsidRPr="006662F5" w:rsidRDefault="00431229">
      <w:pPr>
        <w:pStyle w:val="footnote"/>
      </w:pPr>
      <w:r w:rsidRPr="006662F5">
        <w:rPr>
          <w:vertAlign w:val="superscript"/>
        </w:rPr>
        <w:footnoteRef/>
      </w:r>
      <w:r w:rsidRPr="006662F5">
        <w:rPr>
          <w:i/>
          <w:iCs/>
        </w:rPr>
        <w:t>Levi Strauss</w:t>
      </w:r>
      <w:r w:rsidRPr="006662F5">
        <w:t xml:space="preserve">, 633 F.3d at 1171–73. </w:t>
      </w:r>
    </w:p>
  </w:footnote>
  <w:footnote w:id="667">
    <w:p w:rsidR="00431229" w:rsidRPr="006662F5" w:rsidRDefault="00431229">
      <w:pPr>
        <w:pStyle w:val="footnote"/>
      </w:pPr>
      <w:r w:rsidRPr="006662F5">
        <w:rPr>
          <w:vertAlign w:val="superscript"/>
        </w:rPr>
        <w:footnoteRef/>
      </w:r>
      <w:r w:rsidRPr="006662F5">
        <w:t xml:space="preserve">Citigroup, Inc. v. Capital City Bank Grp., Inc., 94 USPQ2d 1645, 1667 (T.T.A.B. 2010), </w:t>
      </w:r>
      <w:r w:rsidRPr="006662F5">
        <w:rPr>
          <w:i/>
          <w:iCs/>
        </w:rPr>
        <w:t>aff’d</w:t>
      </w:r>
      <w:r w:rsidRPr="006662F5">
        <w:t xml:space="preserve"> 637 F.3d 1344, 98 USPQ2d 1253 (Fed. Cir. 2011) (the dilution issue was not discussed on appeal).</w:t>
      </w:r>
    </w:p>
  </w:footnote>
  <w:footnote w:id="668">
    <w:p w:rsidR="00431229" w:rsidRPr="006662F5" w:rsidRDefault="00431229">
      <w:pPr>
        <w:pStyle w:val="footnote"/>
      </w:pPr>
      <w:r w:rsidRPr="006662F5">
        <w:rPr>
          <w:vertAlign w:val="superscript"/>
        </w:rPr>
        <w:footnoteRef/>
      </w:r>
      <w:r w:rsidRPr="006662F5">
        <w:t>UMG Recordings, Inc. v. Mattel, Inc., 100 USPQ2d 1868, 1888 (T.T.A.B. 2011).</w:t>
      </w:r>
    </w:p>
  </w:footnote>
  <w:footnote w:id="669">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Freedom Sav. &amp; Loan Ass’n v. Way, 757 F.2d 1176, 1186, 226 USPQ 123 (11th Cir.) (requiring a “very similar” mark under Florida law), </w:t>
      </w:r>
      <w:r w:rsidRPr="006662F5">
        <w:rPr>
          <w:i/>
          <w:iCs/>
        </w:rPr>
        <w:t>cert</w:t>
      </w:r>
      <w:r w:rsidRPr="006662F5">
        <w:t>.</w:t>
      </w:r>
      <w:r w:rsidRPr="006662F5">
        <w:rPr>
          <w:i/>
          <w:iCs/>
        </w:rPr>
        <w:t xml:space="preserve"> denied</w:t>
      </w:r>
      <w:r w:rsidRPr="006662F5">
        <w:t xml:space="preserve">, 474 U.S. 845 (1985); Levi Strauss &amp; Co. v. Toyo Enter. Co., Ltd., 665 F. Supp. 2d 1084, 1096–97 (N.D. Cal. 2009) (using same standard, including that for similarity, for federal and California dilution claims); </w:t>
      </w:r>
      <w:r w:rsidRPr="006662F5">
        <w:rPr>
          <w:i/>
          <w:iCs/>
        </w:rPr>
        <w:t>see</w:t>
      </w:r>
      <w:r w:rsidRPr="006662F5">
        <w:t xml:space="preserve"> Community of Christ Copyright Corp. v. Devon Park Restoration, 683 F. Supp. 2d 1006, 1014, 1016–17, 94 USPQ2d 1533 (W.D. Mo. 2010) (finding that plaintiff’s and defendant’s marks were “identical or substantially similar” for infringement claim and finding dilution under Missouri law), </w:t>
      </w:r>
      <w:r w:rsidRPr="006662F5">
        <w:rPr>
          <w:i/>
          <w:iCs/>
        </w:rPr>
        <w:t>aff’d</w:t>
      </w:r>
      <w:r w:rsidRPr="006662F5">
        <w:t>, 634 F.3d 1005, 98 USPQ2d 1167 (8th Cir. 2011).</w:t>
      </w:r>
    </w:p>
  </w:footnote>
  <w:footnote w:id="670">
    <w:p w:rsidR="00431229" w:rsidRPr="00C82A65" w:rsidRDefault="00431229" w:rsidP="00BE0225">
      <w:pPr>
        <w:pStyle w:val="footnote"/>
      </w:pPr>
      <w:r w:rsidRPr="006662F5">
        <w:rPr>
          <w:vertAlign w:val="superscript"/>
        </w:rPr>
        <w:footnoteRef/>
      </w:r>
      <w:r w:rsidRPr="006662F5">
        <w:rPr>
          <w:i/>
          <w:iCs/>
        </w:rPr>
        <w:t>Starbucks</w:t>
      </w:r>
      <w:r w:rsidRPr="006662F5">
        <w:t xml:space="preserve">, 588 F.3d at 114; </w:t>
      </w:r>
      <w:r w:rsidRPr="006662F5">
        <w:rPr>
          <w:i/>
          <w:iCs/>
        </w:rPr>
        <w:t>see</w:t>
      </w:r>
      <w:r w:rsidRPr="006662F5">
        <w:t xml:space="preserve"> </w:t>
      </w:r>
      <w:r w:rsidRPr="00BB06F1">
        <w:t>Louis Vuitton Malletier, S.A. v. My Other Bag, Inc., 674 F. App’x 16, 17 (2d Cir. 2016) (upholding dismissal of New York dilution claim where “the manifest parodic use here precludes the requisite finding that the marks are ‘substantially similar.’”);</w:t>
      </w:r>
      <w:r>
        <w:t xml:space="preserve"> Jackpocket, Inc. v. Lottomatrix NY LLC, 645 F. Supp. 3d 185, 280 (S.D.N.Y. 2022) (finding marks not “substantially similar”); Roberts v. Puma North Am., Inc., 2021 WL 2168969, at *7, </w:t>
      </w:r>
      <w:r w:rsidRPr="00BE0225">
        <w:t>2021 BL 197805</w:t>
      </w:r>
      <w:r>
        <w:t xml:space="preserve"> (S.D.N.Y. May 27, 2021) (plaintiff failed to demonstrate that the marks in question were “substantially similar”—</w:t>
      </w:r>
      <w:r>
        <w:rPr>
          <w:rFonts w:ascii="TimesNewRomanPSMT" w:hAnsi="TimesNewRomanPSMT" w:cs="TimesNewRomanPSMT"/>
          <w:color w:val="212121"/>
        </w:rPr>
        <w:t xml:space="preserve"> </w:t>
      </w:r>
      <w:r>
        <w:t>“</w:t>
      </w:r>
      <w:r>
        <w:rPr>
          <w:rFonts w:ascii="TimesNewRomanPSMT" w:hAnsi="TimesNewRomanPSMT" w:cs="TimesNewRomanPSMT"/>
          <w:color w:val="212121"/>
        </w:rPr>
        <w:t>that a ‘substantial segment’ of target consumers sees the two designs as essentially the same”);  Easy Spirit LLC v. Skechers U.S.A., Inc., 515 F. Supp. 3d 47, 77 (S.D.N.Y. 2021) (finding lack of substantial similarity; similarity must be greater than that needed for infringement);</w:t>
      </w:r>
      <w:r w:rsidRPr="00BB06F1">
        <w:t xml:space="preserve"> Sara Designs, Inc. v. A Classic Time Watch Co., 234 F. Supp. 3d 548, 556–57, 121 USPQ2d 1721, 1726 (S.D.N.Y. 2017) (stating the substantial similarity requirement and finding marks in question not “even remotely similar”);</w:t>
      </w:r>
      <w:r>
        <w:t xml:space="preserve"> </w:t>
      </w:r>
      <w:r w:rsidRPr="006662F5">
        <w:t xml:space="preserve">LaPine v. Seinfeld, 92 USPQ2d 1428, 1441–42 (S.D.N.Y. 2009) (image on cover of plaintiff’s cookbook not substantially similar to image on defendant’s cookbook; New York dilution claim fails), </w:t>
      </w:r>
      <w:r w:rsidRPr="006662F5">
        <w:rPr>
          <w:i/>
          <w:iCs/>
        </w:rPr>
        <w:t>aff’d</w:t>
      </w:r>
      <w:r w:rsidRPr="006662F5">
        <w:t>, 375 Fe. App</w:t>
      </w:r>
      <w:r>
        <w:t>’</w:t>
      </w:r>
      <w:r w:rsidRPr="006662F5">
        <w:t>x. 81, 85, 96 USPQ2d 1130 (2d Cir. 2010).</w:t>
      </w:r>
      <w:r>
        <w:t xml:space="preserve"> </w:t>
      </w:r>
      <w:r>
        <w:rPr>
          <w:i/>
          <w:iCs/>
        </w:rPr>
        <w:t>See also</w:t>
      </w:r>
      <w:r>
        <w:t xml:space="preserve"> Cheddar Bob’s Inc. v. Macsnmelts Mgmt. Co., LLC, 2020 WL 1323018, at *13, </w:t>
      </w:r>
      <w:r w:rsidRPr="00BE0225">
        <w:t>2020 BL 108943</w:t>
      </w:r>
      <w:r>
        <w:t xml:space="preserve"> (E.D.N.Y. Jan. 14, 2020) (noting the requirement of substantial similarity under New York law). </w:t>
      </w:r>
      <w:r>
        <w:rPr>
          <w:i/>
          <w:iCs/>
        </w:rPr>
        <w:t>Cf.</w:t>
      </w:r>
      <w:r>
        <w:t xml:space="preserve"> Deep Foods, Inc. v. Deep Foods, Inc., 419 F. Supp. 3d 569, 585 (W.D.N.Y. 2019) (dismissing blurring claim under New York law for failure to allege facts showing sufficient similarity, pointing to different contexts in which the goods are used).</w:t>
      </w:r>
    </w:p>
  </w:footnote>
  <w:footnote w:id="671">
    <w:p w:rsidR="00431229" w:rsidRPr="006662F5" w:rsidRDefault="00431229">
      <w:pPr>
        <w:pStyle w:val="footnote"/>
      </w:pPr>
      <w:r w:rsidRPr="006662F5">
        <w:rPr>
          <w:vertAlign w:val="superscript"/>
        </w:rPr>
        <w:footnoteRef/>
      </w:r>
      <w:r w:rsidRPr="008214DA">
        <w:rPr>
          <w:i/>
          <w:iCs/>
        </w:rPr>
        <w:t>See</w:t>
      </w:r>
      <w:r w:rsidRPr="008214DA">
        <w:t xml:space="preserve"> Van Praagh v. Gratton, 993 F. Supp. 2d 293, 304 (E.D.N.Y. 2014) (substantial similarity required under New York law).</w:t>
      </w:r>
      <w:r>
        <w:t xml:space="preserve"> </w:t>
      </w:r>
      <w:r w:rsidRPr="006662F5">
        <w:rPr>
          <w:i/>
          <w:iCs/>
        </w:rPr>
        <w:t>But cf</w:t>
      </w:r>
      <w:r w:rsidRPr="006662F5">
        <w:t xml:space="preserve">. Cottonwood Fin. Ltd. v. The Cash Store Fin. Servs., Inc., 778 F. Supp. 2d 726, 750 (N.D. Tex. 2011) (indicating that it would use the TDRA analysis of similarity from </w:t>
      </w:r>
      <w:r w:rsidRPr="006662F5">
        <w:rPr>
          <w:i/>
          <w:iCs/>
        </w:rPr>
        <w:t>Starbucks</w:t>
      </w:r>
      <w:r w:rsidRPr="006662F5">
        <w:t xml:space="preserve"> in a case under the former Texas law).</w:t>
      </w:r>
    </w:p>
  </w:footnote>
  <w:footnote w:id="672">
    <w:p w:rsidR="00431229" w:rsidRPr="006662F5" w:rsidRDefault="00431229">
      <w:pPr>
        <w:pStyle w:val="footnote"/>
      </w:pPr>
      <w:r w:rsidRPr="006662F5">
        <w:rPr>
          <w:vertAlign w:val="superscript"/>
        </w:rPr>
        <w:footnoteRef/>
      </w:r>
      <w:r w:rsidRPr="006662F5">
        <w:t>None of the states that have adopted the 2007 Model Bill are in the Second Circuit. However, California and Oregon, two of the states that have adopted the 2007 Model Bill, are in the Ninth Circuit.</w:t>
      </w:r>
    </w:p>
  </w:footnote>
  <w:footnote w:id="673">
    <w:p w:rsidR="00431229" w:rsidRPr="006662F5" w:rsidRDefault="00431229">
      <w:pPr>
        <w:pStyle w:val="footnote"/>
      </w:pPr>
      <w:r w:rsidRPr="006662F5">
        <w:rPr>
          <w:vertAlign w:val="superscript"/>
        </w:rPr>
        <w:footnoteRef/>
      </w:r>
      <w:r w:rsidRPr="006662F5">
        <w:t>See Chapter 9 for a more detailed analysis of this issue under the TDRA.</w:t>
      </w:r>
    </w:p>
  </w:footnote>
  <w:footnote w:id="674">
    <w:p w:rsidR="00431229" w:rsidRPr="006662F5" w:rsidRDefault="00431229">
      <w:pPr>
        <w:pStyle w:val="footnote"/>
      </w:pPr>
      <w:r w:rsidRPr="006662F5">
        <w:rPr>
          <w:vertAlign w:val="superscript"/>
        </w:rPr>
        <w:footnoteRef/>
      </w:r>
      <w:r w:rsidRPr="00C4457D">
        <w:rPr>
          <w:lang w:val="es-US"/>
        </w:rPr>
        <w:t xml:space="preserve">875 F.2d 1026, 10 USPQ2d 1961 (2d Cir. 1989). </w:t>
      </w:r>
      <w:r w:rsidRPr="006662F5">
        <w:t xml:space="preserve">In the </w:t>
      </w:r>
      <w:r w:rsidRPr="006662F5">
        <w:rPr>
          <w:i/>
          <w:iCs/>
        </w:rPr>
        <w:t>Starbucks</w:t>
      </w:r>
      <w:r w:rsidRPr="006662F5">
        <w:t xml:space="preserve"> case, the Second Circuit specifically reaffirmed the </w:t>
      </w:r>
      <w:r w:rsidRPr="006662F5">
        <w:rPr>
          <w:i/>
          <w:iCs/>
        </w:rPr>
        <w:t>Mead Data</w:t>
      </w:r>
      <w:r w:rsidRPr="006662F5">
        <w:t xml:space="preserve"> standard for claims brought under New York law. </w:t>
      </w:r>
      <w:r w:rsidRPr="006662F5">
        <w:rPr>
          <w:i/>
          <w:iCs/>
        </w:rPr>
        <w:t>Starbucks</w:t>
      </w:r>
      <w:r w:rsidRPr="006662F5">
        <w:t>, 588 F.3d at 114.</w:t>
      </w:r>
    </w:p>
  </w:footnote>
  <w:footnote w:id="675">
    <w:p w:rsidR="00431229" w:rsidRPr="006662F5" w:rsidRDefault="00431229">
      <w:pPr>
        <w:pStyle w:val="footnote"/>
      </w:pPr>
      <w:r w:rsidRPr="006662F5">
        <w:rPr>
          <w:vertAlign w:val="superscript"/>
        </w:rPr>
        <w:footnoteRef/>
      </w:r>
      <w:r w:rsidRPr="006662F5">
        <w:rPr>
          <w:i/>
          <w:iCs/>
        </w:rPr>
        <w:t>Mead Data</w:t>
      </w:r>
      <w:r w:rsidRPr="006662F5">
        <w:t>, 875 F.2d at 1029–30.</w:t>
      </w:r>
    </w:p>
  </w:footnote>
  <w:footnote w:id="676">
    <w:p w:rsidR="00431229" w:rsidRPr="006662F5" w:rsidRDefault="00431229">
      <w:pPr>
        <w:pStyle w:val="footnote"/>
      </w:pPr>
      <w:r w:rsidRPr="006662F5">
        <w:rPr>
          <w:vertAlign w:val="superscript"/>
        </w:rPr>
        <w:footnoteRef/>
      </w:r>
      <w:r w:rsidRPr="006662F5">
        <w:rPr>
          <w:i/>
          <w:iCs/>
        </w:rPr>
        <w:t>Id</w:t>
      </w:r>
      <w:r w:rsidRPr="006662F5">
        <w:t>. at 1030.</w:t>
      </w:r>
    </w:p>
  </w:footnote>
  <w:footnote w:id="677">
    <w:p w:rsidR="00431229" w:rsidRPr="006662F5" w:rsidRDefault="00431229">
      <w:pPr>
        <w:pStyle w:val="footnote"/>
      </w:pPr>
      <w:r w:rsidRPr="006662F5">
        <w:rPr>
          <w:vertAlign w:val="superscript"/>
        </w:rPr>
        <w:footnoteRef/>
      </w:r>
      <w:r w:rsidRPr="006662F5">
        <w:rPr>
          <w:i/>
          <w:iCs/>
        </w:rPr>
        <w:t>Id</w:t>
      </w:r>
      <w:r w:rsidRPr="006662F5">
        <w:t>. Of course, radio advertising would lack the visual aid.</w:t>
      </w:r>
    </w:p>
  </w:footnote>
  <w:footnote w:id="678">
    <w:p w:rsidR="00431229" w:rsidRPr="006662F5" w:rsidRDefault="00431229">
      <w:pPr>
        <w:pStyle w:val="footnote"/>
      </w:pPr>
      <w:r w:rsidRPr="006662F5">
        <w:rPr>
          <w:vertAlign w:val="superscript"/>
        </w:rPr>
        <w:footnoteRef/>
      </w:r>
      <w:r w:rsidRPr="006662F5">
        <w:t xml:space="preserve">American Family Life Ins. Co. v. Hagan, 266 F. Supp. 2d 682, 691, 64 USPQ2d 1865 (N.D. Ohio 2002) (crudely drawn duck used by defendant on Web site not similar to realistic duck plaintiff used in commercials; analysis in infringement section, but referred to in dilution section as well); Landscape Forms, Inc. v. Columbia Cascade Co., 117 F. Supp. 2d 360, 370, 56 USPQ2d 1613 (S.D.N.Y. 2000) (use of each company’s trademark in catalogs in connection with the furniture products prevented the shape of the furniture from conjuring up the requisite mental association); </w:t>
      </w:r>
      <w:r w:rsidRPr="006662F5">
        <w:rPr>
          <w:i/>
          <w:iCs/>
        </w:rPr>
        <w:t>see</w:t>
      </w:r>
      <w:r w:rsidRPr="006662F5">
        <w:t xml:space="preserve"> Origins Natural Resources, Inc. v. Kotler, 2001 WL 492429, at *3–4 (S.D.N.Y. May 7, 2001) (citing different typeface and the use of other distinguishing shapes and symbols in finding Origins mark on cosmetics dissimilar to Natural Origins for clothing); Parenting Unlimited Inc. v. Columbia Pictures Television, Inc., 743 F. Supp. 221, 227, 16 USPQ2d 1171 (S.D.N.Y. 1990) (in a confusion analysis, noting dissimilarities in context between </w:t>
      </w:r>
      <w:r w:rsidRPr="006662F5">
        <w:rPr>
          <w:i/>
          <w:iCs/>
        </w:rPr>
        <w:t>Baby Talk</w:t>
      </w:r>
      <w:r w:rsidRPr="006662F5">
        <w:t xml:space="preserve"> as the name of a magazine about infants and </w:t>
      </w:r>
      <w:r w:rsidRPr="006662F5">
        <w:rPr>
          <w:i/>
          <w:iCs/>
        </w:rPr>
        <w:t>Baby Talk</w:t>
      </w:r>
      <w:r w:rsidRPr="006662F5">
        <w:t xml:space="preserve"> as the name of a television sitcom).</w:t>
      </w:r>
    </w:p>
  </w:footnote>
  <w:footnote w:id="679">
    <w:p w:rsidR="00431229" w:rsidRPr="00C4457D" w:rsidRDefault="00431229">
      <w:pPr>
        <w:pStyle w:val="footnote"/>
        <w:rPr>
          <w:lang w:val="es-US"/>
        </w:rPr>
      </w:pPr>
      <w:r w:rsidRPr="006662F5">
        <w:rPr>
          <w:vertAlign w:val="superscript"/>
        </w:rPr>
        <w:footnoteRef/>
      </w:r>
      <w:r w:rsidRPr="00C4457D">
        <w:rPr>
          <w:lang w:val="es-US"/>
        </w:rPr>
        <w:t>588 F.3d 97, 92 USPQ2d 1769 (2d Cir. 2009).</w:t>
      </w:r>
    </w:p>
  </w:footnote>
  <w:footnote w:id="680">
    <w:p w:rsidR="00431229" w:rsidRPr="006662F5" w:rsidRDefault="00431229">
      <w:pPr>
        <w:pStyle w:val="footnote"/>
      </w:pPr>
      <w:r w:rsidRPr="006662F5">
        <w:rPr>
          <w:vertAlign w:val="superscript"/>
        </w:rPr>
        <w:footnoteRef/>
      </w:r>
      <w:r w:rsidRPr="006662F5">
        <w:rPr>
          <w:i/>
          <w:iCs/>
        </w:rPr>
        <w:t>Id</w:t>
      </w:r>
      <w:r w:rsidRPr="006662F5">
        <w:t>. at 114. As noted in §V.A, above, although the Second Circuit held that substantial similarity was not required under the TDRA, it continued to apply that standard to dilution under New York law.</w:t>
      </w:r>
      <w:r w:rsidRPr="00BB06F1">
        <w:rPr>
          <w:rFonts w:eastAsiaTheme="minorEastAsia"/>
          <w:sz w:val="24"/>
          <w:szCs w:val="22"/>
        </w:rPr>
        <w:t xml:space="preserve"> </w:t>
      </w:r>
      <w:r w:rsidRPr="00BB06F1">
        <w:t>Applying the “substantially similar” standard, which it interpreted to mean that consumers see the two marks as “essentially the same,” a district court dismissed a New York dilution claim on the grounds that Mobileye and Ionroad were at best “weakly similar.” Mobileye, Inc. v. Picitup Corp., 928 F. Supp. 2d 759, 782 (S.D.N.Y. 2013).</w:t>
      </w:r>
    </w:p>
  </w:footnote>
  <w:footnote w:id="681">
    <w:p w:rsidR="00431229" w:rsidRDefault="00431229" w:rsidP="00CA1D96">
      <w:pPr>
        <w:pStyle w:val="footnote"/>
      </w:pPr>
      <w:r>
        <w:rPr>
          <w:vertAlign w:val="superscript"/>
        </w:rPr>
        <w:footnoteRef/>
      </w:r>
      <w:r>
        <w:t xml:space="preserve">946 F. Supp. 2d 324 (S.D.N.Y. 2013). </w:t>
      </w:r>
    </w:p>
  </w:footnote>
  <w:footnote w:id="682">
    <w:p w:rsidR="00431229" w:rsidRPr="00E44D89" w:rsidRDefault="00431229" w:rsidP="00CA1D96">
      <w:pPr>
        <w:pStyle w:val="footnote"/>
      </w:pPr>
      <w:r>
        <w:rPr>
          <w:vertAlign w:val="superscript"/>
        </w:rPr>
        <w:footnoteRef/>
      </w:r>
      <w:r w:rsidRPr="00E44D89">
        <w:rPr>
          <w:i/>
          <w:iCs/>
        </w:rPr>
        <w:t>Id</w:t>
      </w:r>
      <w:r w:rsidRPr="00E44D89">
        <w:t xml:space="preserve">. at 342. </w:t>
      </w:r>
    </w:p>
  </w:footnote>
  <w:footnote w:id="683">
    <w:p w:rsidR="00431229" w:rsidRPr="00B61EFF" w:rsidRDefault="00431229" w:rsidP="00CA1D96">
      <w:pPr>
        <w:pStyle w:val="footnote"/>
      </w:pPr>
      <w:r>
        <w:rPr>
          <w:vertAlign w:val="superscript"/>
        </w:rPr>
        <w:footnoteRef/>
      </w:r>
      <w:r w:rsidRPr="00B61EFF">
        <w:rPr>
          <w:i/>
          <w:iCs/>
        </w:rPr>
        <w:t>Id</w:t>
      </w:r>
      <w:r w:rsidRPr="00B61EFF">
        <w:t xml:space="preserve">. </w:t>
      </w:r>
      <w:r w:rsidRPr="00C4457D">
        <w:rPr>
          <w:i/>
          <w:iCs/>
        </w:rPr>
        <w:t>But see</w:t>
      </w:r>
      <w:r w:rsidRPr="00C4457D">
        <w:t xml:space="preserve"> Diageo N</w:t>
      </w:r>
      <w:r>
        <w:t>. Am., Inc. v. W.J. Deutsch &amp; Sons Ltd, 626 F. Supp. 3d 635, 646-47 (S.D.N.Y. 2022) (fact that jury did not find likelihood of confusion between two competing products did not prevent marks from being substantially similar for purposes of dilution under New York law.)</w:t>
      </w:r>
    </w:p>
  </w:footnote>
  <w:footnote w:id="684">
    <w:p w:rsidR="00431229" w:rsidRPr="00E44D89" w:rsidRDefault="00431229" w:rsidP="00CA1D96">
      <w:pPr>
        <w:pStyle w:val="footnote"/>
      </w:pPr>
      <w:r>
        <w:rPr>
          <w:vertAlign w:val="superscript"/>
        </w:rPr>
        <w:footnoteRef/>
      </w:r>
      <w:r w:rsidRPr="00E44D89">
        <w:t xml:space="preserve">674 F. App’x 16 (2d Cir. 2016). </w:t>
      </w:r>
    </w:p>
  </w:footnote>
  <w:footnote w:id="685">
    <w:p w:rsidR="00431229" w:rsidRDefault="00431229" w:rsidP="00CA1D96">
      <w:pPr>
        <w:pStyle w:val="footnote"/>
      </w:pPr>
      <w:r>
        <w:rPr>
          <w:vertAlign w:val="superscript"/>
        </w:rPr>
        <w:footnoteRef/>
      </w:r>
      <w:r>
        <w:rPr>
          <w:i/>
          <w:iCs/>
        </w:rPr>
        <w:t>Id</w:t>
      </w:r>
      <w:r>
        <w:t xml:space="preserve">. at 17. </w:t>
      </w:r>
    </w:p>
  </w:footnote>
  <w:footnote w:id="686">
    <w:p w:rsidR="00431229" w:rsidRDefault="00431229" w:rsidP="000A1167">
      <w:pPr>
        <w:pStyle w:val="FootnoteText"/>
      </w:pPr>
      <w:r>
        <w:rPr>
          <w:rStyle w:val="FootnoteReference"/>
          <w:rFonts w:eastAsiaTheme="majorEastAsia"/>
        </w:rPr>
        <w:footnoteRef/>
      </w:r>
      <w:r>
        <w:t xml:space="preserve">2018 WL 4804655, </w:t>
      </w:r>
      <w:r w:rsidRPr="000A1167">
        <w:t>2018 BL 366207</w:t>
      </w:r>
      <w:r>
        <w:t xml:space="preserve"> (E.D.N.Y. Oct. 4, 2018).</w:t>
      </w:r>
    </w:p>
  </w:footnote>
  <w:footnote w:id="687">
    <w:p w:rsidR="00431229" w:rsidRPr="00C4457D" w:rsidRDefault="00431229" w:rsidP="00BB06F1">
      <w:pPr>
        <w:pStyle w:val="FootnoteText"/>
        <w:rPr>
          <w:lang w:val="da-DK"/>
        </w:rPr>
      </w:pPr>
      <w:r>
        <w:rPr>
          <w:rStyle w:val="FootnoteReference"/>
          <w:rFonts w:eastAsiaTheme="majorEastAsia"/>
        </w:rPr>
        <w:footnoteRef/>
      </w:r>
      <w:r w:rsidRPr="00C4457D">
        <w:rPr>
          <w:i/>
          <w:iCs/>
          <w:lang w:val="da-DK"/>
        </w:rPr>
        <w:t>Id</w:t>
      </w:r>
      <w:r w:rsidRPr="00C4457D">
        <w:rPr>
          <w:lang w:val="da-DK"/>
        </w:rPr>
        <w:t>. at *10.</w:t>
      </w:r>
    </w:p>
  </w:footnote>
  <w:footnote w:id="688">
    <w:p w:rsidR="00431229" w:rsidRPr="00127AF1" w:rsidRDefault="00431229" w:rsidP="000A1167">
      <w:pPr>
        <w:pStyle w:val="footnote"/>
      </w:pPr>
      <w:r>
        <w:rPr>
          <w:vertAlign w:val="superscript"/>
        </w:rPr>
        <w:footnoteRef/>
      </w:r>
      <w:r w:rsidRPr="00C4457D">
        <w:rPr>
          <w:lang w:val="da-DK"/>
        </w:rPr>
        <w:t>2018 WL 1283682</w:t>
      </w:r>
      <w:r>
        <w:rPr>
          <w:lang w:val="da-DK"/>
        </w:rPr>
        <w:t xml:space="preserve">, </w:t>
      </w:r>
      <w:r w:rsidRPr="000A1167">
        <w:t>2018 BL 84023</w:t>
      </w:r>
      <w:r w:rsidRPr="00C4457D">
        <w:rPr>
          <w:lang w:val="da-DK"/>
        </w:rPr>
        <w:t xml:space="preserve"> (E.D.N.Y. Mar. 9, 2018). </w:t>
      </w:r>
    </w:p>
  </w:footnote>
  <w:footnote w:id="689">
    <w:p w:rsidR="00431229" w:rsidRPr="00C4457D" w:rsidRDefault="00431229" w:rsidP="00CA1D96">
      <w:pPr>
        <w:pStyle w:val="footnote"/>
        <w:rPr>
          <w:lang w:val="da-DK"/>
        </w:rPr>
      </w:pPr>
      <w:r>
        <w:rPr>
          <w:vertAlign w:val="superscript"/>
        </w:rPr>
        <w:footnoteRef/>
      </w:r>
      <w:r w:rsidRPr="00C4457D">
        <w:rPr>
          <w:i/>
          <w:iCs/>
          <w:lang w:val="da-DK"/>
        </w:rPr>
        <w:t>Id</w:t>
      </w:r>
      <w:r w:rsidRPr="00C4457D">
        <w:rPr>
          <w:lang w:val="da-DK"/>
        </w:rPr>
        <w:t xml:space="preserve">. at *8. </w:t>
      </w:r>
    </w:p>
  </w:footnote>
  <w:footnote w:id="690">
    <w:p w:rsidR="00431229" w:rsidRPr="006662F5" w:rsidRDefault="00431229">
      <w:pPr>
        <w:pStyle w:val="footnote"/>
      </w:pPr>
      <w:r w:rsidRPr="006662F5">
        <w:rPr>
          <w:vertAlign w:val="superscript"/>
        </w:rPr>
        <w:footnoteRef/>
      </w:r>
      <w:r w:rsidRPr="006662F5">
        <w:t>994 F.2d 1359, 26 USPQ2d 1782 (9th Cir. 1993).</w:t>
      </w:r>
    </w:p>
  </w:footnote>
  <w:footnote w:id="691">
    <w:p w:rsidR="00431229" w:rsidRPr="006662F5" w:rsidRDefault="00431229">
      <w:pPr>
        <w:pStyle w:val="footnote"/>
      </w:pPr>
      <w:r w:rsidRPr="006662F5">
        <w:rPr>
          <w:vertAlign w:val="superscript"/>
        </w:rPr>
        <w:footnoteRef/>
      </w:r>
      <w:r w:rsidRPr="006662F5">
        <w:rPr>
          <w:i/>
          <w:iCs/>
        </w:rPr>
        <w:t>Id</w:t>
      </w:r>
      <w:r w:rsidRPr="006662F5">
        <w:t>. at 1362.</w:t>
      </w:r>
    </w:p>
  </w:footnote>
  <w:footnote w:id="692">
    <w:p w:rsidR="00431229" w:rsidRPr="006662F5" w:rsidRDefault="00431229">
      <w:pPr>
        <w:pStyle w:val="footnote"/>
      </w:pPr>
      <w:r w:rsidRPr="006662F5">
        <w:rPr>
          <w:vertAlign w:val="superscript"/>
        </w:rPr>
        <w:footnoteRef/>
      </w:r>
      <w:r w:rsidRPr="006662F5">
        <w:rPr>
          <w:i/>
          <w:iCs/>
        </w:rPr>
        <w:t>Id</w:t>
      </w:r>
      <w:r w:rsidRPr="006662F5">
        <w:t>.</w:t>
      </w:r>
    </w:p>
  </w:footnote>
  <w:footnote w:id="693">
    <w:p w:rsidR="00431229" w:rsidRPr="006662F5" w:rsidRDefault="00431229" w:rsidP="000A1167">
      <w:pPr>
        <w:pStyle w:val="footnote"/>
      </w:pPr>
      <w:r w:rsidRPr="006662F5">
        <w:rPr>
          <w:vertAlign w:val="superscript"/>
        </w:rPr>
        <w:footnoteRef/>
      </w:r>
      <w:r w:rsidRPr="006662F5">
        <w:t xml:space="preserve">The court also held that Fruit by itself could not be protected from dilution. </w:t>
      </w:r>
      <w:r w:rsidRPr="006662F5">
        <w:rPr>
          <w:i/>
          <w:iCs/>
        </w:rPr>
        <w:t>Id</w:t>
      </w:r>
      <w:r w:rsidRPr="006662F5">
        <w:t>.;</w:t>
      </w:r>
      <w:r w:rsidRPr="006662F5">
        <w:rPr>
          <w:i/>
          <w:iCs/>
        </w:rPr>
        <w:t xml:space="preserve"> see</w:t>
      </w:r>
      <w:r w:rsidRPr="006662F5">
        <w:t xml:space="preserve"> Playtex Prods., Inc. v. Georgia-Pacific Corp., 390 F.3d 158, 167, 73 USPQ2d 1127 (2d Cir. 2004) (Wet Ones and Moist Ones insufficiently similar under the FTDA and New York law); Maschinenfabrik Reinhausen GmbH v. Shanghai Huaming Power Equip. Co., 2006 WL 1379486, at *2</w:t>
      </w:r>
      <w:r>
        <w:t xml:space="preserve">, </w:t>
      </w:r>
      <w:r w:rsidRPr="000A1167">
        <w:t>2006 BL 77801</w:t>
      </w:r>
      <w:r w:rsidRPr="006662F5">
        <w:t xml:space="preserve"> (N.D. Tex. May 19, 2006) (plaintiff’s MR mark not similar to defendant’s HM mark for purposes of Texas dilution law or trademark infringement).</w:t>
      </w:r>
    </w:p>
  </w:footnote>
  <w:footnote w:id="694">
    <w:p w:rsidR="00431229" w:rsidRPr="006662F5" w:rsidRDefault="00431229">
      <w:pPr>
        <w:pStyle w:val="footnote"/>
      </w:pPr>
      <w:r w:rsidRPr="006662F5">
        <w:rPr>
          <w:vertAlign w:val="superscript"/>
        </w:rPr>
        <w:footnoteRef/>
      </w:r>
      <w:r w:rsidRPr="006662F5">
        <w:t xml:space="preserve">Girl Scouts of the U.S. of Am., v. Bantam Doubleday Dell Publ’g Grp., Inc., 808 F. Supp. 1112, 1131, 25 USPQ2d 1737 (S.D.N.Y. 1992), </w:t>
      </w:r>
      <w:r w:rsidRPr="006662F5">
        <w:rPr>
          <w:i/>
          <w:iCs/>
        </w:rPr>
        <w:t>aff’d</w:t>
      </w:r>
      <w:r w:rsidRPr="006662F5">
        <w:t>, 996 F.2d 1477, 27 USPQ2d 1316 (2d Cir. 1993).</w:t>
      </w:r>
    </w:p>
  </w:footnote>
  <w:footnote w:id="695">
    <w:p w:rsidR="00431229" w:rsidRDefault="00431229" w:rsidP="00856554">
      <w:pPr>
        <w:pStyle w:val="footnote"/>
      </w:pPr>
      <w:r>
        <w:rPr>
          <w:vertAlign w:val="superscript"/>
        </w:rPr>
        <w:footnoteRef/>
      </w:r>
      <w:r>
        <w:t xml:space="preserve">Healthbox Global Partners, LLC v. Under Armour, Inc., 2016 WL 3919452, at *9, </w:t>
      </w:r>
      <w:r w:rsidRPr="00856554">
        <w:t>2016 BL 230898</w:t>
      </w:r>
      <w:r>
        <w:t xml:space="preserve"> (D. Del. July 19, 2016). </w:t>
      </w:r>
    </w:p>
  </w:footnote>
  <w:footnote w:id="696">
    <w:p w:rsidR="00431229" w:rsidRPr="006662F5" w:rsidRDefault="00431229">
      <w:pPr>
        <w:pStyle w:val="footnote"/>
      </w:pPr>
      <w:r w:rsidRPr="006662F5">
        <w:rPr>
          <w:vertAlign w:val="superscript"/>
        </w:rPr>
        <w:footnoteRef/>
      </w:r>
      <w:r w:rsidRPr="006662F5">
        <w:t xml:space="preserve">Sensient Techs. Corp. v. SensoryEffects Flavor Co., 613 F.3d 754, 770–71, 96 USPQ2d 1164 (8th Cir. 2010) (“Sensient Flavors and SensoryEffects Flavor Systems marks are not sufficiently similar …”); </w:t>
      </w:r>
      <w:r w:rsidRPr="006662F5">
        <w:rPr>
          <w:i/>
          <w:iCs/>
        </w:rPr>
        <w:t>see</w:t>
      </w:r>
      <w:r w:rsidRPr="006662F5">
        <w:t xml:space="preserve"> LaPine v. Seinfeld, 375 F. App</w:t>
      </w:r>
      <w:r>
        <w:t>’</w:t>
      </w:r>
      <w:r w:rsidRPr="006662F5">
        <w:t>x. 81, 85, 96 USPQ2d 1130 (2d Cir. 2010).</w:t>
      </w:r>
    </w:p>
  </w:footnote>
  <w:footnote w:id="697">
    <w:p w:rsidR="00431229" w:rsidRPr="006662F5" w:rsidRDefault="00431229">
      <w:pPr>
        <w:pStyle w:val="footnote"/>
      </w:pPr>
      <w:r w:rsidRPr="006662F5">
        <w:rPr>
          <w:vertAlign w:val="superscript"/>
        </w:rPr>
        <w:footnoteRef/>
      </w:r>
      <w:r w:rsidRPr="006662F5">
        <w:t xml:space="preserve">Kraft Gen. Foods, Inc. v. Allied Old English, Inc., 831 F. Supp. 123, 130, 31 USPQ2d 1094 (S.D.N.Y. 1993). The court’s comparison was made in its confusion analysis, but that discussion was referenced in its brief dilution analysis. </w:t>
      </w:r>
      <w:r w:rsidRPr="006662F5">
        <w:rPr>
          <w:i/>
          <w:iCs/>
        </w:rPr>
        <w:t>Id</w:t>
      </w:r>
      <w:r w:rsidRPr="006662F5">
        <w:t>. at 134–35.</w:t>
      </w:r>
    </w:p>
  </w:footnote>
  <w:footnote w:id="698">
    <w:p w:rsidR="00431229" w:rsidRPr="006662F5" w:rsidRDefault="00431229">
      <w:pPr>
        <w:pStyle w:val="footnote"/>
      </w:pPr>
      <w:r w:rsidRPr="006662F5">
        <w:rPr>
          <w:vertAlign w:val="superscript"/>
        </w:rPr>
        <w:footnoteRef/>
      </w:r>
      <w:r w:rsidRPr="006662F5">
        <w:t xml:space="preserve">578 F. Supp. 911, 221 USPQ 991 (S.D.N.Y. 1983), </w:t>
      </w:r>
      <w:r w:rsidRPr="006662F5">
        <w:rPr>
          <w:i/>
          <w:iCs/>
        </w:rPr>
        <w:t>aff’d</w:t>
      </w:r>
      <w:r w:rsidRPr="006662F5">
        <w:t>, 746 F.2d 112, 223 USPQ 1000 (2d Cir. 1984).</w:t>
      </w:r>
    </w:p>
  </w:footnote>
  <w:footnote w:id="699">
    <w:p w:rsidR="00431229" w:rsidRPr="006662F5" w:rsidRDefault="00431229">
      <w:pPr>
        <w:pStyle w:val="footnote"/>
      </w:pPr>
      <w:r w:rsidRPr="006662F5">
        <w:rPr>
          <w:vertAlign w:val="superscript"/>
        </w:rPr>
        <w:footnoteRef/>
      </w:r>
      <w:r w:rsidRPr="006662F5">
        <w:rPr>
          <w:i/>
          <w:iCs/>
        </w:rPr>
        <w:t>Id</w:t>
      </w:r>
      <w:r w:rsidRPr="006662F5">
        <w:t>. at 928.</w:t>
      </w:r>
    </w:p>
  </w:footnote>
  <w:footnote w:id="700">
    <w:p w:rsidR="00431229" w:rsidRPr="006662F5" w:rsidRDefault="00431229">
      <w:pPr>
        <w:pStyle w:val="footnote"/>
      </w:pPr>
      <w:r w:rsidRPr="006662F5">
        <w:rPr>
          <w:vertAlign w:val="superscript"/>
        </w:rPr>
        <w:footnoteRef/>
      </w:r>
      <w:r w:rsidRPr="006662F5">
        <w:t>Donkey Kong sought to free a young girl; King Kong sought the beautiful Fay Wray.</w:t>
      </w:r>
    </w:p>
  </w:footnote>
  <w:footnote w:id="701">
    <w:p w:rsidR="00431229" w:rsidRPr="006662F5" w:rsidRDefault="00431229">
      <w:pPr>
        <w:pStyle w:val="footnote"/>
      </w:pPr>
      <w:r w:rsidRPr="006662F5">
        <w:rPr>
          <w:vertAlign w:val="superscript"/>
        </w:rPr>
        <w:footnoteRef/>
      </w:r>
      <w:r w:rsidRPr="006662F5">
        <w:t xml:space="preserve">These observations also were made in the context of a confusion analysis; however, the court’s very brief dilution analysis referred to its confusion analysis. </w:t>
      </w:r>
      <w:r w:rsidRPr="006662F5">
        <w:rPr>
          <w:i/>
          <w:iCs/>
        </w:rPr>
        <w:t>Id</w:t>
      </w:r>
      <w:r w:rsidRPr="006662F5">
        <w:t>. at 930.</w:t>
      </w:r>
    </w:p>
  </w:footnote>
  <w:footnote w:id="702">
    <w:p w:rsidR="00431229" w:rsidRPr="006662F5" w:rsidRDefault="00431229">
      <w:pPr>
        <w:pStyle w:val="footnote"/>
      </w:pPr>
      <w:r w:rsidRPr="006662F5">
        <w:rPr>
          <w:vertAlign w:val="superscript"/>
        </w:rPr>
        <w:footnoteRef/>
      </w:r>
      <w:r w:rsidRPr="006662F5">
        <w:t>97 F. Supp. 2d 395, 54 USPQ2d 1776 (S.D.N.Y. 2000).</w:t>
      </w:r>
    </w:p>
  </w:footnote>
  <w:footnote w:id="703">
    <w:p w:rsidR="00431229" w:rsidRPr="006662F5" w:rsidRDefault="00431229">
      <w:pPr>
        <w:pStyle w:val="footnote"/>
      </w:pPr>
      <w:r w:rsidRPr="006662F5">
        <w:rPr>
          <w:vertAlign w:val="superscript"/>
        </w:rPr>
        <w:footnoteRef/>
      </w:r>
      <w:r w:rsidRPr="006662F5">
        <w:t xml:space="preserve">The suit also involved claims relating to the design of the telephones themselves. However, the court held that any dilution claim based on a product configuration would be preempted by federal patent law. </w:t>
      </w:r>
      <w:r w:rsidRPr="006662F5">
        <w:rPr>
          <w:i/>
          <w:iCs/>
        </w:rPr>
        <w:t>Id</w:t>
      </w:r>
      <w:r w:rsidRPr="006662F5">
        <w:t>. at 424 n.199.</w:t>
      </w:r>
    </w:p>
  </w:footnote>
  <w:footnote w:id="704">
    <w:p w:rsidR="00431229" w:rsidRPr="006662F5" w:rsidRDefault="00431229">
      <w:pPr>
        <w:pStyle w:val="footnote"/>
      </w:pPr>
      <w:r w:rsidRPr="006662F5">
        <w:rPr>
          <w:vertAlign w:val="superscript"/>
        </w:rPr>
        <w:footnoteRef/>
      </w:r>
      <w:r w:rsidRPr="006662F5">
        <w:rPr>
          <w:i/>
          <w:iCs/>
        </w:rPr>
        <w:t>Id</w:t>
      </w:r>
      <w:r w:rsidRPr="006662F5">
        <w:t>. at 425.</w:t>
      </w:r>
    </w:p>
  </w:footnote>
  <w:footnote w:id="705">
    <w:p w:rsidR="00431229" w:rsidRPr="006662F5" w:rsidRDefault="00431229">
      <w:pPr>
        <w:pStyle w:val="footnote"/>
      </w:pPr>
      <w:r w:rsidRPr="006662F5">
        <w:rPr>
          <w:vertAlign w:val="superscript"/>
        </w:rPr>
        <w:footnoteRef/>
      </w:r>
      <w:r w:rsidRPr="006662F5">
        <w:rPr>
          <w:i/>
          <w:iCs/>
        </w:rPr>
        <w:t>Id</w:t>
      </w:r>
      <w:r w:rsidRPr="006662F5">
        <w:t>. at 411.</w:t>
      </w:r>
    </w:p>
  </w:footnote>
  <w:footnote w:id="706">
    <w:p w:rsidR="00431229" w:rsidRPr="006662F5" w:rsidRDefault="00431229">
      <w:pPr>
        <w:pStyle w:val="footnote"/>
      </w:pPr>
      <w:r w:rsidRPr="006662F5">
        <w:rPr>
          <w:vertAlign w:val="superscript"/>
        </w:rPr>
        <w:footnoteRef/>
      </w:r>
      <w:r w:rsidRPr="006662F5">
        <w:t xml:space="preserve">69 F. Supp. 2d 479, 52 USPQ2d 1884 (S.D.N.Y. 1999), </w:t>
      </w:r>
      <w:r w:rsidRPr="006662F5">
        <w:rPr>
          <w:i/>
          <w:iCs/>
        </w:rPr>
        <w:t>aff’d in part and rev’d in part</w:t>
      </w:r>
      <w:r w:rsidRPr="006662F5">
        <w:t>,</w:t>
      </w:r>
      <w:r w:rsidRPr="006662F5">
        <w:rPr>
          <w:i/>
          <w:iCs/>
        </w:rPr>
        <w:t xml:space="preserve"> </w:t>
      </w:r>
      <w:r w:rsidRPr="006662F5">
        <w:t>293 F.3d 550, 62 USPQ2d 1260 (2d Cir. 2002).</w:t>
      </w:r>
    </w:p>
  </w:footnote>
  <w:footnote w:id="707">
    <w:p w:rsidR="00431229" w:rsidRPr="006662F5" w:rsidRDefault="00431229">
      <w:pPr>
        <w:pStyle w:val="footnote"/>
      </w:pPr>
      <w:r w:rsidRPr="006662F5">
        <w:rPr>
          <w:vertAlign w:val="superscript"/>
        </w:rPr>
        <w:footnoteRef/>
      </w:r>
      <w:r w:rsidRPr="006662F5">
        <w:rPr>
          <w:i/>
          <w:iCs/>
        </w:rPr>
        <w:t>Id</w:t>
      </w:r>
      <w:r w:rsidRPr="006662F5">
        <w:t xml:space="preserve">. at 490. In this case the stock exchange complained about the use of a word mark and the use of a façade shaped like the stock exchange building. </w:t>
      </w:r>
      <w:r w:rsidRPr="006662F5">
        <w:rPr>
          <w:i/>
          <w:iCs/>
        </w:rPr>
        <w:t>See id</w:t>
      </w:r>
      <w:r w:rsidRPr="006662F5">
        <w:t>. at 484–85 (noting differences between “New York Stock Exchange” and “New York Slot Exchange,” in addition to differences in context).</w:t>
      </w:r>
    </w:p>
  </w:footnote>
  <w:footnote w:id="708">
    <w:p w:rsidR="00431229" w:rsidRPr="006662F5" w:rsidRDefault="00431229">
      <w:pPr>
        <w:pStyle w:val="footnote"/>
      </w:pPr>
      <w:r w:rsidRPr="006662F5">
        <w:rPr>
          <w:vertAlign w:val="superscript"/>
        </w:rPr>
        <w:footnoteRef/>
      </w:r>
      <w:r w:rsidRPr="006662F5">
        <w:rPr>
          <w:i/>
          <w:iCs/>
        </w:rPr>
        <w:t>Id</w:t>
      </w:r>
      <w:r w:rsidRPr="006662F5">
        <w:t>. at 491. Although the district court dismissed the tarnishment claim, the Second Circuit held that it should go to trial. 293 F.3d at 558.</w:t>
      </w:r>
    </w:p>
  </w:footnote>
  <w:footnote w:id="709">
    <w:p w:rsidR="00431229" w:rsidRPr="006662F5" w:rsidRDefault="00431229">
      <w:pPr>
        <w:pStyle w:val="footnote"/>
      </w:pPr>
      <w:r w:rsidRPr="006662F5">
        <w:rPr>
          <w:vertAlign w:val="superscript"/>
        </w:rPr>
        <w:footnoteRef/>
      </w:r>
      <w:r w:rsidRPr="006662F5">
        <w:t>117 F. Supp. 2d 360, 56 USPQ2d 1613 (S.D.N.Y. 2000).</w:t>
      </w:r>
    </w:p>
  </w:footnote>
  <w:footnote w:id="710">
    <w:p w:rsidR="00431229" w:rsidRPr="006662F5" w:rsidRDefault="00431229">
      <w:pPr>
        <w:pStyle w:val="footnote"/>
      </w:pPr>
      <w:r w:rsidRPr="006662F5">
        <w:rPr>
          <w:vertAlign w:val="superscript"/>
        </w:rPr>
        <w:footnoteRef/>
      </w:r>
      <w:r w:rsidRPr="006662F5">
        <w:rPr>
          <w:i/>
          <w:iCs/>
        </w:rPr>
        <w:t>Id</w:t>
      </w:r>
      <w:r w:rsidRPr="006662F5">
        <w:t xml:space="preserve">. at 370. This conclusion is more remarkable because the court conceded that the products themselves </w:t>
      </w:r>
      <w:r w:rsidRPr="006662F5">
        <w:rPr>
          <w:i/>
          <w:iCs/>
        </w:rPr>
        <w:t>were</w:t>
      </w:r>
      <w:r w:rsidRPr="006662F5">
        <w:t xml:space="preserve"> “substantially similar.” </w:t>
      </w:r>
      <w:r w:rsidRPr="006662F5">
        <w:rPr>
          <w:i/>
          <w:iCs/>
        </w:rPr>
        <w:t>Id</w:t>
      </w:r>
      <w:r w:rsidRPr="006662F5">
        <w:t>.</w:t>
      </w:r>
    </w:p>
  </w:footnote>
  <w:footnote w:id="711">
    <w:p w:rsidR="00431229" w:rsidRDefault="00431229" w:rsidP="00CA1D96">
      <w:pPr>
        <w:pStyle w:val="footnote"/>
      </w:pPr>
      <w:r>
        <w:rPr>
          <w:vertAlign w:val="superscript"/>
        </w:rPr>
        <w:footnoteRef/>
      </w:r>
      <w:r>
        <w:t xml:space="preserve">Moresource, Inc. v. Extra Help, Inc., 2013 U.S. Dist. LEXIS 74903, at *8–9 (E.D. Mo. May 29, 2013) (denying motion to dismiss and contrasting with motion for summary judgment). </w:t>
      </w:r>
    </w:p>
  </w:footnote>
  <w:footnote w:id="712">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xml:space="preserve">., Libman Co. v. Vining Indus., Inc., 69 F.3d 1360, 1364–65, 36 USPQ2d 1751 (7th Cir. 1995), </w:t>
      </w:r>
      <w:r w:rsidRPr="006662F5">
        <w:rPr>
          <w:i/>
          <w:iCs/>
        </w:rPr>
        <w:t>cert</w:t>
      </w:r>
      <w:r w:rsidRPr="006662F5">
        <w:t>.</w:t>
      </w:r>
      <w:r w:rsidRPr="006662F5">
        <w:rPr>
          <w:i/>
          <w:iCs/>
        </w:rPr>
        <w:t xml:space="preserve"> denied</w:t>
      </w:r>
      <w:r w:rsidRPr="006662F5">
        <w:t xml:space="preserve">, 517 U.S. 1234 (1996); Squirtco v. Seven-Up Co., 628 F.2d 1086, 1091, 207 USPQ 897 (8th Cir. 1980); AMF, Inc. v. Sleekcraft Boats, 599 F.2d 341, 348, 204 USPQ 808 (9th Cir. 1979); Polaroid Corp. v. Polarad Elecs. Corp., 287 F.2d 492, 495, 128 USPQ 411 (2d Cir.), </w:t>
      </w:r>
      <w:r w:rsidRPr="006662F5">
        <w:rPr>
          <w:i/>
          <w:iCs/>
        </w:rPr>
        <w:t>cert</w:t>
      </w:r>
      <w:r w:rsidRPr="006662F5">
        <w:t>.</w:t>
      </w:r>
      <w:r w:rsidRPr="006662F5">
        <w:rPr>
          <w:i/>
          <w:iCs/>
        </w:rPr>
        <w:t xml:space="preserve"> denied</w:t>
      </w:r>
      <w:r w:rsidRPr="006662F5">
        <w:t>, 368 U.S. 820 (1961).</w:t>
      </w:r>
    </w:p>
  </w:footnote>
  <w:footnote w:id="713">
    <w:p w:rsidR="00431229" w:rsidRPr="006662F5" w:rsidRDefault="00431229">
      <w:pPr>
        <w:pStyle w:val="footnote"/>
      </w:pPr>
      <w:r w:rsidRPr="006662F5">
        <w:rPr>
          <w:vertAlign w:val="superscript"/>
        </w:rPr>
        <w:footnoteRef/>
      </w:r>
      <w:r w:rsidRPr="006662F5">
        <w:t>See §IV.A.1, above.</w:t>
      </w:r>
    </w:p>
  </w:footnote>
  <w:footnote w:id="714">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w:t>
      </w:r>
      <w:r w:rsidRPr="006662F5">
        <w:rPr>
          <w:smallCaps/>
        </w:rPr>
        <w:t xml:space="preserve">Cal. Bus. &amp; Prof. Code </w:t>
      </w:r>
      <w:r w:rsidRPr="006662F5">
        <w:t>§14247 (West 2008);</w:t>
      </w:r>
      <w:r w:rsidRPr="006662F5">
        <w:rPr>
          <w:smallCaps/>
        </w:rPr>
        <w:t xml:space="preserve"> Mass. Gen. Laws Ann.</w:t>
      </w:r>
      <w:r w:rsidRPr="006662F5">
        <w:t xml:space="preserve"> ch. 110H, §13 (West 2011); </w:t>
      </w:r>
      <w:r w:rsidRPr="006662F5">
        <w:rPr>
          <w:smallCaps/>
        </w:rPr>
        <w:t>Mo</w:t>
      </w:r>
      <w:r w:rsidRPr="006662F5">
        <w:t>.</w:t>
      </w:r>
      <w:r w:rsidRPr="006662F5">
        <w:rPr>
          <w:smallCaps/>
        </w:rPr>
        <w:t xml:space="preserve"> Ann. Stat. §417.061 (</w:t>
      </w:r>
      <w:r w:rsidRPr="006662F5">
        <w:t>West</w:t>
      </w:r>
      <w:r w:rsidRPr="006662F5">
        <w:rPr>
          <w:smallCaps/>
        </w:rPr>
        <w:t xml:space="preserve"> 2001); N.Y. Gen. Bus. Law §360</w:t>
      </w:r>
      <w:r w:rsidRPr="006662F5">
        <w:t>-</w:t>
      </w:r>
      <w:r w:rsidRPr="006662F5">
        <w:rPr>
          <w:i/>
          <w:iCs/>
        </w:rPr>
        <w:t>l</w:t>
      </w:r>
      <w:r w:rsidRPr="006662F5">
        <w:t xml:space="preserve"> (McKinney Supp. 2012); 15 U.S.C. §1125(c)(1); </w:t>
      </w:r>
      <w:r w:rsidRPr="006662F5">
        <w:rPr>
          <w:i/>
          <w:iCs/>
        </w:rPr>
        <w:t>see</w:t>
      </w:r>
      <w:r w:rsidRPr="006662F5">
        <w:t xml:space="preserve"> Academy of Motion Picture Arts &amp; Scis. v. Creative House Promotions, Inc., 944 F.2d 1446, 1454, 19 USPQ2d 1491 (9th Cir. 1991) (actual harm not required under California law). See §§VI.B and VI.C, below.</w:t>
      </w:r>
    </w:p>
  </w:footnote>
  <w:footnote w:id="715">
    <w:p w:rsidR="00431229" w:rsidRPr="006662F5" w:rsidRDefault="00431229">
      <w:pPr>
        <w:pStyle w:val="footnote"/>
      </w:pPr>
      <w:r w:rsidRPr="006662F5">
        <w:rPr>
          <w:vertAlign w:val="superscript"/>
        </w:rPr>
        <w:footnoteRef/>
      </w:r>
      <w:r w:rsidRPr="006662F5">
        <w:rPr>
          <w:i/>
          <w:iCs/>
        </w:rPr>
        <w:t>E</w:t>
      </w:r>
      <w:r w:rsidRPr="006662F5">
        <w:t>.</w:t>
      </w:r>
      <w:r w:rsidRPr="006662F5">
        <w:rPr>
          <w:i/>
          <w:iCs/>
        </w:rPr>
        <w:t>g</w:t>
      </w:r>
      <w:r w:rsidRPr="006662F5">
        <w:t xml:space="preserve">., </w:t>
      </w:r>
      <w:r w:rsidRPr="006662F5">
        <w:rPr>
          <w:smallCaps/>
        </w:rPr>
        <w:t>Conn. Gen. Stat. Ann.</w:t>
      </w:r>
      <w:r w:rsidRPr="006662F5">
        <w:t xml:space="preserve"> §35-11i(c) (West 2005) (emphasis added); </w:t>
      </w:r>
      <w:r w:rsidRPr="006662F5">
        <w:rPr>
          <w:smallCaps/>
        </w:rPr>
        <w:t>Iowa Code Ann</w:t>
      </w:r>
      <w:r w:rsidRPr="006662F5">
        <w:t xml:space="preserve">. §548.113 (West 1997) (same); </w:t>
      </w:r>
      <w:r w:rsidRPr="006662F5">
        <w:rPr>
          <w:smallCaps/>
        </w:rPr>
        <w:t>Tenn. Code Ann</w:t>
      </w:r>
      <w:r w:rsidRPr="006662F5">
        <w:t xml:space="preserve">. §47-25-513 (LexisNexis 2001) (same). Florida is an exception: its statute allows relief if the second use “is likely to cause dilution” of a famous mark. </w:t>
      </w:r>
      <w:r w:rsidRPr="006662F5">
        <w:rPr>
          <w:smallCaps/>
        </w:rPr>
        <w:t xml:space="preserve">Fla. Stat. Ann. §495.151 </w:t>
      </w:r>
      <w:r w:rsidRPr="006662F5">
        <w:t>(West Supp. 2010). However, the definition of dilution in this statute is the same as that in the 1996 Model Bill. Therefore, it is subject to the interpretation that tarnishment is not within the definition.</w:t>
      </w:r>
    </w:p>
  </w:footnote>
  <w:footnote w:id="716">
    <w:p w:rsidR="00431229" w:rsidRPr="006662F5" w:rsidRDefault="00431229">
      <w:pPr>
        <w:pStyle w:val="footnote"/>
      </w:pPr>
      <w:r w:rsidRPr="006662F5">
        <w:rPr>
          <w:vertAlign w:val="superscript"/>
        </w:rPr>
        <w:footnoteRef/>
      </w:r>
      <w:r w:rsidRPr="006662F5">
        <w:rPr>
          <w:i/>
          <w:iCs/>
        </w:rPr>
        <w:t>Compare</w:t>
      </w:r>
      <w:r w:rsidRPr="006662F5">
        <w:t xml:space="preserve"> V Secret Catalogue, Inc. v. Moseley, 259 F.3d 464, 476, 59 USPQ2d 1650 (6th Cir. 2001) (likelihood of dilution sufficient), </w:t>
      </w:r>
      <w:r w:rsidRPr="006662F5">
        <w:rPr>
          <w:i/>
          <w:iCs/>
        </w:rPr>
        <w:t>rev’d</w:t>
      </w:r>
      <w:r w:rsidRPr="006662F5">
        <w:t xml:space="preserve">, 537 U.S. 418, 65 USPQ2d 1801 (2003); Eli Lilly &amp; Co. v. Natural Answers, Inc., 233 F.3d 456, 466–67, 56 USPQ2d 1942 (7th Cir. 2000) (same); </w:t>
      </w:r>
      <w:r w:rsidRPr="006662F5">
        <w:rPr>
          <w:i/>
          <w:iCs/>
        </w:rPr>
        <w:t>and</w:t>
      </w:r>
      <w:r w:rsidRPr="006662F5">
        <w:t xml:space="preserve"> Nabisco, Inc. v. PF Brands, Inc., 191 F.3d 208, 223–25, 51 USPQ2d 1882 (2d Cir. 1999) (same), </w:t>
      </w:r>
      <w:r w:rsidRPr="006662F5">
        <w:rPr>
          <w:i/>
          <w:iCs/>
        </w:rPr>
        <w:t>with</w:t>
      </w:r>
      <w:r w:rsidRPr="006662F5">
        <w:t xml:space="preserve"> Westchester Media v. PRL USA Holdings, 214 F.3d 658, 671, 55 USPQ2d 1225 (5th Cir. 2000) (proof of actual dilution required), </w:t>
      </w:r>
      <w:r w:rsidRPr="006662F5">
        <w:rPr>
          <w:i/>
          <w:iCs/>
        </w:rPr>
        <w:t>and</w:t>
      </w:r>
      <w:r w:rsidRPr="006662F5">
        <w:t xml:space="preserve"> Ringling Bros.-Barnum &amp; Bailey Combined Shows, Inc. v. Utah Div. of Travel Dev., 170 F.3d 449, 459–61, 50 USPQ2d 1065 (4th Cir.), </w:t>
      </w:r>
      <w:r w:rsidRPr="006662F5">
        <w:rPr>
          <w:i/>
          <w:iCs/>
        </w:rPr>
        <w:t>cert</w:t>
      </w:r>
      <w:r w:rsidRPr="006662F5">
        <w:t>.</w:t>
      </w:r>
      <w:r w:rsidRPr="006662F5">
        <w:rPr>
          <w:i/>
          <w:iCs/>
        </w:rPr>
        <w:t xml:space="preserve"> denied</w:t>
      </w:r>
      <w:r w:rsidRPr="006662F5">
        <w:t>, 528 U.S. 923 (1999) (same).</w:t>
      </w:r>
    </w:p>
  </w:footnote>
  <w:footnote w:id="717">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Ringling Bros</w:t>
      </w:r>
      <w:r w:rsidRPr="006662F5">
        <w:t>.</w:t>
      </w:r>
      <w:r w:rsidRPr="006662F5">
        <w:rPr>
          <w:i/>
          <w:iCs/>
        </w:rPr>
        <w:t>-Barnum &amp; Bailey Combined Shows</w:t>
      </w:r>
      <w:r w:rsidRPr="006662F5">
        <w:t xml:space="preserve">, 170 F.3d at 460–61 (noting also that the FTDA definition of dilution said “lessens,” not “will lessen” or “may lessen”), </w:t>
      </w:r>
      <w:r w:rsidRPr="006662F5">
        <w:rPr>
          <w:i/>
          <w:iCs/>
        </w:rPr>
        <w:t>cert</w:t>
      </w:r>
      <w:r w:rsidRPr="006662F5">
        <w:t>.</w:t>
      </w:r>
      <w:r w:rsidRPr="006662F5">
        <w:rPr>
          <w:i/>
          <w:iCs/>
        </w:rPr>
        <w:t xml:space="preserve"> denied</w:t>
      </w:r>
      <w:r w:rsidRPr="006662F5">
        <w:t xml:space="preserve">, 528 U.S. 923 (1999). </w:t>
      </w:r>
      <w:r w:rsidRPr="006662F5">
        <w:rPr>
          <w:i/>
          <w:iCs/>
        </w:rPr>
        <w:t>See</w:t>
      </w:r>
      <w:r w:rsidRPr="006662F5">
        <w:t xml:space="preserve"> 15 U.S.C. §§1114(1), 1125(a)(1)(A). </w:t>
      </w:r>
    </w:p>
  </w:footnote>
  <w:footnote w:id="718">
    <w:p w:rsidR="00431229" w:rsidRPr="006662F5" w:rsidRDefault="00431229">
      <w:pPr>
        <w:pStyle w:val="footnote"/>
      </w:pPr>
      <w:r w:rsidRPr="006662F5">
        <w:rPr>
          <w:vertAlign w:val="superscript"/>
        </w:rPr>
        <w:footnoteRef/>
      </w:r>
      <w:r w:rsidRPr="006662F5">
        <w:rPr>
          <w:i/>
          <w:iCs/>
        </w:rPr>
        <w:t>See</w:t>
      </w:r>
      <w:r w:rsidRPr="006662F5">
        <w:t xml:space="preserve"> </w:t>
      </w:r>
      <w:r w:rsidRPr="006662F5">
        <w:rPr>
          <w:i/>
          <w:iCs/>
        </w:rPr>
        <w:t>V Secret Catalogue</w:t>
      </w:r>
      <w:r w:rsidRPr="006662F5">
        <w:t xml:space="preserve">, 259 F.3d at 476; </w:t>
      </w:r>
      <w:r w:rsidRPr="006662F5">
        <w:rPr>
          <w:i/>
          <w:iCs/>
        </w:rPr>
        <w:t>Eli Lilly</w:t>
      </w:r>
      <w:r w:rsidRPr="006662F5">
        <w:t xml:space="preserve">, 233 F.3d at 467; </w:t>
      </w:r>
      <w:r w:rsidRPr="006662F5">
        <w:rPr>
          <w:i/>
          <w:iCs/>
        </w:rPr>
        <w:t>Nabisco</w:t>
      </w:r>
      <w:r w:rsidRPr="006662F5">
        <w:t xml:space="preserve">, 191 F.3d at 223–24; </w:t>
      </w:r>
      <w:r w:rsidRPr="006662F5">
        <w:rPr>
          <w:i/>
          <w:iCs/>
        </w:rPr>
        <w:t>see also</w:t>
      </w:r>
      <w:r w:rsidRPr="006662F5">
        <w:t xml:space="preserve"> </w:t>
      </w:r>
      <w:r w:rsidRPr="006662F5">
        <w:rPr>
          <w:smallCaps/>
        </w:rPr>
        <w:t xml:space="preserve">Restatement (Third) of Unfair Competition </w:t>
      </w:r>
      <w:r w:rsidRPr="006662F5">
        <w:t>§25 cmt. f (1995).</w:t>
      </w:r>
    </w:p>
  </w:footnote>
  <w:footnote w:id="719">
    <w:p w:rsidR="00431229" w:rsidRPr="006662F5" w:rsidRDefault="00431229">
      <w:pPr>
        <w:pStyle w:val="footnote"/>
      </w:pPr>
      <w:r w:rsidRPr="006662F5">
        <w:rPr>
          <w:vertAlign w:val="superscript"/>
        </w:rPr>
        <w:footnoteRef/>
      </w:r>
      <w:r w:rsidRPr="006662F5">
        <w:rPr>
          <w:i/>
          <w:iCs/>
        </w:rPr>
        <w:t>Nabisco</w:t>
      </w:r>
      <w:r w:rsidRPr="006662F5">
        <w:t xml:space="preserve">, 191 F.3d at 224; </w:t>
      </w:r>
      <w:r w:rsidRPr="006662F5">
        <w:rPr>
          <w:i/>
          <w:iCs/>
        </w:rPr>
        <w:t>see</w:t>
      </w:r>
      <w:r w:rsidRPr="006662F5">
        <w:t xml:space="preserve"> Moseley v. V Secret Catalogue, Inc., 537 U.S. 418, 436, 65 USPQ2d 1801 (2003) (Kennedy, J., concurring).</w:t>
      </w:r>
    </w:p>
  </w:footnote>
  <w:footnote w:id="720">
    <w:p w:rsidR="00431229" w:rsidRPr="006662F5" w:rsidRDefault="00431229">
      <w:pPr>
        <w:pStyle w:val="footnote"/>
      </w:pPr>
      <w:r w:rsidRPr="006662F5">
        <w:rPr>
          <w:vertAlign w:val="superscript"/>
        </w:rPr>
        <w:footnoteRef/>
      </w:r>
      <w:r w:rsidRPr="006662F5">
        <w:t>537 U.S. 418.</w:t>
      </w:r>
    </w:p>
  </w:footnote>
  <w:footnote w:id="721">
    <w:p w:rsidR="00431229" w:rsidRPr="006662F5" w:rsidRDefault="00431229">
      <w:pPr>
        <w:pStyle w:val="footnote"/>
      </w:pPr>
      <w:r w:rsidRPr="006662F5">
        <w:rPr>
          <w:vertAlign w:val="superscript"/>
        </w:rPr>
        <w:footnoteRef/>
      </w:r>
      <w:r w:rsidRPr="006662F5">
        <w:rPr>
          <w:i/>
          <w:iCs/>
        </w:rPr>
        <w:t>Id</w:t>
      </w:r>
      <w:r w:rsidRPr="006662F5">
        <w:t xml:space="preserve">. at 433. The Court did not require actual </w:t>
      </w:r>
      <w:r w:rsidRPr="006662F5">
        <w:rPr>
          <w:i/>
          <w:iCs/>
        </w:rPr>
        <w:t>economic harm</w:t>
      </w:r>
      <w:r w:rsidRPr="006662F5">
        <w:t xml:space="preserve"> to be shown, just actual dilution. </w:t>
      </w:r>
    </w:p>
  </w:footnote>
  <w:footnote w:id="722">
    <w:p w:rsidR="00431229" w:rsidRPr="006662F5" w:rsidRDefault="00431229">
      <w:pPr>
        <w:pStyle w:val="footnote"/>
      </w:pPr>
      <w:r w:rsidRPr="006662F5">
        <w:rPr>
          <w:vertAlign w:val="superscript"/>
        </w:rPr>
        <w:footnoteRef/>
      </w:r>
      <w:r w:rsidRPr="006662F5">
        <w:rPr>
          <w:i/>
          <w:iCs/>
        </w:rPr>
        <w:t>Id</w:t>
      </w:r>
      <w:r w:rsidRPr="006662F5">
        <w:t>. at 434.</w:t>
      </w:r>
    </w:p>
  </w:footnote>
  <w:footnote w:id="723">
    <w:p w:rsidR="00431229" w:rsidRPr="006662F5" w:rsidRDefault="00431229">
      <w:pPr>
        <w:pStyle w:val="footnote"/>
      </w:pPr>
      <w:r w:rsidRPr="006662F5">
        <w:rPr>
          <w:vertAlign w:val="superscript"/>
        </w:rPr>
        <w:footnoteRef/>
      </w:r>
      <w:r w:rsidRPr="006662F5">
        <w:t>353 F.3d 528, 69 USPQ2d 1213 (7th Cir. 2003).</w:t>
      </w:r>
    </w:p>
  </w:footnote>
  <w:footnote w:id="724">
    <w:p w:rsidR="00431229" w:rsidRPr="006662F5" w:rsidRDefault="00431229">
      <w:pPr>
        <w:pStyle w:val="footnote"/>
      </w:pPr>
      <w:r w:rsidRPr="006662F5">
        <w:rPr>
          <w:vertAlign w:val="superscript"/>
        </w:rPr>
        <w:footnoteRef/>
      </w:r>
      <w:r w:rsidRPr="006662F5">
        <w:rPr>
          <w:i/>
          <w:iCs/>
        </w:rPr>
        <w:t>Id</w:t>
      </w:r>
      <w:r w:rsidRPr="006662F5">
        <w:t>. at 536.</w:t>
      </w:r>
    </w:p>
  </w:footnote>
  <w:footnote w:id="725">
    <w:p w:rsidR="00431229" w:rsidRPr="006662F5" w:rsidRDefault="00431229">
      <w:pPr>
        <w:pStyle w:val="footnote"/>
      </w:pPr>
      <w:r w:rsidRPr="006662F5">
        <w:rPr>
          <w:vertAlign w:val="superscript"/>
        </w:rPr>
        <w:footnoteRef/>
      </w:r>
      <w:r w:rsidRPr="006662F5">
        <w:rPr>
          <w:i/>
          <w:iCs/>
        </w:rPr>
        <w:t>See, e</w:t>
      </w:r>
      <w:r w:rsidRPr="006662F5">
        <w:t>.</w:t>
      </w:r>
      <w:r w:rsidRPr="006662F5">
        <w:rPr>
          <w:i/>
          <w:iCs/>
        </w:rPr>
        <w:t>g</w:t>
      </w:r>
      <w:r w:rsidRPr="006662F5">
        <w:t>., DaimlerChrysler AG v. Bloom, 315 F.3d 932, 935 n.3, 65 USPQ2d 1359 (8th Cir. 2003) (noting that Minnesota’s dilution law is worded the same as the original FTDA and therefore assuming that the two laws are “coextensive”); Mashantucket Pequot Tribe v. Redican, 403 F. Supp. 2d 184, 195 (D. Conn. 2005) (Connecticut dilution law interpreted same as original FTDA); Scott Fetzer Co. v. Gehring, 288 F. Supp. 2d 696, 701 n.7, 702 n.9 (E.D. Pa. 2003) (noting that Pennsylvania law and (pre-TDRA) federal law are the same in all but jurisdictional portions and interpreting Pennsylvania law to require actual dilution); World Wrestling Fed’n Entm’t, Inc. v. Big Dog Holdings, Inc., 280 F. Supp. 2d 413, 443 (W.D. Pa. 2003) (Pennsylvania law same as federal).</w:t>
      </w:r>
    </w:p>
  </w:footnote>
  <w:footnote w:id="726">
    <w:p w:rsidR="00431229" w:rsidRPr="006662F5" w:rsidRDefault="00431229">
      <w:pPr>
        <w:pStyle w:val="footnote"/>
      </w:pPr>
      <w:r w:rsidRPr="006662F5">
        <w:rPr>
          <w:vertAlign w:val="superscript"/>
        </w:rPr>
        <w:footnoteRef/>
      </w:r>
      <w:r w:rsidRPr="006662F5">
        <w:rPr>
          <w:i/>
          <w:iCs/>
        </w:rPr>
        <w:t>See</w:t>
      </w:r>
      <w:r w:rsidRPr="006662F5">
        <w:t xml:space="preserve"> </w:t>
      </w:r>
      <w:r w:rsidRPr="00BB06F1">
        <w:t>IPOX Schuster, LLC v. Mikko Asset Mgmt. Co., 304 F. Supp. 3d 746, 764 (N.D. Ill. 2018) (dismissing claim under Illinois law for lack of evidence of actual dilution); Doctor’s Data, Inc. v. Barrett, 170 F. Supp. 3d 1087, 1100 (N.D. Ill. 2016) (finding no evidence of actual dilution, which is required by Illinois law); General Cigar Co. v. Cohiba Carribean’s Finest, Inc., 2008 WL 11388659, at *11 (D. Nev. June 30, 2008) (Nevada dilution statute requires actual dilution; court finds actual dilution by use of identical mark and circumstantial evidence); Pennzoil Quaker State Co. v. Smith, 2008 U.S. Dist. LEXIS 124298, at *70 (W.D. Pa. Mar. 7, 2008) (federal dilution is easier to show because Pennsylvania law requires actual dilution);</w:t>
      </w:r>
      <w:r>
        <w:t xml:space="preserve"> </w:t>
      </w:r>
      <w:r w:rsidRPr="006662F5">
        <w:t xml:space="preserve">McNeil Nutritionals, LLC v. Heartland Sweeteners, LLC, 512 F. Supp. 2d 217, 237-38 (E.D. Pa. 2007) (Pennsylvania law requires actual dilution despite TDRA), </w:t>
      </w:r>
      <w:r w:rsidRPr="006662F5">
        <w:rPr>
          <w:i/>
          <w:iCs/>
        </w:rPr>
        <w:t>aff’d in part, rev’d in part on other grounds</w:t>
      </w:r>
      <w:r w:rsidRPr="006662F5">
        <w:t xml:space="preserve">, 511 F.3d 350, 85 USPQ2d 1545 (3d Cir. 2007) (the court of appeals did not discuss dilution claims); AutoZone, Inc. v. Strick, 466 F. Supp. 2d 1034, 1045 n.5, 81 USPQ2d 1516 (N.D. Ill. 2006) (Illinois statute requires showing of actual dilution, in contrast to the TDRA), </w:t>
      </w:r>
      <w:r w:rsidRPr="006662F5">
        <w:rPr>
          <w:i/>
          <w:iCs/>
        </w:rPr>
        <w:t>rev’d on other grounds</w:t>
      </w:r>
      <w:r w:rsidRPr="006662F5">
        <w:t>, 543 F.3d 923 (7th Cir. 2008).</w:t>
      </w:r>
      <w:r>
        <w:t xml:space="preserve"> </w:t>
      </w:r>
      <w:r w:rsidRPr="00BB06F1">
        <w:rPr>
          <w:i/>
          <w:iCs/>
        </w:rPr>
        <w:t>But cf.</w:t>
      </w:r>
      <w:r w:rsidRPr="00BB06F1">
        <w:t xml:space="preserve"> Russell Rd. Food &amp; Beverage, LLC v. Galam, 180 F. Supp. 3d 724, 742–43 (D. Nev. 2016) (interpreting Nevada law and finding dilution via confusion but not addressing whether actual dilution is required).</w:t>
      </w:r>
    </w:p>
  </w:footnote>
  <w:footnote w:id="727">
    <w:p w:rsidR="00431229" w:rsidRPr="006662F5" w:rsidRDefault="00431229">
      <w:pPr>
        <w:pStyle w:val="footnote"/>
      </w:pPr>
      <w:r w:rsidRPr="006662F5">
        <w:rPr>
          <w:vertAlign w:val="superscript"/>
        </w:rPr>
        <w:footnoteRef/>
      </w:r>
      <w:r w:rsidRPr="006662F5">
        <w:rPr>
          <w:smallCaps/>
        </w:rPr>
        <w:t xml:space="preserve">Fla. Stat. Ann. §495.151 </w:t>
      </w:r>
      <w:r w:rsidRPr="006662F5">
        <w:t>(West Supp. 2010) (emphasis added). However, the definition of dilution in this statute is the same as that in the 1996 Model Bill. Therefore, it is subject to the interpretation that tarnishment is not within the definition.</w:t>
      </w:r>
    </w:p>
  </w:footnote>
  <w:footnote w:id="728">
    <w:p w:rsidR="00431229" w:rsidRPr="006662F5" w:rsidRDefault="00431229">
      <w:pPr>
        <w:pStyle w:val="footnote"/>
      </w:pPr>
      <w:r w:rsidRPr="006662F5">
        <w:rPr>
          <w:vertAlign w:val="superscript"/>
        </w:rPr>
        <w:footnoteRef/>
      </w:r>
      <w:r w:rsidRPr="006662F5">
        <w:rPr>
          <w:i/>
          <w:iCs/>
        </w:rPr>
        <w:t>See</w:t>
      </w:r>
      <w:r w:rsidRPr="006662F5">
        <w:t xml:space="preserve"> Lanham Act §43(c)(1), 15 U.S.C. §1125(c)(1) (allowing an injunction against another’s use that is “likely” to cause dilution of a famous mark).</w:t>
      </w:r>
    </w:p>
  </w:footnote>
  <w:footnote w:id="729">
    <w:p w:rsidR="00431229" w:rsidRPr="006662F5" w:rsidRDefault="00431229">
      <w:pPr>
        <w:pStyle w:val="footnote"/>
      </w:pPr>
      <w:r w:rsidRPr="006662F5">
        <w:rPr>
          <w:vertAlign w:val="superscript"/>
        </w:rPr>
        <w:footnoteRef/>
      </w:r>
      <w:r w:rsidRPr="006662F5">
        <w:t xml:space="preserve">2007 </w:t>
      </w:r>
      <w:r w:rsidRPr="006662F5">
        <w:rPr>
          <w:smallCaps/>
          <w:spacing w:val="-3"/>
        </w:rPr>
        <w:t>Model Bill</w:t>
      </w:r>
      <w:r w:rsidRPr="006662F5">
        <w:t xml:space="preserve"> §13(a).</w:t>
      </w:r>
    </w:p>
  </w:footnote>
  <w:footnote w:id="730">
    <w:p w:rsidR="00431229" w:rsidRPr="006662F5" w:rsidRDefault="00431229">
      <w:pPr>
        <w:pStyle w:val="footnote"/>
      </w:pPr>
      <w:r w:rsidRPr="006662F5">
        <w:rPr>
          <w:vertAlign w:val="superscript"/>
        </w:rPr>
        <w:footnoteRef/>
      </w:r>
      <w:r w:rsidRPr="006662F5">
        <w:t>The list includes some of the more populous states, such as New York, Georgia, and Massachusetts.</w:t>
      </w:r>
    </w:p>
  </w:footnote>
  <w:footnote w:id="731">
    <w:p w:rsidR="00431229" w:rsidRPr="006662F5" w:rsidRDefault="00431229">
      <w:pPr>
        <w:pStyle w:val="footnote"/>
      </w:pPr>
      <w:r w:rsidRPr="006662F5">
        <w:rPr>
          <w:vertAlign w:val="superscript"/>
        </w:rPr>
        <w:footnoteRef/>
      </w:r>
      <w:r w:rsidRPr="006662F5">
        <w:t>See generally Chapter 2.</w:t>
      </w:r>
    </w:p>
  </w:footnote>
  <w:footnote w:id="732">
    <w:p w:rsidR="00431229" w:rsidRPr="006662F5" w:rsidRDefault="00431229">
      <w:pPr>
        <w:pStyle w:val="footnote"/>
      </w:pPr>
      <w:r w:rsidRPr="006662F5">
        <w:rPr>
          <w:vertAlign w:val="superscript"/>
        </w:rPr>
        <w:footnoteRef/>
      </w:r>
      <w:r w:rsidRPr="006662F5">
        <w:rPr>
          <w:i/>
          <w:iCs/>
        </w:rPr>
        <w:t>See</w:t>
      </w:r>
      <w:r w:rsidRPr="006662F5">
        <w:t xml:space="preserve"> Tommy Hilfiger Licensing, Inc. v. Goody’s Family Clothing, Inc., 2003 U.S. Dist. LEXIS 8788, at *109 n.11 (N.D. Ga. May 9, 2003) (dismissing FTDA claim and noting plaintiff’s failure to include a claim under Georgia’s dilution statute, which follows the 1964 Model Bill). </w:t>
      </w:r>
      <w:r w:rsidRPr="006662F5">
        <w:rPr>
          <w:i/>
          <w:iCs/>
        </w:rPr>
        <w:t>But see</w:t>
      </w:r>
      <w:r w:rsidRPr="006662F5">
        <w:t xml:space="preserve"> Playboy Enters., Inc. v. Netscape Commc’ns Corp., 354 F.3d 1020, 1031 n.48, 69 USPQ2d 1417 (9th Cir. 2004) (California dilution statute, then modeled after the 1964 Model Bill, interpreted to be same as FTDA). </w:t>
      </w:r>
      <w:r w:rsidRPr="006662F5">
        <w:rPr>
          <w:i/>
          <w:iCs/>
        </w:rPr>
        <w:t>Cf</w:t>
      </w:r>
      <w:r w:rsidRPr="006662F5">
        <w:t xml:space="preserve">. Toyota Jidosha Kabushiki Kaisha v. Natural Health Trends Corp., 74 USPQ2d 1475, 1479 (C.D. Cal. 2005) (noting that the California dilution statute only requires likelihood of dilution). The Ninth Circuit’s interpretation appears to have been incorrect. Now that California has adopted the 2007 Model Bill, the provisions of California and federal law are practically the same. Moreover, Ninth Circuit authority suggests that the court may have realized its error. </w:t>
      </w:r>
      <w:r w:rsidRPr="006662F5">
        <w:rPr>
          <w:i/>
          <w:iCs/>
        </w:rPr>
        <w:t>See</w:t>
      </w:r>
      <w:r w:rsidRPr="006662F5">
        <w:t xml:space="preserve"> Jada Toys, Inc. v. Mattel, Inc., 518 F.3d 628, 636 n.5, 85 USPQ2d 1895 (9th Cir. 2008) (noting that California requires only a likelihood of dilution, in contrast to the actual dilution standard at issue in the federal dilution portion of the opinion).</w:t>
      </w:r>
    </w:p>
  </w:footnote>
  <w:footnote w:id="733">
    <w:p w:rsidR="00431229" w:rsidRPr="006662F5" w:rsidRDefault="00431229" w:rsidP="00856554">
      <w:pPr>
        <w:pStyle w:val="footnote"/>
      </w:pPr>
      <w:r w:rsidRPr="006662F5">
        <w:rPr>
          <w:vertAlign w:val="superscript"/>
        </w:rPr>
        <w:footnoteRef/>
      </w:r>
      <w:r w:rsidRPr="006662F5">
        <w:t>2005 WL 3183858</w:t>
      </w:r>
      <w:r>
        <w:t xml:space="preserve">, </w:t>
      </w:r>
      <w:r w:rsidRPr="00856554">
        <w:t>2005 BL 57168</w:t>
      </w:r>
      <w:r w:rsidRPr="006662F5">
        <w:t xml:space="preserve"> (D. Or. Nov. 29, 2005). In 2009, Oregon’s dilution statute was amended, and it now largely follows the 2007 Model Bill. Both before and after its amendment, the statute required a likelihood of dilution.</w:t>
      </w:r>
    </w:p>
  </w:footnote>
  <w:footnote w:id="734">
    <w:p w:rsidR="00431229" w:rsidRPr="006662F5" w:rsidRDefault="00431229" w:rsidP="00856554">
      <w:pPr>
        <w:pStyle w:val="footnote"/>
      </w:pPr>
      <w:r w:rsidRPr="006662F5">
        <w:rPr>
          <w:vertAlign w:val="superscript"/>
        </w:rPr>
        <w:footnoteRef/>
      </w:r>
      <w:r w:rsidRPr="006662F5">
        <w:t>2005 WL 3527126</w:t>
      </w:r>
      <w:r>
        <w:t xml:space="preserve">, </w:t>
      </w:r>
      <w:r w:rsidRPr="00856554">
        <w:t>2005 BL 115549</w:t>
      </w:r>
      <w:r w:rsidRPr="006662F5">
        <w:t xml:space="preserve">, 79 USPQ2d 1138 (S.D.N.Y. Dec. 22, 2005), </w:t>
      </w:r>
      <w:r w:rsidRPr="006662F5">
        <w:rPr>
          <w:i/>
          <w:iCs/>
        </w:rPr>
        <w:t>vacated</w:t>
      </w:r>
      <w:r w:rsidRPr="006662F5">
        <w:t>, 477 F.3d 765, 81 USPQ2d 1927 (2d Cir. 2007).</w:t>
      </w:r>
    </w:p>
  </w:footnote>
  <w:footnote w:id="735">
    <w:p w:rsidR="00431229" w:rsidRPr="006662F5" w:rsidRDefault="00431229">
      <w:pPr>
        <w:pStyle w:val="footnote"/>
      </w:pPr>
      <w:r w:rsidRPr="006662F5">
        <w:rPr>
          <w:vertAlign w:val="superscript"/>
        </w:rPr>
        <w:footnoteRef/>
      </w:r>
      <w:r w:rsidRPr="006662F5">
        <w:rPr>
          <w:i/>
          <w:iCs/>
        </w:rPr>
        <w:t>Id</w:t>
      </w:r>
      <w:r w:rsidRPr="006662F5">
        <w:t xml:space="preserve">. at *9. At the time of the district court’s original decision, federal law required actual dilution to be shown. It should be noted that although the court paid lip service to the six-factor test used under New York law, </w:t>
      </w:r>
      <w:r w:rsidRPr="006662F5">
        <w:rPr>
          <w:i/>
          <w:iCs/>
        </w:rPr>
        <w:t>see id</w:t>
      </w:r>
      <w:r w:rsidRPr="006662F5">
        <w:t xml:space="preserve">. at *8, it did not base its decision on an analysis of those factors. </w:t>
      </w:r>
      <w:r w:rsidRPr="006662F5">
        <w:rPr>
          <w:i/>
          <w:iCs/>
        </w:rPr>
        <w:t>Id</w:t>
      </w:r>
      <w:r w:rsidRPr="006662F5">
        <w:t>. at *9.</w:t>
      </w:r>
    </w:p>
  </w:footnote>
  <w:footnote w:id="736">
    <w:p w:rsidR="00431229" w:rsidRPr="006662F5" w:rsidRDefault="00431229">
      <w:pPr>
        <w:pStyle w:val="footnote"/>
      </w:pPr>
      <w:r w:rsidRPr="006662F5">
        <w:rPr>
          <w:vertAlign w:val="superscript"/>
        </w:rPr>
        <w:footnoteRef/>
      </w:r>
      <w:r w:rsidRPr="006662F5">
        <w:rPr>
          <w:i/>
          <w:iCs/>
        </w:rPr>
        <w:t>Id</w:t>
      </w:r>
      <w:r w:rsidRPr="006662F5">
        <w:t xml:space="preserve">. at *9–10. This lack of clarity may have been a factor on appeal, where the Second Circuit vacated and remanded, primarily for consideration of the effect of the TDRA on the federal dilution claims. 477 F.3d at 766. In theory, the district court’s dismissal of the claim under New York law, with its likelihood of dilution standard, should have sufficed to dispose of a post-TDRA claim, which also would be judged by a likelihood of dilution standard. However, the court of appeals stated that “the district court’s treatment of the New York statute does not permit a review of whether the analysis conforms with the amended statute.” </w:t>
      </w:r>
      <w:r w:rsidRPr="006662F5">
        <w:rPr>
          <w:i/>
          <w:iCs/>
        </w:rPr>
        <w:t>Id</w:t>
      </w:r>
      <w:r w:rsidRPr="006662F5">
        <w:t>. On remand, the district court found against Starbucks on both the TDRA and New York dilution claims, primarily based on lack of similarity and lack of predatory intent. 559 F. Supp. 2d 472, 476–480, 88 USPQ2d 1268 (S.D.N.Y. 2008). The state law part of the decision was affirmed by the Second Circuit, 588 F.3d 97, 114, 92 USPQ2d 1769 (2d Cir. 2009), but the court remanded for reconsideration of the federal dilution claim.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23B"/>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229"/>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23B"/>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F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semiHidden/>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semiHidden/>
    <w:rsid w:val="000E1CF7"/>
    <w:rPr>
      <w:rFonts w:eastAsia="Times New Roman"/>
      <w:sz w:val="20"/>
      <w:szCs w:val="20"/>
      <w:lang w:bidi="ar-SA"/>
    </w:rPr>
  </w:style>
  <w:style w:type="character" w:styleId="FootnoteReference">
    <w:name w:val="footnote reference"/>
    <w:basedOn w:val="DefaultParagraphFont"/>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431229"/>
    <w:pPr>
      <w:widowControl w:val="0"/>
      <w:spacing w:before="0" w:after="0"/>
      <w:ind w:firstLine="360"/>
    </w:pPr>
    <w:rPr>
      <w:kern w:val="0"/>
      <w:lang w:bidi="ar-SA"/>
    </w:rPr>
  </w:style>
  <w:style w:type="paragraph" w:customStyle="1" w:styleId="footnote">
    <w:name w:val="footnote"/>
    <w:basedOn w:val="text"/>
    <w:autoRedefine/>
    <w:uiPriority w:val="99"/>
    <w:qFormat/>
    <w:rsid w:val="00431229"/>
    <w:pPr>
      <w:tabs>
        <w:tab w:val="left" w:pos="-720"/>
        <w:tab w:val="left" w:pos="0"/>
        <w:tab w:val="left" w:pos="720"/>
        <w:tab w:val="left" w:pos="1440"/>
        <w:tab w:val="left" w:pos="2160"/>
        <w:tab w:val="left" w:pos="2880"/>
        <w:tab w:val="left" w:pos="3600"/>
        <w:tab w:val="left" w:pos="4320"/>
        <w:tab w:val="left" w:pos="5040"/>
        <w:tab w:val="left" w:pos="5760"/>
      </w:tabs>
    </w:pPr>
    <w:rPr>
      <w:sz w:val="20"/>
    </w:rPr>
  </w:style>
  <w:style w:type="paragraph" w:customStyle="1" w:styleId="blockquote">
    <w:name w:val="block quote"/>
    <w:basedOn w:val="Normal"/>
    <w:autoRedefine/>
    <w:qFormat/>
    <w:rsid w:val="00431229"/>
    <w:pPr>
      <w:spacing w:after="240"/>
      <w:ind w:left="720"/>
    </w:pPr>
    <w:rPr>
      <w:kern w:val="0"/>
      <w:sz w:val="20"/>
      <w:lang w:bidi="ar-SA"/>
    </w:rPr>
  </w:style>
  <w:style w:type="paragraph" w:customStyle="1" w:styleId="footnoteflush">
    <w:name w:val="footnote flush"/>
    <w:basedOn w:val="Normal"/>
    <w:uiPriority w:val="99"/>
    <w:rsid w:val="00431229"/>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tabletext">
    <w:name w:val="table text"/>
    <w:basedOn w:val="Normal"/>
    <w:uiPriority w:val="99"/>
    <w:rsid w:val="00431229"/>
    <w:pPr>
      <w:tabs>
        <w:tab w:val="left" w:pos="4068"/>
      </w:tabs>
      <w:suppressAutoHyphens/>
      <w:autoSpaceDE w:val="0"/>
      <w:autoSpaceDN w:val="0"/>
      <w:adjustRightInd w:val="0"/>
      <w:spacing w:before="0" w:after="40"/>
      <w:textAlignment w:val="center"/>
    </w:pPr>
    <w:rPr>
      <w:rFonts w:eastAsiaTheme="minorEastAsia" w:cs="ITC New Baskerville Std"/>
      <w:color w:val="000000"/>
      <w:kern w:val="0"/>
      <w:sz w:val="20"/>
      <w:szCs w:val="20"/>
      <w:lang w:bidi="ar-SA"/>
    </w:rPr>
  </w:style>
  <w:style w:type="paragraph" w:customStyle="1" w:styleId="NoParagraphStyle">
    <w:name w:val="[No Paragraph Style]"/>
    <w:basedOn w:val="Normal"/>
    <w:rsid w:val="00431229"/>
    <w:pPr>
      <w:widowControl w:val="0"/>
      <w:autoSpaceDE w:val="0"/>
      <w:autoSpaceDN w:val="0"/>
      <w:adjustRightInd w:val="0"/>
      <w:spacing w:before="0" w:after="0"/>
      <w:ind w:firstLine="360"/>
      <w:textAlignment w:val="center"/>
    </w:pPr>
    <w:rPr>
      <w:rFonts w:eastAsiaTheme="minorEastAsia" w:cs="Times"/>
      <w:color w:val="000000"/>
      <w:kern w:val="0"/>
      <w:lang w:bidi="ar-SA"/>
    </w:rPr>
  </w:style>
  <w:style w:type="paragraph" w:customStyle="1" w:styleId="4thlevelheada">
    <w:name w:val="4th level head a."/>
    <w:basedOn w:val="Normal"/>
    <w:autoRedefine/>
    <w:uiPriority w:val="99"/>
    <w:rsid w:val="00431229"/>
    <w:pPr>
      <w:keepNext/>
      <w:widowControl w:val="0"/>
      <w:tabs>
        <w:tab w:val="left" w:pos="740"/>
      </w:tabs>
      <w:suppressAutoHyphens/>
      <w:autoSpaceDE w:val="0"/>
      <w:autoSpaceDN w:val="0"/>
      <w:adjustRightInd w:val="0"/>
      <w:spacing w:after="240"/>
      <w:ind w:left="840" w:hanging="360"/>
      <w:textAlignment w:val="center"/>
    </w:pPr>
    <w:rPr>
      <w:rFonts w:eastAsiaTheme="minorEastAsia" w:cs="ITC New Baskerville Std"/>
      <w:bCs/>
      <w:i/>
      <w:color w:val="000000"/>
      <w:kern w:val="0"/>
      <w:szCs w:val="22"/>
      <w:lang w:bidi="ar-SA"/>
    </w:rPr>
  </w:style>
  <w:style w:type="paragraph" w:customStyle="1" w:styleId="blockquotenoparagraphindent">
    <w:name w:val="block quote no paragraph indent"/>
    <w:basedOn w:val="Normal"/>
    <w:autoRedefine/>
    <w:uiPriority w:val="99"/>
    <w:rsid w:val="00431229"/>
    <w:pPr>
      <w:spacing w:after="240"/>
      <w:ind w:left="720"/>
      <w:jc w:val="both"/>
    </w:pPr>
    <w:rPr>
      <w:rFonts w:cstheme="minorBidi"/>
      <w:kern w:val="0"/>
      <w:sz w:val="20"/>
      <w:szCs w:val="21"/>
      <w:lang w:bidi="ar-SA"/>
    </w:rPr>
  </w:style>
  <w:style w:type="paragraph" w:customStyle="1" w:styleId="footnoteregpara">
    <w:name w:val="footnote reg para"/>
    <w:basedOn w:val="footnote"/>
    <w:autoRedefine/>
    <w:uiPriority w:val="99"/>
    <w:rsid w:val="00431229"/>
    <w:pPr>
      <w:widowControl/>
      <w:autoSpaceDE w:val="0"/>
      <w:autoSpaceDN w:val="0"/>
      <w:adjustRightInd w:val="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431229"/>
    <w:pPr>
      <w:keepNext/>
      <w:tabs>
        <w:tab w:val="left" w:pos="360"/>
      </w:tabs>
      <w:suppressAutoHyphens/>
      <w:spacing w:after="240"/>
      <w:ind w:left="360" w:hanging="360"/>
    </w:pPr>
    <w:rPr>
      <w:rFonts w:cstheme="minorBidi"/>
      <w:b/>
      <w:bCs/>
      <w:kern w:val="0"/>
      <w:szCs w:val="22"/>
      <w:lang w:bidi="ar-SA"/>
    </w:rPr>
  </w:style>
  <w:style w:type="paragraph" w:customStyle="1" w:styleId="textflush">
    <w:name w:val="text flush"/>
    <w:basedOn w:val="text"/>
    <w:autoRedefine/>
    <w:uiPriority w:val="99"/>
    <w:qFormat/>
    <w:rsid w:val="00431229"/>
    <w:pPr>
      <w:ind w:firstLine="0"/>
    </w:pPr>
  </w:style>
  <w:style w:type="paragraph" w:customStyle="1" w:styleId="blockquotewparaindent">
    <w:name w:val="block quote w/para indent"/>
    <w:basedOn w:val="Normal"/>
    <w:autoRedefine/>
    <w:uiPriority w:val="99"/>
    <w:qFormat/>
    <w:rsid w:val="00431229"/>
    <w:pPr>
      <w:spacing w:after="240"/>
      <w:ind w:left="360" w:firstLine="360"/>
    </w:pPr>
    <w:rPr>
      <w:rFonts w:eastAsiaTheme="minorEastAsia" w:cs="ITC New Baskerville Std"/>
      <w:color w:val="000000"/>
      <w:kern w:val="0"/>
      <w:sz w:val="20"/>
      <w:szCs w:val="22"/>
      <w:lang w:bidi="ar-SA"/>
    </w:rPr>
  </w:style>
  <w:style w:type="paragraph" w:customStyle="1" w:styleId="block-p">
    <w:name w:val="block-p/+/+"/>
    <w:basedOn w:val="Normal"/>
    <w:autoRedefine/>
    <w:uiPriority w:val="99"/>
    <w:rsid w:val="00431229"/>
    <w:pPr>
      <w:spacing w:before="120"/>
      <w:ind w:left="720" w:firstLine="360"/>
    </w:pPr>
    <w:rPr>
      <w:rFonts w:cstheme="minorBidi"/>
      <w:kern w:val="0"/>
      <w:sz w:val="20"/>
      <w:szCs w:val="22"/>
      <w:lang w:bidi="ar-SA"/>
    </w:rPr>
  </w:style>
  <w:style w:type="paragraph" w:customStyle="1" w:styleId="Blockquoteflush">
    <w:name w:val="Block quote flush"/>
    <w:basedOn w:val="Normal"/>
    <w:autoRedefine/>
    <w:uiPriority w:val="99"/>
    <w:qFormat/>
    <w:rsid w:val="00431229"/>
    <w:pPr>
      <w:widowControl w:val="0"/>
      <w:spacing w:after="240"/>
      <w:ind w:left="720"/>
    </w:pPr>
    <w:rPr>
      <w:kern w:val="0"/>
      <w:sz w:val="20"/>
      <w:lang w:bidi="ar-SA"/>
    </w:rPr>
  </w:style>
  <w:style w:type="paragraph" w:customStyle="1" w:styleId="bulletend">
    <w:name w:val="bullet end"/>
    <w:basedOn w:val="Normal"/>
    <w:autoRedefine/>
    <w:uiPriority w:val="99"/>
    <w:rsid w:val="00431229"/>
    <w:pPr>
      <w:spacing w:before="0" w:after="240"/>
      <w:ind w:left="720" w:hanging="360"/>
    </w:pPr>
    <w:rPr>
      <w:rFonts w:cstheme="minorBidi"/>
      <w:kern w:val="0"/>
      <w:szCs w:val="22"/>
      <w:lang w:bidi="ar-SA"/>
    </w:rPr>
  </w:style>
  <w:style w:type="paragraph" w:customStyle="1" w:styleId="blockquoteparaindent-">
    <w:name w:val="block quote para indent -/+"/>
    <w:basedOn w:val="Normal"/>
    <w:autoRedefine/>
    <w:uiPriority w:val="99"/>
    <w:rsid w:val="00431229"/>
    <w:pPr>
      <w:spacing w:before="0" w:after="240"/>
      <w:ind w:left="720" w:firstLine="360"/>
    </w:pPr>
    <w:rPr>
      <w:rFonts w:cstheme="minorBidi"/>
      <w:kern w:val="0"/>
      <w:sz w:val="20"/>
      <w:szCs w:val="22"/>
      <w:lang w:bidi="ar-SA"/>
    </w:rPr>
  </w:style>
  <w:style w:type="paragraph" w:customStyle="1" w:styleId="block-p-">
    <w:name w:val="block-p/+/-"/>
    <w:basedOn w:val="block-f-"/>
    <w:autoRedefine/>
    <w:qFormat/>
    <w:rsid w:val="00431229"/>
    <w:pPr>
      <w:ind w:firstLine="360"/>
    </w:pPr>
  </w:style>
  <w:style w:type="paragraph" w:customStyle="1" w:styleId="block-p--">
    <w:name w:val="block-p/-/-"/>
    <w:basedOn w:val="blockquoteparaindent-"/>
    <w:autoRedefine/>
    <w:uiPriority w:val="99"/>
    <w:rsid w:val="00431229"/>
    <w:pPr>
      <w:spacing w:after="0"/>
    </w:pPr>
  </w:style>
  <w:style w:type="paragraph" w:customStyle="1" w:styleId="footnoteparaindent">
    <w:name w:val="footnote para indent"/>
    <w:basedOn w:val="Normal"/>
    <w:autoRedefine/>
    <w:uiPriority w:val="99"/>
    <w:rsid w:val="00431229"/>
    <w:pPr>
      <w:spacing w:before="0" w:after="0"/>
      <w:ind w:firstLine="360"/>
      <w:jc w:val="both"/>
    </w:pPr>
    <w:rPr>
      <w:rFonts w:cstheme="minorBidi"/>
      <w:kern w:val="0"/>
      <w:sz w:val="20"/>
      <w:szCs w:val="16"/>
      <w:lang w:bidi="ar-SA"/>
    </w:rPr>
  </w:style>
  <w:style w:type="paragraph" w:customStyle="1" w:styleId="block-p-0">
    <w:name w:val="block-p/-/+"/>
    <w:basedOn w:val="Normal"/>
    <w:autoRedefine/>
    <w:qFormat/>
    <w:rsid w:val="00431229"/>
    <w:pPr>
      <w:widowControl w:val="0"/>
      <w:spacing w:before="0" w:after="240"/>
      <w:ind w:left="720" w:firstLine="360"/>
    </w:pPr>
    <w:rPr>
      <w:kern w:val="0"/>
      <w:sz w:val="20"/>
      <w:lang w:bidi="ar-SA"/>
    </w:rPr>
  </w:style>
  <w:style w:type="paragraph" w:customStyle="1" w:styleId="block-f-">
    <w:name w:val="block-f/+/-"/>
    <w:basedOn w:val="Normal"/>
    <w:autoRedefine/>
    <w:uiPriority w:val="99"/>
    <w:qFormat/>
    <w:rsid w:val="00431229"/>
    <w:pPr>
      <w:spacing w:before="120"/>
      <w:ind w:left="720"/>
    </w:pPr>
    <w:rPr>
      <w:rFonts w:eastAsiaTheme="minorEastAsia" w:cs="ITC New Baskerville Std"/>
      <w:color w:val="000000"/>
      <w:kern w:val="0"/>
      <w:sz w:val="20"/>
      <w:szCs w:val="20"/>
      <w:lang w:bidi="ar-SA"/>
    </w:rPr>
  </w:style>
  <w:style w:type="paragraph" w:customStyle="1" w:styleId="textflush6ptbelow">
    <w:name w:val="text flush 6 pt below"/>
    <w:basedOn w:val="textflush"/>
    <w:autoRedefine/>
    <w:uiPriority w:val="99"/>
    <w:rsid w:val="00431229"/>
    <w:pPr>
      <w:autoSpaceDE w:val="0"/>
      <w:autoSpaceDN w:val="0"/>
      <w:adjustRightInd w:val="0"/>
      <w:spacing w:after="240"/>
      <w:textAlignment w:val="center"/>
    </w:pPr>
    <w:rPr>
      <w:rFonts w:eastAsiaTheme="minorEastAsia" w:cs="ITC New Baskerville Std"/>
      <w:color w:val="000000"/>
      <w:szCs w:val="22"/>
    </w:rPr>
  </w:style>
  <w:style w:type="paragraph" w:customStyle="1" w:styleId="block2ndindent">
    <w:name w:val="block 2nd indent"/>
    <w:basedOn w:val="Normal"/>
    <w:autoRedefine/>
    <w:qFormat/>
    <w:rsid w:val="00431229"/>
    <w:pPr>
      <w:spacing w:before="0" w:after="0"/>
      <w:ind w:left="1440"/>
    </w:pPr>
    <w:rPr>
      <w:rFonts w:cstheme="minorBidi"/>
      <w:kern w:val="0"/>
      <w:sz w:val="20"/>
      <w:szCs w:val="22"/>
      <w:lang w:bidi="ar-SA"/>
    </w:rPr>
  </w:style>
  <w:style w:type="paragraph" w:customStyle="1" w:styleId="block2ndindentspace">
    <w:name w:val="block 2nd indent + space"/>
    <w:basedOn w:val="Normal"/>
    <w:autoRedefine/>
    <w:uiPriority w:val="99"/>
    <w:rsid w:val="00431229"/>
    <w:pPr>
      <w:spacing w:before="120" w:after="0"/>
      <w:ind w:left="1440"/>
    </w:pPr>
    <w:rPr>
      <w:rFonts w:cstheme="minorBidi"/>
      <w:kern w:val="0"/>
      <w:sz w:val="20"/>
      <w:szCs w:val="22"/>
      <w:lang w:bidi="ar-SA"/>
    </w:rPr>
  </w:style>
  <w:style w:type="paragraph" w:customStyle="1" w:styleId="toc10">
    <w:name w:val="toc1"/>
    <w:basedOn w:val="text"/>
    <w:autoRedefine/>
    <w:uiPriority w:val="99"/>
    <w:rsid w:val="00431229"/>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431229"/>
    <w:pPr>
      <w:tabs>
        <w:tab w:val="clear" w:pos="480"/>
        <w:tab w:val="clear" w:pos="600"/>
        <w:tab w:val="left" w:pos="960"/>
      </w:tabs>
      <w:ind w:left="960" w:hanging="360"/>
    </w:pPr>
  </w:style>
  <w:style w:type="paragraph" w:customStyle="1" w:styleId="toc40">
    <w:name w:val="toc4"/>
    <w:basedOn w:val="Normal"/>
    <w:autoRedefine/>
    <w:uiPriority w:val="99"/>
    <w:rsid w:val="00431229"/>
    <w:pPr>
      <w:widowControl w:val="0"/>
      <w:tabs>
        <w:tab w:val="left" w:pos="1680"/>
        <w:tab w:val="right" w:leader="dot" w:pos="5520"/>
        <w:tab w:val="right" w:pos="6240"/>
        <w:tab w:val="right" w:pos="6960"/>
      </w:tabs>
      <w:autoSpaceDE w:val="0"/>
      <w:autoSpaceDN w:val="0"/>
      <w:adjustRightInd w:val="0"/>
      <w:spacing w:before="0" w:after="0"/>
      <w:ind w:left="1680" w:hanging="300"/>
      <w:textAlignment w:val="center"/>
    </w:pPr>
    <w:rPr>
      <w:rFonts w:eastAsiaTheme="minorEastAsia" w:cs="ITC New Baskerville Std"/>
      <w:color w:val="000000"/>
      <w:kern w:val="0"/>
      <w:sz w:val="22"/>
      <w:szCs w:val="22"/>
      <w:lang w:bidi="ar-SA"/>
    </w:rPr>
  </w:style>
  <w:style w:type="paragraph" w:customStyle="1" w:styleId="toc30">
    <w:name w:val="toc3"/>
    <w:basedOn w:val="toc20"/>
    <w:autoRedefine/>
    <w:uiPriority w:val="99"/>
    <w:rsid w:val="00431229"/>
    <w:pPr>
      <w:tabs>
        <w:tab w:val="clear" w:pos="960"/>
        <w:tab w:val="left" w:pos="1380"/>
        <w:tab w:val="left" w:pos="8900"/>
      </w:tabs>
      <w:ind w:left="1380" w:hanging="420"/>
    </w:pPr>
  </w:style>
  <w:style w:type="paragraph" w:customStyle="1" w:styleId="toc5">
    <w:name w:val="toc5"/>
    <w:basedOn w:val="toc40"/>
    <w:autoRedefine/>
    <w:uiPriority w:val="99"/>
    <w:rsid w:val="00431229"/>
    <w:pPr>
      <w:tabs>
        <w:tab w:val="clear" w:pos="1680"/>
        <w:tab w:val="right" w:pos="2040"/>
        <w:tab w:val="left" w:pos="2160"/>
      </w:tabs>
      <w:ind w:left="2160" w:hanging="480"/>
    </w:pPr>
  </w:style>
  <w:style w:type="paragraph" w:customStyle="1" w:styleId="toc7">
    <w:name w:val="toc7"/>
    <w:basedOn w:val="Normal"/>
    <w:autoRedefine/>
    <w:uiPriority w:val="99"/>
    <w:rsid w:val="00431229"/>
    <w:pPr>
      <w:widowControl w:val="0"/>
      <w:tabs>
        <w:tab w:val="left" w:pos="2880"/>
        <w:tab w:val="right" w:leader="dot" w:pos="5520"/>
        <w:tab w:val="right" w:pos="6240"/>
        <w:tab w:val="right" w:pos="6960"/>
      </w:tabs>
      <w:autoSpaceDE w:val="0"/>
      <w:autoSpaceDN w:val="0"/>
      <w:adjustRightInd w:val="0"/>
      <w:spacing w:before="0" w:after="0"/>
      <w:ind w:left="2880" w:hanging="360"/>
      <w:textAlignment w:val="center"/>
    </w:pPr>
    <w:rPr>
      <w:rFonts w:eastAsiaTheme="minorEastAsia" w:cs="ITC New Baskerville Std"/>
      <w:color w:val="000000"/>
      <w:kern w:val="0"/>
      <w:sz w:val="22"/>
      <w:szCs w:val="22"/>
      <w:lang w:bidi="ar-SA"/>
    </w:rPr>
  </w:style>
  <w:style w:type="paragraph" w:customStyle="1" w:styleId="2ndLevel1">
    <w:name w:val="2nd Level /1"/>
    <w:basedOn w:val="2ndlevelheadA"/>
    <w:autoRedefine/>
    <w:uiPriority w:val="99"/>
    <w:rsid w:val="00431229"/>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bulletstart">
    <w:name w:val="bullet start"/>
    <w:basedOn w:val="Normal"/>
    <w:autoRedefine/>
    <w:uiPriority w:val="99"/>
    <w:rsid w:val="00431229"/>
    <w:pPr>
      <w:tabs>
        <w:tab w:val="left" w:pos="360"/>
        <w:tab w:val="left" w:pos="720"/>
      </w:tabs>
      <w:spacing w:after="0"/>
      <w:ind w:left="720" w:hanging="360"/>
    </w:pPr>
    <w:rPr>
      <w:rFonts w:cstheme="minorBidi"/>
      <w:kern w:val="0"/>
      <w:szCs w:val="22"/>
      <w:lang w:bidi="ar-SA"/>
    </w:rPr>
  </w:style>
  <w:style w:type="paragraph" w:customStyle="1" w:styleId="bullet">
    <w:name w:val="bullet"/>
    <w:basedOn w:val="Normal"/>
    <w:uiPriority w:val="99"/>
    <w:qFormat/>
    <w:rsid w:val="00431229"/>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Numberliststart">
    <w:name w:val="Number list start"/>
    <w:basedOn w:val="Normal"/>
    <w:autoRedefine/>
    <w:uiPriority w:val="99"/>
    <w:rsid w:val="00431229"/>
    <w:pPr>
      <w:widowControl w:val="0"/>
      <w:tabs>
        <w:tab w:val="left" w:pos="480"/>
      </w:tabs>
      <w:autoSpaceDE w:val="0"/>
      <w:autoSpaceDN w:val="0"/>
      <w:adjustRightInd w:val="0"/>
      <w:spacing w:after="0"/>
      <w:ind w:left="960" w:hanging="480"/>
      <w:textAlignment w:val="center"/>
    </w:pPr>
    <w:rPr>
      <w:rFonts w:eastAsiaTheme="minorEastAsia" w:cs="ITC New Baskerville Std"/>
      <w:color w:val="000000"/>
      <w:kern w:val="0"/>
      <w:szCs w:val="22"/>
      <w:lang w:bidi="ar-SA"/>
    </w:rPr>
  </w:style>
  <w:style w:type="paragraph" w:customStyle="1" w:styleId="numberlistend">
    <w:name w:val="number list end"/>
    <w:basedOn w:val="numberliststart0"/>
    <w:autoRedefine/>
    <w:qFormat/>
    <w:rsid w:val="00431229"/>
    <w:pPr>
      <w:spacing w:before="0" w:after="240"/>
    </w:pPr>
  </w:style>
  <w:style w:type="paragraph" w:customStyle="1" w:styleId="block3rdindent">
    <w:name w:val="block 3rd indent"/>
    <w:basedOn w:val="Normal"/>
    <w:autoRedefine/>
    <w:qFormat/>
    <w:rsid w:val="00431229"/>
    <w:pPr>
      <w:widowControl w:val="0"/>
      <w:spacing w:before="0"/>
      <w:ind w:left="2160"/>
    </w:pPr>
    <w:rPr>
      <w:kern w:val="0"/>
      <w:sz w:val="20"/>
      <w:lang w:bidi="ar-SA"/>
    </w:rPr>
  </w:style>
  <w:style w:type="paragraph" w:customStyle="1" w:styleId="numberlistplstart">
    <w:name w:val="number list pl start"/>
    <w:basedOn w:val="Normal"/>
    <w:autoRedefine/>
    <w:uiPriority w:val="99"/>
    <w:rsid w:val="00431229"/>
    <w:pPr>
      <w:tabs>
        <w:tab w:val="left" w:pos="840"/>
      </w:tabs>
      <w:spacing w:before="120" w:after="0"/>
      <w:ind w:left="960" w:hanging="480"/>
    </w:pPr>
    <w:rPr>
      <w:rFonts w:cstheme="minorBidi"/>
      <w:kern w:val="0"/>
      <w:szCs w:val="22"/>
      <w:lang w:bidi="ar-SA"/>
    </w:rPr>
  </w:style>
  <w:style w:type="paragraph" w:customStyle="1" w:styleId="numberlistpl">
    <w:name w:val="number list pl"/>
    <w:basedOn w:val="Normal"/>
    <w:autoRedefine/>
    <w:uiPriority w:val="99"/>
    <w:rsid w:val="00431229"/>
    <w:pPr>
      <w:widowControl w:val="0"/>
      <w:tabs>
        <w:tab w:val="left" w:pos="920"/>
      </w:tabs>
      <w:autoSpaceDE w:val="0"/>
      <w:autoSpaceDN w:val="0"/>
      <w:adjustRightInd w:val="0"/>
      <w:spacing w:before="0" w:after="0"/>
      <w:ind w:left="960" w:hanging="480"/>
      <w:textAlignment w:val="center"/>
    </w:pPr>
    <w:rPr>
      <w:rFonts w:eastAsiaTheme="minorEastAsia" w:cs="ITC New Baskerville Std"/>
      <w:color w:val="000000"/>
      <w:kern w:val="0"/>
      <w:szCs w:val="22"/>
      <w:lang w:bidi="ar-SA"/>
    </w:rPr>
  </w:style>
  <w:style w:type="paragraph" w:customStyle="1" w:styleId="3rdLevel2">
    <w:name w:val="3rd Level / 2"/>
    <w:basedOn w:val="Normal"/>
    <w:autoRedefine/>
    <w:uiPriority w:val="99"/>
    <w:rsid w:val="00431229"/>
    <w:pPr>
      <w:keepNext/>
      <w:widowControl w:val="0"/>
      <w:tabs>
        <w:tab w:val="left" w:pos="360"/>
      </w:tabs>
      <w:suppressAutoHyphens/>
      <w:autoSpaceDE w:val="0"/>
      <w:autoSpaceDN w:val="0"/>
      <w:adjustRightInd w:val="0"/>
      <w:spacing w:before="0" w:after="240"/>
      <w:ind w:left="360" w:hanging="360"/>
      <w:textAlignment w:val="center"/>
    </w:pPr>
    <w:rPr>
      <w:rFonts w:eastAsiaTheme="minorEastAsia" w:cs="ITC New Baskerville Std"/>
      <w:b/>
      <w:bCs/>
      <w:i/>
      <w:iCs/>
      <w:color w:val="000000"/>
      <w:kern w:val="0"/>
      <w:szCs w:val="22"/>
      <w:lang w:bidi="ar-SA"/>
    </w:rPr>
  </w:style>
  <w:style w:type="paragraph" w:customStyle="1" w:styleId="4thLevel3">
    <w:name w:val="4th Level / 3"/>
    <w:basedOn w:val="4thlevelheada"/>
    <w:autoRedefine/>
    <w:uiPriority w:val="99"/>
    <w:rsid w:val="00431229"/>
    <w:pPr>
      <w:tabs>
        <w:tab w:val="clear" w:pos="740"/>
        <w:tab w:val="left" w:pos="360"/>
      </w:tabs>
      <w:spacing w:before="0"/>
      <w:ind w:left="360"/>
    </w:pPr>
  </w:style>
  <w:style w:type="paragraph" w:customStyle="1" w:styleId="1stLevelHeadII">
    <w:name w:val="1st Level Head II."/>
    <w:basedOn w:val="Normal"/>
    <w:autoRedefine/>
    <w:uiPriority w:val="99"/>
    <w:rsid w:val="00431229"/>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431229"/>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kern w:val="0"/>
      <w:szCs w:val="22"/>
      <w:lang w:bidi="ar-SA"/>
    </w:rPr>
  </w:style>
  <w:style w:type="paragraph" w:customStyle="1" w:styleId="blockquote-f-">
    <w:name w:val="block quote-f +/-"/>
    <w:basedOn w:val="blockquotenoparagraphindent"/>
    <w:uiPriority w:val="99"/>
    <w:rsid w:val="00431229"/>
    <w:pPr>
      <w:widowControl w:val="0"/>
      <w:autoSpaceDE w:val="0"/>
      <w:autoSpaceDN w:val="0"/>
      <w:adjustRightInd w:val="0"/>
      <w:spacing w:before="120" w:after="0" w:line="230" w:lineRule="atLeast"/>
      <w:ind w:left="440"/>
      <w:textAlignment w:val="center"/>
    </w:pPr>
    <w:rPr>
      <w:rFonts w:eastAsiaTheme="minorEastAsia" w:cs="ITC New Baskerville Std"/>
      <w:color w:val="000000"/>
    </w:rPr>
  </w:style>
  <w:style w:type="paragraph" w:customStyle="1" w:styleId="numberlist-start">
    <w:name w:val="number list - start"/>
    <w:basedOn w:val="Normal"/>
    <w:autoRedefine/>
    <w:uiPriority w:val="99"/>
    <w:rsid w:val="00431229"/>
    <w:pPr>
      <w:widowControl w:val="0"/>
      <w:tabs>
        <w:tab w:val="left" w:pos="840"/>
      </w:tabs>
      <w:autoSpaceDE w:val="0"/>
      <w:autoSpaceDN w:val="0"/>
      <w:adjustRightInd w:val="0"/>
      <w:spacing w:after="0"/>
      <w:ind w:left="1320" w:hanging="480"/>
      <w:jc w:val="both"/>
      <w:textAlignment w:val="center"/>
    </w:pPr>
    <w:rPr>
      <w:rFonts w:eastAsiaTheme="minorEastAsia" w:cs="ITC New Baskerville Std"/>
      <w:color w:val="000000"/>
      <w:kern w:val="0"/>
      <w:lang w:bidi="ar-SA"/>
    </w:rPr>
  </w:style>
  <w:style w:type="paragraph" w:customStyle="1" w:styleId="3rdlevelhead10">
    <w:name w:val="3rd level head 1."/>
    <w:basedOn w:val="Normal"/>
    <w:autoRedefine/>
    <w:uiPriority w:val="99"/>
    <w:rsid w:val="00431229"/>
    <w:pPr>
      <w:keepNext/>
      <w:widowControl w:val="0"/>
      <w:tabs>
        <w:tab w:val="left" w:pos="360"/>
      </w:tabs>
      <w:suppressAutoHyphens/>
      <w:autoSpaceDE w:val="0"/>
      <w:autoSpaceDN w:val="0"/>
      <w:adjustRightInd w:val="0"/>
      <w:spacing w:after="240"/>
      <w:ind w:left="360" w:hanging="360"/>
      <w:textAlignment w:val="center"/>
    </w:pPr>
    <w:rPr>
      <w:rFonts w:eastAsiaTheme="minorEastAsia" w:cs="ITC New Baskerville Std"/>
      <w:bCs/>
      <w:i/>
      <w:iCs/>
      <w:color w:val="000000"/>
      <w:kern w:val="0"/>
      <w:lang w:bidi="ar-SA"/>
    </w:rPr>
  </w:style>
  <w:style w:type="paragraph" w:customStyle="1" w:styleId="3rdlevelheadnospace">
    <w:name w:val="3rd level head no space"/>
    <w:basedOn w:val="3rdlevelhead10"/>
    <w:uiPriority w:val="99"/>
    <w:rsid w:val="00431229"/>
    <w:pPr>
      <w:spacing w:before="0"/>
    </w:pPr>
  </w:style>
  <w:style w:type="paragraph" w:customStyle="1" w:styleId="2ndlevelheadnospace">
    <w:name w:val="2nd level head no space"/>
    <w:basedOn w:val="2ndlevelheadA"/>
    <w:uiPriority w:val="99"/>
    <w:rsid w:val="00431229"/>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numberlist">
    <w:name w:val="number list"/>
    <w:basedOn w:val="numberlistplstart"/>
    <w:autoRedefine/>
    <w:uiPriority w:val="99"/>
    <w:qFormat/>
    <w:rsid w:val="00431229"/>
    <w:pPr>
      <w:tabs>
        <w:tab w:val="clear" w:pos="840"/>
        <w:tab w:val="left" w:pos="480"/>
      </w:tabs>
      <w:spacing w:before="0"/>
    </w:pPr>
  </w:style>
  <w:style w:type="paragraph" w:customStyle="1" w:styleId="4thlevelheadnospace">
    <w:name w:val="4th level head no space"/>
    <w:basedOn w:val="4thlevelheada"/>
    <w:uiPriority w:val="99"/>
    <w:rsid w:val="00431229"/>
    <w:pPr>
      <w:spacing w:before="0"/>
      <w:ind w:left="701"/>
    </w:pPr>
    <w:rPr>
      <w:szCs w:val="24"/>
    </w:rPr>
  </w:style>
  <w:style w:type="paragraph" w:customStyle="1" w:styleId="bulletlist">
    <w:name w:val="bullet list"/>
    <w:basedOn w:val="Normal"/>
    <w:qFormat/>
    <w:rsid w:val="00431229"/>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footnoteindentwpara">
    <w:name w:val="footnote indent w/para"/>
    <w:basedOn w:val="Normal"/>
    <w:autoRedefine/>
    <w:uiPriority w:val="99"/>
    <w:rsid w:val="00431229"/>
    <w:pPr>
      <w:widowControl w:val="0"/>
      <w:autoSpaceDE w:val="0"/>
      <w:autoSpaceDN w:val="0"/>
      <w:adjustRightInd w:val="0"/>
      <w:spacing w:before="40" w:after="0" w:line="360" w:lineRule="auto"/>
      <w:ind w:left="360"/>
      <w:jc w:val="both"/>
      <w:textAlignment w:val="center"/>
    </w:pPr>
    <w:rPr>
      <w:rFonts w:eastAsiaTheme="minorEastAsia" w:cs="ITC New Baskerville Std"/>
      <w:color w:val="000000"/>
      <w:kern w:val="0"/>
      <w:sz w:val="20"/>
      <w:szCs w:val="18"/>
      <w:lang w:bidi="ar-SA"/>
    </w:rPr>
  </w:style>
  <w:style w:type="paragraph" w:customStyle="1" w:styleId="texteditorsnote">
    <w:name w:val="text editor's note"/>
    <w:basedOn w:val="text"/>
    <w:autoRedefine/>
    <w:uiPriority w:val="99"/>
    <w:rsid w:val="00431229"/>
    <w:pPr>
      <w:autoSpaceDE w:val="0"/>
      <w:autoSpaceDN w:val="0"/>
      <w:adjustRightInd w:val="0"/>
      <w:spacing w:before="120"/>
      <w:ind w:firstLine="439"/>
      <w:jc w:val="both"/>
      <w:textAlignment w:val="center"/>
    </w:pPr>
    <w:rPr>
      <w:rFonts w:eastAsiaTheme="minorEastAsia" w:cs="ITC New Baskerville Std"/>
      <w:b/>
      <w:bCs/>
      <w:color w:val="000000"/>
      <w:szCs w:val="22"/>
    </w:rPr>
  </w:style>
  <w:style w:type="paragraph" w:customStyle="1" w:styleId="footnoteindent">
    <w:name w:val="footnote indent"/>
    <w:basedOn w:val="footnote"/>
    <w:autoRedefine/>
    <w:uiPriority w:val="99"/>
    <w:rsid w:val="00431229"/>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6thlevelheada">
    <w:name w:val="6th level head (a)"/>
    <w:basedOn w:val="text"/>
    <w:autoRedefine/>
    <w:uiPriority w:val="99"/>
    <w:rsid w:val="00431229"/>
    <w:pPr>
      <w:spacing w:before="120"/>
      <w:ind w:firstLine="439"/>
      <w:jc w:val="both"/>
    </w:pPr>
  </w:style>
  <w:style w:type="paragraph" w:customStyle="1" w:styleId="5thlevelhead1">
    <w:name w:val="5th level head (1)"/>
    <w:basedOn w:val="Normal"/>
    <w:autoRedefine/>
    <w:uiPriority w:val="99"/>
    <w:rsid w:val="00431229"/>
    <w:pPr>
      <w:keepNext/>
      <w:widowControl w:val="0"/>
      <w:suppressAutoHyphens/>
      <w:autoSpaceDE w:val="0"/>
      <w:autoSpaceDN w:val="0"/>
      <w:adjustRightInd w:val="0"/>
      <w:spacing w:after="240" w:line="240" w:lineRule="atLeast"/>
      <w:ind w:left="821" w:hanging="360"/>
      <w:textAlignment w:val="center"/>
    </w:pPr>
    <w:rPr>
      <w:rFonts w:eastAsiaTheme="minorEastAsia" w:cs="ITC New Baskerville Std"/>
      <w:i/>
      <w:iCs/>
      <w:color w:val="000000"/>
      <w:kern w:val="0"/>
      <w:sz w:val="22"/>
      <w:szCs w:val="22"/>
      <w:lang w:bidi="ar-SA"/>
    </w:rPr>
  </w:style>
  <w:style w:type="paragraph" w:customStyle="1" w:styleId="nt">
    <w:name w:val="nt"/>
    <w:basedOn w:val="Normal"/>
    <w:autoRedefine/>
    <w:qFormat/>
    <w:rsid w:val="00431229"/>
    <w:pPr>
      <w:spacing w:before="0" w:after="0"/>
      <w:ind w:firstLine="360"/>
    </w:pPr>
    <w:rPr>
      <w:rFonts w:eastAsiaTheme="minorEastAsia" w:cs="Times LT Std"/>
      <w:color w:val="000000"/>
      <w:kern w:val="0"/>
      <w:sz w:val="20"/>
      <w:szCs w:val="18"/>
      <w:lang w:bidi="ar-SA"/>
    </w:rPr>
  </w:style>
  <w:style w:type="paragraph" w:customStyle="1" w:styleId="bulletspaceabove">
    <w:name w:val="bullet space above"/>
    <w:basedOn w:val="Normal"/>
    <w:autoRedefine/>
    <w:uiPriority w:val="99"/>
    <w:rsid w:val="00431229"/>
    <w:pPr>
      <w:widowControl w:val="0"/>
      <w:tabs>
        <w:tab w:val="left" w:pos="660"/>
      </w:tabs>
      <w:autoSpaceDE w:val="0"/>
      <w:autoSpaceDN w:val="0"/>
      <w:adjustRightInd w:val="0"/>
      <w:spacing w:after="0"/>
      <w:ind w:left="660" w:hanging="180"/>
      <w:jc w:val="both"/>
      <w:textAlignment w:val="center"/>
    </w:pPr>
    <w:rPr>
      <w:rFonts w:ascii="Times LT Std" w:eastAsiaTheme="minorEastAsia" w:hAnsi="Times LT Std" w:cs="Times LT Std"/>
      <w:color w:val="000000"/>
      <w:kern w:val="0"/>
      <w:lang w:bidi="ar-SA"/>
    </w:rPr>
  </w:style>
  <w:style w:type="paragraph" w:customStyle="1" w:styleId="block">
    <w:name w:val="block"/>
    <w:basedOn w:val="text"/>
    <w:autoRedefine/>
    <w:uiPriority w:val="99"/>
    <w:rsid w:val="00431229"/>
    <w:pPr>
      <w:autoSpaceDE w:val="0"/>
      <w:autoSpaceDN w:val="0"/>
      <w:adjustRightInd w:val="0"/>
      <w:spacing w:before="240" w:after="240" w:line="220" w:lineRule="atLeast"/>
      <w:ind w:left="480" w:firstLine="0"/>
      <w:jc w:val="both"/>
      <w:textAlignment w:val="center"/>
    </w:pPr>
    <w:rPr>
      <w:rFonts w:ascii="Times LT Std" w:eastAsiaTheme="minorEastAsia" w:hAnsi="Times LT Std" w:cs="Times LT Std"/>
      <w:color w:val="000000"/>
      <w:sz w:val="20"/>
      <w:szCs w:val="22"/>
    </w:rPr>
  </w:style>
  <w:style w:type="paragraph" w:customStyle="1" w:styleId="textinsert">
    <w:name w:val="text insert +/+"/>
    <w:basedOn w:val="textflush"/>
    <w:autoRedefine/>
    <w:uiPriority w:val="99"/>
    <w:rsid w:val="00431229"/>
    <w:pPr>
      <w:autoSpaceDE w:val="0"/>
      <w:autoSpaceDN w:val="0"/>
      <w:adjustRightInd w:val="0"/>
      <w:spacing w:before="120" w:after="120"/>
      <w:ind w:firstLine="439"/>
      <w:jc w:val="both"/>
      <w:textAlignment w:val="center"/>
    </w:pPr>
    <w:rPr>
      <w:rFonts w:eastAsiaTheme="minorEastAsia"/>
      <w:color w:val="000000"/>
      <w:szCs w:val="22"/>
    </w:rPr>
  </w:style>
  <w:style w:type="paragraph" w:customStyle="1" w:styleId="4thLevelHeada0">
    <w:name w:val="4th Level Head a."/>
    <w:basedOn w:val="Normal"/>
    <w:autoRedefine/>
    <w:uiPriority w:val="99"/>
    <w:rsid w:val="00431229"/>
    <w:pPr>
      <w:keepNext/>
      <w:widowControl w:val="0"/>
      <w:tabs>
        <w:tab w:val="left" w:pos="360"/>
      </w:tabs>
      <w:suppressAutoHyphens/>
      <w:autoSpaceDE w:val="0"/>
      <w:autoSpaceDN w:val="0"/>
      <w:adjustRightInd w:val="0"/>
      <w:spacing w:after="240"/>
      <w:ind w:left="799" w:hanging="360"/>
      <w:textAlignment w:val="center"/>
    </w:pPr>
    <w:rPr>
      <w:rFonts w:eastAsiaTheme="minorEastAsia" w:cs="ITC New Baskerville Std"/>
      <w:i/>
      <w:iCs/>
      <w:color w:val="000000"/>
      <w:kern w:val="0"/>
      <w:szCs w:val="22"/>
      <w:lang w:bidi="ar-SA"/>
    </w:rPr>
  </w:style>
  <w:style w:type="paragraph" w:customStyle="1" w:styleId="mainvolumehead">
    <w:name w:val="main volume head"/>
    <w:basedOn w:val="text"/>
    <w:autoRedefine/>
    <w:uiPriority w:val="99"/>
    <w:rsid w:val="00431229"/>
    <w:pPr>
      <w:keepNext/>
      <w:suppressAutoHyphens/>
      <w:autoSpaceDE w:val="0"/>
      <w:autoSpaceDN w:val="0"/>
      <w:adjustRightInd w:val="0"/>
      <w:spacing w:before="480" w:after="240"/>
      <w:ind w:firstLine="0"/>
      <w:jc w:val="center"/>
      <w:textAlignment w:val="center"/>
    </w:pPr>
    <w:rPr>
      <w:rFonts w:eastAsiaTheme="minorEastAsia" w:cs="ITC New Baskerville Std"/>
      <w:b/>
      <w:bCs/>
      <w:caps/>
      <w:color w:val="000000"/>
      <w:szCs w:val="22"/>
    </w:rPr>
  </w:style>
  <w:style w:type="paragraph" w:customStyle="1" w:styleId="textmainvolume">
    <w:name w:val="text main volume"/>
    <w:basedOn w:val="text"/>
    <w:autoRedefine/>
    <w:uiPriority w:val="99"/>
    <w:rsid w:val="00431229"/>
    <w:pPr>
      <w:autoSpaceDE w:val="0"/>
      <w:autoSpaceDN w:val="0"/>
      <w:adjustRightInd w:val="0"/>
      <w:spacing w:after="120"/>
      <w:ind w:firstLine="439"/>
      <w:jc w:val="both"/>
      <w:textAlignment w:val="center"/>
    </w:pPr>
    <w:rPr>
      <w:rFonts w:eastAsiaTheme="minorEastAsia" w:cs="ITC New Baskerville Std"/>
      <w:color w:val="000000"/>
      <w:szCs w:val="22"/>
    </w:rPr>
  </w:style>
  <w:style w:type="paragraph" w:customStyle="1" w:styleId="textinsert-">
    <w:name w:val="text insert -/+"/>
    <w:basedOn w:val="textinsert"/>
    <w:autoRedefine/>
    <w:uiPriority w:val="99"/>
    <w:rsid w:val="00431229"/>
    <w:pPr>
      <w:spacing w:before="0"/>
    </w:pPr>
    <w:rPr>
      <w:rFonts w:cs="ITC New Baskerville Std"/>
    </w:rPr>
  </w:style>
  <w:style w:type="paragraph" w:customStyle="1" w:styleId="2ndLevelHeadA0">
    <w:name w:val="2nd Level Head A."/>
    <w:basedOn w:val="Normal"/>
    <w:autoRedefine/>
    <w:uiPriority w:val="99"/>
    <w:rsid w:val="00431229"/>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5thLevelHeadii">
    <w:name w:val="5th Level Head ii."/>
    <w:basedOn w:val="Normal"/>
    <w:autoRedefine/>
    <w:uiPriority w:val="99"/>
    <w:rsid w:val="00431229"/>
    <w:pPr>
      <w:keepNext/>
      <w:widowControl w:val="0"/>
      <w:tabs>
        <w:tab w:val="left" w:pos="1020"/>
      </w:tabs>
      <w:suppressAutoHyphens/>
      <w:autoSpaceDE w:val="0"/>
      <w:autoSpaceDN w:val="0"/>
      <w:adjustRightInd w:val="0"/>
      <w:spacing w:before="120"/>
      <w:ind w:left="1020" w:hanging="360"/>
      <w:textAlignment w:val="center"/>
    </w:pPr>
    <w:rPr>
      <w:rFonts w:eastAsiaTheme="minorEastAsia" w:cs="ITC New Baskerville Std"/>
      <w:i/>
      <w:iCs/>
      <w:color w:val="000000"/>
      <w:kern w:val="0"/>
      <w:szCs w:val="22"/>
      <w:lang w:bidi="ar-SA"/>
    </w:rPr>
  </w:style>
  <w:style w:type="paragraph" w:customStyle="1" w:styleId="blockquoteparaindent">
    <w:name w:val="block quote para indent"/>
    <w:basedOn w:val="blockquote"/>
    <w:autoRedefine/>
    <w:uiPriority w:val="99"/>
    <w:qFormat/>
    <w:rsid w:val="00431229"/>
    <w:pPr>
      <w:autoSpaceDE w:val="0"/>
      <w:autoSpaceDN w:val="0"/>
      <w:adjustRightInd w:val="0"/>
      <w:spacing w:before="120" w:after="120"/>
      <w:ind w:left="439" w:firstLine="240"/>
      <w:jc w:val="both"/>
      <w:textAlignment w:val="center"/>
    </w:pPr>
    <w:rPr>
      <w:rFonts w:eastAsiaTheme="minorEastAsia" w:cs="Times LT Std"/>
      <w:color w:val="000000"/>
      <w:szCs w:val="22"/>
    </w:rPr>
  </w:style>
  <w:style w:type="paragraph" w:customStyle="1" w:styleId="block-p0">
    <w:name w:val="block-p"/>
    <w:basedOn w:val="Blockquoteflush"/>
    <w:autoRedefine/>
    <w:qFormat/>
    <w:rsid w:val="00431229"/>
    <w:pPr>
      <w:ind w:firstLine="240"/>
    </w:pPr>
  </w:style>
  <w:style w:type="paragraph" w:customStyle="1" w:styleId="bulletliststart">
    <w:name w:val="bullet list start"/>
    <w:basedOn w:val="Normal"/>
    <w:autoRedefine/>
    <w:uiPriority w:val="99"/>
    <w:qFormat/>
    <w:rsid w:val="00431229"/>
    <w:pPr>
      <w:tabs>
        <w:tab w:val="left" w:pos="360"/>
      </w:tabs>
      <w:spacing w:after="0"/>
      <w:ind w:left="720" w:hanging="360"/>
    </w:pPr>
    <w:rPr>
      <w:spacing w:val="-3"/>
      <w:kern w:val="0"/>
      <w:szCs w:val="22"/>
      <w:lang w:bidi="ar-SA"/>
    </w:rPr>
  </w:style>
  <w:style w:type="paragraph" w:customStyle="1" w:styleId="bulletlistend">
    <w:name w:val="bullet list end"/>
    <w:basedOn w:val="bullet"/>
    <w:autoRedefine/>
    <w:qFormat/>
    <w:rsid w:val="00431229"/>
    <w:pPr>
      <w:spacing w:after="240"/>
    </w:pPr>
  </w:style>
  <w:style w:type="paragraph" w:customStyle="1" w:styleId="1stLevelHeadI">
    <w:name w:val="1st Level Head I."/>
    <w:basedOn w:val="Normal"/>
    <w:autoRedefine/>
    <w:uiPriority w:val="99"/>
    <w:rsid w:val="00431229"/>
    <w:pPr>
      <w:keepNext/>
      <w:widowControl w:val="0"/>
      <w:suppressAutoHyphens/>
      <w:autoSpaceDE w:val="0"/>
      <w:autoSpaceDN w:val="0"/>
      <w:adjustRightInd w:val="0"/>
      <w:spacing w:before="360" w:after="240"/>
      <w:jc w:val="center"/>
      <w:textAlignment w:val="center"/>
    </w:pPr>
    <w:rPr>
      <w:rFonts w:ascii="Times SC" w:eastAsiaTheme="minorEastAsia" w:hAnsi="Times SC" w:cs="Times SC"/>
      <w:b/>
      <w:bCs/>
      <w:smallCaps/>
      <w:color w:val="000000"/>
      <w:kern w:val="0"/>
      <w:lang w:bidi="ar-SA"/>
    </w:rPr>
  </w:style>
  <w:style w:type="paragraph" w:customStyle="1" w:styleId="3rdLevelHeadfrom2">
    <w:name w:val="3rd Level Head from 2"/>
    <w:basedOn w:val="3rdLevelHead1"/>
    <w:autoRedefine/>
    <w:uiPriority w:val="99"/>
    <w:rsid w:val="00431229"/>
    <w:pPr>
      <w:spacing w:before="0" w:after="120" w:line="240" w:lineRule="atLeast"/>
    </w:pPr>
    <w:rPr>
      <w:rFonts w:cs="Times New Roman"/>
      <w:bCs w:val="0"/>
    </w:rPr>
  </w:style>
  <w:style w:type="paragraph" w:customStyle="1" w:styleId="4thHeadfrom3">
    <w:name w:val="4th Head from 3"/>
    <w:basedOn w:val="4thLevelHeada0"/>
    <w:autoRedefine/>
    <w:uiPriority w:val="99"/>
    <w:rsid w:val="00431229"/>
    <w:pPr>
      <w:tabs>
        <w:tab w:val="clear" w:pos="360"/>
        <w:tab w:val="left" w:pos="800"/>
      </w:tabs>
      <w:spacing w:before="0" w:after="120" w:line="240" w:lineRule="atLeast"/>
      <w:ind w:left="800"/>
    </w:pPr>
    <w:rPr>
      <w:rFonts w:cs="Times LT Std"/>
    </w:rPr>
  </w:style>
  <w:style w:type="paragraph" w:customStyle="1" w:styleId="blockquotewparaindent0">
    <w:name w:val="block quote w para indent"/>
    <w:basedOn w:val="blockquote"/>
    <w:autoRedefine/>
    <w:uiPriority w:val="99"/>
    <w:rsid w:val="00431229"/>
    <w:pPr>
      <w:autoSpaceDE w:val="0"/>
      <w:autoSpaceDN w:val="0"/>
      <w:adjustRightInd w:val="0"/>
      <w:spacing w:before="120" w:after="120" w:line="220" w:lineRule="atLeast"/>
      <w:ind w:firstLine="360"/>
      <w:jc w:val="both"/>
      <w:textAlignment w:val="center"/>
    </w:pPr>
    <w:rPr>
      <w:rFonts w:ascii="Times LT Std" w:eastAsiaTheme="minorEastAsia" w:hAnsi="Times LT Std" w:cs="Times LT Std"/>
      <w:color w:val="000000"/>
      <w:szCs w:val="20"/>
    </w:rPr>
  </w:style>
  <w:style w:type="paragraph" w:customStyle="1" w:styleId="numberlistroman">
    <w:name w:val="number list roman"/>
    <w:basedOn w:val="Normal"/>
    <w:autoRedefine/>
    <w:uiPriority w:val="99"/>
    <w:rsid w:val="00431229"/>
    <w:pPr>
      <w:widowControl w:val="0"/>
      <w:tabs>
        <w:tab w:val="right" w:pos="920"/>
        <w:tab w:val="left" w:pos="1040"/>
      </w:tabs>
      <w:autoSpaceDE w:val="0"/>
      <w:autoSpaceDN w:val="0"/>
      <w:adjustRightInd w:val="0"/>
      <w:spacing w:before="0" w:after="0" w:line="240" w:lineRule="atLeast"/>
      <w:ind w:left="1039" w:hanging="600"/>
      <w:jc w:val="both"/>
      <w:textAlignment w:val="center"/>
    </w:pPr>
    <w:rPr>
      <w:rFonts w:eastAsiaTheme="minorEastAsia" w:cs="Times LT Std"/>
      <w:color w:val="000000"/>
      <w:kern w:val="0"/>
      <w:szCs w:val="22"/>
      <w:lang w:bidi="ar-SA"/>
    </w:rPr>
  </w:style>
  <w:style w:type="paragraph" w:customStyle="1" w:styleId="5thLevelHead">
    <w:name w:val="5th Level Head"/>
    <w:basedOn w:val="4thHeadfrom3"/>
    <w:autoRedefine/>
    <w:uiPriority w:val="99"/>
    <w:rsid w:val="00431229"/>
    <w:pPr>
      <w:tabs>
        <w:tab w:val="clear" w:pos="800"/>
        <w:tab w:val="left" w:pos="1240"/>
      </w:tabs>
      <w:spacing w:before="120"/>
      <w:ind w:left="1240"/>
    </w:pPr>
  </w:style>
  <w:style w:type="paragraph" w:customStyle="1" w:styleId="5thHeadfrom4">
    <w:name w:val="5th Head from 4"/>
    <w:basedOn w:val="5thLevelHead"/>
    <w:autoRedefine/>
    <w:uiPriority w:val="99"/>
    <w:rsid w:val="00431229"/>
    <w:pPr>
      <w:spacing w:before="0"/>
    </w:pPr>
  </w:style>
  <w:style w:type="paragraph" w:customStyle="1" w:styleId="4thLevela">
    <w:name w:val="4th Level a."/>
    <w:basedOn w:val="Normal"/>
    <w:autoRedefine/>
    <w:uiPriority w:val="99"/>
    <w:rsid w:val="00431229"/>
    <w:pPr>
      <w:keepNext/>
      <w:widowControl w:val="0"/>
      <w:tabs>
        <w:tab w:val="left" w:pos="820"/>
      </w:tabs>
      <w:suppressAutoHyphens/>
      <w:autoSpaceDE w:val="0"/>
      <w:autoSpaceDN w:val="0"/>
      <w:adjustRightInd w:val="0"/>
      <w:spacing w:before="120" w:line="250" w:lineRule="atLeast"/>
      <w:ind w:left="820" w:hanging="360"/>
      <w:textAlignment w:val="center"/>
    </w:pPr>
    <w:rPr>
      <w:rFonts w:eastAsiaTheme="minorEastAsia" w:cs="Times LT Std"/>
      <w:i/>
      <w:iCs/>
      <w:color w:val="000000"/>
      <w:kern w:val="0"/>
      <w:szCs w:val="23"/>
      <w:lang w:bidi="ar-SA"/>
    </w:rPr>
  </w:style>
  <w:style w:type="paragraph" w:customStyle="1" w:styleId="3rdLevel20">
    <w:name w:val="3rd Level /2"/>
    <w:basedOn w:val="3rdLevelHead1"/>
    <w:autoRedefine/>
    <w:uiPriority w:val="99"/>
    <w:rsid w:val="00431229"/>
    <w:pPr>
      <w:spacing w:before="0" w:after="180" w:line="250" w:lineRule="atLeast"/>
    </w:pPr>
    <w:rPr>
      <w:rFonts w:cs="Times LT Std"/>
      <w:szCs w:val="23"/>
    </w:rPr>
  </w:style>
  <w:style w:type="paragraph" w:customStyle="1" w:styleId="numberliststart0">
    <w:name w:val="number list start"/>
    <w:basedOn w:val="Normal"/>
    <w:autoRedefine/>
    <w:qFormat/>
    <w:rsid w:val="00431229"/>
    <w:pPr>
      <w:tabs>
        <w:tab w:val="left" w:pos="480"/>
      </w:tabs>
      <w:spacing w:after="0"/>
      <w:ind w:left="960" w:hanging="480"/>
    </w:pPr>
    <w:rPr>
      <w:kern w:val="0"/>
      <w:lang w:bidi="ar-SA"/>
    </w:rPr>
  </w:style>
  <w:style w:type="paragraph" w:customStyle="1" w:styleId="blockquotepnl">
    <w:name w:val="block quote pnl"/>
    <w:basedOn w:val="blockquote"/>
    <w:autoRedefine/>
    <w:uiPriority w:val="99"/>
    <w:rsid w:val="00431229"/>
    <w:pPr>
      <w:tabs>
        <w:tab w:val="left" w:pos="480"/>
      </w:tabs>
      <w:autoSpaceDE w:val="0"/>
      <w:autoSpaceDN w:val="0"/>
      <w:adjustRightInd w:val="0"/>
      <w:spacing w:before="0" w:after="0"/>
      <w:ind w:left="1320" w:hanging="480"/>
      <w:jc w:val="both"/>
      <w:textAlignment w:val="center"/>
    </w:pPr>
    <w:rPr>
      <w:rFonts w:eastAsiaTheme="minorEastAsia" w:cs="Times LT Std"/>
      <w:color w:val="000000"/>
      <w:szCs w:val="21"/>
    </w:rPr>
  </w:style>
  <w:style w:type="paragraph" w:customStyle="1" w:styleId="blocknl">
    <w:name w:val="block nl"/>
    <w:basedOn w:val="Normal"/>
    <w:autoRedefine/>
    <w:qFormat/>
    <w:rsid w:val="00431229"/>
    <w:pPr>
      <w:tabs>
        <w:tab w:val="left" w:pos="480"/>
      </w:tabs>
      <w:spacing w:before="0" w:after="0"/>
      <w:ind w:left="1680" w:hanging="480"/>
    </w:pPr>
    <w:rPr>
      <w:rFonts w:cstheme="minorBidi"/>
      <w:kern w:val="0"/>
      <w:sz w:val="20"/>
      <w:szCs w:val="22"/>
      <w:lang w:bidi="ar-SA"/>
    </w:rPr>
  </w:style>
  <w:style w:type="paragraph" w:customStyle="1" w:styleId="3rdlevelhditalic">
    <w:name w:val="3rd level hd italic"/>
    <w:basedOn w:val="Normal"/>
    <w:autoRedefine/>
    <w:qFormat/>
    <w:rsid w:val="00431229"/>
    <w:pPr>
      <w:tabs>
        <w:tab w:val="left" w:pos="360"/>
      </w:tabs>
      <w:spacing w:after="240"/>
      <w:ind w:left="360" w:hanging="360"/>
    </w:pPr>
    <w:rPr>
      <w:rFonts w:cstheme="minorBidi"/>
      <w:i/>
      <w:kern w:val="0"/>
      <w:szCs w:val="22"/>
      <w:lang w:bidi="ar-SA"/>
    </w:rPr>
  </w:style>
  <w:style w:type="paragraph" w:customStyle="1" w:styleId="2ndLevelheadAblditalic">
    <w:name w:val="2nd Level head A. bld italic"/>
    <w:basedOn w:val="Normal"/>
    <w:autoRedefine/>
    <w:qFormat/>
    <w:rsid w:val="00431229"/>
    <w:pPr>
      <w:tabs>
        <w:tab w:val="left" w:pos="360"/>
      </w:tabs>
      <w:spacing w:after="240"/>
      <w:ind w:left="360" w:hanging="360"/>
    </w:pPr>
    <w:rPr>
      <w:rFonts w:cstheme="minorBidi"/>
      <w:b/>
      <w:i/>
      <w:kern w:val="0"/>
      <w:szCs w:val="22"/>
      <w:lang w:bidi="ar-SA"/>
    </w:rPr>
  </w:style>
  <w:style w:type="paragraph" w:customStyle="1" w:styleId="Blockquote0">
    <w:name w:val="Block quote"/>
    <w:basedOn w:val="Normal"/>
    <w:autoRedefine/>
    <w:uiPriority w:val="99"/>
    <w:qFormat/>
    <w:rsid w:val="00431229"/>
    <w:pPr>
      <w:widowControl w:val="0"/>
      <w:spacing w:after="240"/>
      <w:ind w:left="720"/>
    </w:pPr>
    <w:rPr>
      <w:kern w:val="0"/>
      <w:sz w:val="20"/>
      <w:lang w:bidi="ar-SA"/>
    </w:rPr>
  </w:style>
  <w:style w:type="paragraph" w:customStyle="1" w:styleId="Level21">
    <w:name w:val="Level 2 / 1"/>
    <w:basedOn w:val="Normal"/>
    <w:autoRedefine/>
    <w:uiPriority w:val="99"/>
    <w:rsid w:val="00431229"/>
    <w:pPr>
      <w:keepNext/>
      <w:widowControl w:val="0"/>
      <w:tabs>
        <w:tab w:val="left" w:pos="360"/>
      </w:tabs>
      <w:suppressAutoHyphens/>
      <w:autoSpaceDE w:val="0"/>
      <w:autoSpaceDN w:val="0"/>
      <w:adjustRightInd w:val="0"/>
      <w:spacing w:before="0" w:after="240" w:line="240" w:lineRule="atLeast"/>
      <w:ind w:left="360" w:hanging="360"/>
      <w:textAlignment w:val="center"/>
    </w:pPr>
    <w:rPr>
      <w:rFonts w:eastAsiaTheme="minorEastAsia" w:cs="NewCenturySchlbk"/>
      <w:b/>
      <w:bCs/>
      <w:color w:val="000000"/>
      <w:kern w:val="0"/>
      <w:szCs w:val="22"/>
      <w:lang w:bidi="ar-SA"/>
    </w:rPr>
  </w:style>
  <w:style w:type="paragraph" w:customStyle="1" w:styleId="Level3Headi">
    <w:name w:val="Level 3 Head i."/>
    <w:basedOn w:val="Normal"/>
    <w:autoRedefine/>
    <w:uiPriority w:val="99"/>
    <w:rsid w:val="00431229"/>
    <w:pPr>
      <w:keepNext/>
      <w:widowControl w:val="0"/>
      <w:tabs>
        <w:tab w:val="left" w:pos="480"/>
      </w:tabs>
      <w:suppressAutoHyphens/>
      <w:autoSpaceDE w:val="0"/>
      <w:autoSpaceDN w:val="0"/>
      <w:adjustRightInd w:val="0"/>
      <w:spacing w:after="240" w:line="240" w:lineRule="atLeast"/>
      <w:ind w:left="480" w:hanging="480"/>
      <w:textAlignment w:val="center"/>
    </w:pPr>
    <w:rPr>
      <w:rFonts w:eastAsiaTheme="minorEastAsia" w:cs="NewCenturySchlbk"/>
      <w:b/>
      <w:bCs/>
      <w:i/>
      <w:iCs/>
      <w:color w:val="000000"/>
      <w:kern w:val="0"/>
      <w:szCs w:val="22"/>
      <w:lang w:bidi="ar-SA"/>
    </w:rPr>
  </w:style>
  <w:style w:type="paragraph" w:customStyle="1" w:styleId="Level4Heada">
    <w:name w:val="Level 4 Head a."/>
    <w:basedOn w:val="text"/>
    <w:autoRedefine/>
    <w:uiPriority w:val="99"/>
    <w:rsid w:val="00431229"/>
    <w:pPr>
      <w:keepNext/>
      <w:tabs>
        <w:tab w:val="left" w:pos="360"/>
      </w:tabs>
      <w:suppressAutoHyphens/>
      <w:autoSpaceDE w:val="0"/>
      <w:autoSpaceDN w:val="0"/>
      <w:adjustRightInd w:val="0"/>
      <w:spacing w:before="240" w:after="240" w:line="240" w:lineRule="atLeast"/>
      <w:ind w:left="360" w:hanging="360"/>
      <w:textAlignment w:val="center"/>
    </w:pPr>
    <w:rPr>
      <w:rFonts w:eastAsiaTheme="minorEastAsia" w:cs="NewCenturySchlbk"/>
      <w:i/>
      <w:iCs/>
      <w:color w:val="000000"/>
      <w:szCs w:val="22"/>
    </w:rPr>
  </w:style>
  <w:style w:type="paragraph" w:customStyle="1" w:styleId="Level2HeadA">
    <w:name w:val="Level 2 Head A."/>
    <w:basedOn w:val="NoParagraphStyle"/>
    <w:autoRedefine/>
    <w:uiPriority w:val="99"/>
    <w:rsid w:val="00431229"/>
    <w:pPr>
      <w:keepNext/>
      <w:tabs>
        <w:tab w:val="left" w:pos="360"/>
      </w:tabs>
      <w:suppressAutoHyphens/>
      <w:spacing w:before="240" w:after="240" w:line="240" w:lineRule="atLeast"/>
      <w:ind w:left="360" w:hanging="360"/>
    </w:pPr>
    <w:rPr>
      <w:rFonts w:cs="NewCenturySchlbk"/>
      <w:b/>
      <w:bCs/>
      <w:szCs w:val="22"/>
    </w:rPr>
  </w:style>
  <w:style w:type="paragraph" w:customStyle="1" w:styleId="Level32">
    <w:name w:val="Level 3 / 2"/>
    <w:basedOn w:val="Level3Headi"/>
    <w:autoRedefine/>
    <w:uiPriority w:val="99"/>
    <w:rsid w:val="00431229"/>
    <w:pPr>
      <w:spacing w:before="0"/>
    </w:pPr>
  </w:style>
  <w:style w:type="paragraph" w:customStyle="1" w:styleId="Blockquotenospacebelow">
    <w:name w:val="Block quote (no space below)"/>
    <w:basedOn w:val="Blockquote0"/>
    <w:autoRedefine/>
    <w:uiPriority w:val="99"/>
    <w:rsid w:val="00431229"/>
    <w:pPr>
      <w:autoSpaceDE w:val="0"/>
      <w:autoSpaceDN w:val="0"/>
      <w:adjustRightInd w:val="0"/>
      <w:spacing w:after="0"/>
      <w:jc w:val="both"/>
      <w:textAlignment w:val="center"/>
    </w:pPr>
    <w:rPr>
      <w:rFonts w:eastAsiaTheme="minorEastAsia" w:cs="NewCenturySchlbk"/>
      <w:color w:val="000000"/>
      <w:szCs w:val="20"/>
    </w:rPr>
  </w:style>
  <w:style w:type="paragraph" w:customStyle="1" w:styleId="Numberliststart1">
    <w:name w:val="Number list (start)"/>
    <w:basedOn w:val="Normal"/>
    <w:autoRedefine/>
    <w:qFormat/>
    <w:rsid w:val="00431229"/>
    <w:pPr>
      <w:widowControl w:val="0"/>
      <w:tabs>
        <w:tab w:val="left" w:pos="840"/>
      </w:tabs>
      <w:spacing w:after="0"/>
      <w:ind w:left="840" w:firstLine="360"/>
    </w:pPr>
    <w:rPr>
      <w:kern w:val="0"/>
      <w:lang w:bidi="ar-SA"/>
    </w:rPr>
  </w:style>
  <w:style w:type="paragraph" w:customStyle="1" w:styleId="Numberliststop">
    <w:name w:val="Number list (stop)"/>
    <w:basedOn w:val="Numberliststart1"/>
    <w:autoRedefine/>
    <w:qFormat/>
    <w:rsid w:val="00431229"/>
    <w:pPr>
      <w:tabs>
        <w:tab w:val="clear" w:pos="840"/>
        <w:tab w:val="left" w:pos="480"/>
      </w:tabs>
      <w:spacing w:before="0" w:after="240"/>
      <w:ind w:left="960" w:hanging="480"/>
    </w:pPr>
  </w:style>
  <w:style w:type="paragraph" w:customStyle="1" w:styleId="Numberlist0">
    <w:name w:val="Number list"/>
    <w:basedOn w:val="Numberliststop"/>
    <w:autoRedefine/>
    <w:qFormat/>
    <w:rsid w:val="00431229"/>
    <w:pPr>
      <w:spacing w:after="0"/>
    </w:pPr>
  </w:style>
  <w:style w:type="paragraph" w:customStyle="1" w:styleId="Level43">
    <w:name w:val="Level 4/3"/>
    <w:basedOn w:val="Level4Heada"/>
    <w:autoRedefine/>
    <w:uiPriority w:val="99"/>
    <w:rsid w:val="00431229"/>
    <w:pPr>
      <w:spacing w:before="0"/>
    </w:pPr>
  </w:style>
  <w:style w:type="paragraph" w:customStyle="1" w:styleId="Level5Head1">
    <w:name w:val="Level 5 Head (1)"/>
    <w:basedOn w:val="Level43"/>
    <w:autoRedefine/>
    <w:uiPriority w:val="99"/>
    <w:rsid w:val="00431229"/>
    <w:pPr>
      <w:spacing w:before="240" w:line="240" w:lineRule="auto"/>
      <w:ind w:left="919" w:hanging="480"/>
    </w:pPr>
  </w:style>
  <w:style w:type="paragraph" w:customStyle="1" w:styleId="Level3Head">
    <w:name w:val="Level 3 Head"/>
    <w:basedOn w:val="text"/>
    <w:autoRedefine/>
    <w:qFormat/>
    <w:rsid w:val="00431229"/>
  </w:style>
  <w:style w:type="paragraph" w:customStyle="1" w:styleId="bullet-dash">
    <w:name w:val="bullet-dash"/>
    <w:basedOn w:val="Normal"/>
    <w:autoRedefine/>
    <w:qFormat/>
    <w:rsid w:val="00431229"/>
    <w:pPr>
      <w:tabs>
        <w:tab w:val="left" w:pos="660"/>
      </w:tabs>
      <w:spacing w:before="0" w:after="0"/>
      <w:ind w:left="840" w:hanging="180"/>
    </w:pPr>
    <w:rPr>
      <w:kern w:val="0"/>
      <w:szCs w:val="22"/>
      <w:lang w:bidi="ar-SA"/>
    </w:rPr>
  </w:style>
  <w:style w:type="paragraph" w:customStyle="1" w:styleId="numberlist2ndlevel">
    <w:name w:val="number list / 2nd level"/>
    <w:basedOn w:val="Numberlist0"/>
    <w:autoRedefine/>
    <w:qFormat/>
    <w:rsid w:val="00431229"/>
    <w:pPr>
      <w:ind w:left="1440"/>
    </w:pPr>
  </w:style>
  <w:style w:type="paragraph" w:customStyle="1" w:styleId="2ndLevelheadfrom1">
    <w:name w:val="2nd Level head_from 1"/>
    <w:basedOn w:val="2ndLevelHeadA0"/>
    <w:autoRedefine/>
    <w:uiPriority w:val="99"/>
    <w:rsid w:val="00431229"/>
    <w:pPr>
      <w:spacing w:before="0" w:line="240" w:lineRule="atLeast"/>
    </w:pPr>
    <w:rPr>
      <w:rFonts w:cs="Times LT Std"/>
      <w:iCs w:val="0"/>
      <w:szCs w:val="22"/>
    </w:rPr>
  </w:style>
  <w:style w:type="paragraph" w:customStyle="1" w:styleId="1stlevelheadI0">
    <w:name w:val="1st level head I."/>
    <w:basedOn w:val="Normal"/>
    <w:autoRedefine/>
    <w:uiPriority w:val="99"/>
    <w:rsid w:val="00431229"/>
    <w:pPr>
      <w:keepNext/>
      <w:widowControl w:val="0"/>
      <w:suppressAutoHyphens/>
      <w:autoSpaceDE w:val="0"/>
      <w:autoSpaceDN w:val="0"/>
      <w:adjustRightInd w:val="0"/>
      <w:spacing w:before="480" w:after="240"/>
      <w:jc w:val="center"/>
      <w:textAlignment w:val="center"/>
    </w:pPr>
    <w:rPr>
      <w:rFonts w:eastAsiaTheme="minorEastAsia"/>
      <w:color w:val="000000"/>
      <w:kern w:val="0"/>
      <w:szCs w:val="26"/>
      <w:lang w:bidi="ar-SA"/>
    </w:rPr>
  </w:style>
  <w:style w:type="paragraph" w:customStyle="1" w:styleId="4th-3">
    <w:name w:val="4th-3"/>
    <w:basedOn w:val="4thlevelheada"/>
    <w:autoRedefine/>
    <w:uiPriority w:val="99"/>
    <w:rsid w:val="00431229"/>
    <w:pPr>
      <w:tabs>
        <w:tab w:val="clear" w:pos="740"/>
      </w:tabs>
      <w:spacing w:before="0"/>
    </w:pPr>
    <w:rPr>
      <w:rFonts w:cs="Times LT Std"/>
      <w:bCs w:val="0"/>
      <w:iCs/>
      <w:szCs w:val="24"/>
    </w:rPr>
  </w:style>
  <w:style w:type="paragraph" w:customStyle="1" w:styleId="level4iii">
    <w:name w:val="level 4 (iii)"/>
    <w:basedOn w:val="4thlevelheada"/>
    <w:autoRedefine/>
    <w:uiPriority w:val="99"/>
    <w:rsid w:val="00431229"/>
    <w:pPr>
      <w:tabs>
        <w:tab w:val="clear" w:pos="740"/>
        <w:tab w:val="left" w:pos="960"/>
      </w:tabs>
      <w:ind w:left="960" w:hanging="480"/>
    </w:pPr>
    <w:rPr>
      <w:rFonts w:cs="Times LT Std"/>
      <w:bCs w:val="0"/>
      <w:iCs/>
      <w:szCs w:val="24"/>
    </w:rPr>
  </w:style>
  <w:style w:type="paragraph" w:customStyle="1" w:styleId="BasicParagraph">
    <w:name w:val="[Basic Paragraph]"/>
    <w:basedOn w:val="NoParagraphStyle"/>
    <w:uiPriority w:val="99"/>
    <w:rsid w:val="00431229"/>
    <w:pPr>
      <w:spacing w:line="240" w:lineRule="atLeast"/>
      <w:ind w:firstLine="0"/>
    </w:pPr>
    <w:rPr>
      <w:rFonts w:ascii="ITC New Baskerville Std" w:hAnsi="ITC New Baskerville Std" w:cs="ITC New Baskerville Std"/>
      <w:sz w:val="22"/>
      <w:szCs w:val="22"/>
    </w:rPr>
  </w:style>
  <w:style w:type="paragraph" w:customStyle="1" w:styleId="chapternumber">
    <w:name w:val="chapter number"/>
    <w:basedOn w:val="BasicParagraph"/>
    <w:uiPriority w:val="99"/>
    <w:rsid w:val="00431229"/>
    <w:pPr>
      <w:suppressAutoHyphens/>
      <w:spacing w:after="240" w:line="560" w:lineRule="atLeast"/>
    </w:pPr>
    <w:rPr>
      <w:b/>
      <w:bCs/>
      <w:sz w:val="56"/>
      <w:szCs w:val="56"/>
    </w:rPr>
  </w:style>
  <w:style w:type="paragraph" w:customStyle="1" w:styleId="chaptertitle">
    <w:name w:val="chapter title"/>
    <w:basedOn w:val="BasicParagraph"/>
    <w:uiPriority w:val="99"/>
    <w:rsid w:val="00431229"/>
    <w:pPr>
      <w:suppressAutoHyphens/>
      <w:spacing w:after="480" w:line="440" w:lineRule="atLeast"/>
    </w:pPr>
    <w:rPr>
      <w:sz w:val="40"/>
      <w:szCs w:val="40"/>
    </w:rPr>
  </w:style>
  <w:style w:type="paragraph" w:customStyle="1" w:styleId="blockquotenospace">
    <w:name w:val="block quote no space"/>
    <w:basedOn w:val="block-p--"/>
    <w:uiPriority w:val="99"/>
    <w:rsid w:val="00431229"/>
    <w:pPr>
      <w:widowControl w:val="0"/>
      <w:autoSpaceDE w:val="0"/>
      <w:autoSpaceDN w:val="0"/>
      <w:adjustRightInd w:val="0"/>
      <w:spacing w:line="200" w:lineRule="atLeast"/>
      <w:ind w:left="440" w:firstLine="0"/>
      <w:jc w:val="both"/>
      <w:textAlignment w:val="center"/>
    </w:pPr>
    <w:rPr>
      <w:rFonts w:ascii="ITC New Baskerville Std" w:eastAsiaTheme="minorEastAsia" w:hAnsi="ITC New Baskerville Std" w:cs="ITC New Baskerville Std"/>
      <w:color w:val="000000"/>
      <w:szCs w:val="20"/>
    </w:rPr>
  </w:style>
  <w:style w:type="paragraph" w:customStyle="1" w:styleId="blockquote-6pt">
    <w:name w:val="block quote -/+ 6 pt"/>
    <w:basedOn w:val="Blockquoteflush"/>
    <w:uiPriority w:val="99"/>
    <w:rsid w:val="00431229"/>
    <w:pPr>
      <w:autoSpaceDE w:val="0"/>
      <w:autoSpaceDN w:val="0"/>
      <w:adjustRightInd w:val="0"/>
      <w:spacing w:before="0" w:after="120" w:line="200" w:lineRule="atLeast"/>
      <w:ind w:left="440"/>
      <w:jc w:val="both"/>
      <w:textAlignment w:val="center"/>
    </w:pPr>
    <w:rPr>
      <w:rFonts w:ascii="ITC New Baskerville Std" w:eastAsiaTheme="minorEastAsia" w:hAnsi="ITC New Baskerville Std" w:cs="ITC New Baskerville Std"/>
      <w:color w:val="000000"/>
      <w:szCs w:val="20"/>
    </w:rPr>
  </w:style>
  <w:style w:type="paragraph" w:customStyle="1" w:styleId="block-pnl">
    <w:name w:val="block-pnl"/>
    <w:basedOn w:val="text"/>
    <w:uiPriority w:val="99"/>
    <w:rsid w:val="00431229"/>
    <w:pPr>
      <w:tabs>
        <w:tab w:val="left" w:pos="920"/>
      </w:tabs>
      <w:autoSpaceDE w:val="0"/>
      <w:autoSpaceDN w:val="0"/>
      <w:adjustRightInd w:val="0"/>
      <w:spacing w:line="240" w:lineRule="atLeast"/>
      <w:ind w:left="920" w:hanging="480"/>
      <w:jc w:val="both"/>
      <w:textAlignment w:val="center"/>
    </w:pPr>
    <w:rPr>
      <w:rFonts w:ascii="ITC New Baskerville Std" w:eastAsiaTheme="minorEastAsia" w:hAnsi="ITC New Baskerville Std" w:cs="ITC New Baskerville Std"/>
      <w:color w:val="000000"/>
      <w:sz w:val="22"/>
      <w:szCs w:val="22"/>
    </w:rPr>
  </w:style>
  <w:style w:type="paragraph" w:customStyle="1" w:styleId="block-pnlpnl">
    <w:name w:val="block-pnl/pnl"/>
    <w:basedOn w:val="block-pnl"/>
    <w:uiPriority w:val="99"/>
    <w:rsid w:val="00431229"/>
    <w:pPr>
      <w:tabs>
        <w:tab w:val="clear" w:pos="920"/>
        <w:tab w:val="left" w:pos="1400"/>
      </w:tabs>
      <w:ind w:left="1400"/>
    </w:pPr>
  </w:style>
  <w:style w:type="character" w:customStyle="1" w:styleId="superscript">
    <w:name w:val="superscript"/>
    <w:uiPriority w:val="99"/>
    <w:rsid w:val="00431229"/>
    <w:rPr>
      <w:vertAlign w:val="superscript"/>
    </w:rPr>
  </w:style>
  <w:style w:type="paragraph" w:customStyle="1" w:styleId="ChapterNum">
    <w:name w:val="ChapterNum"/>
    <w:basedOn w:val="toc10"/>
    <w:link w:val="ChapterNumChar"/>
    <w:rsid w:val="00431229"/>
    <w:pPr>
      <w:tabs>
        <w:tab w:val="clear" w:pos="480"/>
        <w:tab w:val="clear" w:pos="6240"/>
        <w:tab w:val="clear" w:pos="6960"/>
        <w:tab w:val="left" w:pos="0"/>
        <w:tab w:val="right" w:pos="600"/>
        <w:tab w:val="left" w:pos="720"/>
        <w:tab w:val="right" w:pos="6120"/>
        <w:tab w:val="right" w:pos="6956"/>
      </w:tabs>
      <w:autoSpaceDE/>
      <w:autoSpaceDN/>
      <w:adjustRightInd/>
      <w:spacing w:line="240" w:lineRule="atLeast"/>
      <w:ind w:left="0" w:firstLine="720"/>
      <w:textAlignment w:val="auto"/>
    </w:pPr>
    <w:rPr>
      <w:rFonts w:eastAsia="Times New Roman" w:cs="Times New Roman"/>
      <w:color w:val="auto"/>
      <w:sz w:val="56"/>
      <w:szCs w:val="56"/>
    </w:rPr>
  </w:style>
  <w:style w:type="character" w:customStyle="1" w:styleId="ChapterNumChar">
    <w:name w:val="ChapterNum Char"/>
    <w:link w:val="ChapterNum"/>
    <w:rsid w:val="00431229"/>
    <w:rPr>
      <w:rFonts w:eastAsia="Times New Roman"/>
      <w:kern w:val="0"/>
      <w:sz w:val="56"/>
      <w:szCs w:val="56"/>
      <w:lang w:bidi="ar-SA"/>
    </w:rPr>
  </w:style>
  <w:style w:type="character" w:styleId="UnresolvedMention">
    <w:name w:val="Unresolved Mention"/>
    <w:basedOn w:val="DefaultParagraphFont"/>
    <w:uiPriority w:val="99"/>
    <w:semiHidden/>
    <w:unhideWhenUsed/>
    <w:rsid w:val="00431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733313A-773E-4ED2-A293-C1AD7DA906A4}"/>
      </w:docPartPr>
      <w:docPartBody>
        <w:p w:rsidR="00B37663" w:rsidRDefault="00B37663">
          <w:r w:rsidRPr="007E4A7E">
            <w:rPr>
              <w:rStyle w:val="PlaceholderText"/>
            </w:rPr>
            <w:t>Click or tap here to enter text.</w:t>
          </w:r>
        </w:p>
      </w:docPartBody>
    </w:docPart>
    <w:docPart>
      <w:docPartPr>
        <w:name w:val="BA1FE6FF77684D0DAD2FED4BCE522DA4"/>
        <w:category>
          <w:name w:val="General"/>
          <w:gallery w:val="placeholder"/>
        </w:category>
        <w:types>
          <w:type w:val="bbPlcHdr"/>
        </w:types>
        <w:behaviors>
          <w:behavior w:val="content"/>
        </w:behaviors>
        <w:guid w:val="{D18263AC-E602-4D0E-9544-C94784534CCB}"/>
      </w:docPartPr>
      <w:docPartBody>
        <w:p w:rsidR="00B37663" w:rsidRDefault="00B37663">
          <w:r w:rsidRPr="007E4A7E">
            <w:rPr>
              <w:rStyle w:val="PlaceholderText"/>
            </w:rPr>
            <w:t>Unit.Start</w:t>
          </w:r>
        </w:p>
      </w:docPartBody>
    </w:docPart>
    <w:docPart>
      <w:docPartPr>
        <w:name w:val="12B122F849D04655B504727077062E3D"/>
        <w:category>
          <w:name w:val="General"/>
          <w:gallery w:val="placeholder"/>
        </w:category>
        <w:types>
          <w:type w:val="bbPlcHdr"/>
        </w:types>
        <w:behaviors>
          <w:behavior w:val="content"/>
        </w:behaviors>
        <w:guid w:val="{0CCEF02C-8D93-4A2E-91A3-7A9B05DDF420}"/>
      </w:docPartPr>
      <w:docPartBody>
        <w:p w:rsidR="00B37663" w:rsidRDefault="00B37663">
          <w:r w:rsidRPr="007E4A7E">
            <w:rPr>
              <w:rStyle w:val="PlaceholderText"/>
            </w:rPr>
            <w:t>Document</w:t>
          </w:r>
        </w:p>
      </w:docPartBody>
    </w:docPart>
    <w:docPart>
      <w:docPartPr>
        <w:name w:val="B518A08B5B584A6F9A0A2AD599974488"/>
        <w:category>
          <w:name w:val="General"/>
          <w:gallery w:val="placeholder"/>
        </w:category>
        <w:types>
          <w:type w:val="bbPlcHdr"/>
        </w:types>
        <w:behaviors>
          <w:behavior w:val="content"/>
        </w:behaviors>
        <w:guid w:val="{DAA26115-BFE7-477D-BEB2-8C9258C5986E}"/>
      </w:docPartPr>
      <w:docPartBody>
        <w:p w:rsidR="00B37663" w:rsidRDefault="00B37663">
          <w:r w:rsidRPr="007E4A7E">
            <w:rPr>
              <w:rStyle w:val="PlaceholderText"/>
            </w:rPr>
            <w:t>enter text</w:t>
          </w:r>
        </w:p>
      </w:docPartBody>
    </w:docPart>
    <w:docPart>
      <w:docPartPr>
        <w:name w:val="C889EB2AA0AE4ADDBB616355FE3E63F9"/>
        <w:category>
          <w:name w:val="General"/>
          <w:gallery w:val="placeholder"/>
        </w:category>
        <w:types>
          <w:type w:val="bbPlcHdr"/>
        </w:types>
        <w:behaviors>
          <w:behavior w:val="content"/>
        </w:behaviors>
        <w:guid w:val="{F370C644-5298-4739-9E5E-A203923F7E99}"/>
      </w:docPartPr>
      <w:docPartBody>
        <w:p w:rsidR="00B37663" w:rsidRDefault="00B37663">
          <w:r w:rsidRPr="007E4A7E">
            <w:rPr>
              <w:rStyle w:val="PlaceholderText"/>
            </w:rPr>
            <w:t>enter text</w:t>
          </w:r>
        </w:p>
      </w:docPartBody>
    </w:docPart>
    <w:docPart>
      <w:docPartPr>
        <w:name w:val="F4AFD82C82674EEAB87F69B9E2C8E286"/>
        <w:category>
          <w:name w:val="General"/>
          <w:gallery w:val="placeholder"/>
        </w:category>
        <w:types>
          <w:type w:val="bbPlcHdr"/>
        </w:types>
        <w:behaviors>
          <w:behavior w:val="content"/>
        </w:behaviors>
        <w:guid w:val="{E1834258-0EFF-46A6-9F05-A4DE1F4002E2}"/>
      </w:docPartPr>
      <w:docPartBody>
        <w:p w:rsidR="00B37663" w:rsidRDefault="00B37663">
          <w:r w:rsidRPr="007E4A7E">
            <w:rPr>
              <w:rStyle w:val="PlaceholderText"/>
            </w:rPr>
            <w:t>enter REQUIRED text</w:t>
          </w:r>
        </w:p>
      </w:docPartBody>
    </w:docPart>
    <w:docPart>
      <w:docPartPr>
        <w:name w:val="5CF0E41946604F38AE59EFFFE923EC9B"/>
        <w:category>
          <w:name w:val="General"/>
          <w:gallery w:val="placeholder"/>
        </w:category>
        <w:types>
          <w:type w:val="bbPlcHdr"/>
        </w:types>
        <w:behaviors>
          <w:behavior w:val="content"/>
        </w:behaviors>
        <w:guid w:val="{2BC1640F-2AE6-4D10-B1A8-B9162B79C32C}"/>
      </w:docPartPr>
      <w:docPartBody>
        <w:p w:rsidR="00B37663" w:rsidRDefault="00B37663">
          <w:r w:rsidRPr="007E4A7E">
            <w:rPr>
              <w:rStyle w:val="PlaceholderText"/>
            </w:rPr>
            <w:t>enter REQUIRED text</w:t>
          </w:r>
        </w:p>
      </w:docPartBody>
    </w:docPart>
    <w:docPart>
      <w:docPartPr>
        <w:name w:val="D30F4B599B9542AFA011C26A495E46B4"/>
        <w:category>
          <w:name w:val="General"/>
          <w:gallery w:val="placeholder"/>
        </w:category>
        <w:types>
          <w:type w:val="bbPlcHdr"/>
        </w:types>
        <w:behaviors>
          <w:behavior w:val="content"/>
        </w:behaviors>
        <w:guid w:val="{B9E23F9B-00E9-497F-B580-23F7BB369C15}"/>
      </w:docPartPr>
      <w:docPartBody>
        <w:p w:rsidR="00B37663" w:rsidRDefault="00B37663">
          <w:r w:rsidRPr="007E4A7E">
            <w:rPr>
              <w:rStyle w:val="PlaceholderText"/>
            </w:rPr>
            <w:t>enter text</w:t>
          </w:r>
        </w:p>
      </w:docPartBody>
    </w:docPart>
    <w:docPart>
      <w:docPartPr>
        <w:name w:val="BF8BAE7562FC4231B378F50351F19E71"/>
        <w:category>
          <w:name w:val="General"/>
          <w:gallery w:val="placeholder"/>
        </w:category>
        <w:types>
          <w:type w:val="bbPlcHdr"/>
        </w:types>
        <w:behaviors>
          <w:behavior w:val="content"/>
        </w:behaviors>
        <w:guid w:val="{80A4B682-0584-4E55-B59E-71A9DF712EF8}"/>
      </w:docPartPr>
      <w:docPartBody>
        <w:p w:rsidR="00B37663" w:rsidRDefault="00B37663">
          <w:r w:rsidRPr="007E4A7E">
            <w:rPr>
              <w:rStyle w:val="PlaceholderText"/>
            </w:rPr>
            <w:t>enter text</w:t>
          </w:r>
        </w:p>
      </w:docPartBody>
    </w:docPart>
    <w:docPart>
      <w:docPartPr>
        <w:name w:val="BD0A4D853FA641E0996E48ECC806B47A"/>
        <w:category>
          <w:name w:val="General"/>
          <w:gallery w:val="placeholder"/>
        </w:category>
        <w:types>
          <w:type w:val="bbPlcHdr"/>
        </w:types>
        <w:behaviors>
          <w:behavior w:val="content"/>
        </w:behaviors>
        <w:guid w:val="{AE74A5BE-7F96-48DC-A240-64E48C43BE12}"/>
      </w:docPartPr>
      <w:docPartBody>
        <w:p w:rsidR="00B37663" w:rsidRDefault="00B37663">
          <w:r w:rsidRPr="007E4A7E">
            <w:rPr>
              <w:rStyle w:val="PlaceholderText"/>
            </w:rPr>
            <w:t>enter text</w:t>
          </w:r>
        </w:p>
      </w:docPartBody>
    </w:docPart>
    <w:docPart>
      <w:docPartPr>
        <w:name w:val="C65CC8074F504FDBB8EE4C9A3BF44189"/>
        <w:category>
          <w:name w:val="General"/>
          <w:gallery w:val="placeholder"/>
        </w:category>
        <w:types>
          <w:type w:val="bbPlcHdr"/>
        </w:types>
        <w:behaviors>
          <w:behavior w:val="content"/>
        </w:behaviors>
        <w:guid w:val="{CD407A7D-52F5-4AF2-B7F9-0A9540DDE70B}"/>
      </w:docPartPr>
      <w:docPartBody>
        <w:p w:rsidR="00B37663" w:rsidRDefault="00B37663">
          <w:r w:rsidRPr="007E4A7E">
            <w:rPr>
              <w:rStyle w:val="PlaceholderText"/>
            </w:rPr>
            <w:t>enter text</w:t>
          </w:r>
        </w:p>
      </w:docPartBody>
    </w:docPart>
    <w:docPart>
      <w:docPartPr>
        <w:name w:val="615917E2B1A44176AB2864694AB31232"/>
        <w:category>
          <w:name w:val="General"/>
          <w:gallery w:val="placeholder"/>
        </w:category>
        <w:types>
          <w:type w:val="bbPlcHdr"/>
        </w:types>
        <w:behaviors>
          <w:behavior w:val="content"/>
        </w:behaviors>
        <w:guid w:val="{AC2C4ED4-8F09-4908-9C4B-B7B15B67B195}"/>
      </w:docPartPr>
      <w:docPartBody>
        <w:p w:rsidR="00B37663" w:rsidRDefault="00B37663">
          <w:r w:rsidRPr="007E4A7E">
            <w:rPr>
              <w:rStyle w:val="PlaceholderText"/>
            </w:rPr>
            <w:t>enter text</w:t>
          </w:r>
        </w:p>
      </w:docPartBody>
    </w:docPart>
    <w:docPart>
      <w:docPartPr>
        <w:name w:val="5AF25E48A72840228235BF16F7971DF6"/>
        <w:category>
          <w:name w:val="General"/>
          <w:gallery w:val="placeholder"/>
        </w:category>
        <w:types>
          <w:type w:val="bbPlcHdr"/>
        </w:types>
        <w:behaviors>
          <w:behavior w:val="content"/>
        </w:behaviors>
        <w:guid w:val="{E213CBB2-783C-42E1-9BA9-75B199D8DED9}"/>
      </w:docPartPr>
      <w:docPartBody>
        <w:p w:rsidR="00B37663" w:rsidRDefault="00B37663">
          <w:r w:rsidRPr="007E4A7E">
            <w:rPr>
              <w:rStyle w:val="PlaceholderText"/>
            </w:rPr>
            <w:t>enter text</w:t>
          </w:r>
        </w:p>
      </w:docPartBody>
    </w:docPart>
    <w:docPart>
      <w:docPartPr>
        <w:name w:val="42BD3D77CC854C1DA268FCEE2B3CFFC9"/>
        <w:category>
          <w:name w:val="General"/>
          <w:gallery w:val="placeholder"/>
        </w:category>
        <w:types>
          <w:type w:val="bbPlcHdr"/>
        </w:types>
        <w:behaviors>
          <w:behavior w:val="content"/>
        </w:behaviors>
        <w:guid w:val="{28F064E4-3BC0-4E8B-8437-85B8B8E6FCC8}"/>
      </w:docPartPr>
      <w:docPartBody>
        <w:p w:rsidR="00B37663" w:rsidRDefault="00B37663">
          <w:r w:rsidRPr="007E4A7E">
            <w:rPr>
              <w:rStyle w:val="PlaceholderText"/>
            </w:rPr>
            <w:t>enter text</w:t>
          </w:r>
        </w:p>
      </w:docPartBody>
    </w:docPart>
    <w:docPart>
      <w:docPartPr>
        <w:name w:val="670838E477A645D3A9634746A98D542B"/>
        <w:category>
          <w:name w:val="General"/>
          <w:gallery w:val="placeholder"/>
        </w:category>
        <w:types>
          <w:type w:val="bbPlcHdr"/>
        </w:types>
        <w:behaviors>
          <w:behavior w:val="content"/>
        </w:behaviors>
        <w:guid w:val="{3809762E-00E3-4712-AB09-9971F264FA77}"/>
      </w:docPartPr>
      <w:docPartBody>
        <w:p w:rsidR="00B37663" w:rsidRDefault="00B37663">
          <w:r w:rsidRPr="007E4A7E">
            <w:rPr>
              <w:rStyle w:val="PlaceholderText"/>
            </w:rPr>
            <w:t>enter text</w:t>
          </w:r>
        </w:p>
      </w:docPartBody>
    </w:docPart>
    <w:docPart>
      <w:docPartPr>
        <w:name w:val="F0165AD45E1B4847AF2843D9F47B835D"/>
        <w:category>
          <w:name w:val="General"/>
          <w:gallery w:val="placeholder"/>
        </w:category>
        <w:types>
          <w:type w:val="bbPlcHdr"/>
        </w:types>
        <w:behaviors>
          <w:behavior w:val="content"/>
        </w:behaviors>
        <w:guid w:val="{82EEA94A-DC76-4B56-B365-DA24A8A5359F}"/>
      </w:docPartPr>
      <w:docPartBody>
        <w:p w:rsidR="00B37663" w:rsidRDefault="00B37663">
          <w:r w:rsidRPr="007E4A7E">
            <w:rPr>
              <w:rStyle w:val="PlaceholderText"/>
            </w:rPr>
            <w:t>choose an item (REQUIRED)</w:t>
          </w:r>
        </w:p>
      </w:docPartBody>
    </w:docPart>
    <w:docPart>
      <w:docPartPr>
        <w:name w:val="FDD66E0424414C7A9C945122DAF7FFD9"/>
        <w:category>
          <w:name w:val="General"/>
          <w:gallery w:val="placeholder"/>
        </w:category>
        <w:types>
          <w:type w:val="bbPlcHdr"/>
        </w:types>
        <w:behaviors>
          <w:behavior w:val="content"/>
        </w:behaviors>
        <w:guid w:val="{59E9679C-F3DA-46C3-A733-E1143345331D}"/>
      </w:docPartPr>
      <w:docPartBody>
        <w:p w:rsidR="00B37663" w:rsidRDefault="00B37663">
          <w:r w:rsidRPr="007E4A7E">
            <w:rPr>
              <w:rStyle w:val="PlaceholderText"/>
            </w:rPr>
            <w:t>enter text</w:t>
          </w:r>
        </w:p>
      </w:docPartBody>
    </w:docPart>
    <w:docPart>
      <w:docPartPr>
        <w:name w:val="43F9F6F5A06C48ED9F7984D871DF4727"/>
        <w:category>
          <w:name w:val="General"/>
          <w:gallery w:val="placeholder"/>
        </w:category>
        <w:types>
          <w:type w:val="bbPlcHdr"/>
        </w:types>
        <w:behaviors>
          <w:behavior w:val="content"/>
        </w:behaviors>
        <w:guid w:val="{6B89D320-DC48-41BD-96DC-8579890B4B79}"/>
      </w:docPartPr>
      <w:docPartBody>
        <w:p w:rsidR="00B37663" w:rsidRDefault="00B37663">
          <w:r w:rsidRPr="007E4A7E">
            <w:rPr>
              <w:rStyle w:val="PlaceholderText"/>
            </w:rPr>
            <w:t>enter text</w:t>
          </w:r>
        </w:p>
      </w:docPartBody>
    </w:docPart>
    <w:docPart>
      <w:docPartPr>
        <w:name w:val="7A50209D9D244618BB17BF221C23B256"/>
        <w:category>
          <w:name w:val="General"/>
          <w:gallery w:val="placeholder"/>
        </w:category>
        <w:types>
          <w:type w:val="bbPlcHdr"/>
        </w:types>
        <w:behaviors>
          <w:behavior w:val="content"/>
        </w:behaviors>
        <w:guid w:val="{8CDD65C3-46B6-4CCD-993A-DA7F1C4110F1}"/>
      </w:docPartPr>
      <w:docPartBody>
        <w:p w:rsidR="00B37663" w:rsidRDefault="00B37663">
          <w:r w:rsidRPr="007E4A7E">
            <w:rPr>
              <w:rStyle w:val="PlaceholderText"/>
            </w:rPr>
            <w:t>enter REQUIRED text</w:t>
          </w:r>
        </w:p>
      </w:docPartBody>
    </w:docPart>
    <w:docPart>
      <w:docPartPr>
        <w:name w:val="1FB6969EA0464937ADF2326DA3CE828A"/>
        <w:category>
          <w:name w:val="General"/>
          <w:gallery w:val="placeholder"/>
        </w:category>
        <w:types>
          <w:type w:val="bbPlcHdr"/>
        </w:types>
        <w:behaviors>
          <w:behavior w:val="content"/>
        </w:behaviors>
        <w:guid w:val="{32C6E35C-DB5E-4248-9DED-F7A30EFCE426}"/>
      </w:docPartPr>
      <w:docPartBody>
        <w:p w:rsidR="00B37663" w:rsidRDefault="00B37663">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663"/>
    <w:rsid w:val="00B37663"/>
    <w:rsid w:val="00C2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766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03" unit.name="Chapter 3. The Meaning of Dilution Under State Law" folio="79" class.code="A" class.name="Book Body" bna.id.prefix="3" pdm.name="Chap03" part.num="1" part.name="Part I. General Principles And State Law Applications"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25208</Words>
  <Characters>143687</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2025-09-25T20:42:00Z</dcterms:created>
  <dcterms:modified xsi:type="dcterms:W3CDTF">2025-09-25T20:42:00Z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