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900FF" w14:textId="77777777" w:rsidR="006B1A12" w:rsidRPr="006B1A12" w:rsidRDefault="00E319AD" w:rsidP="000D7E33">
      <w:pPr>
        <w:pStyle w:val="BDocStart"/>
      </w:pPr>
      <w:sdt>
        <w:sdtPr>
          <w:tag w:val="unit.start.head"/>
          <w:id w:val="-1752966311"/>
          <w:lock w:val="sdtLocked"/>
          <w:placeholder>
            <w:docPart w:val="F05C74F1BA894222B38BD60BFE006939"/>
          </w:placeholder>
          <w15:appearance w15:val="hidden"/>
        </w:sdtPr>
        <w:sdtEndPr/>
        <w:sdtContent>
          <w:proofErr w:type="spellStart"/>
          <w:r w:rsidR="000D7E33">
            <w:t>Unit.Start</w:t>
          </w:r>
          <w:proofErr w:type="spellEnd"/>
        </w:sdtContent>
      </w:sdt>
    </w:p>
    <w:sdt>
      <w:sdtPr>
        <w:rPr>
          <w:rStyle w:val="BContentControl"/>
        </w:rPr>
        <w:alias w:val="unit.start"/>
        <w:tag w:val="Unit1"/>
        <w:id w:val="-1144197937"/>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012416D6" w14:textId="02E8D164" w:rsidR="006B1A12" w:rsidRPr="006B1A12" w:rsidRDefault="00E319AD" w:rsidP="000D7E33">
          <w:pPr>
            <w:pStyle w:val="BNormal"/>
          </w:pPr>
          <w:sdt>
            <w:sdtPr>
              <w:rPr>
                <w:rStyle w:val="BContentControl"/>
              </w:rPr>
              <w:alias w:val="acct.code"/>
              <w:tag w:val="acct.code"/>
              <w:id w:val="-904532421"/>
              <w:lock w:val="sdtLocked"/>
              <w:placeholder>
                <w:docPart w:val="10D81CE20AD9465D94D8B0B6763D6665"/>
              </w:placeholder>
              <w:dataBinding w:prefixMappings="xmlns:ns0='http://www.bna.com/gateway/unit.start' " w:xpath="/ns0:document[1]/ns0:unit.start[1]/@acct.code" w:storeItemID="{B04FCA99-13B0-422B-ADC9-9491644FA79D}"/>
              <w15:appearance w15:val="tags"/>
              <w:text/>
            </w:sdtPr>
            <w:sdtEndPr>
              <w:rPr>
                <w:rStyle w:val="BContentControl"/>
              </w:rPr>
            </w:sdtEndPr>
            <w:sdtContent>
              <w:r w:rsidR="000D7E33">
                <w:rPr>
                  <w:rStyle w:val="BContentControl"/>
                </w:rPr>
                <w:t>TD2M20</w:t>
              </w:r>
            </w:sdtContent>
          </w:sdt>
          <w:sdt>
            <w:sdtPr>
              <w:rPr>
                <w:rStyle w:val="BContentControl"/>
              </w:rPr>
              <w:alias w:val="bna.id.prefix"/>
              <w:tag w:val="bna.id.prefix"/>
              <w:id w:val="-1740624321"/>
              <w:lock w:val="sdtLocked"/>
              <w:placeholder>
                <w:docPart w:val="7A06BA0B5B554632A4A922878C5506A4"/>
              </w:placeholder>
              <w:dataBinding w:prefixMappings="xmlns:ns0='http://www.bna.com/gateway/unit.start' " w:xpath="/ns0:document[1]/ns0:unit.start[1]/@bna.id.prefix" w:storeItemID="{B04FCA99-13B0-422B-ADC9-9491644FA79D}"/>
              <w15:appearance w15:val="tags"/>
              <w:text/>
            </w:sdtPr>
            <w:sdtEndPr>
              <w:rPr>
                <w:rStyle w:val="BContentControl"/>
              </w:rPr>
            </w:sdtEndPr>
            <w:sdtContent>
              <w:r w:rsidR="000D7E33">
                <w:rPr>
                  <w:rStyle w:val="BContentControl"/>
                </w:rPr>
                <w:t>14</w:t>
              </w:r>
            </w:sdtContent>
          </w:sdt>
          <w:r w:rsidR="000D7E33" w:rsidRPr="000D7E33">
            <w:rPr>
              <w:rStyle w:val="BContentControl"/>
            </w:rPr>
            <w:t xml:space="preserve"> </w:t>
          </w:r>
          <w:sdt>
            <w:sdtPr>
              <w:rPr>
                <w:rStyle w:val="BContentControl"/>
              </w:rPr>
              <w:alias w:val="class.code*"/>
              <w:tag w:val="class.code"/>
              <w:id w:val="1160973041"/>
              <w:lock w:val="sdtLocked"/>
              <w:placeholder>
                <w:docPart w:val="ED23DE8574C0462E843750470F16C512"/>
              </w:placeholder>
              <w:dataBinding w:prefixMappings="xmlns:ns0='http://www.bna.com/gateway/unit.start' " w:xpath="/ns0:document[1]/ns0:unit.start[1]/@class.code" w:storeItemID="{B04FCA99-13B0-422B-ADC9-9491644FA79D}"/>
              <w15:appearance w15:val="tags"/>
              <w:text/>
            </w:sdtPr>
            <w:sdtEndPr>
              <w:rPr>
                <w:rStyle w:val="BContentControl"/>
              </w:rPr>
            </w:sdtEndPr>
            <w:sdtContent>
              <w:r w:rsidR="000D7E33">
                <w:rPr>
                  <w:rStyle w:val="BContentControl"/>
                </w:rPr>
                <w:t>A</w:t>
              </w:r>
            </w:sdtContent>
          </w:sdt>
          <w:r w:rsidR="000D7E33" w:rsidRPr="000D7E33">
            <w:rPr>
              <w:rStyle w:val="BContentControl"/>
            </w:rPr>
            <w:t xml:space="preserve"> </w:t>
          </w:r>
          <w:sdt>
            <w:sdtPr>
              <w:rPr>
                <w:rStyle w:val="BContentControl"/>
              </w:rPr>
              <w:alias w:val="class.name*"/>
              <w:tag w:val="class.name"/>
              <w:id w:val="1779824206"/>
              <w:lock w:val="sdtLocked"/>
              <w:placeholder>
                <w:docPart w:val="860AFCEC3ACB41B7A6F48F0F65BD5152"/>
              </w:placeholder>
              <w:dataBinding w:prefixMappings="xmlns:ns0='http://www.bna.com/gateway/unit.start' " w:xpath="/ns0:document[1]/ns0:unit.start[1]/@class.name" w:storeItemID="{B04FCA99-13B0-422B-ADC9-9491644FA79D}"/>
              <w15:appearance w15:val="tags"/>
              <w:text/>
            </w:sdtPr>
            <w:sdtEndPr>
              <w:rPr>
                <w:rStyle w:val="BContentControl"/>
              </w:rPr>
            </w:sdtEndPr>
            <w:sdtContent>
              <w:r w:rsidR="000D7E33">
                <w:rPr>
                  <w:rStyle w:val="BContentControl"/>
                </w:rPr>
                <w:t>Book Body</w:t>
              </w:r>
            </w:sdtContent>
          </w:sdt>
          <w:r w:rsidR="000D7E33" w:rsidRPr="000D7E33">
            <w:rPr>
              <w:rStyle w:val="BContentControl"/>
            </w:rPr>
            <w:t xml:space="preserve"> </w:t>
          </w:r>
          <w:sdt>
            <w:sdtPr>
              <w:rPr>
                <w:rStyle w:val="BContentControl"/>
              </w:rPr>
              <w:alias w:val="copyright.owner"/>
              <w:tag w:val="copyright.owner"/>
              <w:id w:val="-1097091721"/>
              <w:lock w:val="sdtLocked"/>
              <w:placeholder>
                <w:docPart w:val="F318D13CD34F495FB0CB7E37772E99CE"/>
              </w:placeholder>
              <w:dataBinding w:prefixMappings="xmlns:ns0='http://www.bna.com/gateway/unit.start' " w:xpath="/ns0:document[1]/ns0:unit.start[1]/@copyright.owner" w:storeItemID="{B04FCA99-13B0-422B-ADC9-9491644FA79D}"/>
              <w15:appearance w15:val="tags"/>
              <w:text/>
            </w:sdtPr>
            <w:sdtEndPr>
              <w:rPr>
                <w:rStyle w:val="BContentControl"/>
              </w:rPr>
            </w:sdtEndPr>
            <w:sdtContent>
              <w:r w:rsidR="000D7E33" w:rsidRPr="000D7E33">
                <w:rPr>
                  <w:rStyle w:val="BContentControl"/>
                </w:rPr>
                <w:t>enter text</w:t>
              </w:r>
            </w:sdtContent>
          </w:sdt>
          <w:r w:rsidR="000D7E33" w:rsidRPr="000D7E33">
            <w:rPr>
              <w:rStyle w:val="BContentControl"/>
            </w:rPr>
            <w:t xml:space="preserve"> </w:t>
          </w:r>
          <w:sdt>
            <w:sdtPr>
              <w:rPr>
                <w:rStyle w:val="BContentControl"/>
              </w:rPr>
              <w:alias w:val="date"/>
              <w:tag w:val="date"/>
              <w:id w:val="1192961548"/>
              <w:lock w:val="sdtLocked"/>
              <w:placeholder>
                <w:docPart w:val="4C6AE277F40E42FE8280B039E2CD678F"/>
              </w:placeholder>
              <w:dataBinding w:prefixMappings="xmlns:ns0='http://www.bna.com/gateway/unit.start' " w:xpath="/ns0:document[1]/ns0:unit.start[1]/@date" w:storeItemID="{B04FCA99-13B0-422B-ADC9-9491644FA79D}"/>
              <w15:appearance w15:val="tags"/>
              <w:text/>
            </w:sdtPr>
            <w:sdtEndPr>
              <w:rPr>
                <w:rStyle w:val="BContentControl"/>
              </w:rPr>
            </w:sdtEndPr>
            <w:sdtContent>
              <w:r w:rsidR="000D7E33">
                <w:rPr>
                  <w:rStyle w:val="BContentControl"/>
                </w:rPr>
                <w:t>2025-09-25</w:t>
              </w:r>
            </w:sdtContent>
          </w:sdt>
          <w:r w:rsidR="000D7E33" w:rsidRPr="000D7E33">
            <w:rPr>
              <w:rStyle w:val="BContentControl"/>
            </w:rPr>
            <w:t xml:space="preserve"> </w:t>
          </w:r>
          <w:sdt>
            <w:sdtPr>
              <w:rPr>
                <w:rStyle w:val="BContentControl"/>
              </w:rPr>
              <w:alias w:val="folio"/>
              <w:tag w:val="folio"/>
              <w:id w:val="-1065253206"/>
              <w:lock w:val="sdtLocked"/>
              <w:placeholder>
                <w:docPart w:val="B1A9E04F97524DEDB8E1E03E46F82ACC"/>
              </w:placeholder>
              <w:dataBinding w:prefixMappings="xmlns:ns0='http://www.bna.com/gateway/unit.start' " w:xpath="/ns0:document[1]/ns0:unit.start[1]/@folio" w:storeItemID="{B04FCA99-13B0-422B-ADC9-9491644FA79D}"/>
              <w15:appearance w15:val="tags"/>
              <w:text/>
            </w:sdtPr>
            <w:sdtEndPr>
              <w:rPr>
                <w:rStyle w:val="BContentControl"/>
              </w:rPr>
            </w:sdtEndPr>
            <w:sdtContent>
              <w:r w:rsidR="000D7E33">
                <w:rPr>
                  <w:rStyle w:val="BContentControl"/>
                </w:rPr>
                <w:t>619</w:t>
              </w:r>
            </w:sdtContent>
          </w:sdt>
          <w:r w:rsidR="000D7E33" w:rsidRPr="000D7E33">
            <w:rPr>
              <w:rStyle w:val="BContentControl"/>
            </w:rPr>
            <w:t xml:space="preserve"> </w:t>
          </w:r>
          <w:sdt>
            <w:sdtPr>
              <w:rPr>
                <w:rStyle w:val="BContentControl"/>
              </w:rPr>
              <w:alias w:val="part.name"/>
              <w:tag w:val="part.name"/>
              <w:id w:val="-2076419985"/>
              <w:lock w:val="sdtLocked"/>
              <w:placeholder>
                <w:docPart w:val="AF56BDF49E12439786F8B0875DDADF8E"/>
              </w:placeholder>
              <w:dataBinding w:prefixMappings="xmlns:ns0='http://www.bna.com/gateway/unit.start' " w:xpath="/ns0:document[1]/ns0:unit.start[1]/@part.name" w:storeItemID="{B04FCA99-13B0-422B-ADC9-9491644FA79D}"/>
              <w15:appearance w15:val="tags"/>
              <w:text/>
            </w:sdtPr>
            <w:sdtContent>
              <w:r w:rsidR="006B1A12" w:rsidRPr="006B1A12">
                <w:rPr>
                  <w:rStyle w:val="BContentControl"/>
                </w:rPr>
                <w:t>Part II.</w:t>
              </w:r>
              <w:r w:rsidR="006B1A12" w:rsidRPr="006B1A12">
                <w:rPr>
                  <w:rStyle w:val="BContentControl"/>
                </w:rPr>
                <w:t xml:space="preserve"> </w:t>
              </w:r>
              <w:r w:rsidR="006B1A12" w:rsidRPr="006B1A12">
                <w:rPr>
                  <w:rStyle w:val="BContentControl"/>
                </w:rPr>
                <w:t>Federal Dilution Law</w:t>
              </w:r>
            </w:sdtContent>
          </w:sdt>
          <w:r w:rsidR="000D7E33" w:rsidRPr="000D7E33">
            <w:rPr>
              <w:rStyle w:val="BContentControl"/>
            </w:rPr>
            <w:t xml:space="preserve"> </w:t>
          </w:r>
          <w:sdt>
            <w:sdtPr>
              <w:rPr>
                <w:rStyle w:val="BContentControl"/>
              </w:rPr>
              <w:alias w:val="part.num"/>
              <w:tag w:val="part.num"/>
              <w:id w:val="-1301456598"/>
              <w:lock w:val="sdtLocked"/>
              <w:placeholder>
                <w:docPart w:val="E7E34EA9B9D743A8847F9F0A563725C8"/>
              </w:placeholder>
              <w:dataBinding w:prefixMappings="xmlns:ns0='http://www.bna.com/gateway/unit.start' " w:xpath="/ns0:document[1]/ns0:unit.start[1]/@part.num" w:storeItemID="{B04FCA99-13B0-422B-ADC9-9491644FA79D}"/>
              <w15:appearance w15:val="tags"/>
              <w:text/>
            </w:sdtPr>
            <w:sdtEndPr>
              <w:rPr>
                <w:rStyle w:val="BContentControl"/>
              </w:rPr>
            </w:sdtEndPr>
            <w:sdtContent>
              <w:r w:rsidR="000D7E33">
                <w:rPr>
                  <w:rStyle w:val="BContentControl"/>
                </w:rPr>
                <w:t>2</w:t>
              </w:r>
            </w:sdtContent>
          </w:sdt>
          <w:r w:rsidR="000D7E33" w:rsidRPr="000D7E33">
            <w:rPr>
              <w:rStyle w:val="BContentControl"/>
            </w:rPr>
            <w:t xml:space="preserve"> </w:t>
          </w:r>
          <w:sdt>
            <w:sdtPr>
              <w:rPr>
                <w:rStyle w:val="BContentControl"/>
              </w:rPr>
              <w:alias w:val="subpart.name"/>
              <w:tag w:val="subpart.name"/>
              <w:id w:val="1986046490"/>
              <w:lock w:val="sdtLocked"/>
              <w:placeholder>
                <w:docPart w:val="044DA76D1EE74226BC6CCCBCF00972F9"/>
              </w:placeholder>
              <w:dataBinding w:prefixMappings="xmlns:ns0='http://www.bna.com/gateway/unit.start' " w:xpath="/ns0:document[1]/ns0:unit.start[1]/@subpart.name" w:storeItemID="{B04FCA99-13B0-422B-ADC9-9491644FA79D}"/>
              <w15:appearance w15:val="tags"/>
              <w:text/>
            </w:sdtPr>
            <w:sdtEndPr>
              <w:rPr>
                <w:rStyle w:val="BContentControl"/>
              </w:rPr>
            </w:sdtEndPr>
            <w:sdtContent>
              <w:r w:rsidR="000D7E33" w:rsidRPr="000D7E33">
                <w:rPr>
                  <w:rStyle w:val="BContentControl"/>
                </w:rPr>
                <w:t>enter text</w:t>
              </w:r>
            </w:sdtContent>
          </w:sdt>
          <w:r w:rsidR="000D7E33" w:rsidRPr="000D7E33">
            <w:rPr>
              <w:rStyle w:val="BContentControl"/>
            </w:rPr>
            <w:t xml:space="preserve"> </w:t>
          </w:r>
          <w:sdt>
            <w:sdtPr>
              <w:rPr>
                <w:rStyle w:val="BContentControl"/>
              </w:rPr>
              <w:alias w:val="pdm.name"/>
              <w:tag w:val="pdm.name"/>
              <w:id w:val="-731695192"/>
              <w:lock w:val="sdtLocked"/>
              <w:placeholder>
                <w:docPart w:val="E9CAF9AAA1324F8F805A5C1129F8F2CA"/>
              </w:placeholder>
              <w:dataBinding w:prefixMappings="xmlns:ns0='http://www.bna.com/gateway/unit.start' " w:xpath="/ns0:document[1]/ns0:unit.start[1]/@pdm.name" w:storeItemID="{B04FCA99-13B0-422B-ADC9-9491644FA79D}"/>
              <w15:appearance w15:val="tags"/>
              <w:text/>
            </w:sdtPr>
            <w:sdtEndPr>
              <w:rPr>
                <w:rStyle w:val="BContentControl"/>
              </w:rPr>
            </w:sdtEndPr>
            <w:sdtContent>
              <w:r w:rsidR="000D7E33">
                <w:rPr>
                  <w:rStyle w:val="BContentControl"/>
                </w:rPr>
                <w:t>Chap14</w:t>
              </w:r>
            </w:sdtContent>
          </w:sdt>
          <w:r w:rsidR="000D7E33" w:rsidRPr="000D7E33">
            <w:rPr>
              <w:rStyle w:val="BContentControl"/>
            </w:rPr>
            <w:t xml:space="preserve"> </w:t>
          </w:r>
          <w:sdt>
            <w:sdtPr>
              <w:rPr>
                <w:rStyle w:val="BContentControl"/>
              </w:rPr>
              <w:alias w:val="publication.name"/>
              <w:tag w:val="publication.name"/>
              <w:id w:val="-273786758"/>
              <w:lock w:val="sdtLocked"/>
              <w:placeholder>
                <w:docPart w:val="F6AAE06237B04088BDD1DFC610AAA5FE"/>
              </w:placeholder>
              <w:dataBinding w:prefixMappings="xmlns:ns0='http://www.bna.com/gateway/unit.start' " w:xpath="/ns0:document[1]/ns0:unit.start[1]/@publication.name" w:storeItemID="{B04FCA99-13B0-422B-ADC9-9491644FA79D}"/>
              <w15:appearance w15:val="tags"/>
              <w:text/>
            </w:sdtPr>
            <w:sdtEndPr>
              <w:rPr>
                <w:rStyle w:val="BContentControl"/>
              </w:rPr>
            </w:sdtEndPr>
            <w:sdtContent>
              <w:r w:rsidR="000D7E33">
                <w:rPr>
                  <w:rStyle w:val="BContentControl"/>
                </w:rPr>
                <w:t>Trademark Dilution - Federal, State, and International Law, Second Edition</w:t>
              </w:r>
            </w:sdtContent>
          </w:sdt>
          <w:r w:rsidR="000D7E33" w:rsidRPr="000D7E33">
            <w:rPr>
              <w:rStyle w:val="BContentControl"/>
            </w:rPr>
            <w:t xml:space="preserve"> </w:t>
          </w:r>
          <w:sdt>
            <w:sdtPr>
              <w:rPr>
                <w:rStyle w:val="BContentControl"/>
              </w:rPr>
              <w:alias w:val="service.code*"/>
              <w:tag w:val="mUnit1"/>
              <w:id w:val="1786998470"/>
              <w:lock w:val="sdtLocked"/>
              <w:placeholder>
                <w:docPart w:val="55114A64CE694962B894430BB2020584"/>
              </w:placeholder>
              <w:dataBinding w:prefixMappings="xmlns:ns0='http://www.bna.com/gateway/unit.start' " w:xpath="/ns0:document[1]/ns0:unit.start[1]/@service.code" w:storeItemID="{B04FCA99-13B0-422B-ADC9-9491644FA79D}"/>
              <w15:appearance w15:val="tags"/>
              <w:dropDownList w:lastValue="td-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glf-book" w:value="cbglf-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lbs1500-book" w:value="hlbs1500-book"/>
                <w:listItem w:displayText="hlbs2100-book" w:value="hlbs2100-book"/>
                <w:listItem w:displayText="hlbs2300-book" w:value="hlbs2300-book"/>
                <w:listItem w:displayText="hlbs2400-book" w:value="hlbs2400-book"/>
                <w:listItem w:displayText="hlbs2600-book" w:value="hlbs2600-book"/>
                <w:listItem w:displayText="hlbs2650-book" w:value="hlbs2650-book"/>
                <w:listItem w:displayText="hlbs2800-book" w:value="hlbs2800-book"/>
                <w:listItem w:displayText="hlbs2900-book" w:value="hlbs2900-book"/>
                <w:listItem w:displayText="hlbs3300-book" w:value="hlbs3300-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vvp-book" w:value="vvp-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EndPr>
              <w:rPr>
                <w:rStyle w:val="BContentControl"/>
              </w:rPr>
            </w:sdtEndPr>
            <w:sdtContent>
              <w:r w:rsidR="000D7E33">
                <w:rPr>
                  <w:rStyle w:val="BContentControl"/>
                </w:rPr>
                <w:t>td-book</w:t>
              </w:r>
            </w:sdtContent>
          </w:sdt>
          <w:r w:rsidR="000D7E33" w:rsidRPr="000D7E33">
            <w:rPr>
              <w:rStyle w:val="BContentControl"/>
            </w:rPr>
            <w:t xml:space="preserve"> </w:t>
          </w:r>
          <w:sdt>
            <w:sdtPr>
              <w:rPr>
                <w:rStyle w:val="BContentControl"/>
              </w:rPr>
              <w:alias w:val="supplement"/>
              <w:tag w:val="supplement"/>
              <w:id w:val="-1220365692"/>
              <w:lock w:val="sdtLocked"/>
              <w:placeholder>
                <w:docPart w:val="863A0986A932493BB4AA0AD19C184179"/>
              </w:placeholder>
              <w:dataBinding w:prefixMappings="xmlns:ns0='http://www.bna.com/gateway/unit.start' " w:xpath="/ns0:document[1]/ns0:unit.start[1]/@supplement" w:storeItemID="{B04FCA99-13B0-422B-ADC9-9491644FA79D}"/>
              <w15:appearance w15:val="tags"/>
              <w:text/>
            </w:sdtPr>
            <w:sdtEndPr>
              <w:rPr>
                <w:rStyle w:val="BContentControl"/>
              </w:rPr>
            </w:sdtEndPr>
            <w:sdtContent>
              <w:r w:rsidR="000D7E33">
                <w:rPr>
                  <w:rStyle w:val="BContentControl"/>
                </w:rPr>
                <w:t>0</w:t>
              </w:r>
            </w:sdtContent>
          </w:sdt>
          <w:r w:rsidR="000D7E33" w:rsidRPr="000D7E33">
            <w:rPr>
              <w:rStyle w:val="BContentControl"/>
            </w:rPr>
            <w:t xml:space="preserve"> </w:t>
          </w:r>
          <w:sdt>
            <w:sdtPr>
              <w:rPr>
                <w:rStyle w:val="BContentControl"/>
              </w:rPr>
              <w:alias w:val="unit.code"/>
              <w:tag w:val="unit.code"/>
              <w:id w:val="2073611857"/>
              <w:lock w:val="sdtLocked"/>
              <w:placeholder>
                <w:docPart w:val="41AF6130073B4083AA84931DEBE08914"/>
              </w:placeholder>
              <w:dataBinding w:prefixMappings="xmlns:ns0='http://www.bna.com/gateway/unit.start' " w:xpath="/ns0:document[1]/ns0:unit.start[1]/@unit.code" w:storeItemID="{B04FCA99-13B0-422B-ADC9-9491644FA79D}"/>
              <w15:appearance w15:val="tags"/>
              <w:text/>
            </w:sdtPr>
            <w:sdtEndPr>
              <w:rPr>
                <w:rStyle w:val="BContentControl"/>
              </w:rPr>
            </w:sdtEndPr>
            <w:sdtContent>
              <w:r w:rsidR="000D7E33">
                <w:rPr>
                  <w:rStyle w:val="BContentControl"/>
                </w:rPr>
                <w:t>main0014</w:t>
              </w:r>
            </w:sdtContent>
          </w:sdt>
          <w:r w:rsidR="000D7E33" w:rsidRPr="000D7E33">
            <w:rPr>
              <w:rStyle w:val="BContentControl"/>
            </w:rPr>
            <w:t xml:space="preserve"> </w:t>
          </w:r>
          <w:sdt>
            <w:sdtPr>
              <w:rPr>
                <w:rStyle w:val="BContentControl"/>
              </w:rPr>
              <w:alias w:val="unit.name*"/>
              <w:tag w:val="unit.name"/>
              <w:id w:val="-1627156681"/>
              <w:lock w:val="sdtLocked"/>
              <w:placeholder>
                <w:docPart w:val="C712F6E65F0B4685840A03563D63C9AC"/>
              </w:placeholder>
              <w:dataBinding w:prefixMappings="xmlns:ns0='http://www.bna.com/gateway/unit.start' " w:xpath="/ns0:document[1]/ns0:unit.start[1]/@unit.name" w:storeItemID="{B04FCA99-13B0-422B-ADC9-9491644FA79D}"/>
              <w15:appearance w15:val="tags"/>
              <w:text/>
            </w:sdtPr>
            <w:sdtContent>
              <w:r w:rsidR="006B1A12" w:rsidRPr="006B1A12">
                <w:rPr>
                  <w:rStyle w:val="BContentControl"/>
                </w:rPr>
                <w:t>Chapter 14.</w:t>
              </w:r>
              <w:r w:rsidR="006B1A12" w:rsidRPr="006B1A12">
                <w:rPr>
                  <w:rStyle w:val="BContentControl"/>
                </w:rPr>
                <w:t xml:space="preserve"> </w:t>
              </w:r>
              <w:r w:rsidR="006B1A12" w:rsidRPr="006B1A12">
                <w:rPr>
                  <w:rStyle w:val="BContentControl"/>
                </w:rPr>
                <w:t xml:space="preserve">Dilution and the </w:t>
              </w:r>
              <w:proofErr w:type="spellStart"/>
              <w:r w:rsidR="006B1A12" w:rsidRPr="006B1A12">
                <w:rPr>
                  <w:rStyle w:val="BContentControl"/>
                </w:rPr>
                <w:t>Anticybersquatting</w:t>
              </w:r>
              <w:proofErr w:type="spellEnd"/>
              <w:r w:rsidR="006B1A12" w:rsidRPr="006B1A12">
                <w:rPr>
                  <w:rStyle w:val="BContentControl"/>
                </w:rPr>
                <w:t xml:space="preserve"> Statute</w:t>
              </w:r>
            </w:sdtContent>
          </w:sdt>
          <w:r w:rsidR="000D7E33" w:rsidRPr="000D7E33">
            <w:rPr>
              <w:rStyle w:val="BContentControl"/>
            </w:rPr>
            <w:t xml:space="preserve"> </w:t>
          </w:r>
          <w:sdt>
            <w:sdtPr>
              <w:rPr>
                <w:rStyle w:val="BContentControl"/>
              </w:rPr>
              <w:alias w:val="volume.num"/>
              <w:tag w:val="volume.num"/>
              <w:id w:val="-2146270173"/>
              <w:lock w:val="sdtLocked"/>
              <w:placeholder>
                <w:docPart w:val="A6C6D61C7C88445B8AA817B1BEF97023"/>
              </w:placeholder>
              <w:dataBinding w:prefixMappings="xmlns:ns0='http://www.bna.com/gateway/unit.start' " w:xpath="/ns0:document[1]/ns0:unit.start[1]/@volume.num" w:storeItemID="{B04FCA99-13B0-422B-ADC9-9491644FA79D}"/>
              <w15:appearance w15:val="tags"/>
              <w:text/>
            </w:sdtPr>
            <w:sdtEndPr>
              <w:rPr>
                <w:rStyle w:val="BContentControl"/>
              </w:rPr>
            </w:sdtEndPr>
            <w:sdtContent>
              <w:r w:rsidR="000D7E33">
                <w:rPr>
                  <w:rStyle w:val="BContentControl"/>
                </w:rPr>
                <w:t>1</w:t>
              </w:r>
            </w:sdtContent>
          </w:sdt>
        </w:p>
        <w:bookmarkEnd w:id="0" w:displacedByCustomXml="next"/>
      </w:sdtContent>
    </w:sdt>
    <w:p w14:paraId="386FF02F" w14:textId="77777777" w:rsidR="006B1A12" w:rsidRPr="006B1A12" w:rsidRDefault="00E319AD" w:rsidP="000D7E33">
      <w:pPr>
        <w:pStyle w:val="BDocStart"/>
      </w:pPr>
      <w:sdt>
        <w:sdtPr>
          <w:tag w:val="DocStart"/>
          <w:id w:val="1726032910"/>
          <w:lock w:val="sdtLocked"/>
          <w:placeholder>
            <w:docPart w:val="0389E6232E0C4072B7DB920D7A84AE0A"/>
          </w:placeholder>
          <w15:appearance w15:val="hidden"/>
        </w:sdtPr>
        <w:sdtEndPr/>
        <w:sdtContent>
          <w:r w:rsidR="000D7E33">
            <w:t>Document</w:t>
          </w:r>
        </w:sdtContent>
      </w:sdt>
    </w:p>
    <w:p w14:paraId="68F92AD1" w14:textId="34295D0A" w:rsidR="006B1A12" w:rsidRPr="006B1A12" w:rsidRDefault="007A2DD5" w:rsidP="006B1A12">
      <w:pPr>
        <w:pStyle w:val="BChapterName"/>
      </w:pPr>
      <w:r w:rsidRPr="006B1A12">
        <w:t>Chapter 14</w:t>
      </w:r>
      <w:r w:rsidR="006B1A12" w:rsidRPr="006B1A12">
        <w:t>.</w:t>
      </w:r>
      <w:r w:rsidR="006B1A12" w:rsidRPr="006B1A12">
        <w:t xml:space="preserve"> </w:t>
      </w:r>
      <w:r w:rsidR="006B1A12" w:rsidRPr="006B1A12">
        <w:t>D</w:t>
      </w:r>
      <w:r w:rsidRPr="006B1A12">
        <w:t xml:space="preserve">ilution and the </w:t>
      </w:r>
      <w:proofErr w:type="spellStart"/>
      <w:r w:rsidRPr="006B1A12">
        <w:t>Anticybersquatting</w:t>
      </w:r>
      <w:proofErr w:type="spellEnd"/>
      <w:r w:rsidRPr="006B1A12">
        <w:t xml:space="preserve"> Statute</w:t>
      </w:r>
    </w:p>
    <w:p w14:paraId="40AE6DAF" w14:textId="0A26B229" w:rsidR="006B1A12" w:rsidRPr="006B1A12" w:rsidRDefault="006B1A12" w:rsidP="006B1A12">
      <w:pPr>
        <w:pStyle w:val="BNormal"/>
      </w:pPr>
      <w:r w:rsidRPr="006B1A12">
        <w:rPr>
          <w:i/>
        </w:rPr>
        <w:t>This chapter is current through May 2025.</w:t>
      </w:r>
    </w:p>
    <w:p w14:paraId="242C3CCE" w14:textId="687669B1" w:rsidR="006B1A12" w:rsidRPr="006B1A12" w:rsidRDefault="007A2DD5" w:rsidP="006B1A12">
      <w:pPr>
        <w:pStyle w:val="BNormal"/>
      </w:pPr>
      <w:hyperlink r:id="rId13" w:history="1">
        <w:r w:rsidR="006B1A12" w:rsidRPr="006B1A12">
          <w:rPr>
            <w:rStyle w:val="Hyperlink"/>
          </w:rPr>
          <w:t>David Welkowitz</w:t>
        </w:r>
      </w:hyperlink>
      <w:r w:rsidR="006B1A12" w:rsidRPr="006B1A12">
        <w:rPr>
          <w:rFonts w:eastAsiaTheme="majorEastAsia"/>
          <w:vertAlign w:val="superscript"/>
        </w:rPr>
        <w:footnoteReference w:id="1"/>
      </w:r>
      <w:r w:rsidR="00E319AD">
        <w:br/>
      </w:r>
      <w:r w:rsidR="006B1A12" w:rsidRPr="006B1A12">
        <w:rPr>
          <w:i/>
        </w:rPr>
        <w:t>Whittier Law School, Costa Mesa, CA</w:t>
      </w:r>
    </w:p>
    <w:p w14:paraId="48268C20" w14:textId="5684577A" w:rsidR="006B1A12" w:rsidRPr="006B1A12" w:rsidRDefault="007A2DD5" w:rsidP="006B1A12">
      <w:pPr>
        <w:pStyle w:val="BNormal"/>
      </w:pPr>
      <w:r w:rsidRPr="006B1A12">
        <w:t>Disclaimer</w:t>
      </w:r>
      <w:r w:rsidR="006B1A12" w:rsidRPr="006B1A12">
        <w:t>:</w:t>
      </w:r>
      <w:r w:rsidR="006B1A12" w:rsidRPr="006B1A12">
        <w:t xml:space="preserve"> </w:t>
      </w:r>
      <w:r w:rsidR="006B1A12" w:rsidRPr="006B1A12">
        <w:t>T</w:t>
      </w:r>
      <w:r w:rsidRPr="006B1A12">
        <w:t>he opinions expressed here are solely those of the author and should not be construed as representing the opinions, directly or indirectly, of the U.S</w:t>
      </w:r>
      <w:r w:rsidR="006B1A12" w:rsidRPr="006B1A12">
        <w:t>.</w:t>
      </w:r>
      <w:r w:rsidR="006B1A12" w:rsidRPr="006B1A12">
        <w:t xml:space="preserve"> </w:t>
      </w:r>
      <w:r w:rsidR="006B1A12" w:rsidRPr="006B1A12">
        <w:t>C</w:t>
      </w:r>
      <w:r w:rsidRPr="006B1A12">
        <w:t>opyright Office.</w:t>
      </w:r>
    </w:p>
    <w:p w14:paraId="3F248064" w14:textId="1F5092C9" w:rsidR="006B1A12" w:rsidRPr="006B1A12" w:rsidRDefault="00E319AD" w:rsidP="006B1A12">
      <w:pPr>
        <w:pStyle w:val="BHead1"/>
      </w:pPr>
      <w:r>
        <w:t>14.</w:t>
      </w:r>
      <w:r w:rsidR="006B1A12" w:rsidRPr="00E319AD">
        <w:rPr>
          <w:rStyle w:val="BBNAidChar"/>
          <w:rFonts w:eastAsiaTheme="majorEastAsia"/>
        </w:rPr>
        <w:t>I</w:t>
      </w:r>
      <w:r w:rsidR="006B1A12" w:rsidRPr="006B1A12">
        <w:t>.</w:t>
      </w:r>
      <w:r>
        <w:t xml:space="preserve">  </w:t>
      </w:r>
      <w:r w:rsidR="006B1A12" w:rsidRPr="006B1A12">
        <w:t>Cybersquatting and the Challenge</w:t>
      </w:r>
      <w:r w:rsidR="006B1A12">
        <w:t xml:space="preserve"> </w:t>
      </w:r>
      <w:r w:rsidR="006B1A12" w:rsidRPr="006B1A12">
        <w:t>for Dilution Laws</w:t>
      </w:r>
    </w:p>
    <w:p w14:paraId="7151B607" w14:textId="27C2890C" w:rsidR="006B1A12" w:rsidRPr="006B1A12" w:rsidRDefault="007A2DD5" w:rsidP="006B1A12">
      <w:pPr>
        <w:pStyle w:val="BNormal"/>
      </w:pPr>
      <w:r w:rsidRPr="006B1A12">
        <w:t>As discussed in Chapters 3 and 9, the development of the Internet has created unique problems for trademark law</w:t>
      </w:r>
      <w:r w:rsidR="006B1A12" w:rsidRPr="006B1A12">
        <w:t>.</w:t>
      </w:r>
      <w:r w:rsidR="006B1A12" w:rsidRPr="006B1A12">
        <w:t xml:space="preserve"> </w:t>
      </w:r>
      <w:r w:rsidR="006B1A12" w:rsidRPr="006B1A12">
        <w:t>O</w:t>
      </w:r>
      <w:r w:rsidRPr="006B1A12">
        <w:t xml:space="preserve">f particular concern is a practice known as “cybersquatting.” This involves the registration of domain names of the form trademark.com by </w:t>
      </w:r>
      <w:proofErr w:type="gramStart"/>
      <w:r w:rsidRPr="006B1A12">
        <w:t>persons</w:t>
      </w:r>
      <w:proofErr w:type="gramEnd"/>
      <w:r w:rsidRPr="006B1A12">
        <w:t xml:space="preserve"> other than the trademark owner for the purpose of selling them, usually to the trademark owner, at a high price, or to create an Internet website whose success is predicated on Internet users mistakenly believing that typing trademark.com will lead them to the trademark owner’s website.</w:t>
      </w:r>
      <w:r w:rsidR="006B1A12" w:rsidRPr="006B1A12">
        <w:rPr>
          <w:vertAlign w:val="superscript"/>
        </w:rPr>
        <w:footnoteReference w:id="2"/>
      </w:r>
    </w:p>
    <w:p w14:paraId="1565AF18" w14:textId="30AAA904" w:rsidR="006B1A12" w:rsidRPr="006B1A12" w:rsidRDefault="007A2DD5" w:rsidP="006B1A12">
      <w:pPr>
        <w:pStyle w:val="BNormal"/>
      </w:pPr>
      <w:r w:rsidRPr="006B1A12">
        <w:t>When the Federal Trademark Dilution Act (FTDA) was enacted, some supporters hoped that it would help to eliminate cybersquatting.</w:t>
      </w:r>
      <w:r w:rsidR="006B1A12" w:rsidRPr="006B1A12">
        <w:rPr>
          <w:vertAlign w:val="superscript"/>
        </w:rPr>
        <w:footnoteReference w:id="3"/>
      </w:r>
      <w:r w:rsidRPr="006B1A12">
        <w:t xml:space="preserve"> And a number of courts granted relief to trademark owners under the FTDA.</w:t>
      </w:r>
      <w:r w:rsidR="006B1A12" w:rsidRPr="006B1A12">
        <w:rPr>
          <w:vertAlign w:val="superscript"/>
        </w:rPr>
        <w:footnoteReference w:id="4"/>
      </w:r>
      <w:r w:rsidRPr="006B1A12">
        <w:t xml:space="preserve"> However, the application of the FTDA, and now the Trademark Dilution Revision Act (TDRA), to allegations of cybersquatting is not straightforward.</w:t>
      </w:r>
      <w:r w:rsidR="006B1A12" w:rsidRPr="006B1A12">
        <w:rPr>
          <w:vertAlign w:val="superscript"/>
        </w:rPr>
        <w:footnoteReference w:id="5"/>
      </w:r>
      <w:r w:rsidRPr="006B1A12">
        <w:t xml:space="preserve"> There are issues regarding whether registration of a domain name constitutes a “use in commerce,” the extent to which the exclusions from liability in Section 43(c)(3) of the Lanham Act</w:t>
      </w:r>
      <w:r w:rsidR="006B1A12" w:rsidRPr="006B1A12">
        <w:rPr>
          <w:vertAlign w:val="superscript"/>
        </w:rPr>
        <w:footnoteReference w:id="6"/>
      </w:r>
      <w:r w:rsidRPr="006B1A12">
        <w:t xml:space="preserve"> apply to cybersquatting, whether the TDRA definitions of dilution are an appropriate way to view cybersquatting,</w:t>
      </w:r>
      <w:r w:rsidR="006B1A12" w:rsidRPr="006B1A12">
        <w:rPr>
          <w:vertAlign w:val="superscript"/>
        </w:rPr>
        <w:footnoteReference w:id="7"/>
      </w:r>
      <w:r w:rsidRPr="006B1A12">
        <w:t xml:space="preserve"> and what limitations on relief are provided by the dilution statute.</w:t>
      </w:r>
      <w:r w:rsidR="006B1A12" w:rsidRPr="006B1A12">
        <w:rPr>
          <w:vertAlign w:val="superscript"/>
        </w:rPr>
        <w:footnoteReference w:id="8"/>
      </w:r>
      <w:r w:rsidRPr="006B1A12">
        <w:t xml:space="preserve"> In addition, one must obtain personal jurisdiction over the registrant in order to command a ceding of the domain name under the TDRA</w:t>
      </w:r>
      <w:r w:rsidR="006B1A12" w:rsidRPr="006B1A12">
        <w:t>;</w:t>
      </w:r>
      <w:r w:rsidR="006B1A12" w:rsidRPr="006B1A12">
        <w:t xml:space="preserve"> </w:t>
      </w:r>
      <w:r w:rsidR="006B1A12" w:rsidRPr="006B1A12">
        <w:t>t</w:t>
      </w:r>
      <w:r w:rsidRPr="006B1A12">
        <w:t>his may not be easy to accomplish.</w:t>
      </w:r>
      <w:r w:rsidR="006B1A12" w:rsidRPr="006B1A12">
        <w:rPr>
          <w:vertAlign w:val="superscript"/>
        </w:rPr>
        <w:footnoteReference w:id="9"/>
      </w:r>
    </w:p>
    <w:p w14:paraId="4EA70C6D" w14:textId="4BE954CA" w:rsidR="006B1A12" w:rsidRPr="006B1A12" w:rsidRDefault="007A2DD5" w:rsidP="006B1A12">
      <w:pPr>
        <w:pStyle w:val="BNormal"/>
      </w:pPr>
      <w:r w:rsidRPr="006B1A12">
        <w:t xml:space="preserve">Recognizing these problems with the FTDA, in 1999 Congress passed the </w:t>
      </w:r>
      <w:proofErr w:type="spellStart"/>
      <w:r w:rsidRPr="006B1A12">
        <w:t>Anticybersquatting</w:t>
      </w:r>
      <w:proofErr w:type="spellEnd"/>
      <w:r w:rsidRPr="006B1A12">
        <w:t xml:space="preserve"> Consumer Protection Act (ACPA).</w:t>
      </w:r>
      <w:r w:rsidR="006B1A12" w:rsidRPr="006B1A12">
        <w:rPr>
          <w:vertAlign w:val="superscript"/>
        </w:rPr>
        <w:footnoteReference w:id="10"/>
      </w:r>
      <w:r w:rsidRPr="006B1A12">
        <w:t xml:space="preserve"> The ACPA added Section 43(d) to the Lanham Act.</w:t>
      </w:r>
      <w:r w:rsidR="006B1A12" w:rsidRPr="006B1A12">
        <w:rPr>
          <w:vertAlign w:val="superscript"/>
        </w:rPr>
        <w:footnoteReference w:id="11"/>
      </w:r>
      <w:r w:rsidRPr="006B1A12">
        <w:t xml:space="preserve"> The thrust of the ACPA was to outlaw registering or “trafficking” in domain names of the form trademark.com with a “bad faith intent to profit” from the trademark.</w:t>
      </w:r>
      <w:r w:rsidR="006B1A12" w:rsidRPr="006B1A12">
        <w:rPr>
          <w:vertAlign w:val="superscript"/>
        </w:rPr>
        <w:footnoteReference w:id="12"/>
      </w:r>
      <w:r w:rsidRPr="006B1A12">
        <w:t xml:space="preserve"> As discussed in this chapter, the ACPA has certain interactions with the FTDA and TDRA</w:t>
      </w:r>
      <w:r w:rsidR="006B1A12" w:rsidRPr="006B1A12">
        <w:t>.</w:t>
      </w:r>
      <w:r w:rsidR="006B1A12" w:rsidRPr="006B1A12">
        <w:t xml:space="preserve"> </w:t>
      </w:r>
      <w:r w:rsidR="006B1A12" w:rsidRPr="006B1A12">
        <w:t>O</w:t>
      </w:r>
      <w:r w:rsidRPr="006B1A12">
        <w:t>ur discussion will center on the implications of these interactions for dilution law</w:t>
      </w:r>
      <w:r w:rsidR="006B1A12" w:rsidRPr="006B1A12">
        <w:t>;</w:t>
      </w:r>
      <w:r w:rsidR="006B1A12" w:rsidRPr="006B1A12">
        <w:t xml:space="preserve"> </w:t>
      </w:r>
      <w:r w:rsidR="006B1A12" w:rsidRPr="006B1A12">
        <w:t>a</w:t>
      </w:r>
      <w:r w:rsidRPr="006B1A12">
        <w:t xml:space="preserve"> complete discussion of the ACPA is beyond the scope of this book.</w:t>
      </w:r>
    </w:p>
    <w:p w14:paraId="1F029A80" w14:textId="711BDD8B" w:rsidR="006B1A12" w:rsidRPr="006B1A12" w:rsidRDefault="00E319AD" w:rsidP="006B1A12">
      <w:pPr>
        <w:pStyle w:val="BHead1"/>
      </w:pPr>
      <w:r>
        <w:t>14.</w:t>
      </w:r>
      <w:r w:rsidR="006B1A12" w:rsidRPr="00E319AD">
        <w:rPr>
          <w:rStyle w:val="BBNAidChar"/>
          <w:rFonts w:eastAsiaTheme="majorEastAsia"/>
        </w:rPr>
        <w:t>II</w:t>
      </w:r>
      <w:r w:rsidR="006B1A12" w:rsidRPr="006B1A12">
        <w:t>.</w:t>
      </w:r>
      <w:r>
        <w:t xml:space="preserve">  </w:t>
      </w:r>
      <w:r w:rsidR="006B1A12" w:rsidRPr="006B1A12">
        <w:t>The Two Types of Claims Authorized by the ACPA</w:t>
      </w:r>
    </w:p>
    <w:p w14:paraId="0176FD74" w14:textId="2691DBDF" w:rsidR="006B1A12" w:rsidRPr="006B1A12" w:rsidRDefault="007A2DD5" w:rsidP="006B1A12">
      <w:pPr>
        <w:pStyle w:val="BNormal"/>
      </w:pPr>
      <w:r w:rsidRPr="006B1A12">
        <w:t>The ACPA provides two different procedural routes, each with different elements</w:t>
      </w:r>
      <w:r w:rsidR="006B1A12" w:rsidRPr="006B1A12">
        <w:t>.</w:t>
      </w:r>
      <w:r w:rsidR="006B1A12" w:rsidRPr="006B1A12">
        <w:t xml:space="preserve"> </w:t>
      </w:r>
      <w:r w:rsidR="006B1A12" w:rsidRPr="006B1A12">
        <w:t>T</w:t>
      </w:r>
      <w:r w:rsidRPr="006B1A12">
        <w:t xml:space="preserve">he conventional route is by an in </w:t>
      </w:r>
      <w:proofErr w:type="spellStart"/>
      <w:r w:rsidRPr="006B1A12">
        <w:t>personam</w:t>
      </w:r>
      <w:proofErr w:type="spellEnd"/>
      <w:r w:rsidRPr="006B1A12">
        <w:t xml:space="preserve"> action</w:t>
      </w:r>
      <w:r w:rsidR="006B1A12" w:rsidRPr="006B1A12">
        <w:t>.</w:t>
      </w:r>
      <w:r w:rsidR="006B1A12" w:rsidRPr="006B1A12">
        <w:t xml:space="preserve"> </w:t>
      </w:r>
      <w:r w:rsidR="006B1A12" w:rsidRPr="006B1A12">
        <w:t>T</w:t>
      </w:r>
      <w:r w:rsidRPr="006B1A12">
        <w:t>he ACPA also permits in rem actions, with the domain name used as the res.</w:t>
      </w:r>
      <w:r w:rsidR="006B1A12" w:rsidRPr="006B1A12">
        <w:rPr>
          <w:vertAlign w:val="superscript"/>
        </w:rPr>
        <w:footnoteReference w:id="13"/>
      </w:r>
      <w:r w:rsidRPr="006B1A12">
        <w:t xml:space="preserve"> The latter procedure allows a remedy in situations where the domain name registrant has made it difficult to determine its identity.</w:t>
      </w:r>
      <w:r w:rsidR="006B1A12" w:rsidRPr="006B1A12">
        <w:rPr>
          <w:vertAlign w:val="superscript"/>
        </w:rPr>
        <w:footnoteReference w:id="14"/>
      </w:r>
    </w:p>
    <w:p w14:paraId="3A7190DB" w14:textId="550F03FF" w:rsidR="006B1A12" w:rsidRPr="006B1A12" w:rsidRDefault="00E319AD" w:rsidP="006B1A12">
      <w:pPr>
        <w:pStyle w:val="BHead1"/>
      </w:pPr>
      <w:r>
        <w:t>14.</w:t>
      </w:r>
      <w:r w:rsidR="006B1A12" w:rsidRPr="00E319AD">
        <w:rPr>
          <w:rStyle w:val="BBNAidChar"/>
          <w:rFonts w:eastAsiaTheme="majorEastAsia"/>
        </w:rPr>
        <w:t>III</w:t>
      </w:r>
      <w:r w:rsidR="006B1A12" w:rsidRPr="006B1A12">
        <w:t>.</w:t>
      </w:r>
      <w:r>
        <w:t xml:space="preserve">  </w:t>
      </w:r>
      <w:r w:rsidR="006B1A12" w:rsidRPr="006B1A12">
        <w:t xml:space="preserve">Elements of an In </w:t>
      </w:r>
      <w:proofErr w:type="spellStart"/>
      <w:r w:rsidR="006B1A12" w:rsidRPr="006B1A12">
        <w:t>Personam</w:t>
      </w:r>
      <w:proofErr w:type="spellEnd"/>
      <w:r w:rsidR="006B1A12" w:rsidRPr="006B1A12">
        <w:t xml:space="preserve"> Claim Under the ACPA</w:t>
      </w:r>
    </w:p>
    <w:p w14:paraId="4B5D383C" w14:textId="13343AAE" w:rsidR="006B1A12" w:rsidRPr="006B1A12" w:rsidRDefault="007A2DD5" w:rsidP="006B1A12">
      <w:pPr>
        <w:pStyle w:val="BNormal"/>
      </w:pPr>
      <w:r w:rsidRPr="006B1A12">
        <w:t xml:space="preserve">To succeed on an in </w:t>
      </w:r>
      <w:proofErr w:type="spellStart"/>
      <w:r w:rsidRPr="006B1A12">
        <w:t>personam</w:t>
      </w:r>
      <w:proofErr w:type="spellEnd"/>
      <w:r w:rsidRPr="006B1A12">
        <w:t xml:space="preserve"> claim under the ACPA, a plaintiff must show that (1) it is the owner of a mark;</w:t>
      </w:r>
      <w:r w:rsidR="006B1A12" w:rsidRPr="006B1A12">
        <w:rPr>
          <w:vertAlign w:val="superscript"/>
        </w:rPr>
        <w:footnoteReference w:id="15"/>
      </w:r>
      <w:r w:rsidRPr="006B1A12">
        <w:t xml:space="preserve"> (2) the defendant is the domain name registrant or the “authorized licensee” of the registrant;</w:t>
      </w:r>
      <w:r w:rsidR="006B1A12" w:rsidRPr="006B1A12">
        <w:rPr>
          <w:vertAlign w:val="superscript"/>
        </w:rPr>
        <w:footnoteReference w:id="16"/>
      </w:r>
      <w:r w:rsidRPr="006B1A12">
        <w:t xml:space="preserve"> (3) the defendant has a “bad faith intent to profit” from the plaintiff’s mark;</w:t>
      </w:r>
      <w:r w:rsidR="006B1A12" w:rsidRPr="006B1A12">
        <w:rPr>
          <w:vertAlign w:val="superscript"/>
        </w:rPr>
        <w:footnoteReference w:id="17"/>
      </w:r>
      <w:r w:rsidRPr="006B1A12">
        <w:t xml:space="preserve"> and (4) the defendant is a person that “registers, traffics in, or uses a domain name” that is (a) distinctive when registered as a domain name and “identical or confusingly similar” to the plaintiff’s mark, </w:t>
      </w:r>
      <w:r w:rsidR="006B1A12" w:rsidRPr="006B1A12">
        <w:rPr>
          <w:i/>
        </w:rPr>
        <w:t>or</w:t>
      </w:r>
      <w:r w:rsidRPr="006B1A12">
        <w:t xml:space="preserve"> (b) “is identical or confusingly similar to or dilutive of” a mark that is famous when registered as a domain name.</w:t>
      </w:r>
      <w:r w:rsidR="006B1A12" w:rsidRPr="006B1A12">
        <w:rPr>
          <w:vertAlign w:val="superscript"/>
        </w:rPr>
        <w:footnoteReference w:id="18"/>
      </w:r>
    </w:p>
    <w:p w14:paraId="125235A8" w14:textId="3C193A0F" w:rsidR="006B1A12" w:rsidRPr="006B1A12" w:rsidRDefault="00E319AD" w:rsidP="006B1A12">
      <w:pPr>
        <w:pStyle w:val="BHead2"/>
      </w:pPr>
      <w:r>
        <w:t>14.III.</w:t>
      </w:r>
      <w:r w:rsidR="006B1A12" w:rsidRPr="00E319AD">
        <w:rPr>
          <w:rStyle w:val="BBNAidChar"/>
          <w:rFonts w:eastAsiaTheme="majorEastAsia"/>
        </w:rPr>
        <w:t>A</w:t>
      </w:r>
      <w:r w:rsidR="006B1A12" w:rsidRPr="006B1A12">
        <w:t>.</w:t>
      </w:r>
      <w:r>
        <w:t> </w:t>
      </w:r>
      <w:r w:rsidR="006B1A12" w:rsidRPr="006B1A12">
        <w:tab/>
        <w:t>Bad Faith Intent to Profit as a Key Element of a Claim</w:t>
      </w:r>
      <w:r w:rsidR="006B1A12">
        <w:t xml:space="preserve"> </w:t>
      </w:r>
      <w:r w:rsidR="006B1A12" w:rsidRPr="006B1A12">
        <w:t>Under the ACPA</w:t>
      </w:r>
    </w:p>
    <w:p w14:paraId="67D5A528" w14:textId="55BBE619" w:rsidR="006B1A12" w:rsidRPr="006B1A12" w:rsidRDefault="007A2DD5" w:rsidP="006B1A12">
      <w:pPr>
        <w:pStyle w:val="BNormal"/>
      </w:pPr>
      <w:r w:rsidRPr="006B1A12">
        <w:t xml:space="preserve">The key element in an ACPA claim is the “bad faith intent to profit.” The statute lists nine factors that the court </w:t>
      </w:r>
      <w:r w:rsidR="006B1A12" w:rsidRPr="006B1A12">
        <w:rPr>
          <w:i/>
        </w:rPr>
        <w:t>may</w:t>
      </w:r>
      <w:r w:rsidRPr="006B1A12">
        <w:t xml:space="preserve"> consider in making this determination:</w:t>
      </w:r>
      <w:r w:rsidR="006B1A12" w:rsidRPr="006B1A12">
        <w:rPr>
          <w:vertAlign w:val="superscript"/>
        </w:rPr>
        <w:footnoteReference w:id="19"/>
      </w:r>
    </w:p>
    <w:p w14:paraId="1E221EAE" w14:textId="210B163C" w:rsidR="006B1A12" w:rsidRPr="006B1A12" w:rsidRDefault="007A2DD5" w:rsidP="006B1A12">
      <w:pPr>
        <w:pStyle w:val="BListitemorig"/>
      </w:pPr>
      <w:r w:rsidRPr="006B1A12">
        <w:t xml:space="preserve">(I) the trademark or other intellectual property rights of the person [i.e., the domain name registrant], if any, in the domain </w:t>
      </w:r>
      <w:proofErr w:type="gramStart"/>
      <w:r w:rsidRPr="006B1A12">
        <w:t>name;</w:t>
      </w:r>
      <w:proofErr w:type="gramEnd"/>
    </w:p>
    <w:p w14:paraId="76B894C7" w14:textId="4160C946" w:rsidR="006B1A12" w:rsidRPr="006B1A12" w:rsidRDefault="007A2DD5" w:rsidP="006B1A12">
      <w:pPr>
        <w:pStyle w:val="BListitemorig"/>
      </w:pPr>
      <w:r w:rsidRPr="006B1A12">
        <w:t xml:space="preserve">(II) the extent to which the domain name consists of the legal name of the person or a name that is otherwise commonly used to identify that </w:t>
      </w:r>
      <w:proofErr w:type="gramStart"/>
      <w:r w:rsidRPr="006B1A12">
        <w:t>person;</w:t>
      </w:r>
      <w:proofErr w:type="gramEnd"/>
    </w:p>
    <w:p w14:paraId="3961420B" w14:textId="3916553A" w:rsidR="006B1A12" w:rsidRPr="006B1A12" w:rsidRDefault="007A2DD5" w:rsidP="006B1A12">
      <w:pPr>
        <w:pStyle w:val="BListitemorig"/>
      </w:pPr>
      <w:r w:rsidRPr="006B1A12">
        <w:t xml:space="preserve">(III) the person’s prior use, if any, of the domain name in connection with the bona fide offering of any goods or </w:t>
      </w:r>
      <w:proofErr w:type="gramStart"/>
      <w:r w:rsidRPr="006B1A12">
        <w:t>services;</w:t>
      </w:r>
      <w:proofErr w:type="gramEnd"/>
    </w:p>
    <w:p w14:paraId="3078ABDF" w14:textId="28D060E6" w:rsidR="006B1A12" w:rsidRPr="006B1A12" w:rsidRDefault="007A2DD5" w:rsidP="006B1A12">
      <w:pPr>
        <w:pStyle w:val="BListitemorig"/>
      </w:pPr>
      <w:r w:rsidRPr="006B1A12">
        <w:t xml:space="preserve">(IV) the person’s bona fide noncommercial or fair use of the mark in a site accessible under the domain </w:t>
      </w:r>
      <w:proofErr w:type="gramStart"/>
      <w:r w:rsidRPr="006B1A12">
        <w:t>name;</w:t>
      </w:r>
      <w:proofErr w:type="gramEnd"/>
    </w:p>
    <w:p w14:paraId="10963074" w14:textId="5D220E53" w:rsidR="006B1A12" w:rsidRPr="006B1A12" w:rsidRDefault="007A2DD5" w:rsidP="006B1A12">
      <w:pPr>
        <w:pStyle w:val="BListitemorig"/>
      </w:pPr>
      <w:r w:rsidRPr="006B1A12">
        <w:t xml:space="preserve">(V) the person’s intent to divert consumers from the mark owner’s online location to a site accessible under the domain name that could harm the goodwill represented by the mark, either for commercial gain or with the intent to tarnish or disparage the mark, by creating a likelihood of confusion as to the source, sponsorship, affiliation, or endorsement of the </w:t>
      </w:r>
      <w:proofErr w:type="gramStart"/>
      <w:r w:rsidRPr="006B1A12">
        <w:t>site;</w:t>
      </w:r>
      <w:proofErr w:type="gramEnd"/>
    </w:p>
    <w:p w14:paraId="21FC420C" w14:textId="7E8C7DE2" w:rsidR="006B1A12" w:rsidRPr="006B1A12" w:rsidRDefault="007A2DD5" w:rsidP="006B1A12">
      <w:pPr>
        <w:pStyle w:val="BListitemorig"/>
      </w:pPr>
      <w:r w:rsidRPr="006B1A12">
        <w:t xml:space="preserve">(VI) the person’s offer to transfer, sell, or otherwise assign the domain name to the mark owner or any third party for financial gain without having used, or having an intent to use, the domain name in the bona fide offering of any goods or services, or the person’s prior conduct indicating a pattern of such </w:t>
      </w:r>
      <w:proofErr w:type="gramStart"/>
      <w:r w:rsidRPr="006B1A12">
        <w:t>conduct;</w:t>
      </w:r>
      <w:proofErr w:type="gramEnd"/>
    </w:p>
    <w:p w14:paraId="45619B5F" w14:textId="6EC65157" w:rsidR="006B1A12" w:rsidRPr="006B1A12" w:rsidRDefault="007A2DD5" w:rsidP="006B1A12">
      <w:pPr>
        <w:pStyle w:val="BListitemorig"/>
      </w:pPr>
      <w:r w:rsidRPr="006B1A12">
        <w:t xml:space="preserve">(VII) the person’s provision of material and misleading false contact information when applying for the registration of the domain name, the person’s intentional failure to maintain accurate contact information, or the person’s prior conduct indicating a pattern of such </w:t>
      </w:r>
      <w:proofErr w:type="gramStart"/>
      <w:r w:rsidRPr="006B1A12">
        <w:t>conduct;</w:t>
      </w:r>
      <w:proofErr w:type="gramEnd"/>
    </w:p>
    <w:p w14:paraId="28EAAC7D" w14:textId="492B7BC1" w:rsidR="006B1A12" w:rsidRPr="006B1A12" w:rsidRDefault="007A2DD5" w:rsidP="006B1A12">
      <w:pPr>
        <w:pStyle w:val="BListitemorig"/>
      </w:pPr>
      <w:r w:rsidRPr="006B1A12">
        <w:t>(VIII) the person’s registration or acquisition of multiple domain names which the person knows are identical or confusingly similar to marks of others that are distinctive at the time of registration of such domain names, or dilutive of famous marks of others that are famous at the time of registration of such domain names, without regard to the goods or services of the parties</w:t>
      </w:r>
      <w:r w:rsidR="006B1A12" w:rsidRPr="006B1A12">
        <w:t>;</w:t>
      </w:r>
      <w:r w:rsidR="006B1A12" w:rsidRPr="006B1A12">
        <w:t xml:space="preserve"> </w:t>
      </w:r>
      <w:r w:rsidR="006B1A12" w:rsidRPr="006B1A12">
        <w:t>a</w:t>
      </w:r>
      <w:r w:rsidRPr="006B1A12">
        <w:t>nd</w:t>
      </w:r>
    </w:p>
    <w:p w14:paraId="56EB43F6" w14:textId="24376C6A" w:rsidR="006B1A12" w:rsidRPr="006B1A12" w:rsidRDefault="007A2DD5" w:rsidP="006B1A12">
      <w:pPr>
        <w:pStyle w:val="BListitemorig"/>
      </w:pPr>
      <w:r w:rsidRPr="006B1A12">
        <w:t>(IX) the extent to which the mark incorporated in the person’s domain name registration is or is not distinctive and famous within the meaning of subsection (c)(1) of section 43.</w:t>
      </w:r>
      <w:r w:rsidR="006B1A12" w:rsidRPr="006B1A12">
        <w:rPr>
          <w:vertAlign w:val="superscript"/>
        </w:rPr>
        <w:footnoteReference w:id="20"/>
      </w:r>
    </w:p>
    <w:p w14:paraId="4AD009AA" w14:textId="0BD7A97E" w:rsidR="006B1A12" w:rsidRPr="006B1A12" w:rsidRDefault="007A2DD5" w:rsidP="006B1A12">
      <w:pPr>
        <w:pStyle w:val="BNormal"/>
      </w:pPr>
      <w:r w:rsidRPr="006B1A12">
        <w:t>The statute also provides that bad faith intent to profit “</w:t>
      </w:r>
      <w:r w:rsidR="006B1A12" w:rsidRPr="006B1A12">
        <w:rPr>
          <w:i/>
        </w:rPr>
        <w:t>shall not be found</w:t>
      </w:r>
      <w:r w:rsidRPr="006B1A12">
        <w:t xml:space="preserve">” where the defendant actually </w:t>
      </w:r>
      <w:r w:rsidR="006B1A12" w:rsidRPr="006B1A12">
        <w:rPr>
          <w:i/>
        </w:rPr>
        <w:t>and</w:t>
      </w:r>
      <w:r w:rsidRPr="006B1A12">
        <w:t xml:space="preserve"> reasonably believed “that the use of the domain name was a fair use or otherwise lawful.”</w:t>
      </w:r>
      <w:r w:rsidR="006B1A12" w:rsidRPr="006B1A12">
        <w:rPr>
          <w:vertAlign w:val="superscript"/>
        </w:rPr>
        <w:footnoteReference w:id="21"/>
      </w:r>
    </w:p>
    <w:p w14:paraId="3529E290" w14:textId="2645773B" w:rsidR="006B1A12" w:rsidRPr="006B1A12" w:rsidRDefault="007A2DD5" w:rsidP="006B1A12">
      <w:pPr>
        <w:pStyle w:val="BNormal"/>
      </w:pPr>
      <w:r w:rsidRPr="006B1A12">
        <w:t>The legislative history shows that Congress wanted to give the courts flexibility to deal with bad-faith registrants while not overlooking free-speech issues and various good-faith reasons for engaging in what might appear on the surface to be bad-faith conduct.</w:t>
      </w:r>
      <w:r w:rsidR="006B1A12" w:rsidRPr="006B1A12">
        <w:rPr>
          <w:vertAlign w:val="superscript"/>
        </w:rPr>
        <w:footnoteReference w:id="22"/>
      </w:r>
      <w:r w:rsidRPr="006B1A12">
        <w:t xml:space="preserve"> Thus, instead of creating either express exceptions or hard-and-fast rules of inclusion, Congress set forth nonexclusive factors to be balanced on a case-by-case basis.</w:t>
      </w:r>
      <w:r w:rsidR="006B1A12" w:rsidRPr="006B1A12">
        <w:rPr>
          <w:vertAlign w:val="superscript"/>
        </w:rPr>
        <w:footnoteReference w:id="23"/>
      </w:r>
      <w:r w:rsidRPr="006B1A12">
        <w:t xml:space="preserve"> This was done to avoid either including those with reasonable explanations for their conduct or excluding those who cleverly fit their conduct into a loophole in the statute.</w:t>
      </w:r>
      <w:r w:rsidR="006B1A12" w:rsidRPr="006B1A12">
        <w:rPr>
          <w:vertAlign w:val="superscript"/>
        </w:rPr>
        <w:footnoteReference w:id="24"/>
      </w:r>
    </w:p>
    <w:p w14:paraId="597FDF08" w14:textId="095EF130" w:rsidR="006B1A12" w:rsidRPr="006B1A12" w:rsidRDefault="007A2DD5" w:rsidP="006B1A12">
      <w:pPr>
        <w:pStyle w:val="BNormal"/>
      </w:pPr>
      <w:r w:rsidRPr="006B1A12">
        <w:t>Examining the factors from the defendant’s point of view, the first four can be described as exculpatory, while the remaining five are more inculpatory</w:t>
      </w:r>
      <w:r w:rsidR="006B1A12" w:rsidRPr="006B1A12">
        <w:t>.</w:t>
      </w:r>
      <w:r w:rsidR="006B1A12" w:rsidRPr="006B1A12">
        <w:t xml:space="preserve"> </w:t>
      </w:r>
      <w:r w:rsidR="006B1A12" w:rsidRPr="006B1A12">
        <w:t>T</w:t>
      </w:r>
      <w:r w:rsidRPr="006B1A12">
        <w:t>hat is, the first four factors (existing rights of the defendant in the name, the name as the defendant’s legal name, prior commercial use by the defendant of the name, and noncommercial or fair use) tend to show a lack of bad faith, while the other five tend to show the existence of bad faith.</w:t>
      </w:r>
    </w:p>
    <w:p w14:paraId="12C467AF" w14:textId="2AE1C95D" w:rsidR="006B1A12" w:rsidRPr="006B1A12" w:rsidRDefault="007A2DD5" w:rsidP="006B1A12">
      <w:pPr>
        <w:pStyle w:val="BNormal"/>
      </w:pPr>
      <w:r w:rsidRPr="006B1A12">
        <w:t>As for the “escape clause” of a subjectively and objectively reasonable belief in the lawfulness or fair use of the domain name, it appears that a proper use of the nine factors should yield an appropriate analysis of that section as well</w:t>
      </w:r>
      <w:r w:rsidR="006B1A12" w:rsidRPr="006B1A12">
        <w:t>.</w:t>
      </w:r>
      <w:r w:rsidR="006B1A12" w:rsidRPr="006B1A12">
        <w:t xml:space="preserve"> </w:t>
      </w:r>
      <w:r w:rsidR="006B1A12" w:rsidRPr="006B1A12">
        <w:t>A</w:t>
      </w:r>
      <w:r w:rsidRPr="006B1A12">
        <w:t>lthough it is possible for someone to fail the tests of those factors and still reasonably believe in the lawfulness of their actions (as, for example, in a free-speech situation), that normally will not be the case.</w:t>
      </w:r>
      <w:r w:rsidR="006B1A12" w:rsidRPr="006B1A12">
        <w:rPr>
          <w:vertAlign w:val="superscript"/>
        </w:rPr>
        <w:footnoteReference w:id="25"/>
      </w:r>
      <w:r w:rsidRPr="006B1A12">
        <w:t xml:space="preserve"> On the other hand, the escape clause serves as a useful reminder to courts that Congress did not intend that all registrants of domain names that might be similar to or dilutive of trademarks be sanctioned.</w:t>
      </w:r>
    </w:p>
    <w:p w14:paraId="7D25CB03" w14:textId="2ED524EC" w:rsidR="006B1A12" w:rsidRPr="006B1A12" w:rsidRDefault="00E319AD" w:rsidP="006B1A12">
      <w:pPr>
        <w:pStyle w:val="BHead2"/>
      </w:pPr>
      <w:r>
        <w:t>14.III.</w:t>
      </w:r>
      <w:r w:rsidR="006B1A12" w:rsidRPr="00E319AD">
        <w:rPr>
          <w:rStyle w:val="BBNAidChar"/>
          <w:rFonts w:eastAsiaTheme="majorEastAsia"/>
        </w:rPr>
        <w:t>B</w:t>
      </w:r>
      <w:r w:rsidR="006B1A12" w:rsidRPr="006B1A12">
        <w:t>.</w:t>
      </w:r>
      <w:r>
        <w:t> </w:t>
      </w:r>
      <w:r w:rsidR="006B1A12" w:rsidRPr="006B1A12">
        <w:tab/>
        <w:t>Bad Faith Intent to Profit:</w:t>
      </w:r>
      <w:r w:rsidR="006B1A12" w:rsidRPr="006B1A12">
        <w:t xml:space="preserve"> </w:t>
      </w:r>
      <w:r w:rsidR="006B1A12" w:rsidRPr="006B1A12">
        <w:t xml:space="preserve">Intersections </w:t>
      </w:r>
      <w:proofErr w:type="gramStart"/>
      <w:r w:rsidR="006B1A12" w:rsidRPr="006B1A12">
        <w:t>With</w:t>
      </w:r>
      <w:proofErr w:type="gramEnd"/>
      <w:r w:rsidR="006B1A12" w:rsidRPr="006B1A12">
        <w:t xml:space="preserve"> Dilution</w:t>
      </w:r>
    </w:p>
    <w:p w14:paraId="76097B72" w14:textId="43559D70" w:rsidR="006B1A12" w:rsidRPr="006B1A12" w:rsidRDefault="007A2DD5" w:rsidP="006B1A12">
      <w:pPr>
        <w:pStyle w:val="BNormal"/>
      </w:pPr>
      <w:r w:rsidRPr="006B1A12">
        <w:t>The “bad faith” factors provide several intersections with dilution law.</w:t>
      </w:r>
      <w:r w:rsidR="006B1A12" w:rsidRPr="006B1A12">
        <w:rPr>
          <w:vertAlign w:val="superscript"/>
        </w:rPr>
        <w:footnoteReference w:id="26"/>
      </w:r>
      <w:r w:rsidRPr="006B1A12">
        <w:t xml:space="preserve"> First, in a deviation from the FTDA and TDRA, the ACPA makes noncommercial and fair uses mitigating factors but not defenses.</w:t>
      </w:r>
      <w:r w:rsidR="006B1A12" w:rsidRPr="006B1A12">
        <w:rPr>
          <w:vertAlign w:val="superscript"/>
        </w:rPr>
        <w:footnoteReference w:id="27"/>
      </w:r>
      <w:r w:rsidRPr="006B1A12">
        <w:t xml:space="preserve"> Instead, the ACPA contains an “escape clause” that relies on the existence of a reasonable belief that the use is lawful</w:t>
      </w:r>
      <w:r w:rsidR="006B1A12" w:rsidRPr="006B1A12">
        <w:t>.</w:t>
      </w:r>
      <w:r w:rsidR="006B1A12" w:rsidRPr="006B1A12">
        <w:t xml:space="preserve"> </w:t>
      </w:r>
      <w:r w:rsidR="006B1A12" w:rsidRPr="006B1A12">
        <w:t>O</w:t>
      </w:r>
      <w:r w:rsidRPr="006B1A12">
        <w:t>ne question raised by the escape clause (also called a “safe harbor” clause</w:t>
      </w:r>
      <w:r w:rsidR="006B1A12" w:rsidRPr="006B1A12">
        <w:rPr>
          <w:vertAlign w:val="superscript"/>
        </w:rPr>
        <w:footnoteReference w:id="28"/>
      </w:r>
      <w:r w:rsidRPr="006B1A12">
        <w:t>) is the extent to which a reasonable belief that one’s actions would fall within the dilution exclusions satisfies the provisions of the clause</w:t>
      </w:r>
      <w:r w:rsidR="006B1A12" w:rsidRPr="006B1A12">
        <w:t>.</w:t>
      </w:r>
      <w:r w:rsidR="006B1A12" w:rsidRPr="006B1A12">
        <w:t xml:space="preserve"> </w:t>
      </w:r>
      <w:r w:rsidR="006B1A12" w:rsidRPr="006B1A12">
        <w:t>I</w:t>
      </w:r>
      <w:r w:rsidRPr="006B1A12">
        <w:t>f it does, then the multifactor balancing test of the ACPA would effectively have an absolute avoidance mechanism, rather than a flexible scheme for determining bad faith.</w:t>
      </w:r>
      <w:r w:rsidR="006B1A12" w:rsidRPr="006B1A12">
        <w:rPr>
          <w:vertAlign w:val="superscript"/>
        </w:rPr>
        <w:footnoteReference w:id="29"/>
      </w:r>
      <w:r w:rsidRPr="006B1A12">
        <w:t xml:space="preserve"> The ACPA is a more focused statute than the TDRA, dealing only with domain names, thus reducing the problem of over-deterring legitimate conduct</w:t>
      </w:r>
      <w:r w:rsidR="006B1A12" w:rsidRPr="006B1A12">
        <w:t>.</w:t>
      </w:r>
      <w:r w:rsidR="006B1A12" w:rsidRPr="006B1A12">
        <w:t xml:space="preserve"> </w:t>
      </w:r>
      <w:r w:rsidR="006B1A12" w:rsidRPr="006B1A12">
        <w:t>C</w:t>
      </w:r>
      <w:r w:rsidRPr="006B1A12">
        <w:t xml:space="preserve">ongress also feared that permitting noncommercial and fair uses as defenses, rather than as mitigating factors, would allow </w:t>
      </w:r>
      <w:proofErr w:type="spellStart"/>
      <w:r w:rsidRPr="006B1A12">
        <w:t>cybersquatters</w:t>
      </w:r>
      <w:proofErr w:type="spellEnd"/>
      <w:r w:rsidRPr="006B1A12">
        <w:t xml:space="preserve"> a simple means of avoiding the statute.</w:t>
      </w:r>
      <w:r w:rsidR="006B1A12" w:rsidRPr="006B1A12">
        <w:rPr>
          <w:vertAlign w:val="superscript"/>
        </w:rPr>
        <w:footnoteReference w:id="30"/>
      </w:r>
      <w:r w:rsidRPr="006B1A12">
        <w:t xml:space="preserve"> This was the issue in </w:t>
      </w:r>
      <w:r w:rsidR="006B1A12" w:rsidRPr="006B1A12">
        <w:rPr>
          <w:i/>
        </w:rPr>
        <w:t>Shields v</w:t>
      </w:r>
      <w:r w:rsidR="006B1A12" w:rsidRPr="006B1A12">
        <w:t>.</w:t>
      </w:r>
      <w:r w:rsidR="006B1A12" w:rsidRPr="006B1A12">
        <w:t xml:space="preserve"> </w:t>
      </w:r>
      <w:r w:rsidR="006B1A12" w:rsidRPr="006B1A12">
        <w:rPr>
          <w:i/>
        </w:rPr>
        <w:t>Zuccarini</w:t>
      </w:r>
      <w:r w:rsidRPr="006B1A12">
        <w:t>,</w:t>
      </w:r>
      <w:r w:rsidR="006B1A12" w:rsidRPr="006B1A12">
        <w:rPr>
          <w:vertAlign w:val="superscript"/>
        </w:rPr>
        <w:footnoteReference w:id="31"/>
      </w:r>
      <w:r w:rsidRPr="006B1A12">
        <w:t xml:space="preserve"> where the defendant originally intended to make commercial use of the offending domains but posted a “political” protest after the suit was filed</w:t>
      </w:r>
      <w:r w:rsidR="006B1A12" w:rsidRPr="006B1A12">
        <w:t>.</w:t>
      </w:r>
      <w:r w:rsidR="006B1A12" w:rsidRPr="006B1A12">
        <w:t xml:space="preserve"> </w:t>
      </w:r>
      <w:r w:rsidR="006B1A12" w:rsidRPr="006B1A12">
        <w:t>T</w:t>
      </w:r>
      <w:r w:rsidRPr="006B1A12">
        <w:t>he court found this to be evidence of bad faith.</w:t>
      </w:r>
      <w:r w:rsidR="006B1A12" w:rsidRPr="006B1A12">
        <w:rPr>
          <w:vertAlign w:val="superscript"/>
        </w:rPr>
        <w:footnoteReference w:id="32"/>
      </w:r>
    </w:p>
    <w:p w14:paraId="5D627F4D" w14:textId="5AA6C95D" w:rsidR="006B1A12" w:rsidRPr="006B1A12" w:rsidRDefault="007A2DD5" w:rsidP="006B1A12">
      <w:pPr>
        <w:pStyle w:val="BNormal"/>
      </w:pPr>
      <w:r w:rsidRPr="006B1A12">
        <w:t xml:space="preserve">Factor five expressly incorporates the idea of </w:t>
      </w:r>
      <w:proofErr w:type="spellStart"/>
      <w:r w:rsidRPr="006B1A12">
        <w:t>tarnishment</w:t>
      </w:r>
      <w:proofErr w:type="spellEnd"/>
      <w:r w:rsidRPr="006B1A12">
        <w:t xml:space="preserve"> of a mark as evidence of bad faith.</w:t>
      </w:r>
      <w:r w:rsidR="006B1A12" w:rsidRPr="006B1A12">
        <w:rPr>
          <w:vertAlign w:val="superscript"/>
        </w:rPr>
        <w:footnoteReference w:id="33"/>
      </w:r>
      <w:r w:rsidRPr="006B1A12">
        <w:t xml:space="preserve"> Factor eight considers whether the defendant has obtained multiple registrations that, inter alia, dilute famous marks.</w:t>
      </w:r>
      <w:r w:rsidR="006B1A12" w:rsidRPr="006B1A12">
        <w:rPr>
          <w:vertAlign w:val="superscript"/>
        </w:rPr>
        <w:footnoteReference w:id="34"/>
      </w:r>
      <w:r w:rsidRPr="006B1A12">
        <w:t xml:space="preserve"> Factor nine considers whether the domain name incorporates a “distinctive and famous [trademark] within the meaning of [Section 43(c)].”</w:t>
      </w:r>
      <w:r w:rsidR="006B1A12" w:rsidRPr="006B1A12">
        <w:rPr>
          <w:vertAlign w:val="superscript"/>
        </w:rPr>
        <w:footnoteReference w:id="35"/>
      </w:r>
    </w:p>
    <w:p w14:paraId="6E1D8FC7" w14:textId="41F6328C" w:rsidR="006B1A12" w:rsidRPr="006B1A12" w:rsidRDefault="00E319AD" w:rsidP="006B1A12">
      <w:pPr>
        <w:pStyle w:val="BHead2"/>
      </w:pPr>
      <w:r>
        <w:t>14.III.</w:t>
      </w:r>
      <w:r w:rsidR="006B1A12" w:rsidRPr="00E319AD">
        <w:rPr>
          <w:rStyle w:val="BBNAidChar"/>
          <w:rFonts w:eastAsiaTheme="majorEastAsia"/>
        </w:rPr>
        <w:t>C</w:t>
      </w:r>
      <w:r w:rsidR="006B1A12" w:rsidRPr="006B1A12">
        <w:t>.</w:t>
      </w:r>
      <w:r>
        <w:t> </w:t>
      </w:r>
      <w:r w:rsidR="006B1A12" w:rsidRPr="006B1A12">
        <w:tab/>
        <w:t>The Requirement of Registration, Trafficking, or Use</w:t>
      </w:r>
    </w:p>
    <w:p w14:paraId="175BC38F" w14:textId="0CBFD955" w:rsidR="006B1A12" w:rsidRPr="006B1A12" w:rsidRDefault="007A2DD5" w:rsidP="006B1A12">
      <w:pPr>
        <w:pStyle w:val="BNormal"/>
      </w:pPr>
      <w:r w:rsidRPr="006B1A12">
        <w:t>Another element of the ACPA claim is the registration, trafficking, or use requirement</w:t>
      </w:r>
      <w:r w:rsidR="006B1A12" w:rsidRPr="006B1A12">
        <w:t>.</w:t>
      </w:r>
      <w:r w:rsidR="006B1A12" w:rsidRPr="006B1A12">
        <w:t xml:space="preserve"> </w:t>
      </w:r>
      <w:r w:rsidR="006B1A12" w:rsidRPr="006B1A12">
        <w:t>I</w:t>
      </w:r>
      <w:r w:rsidRPr="006B1A12">
        <w:t>n most cases, this will not be a big issue because the typical defendant will be the person who registers the domain name or participates directly in a transfer for money</w:t>
      </w:r>
      <w:r w:rsidR="006B1A12" w:rsidRPr="006B1A12">
        <w:t>.</w:t>
      </w:r>
      <w:r w:rsidR="006B1A12" w:rsidRPr="006B1A12">
        <w:t xml:space="preserve"> </w:t>
      </w:r>
      <w:r w:rsidR="006B1A12" w:rsidRPr="006B1A12">
        <w:t>H</w:t>
      </w:r>
      <w:r w:rsidRPr="006B1A12">
        <w:t xml:space="preserve">owever, </w:t>
      </w:r>
      <w:r w:rsidR="006B1A12" w:rsidRPr="006B1A12">
        <w:rPr>
          <w:i/>
        </w:rPr>
        <w:t>Ford Motor Co</w:t>
      </w:r>
      <w:r w:rsidR="006B1A12" w:rsidRPr="006B1A12">
        <w:t>.</w:t>
      </w:r>
      <w:r w:rsidR="006B1A12" w:rsidRPr="006B1A12">
        <w:t xml:space="preserve"> </w:t>
      </w:r>
      <w:r w:rsidR="006B1A12" w:rsidRPr="006B1A12">
        <w:rPr>
          <w:i/>
        </w:rPr>
        <w:t>v</w:t>
      </w:r>
      <w:r w:rsidR="006B1A12" w:rsidRPr="006B1A12">
        <w:t>.</w:t>
      </w:r>
      <w:r w:rsidR="006B1A12" w:rsidRPr="006B1A12">
        <w:t xml:space="preserve"> </w:t>
      </w:r>
      <w:r w:rsidR="006B1A12" w:rsidRPr="006B1A12">
        <w:rPr>
          <w:i/>
        </w:rPr>
        <w:t>GreatDomains</w:t>
      </w:r>
      <w:r w:rsidRPr="006B1A12">
        <w:t>.</w:t>
      </w:r>
      <w:r w:rsidR="006B1A12" w:rsidRPr="006B1A12">
        <w:rPr>
          <w:i/>
        </w:rPr>
        <w:t>com, Inc</w:t>
      </w:r>
      <w:r w:rsidRPr="006B1A12">
        <w:t>.</w:t>
      </w:r>
      <w:r w:rsidR="006B1A12" w:rsidRPr="006B1A12">
        <w:rPr>
          <w:vertAlign w:val="superscript"/>
        </w:rPr>
        <w:footnoteReference w:id="36"/>
      </w:r>
      <w:r w:rsidRPr="006B1A12">
        <w:t xml:space="preserve"> demonstrates that the requirement is not superfluous</w:t>
      </w:r>
      <w:r w:rsidR="006B1A12" w:rsidRPr="006B1A12">
        <w:t>.</w:t>
      </w:r>
      <w:r w:rsidR="006B1A12" w:rsidRPr="006B1A12">
        <w:t xml:space="preserve"> </w:t>
      </w:r>
      <w:r w:rsidR="006B1A12" w:rsidRPr="006B1A12">
        <w:t>O</w:t>
      </w:r>
      <w:r w:rsidRPr="006B1A12">
        <w:t>ne defendant (Great Domains) provided a site at which domain names could be auctioned</w:t>
      </w:r>
      <w:r w:rsidR="006B1A12" w:rsidRPr="006B1A12">
        <w:t>.</w:t>
      </w:r>
      <w:r w:rsidR="006B1A12" w:rsidRPr="006B1A12">
        <w:t xml:space="preserve"> </w:t>
      </w:r>
      <w:r w:rsidR="006B1A12" w:rsidRPr="006B1A12">
        <w:t>H</w:t>
      </w:r>
      <w:r w:rsidRPr="006B1A12">
        <w:t>owever, because Great Domains did not participate directly in the transfer of the domain names, the court held that it had not trafficked in the domain names.</w:t>
      </w:r>
      <w:r w:rsidR="006B1A12" w:rsidRPr="006B1A12">
        <w:rPr>
          <w:vertAlign w:val="superscript"/>
        </w:rPr>
        <w:footnoteReference w:id="37"/>
      </w:r>
    </w:p>
    <w:p w14:paraId="632551BF" w14:textId="4791FCF0" w:rsidR="006B1A12" w:rsidRPr="006B1A12" w:rsidRDefault="007A2DD5" w:rsidP="006B1A12">
      <w:pPr>
        <w:pStyle w:val="BNormal"/>
      </w:pPr>
      <w:r w:rsidRPr="006B1A12">
        <w:t xml:space="preserve">On the other hand, in </w:t>
      </w:r>
      <w:r w:rsidR="006B1A12" w:rsidRPr="006B1A12">
        <w:rPr>
          <w:i/>
        </w:rPr>
        <w:t>Vulcan Golf, LLC v</w:t>
      </w:r>
      <w:r w:rsidR="006B1A12" w:rsidRPr="006B1A12">
        <w:t>.</w:t>
      </w:r>
      <w:r w:rsidR="006B1A12" w:rsidRPr="006B1A12">
        <w:t xml:space="preserve"> </w:t>
      </w:r>
      <w:r w:rsidR="006B1A12" w:rsidRPr="006B1A12">
        <w:rPr>
          <w:i/>
        </w:rPr>
        <w:t>Google, Inc</w:t>
      </w:r>
      <w:r w:rsidRPr="006B1A12">
        <w:t>.,</w:t>
      </w:r>
      <w:r w:rsidR="006B1A12" w:rsidRPr="006B1A12">
        <w:rPr>
          <w:vertAlign w:val="superscript"/>
        </w:rPr>
        <w:footnoteReference w:id="38"/>
      </w:r>
      <w:r w:rsidRPr="006B1A12">
        <w:t xml:space="preserve"> the court held that by entering into license agreements, Google could be held liable for both “using” and “trafficking” in domain names.</w:t>
      </w:r>
      <w:r w:rsidR="006B1A12" w:rsidRPr="006B1A12">
        <w:rPr>
          <w:vertAlign w:val="superscript"/>
        </w:rPr>
        <w:footnoteReference w:id="39"/>
      </w:r>
    </w:p>
    <w:p w14:paraId="1BFBCD4C" w14:textId="5A81E417" w:rsidR="006B1A12" w:rsidRPr="006B1A12" w:rsidRDefault="007A2DD5" w:rsidP="006B1A12">
      <w:pPr>
        <w:pStyle w:val="BNormal"/>
      </w:pPr>
      <w:r w:rsidRPr="006B1A12">
        <w:t>The registration, trafficking, or use element also includes an interaction with dilution</w:t>
      </w:r>
      <w:r w:rsidR="006B1A12" w:rsidRPr="006B1A12">
        <w:t>.</w:t>
      </w:r>
      <w:r w:rsidR="006B1A12" w:rsidRPr="006B1A12">
        <w:t xml:space="preserve"> </w:t>
      </w:r>
      <w:r w:rsidR="006B1A12" w:rsidRPr="006B1A12">
        <w:t>T</w:t>
      </w:r>
      <w:r w:rsidRPr="006B1A12">
        <w:t>he object of the phrase “registers, traffics in, or uses” is a domain name with a concomitant trademark violation, either by confusion or dilution.</w:t>
      </w:r>
      <w:r w:rsidR="006B1A12" w:rsidRPr="006B1A12">
        <w:rPr>
          <w:vertAlign w:val="superscript"/>
        </w:rPr>
        <w:footnoteReference w:id="40"/>
      </w:r>
      <w:r w:rsidRPr="006B1A12">
        <w:t xml:space="preserve"> If the defendant has registered, trafficked in, or used a domain name that is “dilutive” of a mark that was famous when the domain name was registered, then this aspect is satisfied.</w:t>
      </w:r>
    </w:p>
    <w:p w14:paraId="3ECE155F" w14:textId="63DC26F4" w:rsidR="006B1A12" w:rsidRPr="006B1A12" w:rsidRDefault="007A2DD5" w:rsidP="006B1A12">
      <w:pPr>
        <w:pStyle w:val="BNormal"/>
      </w:pPr>
      <w:r w:rsidRPr="006B1A12">
        <w:t>This raises the question of what was meant by “dilutive” in the ACPA</w:t>
      </w:r>
      <w:r w:rsidR="006B1A12" w:rsidRPr="006B1A12">
        <w:t>.</w:t>
      </w:r>
      <w:r w:rsidR="006B1A12" w:rsidRPr="006B1A12">
        <w:t xml:space="preserve"> </w:t>
      </w:r>
      <w:r w:rsidR="006B1A12" w:rsidRPr="006B1A12">
        <w:t>T</w:t>
      </w:r>
      <w:r w:rsidRPr="006B1A12">
        <w:t>he legislative history is not illuminating on this point</w:t>
      </w:r>
      <w:r w:rsidR="006B1A12" w:rsidRPr="006B1A12">
        <w:t>.</w:t>
      </w:r>
      <w:r w:rsidR="006B1A12" w:rsidRPr="006B1A12">
        <w:t xml:space="preserve"> </w:t>
      </w:r>
      <w:r w:rsidR="006B1A12" w:rsidRPr="006B1A12">
        <w:t>A</w:t>
      </w:r>
      <w:r w:rsidRPr="006B1A12">
        <w:t>s discussed elsewhere in this text,</w:t>
      </w:r>
      <w:r w:rsidR="006B1A12" w:rsidRPr="006B1A12">
        <w:rPr>
          <w:vertAlign w:val="superscript"/>
        </w:rPr>
        <w:footnoteReference w:id="41"/>
      </w:r>
      <w:r w:rsidRPr="006B1A12">
        <w:t xml:space="preserve"> courts applying the FTDA and the TDRA to Internet situations have had difficulties deciding what constitutes dilution</w:t>
      </w:r>
      <w:r w:rsidR="006B1A12" w:rsidRPr="006B1A12">
        <w:t>.</w:t>
      </w:r>
      <w:r w:rsidR="006B1A12" w:rsidRPr="006B1A12">
        <w:t xml:space="preserve"> </w:t>
      </w:r>
      <w:r w:rsidR="006B1A12" w:rsidRPr="006B1A12">
        <w:t>P</w:t>
      </w:r>
      <w:r w:rsidRPr="006B1A12">
        <w:t>rior to the TDRA, some courts used a virtual per se rule that imposed liability if a defendant registered a domain name identical to a famous trademark.</w:t>
      </w:r>
      <w:r w:rsidR="006B1A12" w:rsidRPr="006B1A12">
        <w:rPr>
          <w:vertAlign w:val="superscript"/>
        </w:rPr>
        <w:footnoteReference w:id="42"/>
      </w:r>
      <w:r w:rsidRPr="006B1A12">
        <w:t xml:space="preserve"> Other courts took a different view.</w:t>
      </w:r>
      <w:r w:rsidR="006B1A12" w:rsidRPr="006B1A12">
        <w:rPr>
          <w:vertAlign w:val="superscript"/>
        </w:rPr>
        <w:footnoteReference w:id="43"/>
      </w:r>
      <w:r w:rsidRPr="006B1A12">
        <w:t xml:space="preserve"> The TDRA now contains a definition and six-factor test for blurring and a specific definition of </w:t>
      </w:r>
      <w:proofErr w:type="spellStart"/>
      <w:r w:rsidRPr="006B1A12">
        <w:t>tarnishment</w:t>
      </w:r>
      <w:proofErr w:type="spellEnd"/>
      <w:r w:rsidRPr="006B1A12">
        <w:t>, indicating that a per se rule would not be appropriate.</w:t>
      </w:r>
      <w:r w:rsidR="006B1A12" w:rsidRPr="006B1A12">
        <w:rPr>
          <w:vertAlign w:val="superscript"/>
        </w:rPr>
        <w:footnoteReference w:id="44"/>
      </w:r>
    </w:p>
    <w:p w14:paraId="26B3580F" w14:textId="1CFE0346" w:rsidR="006B1A12" w:rsidRPr="006B1A12" w:rsidRDefault="00E319AD" w:rsidP="006B1A12">
      <w:pPr>
        <w:pStyle w:val="BHead2"/>
      </w:pPr>
      <w:r>
        <w:t>14.III.</w:t>
      </w:r>
      <w:r w:rsidR="006B1A12" w:rsidRPr="00E319AD">
        <w:rPr>
          <w:rStyle w:val="BBNAidChar"/>
          <w:rFonts w:eastAsiaTheme="majorEastAsia"/>
        </w:rPr>
        <w:t>D</w:t>
      </w:r>
      <w:r w:rsidR="006B1A12" w:rsidRPr="006B1A12">
        <w:t>.</w:t>
      </w:r>
      <w:r>
        <w:t> </w:t>
      </w:r>
      <w:r w:rsidR="006B1A12" w:rsidRPr="006B1A12">
        <w:tab/>
        <w:t>Judicial Interpretations of the ACPA’s Requirement of Bad Faith Intent to Profit</w:t>
      </w:r>
    </w:p>
    <w:p w14:paraId="57EEFDCB" w14:textId="369CB462" w:rsidR="006B1A12" w:rsidRPr="006B1A12" w:rsidRDefault="007A2DD5" w:rsidP="006B1A12">
      <w:pPr>
        <w:pStyle w:val="BNormal"/>
      </w:pPr>
      <w:r w:rsidRPr="006B1A12">
        <w:t xml:space="preserve">A detailed discussion of </w:t>
      </w:r>
      <w:proofErr w:type="gramStart"/>
      <w:r w:rsidRPr="006B1A12">
        <w:t>the ACPA’s</w:t>
      </w:r>
      <w:proofErr w:type="gramEnd"/>
      <w:r w:rsidRPr="006B1A12">
        <w:t xml:space="preserve"> requirement of bad faith intent to profit is beyond the scope of this book</w:t>
      </w:r>
      <w:r w:rsidR="006B1A12" w:rsidRPr="006B1A12">
        <w:t>.</w:t>
      </w:r>
      <w:r w:rsidR="006B1A12" w:rsidRPr="006B1A12">
        <w:t xml:space="preserve"> </w:t>
      </w:r>
      <w:r w:rsidR="006B1A12" w:rsidRPr="006B1A12">
        <w:t>T</w:t>
      </w:r>
      <w:r w:rsidRPr="006B1A12">
        <w:t>he purpose of this section is to highlight a few important guideposts for interpreting the ACPA, in anticipation of the discussion in Section IV, below, of the crossovers between the ACPA and the TDRA.</w:t>
      </w:r>
    </w:p>
    <w:p w14:paraId="25C333F1" w14:textId="721BE1A4" w:rsidR="006B1A12" w:rsidRPr="006B1A12" w:rsidRDefault="007A2DD5" w:rsidP="006B1A12">
      <w:pPr>
        <w:pStyle w:val="BNormal"/>
      </w:pPr>
      <w:r w:rsidRPr="006B1A12">
        <w:t xml:space="preserve">A leading case involving the ACPA is </w:t>
      </w:r>
      <w:proofErr w:type="spellStart"/>
      <w:r w:rsidR="006B1A12" w:rsidRPr="006B1A12">
        <w:rPr>
          <w:i/>
        </w:rPr>
        <w:t>Sporty’s</w:t>
      </w:r>
      <w:proofErr w:type="spellEnd"/>
      <w:r w:rsidR="006B1A12" w:rsidRPr="006B1A12">
        <w:rPr>
          <w:i/>
        </w:rPr>
        <w:t xml:space="preserve"> Farm L</w:t>
      </w:r>
      <w:r w:rsidRPr="006B1A12">
        <w:t>.</w:t>
      </w:r>
      <w:r w:rsidR="006B1A12" w:rsidRPr="006B1A12">
        <w:rPr>
          <w:i/>
        </w:rPr>
        <w:t>L</w:t>
      </w:r>
      <w:r w:rsidRPr="006B1A12">
        <w:t>.</w:t>
      </w:r>
      <w:r w:rsidR="006B1A12" w:rsidRPr="006B1A12">
        <w:rPr>
          <w:i/>
        </w:rPr>
        <w:t>C</w:t>
      </w:r>
      <w:r w:rsidR="006B1A12" w:rsidRPr="006B1A12">
        <w:t>.</w:t>
      </w:r>
      <w:r w:rsidR="006B1A12" w:rsidRPr="006B1A12">
        <w:t xml:space="preserve"> </w:t>
      </w:r>
      <w:r w:rsidR="006B1A12" w:rsidRPr="006B1A12">
        <w:rPr>
          <w:i/>
        </w:rPr>
        <w:t>v</w:t>
      </w:r>
      <w:r w:rsidR="006B1A12" w:rsidRPr="006B1A12">
        <w:t>.</w:t>
      </w:r>
      <w:r w:rsidR="006B1A12" w:rsidRPr="006B1A12">
        <w:t xml:space="preserve"> </w:t>
      </w:r>
      <w:r w:rsidR="006B1A12" w:rsidRPr="006B1A12">
        <w:rPr>
          <w:i/>
        </w:rPr>
        <w:t>Sportsman’s Market, Inc</w:t>
      </w:r>
      <w:r w:rsidRPr="006B1A12">
        <w:t>.</w:t>
      </w:r>
      <w:r w:rsidR="006B1A12" w:rsidRPr="006B1A12">
        <w:rPr>
          <w:vertAlign w:val="superscript"/>
        </w:rPr>
        <w:footnoteReference w:id="45"/>
      </w:r>
      <w:r w:rsidRPr="006B1A12">
        <w:t xml:space="preserve"> As the U.S</w:t>
      </w:r>
      <w:r w:rsidR="006B1A12" w:rsidRPr="006B1A12">
        <w:t>.</w:t>
      </w:r>
      <w:r w:rsidR="006B1A12" w:rsidRPr="006B1A12">
        <w:t xml:space="preserve"> </w:t>
      </w:r>
      <w:r w:rsidR="006B1A12" w:rsidRPr="006B1A12">
        <w:t>C</w:t>
      </w:r>
      <w:r w:rsidRPr="006B1A12">
        <w:t>ourt of Appeals for the Second Circuit noted, the statute does not require a famous mark</w:t>
      </w:r>
      <w:r w:rsidR="006B1A12" w:rsidRPr="006B1A12">
        <w:t>;</w:t>
      </w:r>
      <w:r w:rsidR="006B1A12" w:rsidRPr="006B1A12">
        <w:t xml:space="preserve"> </w:t>
      </w:r>
      <w:r w:rsidR="006B1A12" w:rsidRPr="006B1A12">
        <w:t>a</w:t>
      </w:r>
      <w:r w:rsidRPr="006B1A12">
        <w:t xml:space="preserve"> mark can be either famous </w:t>
      </w:r>
      <w:r w:rsidR="006B1A12" w:rsidRPr="006B1A12">
        <w:rPr>
          <w:i/>
        </w:rPr>
        <w:t>or</w:t>
      </w:r>
      <w:r w:rsidRPr="006B1A12">
        <w:t xml:space="preserve"> distinctive when the domain name is registered.</w:t>
      </w:r>
      <w:r w:rsidR="006B1A12" w:rsidRPr="006B1A12">
        <w:rPr>
          <w:vertAlign w:val="superscript"/>
        </w:rPr>
        <w:footnoteReference w:id="46"/>
      </w:r>
      <w:r w:rsidRPr="006B1A12">
        <w:t xml:space="preserve"> In this case, the court found the mark distinctive and the defendant’s domain name to be “confusingly similar” to the mark.</w:t>
      </w:r>
      <w:r w:rsidR="006B1A12" w:rsidRPr="006B1A12">
        <w:rPr>
          <w:vertAlign w:val="superscript"/>
        </w:rPr>
        <w:footnoteReference w:id="47"/>
      </w:r>
      <w:r w:rsidRPr="006B1A12">
        <w:t xml:space="preserve"> The court’s discussion of “confusingly similar” raises an issue tangentially related to dilution</w:t>
      </w:r>
      <w:r w:rsidR="006B1A12" w:rsidRPr="006B1A12">
        <w:t>.</w:t>
      </w:r>
      <w:r w:rsidR="006B1A12" w:rsidRPr="006B1A12">
        <w:t xml:space="preserve"> </w:t>
      </w:r>
      <w:r w:rsidR="006B1A12" w:rsidRPr="006B1A12">
        <w:t>T</w:t>
      </w:r>
      <w:r w:rsidRPr="006B1A12">
        <w:t>he court noted that “confusingly similar” does not mean the same thing as likelihood of confusion.</w:t>
      </w:r>
      <w:r w:rsidR="006B1A12" w:rsidRPr="006B1A12">
        <w:rPr>
          <w:vertAlign w:val="superscript"/>
        </w:rPr>
        <w:footnoteReference w:id="48"/>
      </w:r>
      <w:r w:rsidRPr="006B1A12">
        <w:t xml:space="preserve"> In a previous opinion, the court had indicated that when determining whether marks are confusingly similar, the trial court should not consider all of the factors it would use to measure likelihood of confusion</w:t>
      </w:r>
      <w:r w:rsidR="006B1A12" w:rsidRPr="006B1A12">
        <w:t>;</w:t>
      </w:r>
      <w:r w:rsidR="006B1A12" w:rsidRPr="006B1A12">
        <w:t xml:space="preserve"> </w:t>
      </w:r>
      <w:r w:rsidR="006B1A12" w:rsidRPr="006B1A12">
        <w:t>i</w:t>
      </w:r>
      <w:r w:rsidRPr="006B1A12">
        <w:t>n particular, it should not consider proximity of products or the likelihood that the senior user would “bridge the gap” between the products.</w:t>
      </w:r>
      <w:r w:rsidR="006B1A12" w:rsidRPr="006B1A12">
        <w:rPr>
          <w:vertAlign w:val="superscript"/>
        </w:rPr>
        <w:footnoteReference w:id="49"/>
      </w:r>
      <w:r w:rsidRPr="006B1A12">
        <w:t xml:space="preserve"> These factors are potentially significant mitigating factors where the products are in disparate markets (as may be the case with Internet domain names)</w:t>
      </w:r>
      <w:r w:rsidR="006B1A12" w:rsidRPr="006B1A12">
        <w:t>.</w:t>
      </w:r>
      <w:r w:rsidR="006B1A12" w:rsidRPr="006B1A12">
        <w:t xml:space="preserve"> </w:t>
      </w:r>
      <w:r w:rsidR="006B1A12" w:rsidRPr="006B1A12">
        <w:t>I</w:t>
      </w:r>
      <w:r w:rsidRPr="006B1A12">
        <w:t>t would appear, then, that strength of the mark and similarity of the mark would play dominant roles in the analysis of whether the marks were confusingly similar</w:t>
      </w:r>
      <w:r w:rsidR="006B1A12" w:rsidRPr="006B1A12">
        <w:t>.</w:t>
      </w:r>
      <w:r w:rsidR="006B1A12" w:rsidRPr="006B1A12">
        <w:t xml:space="preserve"> </w:t>
      </w:r>
      <w:r w:rsidR="006B1A12" w:rsidRPr="006B1A12">
        <w:t>T</w:t>
      </w:r>
      <w:r w:rsidRPr="006B1A12">
        <w:t>his makes the analysis much closer to a dilution case</w:t>
      </w:r>
      <w:r w:rsidR="006B1A12" w:rsidRPr="006B1A12">
        <w:t>.</w:t>
      </w:r>
      <w:r w:rsidR="006B1A12" w:rsidRPr="006B1A12">
        <w:t xml:space="preserve"> </w:t>
      </w:r>
      <w:r w:rsidR="006B1A12" w:rsidRPr="006B1A12">
        <w:t>S</w:t>
      </w:r>
      <w:r w:rsidRPr="006B1A12">
        <w:t>ome other courts have agreed that the “confusingly similar” standard in the ACPA is more lenient than “likelihood of confusion.”</w:t>
      </w:r>
      <w:r w:rsidR="006B1A12" w:rsidRPr="006B1A12">
        <w:rPr>
          <w:vertAlign w:val="superscript"/>
        </w:rPr>
        <w:footnoteReference w:id="50"/>
      </w:r>
    </w:p>
    <w:p w14:paraId="0BB6CAD6" w14:textId="32AC34E9" w:rsidR="006B1A12" w:rsidRPr="006B1A12" w:rsidRDefault="007A2DD5" w:rsidP="006B1A12">
      <w:pPr>
        <w:pStyle w:val="BNormal"/>
      </w:pPr>
      <w:r w:rsidRPr="006B1A12">
        <w:t xml:space="preserve">Turning to the element of “bad faith intent to profit,” the court in </w:t>
      </w:r>
      <w:proofErr w:type="spellStart"/>
      <w:r w:rsidR="006B1A12" w:rsidRPr="006B1A12">
        <w:rPr>
          <w:i/>
        </w:rPr>
        <w:t>Sporty’s</w:t>
      </w:r>
      <w:proofErr w:type="spellEnd"/>
      <w:r w:rsidR="006B1A12" w:rsidRPr="006B1A12">
        <w:rPr>
          <w:i/>
        </w:rPr>
        <w:t xml:space="preserve"> Farm</w:t>
      </w:r>
      <w:r w:rsidRPr="006B1A12">
        <w:t xml:space="preserve"> examined the facts of the case as they related to the nine statutory factors.</w:t>
      </w:r>
      <w:r w:rsidR="006B1A12" w:rsidRPr="006B1A12">
        <w:rPr>
          <w:vertAlign w:val="superscript"/>
        </w:rPr>
        <w:footnoteReference w:id="51"/>
      </w:r>
      <w:r w:rsidRPr="006B1A12">
        <w:t xml:space="preserve"> It found the defendant originally had registered the name to keep it from the plaintiff, then transferred it to a subsidiary to protect itself from an infringement suit.</w:t>
      </w:r>
      <w:r w:rsidR="006B1A12" w:rsidRPr="006B1A12">
        <w:rPr>
          <w:vertAlign w:val="superscript"/>
        </w:rPr>
        <w:footnoteReference w:id="52"/>
      </w:r>
      <w:r w:rsidRPr="006B1A12">
        <w:t xml:space="preserve"> It also found that none of the possible mitigating factors in the ACPA favored the defendant</w:t>
      </w:r>
      <w:r w:rsidR="006B1A12" w:rsidRPr="006B1A12">
        <w:t>.</w:t>
      </w:r>
      <w:r w:rsidR="006B1A12" w:rsidRPr="006B1A12">
        <w:t xml:space="preserve"> </w:t>
      </w:r>
      <w:r w:rsidR="006B1A12" w:rsidRPr="006B1A12">
        <w:t>T</w:t>
      </w:r>
      <w:r w:rsidRPr="006B1A12">
        <w:t>he defendant had no rights in the name when it registered the name, the entity that wound up with the name did not exist at the time of registration, and the domain name was not the name of the original registrant.</w:t>
      </w:r>
      <w:r w:rsidR="006B1A12" w:rsidRPr="006B1A12">
        <w:rPr>
          <w:vertAlign w:val="superscript"/>
        </w:rPr>
        <w:footnoteReference w:id="53"/>
      </w:r>
      <w:r w:rsidRPr="006B1A12">
        <w:t xml:space="preserve"> That the current domain-name owner, </w:t>
      </w:r>
      <w:proofErr w:type="spellStart"/>
      <w:r w:rsidRPr="006B1A12">
        <w:t>Sporty’s</w:t>
      </w:r>
      <w:proofErr w:type="spellEnd"/>
      <w:r w:rsidRPr="006B1A12">
        <w:t xml:space="preserve"> Farm, did not exist at the time of registration also undermined the defendant’s claim of good faith use for goods and services.</w:t>
      </w:r>
      <w:r w:rsidR="006B1A12" w:rsidRPr="006B1A12">
        <w:rPr>
          <w:vertAlign w:val="superscript"/>
        </w:rPr>
        <w:footnoteReference w:id="54"/>
      </w:r>
      <w:r w:rsidRPr="006B1A12">
        <w:t xml:space="preserve"> Moreover, it was not using the domain in a noncommercial manner.</w:t>
      </w:r>
      <w:r w:rsidR="006B1A12" w:rsidRPr="006B1A12">
        <w:rPr>
          <w:vertAlign w:val="superscript"/>
        </w:rPr>
        <w:footnoteReference w:id="55"/>
      </w:r>
      <w:r w:rsidRPr="006B1A12">
        <w:t xml:space="preserve"> Thus, the court upheld a finding of bad faith.</w:t>
      </w:r>
    </w:p>
    <w:p w14:paraId="7E50FD94" w14:textId="0AE0EDF9" w:rsidR="006B1A12" w:rsidRPr="006B1A12" w:rsidRDefault="007A2DD5" w:rsidP="006B1A12">
      <w:pPr>
        <w:pStyle w:val="BNormal"/>
      </w:pPr>
      <w:r w:rsidRPr="006B1A12">
        <w:t>A second leading appellate case has also examined the bad-faith factors</w:t>
      </w:r>
      <w:r w:rsidR="006B1A12" w:rsidRPr="006B1A12">
        <w:t>.</w:t>
      </w:r>
      <w:r w:rsidR="006B1A12" w:rsidRPr="006B1A12">
        <w:t xml:space="preserve"> </w:t>
      </w:r>
      <w:r w:rsidR="006B1A12" w:rsidRPr="006B1A12">
        <w:t>I</w:t>
      </w:r>
      <w:r w:rsidRPr="006B1A12">
        <w:t xml:space="preserve">n </w:t>
      </w:r>
      <w:r w:rsidR="006B1A12" w:rsidRPr="006B1A12">
        <w:rPr>
          <w:i/>
        </w:rPr>
        <w:t>Northern Light Technology, Inc</w:t>
      </w:r>
      <w:r w:rsidR="006B1A12" w:rsidRPr="006B1A12">
        <w:t>.</w:t>
      </w:r>
      <w:r w:rsidR="006B1A12" w:rsidRPr="006B1A12">
        <w:t xml:space="preserve"> </w:t>
      </w:r>
      <w:r w:rsidR="006B1A12" w:rsidRPr="006B1A12">
        <w:rPr>
          <w:i/>
        </w:rPr>
        <w:t>v</w:t>
      </w:r>
      <w:r w:rsidR="006B1A12" w:rsidRPr="006B1A12">
        <w:t>.</w:t>
      </w:r>
      <w:r w:rsidR="006B1A12" w:rsidRPr="006B1A12">
        <w:t xml:space="preserve"> </w:t>
      </w:r>
      <w:r w:rsidR="006B1A12" w:rsidRPr="006B1A12">
        <w:rPr>
          <w:i/>
        </w:rPr>
        <w:t>Northern Lights Club</w:t>
      </w:r>
      <w:r w:rsidRPr="006B1A12">
        <w:t>,</w:t>
      </w:r>
      <w:r w:rsidR="006B1A12" w:rsidRPr="006B1A12">
        <w:rPr>
          <w:vertAlign w:val="superscript"/>
        </w:rPr>
        <w:footnoteReference w:id="56"/>
      </w:r>
      <w:r w:rsidRPr="006B1A12">
        <w:t xml:space="preserve"> the First Circuit upheld a finding of bad faith, citing multiple domain-name registrations for fictitious entities and somewhat incredible explanations for the defendant’s use of the particular domains as overcoming positive factors, such as prior use of the name as an e-mail domain and an initial reluctance by the defendant to sell the domain name.</w:t>
      </w:r>
      <w:r w:rsidR="006B1A12" w:rsidRPr="006B1A12">
        <w:rPr>
          <w:vertAlign w:val="superscript"/>
        </w:rPr>
        <w:footnoteReference w:id="57"/>
      </w:r>
    </w:p>
    <w:p w14:paraId="68779753" w14:textId="2216B84F" w:rsidR="006B1A12" w:rsidRPr="006B1A12" w:rsidRDefault="007A2DD5" w:rsidP="006B1A12">
      <w:pPr>
        <w:pStyle w:val="BNormal"/>
      </w:pPr>
      <w:r w:rsidRPr="006B1A12">
        <w:t>But neither of these courts gave much attention to the dilution-oriented provisions of the statute</w:t>
      </w:r>
      <w:r w:rsidR="006B1A12" w:rsidRPr="006B1A12">
        <w:t>.</w:t>
      </w:r>
      <w:r w:rsidR="006B1A12" w:rsidRPr="006B1A12">
        <w:t xml:space="preserve"> </w:t>
      </w:r>
      <w:r w:rsidR="006B1A12" w:rsidRPr="006B1A12">
        <w:t>I</w:t>
      </w:r>
      <w:r w:rsidRPr="006B1A12">
        <w:t>n only a small number of cases have courts addressed those aspects of the ACPA.</w:t>
      </w:r>
    </w:p>
    <w:p w14:paraId="31676A1B" w14:textId="6670754C" w:rsidR="006B1A12" w:rsidRPr="006B1A12" w:rsidRDefault="007A2DD5" w:rsidP="006B1A12">
      <w:pPr>
        <w:pStyle w:val="BNormal"/>
      </w:pPr>
      <w:r w:rsidRPr="006B1A12">
        <w:t xml:space="preserve">In </w:t>
      </w:r>
      <w:r w:rsidR="006B1A12" w:rsidRPr="006B1A12">
        <w:rPr>
          <w:i/>
        </w:rPr>
        <w:t>Virtual Works, Inc</w:t>
      </w:r>
      <w:r w:rsidR="006B1A12" w:rsidRPr="006B1A12">
        <w:t>.</w:t>
      </w:r>
      <w:r w:rsidR="006B1A12" w:rsidRPr="006B1A12">
        <w:t xml:space="preserve"> </w:t>
      </w:r>
      <w:r w:rsidR="006B1A12" w:rsidRPr="006B1A12">
        <w:rPr>
          <w:i/>
        </w:rPr>
        <w:t>v</w:t>
      </w:r>
      <w:r w:rsidR="006B1A12" w:rsidRPr="006B1A12">
        <w:t>.</w:t>
      </w:r>
      <w:r w:rsidR="006B1A12" w:rsidRPr="006B1A12">
        <w:t xml:space="preserve"> </w:t>
      </w:r>
      <w:r w:rsidR="006B1A12" w:rsidRPr="006B1A12">
        <w:rPr>
          <w:i/>
        </w:rPr>
        <w:t>Network Solutions, Inc</w:t>
      </w:r>
      <w:r w:rsidRPr="006B1A12">
        <w:t>.,</w:t>
      </w:r>
      <w:r w:rsidR="006B1A12" w:rsidRPr="006B1A12">
        <w:rPr>
          <w:vertAlign w:val="superscript"/>
        </w:rPr>
        <w:footnoteReference w:id="58"/>
      </w:r>
      <w:r w:rsidRPr="006B1A12">
        <w:t xml:space="preserve"> the court concluded that the plaintiff’s registration of vw.net violated the ACPA and also constituted trademark dilution and infringement.</w:t>
      </w:r>
      <w:r w:rsidR="006B1A12" w:rsidRPr="006B1A12">
        <w:rPr>
          <w:vertAlign w:val="superscript"/>
        </w:rPr>
        <w:footnoteReference w:id="59"/>
      </w:r>
      <w:r w:rsidRPr="006B1A12">
        <w:t xml:space="preserve"> Reviewing the statutory factors for bad faith, the court determined that Volkswagen was a famous trademark owned by the defendant and counterclaimant Volkswagen, which weighed in favor of a finding of bad faith.</w:t>
      </w:r>
      <w:r w:rsidR="006B1A12" w:rsidRPr="006B1A12">
        <w:rPr>
          <w:vertAlign w:val="superscript"/>
        </w:rPr>
        <w:footnoteReference w:id="60"/>
      </w:r>
      <w:r w:rsidRPr="006B1A12">
        <w:t xml:space="preserve"> The court then found both infringement and dilution of the VW mark by the registration and use of the vw.net domain.</w:t>
      </w:r>
      <w:r w:rsidR="006B1A12" w:rsidRPr="006B1A12">
        <w:rPr>
          <w:vertAlign w:val="superscript"/>
        </w:rPr>
        <w:footnoteReference w:id="61"/>
      </w:r>
      <w:r w:rsidRPr="006B1A12">
        <w:t xml:space="preserve"> Although either conclusion would satisfy the ACPA’s requirement that the offending domain name be “confusingly similar to or dilutive of” a famous mark, the district court did not clearly link its finding of either infringement or dilution to the ACPA requirement.</w:t>
      </w:r>
      <w:r w:rsidR="006B1A12" w:rsidRPr="006B1A12">
        <w:rPr>
          <w:vertAlign w:val="superscript"/>
        </w:rPr>
        <w:footnoteReference w:id="62"/>
      </w:r>
      <w:r w:rsidRPr="006B1A12">
        <w:t xml:space="preserve"> Nevertheless, it held that a violation of the ACPA had occurred.</w:t>
      </w:r>
      <w:r w:rsidR="006B1A12" w:rsidRPr="006B1A12">
        <w:rPr>
          <w:vertAlign w:val="superscript"/>
        </w:rPr>
        <w:footnoteReference w:id="63"/>
      </w:r>
    </w:p>
    <w:p w14:paraId="2945994D" w14:textId="0062BF68" w:rsidR="006B1A12" w:rsidRPr="006B1A12" w:rsidRDefault="007A2DD5" w:rsidP="006B1A12">
      <w:pPr>
        <w:pStyle w:val="BNormal"/>
      </w:pPr>
      <w:r w:rsidRPr="006B1A12">
        <w:t>On appeal, the Fourth Circuit was both careful and circumspect in its review of the district court’s rulings</w:t>
      </w:r>
      <w:r w:rsidR="006B1A12" w:rsidRPr="006B1A12">
        <w:t>.</w:t>
      </w:r>
      <w:r w:rsidR="006B1A12" w:rsidRPr="006B1A12">
        <w:t xml:space="preserve"> </w:t>
      </w:r>
      <w:r w:rsidR="006B1A12" w:rsidRPr="006B1A12">
        <w:t>I</w:t>
      </w:r>
      <w:r w:rsidRPr="006B1A12">
        <w:t>t pointed out that there was sufficient evidence to demonstrate that the registration had been made with a bad faith intent to profit.</w:t>
      </w:r>
      <w:r w:rsidR="006B1A12" w:rsidRPr="006B1A12">
        <w:rPr>
          <w:vertAlign w:val="superscript"/>
        </w:rPr>
        <w:footnoteReference w:id="64"/>
      </w:r>
      <w:r w:rsidRPr="006B1A12">
        <w:t xml:space="preserve"> However, it cautioned that “[t]he fact that a domain name resembles a famous trademark</w:t>
      </w:r>
      <w:r w:rsidR="006B1A12" w:rsidRPr="006B1A12">
        <w:t xml:space="preserve"> </w:t>
      </w:r>
      <w:r w:rsidRPr="006B1A12">
        <w:t>…</w:t>
      </w:r>
      <w:r w:rsidR="006B1A12" w:rsidRPr="006B1A12">
        <w:t xml:space="preserve"> </w:t>
      </w:r>
      <w:r w:rsidRPr="006B1A12">
        <w:t>hardly in and of itself establishes bad faith.”</w:t>
      </w:r>
      <w:r w:rsidR="006B1A12" w:rsidRPr="006B1A12">
        <w:rPr>
          <w:vertAlign w:val="superscript"/>
        </w:rPr>
        <w:footnoteReference w:id="65"/>
      </w:r>
      <w:r w:rsidRPr="006B1A12">
        <w:t xml:space="preserve"> And it professed “</w:t>
      </w:r>
      <w:proofErr w:type="spellStart"/>
      <w:r w:rsidRPr="006B1A12">
        <w:t>reluctan</w:t>
      </w:r>
      <w:proofErr w:type="spellEnd"/>
      <w:r w:rsidRPr="006B1A12">
        <w:t>[</w:t>
      </w:r>
      <w:proofErr w:type="spellStart"/>
      <w:r w:rsidRPr="006B1A12">
        <w:t>ce</w:t>
      </w:r>
      <w:proofErr w:type="spellEnd"/>
      <w:r w:rsidRPr="006B1A12">
        <w:t>] to interpret the ACPA’s liability provisions in an overly aggressive manner.”</w:t>
      </w:r>
      <w:r w:rsidR="006B1A12" w:rsidRPr="006B1A12">
        <w:rPr>
          <w:vertAlign w:val="superscript"/>
        </w:rPr>
        <w:footnoteReference w:id="66"/>
      </w:r>
      <w:r w:rsidRPr="006B1A12">
        <w:t xml:space="preserve"> The Fourth Circuit specifically pointed to the finding that vw.net was “confusingly similar” to the VW mark to support the ACPA claim</w:t>
      </w:r>
      <w:r w:rsidR="006B1A12" w:rsidRPr="006B1A12">
        <w:t>;</w:t>
      </w:r>
      <w:r w:rsidR="006B1A12" w:rsidRPr="006B1A12">
        <w:t xml:space="preserve"> </w:t>
      </w:r>
      <w:r w:rsidR="006B1A12" w:rsidRPr="006B1A12">
        <w:t>u</w:t>
      </w:r>
      <w:r w:rsidRPr="006B1A12">
        <w:t>nlike the district court, it did not make any reference to possible dilution.</w:t>
      </w:r>
      <w:r w:rsidR="006B1A12" w:rsidRPr="006B1A12">
        <w:rPr>
          <w:vertAlign w:val="superscript"/>
        </w:rPr>
        <w:footnoteReference w:id="67"/>
      </w:r>
      <w:r w:rsidRPr="006B1A12">
        <w:t xml:space="preserve"> Thus, the Fourth Circuit seemed hesitant to transplant broad dilution concepts into ACPA claims, particularly where a violation could be established on a narrower basis.</w:t>
      </w:r>
    </w:p>
    <w:p w14:paraId="7F88556F" w14:textId="65847BFB" w:rsidR="006B1A12" w:rsidRPr="006B1A12" w:rsidRDefault="007A2DD5" w:rsidP="006B1A12">
      <w:pPr>
        <w:pStyle w:val="BNormal"/>
      </w:pPr>
      <w:r w:rsidRPr="006B1A12">
        <w:t>In an ACPA case with interesting parallels to some Internet dilution cases, the Sixth Circuit upheld summary judgment in favor of a defendant who registered the plaintiff’s business name as a domain name.</w:t>
      </w:r>
      <w:r w:rsidR="006B1A12" w:rsidRPr="006B1A12">
        <w:rPr>
          <w:vertAlign w:val="superscript"/>
        </w:rPr>
        <w:footnoteReference w:id="68"/>
      </w:r>
      <w:r w:rsidRPr="006B1A12">
        <w:t xml:space="preserve"> The defendant used the domain name to post criticisms of the plaintiff.</w:t>
      </w:r>
      <w:r w:rsidR="006B1A12" w:rsidRPr="006B1A12">
        <w:rPr>
          <w:vertAlign w:val="superscript"/>
        </w:rPr>
        <w:footnoteReference w:id="69"/>
      </w:r>
      <w:r w:rsidRPr="006B1A12">
        <w:t xml:space="preserve"> The court noted that the defendant had no apparent intent to divert business (in fact, the plaintiff had no website) and, in particular, that the defendant had registered only one domain name, not several.</w:t>
      </w:r>
      <w:r w:rsidR="006B1A12" w:rsidRPr="006B1A12">
        <w:rPr>
          <w:vertAlign w:val="superscript"/>
        </w:rPr>
        <w:footnoteReference w:id="70"/>
      </w:r>
      <w:r w:rsidRPr="006B1A12">
        <w:t xml:space="preserve"> Thus, the court did not deem the defendant to have the requisite “bad faith intent to profit.”</w:t>
      </w:r>
      <w:r w:rsidR="006B1A12" w:rsidRPr="006B1A12">
        <w:rPr>
          <w:vertAlign w:val="superscript"/>
        </w:rPr>
        <w:footnoteReference w:id="71"/>
      </w:r>
      <w:r w:rsidRPr="006B1A12">
        <w:t xml:space="preserve"> This case closely resembles a district court case that rejected a claim under the FTDA.</w:t>
      </w:r>
      <w:r w:rsidR="006B1A12" w:rsidRPr="006B1A12">
        <w:rPr>
          <w:vertAlign w:val="superscript"/>
        </w:rPr>
        <w:footnoteReference w:id="72"/>
      </w:r>
    </w:p>
    <w:p w14:paraId="0D3B751F" w14:textId="589DA96E" w:rsidR="006B1A12" w:rsidRPr="006B1A12" w:rsidRDefault="007A2DD5" w:rsidP="006B1A12">
      <w:pPr>
        <w:pStyle w:val="BNormal"/>
      </w:pPr>
      <w:r w:rsidRPr="006B1A12">
        <w:t xml:space="preserve">By contrast, in </w:t>
      </w:r>
      <w:r w:rsidR="006B1A12" w:rsidRPr="006B1A12">
        <w:rPr>
          <w:i/>
        </w:rPr>
        <w:t>Coca-Cola Co</w:t>
      </w:r>
      <w:r w:rsidR="006B1A12" w:rsidRPr="006B1A12">
        <w:t>.</w:t>
      </w:r>
      <w:r w:rsidR="006B1A12" w:rsidRPr="006B1A12">
        <w:t xml:space="preserve"> </w:t>
      </w:r>
      <w:r w:rsidR="006B1A12" w:rsidRPr="006B1A12">
        <w:rPr>
          <w:i/>
        </w:rPr>
        <w:t>v</w:t>
      </w:r>
      <w:r w:rsidR="006B1A12" w:rsidRPr="006B1A12">
        <w:t>.</w:t>
      </w:r>
      <w:r w:rsidR="006B1A12" w:rsidRPr="006B1A12">
        <w:t xml:space="preserve"> </w:t>
      </w:r>
      <w:r w:rsidR="006B1A12" w:rsidRPr="006B1A12">
        <w:rPr>
          <w:i/>
        </w:rPr>
        <w:t>Purdy</w:t>
      </w:r>
      <w:r w:rsidRPr="006B1A12">
        <w:t>,</w:t>
      </w:r>
      <w:r w:rsidR="006B1A12" w:rsidRPr="006B1A12">
        <w:rPr>
          <w:vertAlign w:val="superscript"/>
        </w:rPr>
        <w:footnoteReference w:id="73"/>
      </w:r>
      <w:r w:rsidRPr="006B1A12">
        <w:t xml:space="preserve"> the Eighth Circuit affirmed an injunction (as well as contempt orders) under the ACPA against a defendant who registered various domain names that incorporated famous trademarks and that were confusingly similar to those marks, where defendant linked the domain names to an antiabortion site he owned.</w:t>
      </w:r>
      <w:r w:rsidR="006B1A12" w:rsidRPr="006B1A12">
        <w:rPr>
          <w:vertAlign w:val="superscript"/>
        </w:rPr>
        <w:footnoteReference w:id="74"/>
      </w:r>
      <w:r w:rsidRPr="006B1A12">
        <w:t xml:space="preserve"> In doing so, the court noted that the antiabortion site to which the defendant linked to registered domains sold antiabortion merchandise and solicited money for antiabortion causes.</w:t>
      </w:r>
      <w:r w:rsidR="006B1A12" w:rsidRPr="006B1A12">
        <w:rPr>
          <w:vertAlign w:val="superscript"/>
        </w:rPr>
        <w:footnoteReference w:id="75"/>
      </w:r>
      <w:r w:rsidRPr="006B1A12">
        <w:t xml:space="preserve"> The court also noted that the defendant proposed to stop using names relating to the </w:t>
      </w:r>
      <w:r w:rsidR="006B1A12" w:rsidRPr="006B1A12">
        <w:rPr>
          <w:i/>
        </w:rPr>
        <w:t>Washington Post</w:t>
      </w:r>
      <w:r w:rsidRPr="006B1A12">
        <w:t xml:space="preserve"> in exchange for editorial space in the newspaper.</w:t>
      </w:r>
      <w:r w:rsidR="006B1A12" w:rsidRPr="006B1A12">
        <w:rPr>
          <w:vertAlign w:val="superscript"/>
        </w:rPr>
        <w:footnoteReference w:id="76"/>
      </w:r>
      <w:r w:rsidRPr="006B1A12">
        <w:t xml:space="preserve"> Finally, the court rejected a First Amendment defense on the grounds that the defendant’s right to spread his message did not permit him to do so using confusing domain names.</w:t>
      </w:r>
      <w:r w:rsidR="006B1A12" w:rsidRPr="006B1A12">
        <w:rPr>
          <w:vertAlign w:val="superscript"/>
        </w:rPr>
        <w:footnoteReference w:id="77"/>
      </w:r>
      <w:r w:rsidRPr="006B1A12">
        <w:t xml:space="preserve"> This case reminds us that the ACPA has no absolute noncommercial use exclusion, as the TDRA does</w:t>
      </w:r>
      <w:r w:rsidR="006B1A12" w:rsidRPr="006B1A12">
        <w:t>.</w:t>
      </w:r>
      <w:r w:rsidR="006B1A12" w:rsidRPr="006B1A12">
        <w:t xml:space="preserve"> </w:t>
      </w:r>
      <w:r w:rsidR="006B1A12" w:rsidRPr="006B1A12">
        <w:t>T</w:t>
      </w:r>
      <w:r w:rsidRPr="006B1A12">
        <w:t xml:space="preserve">hus, courts may </w:t>
      </w:r>
      <w:proofErr w:type="gramStart"/>
      <w:r w:rsidRPr="006B1A12">
        <w:t>enjoin</w:t>
      </w:r>
      <w:proofErr w:type="gramEnd"/>
      <w:r w:rsidRPr="006B1A12">
        <w:t xml:space="preserve"> uses of domain names that might be excluded from liability under the TDRA.</w:t>
      </w:r>
    </w:p>
    <w:p w14:paraId="7F433880" w14:textId="57D042CF" w:rsidR="006B1A12" w:rsidRPr="006B1A12" w:rsidRDefault="00E319AD" w:rsidP="006B1A12">
      <w:pPr>
        <w:pStyle w:val="BHead2"/>
      </w:pPr>
      <w:r>
        <w:t>14.III.</w:t>
      </w:r>
      <w:r w:rsidR="006B1A12" w:rsidRPr="00E319AD">
        <w:rPr>
          <w:rStyle w:val="BBNAidChar"/>
          <w:rFonts w:eastAsiaTheme="majorEastAsia"/>
        </w:rPr>
        <w:t>E</w:t>
      </w:r>
      <w:r w:rsidR="006B1A12" w:rsidRPr="006B1A12">
        <w:t>.</w:t>
      </w:r>
      <w:r>
        <w:t> </w:t>
      </w:r>
      <w:r w:rsidR="006B1A12" w:rsidRPr="006B1A12">
        <w:tab/>
        <w:t>Contributory Liability for Cybersquatting</w:t>
      </w:r>
    </w:p>
    <w:p w14:paraId="7D62AEE3" w14:textId="54616796" w:rsidR="006B1A12" w:rsidRPr="006B1A12" w:rsidRDefault="007A2DD5" w:rsidP="006B1A12">
      <w:pPr>
        <w:pStyle w:val="BNormal"/>
      </w:pPr>
      <w:r w:rsidRPr="006B1A12">
        <w:t>Although it is not specifically provided for in the statute, some courts have permitted claims for contributory liability to go forward.</w:t>
      </w:r>
      <w:r w:rsidR="006B1A12" w:rsidRPr="006B1A12">
        <w:rPr>
          <w:vertAlign w:val="superscript"/>
        </w:rPr>
        <w:footnoteReference w:id="78"/>
      </w:r>
      <w:r w:rsidRPr="006B1A12">
        <w:t xml:space="preserve"> These claims are predicated on a showing of “exceptional circumstances,” where it is shown that the defendant has actual or constructive knowledge of a particular </w:t>
      </w:r>
      <w:proofErr w:type="spellStart"/>
      <w:r w:rsidRPr="006B1A12">
        <w:t>cybersquatter’s</w:t>
      </w:r>
      <w:proofErr w:type="spellEnd"/>
      <w:r w:rsidRPr="006B1A12">
        <w:t xml:space="preserve"> bad faith intent to profit.</w:t>
      </w:r>
      <w:r w:rsidR="006B1A12" w:rsidRPr="006B1A12">
        <w:rPr>
          <w:vertAlign w:val="superscript"/>
        </w:rPr>
        <w:footnoteReference w:id="79"/>
      </w:r>
      <w:r w:rsidRPr="006B1A12">
        <w:t xml:space="preserve"> However, the Ninth Circuit has ruled that no contributory liability exists under the ACPA.</w:t>
      </w:r>
      <w:r w:rsidR="006B1A12" w:rsidRPr="006B1A12">
        <w:rPr>
          <w:vertAlign w:val="superscript"/>
        </w:rPr>
        <w:footnoteReference w:id="80"/>
      </w:r>
    </w:p>
    <w:p w14:paraId="5D247736" w14:textId="6B9FE9BF" w:rsidR="006B1A12" w:rsidRPr="006B1A12" w:rsidRDefault="00E319AD" w:rsidP="006B1A12">
      <w:pPr>
        <w:pStyle w:val="BHead1"/>
      </w:pPr>
      <w:r>
        <w:t>14.</w:t>
      </w:r>
      <w:r w:rsidR="006B1A12" w:rsidRPr="00E319AD">
        <w:rPr>
          <w:rStyle w:val="BBNAidChar"/>
          <w:rFonts w:eastAsiaTheme="majorEastAsia"/>
        </w:rPr>
        <w:t>IV</w:t>
      </w:r>
      <w:r w:rsidR="006B1A12" w:rsidRPr="006B1A12">
        <w:t>.</w:t>
      </w:r>
      <w:r>
        <w:t xml:space="preserve">  </w:t>
      </w:r>
      <w:r w:rsidR="006B1A12" w:rsidRPr="006B1A12">
        <w:t>The ACPA and the TDRA:</w:t>
      </w:r>
      <w:r w:rsidR="006B1A12" w:rsidRPr="006B1A12">
        <w:t xml:space="preserve"> </w:t>
      </w:r>
      <w:r w:rsidR="006B1A12" w:rsidRPr="006B1A12">
        <w:t>The Problem of Gauging</w:t>
      </w:r>
      <w:r w:rsidR="006B1A12">
        <w:t xml:space="preserve"> </w:t>
      </w:r>
      <w:r w:rsidR="006B1A12" w:rsidRPr="006B1A12">
        <w:rPr>
          <w:lang w:bidi="en-US"/>
        </w:rPr>
        <w:t>Proper Dilution Standards</w:t>
      </w:r>
    </w:p>
    <w:p w14:paraId="44C3AD80" w14:textId="3ABD7117" w:rsidR="006B1A12" w:rsidRPr="006B1A12" w:rsidRDefault="007A2DD5" w:rsidP="006B1A12">
      <w:pPr>
        <w:pStyle w:val="BNormal"/>
      </w:pPr>
      <w:r w:rsidRPr="006B1A12">
        <w:t>From the standpoint of dilution, the major concern with the ACPA is that it may spawn standards different from those of the TDRA or alter the TDRA standards because of the different goals of the two statutes</w:t>
      </w:r>
      <w:r w:rsidR="006B1A12" w:rsidRPr="006B1A12">
        <w:t>.</w:t>
      </w:r>
      <w:r w:rsidR="006B1A12" w:rsidRPr="006B1A12">
        <w:t xml:space="preserve"> </w:t>
      </w:r>
      <w:r w:rsidR="006B1A12" w:rsidRPr="006B1A12">
        <w:t>S</w:t>
      </w:r>
      <w:r w:rsidRPr="006B1A12">
        <w:t>ome of this concern is based on the ACPA’s blending of infringement and dilution in the same provisions.</w:t>
      </w:r>
      <w:r w:rsidR="006B1A12" w:rsidRPr="006B1A12">
        <w:rPr>
          <w:vertAlign w:val="superscript"/>
        </w:rPr>
        <w:footnoteReference w:id="81"/>
      </w:r>
      <w:r w:rsidRPr="006B1A12">
        <w:t xml:space="preserve"> This may lead to an inappropriate blending of dilution and confusion standards in the ACPA context, which may be carried over into TDRA cases by courts looking to ACPA cases for guidance.</w:t>
      </w:r>
    </w:p>
    <w:p w14:paraId="3F4B4CA3" w14:textId="05A5AED6" w:rsidR="006B1A12" w:rsidRPr="006B1A12" w:rsidRDefault="007A2DD5" w:rsidP="006B1A12">
      <w:pPr>
        <w:pStyle w:val="BNormal"/>
      </w:pPr>
      <w:r w:rsidRPr="006B1A12">
        <w:t>There are several potential overlapping issues</w:t>
      </w:r>
      <w:r w:rsidR="006B1A12" w:rsidRPr="006B1A12">
        <w:t>.</w:t>
      </w:r>
      <w:r w:rsidR="006B1A12" w:rsidRPr="006B1A12">
        <w:t xml:space="preserve"> </w:t>
      </w:r>
      <w:r w:rsidR="006B1A12" w:rsidRPr="006B1A12">
        <w:t>F</w:t>
      </w:r>
      <w:r w:rsidRPr="006B1A12">
        <w:t>irst, there is the issue of fame</w:t>
      </w:r>
      <w:r w:rsidR="006B1A12" w:rsidRPr="006B1A12">
        <w:t>.</w:t>
      </w:r>
      <w:r w:rsidR="006B1A12" w:rsidRPr="006B1A12">
        <w:t xml:space="preserve"> </w:t>
      </w:r>
      <w:r w:rsidR="006B1A12" w:rsidRPr="006B1A12">
        <w:t>A</w:t>
      </w:r>
      <w:r w:rsidRPr="006B1A12">
        <w:t>t the time the ACPA was enacted, the FTDA contained no definition of a “famous” mark—just factors to consider</w:t>
      </w:r>
      <w:r w:rsidR="006B1A12" w:rsidRPr="006B1A12">
        <w:t>.</w:t>
      </w:r>
      <w:r w:rsidR="006B1A12" w:rsidRPr="006B1A12">
        <w:t xml:space="preserve"> </w:t>
      </w:r>
      <w:r w:rsidR="006B1A12" w:rsidRPr="006B1A12">
        <w:t>N</w:t>
      </w:r>
      <w:r w:rsidRPr="006B1A12">
        <w:t>ow, the TDRA contains a definition of fame that eliminates from the definition marks famous only in a niche market and otherwise clarifies the issue of fame.</w:t>
      </w:r>
      <w:r w:rsidR="006B1A12" w:rsidRPr="006B1A12">
        <w:rPr>
          <w:vertAlign w:val="superscript"/>
        </w:rPr>
        <w:footnoteReference w:id="82"/>
      </w:r>
      <w:r w:rsidRPr="006B1A12">
        <w:t xml:space="preserve"> Will courts follow the newer TDRA definition when interpreting the ACPA</w:t>
      </w:r>
      <w:r w:rsidR="006B1A12" w:rsidRPr="006B1A12">
        <w:t>?</w:t>
      </w:r>
      <w:r w:rsidR="006B1A12" w:rsidRPr="006B1A12">
        <w:t xml:space="preserve"> </w:t>
      </w:r>
      <w:r w:rsidR="006B1A12" w:rsidRPr="006B1A12">
        <w:t>A</w:t>
      </w:r>
      <w:r w:rsidRPr="006B1A12">
        <w:t xml:space="preserve"> second issue is what the term “dilutive” means in the ACPA</w:t>
      </w:r>
      <w:r w:rsidR="006B1A12" w:rsidRPr="006B1A12">
        <w:t>.</w:t>
      </w:r>
      <w:r w:rsidR="006B1A12" w:rsidRPr="006B1A12">
        <w:t xml:space="preserve"> </w:t>
      </w:r>
      <w:r w:rsidR="006B1A12" w:rsidRPr="006B1A12">
        <w:t>A</w:t>
      </w:r>
      <w:r w:rsidRPr="006B1A12">
        <w:t>gain, the TDRA redefined dilution in a manner different from the FTDA.</w:t>
      </w:r>
      <w:r w:rsidR="006B1A12" w:rsidRPr="006B1A12">
        <w:rPr>
          <w:vertAlign w:val="superscript"/>
        </w:rPr>
        <w:footnoteReference w:id="83"/>
      </w:r>
      <w:r w:rsidRPr="006B1A12">
        <w:t xml:space="preserve"> Finally, as noted in Section III.B, above, the interaction between </w:t>
      </w:r>
      <w:proofErr w:type="gramStart"/>
      <w:r w:rsidRPr="006B1A12">
        <w:t>the ACPA’s</w:t>
      </w:r>
      <w:proofErr w:type="gramEnd"/>
      <w:r w:rsidRPr="006B1A12">
        <w:t xml:space="preserve"> safe harbor for reasonable belief in the lawfulness of one’s actions and the TDRA’s categorical exclusions from liability is not entirely obvious</w:t>
      </w:r>
      <w:r w:rsidR="006B1A12" w:rsidRPr="006B1A12">
        <w:t>.</w:t>
      </w:r>
      <w:r w:rsidR="006B1A12" w:rsidRPr="006B1A12">
        <w:t xml:space="preserve"> </w:t>
      </w:r>
      <w:r w:rsidR="006B1A12" w:rsidRPr="006B1A12">
        <w:t>C</w:t>
      </w:r>
      <w:r w:rsidRPr="006B1A12">
        <w:t>ases raising these issues will be discussed below in this section.</w:t>
      </w:r>
    </w:p>
    <w:p w14:paraId="5F53AC38" w14:textId="70D72976" w:rsidR="006B1A12" w:rsidRPr="006B1A12" w:rsidRDefault="00E319AD" w:rsidP="006B1A12">
      <w:pPr>
        <w:pStyle w:val="BHead2"/>
      </w:pPr>
      <w:r>
        <w:t>14.IV.</w:t>
      </w:r>
      <w:r w:rsidR="006B1A12" w:rsidRPr="00E319AD">
        <w:rPr>
          <w:rStyle w:val="BBNAidChar"/>
          <w:rFonts w:eastAsiaTheme="majorEastAsia"/>
        </w:rPr>
        <w:t>A</w:t>
      </w:r>
      <w:r w:rsidR="006B1A12" w:rsidRPr="006B1A12">
        <w:t>.</w:t>
      </w:r>
      <w:r>
        <w:t> </w:t>
      </w:r>
      <w:r w:rsidR="006B1A12" w:rsidRPr="006B1A12">
        <w:tab/>
        <w:t>The Issue of a Famous Mark Under the ACPA</w:t>
      </w:r>
    </w:p>
    <w:p w14:paraId="4AE4FC34" w14:textId="10A85A2C" w:rsidR="006B1A12" w:rsidRPr="006B1A12" w:rsidRDefault="007A2DD5" w:rsidP="006B1A12">
      <w:pPr>
        <w:pStyle w:val="BNormal"/>
      </w:pPr>
      <w:r w:rsidRPr="006B1A12">
        <w:t>Because the ACPA allows a trademark owner to succeed if it has a “distinctive” mark and the defendant’s domain name is “confusingly similar” to that mark (and the owner has shown the defendant’s bad faith intent to profit), it normally is unnecessary for a court to reach the issue of fame</w:t>
      </w:r>
      <w:r w:rsidR="006B1A12" w:rsidRPr="006B1A12">
        <w:t>.</w:t>
      </w:r>
      <w:r w:rsidR="006B1A12" w:rsidRPr="006B1A12">
        <w:t xml:space="preserve"> </w:t>
      </w:r>
      <w:r w:rsidR="006B1A12" w:rsidRPr="006B1A12">
        <w:t>N</w:t>
      </w:r>
      <w:r w:rsidRPr="006B1A12">
        <w:t>evertheless, a few courts have raised the issue.</w:t>
      </w:r>
    </w:p>
    <w:p w14:paraId="6074B783" w14:textId="54DCFE49" w:rsidR="006B1A12" w:rsidRPr="006B1A12" w:rsidRDefault="007A2DD5" w:rsidP="006B1A12">
      <w:pPr>
        <w:pStyle w:val="BNormal"/>
      </w:pPr>
      <w:r w:rsidRPr="006B1A12">
        <w:t xml:space="preserve">The potential for problems with the determination of fame under the ACPA is indicated in </w:t>
      </w:r>
      <w:r w:rsidR="006B1A12" w:rsidRPr="006B1A12">
        <w:rPr>
          <w:i/>
        </w:rPr>
        <w:t>Shields v</w:t>
      </w:r>
      <w:r w:rsidR="006B1A12" w:rsidRPr="006B1A12">
        <w:t>.</w:t>
      </w:r>
      <w:r w:rsidR="006B1A12" w:rsidRPr="006B1A12">
        <w:t xml:space="preserve"> </w:t>
      </w:r>
      <w:r w:rsidR="006B1A12" w:rsidRPr="006B1A12">
        <w:rPr>
          <w:i/>
        </w:rPr>
        <w:t>Zuccarini</w:t>
      </w:r>
      <w:r w:rsidRPr="006B1A12">
        <w:t>.</w:t>
      </w:r>
      <w:r w:rsidR="006B1A12" w:rsidRPr="006B1A12">
        <w:rPr>
          <w:vertAlign w:val="superscript"/>
        </w:rPr>
        <w:footnoteReference w:id="84"/>
      </w:r>
      <w:r w:rsidRPr="006B1A12">
        <w:t xml:space="preserve"> This was an ACPA suit by the creator of Joe Cartoon against a registrant of domain names containing several variations of the Joe Cartoon mark.</w:t>
      </w:r>
      <w:r w:rsidR="006B1A12" w:rsidRPr="006B1A12">
        <w:rPr>
          <w:vertAlign w:val="superscript"/>
        </w:rPr>
        <w:footnoteReference w:id="85"/>
      </w:r>
      <w:r w:rsidRPr="006B1A12">
        <w:t xml:space="preserve"> The court correctly noted that the ACPA requires only a “distinctive </w:t>
      </w:r>
      <w:r w:rsidR="006B1A12" w:rsidRPr="006B1A12">
        <w:rPr>
          <w:i/>
        </w:rPr>
        <w:t>or</w:t>
      </w:r>
      <w:r w:rsidRPr="006B1A12">
        <w:t xml:space="preserve"> famous” mark, not “distinctive and famous” as in the original FTDA.</w:t>
      </w:r>
      <w:r w:rsidR="006B1A12" w:rsidRPr="006B1A12">
        <w:rPr>
          <w:vertAlign w:val="superscript"/>
        </w:rPr>
        <w:footnoteReference w:id="86"/>
      </w:r>
      <w:r w:rsidRPr="006B1A12">
        <w:t xml:space="preserve"> However, the court proceeded to use the statutory factors to determine that the mark was both distinctive and famous.</w:t>
      </w:r>
      <w:r w:rsidR="006B1A12" w:rsidRPr="006B1A12">
        <w:rPr>
          <w:vertAlign w:val="superscript"/>
        </w:rPr>
        <w:footnoteReference w:id="87"/>
      </w:r>
      <w:r w:rsidRPr="006B1A12">
        <w:t xml:space="preserve"> It then determined that the defendant’s domain names were “confusingly similar” to the plaintiff’s trademark.</w:t>
      </w:r>
      <w:r w:rsidR="006B1A12" w:rsidRPr="006B1A12">
        <w:rPr>
          <w:vertAlign w:val="superscript"/>
        </w:rPr>
        <w:footnoteReference w:id="88"/>
      </w:r>
      <w:r w:rsidRPr="006B1A12">
        <w:t xml:space="preserve"> Regardless of whether the court’s analysis of fame was correct, it was unnecessary given its conclusion of confusing similarity</w:t>
      </w:r>
      <w:r w:rsidR="006B1A12" w:rsidRPr="006B1A12">
        <w:t>.</w:t>
      </w:r>
      <w:r w:rsidR="006B1A12" w:rsidRPr="006B1A12">
        <w:t xml:space="preserve"> </w:t>
      </w:r>
      <w:r w:rsidR="006B1A12" w:rsidRPr="006B1A12">
        <w:t>I</w:t>
      </w:r>
      <w:r w:rsidRPr="006B1A12">
        <w:t>n view of the relatively simple basis for this conclusion, a court may be tempted to gloss over the requirement of fame, since the famous mark usually will be deemed distinctive</w:t>
      </w:r>
      <w:r w:rsidR="006B1A12" w:rsidRPr="006B1A12">
        <w:t>.</w:t>
      </w:r>
      <w:r w:rsidR="006B1A12" w:rsidRPr="006B1A12">
        <w:t xml:space="preserve"> </w:t>
      </w:r>
      <w:r w:rsidR="006B1A12" w:rsidRPr="006B1A12">
        <w:t>A</w:t>
      </w:r>
      <w:r w:rsidRPr="006B1A12">
        <w:t xml:space="preserve"> court could justify the separate analysis of fame on the grounds that it relates to the ninth statutory factor for determining bad faith.</w:t>
      </w:r>
      <w:r w:rsidR="006B1A12" w:rsidRPr="006B1A12">
        <w:rPr>
          <w:vertAlign w:val="superscript"/>
        </w:rPr>
        <w:footnoteReference w:id="89"/>
      </w:r>
      <w:r w:rsidRPr="006B1A12">
        <w:t xml:space="preserve"> If so, it would be preferable for the court to make that clear in its analysis</w:t>
      </w:r>
      <w:r w:rsidR="006B1A12" w:rsidRPr="006B1A12">
        <w:t>.</w:t>
      </w:r>
      <w:r w:rsidR="006B1A12" w:rsidRPr="006B1A12">
        <w:t xml:space="preserve"> </w:t>
      </w:r>
      <w:r w:rsidR="006B1A12" w:rsidRPr="006B1A12">
        <w:t>H</w:t>
      </w:r>
      <w:r w:rsidRPr="006B1A12">
        <w:t xml:space="preserve">owever, it should be noted that this factor requires a finding that the mark is “distinctive </w:t>
      </w:r>
      <w:r w:rsidR="006B1A12" w:rsidRPr="006B1A12">
        <w:rPr>
          <w:i/>
        </w:rPr>
        <w:t>and</w:t>
      </w:r>
      <w:r w:rsidRPr="006B1A12">
        <w:t xml:space="preserve"> famous.”</w:t>
      </w:r>
    </w:p>
    <w:p w14:paraId="589AC9EA" w14:textId="69CF39CC" w:rsidR="006B1A12" w:rsidRPr="006B1A12" w:rsidRDefault="007A2DD5" w:rsidP="006B1A12">
      <w:pPr>
        <w:pStyle w:val="BNormal"/>
      </w:pPr>
      <w:r w:rsidRPr="006B1A12">
        <w:t xml:space="preserve">In </w:t>
      </w:r>
      <w:r w:rsidR="006B1A12" w:rsidRPr="006B1A12">
        <w:rPr>
          <w:i/>
        </w:rPr>
        <w:t>Victoria’s Cyber Secret Limited Partnership v</w:t>
      </w:r>
      <w:r w:rsidR="006B1A12" w:rsidRPr="006B1A12">
        <w:t>.</w:t>
      </w:r>
      <w:r w:rsidR="006B1A12" w:rsidRPr="006B1A12">
        <w:t xml:space="preserve"> </w:t>
      </w:r>
      <w:r w:rsidR="006B1A12" w:rsidRPr="006B1A12">
        <w:rPr>
          <w:i/>
        </w:rPr>
        <w:t>V Secret Catalogue, Inc</w:t>
      </w:r>
      <w:r w:rsidRPr="006B1A12">
        <w:t>.,</w:t>
      </w:r>
      <w:r w:rsidR="006B1A12" w:rsidRPr="006B1A12">
        <w:rPr>
          <w:vertAlign w:val="superscript"/>
        </w:rPr>
        <w:footnoteReference w:id="90"/>
      </w:r>
      <w:r w:rsidRPr="006B1A12">
        <w:t xml:space="preserve"> the court determined that the Victoria’s Secret mark was “both ‘famous’ and ‘distinctive.’”</w:t>
      </w:r>
      <w:r w:rsidR="006B1A12" w:rsidRPr="006B1A12">
        <w:rPr>
          <w:vertAlign w:val="superscript"/>
        </w:rPr>
        <w:footnoteReference w:id="91"/>
      </w:r>
      <w:r w:rsidRPr="006B1A12">
        <w:t xml:space="preserve"> That finding was not part of an analysis of bad-faith factor nine, which incorporates the standard of the original FTDA</w:t>
      </w:r>
      <w:r w:rsidR="006B1A12" w:rsidRPr="006B1A12">
        <w:t>.</w:t>
      </w:r>
      <w:r w:rsidR="006B1A12" w:rsidRPr="006B1A12">
        <w:t xml:space="preserve"> </w:t>
      </w:r>
      <w:r w:rsidR="006B1A12" w:rsidRPr="006B1A12">
        <w:t>R</w:t>
      </w:r>
      <w:r w:rsidRPr="006B1A12">
        <w:t xml:space="preserve">ather, it was part of an analysis of the “distinctive </w:t>
      </w:r>
      <w:r w:rsidR="006B1A12" w:rsidRPr="006B1A12">
        <w:rPr>
          <w:i/>
        </w:rPr>
        <w:t>or</w:t>
      </w:r>
      <w:r w:rsidRPr="006B1A12">
        <w:t xml:space="preserve"> famous” requirement of Lanham Act §43(d)(1)(A)(ii)(I)</w:t>
      </w:r>
      <w:r w:rsidR="006B1A12" w:rsidRPr="006B1A12">
        <w:t>.</w:t>
      </w:r>
      <w:r w:rsidR="006B1A12" w:rsidRPr="006B1A12">
        <w:t xml:space="preserve"> </w:t>
      </w:r>
      <w:r w:rsidR="006B1A12" w:rsidRPr="006B1A12">
        <w:t>I</w:t>
      </w:r>
      <w:r w:rsidRPr="006B1A12">
        <w:t>n this case, the court used the then-current standard of fame in another circuit.</w:t>
      </w:r>
      <w:r w:rsidR="006B1A12" w:rsidRPr="006B1A12">
        <w:rPr>
          <w:vertAlign w:val="superscript"/>
        </w:rPr>
        <w:footnoteReference w:id="92"/>
      </w:r>
    </w:p>
    <w:p w14:paraId="0A892082" w14:textId="5FFD8FBD" w:rsidR="006B1A12" w:rsidRPr="006B1A12" w:rsidRDefault="007A2DD5" w:rsidP="006B1A12">
      <w:pPr>
        <w:pStyle w:val="BNormal"/>
      </w:pPr>
      <w:r w:rsidRPr="006B1A12">
        <w:t>Since the TDRA was enacted, courts appear to be using the TDRA definition of fame in ACPA cases.</w:t>
      </w:r>
      <w:r w:rsidR="006B1A12" w:rsidRPr="006B1A12">
        <w:rPr>
          <w:vertAlign w:val="superscript"/>
        </w:rPr>
        <w:footnoteReference w:id="93"/>
      </w:r>
      <w:r w:rsidRPr="006B1A12">
        <w:t xml:space="preserve"> In one case, the court found the Volvo mark for automobiles to be “distinctive and famous,” using the definition of a famous mark from Section 43(c)(2)(A).</w:t>
      </w:r>
      <w:r w:rsidR="006B1A12" w:rsidRPr="006B1A12">
        <w:rPr>
          <w:vertAlign w:val="superscript"/>
        </w:rPr>
        <w:footnoteReference w:id="94"/>
      </w:r>
      <w:r w:rsidRPr="006B1A12">
        <w:t xml:space="preserve"> However, the court then looked primarily at the “confusingly similar” requirement and said nothing about the “dilutive” portion of the statute (except to note that the domain name in question was “confusingly similar or dilutive”)</w:t>
      </w:r>
      <w:r w:rsidR="006B1A12" w:rsidRPr="006B1A12">
        <w:t>.</w:t>
      </w:r>
      <w:r w:rsidR="006B1A12" w:rsidRPr="006B1A12">
        <w:t xml:space="preserve"> </w:t>
      </w:r>
      <w:r w:rsidR="006B1A12" w:rsidRPr="006B1A12">
        <w:t>E</w:t>
      </w:r>
      <w:r w:rsidRPr="006B1A12">
        <w:t>ven so, there may be a temptation in an ACPA case to perform a less stringent analysis of fame than might be performed in the absence of the ACPA’s more lenient requirements for demonstrating cybersquatting—a finding that does not require a showing that the mark is famous.</w:t>
      </w:r>
      <w:r w:rsidR="006B1A12" w:rsidRPr="006B1A12">
        <w:rPr>
          <w:vertAlign w:val="superscript"/>
        </w:rPr>
        <w:footnoteReference w:id="95"/>
      </w:r>
    </w:p>
    <w:p w14:paraId="1F2CBC6C" w14:textId="095E956C" w:rsidR="006B1A12" w:rsidRPr="006B1A12" w:rsidRDefault="00E319AD" w:rsidP="006B1A12">
      <w:pPr>
        <w:pStyle w:val="BHead2"/>
      </w:pPr>
      <w:r>
        <w:t>14.IV.</w:t>
      </w:r>
      <w:r w:rsidR="006B1A12" w:rsidRPr="00E319AD">
        <w:rPr>
          <w:rStyle w:val="BBNAidChar"/>
          <w:rFonts w:eastAsiaTheme="majorEastAsia"/>
        </w:rPr>
        <w:t>B</w:t>
      </w:r>
      <w:r w:rsidR="006B1A12" w:rsidRPr="006B1A12">
        <w:t>.</w:t>
      </w:r>
      <w:r>
        <w:t> </w:t>
      </w:r>
      <w:r w:rsidR="006B1A12" w:rsidRPr="006B1A12">
        <w:tab/>
        <w:t>Defining “Dilutive” Under the ACPA</w:t>
      </w:r>
    </w:p>
    <w:p w14:paraId="2D352C6B" w14:textId="4046B83E" w:rsidR="006B1A12" w:rsidRPr="006B1A12" w:rsidRDefault="007A2DD5" w:rsidP="006B1A12">
      <w:pPr>
        <w:pStyle w:val="BNormal"/>
      </w:pPr>
      <w:r w:rsidRPr="006B1A12">
        <w:t xml:space="preserve">A second issue is how courts define “dilutive” under the ACPA, especially now that the TDRA has defined two—and only two—categories of dilution (blurring and </w:t>
      </w:r>
      <w:proofErr w:type="spellStart"/>
      <w:r w:rsidRPr="006B1A12">
        <w:t>tarnishment</w:t>
      </w:r>
      <w:proofErr w:type="spellEnd"/>
      <w:r w:rsidRPr="006B1A12">
        <w:t>).</w:t>
      </w:r>
      <w:r w:rsidR="006B1A12" w:rsidRPr="006B1A12">
        <w:rPr>
          <w:vertAlign w:val="superscript"/>
        </w:rPr>
        <w:footnoteReference w:id="96"/>
      </w:r>
    </w:p>
    <w:p w14:paraId="668351E8" w14:textId="0F3876DB" w:rsidR="006B1A12" w:rsidRPr="006B1A12" w:rsidRDefault="007A2DD5" w:rsidP="006B1A12">
      <w:pPr>
        <w:pStyle w:val="BNormal"/>
      </w:pPr>
      <w:r w:rsidRPr="006B1A12">
        <w:t xml:space="preserve">In </w:t>
      </w:r>
      <w:r w:rsidR="006B1A12" w:rsidRPr="006B1A12">
        <w:rPr>
          <w:i/>
        </w:rPr>
        <w:t>Virtual Works, Inc</w:t>
      </w:r>
      <w:r w:rsidR="006B1A12" w:rsidRPr="006B1A12">
        <w:t>.</w:t>
      </w:r>
      <w:r w:rsidR="006B1A12" w:rsidRPr="006B1A12">
        <w:t xml:space="preserve"> </w:t>
      </w:r>
      <w:r w:rsidR="006B1A12" w:rsidRPr="006B1A12">
        <w:rPr>
          <w:i/>
        </w:rPr>
        <w:t>v</w:t>
      </w:r>
      <w:r w:rsidR="006B1A12" w:rsidRPr="006B1A12">
        <w:t>.</w:t>
      </w:r>
      <w:r w:rsidR="006B1A12" w:rsidRPr="006B1A12">
        <w:t xml:space="preserve"> </w:t>
      </w:r>
      <w:r w:rsidR="006B1A12" w:rsidRPr="006B1A12">
        <w:rPr>
          <w:i/>
        </w:rPr>
        <w:t>Network Solutions, Inc</w:t>
      </w:r>
      <w:r w:rsidRPr="006B1A12">
        <w:t>.,</w:t>
      </w:r>
      <w:r w:rsidR="006B1A12" w:rsidRPr="006B1A12">
        <w:rPr>
          <w:vertAlign w:val="superscript"/>
        </w:rPr>
        <w:footnoteReference w:id="97"/>
      </w:r>
      <w:r w:rsidRPr="006B1A12">
        <w:t xml:space="preserve"> the plaintiff sued for tortious interference with its domain name, and the defendant (Volkswagen of America) counterclaimed for infringement, dilution, and ACPA violations</w:t>
      </w:r>
      <w:r w:rsidR="006B1A12" w:rsidRPr="006B1A12">
        <w:t>.</w:t>
      </w:r>
      <w:r w:rsidR="006B1A12" w:rsidRPr="006B1A12">
        <w:t xml:space="preserve"> </w:t>
      </w:r>
      <w:r w:rsidR="006B1A12" w:rsidRPr="006B1A12">
        <w:t>W</w:t>
      </w:r>
      <w:r w:rsidRPr="006B1A12">
        <w:t>ithout expressly referring to the ACPA’s requirement that one show that the offending domain name is either “confusingly similar or dilutive of” a famous mark, the district court found both infringement and dilution.</w:t>
      </w:r>
      <w:r w:rsidR="006B1A12" w:rsidRPr="006B1A12">
        <w:rPr>
          <w:vertAlign w:val="superscript"/>
        </w:rPr>
        <w:footnoteReference w:id="98"/>
      </w:r>
      <w:r w:rsidRPr="006B1A12">
        <w:t xml:space="preserve"> In its dilution discussion, the court invoked the “per se” rule then used in many Internet cases.</w:t>
      </w:r>
      <w:r w:rsidR="006B1A12" w:rsidRPr="006B1A12">
        <w:rPr>
          <w:vertAlign w:val="superscript"/>
        </w:rPr>
        <w:footnoteReference w:id="99"/>
      </w:r>
      <w:r w:rsidRPr="006B1A12">
        <w:t xml:space="preserve"> The per se rule virtually guaranteed a finding of dilution based on a defendant’s having “blocked” or interfered with a plaintiff’s rightful use of the Web domain.</w:t>
      </w:r>
      <w:r w:rsidR="006B1A12" w:rsidRPr="006B1A12">
        <w:rPr>
          <w:vertAlign w:val="superscript"/>
        </w:rPr>
        <w:footnoteReference w:id="100"/>
      </w:r>
      <w:r w:rsidRPr="006B1A12">
        <w:t xml:space="preserve"> After </w:t>
      </w:r>
      <w:r w:rsidR="006B1A12" w:rsidRPr="006B1A12">
        <w:rPr>
          <w:i/>
        </w:rPr>
        <w:t>Virtual Works</w:t>
      </w:r>
      <w:r w:rsidRPr="006B1A12">
        <w:t>, Congress enacted the TDRA (in 2006), which probably invalidated the per se rule.</w:t>
      </w:r>
      <w:r w:rsidR="006B1A12" w:rsidRPr="006B1A12">
        <w:rPr>
          <w:vertAlign w:val="superscript"/>
        </w:rPr>
        <w:footnoteReference w:id="101"/>
      </w:r>
      <w:r w:rsidRPr="006B1A12">
        <w:t xml:space="preserve"> Since Congress did not alter the ACPA in 2006, which definition of dilution is most appropriate</w:t>
      </w:r>
      <w:r w:rsidR="006B1A12" w:rsidRPr="006B1A12">
        <w:t>?</w:t>
      </w:r>
      <w:r w:rsidR="006B1A12" w:rsidRPr="006B1A12">
        <w:t xml:space="preserve"> </w:t>
      </w:r>
      <w:r w:rsidR="006B1A12" w:rsidRPr="006B1A12">
        <w:t>T</w:t>
      </w:r>
      <w:r w:rsidRPr="006B1A12">
        <w:t>he most reasonable conclusion is that one should use the TDRA definitions to analyze both fame and “dilutive” under the ACPA</w:t>
      </w:r>
      <w:r w:rsidR="006B1A12" w:rsidRPr="006B1A12">
        <w:t>.</w:t>
      </w:r>
      <w:r w:rsidR="006B1A12" w:rsidRPr="006B1A12">
        <w:t xml:space="preserve"> </w:t>
      </w:r>
      <w:r w:rsidR="006B1A12" w:rsidRPr="006B1A12">
        <w:t>T</w:t>
      </w:r>
      <w:r w:rsidRPr="006B1A12">
        <w:t>his is consistent with the general notion that one should use the law at the time of the case to decide the issue</w:t>
      </w:r>
      <w:r w:rsidR="006B1A12" w:rsidRPr="006B1A12">
        <w:t>.</w:t>
      </w:r>
      <w:r w:rsidR="006B1A12" w:rsidRPr="006B1A12">
        <w:t xml:space="preserve"> </w:t>
      </w:r>
      <w:r w:rsidR="006B1A12" w:rsidRPr="006B1A12">
        <w:t>M</w:t>
      </w:r>
      <w:r w:rsidRPr="006B1A12">
        <w:t>oreover, it is unlikely that Congress intended that there be two separate standards for dilution, one for the TDRA and one for the ACPA.</w:t>
      </w:r>
    </w:p>
    <w:p w14:paraId="3174BF25" w14:textId="4DF3EC04" w:rsidR="006B1A12" w:rsidRPr="006B1A12" w:rsidRDefault="007A2DD5" w:rsidP="006B1A12">
      <w:pPr>
        <w:pStyle w:val="BNormal"/>
      </w:pPr>
      <w:r w:rsidRPr="006B1A12">
        <w:t>And it has been held that the TDRA standards are to be used to define “dilutive” under the ACPA.</w:t>
      </w:r>
      <w:r w:rsidR="006B1A12" w:rsidRPr="006B1A12">
        <w:rPr>
          <w:vertAlign w:val="superscript"/>
        </w:rPr>
        <w:footnoteReference w:id="102"/>
      </w:r>
      <w:r w:rsidRPr="006B1A12">
        <w:t xml:space="preserve"> One court interpreted the term “dilutive” to mean “having a tendency to dilute” rather than “actually dilutes.”</w:t>
      </w:r>
      <w:r w:rsidR="006B1A12" w:rsidRPr="006B1A12">
        <w:rPr>
          <w:vertAlign w:val="superscript"/>
        </w:rPr>
        <w:footnoteReference w:id="103"/>
      </w:r>
      <w:r w:rsidRPr="006B1A12">
        <w:t xml:space="preserve"> Moreover, it has been held in a “reverse domain name hijacking” case that making false representations to an arbitrator that would materially affect the decision as to whether one’s domain name is dilutive would be considered dilutive under the ACPA.</w:t>
      </w:r>
      <w:r w:rsidR="006B1A12" w:rsidRPr="006B1A12">
        <w:rPr>
          <w:vertAlign w:val="superscript"/>
        </w:rPr>
        <w:footnoteReference w:id="104"/>
      </w:r>
      <w:r w:rsidRPr="006B1A12">
        <w:t xml:space="preserve"> The court stated that it included false representations that a use was “commercial,” because noncommercial uses are excluded from liability under the TDRA.</w:t>
      </w:r>
      <w:r w:rsidR="006B1A12" w:rsidRPr="006B1A12">
        <w:rPr>
          <w:vertAlign w:val="superscript"/>
        </w:rPr>
        <w:footnoteReference w:id="105"/>
      </w:r>
      <w:r w:rsidRPr="006B1A12">
        <w:t xml:space="preserve"> Finally, it has been held that in a reverse hijacking case it is not necessary to show that the trademark used in the domain name is actually famous</w:t>
      </w:r>
      <w:r w:rsidR="006B1A12" w:rsidRPr="006B1A12">
        <w:t>;</w:t>
      </w:r>
      <w:r w:rsidR="006B1A12" w:rsidRPr="006B1A12">
        <w:t xml:space="preserve"> </w:t>
      </w:r>
      <w:r w:rsidR="006B1A12" w:rsidRPr="006B1A12">
        <w:t>t</w:t>
      </w:r>
      <w:r w:rsidRPr="006B1A12">
        <w:t>he rationale was that otherwise false representations to that effect in order to affect an arbitration proceeding would go unpunished.</w:t>
      </w:r>
      <w:r w:rsidR="006B1A12" w:rsidRPr="006B1A12">
        <w:rPr>
          <w:vertAlign w:val="superscript"/>
        </w:rPr>
        <w:footnoteReference w:id="106"/>
      </w:r>
    </w:p>
    <w:p w14:paraId="326B8417" w14:textId="00222350" w:rsidR="006B1A12" w:rsidRPr="006B1A12" w:rsidRDefault="007A2DD5" w:rsidP="006B1A12">
      <w:pPr>
        <w:pStyle w:val="BNormal"/>
      </w:pPr>
      <w:r w:rsidRPr="006B1A12">
        <w:t xml:space="preserve">In one post-TDRA in rem action, a court found continentalair.com to be dilutive of Continental </w:t>
      </w:r>
      <w:proofErr w:type="spellStart"/>
      <w:r w:rsidRPr="006B1A12">
        <w:t>Airlines’s</w:t>
      </w:r>
      <w:proofErr w:type="spellEnd"/>
      <w:r w:rsidRPr="006B1A12">
        <w:t xml:space="preserve"> marks (which the court found to be famous by apparently using the TDRA standard).</w:t>
      </w:r>
      <w:r w:rsidR="006B1A12" w:rsidRPr="006B1A12">
        <w:rPr>
          <w:vertAlign w:val="superscript"/>
        </w:rPr>
        <w:footnoteReference w:id="107"/>
      </w:r>
      <w:r w:rsidRPr="006B1A12">
        <w:t xml:space="preserve"> The court used the per se dilution standard from pre-TDRA cases</w:t>
      </w:r>
      <w:r w:rsidR="006B1A12" w:rsidRPr="006B1A12">
        <w:t>.</w:t>
      </w:r>
      <w:r w:rsidR="006B1A12" w:rsidRPr="006B1A12">
        <w:t xml:space="preserve"> </w:t>
      </w:r>
      <w:r w:rsidR="006B1A12" w:rsidRPr="006B1A12">
        <w:t>H</w:t>
      </w:r>
      <w:r w:rsidRPr="006B1A12">
        <w:t>owever, the court did not consider whether the TDRA had changed the dilution standard applicable to Internet cases.</w:t>
      </w:r>
    </w:p>
    <w:p w14:paraId="4991C49A" w14:textId="69E991D5" w:rsidR="006B1A12" w:rsidRPr="006B1A12" w:rsidRDefault="007A2DD5" w:rsidP="006B1A12">
      <w:pPr>
        <w:pStyle w:val="BNormal"/>
      </w:pPr>
      <w:r w:rsidRPr="006B1A12">
        <w:t>On the other hand, if courts use a moderately expansive notion of “confusingly similar,” or if they take the position that “confusingly similar” is less stringent than “likelihood of confusion,” it will be unnecessary to reach the dilution issue in the great majority of cases</w:t>
      </w:r>
      <w:r w:rsidR="006B1A12" w:rsidRPr="006B1A12">
        <w:t>.</w:t>
      </w:r>
      <w:r w:rsidR="006B1A12" w:rsidRPr="006B1A12">
        <w:t xml:space="preserve"> </w:t>
      </w:r>
      <w:r w:rsidR="006B1A12" w:rsidRPr="006B1A12">
        <w:t>I</w:t>
      </w:r>
      <w:r w:rsidRPr="006B1A12">
        <w:t>f courts of appeals further induce lower courts to circumscribe their ACPA opinions to include only what is necessary to decide the case, many dilution decisions may be avoided.</w:t>
      </w:r>
      <w:r w:rsidR="006B1A12" w:rsidRPr="006B1A12">
        <w:rPr>
          <w:vertAlign w:val="superscript"/>
        </w:rPr>
        <w:footnoteReference w:id="108"/>
      </w:r>
    </w:p>
    <w:p w14:paraId="1289EC97" w14:textId="0C9705F6" w:rsidR="006B1A12" w:rsidRPr="006B1A12" w:rsidRDefault="00E319AD" w:rsidP="006B1A12">
      <w:pPr>
        <w:pStyle w:val="BHead2"/>
      </w:pPr>
      <w:r>
        <w:t>14.IV.</w:t>
      </w:r>
      <w:r w:rsidR="006B1A12" w:rsidRPr="00E319AD">
        <w:rPr>
          <w:rStyle w:val="BBNAidChar"/>
          <w:rFonts w:eastAsiaTheme="majorEastAsia"/>
        </w:rPr>
        <w:t>C</w:t>
      </w:r>
      <w:r w:rsidR="006B1A12" w:rsidRPr="006B1A12">
        <w:t>.</w:t>
      </w:r>
      <w:r>
        <w:t> </w:t>
      </w:r>
      <w:r w:rsidR="006B1A12" w:rsidRPr="006B1A12">
        <w:tab/>
        <w:t>“Fair Use,” Noncommercial Use, and Bad Faith Intent to Profit</w:t>
      </w:r>
    </w:p>
    <w:p w14:paraId="58287977" w14:textId="2973B98E" w:rsidR="006B1A12" w:rsidRPr="006B1A12" w:rsidRDefault="007A2DD5" w:rsidP="006B1A12">
      <w:pPr>
        <w:pStyle w:val="BNormal"/>
      </w:pPr>
      <w:r w:rsidRPr="006B1A12">
        <w:t>The ACPA contains two provisions that clearly implicate fair use and noncommercial use</w:t>
      </w:r>
      <w:r w:rsidR="006B1A12" w:rsidRPr="006B1A12">
        <w:t>.</w:t>
      </w:r>
      <w:r w:rsidR="006B1A12" w:rsidRPr="006B1A12">
        <w:t xml:space="preserve"> </w:t>
      </w:r>
      <w:r w:rsidR="006B1A12" w:rsidRPr="006B1A12">
        <w:t>T</w:t>
      </w:r>
      <w:r w:rsidRPr="006B1A12">
        <w:t>he fourth factor in determining whether a defendant acted with a bad faith intent to profit allows consideration of the person’s bona fide noncommercial or fair use of the mark in a site accessible under the domain name.</w:t>
      </w:r>
      <w:r w:rsidR="006B1A12" w:rsidRPr="006B1A12">
        <w:rPr>
          <w:vertAlign w:val="superscript"/>
        </w:rPr>
        <w:footnoteReference w:id="109"/>
      </w:r>
    </w:p>
    <w:p w14:paraId="64CC46E1" w14:textId="39FEAABE" w:rsidR="006B1A12" w:rsidRPr="006B1A12" w:rsidRDefault="007A2DD5" w:rsidP="006B1A12">
      <w:pPr>
        <w:pStyle w:val="BNormal"/>
      </w:pPr>
      <w:r w:rsidRPr="006B1A12">
        <w:t>In addition, Section 43(d)(1)(B)(ii) provides</w:t>
      </w:r>
      <w:r w:rsidR="006B1A12" w:rsidRPr="006B1A12">
        <w:t>:</w:t>
      </w:r>
      <w:r w:rsidR="006B1A12" w:rsidRPr="006B1A12">
        <w:t xml:space="preserve"> </w:t>
      </w:r>
      <w:r w:rsidR="006B1A12" w:rsidRPr="006B1A12">
        <w:t>“</w:t>
      </w:r>
      <w:r w:rsidRPr="006B1A12">
        <w:t>Bad faith intent described under subparagraph (A) shall not be found in any case in which the court determines that the person believed and had reasonable grounds to believe that the use of the domain name was a fair use or otherwise lawful.”</w:t>
      </w:r>
      <w:r w:rsidR="006B1A12" w:rsidRPr="006B1A12">
        <w:rPr>
          <w:vertAlign w:val="superscript"/>
        </w:rPr>
        <w:footnoteReference w:id="110"/>
      </w:r>
    </w:p>
    <w:p w14:paraId="160E7B20" w14:textId="210F48DA" w:rsidR="006B1A12" w:rsidRPr="006B1A12" w:rsidRDefault="007A2DD5" w:rsidP="006B1A12">
      <w:pPr>
        <w:pStyle w:val="BNormal"/>
      </w:pPr>
      <w:r w:rsidRPr="006B1A12">
        <w:t>By comparison, the TDRA contains three categorical exclusions from liability, the first of which is a broad “fair use” provision and the third of which excludes “any noncommercial use.”</w:t>
      </w:r>
      <w:r w:rsidR="006B1A12" w:rsidRPr="006B1A12">
        <w:rPr>
          <w:vertAlign w:val="superscript"/>
        </w:rPr>
        <w:footnoteReference w:id="111"/>
      </w:r>
      <w:r w:rsidRPr="006B1A12">
        <w:t xml:space="preserve"> Application of the TDRA exclusions does not require any inquiry into the subjective or reasonable belief of the defendant</w:t>
      </w:r>
      <w:r w:rsidR="006B1A12" w:rsidRPr="006B1A12">
        <w:t>.</w:t>
      </w:r>
      <w:r w:rsidR="006B1A12" w:rsidRPr="006B1A12">
        <w:t xml:space="preserve"> </w:t>
      </w:r>
      <w:r w:rsidR="006B1A12" w:rsidRPr="006B1A12">
        <w:t>I</w:t>
      </w:r>
      <w:r w:rsidRPr="006B1A12">
        <w:t>f the contested use falls into an excluded category, then there is no liability under the TDRA.</w:t>
      </w:r>
    </w:p>
    <w:p w14:paraId="525C1722" w14:textId="03C35375" w:rsidR="006B1A12" w:rsidRPr="006B1A12" w:rsidRDefault="007A2DD5" w:rsidP="006B1A12">
      <w:pPr>
        <w:pStyle w:val="BNormal"/>
      </w:pPr>
      <w:r w:rsidRPr="006B1A12">
        <w:t xml:space="preserve">The ACPA contains seemingly contradictory directions regarding fair use and </w:t>
      </w:r>
      <w:proofErr w:type="gramStart"/>
      <w:r w:rsidRPr="006B1A12">
        <w:t>noncommercial</w:t>
      </w:r>
      <w:proofErr w:type="gramEnd"/>
      <w:r w:rsidRPr="006B1A12">
        <w:t xml:space="preserve"> use</w:t>
      </w:r>
      <w:r w:rsidR="006B1A12" w:rsidRPr="006B1A12">
        <w:t>.</w:t>
      </w:r>
      <w:r w:rsidR="006B1A12" w:rsidRPr="006B1A12">
        <w:t xml:space="preserve"> </w:t>
      </w:r>
      <w:r w:rsidR="006B1A12" w:rsidRPr="006B1A12">
        <w:t>T</w:t>
      </w:r>
      <w:r w:rsidRPr="006B1A12">
        <w:t>he fourth bad-faith factor under the ACPA contemplates that one could be liable for a use that would be considered a fair use or a noncommercial use—such uses are simply mitigating factors, not exclusions</w:t>
      </w:r>
      <w:r w:rsidR="006B1A12" w:rsidRPr="006B1A12">
        <w:t>.</w:t>
      </w:r>
      <w:r w:rsidR="006B1A12" w:rsidRPr="006B1A12">
        <w:t xml:space="preserve"> </w:t>
      </w:r>
      <w:r w:rsidR="006B1A12" w:rsidRPr="006B1A12">
        <w:t>B</w:t>
      </w:r>
      <w:r w:rsidRPr="006B1A12">
        <w:t>ut the safe-harbor clause seems to exclude almost all such instances categorically, save perhaps those instances where the defendant did not subjectively believe in the legitimacy of the use</w:t>
      </w:r>
      <w:r w:rsidR="006B1A12" w:rsidRPr="006B1A12">
        <w:t>.</w:t>
      </w:r>
      <w:r w:rsidR="006B1A12" w:rsidRPr="006B1A12">
        <w:t xml:space="preserve"> </w:t>
      </w:r>
      <w:r w:rsidR="006B1A12" w:rsidRPr="006B1A12">
        <w:t>(</w:t>
      </w:r>
      <w:r w:rsidRPr="006B1A12">
        <w:t xml:space="preserve">If the use </w:t>
      </w:r>
      <w:proofErr w:type="gramStart"/>
      <w:r w:rsidRPr="006B1A12">
        <w:t>actually were</w:t>
      </w:r>
      <w:proofErr w:type="gramEnd"/>
      <w:r w:rsidRPr="006B1A12">
        <w:t xml:space="preserve"> a “fair use” or a noncommercial use, presumably such a belief would be reasonable.) Indeed, in theory, the safe-harbor clause is very broad, since it includes instances where one reasonably believes the use is lawful, even if it is neither noncommercial nor fair use</w:t>
      </w:r>
      <w:r w:rsidR="006B1A12" w:rsidRPr="006B1A12">
        <w:t>.</w:t>
      </w:r>
      <w:r w:rsidR="006B1A12" w:rsidRPr="006B1A12">
        <w:t xml:space="preserve"> </w:t>
      </w:r>
      <w:r w:rsidR="006B1A12" w:rsidRPr="006B1A12">
        <w:t>O</w:t>
      </w:r>
      <w:r w:rsidRPr="006B1A12">
        <w:t>ne issue is whether the practice reflects the theory</w:t>
      </w:r>
      <w:r w:rsidR="006B1A12" w:rsidRPr="006B1A12">
        <w:t>;</w:t>
      </w:r>
      <w:r w:rsidR="006B1A12" w:rsidRPr="006B1A12">
        <w:t xml:space="preserve"> </w:t>
      </w:r>
      <w:r w:rsidR="006B1A12" w:rsidRPr="006B1A12">
        <w:t>a</w:t>
      </w:r>
      <w:r w:rsidRPr="006B1A12">
        <w:t>nother is the extent to which the jurisprudence of exclusions under the TDRA is applied to the ACPA.</w:t>
      </w:r>
    </w:p>
    <w:p w14:paraId="714E15A8" w14:textId="09A100BE" w:rsidR="006B1A12" w:rsidRPr="006B1A12" w:rsidRDefault="007A2DD5" w:rsidP="006B1A12">
      <w:pPr>
        <w:pStyle w:val="BNormal"/>
      </w:pPr>
      <w:r w:rsidRPr="006B1A12">
        <w:t>The judicial experience indicates that the application of the safe-harbor clause is not as broad as its language suggests</w:t>
      </w:r>
      <w:r w:rsidR="006B1A12" w:rsidRPr="006B1A12">
        <w:t>.</w:t>
      </w:r>
      <w:r w:rsidR="006B1A12" w:rsidRPr="006B1A12">
        <w:t xml:space="preserve"> </w:t>
      </w:r>
      <w:r w:rsidR="006B1A12" w:rsidRPr="006B1A12">
        <w:t>I</w:t>
      </w:r>
      <w:r w:rsidRPr="006B1A12">
        <w:t>n addition, it is unclear to what extent courts are willing to import some of the exclusionary language of the TDRA into the ACPA.</w:t>
      </w:r>
    </w:p>
    <w:p w14:paraId="29D4292C" w14:textId="04347A31" w:rsidR="006B1A12" w:rsidRPr="006B1A12" w:rsidRDefault="007A2DD5" w:rsidP="006B1A12">
      <w:pPr>
        <w:pStyle w:val="BNormal"/>
      </w:pPr>
      <w:r w:rsidRPr="006B1A12">
        <w:t>The Fourth Circuit has held that the safe harbor does not apply where the defendant “acts even partially in bad faith.”</w:t>
      </w:r>
      <w:r w:rsidR="006B1A12" w:rsidRPr="006B1A12">
        <w:rPr>
          <w:vertAlign w:val="superscript"/>
        </w:rPr>
        <w:footnoteReference w:id="112"/>
      </w:r>
      <w:r w:rsidRPr="006B1A12">
        <w:t xml:space="preserve"> It did so in the belief that otherwise the safe harbor would “undermine the rest of the statute.”</w:t>
      </w:r>
      <w:r w:rsidR="006B1A12" w:rsidRPr="006B1A12">
        <w:rPr>
          <w:vertAlign w:val="superscript"/>
        </w:rPr>
        <w:footnoteReference w:id="113"/>
      </w:r>
      <w:r w:rsidRPr="006B1A12">
        <w:t xml:space="preserve"> This concern is understandable, but it also undercuts the safe harbor</w:t>
      </w:r>
      <w:r w:rsidR="006B1A12" w:rsidRPr="006B1A12">
        <w:t>.</w:t>
      </w:r>
      <w:r w:rsidR="006B1A12" w:rsidRPr="006B1A12">
        <w:t xml:space="preserve"> </w:t>
      </w:r>
      <w:r w:rsidR="006B1A12" w:rsidRPr="006B1A12">
        <w:t>A</w:t>
      </w:r>
      <w:r w:rsidRPr="006B1A12">
        <w:t xml:space="preserve"> use could be a “fair use” in the nominative sense (which is expressly part of the dilution exclusion) and still be made for profit</w:t>
      </w:r>
      <w:r w:rsidR="006B1A12" w:rsidRPr="006B1A12">
        <w:t>.</w:t>
      </w:r>
      <w:r w:rsidR="006B1A12" w:rsidRPr="006B1A12">
        <w:t xml:space="preserve"> </w:t>
      </w:r>
      <w:r w:rsidR="006B1A12" w:rsidRPr="006B1A12">
        <w:t>A</w:t>
      </w:r>
      <w:r w:rsidRPr="006B1A12">
        <w:t xml:space="preserve">nd if the safe harbor does not shield </w:t>
      </w:r>
      <w:r w:rsidR="006B1A12" w:rsidRPr="006B1A12">
        <w:rPr>
          <w:i/>
        </w:rPr>
        <w:t>some</w:t>
      </w:r>
      <w:r w:rsidRPr="006B1A12">
        <w:t xml:space="preserve"> </w:t>
      </w:r>
      <w:proofErr w:type="gramStart"/>
      <w:r w:rsidRPr="006B1A12">
        <w:t>bad-faith</w:t>
      </w:r>
      <w:proofErr w:type="gramEnd"/>
      <w:r w:rsidRPr="006B1A12">
        <w:t xml:space="preserve"> uses, then it does not truly operate as a safe harbor.</w:t>
      </w:r>
      <w:r w:rsidR="006B1A12" w:rsidRPr="006B1A12">
        <w:rPr>
          <w:vertAlign w:val="superscript"/>
        </w:rPr>
        <w:footnoteReference w:id="114"/>
      </w:r>
    </w:p>
    <w:p w14:paraId="61E4D077" w14:textId="6EF50AF3" w:rsidR="006B1A12" w:rsidRPr="006B1A12" w:rsidRDefault="007A2DD5" w:rsidP="006B1A12">
      <w:pPr>
        <w:pStyle w:val="BNormal"/>
      </w:pPr>
      <w:r w:rsidRPr="006B1A12">
        <w:t>By contrast, the same court later found no bad faith intent to profit in a case involving a gripe site that criticized the Rev</w:t>
      </w:r>
      <w:r w:rsidR="006B1A12" w:rsidRPr="006B1A12">
        <w:t>.</w:t>
      </w:r>
      <w:r w:rsidR="006B1A12" w:rsidRPr="006B1A12">
        <w:t xml:space="preserve"> </w:t>
      </w:r>
      <w:r w:rsidR="006B1A12" w:rsidRPr="006B1A12">
        <w:t>J</w:t>
      </w:r>
      <w:r w:rsidRPr="006B1A12">
        <w:t>erry Falwell, using the domain name www.fallwell.com (a common misspelling of Falwell).</w:t>
      </w:r>
      <w:r w:rsidR="006B1A12" w:rsidRPr="006B1A12">
        <w:rPr>
          <w:vertAlign w:val="superscript"/>
        </w:rPr>
        <w:footnoteReference w:id="115"/>
      </w:r>
      <w:r w:rsidRPr="006B1A12">
        <w:t xml:space="preserve"> Here, the Fourth Circuit stated that making money did not constitute a bad faith intent to profit (the defendant’s website linked to a commercial site selling his book).</w:t>
      </w:r>
      <w:r w:rsidR="006B1A12" w:rsidRPr="006B1A12">
        <w:rPr>
          <w:vertAlign w:val="superscript"/>
        </w:rPr>
        <w:footnoteReference w:id="116"/>
      </w:r>
      <w:r w:rsidRPr="006B1A12">
        <w:t xml:space="preserve"> However, the court did not discuss the safe harbor</w:t>
      </w:r>
      <w:r w:rsidR="006B1A12" w:rsidRPr="006B1A12">
        <w:t>.</w:t>
      </w:r>
      <w:r w:rsidR="006B1A12" w:rsidRPr="006B1A12">
        <w:t xml:space="preserve"> </w:t>
      </w:r>
      <w:r w:rsidR="006B1A12" w:rsidRPr="006B1A12">
        <w:t>R</w:t>
      </w:r>
      <w:r w:rsidRPr="006B1A12">
        <w:t>ather, it rested its decision on the noncommercial nature of the use (fourth factor), which made confusion unlikely and tended to negate any bad faith intent to profit.</w:t>
      </w:r>
      <w:r w:rsidR="006B1A12" w:rsidRPr="006B1A12">
        <w:rPr>
          <w:vertAlign w:val="superscript"/>
        </w:rPr>
        <w:footnoteReference w:id="117"/>
      </w:r>
    </w:p>
    <w:p w14:paraId="7F661030" w14:textId="13B2B615" w:rsidR="006B1A12" w:rsidRPr="006B1A12" w:rsidRDefault="007A2DD5" w:rsidP="006B1A12">
      <w:pPr>
        <w:pStyle w:val="BNormal"/>
      </w:pPr>
      <w:r w:rsidRPr="006B1A12">
        <w:t xml:space="preserve">The Eleventh Circuit seemingly adopted an approach similar to </w:t>
      </w:r>
      <w:r w:rsidR="006B1A12" w:rsidRPr="006B1A12">
        <w:rPr>
          <w:i/>
        </w:rPr>
        <w:t>Virtual Works</w:t>
      </w:r>
      <w:r w:rsidRPr="006B1A12">
        <w:t xml:space="preserve"> in </w:t>
      </w:r>
      <w:r w:rsidR="006B1A12" w:rsidRPr="006B1A12">
        <w:rPr>
          <w:i/>
        </w:rPr>
        <w:t>Pensacola Motor Sales Inc</w:t>
      </w:r>
      <w:r w:rsidR="006B1A12" w:rsidRPr="006B1A12">
        <w:t>.</w:t>
      </w:r>
      <w:r w:rsidR="006B1A12" w:rsidRPr="006B1A12">
        <w:t xml:space="preserve"> </w:t>
      </w:r>
      <w:r w:rsidR="006B1A12" w:rsidRPr="006B1A12">
        <w:rPr>
          <w:i/>
        </w:rPr>
        <w:t>v</w:t>
      </w:r>
      <w:r w:rsidR="006B1A12" w:rsidRPr="006B1A12">
        <w:t>.</w:t>
      </w:r>
      <w:r w:rsidR="006B1A12" w:rsidRPr="006B1A12">
        <w:t xml:space="preserve"> </w:t>
      </w:r>
      <w:r w:rsidR="006B1A12" w:rsidRPr="006B1A12">
        <w:rPr>
          <w:i/>
        </w:rPr>
        <w:t>Eastern Shore Toyota, LLC</w:t>
      </w:r>
      <w:r w:rsidRPr="006B1A12">
        <w:t>.</w:t>
      </w:r>
      <w:r w:rsidR="006B1A12" w:rsidRPr="006B1A12">
        <w:rPr>
          <w:vertAlign w:val="superscript"/>
        </w:rPr>
        <w:footnoteReference w:id="118"/>
      </w:r>
      <w:r w:rsidRPr="006B1A12">
        <w:t xml:space="preserve"> However, in </w:t>
      </w:r>
      <w:r w:rsidR="006B1A12" w:rsidRPr="006B1A12">
        <w:rPr>
          <w:i/>
        </w:rPr>
        <w:t>Pensacola</w:t>
      </w:r>
      <w:r w:rsidRPr="006B1A12">
        <w:t>, the court upheld the district court’s jury instruction concerning the safe harbor,</w:t>
      </w:r>
      <w:r w:rsidR="006B1A12" w:rsidRPr="006B1A12">
        <w:rPr>
          <w:vertAlign w:val="superscript"/>
        </w:rPr>
        <w:footnoteReference w:id="119"/>
      </w:r>
      <w:r w:rsidRPr="006B1A12">
        <w:t xml:space="preserve"> while at the same time asserting that the jury’s finding of bad faith intent to profit was inconsistent with its finding that the safe harbor applied.</w:t>
      </w:r>
      <w:r w:rsidR="006B1A12" w:rsidRPr="006B1A12">
        <w:rPr>
          <w:vertAlign w:val="superscript"/>
        </w:rPr>
        <w:footnoteReference w:id="120"/>
      </w:r>
    </w:p>
    <w:p w14:paraId="40F04B1F" w14:textId="66993265" w:rsidR="006B1A12" w:rsidRPr="006B1A12" w:rsidRDefault="007A2DD5" w:rsidP="006B1A12">
      <w:pPr>
        <w:pStyle w:val="BNormal"/>
      </w:pPr>
      <w:r w:rsidRPr="006B1A12">
        <w:t>Thus, despite the wording of the ACPA safe harbor, courts are clearly reluctant to allow it to be a complete defense to cybersquatting</w:t>
      </w:r>
      <w:r w:rsidR="006B1A12" w:rsidRPr="006B1A12">
        <w:t>.</w:t>
      </w:r>
      <w:r w:rsidR="006B1A12" w:rsidRPr="006B1A12">
        <w:t xml:space="preserve"> </w:t>
      </w:r>
      <w:r w:rsidR="006B1A12" w:rsidRPr="006B1A12">
        <w:t>U</w:t>
      </w:r>
      <w:r w:rsidRPr="006B1A12">
        <w:t>nfortunately, courts also have not made clear the relationship among the safe harbor, the fourth factor in determining bad faith, and the TDRA.</w:t>
      </w:r>
    </w:p>
    <w:p w14:paraId="5F4A7FE7" w14:textId="64CD4450" w:rsidR="006B1A12" w:rsidRPr="006B1A12" w:rsidRDefault="007A2DD5" w:rsidP="006B1A12">
      <w:pPr>
        <w:pStyle w:val="BNormal"/>
      </w:pPr>
      <w:r w:rsidRPr="006B1A12">
        <w:t>In a statement incidental to a ruling on another issue, the Fifth Circuit did tie the ACPA to the TDRA by saying that dilution under the ACPA excludes noncommercial uses, citing Section 43(c)(3)(C) of the Lanham Act.</w:t>
      </w:r>
      <w:r w:rsidR="006B1A12" w:rsidRPr="006B1A12">
        <w:rPr>
          <w:vertAlign w:val="superscript"/>
        </w:rPr>
        <w:footnoteReference w:id="121"/>
      </w:r>
      <w:r w:rsidRPr="006B1A12">
        <w:t xml:space="preserve"> However, this case did not involve either the safe harbor or the fourth bad-faith factor.</w:t>
      </w:r>
    </w:p>
    <w:p w14:paraId="01030B71" w14:textId="18CC6AE9" w:rsidR="006B1A12" w:rsidRPr="006B1A12" w:rsidRDefault="00E319AD" w:rsidP="006B1A12">
      <w:pPr>
        <w:pStyle w:val="BHead1"/>
      </w:pPr>
      <w:r>
        <w:t>14.</w:t>
      </w:r>
      <w:r w:rsidR="006B1A12" w:rsidRPr="00E319AD">
        <w:rPr>
          <w:rStyle w:val="BBNAidChar"/>
          <w:rFonts w:eastAsiaTheme="majorEastAsia"/>
        </w:rPr>
        <w:t>V</w:t>
      </w:r>
      <w:r w:rsidR="006B1A12" w:rsidRPr="006B1A12">
        <w:t>.</w:t>
      </w:r>
      <w:r>
        <w:t xml:space="preserve">  </w:t>
      </w:r>
      <w:r w:rsidR="006B1A12" w:rsidRPr="006B1A12">
        <w:t>In Rem Actions Under the ACPA</w:t>
      </w:r>
    </w:p>
    <w:p w14:paraId="3B84BD3E" w14:textId="2E40B5B3" w:rsidR="006B1A12" w:rsidRPr="006B1A12" w:rsidRDefault="007A2DD5" w:rsidP="006B1A12">
      <w:pPr>
        <w:pStyle w:val="BNormal"/>
      </w:pPr>
      <w:r w:rsidRPr="006B1A12">
        <w:t>Congress recognized that providing a civil action for cybersquatting left certain problems unsolved</w:t>
      </w:r>
      <w:r w:rsidR="006B1A12" w:rsidRPr="006B1A12">
        <w:t>.</w:t>
      </w:r>
      <w:r w:rsidR="006B1A12" w:rsidRPr="006B1A12">
        <w:t xml:space="preserve"> </w:t>
      </w:r>
      <w:r w:rsidR="006B1A12" w:rsidRPr="006B1A12">
        <w:t>F</w:t>
      </w:r>
      <w:r w:rsidRPr="006B1A12">
        <w:t>irst and foremost, some registrants are difficult to find, sometimes because they give false information to the domain-name registrar</w:t>
      </w:r>
      <w:r w:rsidR="006B1A12" w:rsidRPr="006B1A12">
        <w:t>.</w:t>
      </w:r>
      <w:r w:rsidR="006B1A12" w:rsidRPr="006B1A12">
        <w:t xml:space="preserve"> </w:t>
      </w:r>
      <w:r w:rsidR="006B1A12" w:rsidRPr="006B1A12">
        <w:t>S</w:t>
      </w:r>
      <w:r w:rsidRPr="006B1A12">
        <w:t>econd, some registrants have legitimate reasons for seeking anonymity due to the nature of their planned website.</w:t>
      </w:r>
      <w:r w:rsidR="006B1A12" w:rsidRPr="006B1A12">
        <w:rPr>
          <w:vertAlign w:val="superscript"/>
        </w:rPr>
        <w:footnoteReference w:id="122"/>
      </w:r>
      <w:r w:rsidRPr="006B1A12">
        <w:t xml:space="preserve"> To resolve these somewhat antithetical issues, the ACPA permits an </w:t>
      </w:r>
      <w:proofErr w:type="gramStart"/>
      <w:r w:rsidRPr="006B1A12">
        <w:t>in rem</w:t>
      </w:r>
      <w:proofErr w:type="gramEnd"/>
      <w:r w:rsidRPr="006B1A12">
        <w:t xml:space="preserve"> action against the domain name, which is the res,</w:t>
      </w:r>
      <w:r w:rsidR="006B1A12" w:rsidRPr="006B1A12">
        <w:rPr>
          <w:vertAlign w:val="superscript"/>
        </w:rPr>
        <w:footnoteReference w:id="123"/>
      </w:r>
      <w:r w:rsidRPr="006B1A12">
        <w:t xml:space="preserve"> in lieu of an in </w:t>
      </w:r>
      <w:proofErr w:type="spellStart"/>
      <w:r w:rsidRPr="006B1A12">
        <w:t>personam</w:t>
      </w:r>
      <w:proofErr w:type="spellEnd"/>
      <w:r w:rsidRPr="006B1A12">
        <w:t xml:space="preserve"> action against the registrant</w:t>
      </w:r>
      <w:r w:rsidR="006B1A12" w:rsidRPr="006B1A12">
        <w:t>.</w:t>
      </w:r>
      <w:r w:rsidR="006B1A12" w:rsidRPr="006B1A12">
        <w:t xml:space="preserve"> </w:t>
      </w:r>
      <w:r w:rsidR="006B1A12" w:rsidRPr="006B1A12">
        <w:t>I</w:t>
      </w:r>
      <w:r w:rsidRPr="006B1A12">
        <w:t>n rem actions are limited in various ways,</w:t>
      </w:r>
      <w:r w:rsidR="006B1A12" w:rsidRPr="006B1A12">
        <w:rPr>
          <w:vertAlign w:val="superscript"/>
        </w:rPr>
        <w:footnoteReference w:id="124"/>
      </w:r>
      <w:r w:rsidRPr="006B1A12">
        <w:t xml:space="preserve"> including location</w:t>
      </w:r>
      <w:r w:rsidR="006B1A12" w:rsidRPr="006B1A12">
        <w:t>:</w:t>
      </w:r>
      <w:r w:rsidR="006B1A12" w:rsidRPr="006B1A12">
        <w:t xml:space="preserve"> </w:t>
      </w:r>
      <w:r w:rsidR="006B1A12" w:rsidRPr="006B1A12">
        <w:t>t</w:t>
      </w:r>
      <w:r w:rsidRPr="006B1A12">
        <w:t>hey may be brought only where the domain name registrar is located.</w:t>
      </w:r>
      <w:r w:rsidR="006B1A12" w:rsidRPr="006B1A12">
        <w:rPr>
          <w:vertAlign w:val="superscript"/>
        </w:rPr>
        <w:footnoteReference w:id="125"/>
      </w:r>
    </w:p>
    <w:p w14:paraId="2EFC3EFC" w14:textId="752E3D7D" w:rsidR="006B1A12" w:rsidRPr="006B1A12" w:rsidRDefault="00E319AD" w:rsidP="006B1A12">
      <w:pPr>
        <w:pStyle w:val="BHead2"/>
      </w:pPr>
      <w:r>
        <w:t>14.V.</w:t>
      </w:r>
      <w:r w:rsidR="006B1A12" w:rsidRPr="00E319AD">
        <w:rPr>
          <w:rStyle w:val="BBNAidChar"/>
          <w:rFonts w:eastAsiaTheme="majorEastAsia"/>
        </w:rPr>
        <w:t>A</w:t>
      </w:r>
      <w:r w:rsidR="006B1A12" w:rsidRPr="006B1A12">
        <w:t>.</w:t>
      </w:r>
      <w:r>
        <w:t> </w:t>
      </w:r>
      <w:r w:rsidR="006B1A12" w:rsidRPr="006B1A12">
        <w:tab/>
        <w:t>Violation of a Right Protected by the Trademark Laws</w:t>
      </w:r>
    </w:p>
    <w:p w14:paraId="708B9B6E" w14:textId="03876EEB" w:rsidR="006B1A12" w:rsidRPr="006B1A12" w:rsidRDefault="007A2DD5" w:rsidP="006B1A12">
      <w:pPr>
        <w:pStyle w:val="BNormal"/>
      </w:pPr>
      <w:r w:rsidRPr="006B1A12">
        <w:t>In order to succeed in an in rem action, the plaintiff must show that the domain name violates a right protected by the trademark laws.</w:t>
      </w:r>
      <w:r w:rsidR="006B1A12" w:rsidRPr="006B1A12">
        <w:rPr>
          <w:vertAlign w:val="superscript"/>
        </w:rPr>
        <w:footnoteReference w:id="126"/>
      </w:r>
      <w:r w:rsidRPr="006B1A12">
        <w:t xml:space="preserve"> The plaintiff also must show either that the domain-name owner cannot be made subject to personal jurisdiction</w:t>
      </w:r>
      <w:r w:rsidR="006B1A12" w:rsidRPr="006B1A12">
        <w:rPr>
          <w:vertAlign w:val="superscript"/>
        </w:rPr>
        <w:footnoteReference w:id="127"/>
      </w:r>
      <w:r w:rsidRPr="006B1A12">
        <w:t xml:space="preserve"> or that the proper defendant could not be found after exercising due diligence.</w:t>
      </w:r>
      <w:r w:rsidR="006B1A12" w:rsidRPr="006B1A12">
        <w:rPr>
          <w:vertAlign w:val="superscript"/>
        </w:rPr>
        <w:footnoteReference w:id="128"/>
      </w:r>
      <w:r w:rsidRPr="006B1A12">
        <w:t xml:space="preserve"> It would seem that this provision requires a plaintiff to show either dilution of a famous mark (as in Section 43(c) of the Lanham Act) or likelihood of confusion with a mark that is either registered or protected under Section 43(a)</w:t>
      </w:r>
      <w:r w:rsidR="006B1A12" w:rsidRPr="006B1A12">
        <w:t>.</w:t>
      </w:r>
      <w:r w:rsidR="006B1A12" w:rsidRPr="006B1A12">
        <w:t xml:space="preserve"> </w:t>
      </w:r>
      <w:r w:rsidR="006B1A12" w:rsidRPr="006B1A12">
        <w:t>H</w:t>
      </w:r>
      <w:r w:rsidRPr="006B1A12">
        <w:t xml:space="preserve">owever, it has been held that the in rem provision was intended to incorporate the “identical or confusingly similar” standard used for in </w:t>
      </w:r>
      <w:proofErr w:type="spellStart"/>
      <w:r w:rsidRPr="006B1A12">
        <w:t>personam</w:t>
      </w:r>
      <w:proofErr w:type="spellEnd"/>
      <w:r w:rsidRPr="006B1A12">
        <w:t xml:space="preserve"> actions.</w:t>
      </w:r>
      <w:r w:rsidR="006B1A12" w:rsidRPr="006B1A12">
        <w:rPr>
          <w:vertAlign w:val="superscript"/>
        </w:rPr>
        <w:footnoteReference w:id="129"/>
      </w:r>
      <w:r w:rsidRPr="006B1A12">
        <w:t xml:space="preserve"> This latter standard has been held to be a more lenient standard that does not require a showing of likelihood of confusion.</w:t>
      </w:r>
      <w:r w:rsidR="006B1A12" w:rsidRPr="006B1A12">
        <w:rPr>
          <w:vertAlign w:val="superscript"/>
        </w:rPr>
        <w:footnoteReference w:id="130"/>
      </w:r>
      <w:r w:rsidRPr="006B1A12">
        <w:t xml:space="preserve"> However, this construction is somewhat awkward given the wording of the statute, which requires a showing of a violation of a trademark right</w:t>
      </w:r>
      <w:r w:rsidR="006B1A12" w:rsidRPr="006B1A12">
        <w:t>.</w:t>
      </w:r>
      <w:r w:rsidR="006B1A12" w:rsidRPr="006B1A12">
        <w:t xml:space="preserve"> </w:t>
      </w:r>
      <w:r w:rsidR="006B1A12" w:rsidRPr="006B1A12">
        <w:t>M</w:t>
      </w:r>
      <w:r w:rsidRPr="006B1A12">
        <w:t>oreover, it would not be illogical to require a different standard for in rem actions given the lack of personal jurisdiction over the domain-name registrant and the more limited remedies available to in rem plaintiffs.</w:t>
      </w:r>
      <w:r w:rsidR="006B1A12" w:rsidRPr="006B1A12">
        <w:rPr>
          <w:vertAlign w:val="superscript"/>
        </w:rPr>
        <w:footnoteReference w:id="131"/>
      </w:r>
    </w:p>
    <w:p w14:paraId="7EEBE025" w14:textId="09F9E43E" w:rsidR="006B1A12" w:rsidRPr="006B1A12" w:rsidRDefault="00E319AD" w:rsidP="006B1A12">
      <w:pPr>
        <w:pStyle w:val="BHead2"/>
      </w:pPr>
      <w:r>
        <w:t>14.V.</w:t>
      </w:r>
      <w:r w:rsidR="006B1A12" w:rsidRPr="00E319AD">
        <w:rPr>
          <w:rStyle w:val="BBNAidChar"/>
          <w:rFonts w:eastAsiaTheme="majorEastAsia"/>
        </w:rPr>
        <w:t>B</w:t>
      </w:r>
      <w:r w:rsidR="006B1A12" w:rsidRPr="006B1A12">
        <w:t>.</w:t>
      </w:r>
      <w:r>
        <w:t> </w:t>
      </w:r>
      <w:r w:rsidR="006B1A12" w:rsidRPr="006B1A12">
        <w:tab/>
        <w:t>Whether Bad Faith Intent to Profit Is Required</w:t>
      </w:r>
    </w:p>
    <w:p w14:paraId="1E888A2C" w14:textId="7DB6ED82" w:rsidR="006B1A12" w:rsidRPr="006B1A12" w:rsidRDefault="007A2DD5" w:rsidP="006B1A12">
      <w:pPr>
        <w:pStyle w:val="BNormal"/>
      </w:pPr>
      <w:r w:rsidRPr="006B1A12">
        <w:t xml:space="preserve">A second issue for </w:t>
      </w:r>
      <w:proofErr w:type="gramStart"/>
      <w:r w:rsidRPr="006B1A12">
        <w:t>in rem</w:t>
      </w:r>
      <w:proofErr w:type="gramEnd"/>
      <w:r w:rsidRPr="006B1A12">
        <w:t xml:space="preserve"> actions is the possible requirement of bad faith intent to profit, which is an element of any </w:t>
      </w:r>
      <w:proofErr w:type="gramStart"/>
      <w:r w:rsidRPr="006B1A12">
        <w:t xml:space="preserve">in </w:t>
      </w:r>
      <w:proofErr w:type="spellStart"/>
      <w:r w:rsidRPr="006B1A12">
        <w:t>personam</w:t>
      </w:r>
      <w:proofErr w:type="spellEnd"/>
      <w:proofErr w:type="gramEnd"/>
      <w:r w:rsidRPr="006B1A12">
        <w:t xml:space="preserve"> action under the ACPA</w:t>
      </w:r>
      <w:r w:rsidR="006B1A12" w:rsidRPr="006B1A12">
        <w:t>.</w:t>
      </w:r>
      <w:r w:rsidR="006B1A12" w:rsidRPr="006B1A12">
        <w:t xml:space="preserve"> </w:t>
      </w:r>
      <w:r w:rsidR="006B1A12" w:rsidRPr="006B1A12">
        <w:t>O</w:t>
      </w:r>
      <w:r w:rsidRPr="006B1A12">
        <w:t>n its face, the in rem provision only requires a showing of a violation of a trademark right of the plaintiff and contains no reference to a “bad faith intent to profit.”</w:t>
      </w:r>
      <w:r w:rsidR="006B1A12" w:rsidRPr="006B1A12">
        <w:rPr>
          <w:vertAlign w:val="superscript"/>
        </w:rPr>
        <w:footnoteReference w:id="132"/>
      </w:r>
      <w:r w:rsidRPr="006B1A12">
        <w:t xml:space="preserve"> Nevertheless, several courts have held that a bad faith intent to profit must be shown in an in rem action.</w:t>
      </w:r>
      <w:r w:rsidR="006B1A12" w:rsidRPr="006B1A12">
        <w:rPr>
          <w:vertAlign w:val="superscript"/>
        </w:rPr>
        <w:footnoteReference w:id="133"/>
      </w:r>
      <w:r w:rsidRPr="006B1A12">
        <w:t xml:space="preserve"> These courts relied on the language of Section 43(d)(2)(A)(ii) of the Lanham Act</w:t>
      </w:r>
      <w:r w:rsidR="006B1A12" w:rsidRPr="006B1A12">
        <w:t>.</w:t>
      </w:r>
      <w:r w:rsidR="006B1A12" w:rsidRPr="006B1A12">
        <w:t xml:space="preserve"> </w:t>
      </w:r>
      <w:r w:rsidR="006B1A12" w:rsidRPr="006B1A12">
        <w:t>T</w:t>
      </w:r>
      <w:r w:rsidRPr="006B1A12">
        <w:t>hat section, which contains two alternative subsections, requires in substance that a court in an in rem action determine either that the court could not obtain personal jurisdiction over the domain name registrant or that the registrant could not be found after using specified methods of “due diligence” to find him or her.</w:t>
      </w:r>
      <w:r w:rsidR="006B1A12" w:rsidRPr="006B1A12">
        <w:rPr>
          <w:vertAlign w:val="superscript"/>
        </w:rPr>
        <w:footnoteReference w:id="134"/>
      </w:r>
      <w:r w:rsidRPr="006B1A12">
        <w:t xml:space="preserve"> Courts point to language in both subsections referring to the absent registrant as “a person who would have been a defendant in a civil action under paragraph (1),” i.e., the in </w:t>
      </w:r>
      <w:proofErr w:type="spellStart"/>
      <w:r w:rsidRPr="006B1A12">
        <w:t>personam</w:t>
      </w:r>
      <w:proofErr w:type="spellEnd"/>
      <w:r w:rsidRPr="006B1A12">
        <w:t xml:space="preserve"> section</w:t>
      </w:r>
      <w:r w:rsidR="006B1A12" w:rsidRPr="006B1A12">
        <w:t>.</w:t>
      </w:r>
      <w:r w:rsidR="006B1A12" w:rsidRPr="006B1A12">
        <w:t xml:space="preserve"> </w:t>
      </w:r>
      <w:r w:rsidR="006B1A12" w:rsidRPr="006B1A12">
        <w:t>T</w:t>
      </w:r>
      <w:r w:rsidRPr="006B1A12">
        <w:t xml:space="preserve">hey reason that Congress intended by this language to incorporate by reference </w:t>
      </w:r>
      <w:proofErr w:type="gramStart"/>
      <w:r w:rsidRPr="006B1A12">
        <w:t>all of</w:t>
      </w:r>
      <w:proofErr w:type="gramEnd"/>
      <w:r w:rsidRPr="006B1A12">
        <w:t xml:space="preserve"> the requirements that must be shown under paragraph (1) to impose liability on such defendants, including bad faith.</w:t>
      </w:r>
      <w:r w:rsidR="006B1A12" w:rsidRPr="006B1A12">
        <w:rPr>
          <w:vertAlign w:val="superscript"/>
        </w:rPr>
        <w:footnoteReference w:id="135"/>
      </w:r>
      <w:r w:rsidRPr="006B1A12">
        <w:t xml:space="preserve"> They further reason that the ACPA was intended to apply only in the narrow circumstances of bad faith as required by the in </w:t>
      </w:r>
      <w:proofErr w:type="spellStart"/>
      <w:r w:rsidRPr="006B1A12">
        <w:t>personam</w:t>
      </w:r>
      <w:proofErr w:type="spellEnd"/>
      <w:r w:rsidRPr="006B1A12">
        <w:t xml:space="preserve"> section.</w:t>
      </w:r>
      <w:r w:rsidR="006B1A12" w:rsidRPr="006B1A12">
        <w:rPr>
          <w:vertAlign w:val="superscript"/>
        </w:rPr>
        <w:footnoteReference w:id="136"/>
      </w:r>
    </w:p>
    <w:p w14:paraId="0CF9E6CA" w14:textId="754180B7" w:rsidR="006B1A12" w:rsidRPr="006B1A12" w:rsidRDefault="007A2DD5" w:rsidP="006B1A12">
      <w:pPr>
        <w:pStyle w:val="BNormal"/>
      </w:pPr>
      <w:r w:rsidRPr="006B1A12">
        <w:t>One court, after determining that the statute was ambiguous on this point,</w:t>
      </w:r>
      <w:r w:rsidR="006B1A12" w:rsidRPr="006B1A12">
        <w:rPr>
          <w:vertAlign w:val="superscript"/>
        </w:rPr>
        <w:footnoteReference w:id="137"/>
      </w:r>
      <w:r w:rsidRPr="006B1A12">
        <w:t xml:space="preserve"> held that the purpose of the statute supported incorporation of the bad-faith requirement into the </w:t>
      </w:r>
      <w:proofErr w:type="gramStart"/>
      <w:r w:rsidRPr="006B1A12">
        <w:t>in rem</w:t>
      </w:r>
      <w:proofErr w:type="gramEnd"/>
      <w:r w:rsidRPr="006B1A12">
        <w:t xml:space="preserve"> section of the statute.</w:t>
      </w:r>
      <w:r w:rsidR="006B1A12" w:rsidRPr="006B1A12">
        <w:rPr>
          <w:vertAlign w:val="superscript"/>
        </w:rPr>
        <w:footnoteReference w:id="138"/>
      </w:r>
    </w:p>
    <w:p w14:paraId="25FEDC2E" w14:textId="4B3C61CC" w:rsidR="006B1A12" w:rsidRPr="006B1A12" w:rsidRDefault="007A2DD5" w:rsidP="006B1A12">
      <w:pPr>
        <w:pStyle w:val="BNormal"/>
      </w:pPr>
      <w:r w:rsidRPr="006B1A12">
        <w:t xml:space="preserve">However, in </w:t>
      </w:r>
      <w:r w:rsidR="006B1A12" w:rsidRPr="006B1A12">
        <w:rPr>
          <w:i/>
        </w:rPr>
        <w:t>Harrod’s, Ltd</w:t>
      </w:r>
      <w:r w:rsidR="006B1A12" w:rsidRPr="006B1A12">
        <w:t>.</w:t>
      </w:r>
      <w:r w:rsidR="006B1A12" w:rsidRPr="006B1A12">
        <w:t xml:space="preserve"> </w:t>
      </w:r>
      <w:r w:rsidR="006B1A12" w:rsidRPr="006B1A12">
        <w:rPr>
          <w:i/>
        </w:rPr>
        <w:t>v</w:t>
      </w:r>
      <w:r w:rsidR="006B1A12" w:rsidRPr="006B1A12">
        <w:t>.</w:t>
      </w:r>
      <w:r w:rsidR="006B1A12" w:rsidRPr="006B1A12">
        <w:t xml:space="preserve"> </w:t>
      </w:r>
      <w:r w:rsidR="006B1A12" w:rsidRPr="006B1A12">
        <w:rPr>
          <w:i/>
        </w:rPr>
        <w:t>Sixty Internet Domain Names</w:t>
      </w:r>
      <w:r w:rsidRPr="006B1A12">
        <w:t>,</w:t>
      </w:r>
      <w:r w:rsidR="006B1A12" w:rsidRPr="006B1A12">
        <w:rPr>
          <w:vertAlign w:val="superscript"/>
        </w:rPr>
        <w:footnoteReference w:id="139"/>
      </w:r>
      <w:r w:rsidRPr="006B1A12">
        <w:t xml:space="preserve"> the Fourth Circuit (which oversees most of the courts that have ruled on this question) held that the in rem provisions allow a mark owner to assert claims against a domain name registrant that do not have a bad-faith requirement—that is, claims for infringement and dilution—in addition to claims for bad faith intent to profit</w:t>
      </w:r>
      <w:r w:rsidR="006B1A12" w:rsidRPr="006B1A12">
        <w:t>.</w:t>
      </w:r>
      <w:r w:rsidR="006B1A12" w:rsidRPr="006B1A12">
        <w:t xml:space="preserve"> </w:t>
      </w:r>
      <w:r w:rsidR="006B1A12" w:rsidRPr="006B1A12">
        <w:t>T</w:t>
      </w:r>
      <w:r w:rsidRPr="006B1A12">
        <w:t>aking a “plain meaning” approach to the statute, the court held that the language of Section 43(d)(2) permitted assertion of a claim for violation of the infringement or dilution sections of the Lanham Act.</w:t>
      </w:r>
      <w:r w:rsidR="006B1A12" w:rsidRPr="006B1A12">
        <w:rPr>
          <w:vertAlign w:val="superscript"/>
        </w:rPr>
        <w:footnoteReference w:id="140"/>
      </w:r>
    </w:p>
    <w:p w14:paraId="7C8528E1" w14:textId="5268826C" w:rsidR="006B1A12" w:rsidRPr="006B1A12" w:rsidRDefault="007A2DD5" w:rsidP="006B1A12">
      <w:pPr>
        <w:pStyle w:val="BNormal"/>
      </w:pPr>
      <w:r w:rsidRPr="006B1A12">
        <w:t>The allowance of in rem claims for infringement and dilution is ameliorated somewhat by the stringent requirements for maintaining an in rem action and the remedial limitations of in rem actions—the in rem provisions limit the available remedies to forfeiture, cancellation, or transfer of the domain name to the trademark owner.</w:t>
      </w:r>
      <w:r w:rsidR="006B1A12" w:rsidRPr="006B1A12">
        <w:rPr>
          <w:vertAlign w:val="superscript"/>
        </w:rPr>
        <w:footnoteReference w:id="141"/>
      </w:r>
      <w:r w:rsidRPr="006B1A12">
        <w:t xml:space="preserve"> Furthermore, in the absence of an actual defendant, it may be difficult to demonstrate bad faith.</w:t>
      </w:r>
      <w:r w:rsidR="006B1A12" w:rsidRPr="006B1A12">
        <w:rPr>
          <w:vertAlign w:val="superscript"/>
        </w:rPr>
        <w:footnoteReference w:id="142"/>
      </w:r>
      <w:r w:rsidRPr="006B1A12">
        <w:t xml:space="preserve"> One court responded to the latter argument by noting that the inability to find a registrant may be evidence of bad faith because it demonstrates that the registrant gave inaccurate contact information to the registrar.</w:t>
      </w:r>
      <w:r w:rsidR="006B1A12" w:rsidRPr="006B1A12">
        <w:rPr>
          <w:vertAlign w:val="superscript"/>
        </w:rPr>
        <w:footnoteReference w:id="143"/>
      </w:r>
      <w:r w:rsidRPr="006B1A12">
        <w:t xml:space="preserve"> However, that does not account for cases where personal jurisdiction is simply unavailable, even if the defendant can be found.</w:t>
      </w:r>
    </w:p>
    <w:p w14:paraId="5664C6EA" w14:textId="66809A43" w:rsidR="006B1A12" w:rsidRPr="006B1A12" w:rsidRDefault="007A2DD5" w:rsidP="006B1A12">
      <w:pPr>
        <w:pStyle w:val="BNormal"/>
      </w:pPr>
      <w:r w:rsidRPr="006B1A12">
        <w:t>Its determination that the in rem provision was not limited to bad-faith claims also led one court to rule that the act of registering the domain name itself could be the basis for liability.</w:t>
      </w:r>
      <w:r w:rsidR="006B1A12" w:rsidRPr="006B1A12">
        <w:rPr>
          <w:vertAlign w:val="superscript"/>
        </w:rPr>
        <w:footnoteReference w:id="144"/>
      </w:r>
      <w:r w:rsidRPr="006B1A12">
        <w:t xml:space="preserve"> The court held that registration was an act “in commerce” because it involved payment to the registrar and thus satisfied the Lanham Act’s “in commerce” requirement.</w:t>
      </w:r>
      <w:r w:rsidR="006B1A12" w:rsidRPr="006B1A12">
        <w:rPr>
          <w:vertAlign w:val="superscript"/>
        </w:rPr>
        <w:footnoteReference w:id="145"/>
      </w:r>
      <w:r w:rsidRPr="006B1A12">
        <w:t xml:space="preserve"> This is a questionable ruling in light of the available legislative history of the ACPA</w:t>
      </w:r>
      <w:r w:rsidR="006B1A12" w:rsidRPr="006B1A12">
        <w:t>.</w:t>
      </w:r>
      <w:r w:rsidR="006B1A12" w:rsidRPr="006B1A12">
        <w:t xml:space="preserve"> </w:t>
      </w:r>
      <w:r w:rsidR="006B1A12" w:rsidRPr="006B1A12">
        <w:t>A</w:t>
      </w:r>
      <w:r w:rsidRPr="006B1A12">
        <w:t>s Senator Leahy recognized in his remarks on the Senate floor, courts using infringement or dilution theories had held that registration alone, without more, is not a trademark violation.</w:t>
      </w:r>
      <w:r w:rsidR="006B1A12" w:rsidRPr="006B1A12">
        <w:rPr>
          <w:vertAlign w:val="superscript"/>
        </w:rPr>
        <w:footnoteReference w:id="146"/>
      </w:r>
      <w:r w:rsidRPr="006B1A12">
        <w:t xml:space="preserve"> Although the original bill would have made registration a violation, Senator Leahy made it clear that the substitute bill that was passed would </w:t>
      </w:r>
      <w:r w:rsidR="006B1A12" w:rsidRPr="006B1A12">
        <w:rPr>
          <w:i/>
        </w:rPr>
        <w:t>not</w:t>
      </w:r>
      <w:r w:rsidRPr="006B1A12">
        <w:t xml:space="preserve"> make mere registration a violation.</w:t>
      </w:r>
      <w:r w:rsidR="006B1A12" w:rsidRPr="006B1A12">
        <w:rPr>
          <w:vertAlign w:val="superscript"/>
        </w:rPr>
        <w:footnoteReference w:id="147"/>
      </w:r>
      <w:r w:rsidRPr="006B1A12">
        <w:t xml:space="preserve"> Moreover, given the precedent overwhelmingly holding that mere registration is not a trademark violation, it is difficult to understand how to square the court’s conclusion with the statute, which only gives relief if “the domain name violates any right of the owner of a [registered] mark</w:t>
      </w:r>
      <w:r w:rsidR="006B1A12" w:rsidRPr="006B1A12">
        <w:t xml:space="preserve"> </w:t>
      </w:r>
      <w:r w:rsidRPr="006B1A12">
        <w:t>…</w:t>
      </w:r>
      <w:r w:rsidR="006B1A12" w:rsidRPr="006B1A12">
        <w:t xml:space="preserve"> </w:t>
      </w:r>
      <w:r w:rsidRPr="006B1A12">
        <w:t>or [a mark] protected under subsection [43](a) or (c).”</w:t>
      </w:r>
      <w:r w:rsidR="006B1A12" w:rsidRPr="006B1A12">
        <w:rPr>
          <w:vertAlign w:val="superscript"/>
        </w:rPr>
        <w:footnoteReference w:id="148"/>
      </w:r>
    </w:p>
    <w:p w14:paraId="2CEF379D" w14:textId="52B5CD81" w:rsidR="006B1A12" w:rsidRPr="006B1A12" w:rsidRDefault="00E319AD" w:rsidP="006B1A12">
      <w:pPr>
        <w:pStyle w:val="BHead1"/>
      </w:pPr>
      <w:r>
        <w:t>14.</w:t>
      </w:r>
      <w:r w:rsidR="006B1A12" w:rsidRPr="00E319AD">
        <w:rPr>
          <w:rStyle w:val="BBNAidChar"/>
          <w:rFonts w:eastAsiaTheme="majorEastAsia"/>
        </w:rPr>
        <w:t>VI</w:t>
      </w:r>
      <w:r w:rsidR="006B1A12" w:rsidRPr="006B1A12">
        <w:t>.</w:t>
      </w:r>
      <w:r>
        <w:t xml:space="preserve">  </w:t>
      </w:r>
      <w:r w:rsidR="006B1A12" w:rsidRPr="006B1A12">
        <w:t>Remedies for ACPA Violations</w:t>
      </w:r>
    </w:p>
    <w:p w14:paraId="18CADA21" w14:textId="10BC4F1D" w:rsidR="006B1A12" w:rsidRPr="006B1A12" w:rsidRDefault="007A2DD5" w:rsidP="006B1A12">
      <w:pPr>
        <w:pStyle w:val="BNormal"/>
      </w:pPr>
      <w:r w:rsidRPr="006B1A12">
        <w:t>The most straightforward remedy for an ACPA violation is an injunction, either precluding the use of the offending domain name or transferring it to the plaintiff</w:t>
      </w:r>
      <w:r w:rsidR="006B1A12" w:rsidRPr="006B1A12">
        <w:t>.</w:t>
      </w:r>
      <w:r w:rsidR="006B1A12" w:rsidRPr="006B1A12">
        <w:t xml:space="preserve"> </w:t>
      </w:r>
      <w:r w:rsidR="006B1A12" w:rsidRPr="006B1A12">
        <w:t>P</w:t>
      </w:r>
      <w:r w:rsidRPr="006B1A12">
        <w:t>reliminary injunctive relief is also available</w:t>
      </w:r>
      <w:r w:rsidR="006B1A12" w:rsidRPr="006B1A12">
        <w:t>.</w:t>
      </w:r>
      <w:r w:rsidR="006B1A12" w:rsidRPr="006B1A12">
        <w:t xml:space="preserve"> </w:t>
      </w:r>
      <w:r w:rsidR="006B1A12" w:rsidRPr="006B1A12">
        <w:t>H</w:t>
      </w:r>
      <w:r w:rsidRPr="006B1A12">
        <w:t>owever, injunctive relief requires a showing of irreparable harm, which is not necessarily automatic upon a showing of likelihood of success on the merits (the standard for preliminary injunctive relief).</w:t>
      </w:r>
      <w:r w:rsidR="006B1A12" w:rsidRPr="006B1A12">
        <w:rPr>
          <w:vertAlign w:val="superscript"/>
        </w:rPr>
        <w:footnoteReference w:id="149"/>
      </w:r>
    </w:p>
    <w:p w14:paraId="6E4B4CC3" w14:textId="5D5B8D92" w:rsidR="006B1A12" w:rsidRPr="006B1A12" w:rsidRDefault="007A2DD5" w:rsidP="006B1A12">
      <w:pPr>
        <w:pStyle w:val="BNormal"/>
      </w:pPr>
      <w:r w:rsidRPr="006B1A12">
        <w:t xml:space="preserve">If the action is in </w:t>
      </w:r>
      <w:proofErr w:type="spellStart"/>
      <w:r w:rsidRPr="006B1A12">
        <w:t>personam</w:t>
      </w:r>
      <w:proofErr w:type="spellEnd"/>
      <w:r w:rsidRPr="006B1A12">
        <w:t>, the ACPA provides several other remedies</w:t>
      </w:r>
      <w:r w:rsidR="006B1A12" w:rsidRPr="006B1A12">
        <w:t>.</w:t>
      </w:r>
      <w:r w:rsidR="006B1A12" w:rsidRPr="006B1A12">
        <w:t xml:space="preserve"> </w:t>
      </w:r>
      <w:r w:rsidR="006B1A12" w:rsidRPr="006B1A12">
        <w:t>T</w:t>
      </w:r>
      <w:r w:rsidRPr="006B1A12">
        <w:t>he statute amended Section 35(a) of the Lanham Act to permit the recovery of the remedies provided in that section when a violation of the ACPA is shown.</w:t>
      </w:r>
      <w:r w:rsidR="006B1A12" w:rsidRPr="006B1A12">
        <w:rPr>
          <w:vertAlign w:val="superscript"/>
        </w:rPr>
        <w:footnoteReference w:id="150"/>
      </w:r>
      <w:r w:rsidRPr="006B1A12">
        <w:t xml:space="preserve"> These remedies include the defendant’s profits, the plaintiff’s damages, and costs</w:t>
      </w:r>
      <w:r w:rsidR="006B1A12" w:rsidRPr="006B1A12">
        <w:t>.</w:t>
      </w:r>
      <w:r w:rsidR="006B1A12" w:rsidRPr="006B1A12">
        <w:t xml:space="preserve"> </w:t>
      </w:r>
      <w:r w:rsidR="006B1A12" w:rsidRPr="006B1A12">
        <w:t>S</w:t>
      </w:r>
      <w:r w:rsidRPr="006B1A12">
        <w:t>ection 35(a) also permits the court to enhance damages up to three times the amount, and to adjust a profits-based award up or down “as the court shall find to be just,” but in either case only as “compensation and not a penalty.”</w:t>
      </w:r>
      <w:r w:rsidR="006B1A12" w:rsidRPr="006B1A12">
        <w:rPr>
          <w:vertAlign w:val="superscript"/>
        </w:rPr>
        <w:footnoteReference w:id="151"/>
      </w:r>
      <w:r w:rsidRPr="006B1A12">
        <w:t xml:space="preserve"> As in other trademark cases, such recoveries are “subject to the principles of equity.”</w:t>
      </w:r>
      <w:r w:rsidR="006B1A12" w:rsidRPr="006B1A12">
        <w:rPr>
          <w:vertAlign w:val="superscript"/>
        </w:rPr>
        <w:footnoteReference w:id="152"/>
      </w:r>
      <w:r w:rsidRPr="006B1A12">
        <w:t xml:space="preserve"> The ACPA also added a statutory remedy in Section 35(d)</w:t>
      </w:r>
      <w:r w:rsidR="006B1A12" w:rsidRPr="006B1A12">
        <w:t>.</w:t>
      </w:r>
      <w:r w:rsidR="006B1A12" w:rsidRPr="006B1A12">
        <w:t xml:space="preserve"> </w:t>
      </w:r>
      <w:r w:rsidR="006B1A12" w:rsidRPr="006B1A12">
        <w:t>T</w:t>
      </w:r>
      <w:r w:rsidRPr="006B1A12">
        <w:t>his section allows the plaintiff to choose, in lieu of damages and profits, a remedy of “not less than $1000 and not more than $100,000 per domain name, as the court considers just.”</w:t>
      </w:r>
      <w:r w:rsidR="006B1A12" w:rsidRPr="006B1A12">
        <w:rPr>
          <w:vertAlign w:val="superscript"/>
        </w:rPr>
        <w:footnoteReference w:id="153"/>
      </w:r>
      <w:r w:rsidRPr="006B1A12">
        <w:t xml:space="preserve"> Using this remedy may alleviate proof problems for many plaintiffs</w:t>
      </w:r>
      <w:r w:rsidR="006B1A12" w:rsidRPr="006B1A12">
        <w:t>.</w:t>
      </w:r>
      <w:r w:rsidR="006B1A12" w:rsidRPr="006B1A12">
        <w:t xml:space="preserve"> </w:t>
      </w:r>
      <w:r w:rsidR="006B1A12" w:rsidRPr="006B1A12">
        <w:t>H</w:t>
      </w:r>
      <w:r w:rsidRPr="006B1A12">
        <w:t>owever, the “election” must be express</w:t>
      </w:r>
      <w:r w:rsidR="006B1A12" w:rsidRPr="006B1A12">
        <w:t>;</w:t>
      </w:r>
      <w:r w:rsidR="006B1A12" w:rsidRPr="006B1A12">
        <w:t xml:space="preserve"> </w:t>
      </w:r>
      <w:r w:rsidR="006B1A12" w:rsidRPr="006B1A12">
        <w:t>o</w:t>
      </w:r>
      <w:r w:rsidRPr="006B1A12">
        <w:t>therwise, a court may deem damages to be waived.</w:t>
      </w:r>
      <w:r w:rsidR="006B1A12" w:rsidRPr="006B1A12">
        <w:rPr>
          <w:vertAlign w:val="superscript"/>
        </w:rPr>
        <w:footnoteReference w:id="154"/>
      </w:r>
    </w:p>
    <w:p w14:paraId="222717F8" w14:textId="056BA326" w:rsidR="006B1A12" w:rsidRPr="006B1A12" w:rsidRDefault="007A2DD5" w:rsidP="006B1A12">
      <w:pPr>
        <w:pStyle w:val="BNormal"/>
      </w:pPr>
      <w:r w:rsidRPr="006B1A12">
        <w:t>If the court finds a case to be “exceptional,” in accordance with Section 35(a), it may award attorneys’ fees to the prevailing party.</w:t>
      </w:r>
      <w:r w:rsidR="006B1A12" w:rsidRPr="006B1A12">
        <w:rPr>
          <w:vertAlign w:val="superscript"/>
        </w:rPr>
        <w:footnoteReference w:id="155"/>
      </w:r>
    </w:p>
    <w:p w14:paraId="26A61107" w14:textId="2399A36F" w:rsidR="006B1A12" w:rsidRPr="006B1A12" w:rsidRDefault="00E319AD" w:rsidP="006B1A12">
      <w:pPr>
        <w:pStyle w:val="BHead1"/>
      </w:pPr>
      <w:r>
        <w:t>14.</w:t>
      </w:r>
      <w:r w:rsidR="006B1A12" w:rsidRPr="00E319AD">
        <w:rPr>
          <w:rStyle w:val="BBNAidChar"/>
          <w:rFonts w:eastAsiaTheme="majorEastAsia"/>
        </w:rPr>
        <w:t>VII</w:t>
      </w:r>
      <w:r w:rsidR="006B1A12" w:rsidRPr="006B1A12">
        <w:t>.</w:t>
      </w:r>
      <w:r>
        <w:t xml:space="preserve">  </w:t>
      </w:r>
      <w:r w:rsidR="006B1A12" w:rsidRPr="006B1A12">
        <w:t>Retroactive Application of the ACPA</w:t>
      </w:r>
    </w:p>
    <w:p w14:paraId="3DF1ACFF" w14:textId="1704FBCB" w:rsidR="006B1A12" w:rsidRPr="006B1A12" w:rsidRDefault="007A2DD5" w:rsidP="006B1A12">
      <w:pPr>
        <w:pStyle w:val="BNormal"/>
      </w:pPr>
      <w:r w:rsidRPr="006B1A12">
        <w:t>The ACPA became effective on November 29, 1999</w:t>
      </w:r>
      <w:r w:rsidR="006B1A12" w:rsidRPr="006B1A12">
        <w:t>.</w:t>
      </w:r>
      <w:r w:rsidR="006B1A12" w:rsidRPr="006B1A12">
        <w:t xml:space="preserve"> </w:t>
      </w:r>
      <w:r w:rsidR="006B1A12" w:rsidRPr="006B1A12">
        <w:t>O</w:t>
      </w:r>
      <w:r w:rsidRPr="006B1A12">
        <w:t xml:space="preserve">n that date, there were </w:t>
      </w:r>
      <w:proofErr w:type="gramStart"/>
      <w:r w:rsidRPr="006B1A12">
        <w:t>a number of</w:t>
      </w:r>
      <w:proofErr w:type="gramEnd"/>
      <w:r w:rsidRPr="006B1A12">
        <w:t xml:space="preserve"> court cases in progress involving allegations of infringement and/or dilution in what were, in essence, cybersquatting claims</w:t>
      </w:r>
      <w:r w:rsidR="006B1A12" w:rsidRPr="006B1A12">
        <w:t>.</w:t>
      </w:r>
      <w:r w:rsidR="006B1A12" w:rsidRPr="006B1A12">
        <w:t xml:space="preserve"> </w:t>
      </w:r>
      <w:r w:rsidR="006B1A12" w:rsidRPr="006B1A12">
        <w:t>I</w:t>
      </w:r>
      <w:r w:rsidRPr="006B1A12">
        <w:t>n addition, by that time, thousands of domain names had been registered that potentially infringed but were not yet subjects of lawsuits</w:t>
      </w:r>
      <w:r w:rsidR="006B1A12" w:rsidRPr="006B1A12">
        <w:t>.</w:t>
      </w:r>
      <w:r w:rsidR="006B1A12" w:rsidRPr="006B1A12">
        <w:t xml:space="preserve"> </w:t>
      </w:r>
      <w:r w:rsidR="006B1A12" w:rsidRPr="006B1A12">
        <w:t>M</w:t>
      </w:r>
      <w:r w:rsidRPr="006B1A12">
        <w:t>any plaintiffs amended their infringement and dilution complaints to add a claim under the ACPA.</w:t>
      </w:r>
      <w:r w:rsidR="006B1A12" w:rsidRPr="006B1A12">
        <w:rPr>
          <w:vertAlign w:val="superscript"/>
        </w:rPr>
        <w:footnoteReference w:id="156"/>
      </w:r>
      <w:r w:rsidRPr="006B1A12">
        <w:t xml:space="preserve"> This raises two questions</w:t>
      </w:r>
      <w:r w:rsidR="006B1A12" w:rsidRPr="006B1A12">
        <w:t>:</w:t>
      </w:r>
      <w:r w:rsidR="006B1A12" w:rsidRPr="006B1A12">
        <w:t xml:space="preserve"> </w:t>
      </w:r>
      <w:r w:rsidR="006B1A12" w:rsidRPr="006B1A12">
        <w:t>F</w:t>
      </w:r>
      <w:r w:rsidRPr="006B1A12">
        <w:t>irst, may the plaintiff add a claim under the ACPA to an existing suit</w:t>
      </w:r>
      <w:r w:rsidR="006B1A12" w:rsidRPr="006B1A12">
        <w:t>?</w:t>
      </w:r>
      <w:r w:rsidR="006B1A12" w:rsidRPr="006B1A12">
        <w:t xml:space="preserve"> </w:t>
      </w:r>
      <w:r w:rsidR="006B1A12" w:rsidRPr="006B1A12">
        <w:t>S</w:t>
      </w:r>
      <w:r w:rsidRPr="006B1A12">
        <w:t>econd, should the ACPA apply to conduct occurring before the statute was enacted?</w:t>
      </w:r>
    </w:p>
    <w:p w14:paraId="736EDA00" w14:textId="4B7B6F44" w:rsidR="006B1A12" w:rsidRPr="006B1A12" w:rsidRDefault="007A2DD5" w:rsidP="006B1A12">
      <w:pPr>
        <w:pStyle w:val="BNormal"/>
      </w:pPr>
      <w:r w:rsidRPr="006B1A12">
        <w:t>The answer to the first question is simple</w:t>
      </w:r>
      <w:r w:rsidR="006B1A12" w:rsidRPr="006B1A12">
        <w:t>.</w:t>
      </w:r>
      <w:r w:rsidR="006B1A12" w:rsidRPr="006B1A12">
        <w:t xml:space="preserve"> </w:t>
      </w:r>
      <w:r w:rsidR="006B1A12" w:rsidRPr="006B1A12">
        <w:t>L</w:t>
      </w:r>
      <w:r w:rsidRPr="006B1A12">
        <w:t>itigants should be and are able to add ACPA claims to existing suits</w:t>
      </w:r>
      <w:r w:rsidR="006B1A12" w:rsidRPr="006B1A12">
        <w:t>.</w:t>
      </w:r>
      <w:r w:rsidR="006B1A12" w:rsidRPr="006B1A12">
        <w:t xml:space="preserve"> </w:t>
      </w:r>
      <w:r w:rsidR="006B1A12" w:rsidRPr="006B1A12">
        <w:t>A</w:t>
      </w:r>
      <w:r w:rsidRPr="006B1A12">
        <w:t>s the Second Circuit noted in an ACPA case, courts generally apply the law that exists at the time the suit is decided, even applying changes that occur while an appeal is pending.</w:t>
      </w:r>
      <w:r w:rsidR="006B1A12" w:rsidRPr="006B1A12">
        <w:rPr>
          <w:vertAlign w:val="superscript"/>
        </w:rPr>
        <w:footnoteReference w:id="157"/>
      </w:r>
    </w:p>
    <w:p w14:paraId="77E073A4" w14:textId="6EAADD4B" w:rsidR="006B1A12" w:rsidRPr="006B1A12" w:rsidRDefault="007A2DD5" w:rsidP="006B1A12">
      <w:pPr>
        <w:pStyle w:val="BNormal"/>
      </w:pPr>
      <w:r w:rsidRPr="006B1A12">
        <w:t>Answering the second question requires further analysis</w:t>
      </w:r>
      <w:r w:rsidR="006B1A12" w:rsidRPr="006B1A12">
        <w:t>.</w:t>
      </w:r>
      <w:r w:rsidR="006B1A12" w:rsidRPr="006B1A12">
        <w:t xml:space="preserve"> </w:t>
      </w:r>
      <w:r w:rsidR="006B1A12" w:rsidRPr="006B1A12">
        <w:t>T</w:t>
      </w:r>
      <w:r w:rsidRPr="006B1A12">
        <w:t>he statute itself favors retroactivity</w:t>
      </w:r>
      <w:r w:rsidR="006B1A12" w:rsidRPr="006B1A12">
        <w:t>.</w:t>
      </w:r>
      <w:r w:rsidR="006B1A12" w:rsidRPr="006B1A12">
        <w:t xml:space="preserve"> </w:t>
      </w:r>
      <w:r w:rsidR="006B1A12" w:rsidRPr="006B1A12">
        <w:t>S</w:t>
      </w:r>
      <w:r w:rsidRPr="006B1A12">
        <w:t>ection 3010 of the ACPA</w:t>
      </w:r>
      <w:r w:rsidR="006B1A12" w:rsidRPr="006B1A12">
        <w:rPr>
          <w:vertAlign w:val="superscript"/>
        </w:rPr>
        <w:footnoteReference w:id="158"/>
      </w:r>
      <w:r w:rsidRPr="006B1A12">
        <w:t xml:space="preserve"> states that the operative sections “shall apply to all domain names registered </w:t>
      </w:r>
      <w:r w:rsidR="006B1A12" w:rsidRPr="006B1A12">
        <w:rPr>
          <w:i/>
        </w:rPr>
        <w:t>before,</w:t>
      </w:r>
      <w:r w:rsidRPr="006B1A12">
        <w:t xml:space="preserve"> on, or after the date of the enactment of this Act.”</w:t>
      </w:r>
      <w:r w:rsidR="006B1A12" w:rsidRPr="006B1A12">
        <w:rPr>
          <w:vertAlign w:val="superscript"/>
        </w:rPr>
        <w:footnoteReference w:id="159"/>
      </w:r>
      <w:r w:rsidRPr="006B1A12">
        <w:t xml:space="preserve"> The exception to this is that the portions of the statute permitting an award of damages do not apply “with respect to the registration, trafficking, or use of a domain name that occurs before the date of enactment of this Act.”</w:t>
      </w:r>
      <w:r w:rsidR="006B1A12" w:rsidRPr="006B1A12">
        <w:rPr>
          <w:vertAlign w:val="superscript"/>
        </w:rPr>
        <w:footnoteReference w:id="160"/>
      </w:r>
      <w:r w:rsidRPr="006B1A12">
        <w:t xml:space="preserve"> Clearly, this section permits injunctions ordering the transfer or cancellation of a domain-name registration even where the domain name was registered before the ACPA was enacted.</w:t>
      </w:r>
    </w:p>
    <w:p w14:paraId="2A3519E4" w14:textId="695129E7" w:rsidR="006B1A12" w:rsidRPr="006B1A12" w:rsidRDefault="007A2DD5" w:rsidP="006B1A12">
      <w:pPr>
        <w:pStyle w:val="BNormal"/>
      </w:pPr>
      <w:r w:rsidRPr="006B1A12">
        <w:t>Several courts have agreed with this analysis</w:t>
      </w:r>
      <w:r w:rsidR="006B1A12" w:rsidRPr="006B1A12">
        <w:t>.</w:t>
      </w:r>
      <w:r w:rsidR="006B1A12" w:rsidRPr="006B1A12">
        <w:t xml:space="preserve"> </w:t>
      </w:r>
      <w:r w:rsidR="006B1A12" w:rsidRPr="006B1A12">
        <w:t>I</w:t>
      </w:r>
      <w:r w:rsidRPr="006B1A12">
        <w:t xml:space="preserve">n </w:t>
      </w:r>
      <w:proofErr w:type="spellStart"/>
      <w:r w:rsidR="006B1A12" w:rsidRPr="006B1A12">
        <w:rPr>
          <w:i/>
        </w:rPr>
        <w:t>Sporty’s</w:t>
      </w:r>
      <w:proofErr w:type="spellEnd"/>
      <w:r w:rsidR="006B1A12" w:rsidRPr="006B1A12">
        <w:rPr>
          <w:i/>
        </w:rPr>
        <w:t xml:space="preserve"> Farm L</w:t>
      </w:r>
      <w:r w:rsidRPr="006B1A12">
        <w:t>.</w:t>
      </w:r>
      <w:r w:rsidR="006B1A12" w:rsidRPr="006B1A12">
        <w:rPr>
          <w:i/>
        </w:rPr>
        <w:t>L</w:t>
      </w:r>
      <w:r w:rsidRPr="006B1A12">
        <w:t>.</w:t>
      </w:r>
      <w:r w:rsidR="006B1A12" w:rsidRPr="006B1A12">
        <w:rPr>
          <w:i/>
        </w:rPr>
        <w:t>C</w:t>
      </w:r>
      <w:r w:rsidR="006B1A12" w:rsidRPr="006B1A12">
        <w:t>.</w:t>
      </w:r>
      <w:r w:rsidR="006B1A12" w:rsidRPr="006B1A12">
        <w:t xml:space="preserve"> </w:t>
      </w:r>
      <w:r w:rsidR="006B1A12" w:rsidRPr="006B1A12">
        <w:rPr>
          <w:i/>
        </w:rPr>
        <w:t>v</w:t>
      </w:r>
      <w:r w:rsidR="006B1A12" w:rsidRPr="006B1A12">
        <w:t>.</w:t>
      </w:r>
      <w:r w:rsidR="006B1A12" w:rsidRPr="006B1A12">
        <w:t xml:space="preserve"> </w:t>
      </w:r>
      <w:r w:rsidR="006B1A12" w:rsidRPr="006B1A12">
        <w:rPr>
          <w:i/>
        </w:rPr>
        <w:t>Sportsman’s Market, Inc</w:t>
      </w:r>
      <w:r w:rsidRPr="006B1A12">
        <w:t>.,</w:t>
      </w:r>
      <w:r w:rsidR="006B1A12" w:rsidRPr="006B1A12">
        <w:rPr>
          <w:vertAlign w:val="superscript"/>
        </w:rPr>
        <w:footnoteReference w:id="161"/>
      </w:r>
      <w:r w:rsidRPr="006B1A12">
        <w:t xml:space="preserve"> the Second Circuit held that there was no retroactivity problem where only an injunction was sought.</w:t>
      </w:r>
      <w:r w:rsidR="006B1A12" w:rsidRPr="006B1A12">
        <w:rPr>
          <w:vertAlign w:val="superscript"/>
        </w:rPr>
        <w:footnoteReference w:id="162"/>
      </w:r>
      <w:r w:rsidRPr="006B1A12">
        <w:t xml:space="preserve"> Other courts also have agreed with this conclusion.</w:t>
      </w:r>
      <w:r w:rsidR="006B1A12" w:rsidRPr="006B1A12">
        <w:rPr>
          <w:vertAlign w:val="superscript"/>
        </w:rPr>
        <w:footnoteReference w:id="163"/>
      </w:r>
    </w:p>
    <w:p w14:paraId="720A1D09" w14:textId="69C178C7" w:rsidR="006B1A12" w:rsidRPr="006B1A12" w:rsidRDefault="007A2DD5" w:rsidP="006B1A12">
      <w:pPr>
        <w:pStyle w:val="BNormal"/>
      </w:pPr>
      <w:r w:rsidRPr="006B1A12">
        <w:t>The question of retroactivity is less clear with respect to damages</w:t>
      </w:r>
      <w:r w:rsidR="006B1A12" w:rsidRPr="006B1A12">
        <w:t>.</w:t>
      </w:r>
      <w:r w:rsidR="006B1A12" w:rsidRPr="006B1A12">
        <w:t xml:space="preserve"> </w:t>
      </w:r>
      <w:r w:rsidR="006B1A12" w:rsidRPr="006B1A12">
        <w:t>T</w:t>
      </w:r>
      <w:r w:rsidRPr="006B1A12">
        <w:t>he statutory language could be read to exclude damages in any case where the registration and/or use of the offending domain name began prior to the ACPA</w:t>
      </w:r>
      <w:r w:rsidR="006B1A12" w:rsidRPr="006B1A12">
        <w:t>.</w:t>
      </w:r>
      <w:r w:rsidR="006B1A12" w:rsidRPr="006B1A12">
        <w:t xml:space="preserve"> </w:t>
      </w:r>
      <w:r w:rsidR="006B1A12" w:rsidRPr="006B1A12">
        <w:t>H</w:t>
      </w:r>
      <w:r w:rsidRPr="006B1A12">
        <w:t xml:space="preserve">owever, the language excludes damages for actions “that </w:t>
      </w:r>
      <w:proofErr w:type="gramStart"/>
      <w:r w:rsidRPr="006B1A12">
        <w:t>occur[</w:t>
      </w:r>
      <w:proofErr w:type="gramEnd"/>
      <w:r w:rsidRPr="006B1A12">
        <w:t>] before” the ACPA was enacted</w:t>
      </w:r>
      <w:r w:rsidR="006B1A12" w:rsidRPr="006B1A12">
        <w:t>.</w:t>
      </w:r>
      <w:r w:rsidR="006B1A12" w:rsidRPr="006B1A12">
        <w:t xml:space="preserve"> </w:t>
      </w:r>
      <w:r w:rsidR="006B1A12" w:rsidRPr="006B1A12">
        <w:t>C</w:t>
      </w:r>
      <w:r w:rsidRPr="006B1A12">
        <w:t xml:space="preserve">ourts have held that even where registration occurs before the ACPA, damages may be awarded where </w:t>
      </w:r>
      <w:r w:rsidR="006B1A12" w:rsidRPr="006B1A12">
        <w:rPr>
          <w:i/>
        </w:rPr>
        <w:t>use</w:t>
      </w:r>
      <w:r w:rsidRPr="006B1A12">
        <w:t xml:space="preserve"> continues after the ACPA.</w:t>
      </w:r>
      <w:r w:rsidR="006B1A12" w:rsidRPr="006B1A12">
        <w:rPr>
          <w:vertAlign w:val="superscript"/>
        </w:rPr>
        <w:footnoteReference w:id="164"/>
      </w:r>
      <w:r w:rsidRPr="006B1A12">
        <w:t xml:space="preserve"> The Lanham Act’s statutory damages provisions permit a wide range of damages awards for ACPA violations.</w:t>
      </w:r>
      <w:r w:rsidR="006B1A12" w:rsidRPr="006B1A12">
        <w:rPr>
          <w:vertAlign w:val="superscript"/>
        </w:rPr>
        <w:footnoteReference w:id="165"/>
      </w:r>
      <w:r w:rsidRPr="006B1A12">
        <w:t xml:space="preserve"> Any damages awards should only reflect actions taken after the ACPA</w:t>
      </w:r>
      <w:r w:rsidR="006B1A12" w:rsidRPr="006B1A12">
        <w:t>;</w:t>
      </w:r>
      <w:r w:rsidR="006B1A12" w:rsidRPr="006B1A12">
        <w:t xml:space="preserve"> </w:t>
      </w:r>
      <w:r w:rsidR="006B1A12" w:rsidRPr="006B1A12">
        <w:t>o</w:t>
      </w:r>
      <w:r w:rsidRPr="006B1A12">
        <w:t>ne hopes that courts will avoid the temptation to use the wide discretion to give sub silentio awards for pre-ACPA activity.</w:t>
      </w:r>
    </w:p>
    <w:p w14:paraId="31D17124" w14:textId="3E435FC8" w:rsidR="006B1A12" w:rsidRPr="006B1A12" w:rsidRDefault="007A2DD5" w:rsidP="006B1A12">
      <w:pPr>
        <w:pStyle w:val="BNormal"/>
      </w:pPr>
      <w:r w:rsidRPr="006B1A12">
        <w:t>This conclusion also is consistent with the analysis put forth regarding the retroactivity of the FTDA and TDRA elsewhere in this text.</w:t>
      </w:r>
      <w:r w:rsidR="006B1A12" w:rsidRPr="006B1A12">
        <w:rPr>
          <w:vertAlign w:val="superscript"/>
        </w:rPr>
        <w:footnoteReference w:id="166"/>
      </w:r>
      <w:r w:rsidRPr="006B1A12">
        <w:t xml:space="preserve"> As discussed in Chapter 10, much depends on the nature of the rights acquired by the defendant before the passage of the statute</w:t>
      </w:r>
      <w:r w:rsidR="006B1A12" w:rsidRPr="006B1A12">
        <w:t>.</w:t>
      </w:r>
      <w:r w:rsidR="006B1A12" w:rsidRPr="006B1A12">
        <w:t xml:space="preserve"> </w:t>
      </w:r>
      <w:r w:rsidR="006B1A12" w:rsidRPr="006B1A12">
        <w:t>B</w:t>
      </w:r>
      <w:r w:rsidRPr="006B1A12">
        <w:t>efore the ACPA was enacted, courts had been using the FTDA, as well as ordinary infringement, to order cancellations and transfers of infringing and alluding domain names</w:t>
      </w:r>
      <w:r w:rsidR="006B1A12" w:rsidRPr="006B1A12">
        <w:t>.</w:t>
      </w:r>
      <w:r w:rsidR="006B1A12" w:rsidRPr="006B1A12">
        <w:t xml:space="preserve"> </w:t>
      </w:r>
      <w:r w:rsidR="006B1A12" w:rsidRPr="006B1A12">
        <w:t>T</w:t>
      </w:r>
      <w:r w:rsidRPr="006B1A12">
        <w:t>he bad-faith factors listed in the ACPA are largely the same as or derivative of factors used in previous Internet cases</w:t>
      </w:r>
      <w:r w:rsidR="006B1A12" w:rsidRPr="006B1A12">
        <w:t>.</w:t>
      </w:r>
      <w:r w:rsidR="006B1A12" w:rsidRPr="006B1A12">
        <w:t xml:space="preserve"> </w:t>
      </w:r>
      <w:r w:rsidR="006B1A12" w:rsidRPr="006B1A12">
        <w:t>T</w:t>
      </w:r>
      <w:r w:rsidRPr="006B1A12">
        <w:t>he major difference is that the factors are neither mandatory nor exclusive.</w:t>
      </w:r>
      <w:r w:rsidR="006B1A12" w:rsidRPr="006B1A12">
        <w:rPr>
          <w:vertAlign w:val="superscript"/>
        </w:rPr>
        <w:footnoteReference w:id="167"/>
      </w:r>
      <w:r w:rsidRPr="006B1A12">
        <w:t xml:space="preserve"> In particular, under the ACPA, </w:t>
      </w:r>
      <w:proofErr w:type="gramStart"/>
      <w:r w:rsidRPr="006B1A12">
        <w:t>noncommercial</w:t>
      </w:r>
      <w:proofErr w:type="gramEnd"/>
      <w:r w:rsidRPr="006B1A12">
        <w:t xml:space="preserve"> use is a factor, rather than a defense, as it is under the TDRA</w:t>
      </w:r>
      <w:r w:rsidR="006B1A12" w:rsidRPr="006B1A12">
        <w:t>.</w:t>
      </w:r>
      <w:r w:rsidR="006B1A12" w:rsidRPr="006B1A12">
        <w:t xml:space="preserve"> </w:t>
      </w:r>
      <w:r w:rsidR="006B1A12" w:rsidRPr="006B1A12">
        <w:t>T</w:t>
      </w:r>
      <w:r w:rsidRPr="006B1A12">
        <w:t>hus, in theory, the ACPA could impose liability where other parts of the Lanham Act would not</w:t>
      </w:r>
      <w:r w:rsidR="006B1A12" w:rsidRPr="006B1A12">
        <w:t>.</w:t>
      </w:r>
      <w:r w:rsidR="006B1A12" w:rsidRPr="006B1A12">
        <w:t xml:space="preserve"> </w:t>
      </w:r>
      <w:r w:rsidR="006B1A12" w:rsidRPr="006B1A12">
        <w:t>H</w:t>
      </w:r>
      <w:r w:rsidRPr="006B1A12">
        <w:t xml:space="preserve">owever, the ACPA contains a “safe harbor” provision that shields registrants from liability if they actually </w:t>
      </w:r>
      <w:r w:rsidR="006B1A12" w:rsidRPr="006B1A12">
        <w:rPr>
          <w:i/>
        </w:rPr>
        <w:t>and</w:t>
      </w:r>
      <w:r w:rsidRPr="006B1A12">
        <w:t xml:space="preserve"> reasonably believe their use of the domain name is a “fair use or otherwise lawful.”</w:t>
      </w:r>
      <w:r w:rsidR="006B1A12" w:rsidRPr="006B1A12">
        <w:rPr>
          <w:vertAlign w:val="superscript"/>
        </w:rPr>
        <w:footnoteReference w:id="168"/>
      </w:r>
      <w:r w:rsidRPr="006B1A12">
        <w:t xml:space="preserve"> This provision should prevent the application of the ACPA where prior law would have permitted the registration or use of the domain name</w:t>
      </w:r>
      <w:r w:rsidR="006B1A12" w:rsidRPr="006B1A12">
        <w:t>.</w:t>
      </w:r>
      <w:r w:rsidR="006B1A12" w:rsidRPr="006B1A12">
        <w:t xml:space="preserve"> </w:t>
      </w:r>
      <w:r w:rsidR="006B1A12" w:rsidRPr="006B1A12">
        <w:t>I</w:t>
      </w:r>
      <w:r w:rsidRPr="006B1A12">
        <w:t xml:space="preserve">t also protects against </w:t>
      </w:r>
      <w:proofErr w:type="gramStart"/>
      <w:r w:rsidRPr="006B1A12">
        <w:t>an improper</w:t>
      </w:r>
      <w:proofErr w:type="gramEnd"/>
      <w:r w:rsidRPr="006B1A12">
        <w:t xml:space="preserve"> retroactive application of the ACPA</w:t>
      </w:r>
      <w:r w:rsidR="006B1A12" w:rsidRPr="006B1A12">
        <w:t>.</w:t>
      </w:r>
      <w:r w:rsidR="006B1A12" w:rsidRPr="006B1A12">
        <w:t xml:space="preserve"> </w:t>
      </w:r>
      <w:r w:rsidR="006B1A12" w:rsidRPr="006B1A12">
        <w:t>A</w:t>
      </w:r>
      <w:r w:rsidRPr="006B1A12">
        <w:t xml:space="preserve"> </w:t>
      </w:r>
      <w:proofErr w:type="spellStart"/>
      <w:r w:rsidRPr="006B1A12">
        <w:t>cybersquatter</w:t>
      </w:r>
      <w:proofErr w:type="spellEnd"/>
      <w:r w:rsidRPr="006B1A12">
        <w:t xml:space="preserve"> can have no reasonable basis to believe that there were no consequences to his or her actions prior to the enactment of the ACPA</w:t>
      </w:r>
      <w:r w:rsidR="006B1A12" w:rsidRPr="006B1A12">
        <w:t>.</w:t>
      </w:r>
      <w:r w:rsidR="006B1A12" w:rsidRPr="006B1A12">
        <w:t xml:space="preserve"> </w:t>
      </w:r>
      <w:r w:rsidR="006B1A12" w:rsidRPr="006B1A12">
        <w:t>T</w:t>
      </w:r>
      <w:r w:rsidRPr="006B1A12">
        <w:t>he only significant additional liability under the ACPA is the provision for statutory damages</w:t>
      </w:r>
      <w:r w:rsidR="006B1A12" w:rsidRPr="006B1A12">
        <w:t>.</w:t>
      </w:r>
      <w:r w:rsidR="006B1A12" w:rsidRPr="006B1A12">
        <w:t xml:space="preserve"> </w:t>
      </w:r>
      <w:r w:rsidR="006B1A12" w:rsidRPr="006B1A12">
        <w:t>B</w:t>
      </w:r>
      <w:r w:rsidRPr="006B1A12">
        <w:t>ut damages may only be awarded if the defendant continued its activities after the enactment of the ACPA.</w:t>
      </w:r>
    </w:p>
    <w:p w14:paraId="309BC24C" w14:textId="0D9B3CB1" w:rsidR="006B1A12" w:rsidRPr="006B1A12" w:rsidRDefault="007A2DD5" w:rsidP="006B1A12">
      <w:pPr>
        <w:pStyle w:val="BNormal"/>
      </w:pPr>
      <w:r w:rsidRPr="006B1A12">
        <w:t>Obviously, retroactivity is a problem that fades over time</w:t>
      </w:r>
      <w:r w:rsidR="006B1A12" w:rsidRPr="006B1A12">
        <w:t>.</w:t>
      </w:r>
      <w:r w:rsidR="006B1A12" w:rsidRPr="006B1A12">
        <w:t xml:space="preserve"> </w:t>
      </w:r>
      <w:r w:rsidR="006B1A12" w:rsidRPr="006B1A12">
        <w:t>I</w:t>
      </w:r>
      <w:r w:rsidRPr="006B1A12">
        <w:t>t has been more than two decades since the passage of the ACPA</w:t>
      </w:r>
      <w:r w:rsidR="006B1A12" w:rsidRPr="006B1A12">
        <w:t>.</w:t>
      </w:r>
      <w:r w:rsidR="006B1A12" w:rsidRPr="006B1A12">
        <w:t xml:space="preserve"> </w:t>
      </w:r>
      <w:r w:rsidR="006B1A12" w:rsidRPr="006B1A12">
        <w:t>A</w:t>
      </w:r>
      <w:r w:rsidRPr="006B1A12">
        <w:t>lthough the occasional case raised the issue,</w:t>
      </w:r>
      <w:r w:rsidR="006B1A12" w:rsidRPr="006B1A12">
        <w:rPr>
          <w:vertAlign w:val="superscript"/>
        </w:rPr>
        <w:footnoteReference w:id="169"/>
      </w:r>
      <w:r w:rsidRPr="006B1A12">
        <w:t xml:space="preserve"> it will become very rare to find a defendant who made </w:t>
      </w:r>
      <w:proofErr w:type="gramStart"/>
      <w:r w:rsidRPr="006B1A12">
        <w:t>a bad</w:t>
      </w:r>
      <w:proofErr w:type="gramEnd"/>
      <w:r w:rsidRPr="006B1A12">
        <w:t>-faith use of or trafficked in a domain name registered before 1999.</w:t>
      </w:r>
    </w:p>
    <w:p w14:paraId="2A1260A7" w14:textId="4AEE3CB5" w:rsidR="00494245" w:rsidRPr="006B1A12" w:rsidRDefault="00494245" w:rsidP="006B1A12">
      <w:pPr>
        <w:pStyle w:val="BNormal"/>
      </w:pPr>
    </w:p>
    <w:sectPr w:rsidR="00494245" w:rsidRPr="006B1A12" w:rsidSect="009A1AB3">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EB607" w14:textId="77777777" w:rsidR="000D7E33" w:rsidRDefault="000D7E33" w:rsidP="002A47A4">
      <w:r>
        <w:separator/>
      </w:r>
    </w:p>
    <w:p w14:paraId="24EA0E20" w14:textId="77777777" w:rsidR="000D7E33" w:rsidRDefault="000D7E33"/>
    <w:p w14:paraId="422CA476" w14:textId="77777777" w:rsidR="000D7E33" w:rsidRDefault="000D7E33"/>
  </w:endnote>
  <w:endnote w:type="continuationSeparator" w:id="0">
    <w:p w14:paraId="43B29BE0" w14:textId="77777777" w:rsidR="000D7E33" w:rsidRDefault="000D7E33" w:rsidP="002A47A4">
      <w:r>
        <w:continuationSeparator/>
      </w:r>
    </w:p>
    <w:p w14:paraId="3612AEAD" w14:textId="77777777" w:rsidR="000D7E33" w:rsidRDefault="000D7E33"/>
    <w:p w14:paraId="05C3F593" w14:textId="77777777" w:rsidR="000D7E33" w:rsidRDefault="000D7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ITC New Baskerville Std">
    <w:altName w:val="Cambria"/>
    <w:panose1 w:val="00000000000000000000"/>
    <w:charset w:val="00"/>
    <w:family w:val="roma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071A" w14:textId="77777777" w:rsidR="006B1A12" w:rsidRPr="006B1A12" w:rsidRDefault="006B1A12" w:rsidP="006B1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B1B2" w14:textId="77777777" w:rsidR="006B1A12" w:rsidRPr="006B1A12" w:rsidRDefault="006B1A12" w:rsidP="006B1A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7B636" w14:textId="77777777" w:rsidR="006B1A12" w:rsidRPr="006B1A12" w:rsidRDefault="006B1A12" w:rsidP="006B1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5ADC0" w14:textId="77777777" w:rsidR="000D7E33" w:rsidRDefault="000D7E33" w:rsidP="002A47A4">
      <w:r>
        <w:separator/>
      </w:r>
    </w:p>
    <w:p w14:paraId="54679A9B" w14:textId="77777777" w:rsidR="000D7E33" w:rsidRDefault="000D7E33"/>
    <w:p w14:paraId="25A30FD1" w14:textId="77777777" w:rsidR="000D7E33" w:rsidRDefault="000D7E33"/>
  </w:footnote>
  <w:footnote w:type="continuationSeparator" w:id="0">
    <w:p w14:paraId="2433CA9B" w14:textId="77777777" w:rsidR="000D7E33" w:rsidRDefault="000D7E33" w:rsidP="002A47A4">
      <w:r>
        <w:continuationSeparator/>
      </w:r>
    </w:p>
    <w:p w14:paraId="71F074A5" w14:textId="77777777" w:rsidR="000D7E33" w:rsidRDefault="000D7E33"/>
    <w:p w14:paraId="30B7E410" w14:textId="77777777" w:rsidR="000D7E33" w:rsidRDefault="000D7E33"/>
  </w:footnote>
  <w:footnote w:id="1">
    <w:p w14:paraId="2E6D54E8" w14:textId="77AB4165" w:rsidR="006B1A12" w:rsidRPr="006B1A12" w:rsidRDefault="006B1A12" w:rsidP="006B1A12">
      <w:pPr>
        <w:pStyle w:val="FootnoteText"/>
      </w:pPr>
      <w:r w:rsidRPr="006B1A12">
        <w:rPr>
          <w:rStyle w:val="FootnoteReference"/>
        </w:rPr>
        <w:footnoteRef/>
      </w:r>
      <w:r w:rsidRPr="006B1A12">
        <w:t>David Welkowitz is a Professor of Law Emeritus at Whittier Law School in Costa Mesa, California.</w:t>
      </w:r>
      <w:r w:rsidRPr="006B1A12">
        <w:t xml:space="preserve"> </w:t>
      </w:r>
      <w:r w:rsidRPr="006B1A12">
        <w:t>He has taught trademark law, international intellectual property law courses, and civil procedure, among other subjects.</w:t>
      </w:r>
      <w:r w:rsidRPr="006B1A12">
        <w:t xml:space="preserve"> </w:t>
      </w:r>
      <w:r w:rsidRPr="006B1A12">
        <w:t>He was a member of the Whittier faculty from 1983 to 2018.</w:t>
      </w:r>
      <w:r w:rsidRPr="006B1A12">
        <w:t xml:space="preserve"> </w:t>
      </w:r>
      <w:r w:rsidRPr="006B1A12">
        <w:t>From 2019 to 2024 he served as an attorney with the U.S.</w:t>
      </w:r>
      <w:r w:rsidRPr="006B1A12">
        <w:t xml:space="preserve"> </w:t>
      </w:r>
      <w:r w:rsidRPr="006B1A12">
        <w:t>Copyright Office in Washington, D.C.</w:t>
      </w:r>
      <w:r w:rsidRPr="006B1A12">
        <w:t xml:space="preserve"> </w:t>
      </w:r>
      <w:r w:rsidRPr="006B1A12">
        <w:t>Prior to that time, he practiced law in New York City.</w:t>
      </w:r>
      <w:r w:rsidRPr="006B1A12">
        <w:t xml:space="preserve"> </w:t>
      </w:r>
    </w:p>
    <w:p w14:paraId="335F0F51" w14:textId="77777777" w:rsidR="006B1A12" w:rsidRDefault="006B1A12" w:rsidP="006B1A12">
      <w:pPr>
        <w:pStyle w:val="FootnoteText"/>
      </w:pPr>
      <w:r w:rsidRPr="006B1A12">
        <w:t>Mr.</w:t>
      </w:r>
      <w:r w:rsidRPr="006B1A12">
        <w:t xml:space="preserve"> </w:t>
      </w:r>
      <w:r w:rsidRPr="006B1A12">
        <w:t>Welkowitz is the author of numerous articles on trademark law and other topics, and he is the co-author of a casebook on celebrity rights.</w:t>
      </w:r>
      <w:r w:rsidRPr="006B1A12">
        <w:t xml:space="preserve"> </w:t>
      </w:r>
      <w:r w:rsidRPr="006B1A12">
        <w:t>He has also written several lessons in computer-assisted learning, which are used by law students in the areas of civil procedure and trademark law.</w:t>
      </w:r>
      <w:r w:rsidRPr="006B1A12">
        <w:t xml:space="preserve"> </w:t>
      </w:r>
      <w:r w:rsidRPr="006B1A12">
        <w:t>Professor Welkowitz received his J.D.</w:t>
      </w:r>
      <w:r w:rsidRPr="006B1A12">
        <w:t xml:space="preserve"> </w:t>
      </w:r>
      <w:r w:rsidRPr="006B1A12">
        <w:t>degree in 1978 from New York University Law School, where he was a member of the Law Review.</w:t>
      </w:r>
      <w:r w:rsidRPr="006B1A12">
        <w:t xml:space="preserve"> </w:t>
      </w:r>
      <w:r w:rsidRPr="006B1A12">
        <w:t>He received an A.B.</w:t>
      </w:r>
      <w:r w:rsidRPr="006B1A12">
        <w:t xml:space="preserve"> </w:t>
      </w:r>
      <w:r w:rsidRPr="006B1A12">
        <w:t>degree in 1975 from Princeton University.</w:t>
      </w:r>
      <w:r w:rsidRPr="006B1A12">
        <w:t xml:space="preserve"> </w:t>
      </w:r>
      <w:r w:rsidRPr="006B1A12">
        <w:t xml:space="preserve">He is a member of the New York and District of Columbia </w:t>
      </w:r>
      <w:proofErr w:type="gramStart"/>
      <w:r w:rsidRPr="006B1A12">
        <w:t>bars, and</w:t>
      </w:r>
      <w:proofErr w:type="gramEnd"/>
      <w:r w:rsidRPr="006B1A12">
        <w:t xml:space="preserve"> is admitted to practice before the federal courts in the Southern and Eastern Districts of New York and the Court of Appeals for the Second Circuit.</w:t>
      </w:r>
    </w:p>
  </w:footnote>
  <w:footnote w:id="2">
    <w:p w14:paraId="64441C8A" w14:textId="4DFE3BC6" w:rsidR="006B1A12" w:rsidRPr="00E93F9C" w:rsidRDefault="006B1A12" w:rsidP="006B1A12">
      <w:pPr>
        <w:pStyle w:val="FootnoteText"/>
      </w:pPr>
      <w:r w:rsidRPr="006B1A12">
        <w:rPr>
          <w:vertAlign w:val="superscript"/>
        </w:rPr>
        <w:footnoteRef/>
      </w:r>
      <w:r w:rsidRPr="006B1A12">
        <w:rPr>
          <w:i/>
        </w:rPr>
        <w:t>See</w:t>
      </w:r>
      <w:r w:rsidRPr="006B1A12">
        <w:t xml:space="preserve"> </w:t>
      </w:r>
      <w:proofErr w:type="spellStart"/>
      <w:r w:rsidRPr="006B1A12">
        <w:t>Sporty’s</w:t>
      </w:r>
      <w:proofErr w:type="spellEnd"/>
      <w:r w:rsidRPr="006B1A12">
        <w:t xml:space="preserve"> Farm L.L.C.</w:t>
      </w:r>
      <w:r w:rsidRPr="006B1A12">
        <w:t xml:space="preserve"> </w:t>
      </w:r>
      <w:r w:rsidRPr="006B1A12">
        <w:t>v.</w:t>
      </w:r>
      <w:r w:rsidRPr="006B1A12">
        <w:t xml:space="preserve"> </w:t>
      </w:r>
      <w:r w:rsidRPr="006B1A12">
        <w:t xml:space="preserve">Sportsman’s Mkt., Inc., 202 F.3d 489, 53 USPQ2d 1570 (2d Cir.), </w:t>
      </w:r>
      <w:r w:rsidRPr="006B1A12">
        <w:rPr>
          <w:i/>
        </w:rPr>
        <w:t>cert</w:t>
      </w:r>
      <w:r w:rsidRPr="006B1A12">
        <w:t>.</w:t>
      </w:r>
      <w:r w:rsidRPr="006B1A12">
        <w:t xml:space="preserve"> </w:t>
      </w:r>
      <w:r w:rsidRPr="006B1A12">
        <w:rPr>
          <w:i/>
        </w:rPr>
        <w:t>denied</w:t>
      </w:r>
      <w:r w:rsidRPr="006B1A12">
        <w:t>, 530 U.S.</w:t>
      </w:r>
      <w:r w:rsidRPr="006B1A12">
        <w:t xml:space="preserve"> </w:t>
      </w:r>
      <w:r w:rsidRPr="006B1A12">
        <w:t>1262 (2000).</w:t>
      </w:r>
      <w:r w:rsidRPr="006B1A12">
        <w:t xml:space="preserve"> </w:t>
      </w:r>
      <w:r w:rsidRPr="006B1A12">
        <w:t>The offending domain name need not have a “dot com” (.com) extension.</w:t>
      </w:r>
      <w:r w:rsidRPr="006B1A12">
        <w:t xml:space="preserve"> </w:t>
      </w:r>
      <w:r w:rsidRPr="006B1A12">
        <w:t>It could be .net, .org, etc.</w:t>
      </w:r>
      <w:r w:rsidRPr="006B1A12">
        <w:t xml:space="preserve"> </w:t>
      </w:r>
      <w:r w:rsidRPr="006B1A12">
        <w:t>Virtual Works, Inc.</w:t>
      </w:r>
      <w:r w:rsidRPr="006B1A12">
        <w:t xml:space="preserve"> </w:t>
      </w:r>
      <w:r w:rsidRPr="006B1A12">
        <w:t>v.</w:t>
      </w:r>
      <w:r w:rsidRPr="006B1A12">
        <w:t xml:space="preserve"> </w:t>
      </w:r>
      <w:r w:rsidRPr="006B1A12">
        <w:t>Volkswagen of Am., Inc., 238 F.3d 264, 271, 57 USPQ2d 1547 (4th Cir.</w:t>
      </w:r>
      <w:r w:rsidRPr="006B1A12">
        <w:t xml:space="preserve"> </w:t>
      </w:r>
      <w:r w:rsidRPr="006B1A12">
        <w:t>2001).</w:t>
      </w:r>
    </w:p>
  </w:footnote>
  <w:footnote w:id="3">
    <w:p w14:paraId="6124964C" w14:textId="755CC378" w:rsidR="006B1A12" w:rsidRPr="00E93F9C" w:rsidRDefault="006B1A12" w:rsidP="006B1A12">
      <w:pPr>
        <w:pStyle w:val="FootnoteText"/>
      </w:pPr>
      <w:r w:rsidRPr="006B1A12">
        <w:rPr>
          <w:vertAlign w:val="superscript"/>
        </w:rPr>
        <w:footnoteRef/>
      </w:r>
      <w:r w:rsidRPr="006B1A12">
        <w:rPr>
          <w:i/>
        </w:rPr>
        <w:t>E</w:t>
      </w:r>
      <w:r w:rsidRPr="006B1A12">
        <w:t>.</w:t>
      </w:r>
      <w:r w:rsidRPr="006B1A12">
        <w:rPr>
          <w:i/>
        </w:rPr>
        <w:t>g</w:t>
      </w:r>
      <w:r w:rsidRPr="006B1A12">
        <w:t xml:space="preserve">., 141 </w:t>
      </w:r>
      <w:r w:rsidRPr="006B1A12">
        <w:rPr>
          <w:smallCaps/>
        </w:rPr>
        <w:t>Cong.</w:t>
      </w:r>
      <w:r w:rsidRPr="006B1A12">
        <w:rPr>
          <w:smallCaps/>
        </w:rPr>
        <w:t xml:space="preserve"> </w:t>
      </w:r>
      <w:r w:rsidRPr="006B1A12">
        <w:rPr>
          <w:smallCaps/>
        </w:rPr>
        <w:t>Rec.</w:t>
      </w:r>
      <w:r w:rsidRPr="006B1A12">
        <w:rPr>
          <w:smallCaps/>
        </w:rPr>
        <w:t xml:space="preserve"> </w:t>
      </w:r>
      <w:r w:rsidRPr="006B1A12">
        <w:t>S19,312-01 (Dec.</w:t>
      </w:r>
      <w:r w:rsidRPr="006B1A12">
        <w:t xml:space="preserve"> </w:t>
      </w:r>
      <w:r w:rsidRPr="006B1A12">
        <w:t>2, 1995) (remarks of Sen.</w:t>
      </w:r>
      <w:r w:rsidRPr="006B1A12">
        <w:t xml:space="preserve"> </w:t>
      </w:r>
      <w:r w:rsidRPr="006B1A12">
        <w:t>Leahy) (“It is my hope that this anti-dilution statute can help stem the use of deceptive Internet addresses taken by those who are choosing marks that are associated with the products and reputations of others.”).</w:t>
      </w:r>
    </w:p>
  </w:footnote>
  <w:footnote w:id="4">
    <w:p w14:paraId="4116B7AD" w14:textId="0191797E" w:rsidR="006B1A12" w:rsidRPr="00E93F9C" w:rsidRDefault="006B1A12" w:rsidP="006B1A12">
      <w:pPr>
        <w:pStyle w:val="FootnoteText"/>
      </w:pPr>
      <w:r w:rsidRPr="006B1A12">
        <w:rPr>
          <w:vertAlign w:val="superscript"/>
        </w:rPr>
        <w:footnoteRef/>
      </w:r>
      <w:r w:rsidRPr="006B1A12">
        <w:rPr>
          <w:i/>
        </w:rPr>
        <w:t>E</w:t>
      </w:r>
      <w:r w:rsidRPr="006B1A12">
        <w:t>.</w:t>
      </w:r>
      <w:r w:rsidRPr="006B1A12">
        <w:rPr>
          <w:i/>
        </w:rPr>
        <w:t>g</w:t>
      </w:r>
      <w:r w:rsidRPr="006B1A12">
        <w:t>., Panavision Int’l, L.P.</w:t>
      </w:r>
      <w:r w:rsidRPr="006B1A12">
        <w:t xml:space="preserve"> </w:t>
      </w:r>
      <w:r w:rsidRPr="006B1A12">
        <w:t>v.</w:t>
      </w:r>
      <w:r w:rsidRPr="006B1A12">
        <w:t xml:space="preserve"> </w:t>
      </w:r>
      <w:proofErr w:type="spellStart"/>
      <w:r w:rsidRPr="006B1A12">
        <w:t>Toeppen</w:t>
      </w:r>
      <w:proofErr w:type="spellEnd"/>
      <w:r w:rsidRPr="006B1A12">
        <w:t>, 141 F.3d 1316, 1327, 46 USPQ2d 1511 (9th Cir.</w:t>
      </w:r>
      <w:r w:rsidRPr="006B1A12">
        <w:t xml:space="preserve"> </w:t>
      </w:r>
      <w:r w:rsidRPr="006B1A12">
        <w:t>1998);</w:t>
      </w:r>
      <w:r w:rsidRPr="006B1A12">
        <w:t xml:space="preserve"> </w:t>
      </w:r>
      <w:r w:rsidRPr="006B1A12">
        <w:t>Jews for Jesus v.</w:t>
      </w:r>
      <w:r w:rsidRPr="006B1A12">
        <w:t xml:space="preserve"> </w:t>
      </w:r>
      <w:r w:rsidRPr="006B1A12">
        <w:t>Brodsky, 993 F.</w:t>
      </w:r>
      <w:r w:rsidRPr="006B1A12">
        <w:t xml:space="preserve"> </w:t>
      </w:r>
      <w:r w:rsidRPr="006B1A12">
        <w:t>Supp.</w:t>
      </w:r>
      <w:r w:rsidRPr="006B1A12">
        <w:t xml:space="preserve"> </w:t>
      </w:r>
      <w:r w:rsidRPr="006B1A12">
        <w:t xml:space="preserve">282, 306–07, 46 USPQ2d 1652 (D.N.J.), </w:t>
      </w:r>
      <w:r w:rsidRPr="006B1A12">
        <w:rPr>
          <w:i/>
        </w:rPr>
        <w:t>aff’d</w:t>
      </w:r>
      <w:r w:rsidRPr="006B1A12">
        <w:t>, 159 F.3d 1351 (3d Cir.</w:t>
      </w:r>
      <w:r w:rsidRPr="006B1A12">
        <w:t xml:space="preserve"> </w:t>
      </w:r>
      <w:r w:rsidRPr="006B1A12">
        <w:t>1998);</w:t>
      </w:r>
      <w:r w:rsidRPr="006B1A12">
        <w:t xml:space="preserve"> </w:t>
      </w:r>
      <w:r w:rsidRPr="006B1A12">
        <w:t xml:space="preserve">Planned Parenthood </w:t>
      </w:r>
      <w:proofErr w:type="spellStart"/>
      <w:r w:rsidRPr="006B1A12">
        <w:t>Fed’n</w:t>
      </w:r>
      <w:proofErr w:type="spellEnd"/>
      <w:r w:rsidRPr="006B1A12">
        <w:t xml:space="preserve"> of Am., Inc.</w:t>
      </w:r>
      <w:r w:rsidRPr="006B1A12">
        <w:t xml:space="preserve"> </w:t>
      </w:r>
      <w:r w:rsidRPr="006B1A12">
        <w:t>v.</w:t>
      </w:r>
      <w:r w:rsidRPr="006B1A12">
        <w:t xml:space="preserve"> </w:t>
      </w:r>
      <w:r w:rsidRPr="006B1A12">
        <w:t>Bucci, 42 USPQ2d 1430, 1441 (S.D.N.Y.</w:t>
      </w:r>
      <w:r w:rsidRPr="006B1A12">
        <w:t xml:space="preserve"> </w:t>
      </w:r>
      <w:r w:rsidRPr="006B1A12">
        <w:t xml:space="preserve">1997), </w:t>
      </w:r>
      <w:r w:rsidRPr="006B1A12">
        <w:rPr>
          <w:i/>
        </w:rPr>
        <w:t>aff’d mem</w:t>
      </w:r>
      <w:r w:rsidRPr="006B1A12">
        <w:t xml:space="preserve">., 152 F.3d 920 (2d Cir.), </w:t>
      </w:r>
      <w:r w:rsidRPr="006B1A12">
        <w:rPr>
          <w:i/>
        </w:rPr>
        <w:t>cert</w:t>
      </w:r>
      <w:r w:rsidRPr="006B1A12">
        <w:t>.</w:t>
      </w:r>
      <w:r w:rsidRPr="006B1A12">
        <w:t xml:space="preserve"> </w:t>
      </w:r>
      <w:r w:rsidRPr="006B1A12">
        <w:rPr>
          <w:i/>
        </w:rPr>
        <w:t>denied</w:t>
      </w:r>
      <w:r w:rsidRPr="006B1A12">
        <w:t>, 525 U.S.</w:t>
      </w:r>
      <w:r w:rsidRPr="006B1A12">
        <w:t xml:space="preserve"> </w:t>
      </w:r>
      <w:r w:rsidRPr="006B1A12">
        <w:t>834 (1998);</w:t>
      </w:r>
      <w:r w:rsidRPr="006B1A12">
        <w:t xml:space="preserve"> </w:t>
      </w:r>
      <w:r w:rsidRPr="006B1A12">
        <w:t>Lozano Enters.</w:t>
      </w:r>
      <w:r w:rsidRPr="006B1A12">
        <w:t xml:space="preserve"> </w:t>
      </w:r>
      <w:r w:rsidRPr="006B1A12">
        <w:t>v.</w:t>
      </w:r>
      <w:r w:rsidRPr="006B1A12">
        <w:t xml:space="preserve"> </w:t>
      </w:r>
      <w:r w:rsidRPr="006B1A12">
        <w:t xml:space="preserve">La </w:t>
      </w:r>
      <w:proofErr w:type="spellStart"/>
      <w:r w:rsidRPr="006B1A12">
        <w:t>Opinión</w:t>
      </w:r>
      <w:proofErr w:type="spellEnd"/>
      <w:r w:rsidRPr="006B1A12">
        <w:t xml:space="preserve"> Publ’g Co., 44 USPQ2d 1764, 1769 (C.D.</w:t>
      </w:r>
      <w:r w:rsidRPr="006B1A12">
        <w:t xml:space="preserve"> </w:t>
      </w:r>
      <w:r w:rsidRPr="006B1A12">
        <w:t>Cal.</w:t>
      </w:r>
      <w:r w:rsidRPr="006B1A12">
        <w:t xml:space="preserve"> </w:t>
      </w:r>
      <w:r w:rsidRPr="006B1A12">
        <w:t>1997);</w:t>
      </w:r>
      <w:r w:rsidRPr="006B1A12">
        <w:t xml:space="preserve"> </w:t>
      </w:r>
      <w:proofErr w:type="spellStart"/>
      <w:r w:rsidRPr="006B1A12">
        <w:t>Intermatic</w:t>
      </w:r>
      <w:proofErr w:type="spellEnd"/>
      <w:r w:rsidRPr="006B1A12">
        <w:t>, Inc.</w:t>
      </w:r>
      <w:r w:rsidRPr="006B1A12">
        <w:t xml:space="preserve"> </w:t>
      </w:r>
      <w:r w:rsidRPr="006B1A12">
        <w:t>v.</w:t>
      </w:r>
      <w:r w:rsidRPr="006B1A12">
        <w:t xml:space="preserve"> </w:t>
      </w:r>
      <w:proofErr w:type="spellStart"/>
      <w:r w:rsidRPr="006B1A12">
        <w:t>Toeppen</w:t>
      </w:r>
      <w:proofErr w:type="spellEnd"/>
      <w:r w:rsidRPr="006B1A12">
        <w:t>, 947 F.</w:t>
      </w:r>
      <w:r w:rsidRPr="006B1A12">
        <w:t xml:space="preserve"> </w:t>
      </w:r>
      <w:r w:rsidRPr="006B1A12">
        <w:t>Supp.</w:t>
      </w:r>
      <w:r w:rsidRPr="006B1A12">
        <w:t xml:space="preserve"> </w:t>
      </w:r>
      <w:r w:rsidRPr="006B1A12">
        <w:t>1227, 1240, 40 USPQ2d 1412 (N.D.</w:t>
      </w:r>
      <w:r w:rsidRPr="006B1A12">
        <w:t xml:space="preserve"> </w:t>
      </w:r>
      <w:r w:rsidRPr="006B1A12">
        <w:t>Ill.</w:t>
      </w:r>
      <w:r w:rsidRPr="006B1A12">
        <w:t xml:space="preserve"> </w:t>
      </w:r>
      <w:r w:rsidRPr="006B1A12">
        <w:t>1996).</w:t>
      </w:r>
    </w:p>
  </w:footnote>
  <w:footnote w:id="5">
    <w:p w14:paraId="64D5AE54" w14:textId="44EE7724" w:rsidR="006B1A12" w:rsidRPr="00E93F9C" w:rsidRDefault="006B1A12" w:rsidP="006B1A12">
      <w:pPr>
        <w:pStyle w:val="FootnoteText"/>
      </w:pPr>
      <w:r w:rsidRPr="006B1A12">
        <w:rPr>
          <w:vertAlign w:val="superscript"/>
        </w:rPr>
        <w:footnoteRef/>
      </w:r>
      <w:r w:rsidRPr="006B1A12">
        <w:rPr>
          <w:i/>
        </w:rPr>
        <w:t xml:space="preserve">See </w:t>
      </w:r>
      <w:r w:rsidRPr="006B1A12">
        <w:t>Chapter 3, §IV.E;</w:t>
      </w:r>
      <w:r w:rsidRPr="006B1A12">
        <w:t xml:space="preserve"> </w:t>
      </w:r>
      <w:r w:rsidRPr="006B1A12">
        <w:t>Chapter 9, §II.H.1.</w:t>
      </w:r>
    </w:p>
  </w:footnote>
  <w:footnote w:id="6">
    <w:p w14:paraId="541D82C4" w14:textId="0B5D8BE8" w:rsidR="006B1A12" w:rsidRPr="00E93F9C" w:rsidRDefault="006B1A12" w:rsidP="006B1A12">
      <w:pPr>
        <w:pStyle w:val="FootnoteText"/>
      </w:pPr>
      <w:r w:rsidRPr="006B1A12">
        <w:rPr>
          <w:vertAlign w:val="superscript"/>
        </w:rPr>
        <w:footnoteRef/>
      </w:r>
      <w:r w:rsidRPr="006B1A12">
        <w:t>15 U.S.C.</w:t>
      </w:r>
      <w:r w:rsidRPr="006B1A12">
        <w:t xml:space="preserve"> </w:t>
      </w:r>
      <w:r w:rsidRPr="006B1A12">
        <w:t>§1125(c)(3).</w:t>
      </w:r>
      <w:r w:rsidRPr="006B1A12">
        <w:t xml:space="preserve"> </w:t>
      </w:r>
      <w:r w:rsidRPr="006B1A12">
        <w:rPr>
          <w:i/>
        </w:rPr>
        <w:t>See</w:t>
      </w:r>
      <w:r w:rsidRPr="006B1A12">
        <w:t xml:space="preserve"> Chapter 10, §§II, IV.</w:t>
      </w:r>
    </w:p>
  </w:footnote>
  <w:footnote w:id="7">
    <w:p w14:paraId="2F0420D5" w14:textId="1ECCEA79" w:rsidR="006B1A12" w:rsidRPr="00E93F9C" w:rsidRDefault="006B1A12" w:rsidP="006B1A12">
      <w:pPr>
        <w:pStyle w:val="FootnoteText"/>
      </w:pPr>
      <w:r w:rsidRPr="006B1A12">
        <w:rPr>
          <w:vertAlign w:val="superscript"/>
        </w:rPr>
        <w:footnoteRef/>
      </w:r>
      <w:r w:rsidRPr="006B1A12">
        <w:rPr>
          <w:i/>
        </w:rPr>
        <w:t>See</w:t>
      </w:r>
      <w:r w:rsidRPr="006B1A12">
        <w:t xml:space="preserve"> Chapter 9, §II.H.</w:t>
      </w:r>
    </w:p>
  </w:footnote>
  <w:footnote w:id="8">
    <w:p w14:paraId="3CD1DCAA" w14:textId="364BD75C" w:rsidR="006B1A12" w:rsidRPr="00E93F9C" w:rsidRDefault="006B1A12" w:rsidP="006B1A12">
      <w:pPr>
        <w:pStyle w:val="FootnoteText"/>
      </w:pPr>
      <w:r w:rsidRPr="006B1A12">
        <w:rPr>
          <w:vertAlign w:val="superscript"/>
        </w:rPr>
        <w:footnoteRef/>
      </w:r>
      <w:r w:rsidRPr="006B1A12">
        <w:t>The FTDA and the TDRA limit relief to an injunction unless willful intent to trade on a famous mark’s reputation or to harm a famous mark’s reputation is shown.</w:t>
      </w:r>
      <w:r w:rsidRPr="006B1A12">
        <w:t xml:space="preserve"> </w:t>
      </w:r>
      <w:r w:rsidRPr="006B1A12">
        <w:t>Lanham Act §43(c)(5), 15 U.S.C.</w:t>
      </w:r>
      <w:r w:rsidRPr="006B1A12">
        <w:t xml:space="preserve"> </w:t>
      </w:r>
      <w:r w:rsidRPr="006B1A12">
        <w:t>§1125(c)(5).</w:t>
      </w:r>
      <w:r w:rsidRPr="006B1A12">
        <w:t xml:space="preserve"> </w:t>
      </w:r>
      <w:r w:rsidRPr="006B1A12">
        <w:rPr>
          <w:i/>
        </w:rPr>
        <w:t xml:space="preserve">See </w:t>
      </w:r>
      <w:r w:rsidRPr="006B1A12">
        <w:t>Chapter 11, §III.</w:t>
      </w:r>
    </w:p>
  </w:footnote>
  <w:footnote w:id="9">
    <w:p w14:paraId="1E22D48C" w14:textId="02C3CBC2" w:rsidR="006B1A12" w:rsidRPr="00E93F9C" w:rsidRDefault="006B1A12" w:rsidP="006B1A12">
      <w:pPr>
        <w:pStyle w:val="FootnoteText"/>
      </w:pPr>
      <w:r w:rsidRPr="006B1A12">
        <w:rPr>
          <w:vertAlign w:val="superscript"/>
        </w:rPr>
        <w:footnoteRef/>
      </w:r>
      <w:r w:rsidRPr="006B1A12">
        <w:rPr>
          <w:i/>
        </w:rPr>
        <w:t>See</w:t>
      </w:r>
      <w:r w:rsidRPr="006B1A12">
        <w:t xml:space="preserve"> </w:t>
      </w:r>
      <w:r w:rsidRPr="006B1A12">
        <w:rPr>
          <w:smallCaps/>
        </w:rPr>
        <w:t>H.R.</w:t>
      </w:r>
      <w:r w:rsidRPr="006B1A12">
        <w:rPr>
          <w:smallCaps/>
        </w:rPr>
        <w:t xml:space="preserve"> </w:t>
      </w:r>
      <w:r w:rsidRPr="006B1A12">
        <w:rPr>
          <w:smallCaps/>
        </w:rPr>
        <w:t>Rep.</w:t>
      </w:r>
      <w:r w:rsidRPr="006B1A12">
        <w:rPr>
          <w:smallCaps/>
        </w:rPr>
        <w:t xml:space="preserve"> </w:t>
      </w:r>
      <w:r w:rsidRPr="006B1A12">
        <w:rPr>
          <w:smallCaps/>
        </w:rPr>
        <w:t>No.</w:t>
      </w:r>
      <w:r w:rsidRPr="006B1A12">
        <w:rPr>
          <w:smallCaps/>
        </w:rPr>
        <w:t xml:space="preserve"> </w:t>
      </w:r>
      <w:r w:rsidRPr="006B1A12">
        <w:t>106-412, at 14 (Oct.</w:t>
      </w:r>
      <w:r w:rsidRPr="006B1A12">
        <w:t xml:space="preserve"> </w:t>
      </w:r>
      <w:r w:rsidRPr="006B1A12">
        <w:t>25, 1999) (noting the problem of finding some domain-name owners).</w:t>
      </w:r>
      <w:r w:rsidRPr="006B1A12">
        <w:t xml:space="preserve"> </w:t>
      </w:r>
      <w:r w:rsidRPr="006B1A12">
        <w:rPr>
          <w:i/>
        </w:rPr>
        <w:t>But cf</w:t>
      </w:r>
      <w:r w:rsidRPr="006B1A12">
        <w:t>.</w:t>
      </w:r>
      <w:r w:rsidRPr="006B1A12">
        <w:t xml:space="preserve"> </w:t>
      </w:r>
      <w:r w:rsidRPr="006B1A12">
        <w:t>Northern Light Tech., Inc.</w:t>
      </w:r>
      <w:r w:rsidRPr="006B1A12">
        <w:t xml:space="preserve"> </w:t>
      </w:r>
      <w:r w:rsidRPr="006B1A12">
        <w:t>v.</w:t>
      </w:r>
      <w:r w:rsidRPr="006B1A12">
        <w:t xml:space="preserve"> </w:t>
      </w:r>
      <w:r w:rsidRPr="006B1A12">
        <w:t xml:space="preserve">Northern Lights Club, 236 F.3d 57, 61–63, 57 USPQ2d 1277 (1st Cir.) (finding personal jurisdiction from service on defendant’s agent within the state when he attended a hearing), </w:t>
      </w:r>
      <w:r w:rsidRPr="006B1A12">
        <w:rPr>
          <w:i/>
        </w:rPr>
        <w:t>cert</w:t>
      </w:r>
      <w:r w:rsidRPr="006B1A12">
        <w:t>.</w:t>
      </w:r>
      <w:r w:rsidRPr="006B1A12">
        <w:t xml:space="preserve"> </w:t>
      </w:r>
      <w:r w:rsidRPr="006B1A12">
        <w:rPr>
          <w:i/>
        </w:rPr>
        <w:t>denied</w:t>
      </w:r>
      <w:r w:rsidRPr="006B1A12">
        <w:t>, 511 U.S.</w:t>
      </w:r>
      <w:r w:rsidRPr="006B1A12">
        <w:t xml:space="preserve"> </w:t>
      </w:r>
      <w:r w:rsidRPr="006B1A12">
        <w:t>911 (2001).</w:t>
      </w:r>
    </w:p>
  </w:footnote>
  <w:footnote w:id="10">
    <w:p w14:paraId="05E08FDA" w14:textId="3BB6AC97" w:rsidR="006B1A12" w:rsidRPr="00397A9B" w:rsidRDefault="006B1A12" w:rsidP="006B1A12">
      <w:pPr>
        <w:pStyle w:val="FootnoteText"/>
        <w:rPr>
          <w:lang w:val="it-IT"/>
        </w:rPr>
      </w:pPr>
      <w:r w:rsidRPr="006B1A12">
        <w:rPr>
          <w:vertAlign w:val="superscript"/>
        </w:rPr>
        <w:footnoteRef/>
      </w:r>
      <w:r w:rsidRPr="006B1A12">
        <w:t>Pub.</w:t>
      </w:r>
      <w:r w:rsidRPr="006B1A12">
        <w:t xml:space="preserve"> </w:t>
      </w:r>
      <w:r w:rsidRPr="006B1A12">
        <w:t>L.</w:t>
      </w:r>
      <w:r w:rsidRPr="006B1A12">
        <w:t xml:space="preserve"> </w:t>
      </w:r>
      <w:r w:rsidRPr="006B1A12">
        <w:t>No.</w:t>
      </w:r>
      <w:r w:rsidRPr="006B1A12">
        <w:t xml:space="preserve"> </w:t>
      </w:r>
      <w:r w:rsidRPr="006B1A12">
        <w:t>106-113, 113 Stat.</w:t>
      </w:r>
      <w:r w:rsidRPr="006B1A12">
        <w:t xml:space="preserve"> </w:t>
      </w:r>
      <w:r w:rsidRPr="006B1A12">
        <w:t>1501A-545 (1999).</w:t>
      </w:r>
    </w:p>
  </w:footnote>
  <w:footnote w:id="11">
    <w:p w14:paraId="40298751" w14:textId="703E4486" w:rsidR="006B1A12" w:rsidRPr="00E93F9C" w:rsidRDefault="006B1A12" w:rsidP="006B1A12">
      <w:pPr>
        <w:pStyle w:val="FootnoteText"/>
      </w:pPr>
      <w:r w:rsidRPr="006B1A12">
        <w:rPr>
          <w:vertAlign w:val="superscript"/>
        </w:rPr>
        <w:footnoteRef/>
      </w:r>
      <w:r w:rsidRPr="006B1A12">
        <w:t>15 U.S.C.</w:t>
      </w:r>
      <w:r w:rsidRPr="006B1A12">
        <w:t xml:space="preserve"> </w:t>
      </w:r>
      <w:r w:rsidRPr="006B1A12">
        <w:t>§1125(d).</w:t>
      </w:r>
      <w:r w:rsidRPr="006B1A12">
        <w:t xml:space="preserve"> </w:t>
      </w:r>
      <w:r w:rsidRPr="006B1A12">
        <w:t>It also added §1129, since renumbered 15 U.S.C.</w:t>
      </w:r>
      <w:r w:rsidRPr="006B1A12">
        <w:t xml:space="preserve"> </w:t>
      </w:r>
      <w:r w:rsidRPr="006B1A12">
        <w:t>§8131, dealing with personal names registered as domain names.</w:t>
      </w:r>
      <w:r w:rsidRPr="006B1A12">
        <w:t xml:space="preserve"> </w:t>
      </w:r>
      <w:r w:rsidRPr="006B1A12">
        <w:t>Other sections of the statute were not codified in the Lanham Act.</w:t>
      </w:r>
      <w:r w:rsidRPr="006B1A12">
        <w:t xml:space="preserve"> </w:t>
      </w:r>
      <w:r w:rsidRPr="006B1A12">
        <w:t>Another process that has emerged to resolve cybersquatting issues is the Uniform Domain Name Dispute Resolution Procedures (UDRP) promulgated by the Internet Corporation for Assigned Names and Numbers (ICANN).</w:t>
      </w:r>
      <w:r w:rsidRPr="006B1A12">
        <w:t xml:space="preserve"> </w:t>
      </w:r>
      <w:r w:rsidRPr="006B1A12">
        <w:t>The UDRP, an arbitration procedure, provides a means for resolving some domain name disputes, including allegations of cybersquatting.</w:t>
      </w:r>
      <w:r w:rsidRPr="006B1A12">
        <w:t xml:space="preserve"> </w:t>
      </w:r>
      <w:r w:rsidRPr="006B1A12">
        <w:t>The UDRP procedures can be found on the ICANN website.</w:t>
      </w:r>
      <w:r w:rsidRPr="006B1A12">
        <w:t xml:space="preserve"> </w:t>
      </w:r>
      <w:r w:rsidRPr="006B1A12">
        <w:rPr>
          <w:i/>
        </w:rPr>
        <w:t>See</w:t>
      </w:r>
      <w:r w:rsidRPr="006B1A12">
        <w:t xml:space="preserve"> </w:t>
      </w:r>
      <w:r w:rsidRPr="006B1A12">
        <w:rPr>
          <w:i/>
        </w:rPr>
        <w:t>UDRP</w:t>
      </w:r>
      <w:r w:rsidRPr="006B1A12">
        <w:t>, ICANN (Oct.</w:t>
      </w:r>
      <w:r w:rsidRPr="006B1A12">
        <w:t xml:space="preserve"> </w:t>
      </w:r>
      <w:r w:rsidRPr="006B1A12">
        <w:t xml:space="preserve">24, 1999), http://www.icann.org/en/help/dndr/udrp/policy, </w:t>
      </w:r>
      <w:r w:rsidRPr="006B1A12">
        <w:rPr>
          <w:i/>
        </w:rPr>
        <w:t>and</w:t>
      </w:r>
      <w:r w:rsidRPr="006B1A12">
        <w:t xml:space="preserve"> </w:t>
      </w:r>
      <w:r w:rsidRPr="006B1A12">
        <w:rPr>
          <w:i/>
        </w:rPr>
        <w:t>Rules for UDRP</w:t>
      </w:r>
      <w:r w:rsidRPr="006B1A12">
        <w:t>, ICANN (Oct.</w:t>
      </w:r>
      <w:r w:rsidRPr="006B1A12">
        <w:t xml:space="preserve"> </w:t>
      </w:r>
      <w:r w:rsidRPr="006B1A12">
        <w:t>30, 2009), http://www.icann.org/en/help/dndr/udrp/rules.</w:t>
      </w:r>
      <w:r w:rsidRPr="006B1A12">
        <w:t xml:space="preserve"> </w:t>
      </w:r>
      <w:r w:rsidRPr="006B1A12">
        <w:t>However, a UDRP proceeding does not bind a court deciding an ACPA claim.</w:t>
      </w:r>
      <w:r w:rsidRPr="006B1A12">
        <w:t xml:space="preserve"> </w:t>
      </w:r>
      <w:r w:rsidRPr="006B1A12">
        <w:t>Sallen v.</w:t>
      </w:r>
      <w:r w:rsidRPr="006B1A12">
        <w:t xml:space="preserve"> </w:t>
      </w:r>
      <w:r w:rsidRPr="006B1A12">
        <w:t xml:space="preserve">Corinthians </w:t>
      </w:r>
      <w:proofErr w:type="spellStart"/>
      <w:r w:rsidRPr="006B1A12">
        <w:t>Licenciamentos</w:t>
      </w:r>
      <w:proofErr w:type="spellEnd"/>
      <w:r w:rsidRPr="006B1A12">
        <w:t xml:space="preserve"> LTDA, 273 F.3d 14, 29–30, 60 USPQ2d 1941 (1st Cir.</w:t>
      </w:r>
      <w:r w:rsidRPr="006B1A12">
        <w:t xml:space="preserve"> </w:t>
      </w:r>
      <w:r w:rsidRPr="006B1A12">
        <w:t>2001);</w:t>
      </w:r>
      <w:r w:rsidRPr="006B1A12">
        <w:t xml:space="preserve"> </w:t>
      </w:r>
      <w:r w:rsidRPr="006B1A12">
        <w:t>Barcelona.com, Inc.</w:t>
      </w:r>
      <w:r w:rsidRPr="006B1A12">
        <w:t xml:space="preserve"> </w:t>
      </w:r>
      <w:r w:rsidRPr="006B1A12">
        <w:t>v.</w:t>
      </w:r>
      <w:r w:rsidRPr="006B1A12">
        <w:t xml:space="preserve"> </w:t>
      </w:r>
      <w:proofErr w:type="spellStart"/>
      <w:r w:rsidRPr="006B1A12">
        <w:t>Excelentisimo</w:t>
      </w:r>
      <w:proofErr w:type="spellEnd"/>
      <w:r w:rsidRPr="006B1A12">
        <w:t xml:space="preserve"> </w:t>
      </w:r>
      <w:proofErr w:type="spellStart"/>
      <w:r w:rsidRPr="006B1A12">
        <w:t>Ayuntamiento</w:t>
      </w:r>
      <w:proofErr w:type="spellEnd"/>
      <w:r w:rsidRPr="006B1A12">
        <w:t xml:space="preserve"> de Barcelona, 330 F.3d 617, 625–26, 67 USPQ2d 1025 (4th Cir.</w:t>
      </w:r>
      <w:r w:rsidRPr="006B1A12">
        <w:t xml:space="preserve"> </w:t>
      </w:r>
      <w:r w:rsidRPr="006B1A12">
        <w:t>2003);</w:t>
      </w:r>
      <w:r w:rsidRPr="006B1A12">
        <w:t xml:space="preserve"> </w:t>
      </w:r>
      <w:r w:rsidRPr="006B1A12">
        <w:rPr>
          <w:i/>
        </w:rPr>
        <w:t>see</w:t>
      </w:r>
      <w:r w:rsidRPr="006B1A12">
        <w:t xml:space="preserve"> </w:t>
      </w:r>
      <w:proofErr w:type="spellStart"/>
      <w:r w:rsidRPr="006B1A12">
        <w:t>Dluhos</w:t>
      </w:r>
      <w:proofErr w:type="spellEnd"/>
      <w:r w:rsidRPr="006B1A12">
        <w:t xml:space="preserve"> v.</w:t>
      </w:r>
      <w:r w:rsidRPr="006B1A12">
        <w:t xml:space="preserve"> </w:t>
      </w:r>
      <w:r w:rsidRPr="006B1A12">
        <w:t>Strasberg, 321 F.3d 365, 65 USPQ2d 1842 (3d Cir.</w:t>
      </w:r>
      <w:r w:rsidRPr="006B1A12">
        <w:t xml:space="preserve"> </w:t>
      </w:r>
      <w:r w:rsidRPr="006B1A12">
        <w:t>2003) (UDRP proceeding not entitled to deference under Federal Arbitration Act).</w:t>
      </w:r>
    </w:p>
  </w:footnote>
  <w:footnote w:id="12">
    <w:p w14:paraId="5166956F" w14:textId="0D012278" w:rsidR="006B1A12" w:rsidRPr="00E93F9C" w:rsidRDefault="006B1A12" w:rsidP="006B1A12">
      <w:pPr>
        <w:pStyle w:val="FootnoteText"/>
      </w:pPr>
      <w:r w:rsidRPr="006B1A12">
        <w:rPr>
          <w:vertAlign w:val="superscript"/>
        </w:rPr>
        <w:footnoteRef/>
      </w:r>
      <w:r w:rsidRPr="006B1A12">
        <w:t>15 U.S.C.</w:t>
      </w:r>
      <w:r w:rsidRPr="006B1A12">
        <w:t xml:space="preserve"> </w:t>
      </w:r>
      <w:r w:rsidRPr="006B1A12">
        <w:t>§1125(d)(1)(A).</w:t>
      </w:r>
    </w:p>
  </w:footnote>
  <w:footnote w:id="13">
    <w:p w14:paraId="452D0C56" w14:textId="62D61A80" w:rsidR="006B1A12" w:rsidRPr="00E93F9C" w:rsidRDefault="006B1A12" w:rsidP="006B1A12">
      <w:pPr>
        <w:pStyle w:val="FootnoteText"/>
      </w:pPr>
      <w:r w:rsidRPr="006B1A12">
        <w:rPr>
          <w:vertAlign w:val="superscript"/>
        </w:rPr>
        <w:footnoteRef/>
      </w:r>
      <w:r w:rsidRPr="006B1A12">
        <w:t>Lanham Act §43(d)(2), 15 U.S.C.</w:t>
      </w:r>
      <w:r w:rsidRPr="006B1A12">
        <w:t xml:space="preserve"> </w:t>
      </w:r>
      <w:r w:rsidRPr="006B1A12">
        <w:t>§1125(d)(2).</w:t>
      </w:r>
    </w:p>
  </w:footnote>
  <w:footnote w:id="14">
    <w:p w14:paraId="61F47F37" w14:textId="2C6C7A04" w:rsidR="006B1A12" w:rsidRPr="00E93F9C" w:rsidRDefault="006B1A12" w:rsidP="006B1A12">
      <w:pPr>
        <w:pStyle w:val="FootnoteText"/>
      </w:pPr>
      <w:r w:rsidRPr="006B1A12">
        <w:rPr>
          <w:vertAlign w:val="superscript"/>
        </w:rPr>
        <w:footnoteRef/>
      </w:r>
      <w:r w:rsidRPr="006B1A12">
        <w:rPr>
          <w:i/>
        </w:rPr>
        <w:t>See</w:t>
      </w:r>
      <w:r w:rsidRPr="006B1A12">
        <w:t xml:space="preserve"> </w:t>
      </w:r>
      <w:r w:rsidRPr="006B1A12">
        <w:rPr>
          <w:smallCaps/>
        </w:rPr>
        <w:t>S.</w:t>
      </w:r>
      <w:r w:rsidRPr="006B1A12">
        <w:rPr>
          <w:smallCaps/>
        </w:rPr>
        <w:t xml:space="preserve"> </w:t>
      </w:r>
      <w:r w:rsidRPr="006B1A12">
        <w:rPr>
          <w:smallCaps/>
        </w:rPr>
        <w:t>Rep.</w:t>
      </w:r>
      <w:r w:rsidRPr="006B1A12">
        <w:rPr>
          <w:smallCaps/>
        </w:rPr>
        <w:t xml:space="preserve"> </w:t>
      </w:r>
      <w:r w:rsidRPr="006B1A12">
        <w:rPr>
          <w:smallCaps/>
        </w:rPr>
        <w:t>No.</w:t>
      </w:r>
      <w:r w:rsidRPr="006B1A12">
        <w:rPr>
          <w:smallCaps/>
        </w:rPr>
        <w:t xml:space="preserve"> </w:t>
      </w:r>
      <w:r w:rsidRPr="006B1A12">
        <w:t>106-140, at 10–11 (Aug.</w:t>
      </w:r>
      <w:r w:rsidRPr="006B1A12">
        <w:t xml:space="preserve"> </w:t>
      </w:r>
      <w:r w:rsidRPr="006B1A12">
        <w:t>5, 1999).</w:t>
      </w:r>
    </w:p>
  </w:footnote>
  <w:footnote w:id="15">
    <w:p w14:paraId="3406F9F4" w14:textId="2144BDB4" w:rsidR="006B1A12" w:rsidRPr="006B1A12" w:rsidRDefault="006B1A12" w:rsidP="006B1A12">
      <w:pPr>
        <w:pStyle w:val="FootnoteText"/>
      </w:pPr>
      <w:r w:rsidRPr="006B1A12">
        <w:rPr>
          <w:vertAlign w:val="superscript"/>
        </w:rPr>
        <w:footnoteRef/>
      </w:r>
      <w:r w:rsidRPr="006B1A12">
        <w:t>This may include a personal name protected as a trademark.</w:t>
      </w:r>
      <w:r w:rsidRPr="006B1A12">
        <w:t xml:space="preserve"> </w:t>
      </w:r>
      <w:r w:rsidRPr="006B1A12">
        <w:t>Lanham Act §43(d)(1)(A), 15 U.S.C.</w:t>
      </w:r>
      <w:r w:rsidRPr="006B1A12">
        <w:t xml:space="preserve"> </w:t>
      </w:r>
      <w:r w:rsidRPr="006B1A12">
        <w:t>§1125(d)(1)(A).</w:t>
      </w:r>
    </w:p>
    <w:p w14:paraId="0AAFD49E" w14:textId="77777777" w:rsidR="006B1A12" w:rsidRPr="00E93F9C" w:rsidRDefault="006B1A12" w:rsidP="00C9757D">
      <w:pPr>
        <w:pStyle w:val="footnote"/>
        <w:tabs>
          <w:tab w:val="left" w:pos="-720"/>
          <w:tab w:val="left" w:pos="0"/>
          <w:tab w:val="left" w:pos="720"/>
          <w:tab w:val="left" w:pos="1440"/>
          <w:tab w:val="left" w:pos="2160"/>
          <w:tab w:val="left" w:pos="2880"/>
          <w:tab w:val="left" w:pos="3600"/>
          <w:tab w:val="left" w:pos="4320"/>
          <w:tab w:val="left" w:pos="5040"/>
          <w:tab w:val="left" w:pos="5760"/>
        </w:tabs>
        <w:rPr>
          <w:szCs w:val="20"/>
        </w:rPr>
      </w:pPr>
    </w:p>
  </w:footnote>
  <w:footnote w:id="16">
    <w:p w14:paraId="04B9F4DD" w14:textId="3502EF42"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§43(d)(1)(D), 15 U.S.C.</w:t>
      </w:r>
      <w:r w:rsidRPr="006B1A12">
        <w:t xml:space="preserve"> </w:t>
      </w:r>
      <w:r w:rsidRPr="006B1A12">
        <w:t>§1125(d)(1)(D).</w:t>
      </w:r>
    </w:p>
  </w:footnote>
  <w:footnote w:id="17">
    <w:p w14:paraId="0E0D371B" w14:textId="4CA196BC"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§43(d)(1)(A)(</w:t>
      </w:r>
      <w:proofErr w:type="spellStart"/>
      <w:r w:rsidRPr="006B1A12">
        <w:t>i</w:t>
      </w:r>
      <w:proofErr w:type="spellEnd"/>
      <w:r w:rsidRPr="006B1A12">
        <w:t>), 15 U.S.C.</w:t>
      </w:r>
      <w:r w:rsidRPr="006B1A12">
        <w:t xml:space="preserve"> </w:t>
      </w:r>
      <w:r w:rsidRPr="006B1A12">
        <w:t>§1125(d)(1)(A)(</w:t>
      </w:r>
      <w:proofErr w:type="spellStart"/>
      <w:r w:rsidRPr="006B1A12">
        <w:t>i</w:t>
      </w:r>
      <w:proofErr w:type="spellEnd"/>
      <w:r w:rsidRPr="006B1A12">
        <w:t>).</w:t>
      </w:r>
    </w:p>
  </w:footnote>
  <w:footnote w:id="18">
    <w:p w14:paraId="5BD611BF" w14:textId="6E208961"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§43(d)(1)(A)(ii), 15 U.S.C.</w:t>
      </w:r>
      <w:r w:rsidRPr="006B1A12">
        <w:t xml:space="preserve"> </w:t>
      </w:r>
      <w:r w:rsidRPr="006B1A12">
        <w:t>§1125(d)(1)(A)(ii).</w:t>
      </w:r>
    </w:p>
  </w:footnote>
  <w:footnote w:id="19">
    <w:p w14:paraId="4A9A320D" w14:textId="3B4817B4" w:rsidR="006B1A12" w:rsidRPr="00E93F9C" w:rsidRDefault="006B1A12" w:rsidP="006B1A12">
      <w:pPr>
        <w:pStyle w:val="FootnoteText"/>
      </w:pPr>
      <w:r w:rsidRPr="006B1A12">
        <w:rPr>
          <w:vertAlign w:val="superscript"/>
        </w:rPr>
        <w:footnoteRef/>
      </w:r>
      <w:r w:rsidRPr="006B1A12">
        <w:t>These factors are neither mandatory nor exclusive.</w:t>
      </w:r>
      <w:r w:rsidRPr="006B1A12">
        <w:t xml:space="preserve"> </w:t>
      </w:r>
      <w:r w:rsidRPr="006B1A12">
        <w:t>Virtual Works, Inc.</w:t>
      </w:r>
      <w:r w:rsidRPr="006B1A12">
        <w:t xml:space="preserve"> </w:t>
      </w:r>
      <w:r w:rsidRPr="006B1A12">
        <w:t>v.</w:t>
      </w:r>
      <w:r w:rsidRPr="006B1A12">
        <w:t xml:space="preserve"> </w:t>
      </w:r>
      <w:r w:rsidRPr="006B1A12">
        <w:t>Volkswagen of Am., Inc., 238 F.3d 264, 269, 57 USPQ2d 1547 (4th Cir.</w:t>
      </w:r>
      <w:r w:rsidRPr="006B1A12">
        <w:t xml:space="preserve"> </w:t>
      </w:r>
      <w:r w:rsidRPr="006B1A12">
        <w:t>2001);</w:t>
      </w:r>
      <w:r w:rsidRPr="006B1A12">
        <w:t xml:space="preserve"> </w:t>
      </w:r>
      <w:proofErr w:type="spellStart"/>
      <w:r w:rsidRPr="006B1A12">
        <w:t>Sporty’s</w:t>
      </w:r>
      <w:proofErr w:type="spellEnd"/>
      <w:r w:rsidRPr="006B1A12">
        <w:t xml:space="preserve"> Farm, L.L.C.</w:t>
      </w:r>
      <w:r w:rsidRPr="006B1A12">
        <w:t xml:space="preserve"> </w:t>
      </w:r>
      <w:r w:rsidRPr="006B1A12">
        <w:t>v.</w:t>
      </w:r>
      <w:r w:rsidRPr="006B1A12">
        <w:t xml:space="preserve"> </w:t>
      </w:r>
      <w:r w:rsidRPr="006B1A12">
        <w:t xml:space="preserve">Sportsman’s Mkt., Inc., 202 F.3d 489, 493, 53 USPQ2d 1570 (2d Cir.), </w:t>
      </w:r>
      <w:r w:rsidRPr="006B1A12">
        <w:rPr>
          <w:i/>
        </w:rPr>
        <w:t>cert</w:t>
      </w:r>
      <w:r w:rsidRPr="006B1A12">
        <w:t>.</w:t>
      </w:r>
      <w:r w:rsidRPr="006B1A12">
        <w:t xml:space="preserve"> </w:t>
      </w:r>
      <w:r w:rsidRPr="006B1A12">
        <w:rPr>
          <w:i/>
        </w:rPr>
        <w:t>denied</w:t>
      </w:r>
      <w:r w:rsidRPr="006B1A12">
        <w:t>, 530 U.S.</w:t>
      </w:r>
      <w:r w:rsidRPr="006B1A12">
        <w:t xml:space="preserve"> </w:t>
      </w:r>
      <w:r w:rsidRPr="006B1A12">
        <w:t>1262 (2000).</w:t>
      </w:r>
    </w:p>
  </w:footnote>
  <w:footnote w:id="20">
    <w:p w14:paraId="0BE0FB67" w14:textId="47DEED9D" w:rsidR="006B1A12" w:rsidRPr="00E93F9C" w:rsidRDefault="006B1A12" w:rsidP="006B1A12">
      <w:pPr>
        <w:pStyle w:val="FootnoteText"/>
      </w:pPr>
      <w:r w:rsidRPr="006B1A12">
        <w:rPr>
          <w:vertAlign w:val="superscript"/>
        </w:rPr>
        <w:footnoteRef/>
      </w:r>
      <w:r w:rsidRPr="006B1A12">
        <w:t>Lanham Act §43(d)(1)(B)(</w:t>
      </w:r>
      <w:proofErr w:type="spellStart"/>
      <w:r w:rsidRPr="006B1A12">
        <w:t>i</w:t>
      </w:r>
      <w:proofErr w:type="spellEnd"/>
      <w:r w:rsidRPr="006B1A12">
        <w:t>), 15 U.S.C.</w:t>
      </w:r>
      <w:r w:rsidRPr="006B1A12">
        <w:t xml:space="preserve"> </w:t>
      </w:r>
      <w:r w:rsidRPr="006B1A12">
        <w:t>§1125(d)(1)(B)(</w:t>
      </w:r>
      <w:proofErr w:type="spellStart"/>
      <w:r w:rsidRPr="006B1A12">
        <w:t>i</w:t>
      </w:r>
      <w:proofErr w:type="spellEnd"/>
      <w:r w:rsidRPr="006B1A12">
        <w:t>).</w:t>
      </w:r>
    </w:p>
  </w:footnote>
  <w:footnote w:id="21">
    <w:p w14:paraId="4299207D" w14:textId="0D843AAF"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§43(d)(1)(B)(ii) (emphasis added).</w:t>
      </w:r>
      <w:r w:rsidRPr="006B1A12">
        <w:t xml:space="preserve"> </w:t>
      </w:r>
      <w:r w:rsidRPr="006B1A12">
        <w:rPr>
          <w:i/>
        </w:rPr>
        <w:t>See</w:t>
      </w:r>
      <w:r w:rsidRPr="006B1A12">
        <w:t xml:space="preserve"> Northern Light Tech., Inc.</w:t>
      </w:r>
      <w:r w:rsidRPr="006B1A12">
        <w:t xml:space="preserve"> </w:t>
      </w:r>
      <w:r w:rsidRPr="006B1A12">
        <w:t>v.</w:t>
      </w:r>
      <w:r w:rsidRPr="006B1A12">
        <w:t xml:space="preserve"> </w:t>
      </w:r>
      <w:r w:rsidRPr="006B1A12">
        <w:t xml:space="preserve">Northern Lights Club, 236 F.3d 57, 64, 57 USPQ2d 1277 (1st Cir.) (calling this section an “escape clause” for otherwise bad-faith actors), </w:t>
      </w:r>
      <w:r w:rsidRPr="006B1A12">
        <w:rPr>
          <w:i/>
        </w:rPr>
        <w:t>cert</w:t>
      </w:r>
      <w:r w:rsidRPr="006B1A12">
        <w:t>.</w:t>
      </w:r>
      <w:r w:rsidRPr="006B1A12">
        <w:t xml:space="preserve"> </w:t>
      </w:r>
      <w:r w:rsidRPr="006B1A12">
        <w:rPr>
          <w:i/>
        </w:rPr>
        <w:t>denied</w:t>
      </w:r>
      <w:r w:rsidRPr="006B1A12">
        <w:t>, 533 U.S.</w:t>
      </w:r>
      <w:r w:rsidRPr="006B1A12">
        <w:t xml:space="preserve"> </w:t>
      </w:r>
      <w:r w:rsidRPr="006B1A12">
        <w:t>911 (2001)).</w:t>
      </w:r>
      <w:r w:rsidRPr="006B1A12">
        <w:t xml:space="preserve"> </w:t>
      </w:r>
      <w:r w:rsidRPr="006B1A12">
        <w:t xml:space="preserve">The interaction of this clause and the </w:t>
      </w:r>
      <w:proofErr w:type="gramStart"/>
      <w:r w:rsidRPr="006B1A12">
        <w:t>exclusions</w:t>
      </w:r>
      <w:proofErr w:type="gramEnd"/>
      <w:r w:rsidRPr="006B1A12">
        <w:t xml:space="preserve"> from dilution is discussed in §IV.C, below.</w:t>
      </w:r>
    </w:p>
  </w:footnote>
  <w:footnote w:id="22">
    <w:p w14:paraId="49CB9C1D" w14:textId="6714C76B" w:rsidR="006B1A12" w:rsidRPr="00E93F9C" w:rsidRDefault="006B1A12" w:rsidP="006B1A12">
      <w:pPr>
        <w:pStyle w:val="FootnoteText"/>
      </w:pPr>
      <w:r w:rsidRPr="006B1A12">
        <w:rPr>
          <w:vertAlign w:val="superscript"/>
        </w:rPr>
        <w:footnoteRef/>
      </w:r>
      <w:r w:rsidRPr="006B1A12">
        <w:rPr>
          <w:i/>
        </w:rPr>
        <w:t>See</w:t>
      </w:r>
      <w:r w:rsidRPr="006B1A12">
        <w:t xml:space="preserve"> </w:t>
      </w:r>
      <w:r w:rsidRPr="006B1A12">
        <w:rPr>
          <w:smallCaps/>
        </w:rPr>
        <w:t>S.</w:t>
      </w:r>
      <w:r w:rsidRPr="006B1A12">
        <w:rPr>
          <w:smallCaps/>
        </w:rPr>
        <w:t xml:space="preserve"> </w:t>
      </w:r>
      <w:r w:rsidRPr="006B1A12">
        <w:rPr>
          <w:smallCaps/>
        </w:rPr>
        <w:t>Rep.</w:t>
      </w:r>
      <w:r w:rsidRPr="006B1A12">
        <w:rPr>
          <w:smallCaps/>
        </w:rPr>
        <w:t xml:space="preserve"> </w:t>
      </w:r>
      <w:r w:rsidRPr="006B1A12">
        <w:rPr>
          <w:smallCaps/>
        </w:rPr>
        <w:t>No.</w:t>
      </w:r>
      <w:r w:rsidRPr="006B1A12">
        <w:rPr>
          <w:smallCaps/>
        </w:rPr>
        <w:t xml:space="preserve"> </w:t>
      </w:r>
      <w:r w:rsidRPr="006B1A12">
        <w:t>106-140, at 8–10 (Aug.</w:t>
      </w:r>
      <w:r w:rsidRPr="006B1A12">
        <w:t xml:space="preserve"> </w:t>
      </w:r>
      <w:r w:rsidRPr="006B1A12">
        <w:t>5, 1999);</w:t>
      </w:r>
      <w:r w:rsidRPr="006B1A12">
        <w:t xml:space="preserve"> </w:t>
      </w:r>
      <w:r w:rsidRPr="006B1A12">
        <w:rPr>
          <w:i/>
        </w:rPr>
        <w:t>see also</w:t>
      </w:r>
      <w:r w:rsidRPr="006B1A12">
        <w:t xml:space="preserve"> </w:t>
      </w:r>
      <w:r w:rsidRPr="006B1A12">
        <w:rPr>
          <w:smallCaps/>
        </w:rPr>
        <w:t>H.R.</w:t>
      </w:r>
      <w:r w:rsidRPr="006B1A12">
        <w:rPr>
          <w:smallCaps/>
        </w:rPr>
        <w:t xml:space="preserve"> </w:t>
      </w:r>
      <w:r w:rsidRPr="006B1A12">
        <w:rPr>
          <w:smallCaps/>
        </w:rPr>
        <w:t>Rep.</w:t>
      </w:r>
      <w:r w:rsidRPr="006B1A12">
        <w:rPr>
          <w:smallCaps/>
        </w:rPr>
        <w:t xml:space="preserve"> </w:t>
      </w:r>
      <w:r w:rsidRPr="006B1A12">
        <w:rPr>
          <w:smallCaps/>
        </w:rPr>
        <w:t>No.</w:t>
      </w:r>
      <w:r w:rsidRPr="006B1A12">
        <w:rPr>
          <w:smallCaps/>
        </w:rPr>
        <w:t xml:space="preserve"> </w:t>
      </w:r>
      <w:r w:rsidRPr="006B1A12">
        <w:t>106-412, at 10–14 (Oct.</w:t>
      </w:r>
      <w:r w:rsidRPr="006B1A12">
        <w:t xml:space="preserve"> </w:t>
      </w:r>
      <w:r w:rsidRPr="006B1A12">
        <w:t>25, 1999).</w:t>
      </w:r>
    </w:p>
  </w:footnote>
  <w:footnote w:id="23">
    <w:p w14:paraId="0E50CC0F" w14:textId="23332F10" w:rsidR="006B1A12" w:rsidRPr="00E93F9C" w:rsidRDefault="006B1A12" w:rsidP="006B1A12">
      <w:pPr>
        <w:pStyle w:val="FootnoteText"/>
      </w:pPr>
      <w:r w:rsidRPr="006B1A12">
        <w:rPr>
          <w:vertAlign w:val="superscript"/>
        </w:rPr>
        <w:footnoteRef/>
      </w:r>
      <w:r w:rsidRPr="006B1A12">
        <w:rPr>
          <w:smallCaps/>
        </w:rPr>
        <w:t>S.</w:t>
      </w:r>
      <w:r w:rsidRPr="006B1A12">
        <w:rPr>
          <w:smallCaps/>
        </w:rPr>
        <w:t xml:space="preserve"> </w:t>
      </w:r>
      <w:r w:rsidRPr="006B1A12">
        <w:rPr>
          <w:smallCaps/>
        </w:rPr>
        <w:t>Rep.</w:t>
      </w:r>
      <w:r w:rsidRPr="006B1A12">
        <w:rPr>
          <w:smallCaps/>
        </w:rPr>
        <w:t xml:space="preserve"> </w:t>
      </w:r>
      <w:r w:rsidRPr="006B1A12">
        <w:rPr>
          <w:smallCaps/>
        </w:rPr>
        <w:t>No.</w:t>
      </w:r>
      <w:r w:rsidRPr="006B1A12">
        <w:rPr>
          <w:smallCaps/>
        </w:rPr>
        <w:t xml:space="preserve"> </w:t>
      </w:r>
      <w:r w:rsidRPr="006B1A12">
        <w:t>106-140, at 8.</w:t>
      </w:r>
    </w:p>
  </w:footnote>
  <w:footnote w:id="24">
    <w:p w14:paraId="51FBCFCD" w14:textId="1E634B34"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8–10.</w:t>
      </w:r>
    </w:p>
  </w:footnote>
  <w:footnote w:id="25">
    <w:p w14:paraId="32F6C064" w14:textId="51D44EA6" w:rsidR="006B1A12" w:rsidRPr="00E93F9C" w:rsidRDefault="006B1A12" w:rsidP="006B1A12">
      <w:pPr>
        <w:pStyle w:val="FootnoteText"/>
      </w:pPr>
      <w:r w:rsidRPr="006B1A12">
        <w:rPr>
          <w:vertAlign w:val="superscript"/>
        </w:rPr>
        <w:footnoteRef/>
      </w:r>
      <w:r w:rsidRPr="006B1A12">
        <w:t>This clause is discussed further in §IV.C, below.</w:t>
      </w:r>
    </w:p>
  </w:footnote>
  <w:footnote w:id="26">
    <w:p w14:paraId="2F41BDB5" w14:textId="03E5642E" w:rsidR="006B1A12" w:rsidRPr="00E93F9C" w:rsidRDefault="006B1A12" w:rsidP="006B1A12">
      <w:pPr>
        <w:pStyle w:val="FootnoteText"/>
      </w:pPr>
      <w:r w:rsidRPr="006B1A12">
        <w:rPr>
          <w:vertAlign w:val="superscript"/>
        </w:rPr>
        <w:footnoteRef/>
      </w:r>
      <w:r w:rsidRPr="006B1A12">
        <w:t>See §IV, below, for further discussion of these issues.</w:t>
      </w:r>
    </w:p>
  </w:footnote>
  <w:footnote w:id="27">
    <w:p w14:paraId="3EC8904A" w14:textId="20C2554C" w:rsidR="006B1A12" w:rsidRPr="00E93F9C" w:rsidRDefault="006B1A12" w:rsidP="006B1A12">
      <w:pPr>
        <w:pStyle w:val="FootnoteText"/>
      </w:pPr>
      <w:r w:rsidRPr="006B1A12">
        <w:rPr>
          <w:vertAlign w:val="superscript"/>
        </w:rPr>
        <w:footnoteRef/>
      </w:r>
      <w:r w:rsidRPr="006B1A12">
        <w:t>Lanham Act §43(d)(1)(B)(</w:t>
      </w:r>
      <w:proofErr w:type="spellStart"/>
      <w:r w:rsidRPr="006B1A12">
        <w:t>i</w:t>
      </w:r>
      <w:proofErr w:type="spellEnd"/>
      <w:r w:rsidRPr="006B1A12">
        <w:t>)(IV), 15 U.S.C.</w:t>
      </w:r>
      <w:r w:rsidRPr="006B1A12">
        <w:t xml:space="preserve"> </w:t>
      </w:r>
      <w:r w:rsidRPr="006B1A12">
        <w:t>§1125(d)(1)(B)(</w:t>
      </w:r>
      <w:proofErr w:type="spellStart"/>
      <w:r w:rsidRPr="006B1A12">
        <w:t>i</w:t>
      </w:r>
      <w:proofErr w:type="spellEnd"/>
      <w:r w:rsidRPr="006B1A12">
        <w:t>)(IV).</w:t>
      </w:r>
    </w:p>
  </w:footnote>
  <w:footnote w:id="28">
    <w:p w14:paraId="21069C3F" w14:textId="1B02F76B" w:rsidR="006B1A12" w:rsidRPr="00E93F9C" w:rsidRDefault="006B1A12" w:rsidP="006B1A12">
      <w:pPr>
        <w:pStyle w:val="FootnoteText"/>
      </w:pPr>
      <w:r w:rsidRPr="006B1A12">
        <w:rPr>
          <w:vertAlign w:val="superscript"/>
        </w:rPr>
        <w:footnoteRef/>
      </w:r>
      <w:r w:rsidRPr="006B1A12">
        <w:rPr>
          <w:i/>
        </w:rPr>
        <w:t>See, e</w:t>
      </w:r>
      <w:r w:rsidRPr="006B1A12">
        <w:t>.</w:t>
      </w:r>
      <w:r w:rsidRPr="006B1A12">
        <w:rPr>
          <w:i/>
        </w:rPr>
        <w:t>g</w:t>
      </w:r>
      <w:r w:rsidRPr="006B1A12">
        <w:t>., Pensacola Motor Sales Inc.</w:t>
      </w:r>
      <w:r w:rsidRPr="006B1A12">
        <w:t xml:space="preserve"> </w:t>
      </w:r>
      <w:r w:rsidRPr="006B1A12">
        <w:t>v.</w:t>
      </w:r>
      <w:r w:rsidRPr="006B1A12">
        <w:t xml:space="preserve"> </w:t>
      </w:r>
      <w:r w:rsidRPr="006B1A12">
        <w:t>Eastern Shore Toyota, LLC, 684 F.3d 1211, 1221 (11th Cir.</w:t>
      </w:r>
      <w:r w:rsidRPr="006B1A12">
        <w:t xml:space="preserve"> </w:t>
      </w:r>
      <w:r w:rsidRPr="006B1A12">
        <w:t>2012).</w:t>
      </w:r>
    </w:p>
  </w:footnote>
  <w:footnote w:id="29">
    <w:p w14:paraId="7E098AB9" w14:textId="5F6EDB1A" w:rsidR="006B1A12" w:rsidRPr="006B1A12" w:rsidRDefault="006B1A12" w:rsidP="006B1A12">
      <w:pPr>
        <w:pStyle w:val="FootnoteText"/>
      </w:pPr>
      <w:r w:rsidRPr="006B1A12">
        <w:rPr>
          <w:vertAlign w:val="superscript"/>
        </w:rPr>
        <w:footnoteRef/>
      </w:r>
      <w:r w:rsidRPr="006B1A12">
        <w:t>This issue is discussed in §IV.C, below.</w:t>
      </w:r>
    </w:p>
    <w:p w14:paraId="4F1BE766" w14:textId="77777777" w:rsidR="006B1A12" w:rsidRPr="00E93F9C" w:rsidRDefault="006B1A12" w:rsidP="00C9757D">
      <w:pPr>
        <w:pStyle w:val="footnote"/>
        <w:tabs>
          <w:tab w:val="left" w:pos="-720"/>
          <w:tab w:val="left" w:pos="0"/>
          <w:tab w:val="left" w:pos="720"/>
          <w:tab w:val="left" w:pos="1440"/>
          <w:tab w:val="left" w:pos="2160"/>
          <w:tab w:val="left" w:pos="2880"/>
          <w:tab w:val="left" w:pos="3600"/>
          <w:tab w:val="left" w:pos="4320"/>
          <w:tab w:val="left" w:pos="5040"/>
          <w:tab w:val="left" w:pos="5760"/>
        </w:tabs>
        <w:rPr>
          <w:szCs w:val="20"/>
        </w:rPr>
      </w:pPr>
    </w:p>
  </w:footnote>
  <w:footnote w:id="30">
    <w:p w14:paraId="6D54C186" w14:textId="7DA12E75" w:rsidR="006B1A12" w:rsidRPr="00E93F9C" w:rsidRDefault="006B1A12" w:rsidP="006B1A12">
      <w:pPr>
        <w:pStyle w:val="FootnoteText"/>
      </w:pPr>
      <w:r w:rsidRPr="006B1A12">
        <w:rPr>
          <w:vertAlign w:val="superscript"/>
        </w:rPr>
        <w:footnoteRef/>
      </w:r>
      <w:r w:rsidRPr="006B1A12">
        <w:rPr>
          <w:smallCaps/>
        </w:rPr>
        <w:t>S.</w:t>
      </w:r>
      <w:r w:rsidRPr="006B1A12">
        <w:rPr>
          <w:smallCaps/>
        </w:rPr>
        <w:t xml:space="preserve"> </w:t>
      </w:r>
      <w:r w:rsidRPr="006B1A12">
        <w:rPr>
          <w:smallCaps/>
        </w:rPr>
        <w:t>Rep.</w:t>
      </w:r>
      <w:r w:rsidRPr="006B1A12">
        <w:rPr>
          <w:smallCaps/>
        </w:rPr>
        <w:t xml:space="preserve"> </w:t>
      </w:r>
      <w:r w:rsidRPr="006B1A12">
        <w:rPr>
          <w:smallCaps/>
        </w:rPr>
        <w:t>No.</w:t>
      </w:r>
      <w:r w:rsidRPr="006B1A12">
        <w:rPr>
          <w:smallCaps/>
        </w:rPr>
        <w:t xml:space="preserve"> </w:t>
      </w:r>
      <w:r w:rsidRPr="006B1A12">
        <w:t>106-140, at 9 (Aug.</w:t>
      </w:r>
      <w:r w:rsidRPr="006B1A12">
        <w:t xml:space="preserve"> </w:t>
      </w:r>
      <w:r w:rsidRPr="006B1A12">
        <w:t>5, 1999).</w:t>
      </w:r>
    </w:p>
  </w:footnote>
  <w:footnote w:id="31">
    <w:p w14:paraId="3E3ED0A8" w14:textId="163D43A1" w:rsidR="006B1A12" w:rsidRPr="00397A9B" w:rsidRDefault="006B1A12" w:rsidP="006B1A12">
      <w:pPr>
        <w:pStyle w:val="FootnoteText"/>
        <w:rPr>
          <w:lang w:val="es-US"/>
        </w:rPr>
      </w:pPr>
      <w:r w:rsidRPr="006B1A12">
        <w:rPr>
          <w:vertAlign w:val="superscript"/>
        </w:rPr>
        <w:footnoteRef/>
      </w:r>
      <w:r w:rsidRPr="006B1A12">
        <w:t>254 F.3d 476, 59 USPQ2d 1207 (3d Cir.</w:t>
      </w:r>
      <w:r w:rsidRPr="006B1A12">
        <w:t xml:space="preserve"> </w:t>
      </w:r>
      <w:r w:rsidRPr="006B1A12">
        <w:t>2001).</w:t>
      </w:r>
    </w:p>
  </w:footnote>
  <w:footnote w:id="32">
    <w:p w14:paraId="025C487C" w14:textId="5BDA8941"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485–86.</w:t>
      </w:r>
    </w:p>
  </w:footnote>
  <w:footnote w:id="33">
    <w:p w14:paraId="7EE2B419" w14:textId="69D06418" w:rsidR="006B1A12" w:rsidRPr="00E93F9C" w:rsidRDefault="006B1A12" w:rsidP="006B1A12">
      <w:pPr>
        <w:pStyle w:val="FootnoteText"/>
      </w:pPr>
      <w:r w:rsidRPr="006B1A12">
        <w:rPr>
          <w:vertAlign w:val="superscript"/>
        </w:rPr>
        <w:footnoteRef/>
      </w:r>
      <w:r w:rsidRPr="006B1A12">
        <w:t>Lanham Act §43(d)(1)(B)(</w:t>
      </w:r>
      <w:proofErr w:type="spellStart"/>
      <w:r w:rsidRPr="006B1A12">
        <w:t>i</w:t>
      </w:r>
      <w:proofErr w:type="spellEnd"/>
      <w:r w:rsidRPr="006B1A12">
        <w:t>)(V), 15 U.S.C.</w:t>
      </w:r>
      <w:r w:rsidRPr="006B1A12">
        <w:t xml:space="preserve"> </w:t>
      </w:r>
      <w:r w:rsidRPr="006B1A12">
        <w:t>§1125(d)(1)(B)(</w:t>
      </w:r>
      <w:proofErr w:type="spellStart"/>
      <w:r w:rsidRPr="006B1A12">
        <w:t>i</w:t>
      </w:r>
      <w:proofErr w:type="spellEnd"/>
      <w:r w:rsidRPr="006B1A12">
        <w:t>)(V).</w:t>
      </w:r>
      <w:r w:rsidRPr="006B1A12">
        <w:t xml:space="preserve"> </w:t>
      </w:r>
      <w:r w:rsidRPr="006B1A12">
        <w:t xml:space="preserve">The express inclusion of </w:t>
      </w:r>
      <w:proofErr w:type="spellStart"/>
      <w:r w:rsidRPr="006B1A12">
        <w:t>tarnishment</w:t>
      </w:r>
      <w:proofErr w:type="spellEnd"/>
      <w:r w:rsidRPr="006B1A12">
        <w:t xml:space="preserve"> in 1999 was interesting because the original FTDA failed to expressly include </w:t>
      </w:r>
      <w:proofErr w:type="spellStart"/>
      <w:r w:rsidRPr="006B1A12">
        <w:t>tarnishment</w:t>
      </w:r>
      <w:proofErr w:type="spellEnd"/>
      <w:r w:rsidRPr="006B1A12">
        <w:t>.</w:t>
      </w:r>
      <w:r w:rsidRPr="006B1A12">
        <w:t xml:space="preserve"> </w:t>
      </w:r>
      <w:r w:rsidRPr="006B1A12">
        <w:t xml:space="preserve">“Dilution by </w:t>
      </w:r>
      <w:proofErr w:type="spellStart"/>
      <w:r w:rsidRPr="006B1A12">
        <w:t>tarnishment</w:t>
      </w:r>
      <w:proofErr w:type="spellEnd"/>
      <w:r w:rsidRPr="006B1A12">
        <w:t>” was added by the TDRA in 2006.</w:t>
      </w:r>
      <w:r w:rsidRPr="006B1A12">
        <w:t xml:space="preserve"> </w:t>
      </w:r>
      <w:r w:rsidRPr="006B1A12">
        <w:rPr>
          <w:i/>
        </w:rPr>
        <w:t>Id</w:t>
      </w:r>
      <w:r w:rsidRPr="006B1A12">
        <w:t>.</w:t>
      </w:r>
      <w:r w:rsidRPr="006B1A12">
        <w:t xml:space="preserve"> </w:t>
      </w:r>
      <w:r w:rsidRPr="006B1A12">
        <w:t>§43(c)(2)(C), 15 U.S.C.</w:t>
      </w:r>
      <w:r w:rsidRPr="006B1A12">
        <w:t xml:space="preserve"> </w:t>
      </w:r>
      <w:r w:rsidRPr="006B1A12">
        <w:t>§1125(c)(2)(C).</w:t>
      </w:r>
      <w:r w:rsidRPr="006B1A12">
        <w:t xml:space="preserve"> </w:t>
      </w:r>
      <w:r w:rsidRPr="006B1A12">
        <w:t>However, the fifth factor is limited to confusion situations, making the issue more complicated.</w:t>
      </w:r>
    </w:p>
  </w:footnote>
  <w:footnote w:id="34">
    <w:p w14:paraId="145A7B97" w14:textId="7A9CD29E"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§43(d)(1)(B)(</w:t>
      </w:r>
      <w:proofErr w:type="spellStart"/>
      <w:r w:rsidRPr="006B1A12">
        <w:t>i</w:t>
      </w:r>
      <w:proofErr w:type="spellEnd"/>
      <w:r w:rsidRPr="006B1A12">
        <w:t>)(VIII), 15 U.S.C.</w:t>
      </w:r>
      <w:r w:rsidRPr="006B1A12">
        <w:t xml:space="preserve"> </w:t>
      </w:r>
      <w:r w:rsidRPr="006B1A12">
        <w:t>§1125(d)(1)(B)(</w:t>
      </w:r>
      <w:proofErr w:type="spellStart"/>
      <w:r w:rsidRPr="006B1A12">
        <w:t>i</w:t>
      </w:r>
      <w:proofErr w:type="spellEnd"/>
      <w:r w:rsidRPr="006B1A12">
        <w:t>)(VIII).</w:t>
      </w:r>
    </w:p>
  </w:footnote>
  <w:footnote w:id="35">
    <w:p w14:paraId="4B87E088" w14:textId="237D9EA0"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§43(d)(1)(B)(</w:t>
      </w:r>
      <w:proofErr w:type="spellStart"/>
      <w:r w:rsidRPr="006B1A12">
        <w:t>i</w:t>
      </w:r>
      <w:proofErr w:type="spellEnd"/>
      <w:r w:rsidRPr="006B1A12">
        <w:t>)(IX), 15 U.S.C.</w:t>
      </w:r>
      <w:r w:rsidRPr="006B1A12">
        <w:t xml:space="preserve"> </w:t>
      </w:r>
      <w:r w:rsidRPr="006B1A12">
        <w:t>§1125(d)(1)(B)(</w:t>
      </w:r>
      <w:proofErr w:type="spellStart"/>
      <w:r w:rsidRPr="006B1A12">
        <w:t>i</w:t>
      </w:r>
      <w:proofErr w:type="spellEnd"/>
      <w:r w:rsidRPr="006B1A12">
        <w:t>)(IX).</w:t>
      </w:r>
      <w:r w:rsidRPr="006B1A12">
        <w:t xml:space="preserve"> </w:t>
      </w:r>
      <w:r w:rsidRPr="006B1A12">
        <w:t>The “distinctive and famous” language is drawn from the original FTDA;</w:t>
      </w:r>
      <w:r w:rsidRPr="006B1A12">
        <w:t xml:space="preserve"> </w:t>
      </w:r>
      <w:r w:rsidRPr="006B1A12">
        <w:t>the TDRA separates the concepts of fame and distinctiveness, specifically defining “famous” and indicating that distinctiveness can be either inherent or acquired.</w:t>
      </w:r>
      <w:r w:rsidRPr="006B1A12">
        <w:t xml:space="preserve"> </w:t>
      </w:r>
      <w:r w:rsidRPr="006B1A12">
        <w:rPr>
          <w:i/>
        </w:rPr>
        <w:t>Id</w:t>
      </w:r>
      <w:r w:rsidRPr="006B1A12">
        <w:t>.</w:t>
      </w:r>
      <w:r w:rsidRPr="006B1A12">
        <w:t xml:space="preserve"> </w:t>
      </w:r>
      <w:r w:rsidRPr="006B1A12">
        <w:t>§43(c)(1), (c)(2)(B), 15 U.S.C.</w:t>
      </w:r>
      <w:r w:rsidRPr="006B1A12">
        <w:t xml:space="preserve"> </w:t>
      </w:r>
      <w:r w:rsidRPr="006B1A12">
        <w:t>§1125(c)(1), (c)(2)(B).</w:t>
      </w:r>
    </w:p>
  </w:footnote>
  <w:footnote w:id="36">
    <w:p w14:paraId="25779ACA" w14:textId="786F6D79" w:rsidR="006B1A12" w:rsidRPr="00E93F9C" w:rsidRDefault="006B1A12" w:rsidP="006B1A12">
      <w:pPr>
        <w:pStyle w:val="FootnoteText"/>
      </w:pPr>
      <w:r w:rsidRPr="006B1A12">
        <w:rPr>
          <w:vertAlign w:val="superscript"/>
        </w:rPr>
        <w:footnoteRef/>
      </w:r>
      <w:r w:rsidRPr="006B1A12">
        <w:t>177 F.</w:t>
      </w:r>
      <w:r w:rsidRPr="006B1A12">
        <w:t xml:space="preserve"> </w:t>
      </w:r>
      <w:r w:rsidRPr="006B1A12">
        <w:t>Supp.</w:t>
      </w:r>
      <w:r w:rsidRPr="006B1A12">
        <w:t xml:space="preserve"> </w:t>
      </w:r>
      <w:r w:rsidRPr="006B1A12">
        <w:t>2d 635, 61 USPQ2d 1718 (E.D.</w:t>
      </w:r>
      <w:r w:rsidRPr="006B1A12">
        <w:t xml:space="preserve"> </w:t>
      </w:r>
      <w:r w:rsidRPr="006B1A12">
        <w:t>Mich.</w:t>
      </w:r>
      <w:r w:rsidRPr="006B1A12">
        <w:t xml:space="preserve"> </w:t>
      </w:r>
      <w:r w:rsidRPr="006B1A12">
        <w:t>2001).</w:t>
      </w:r>
    </w:p>
  </w:footnote>
  <w:footnote w:id="37">
    <w:p w14:paraId="22A8F11E" w14:textId="6906AE9D"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644–46.</w:t>
      </w:r>
      <w:r w:rsidRPr="006B1A12">
        <w:t xml:space="preserve"> </w:t>
      </w:r>
      <w:r w:rsidRPr="006B1A12">
        <w:t>Great Domains had neither registered nor used any of the domain names.</w:t>
      </w:r>
      <w:r w:rsidRPr="006B1A12">
        <w:t xml:space="preserve"> </w:t>
      </w:r>
      <w:r w:rsidRPr="006B1A12">
        <w:rPr>
          <w:i/>
        </w:rPr>
        <w:t>See</w:t>
      </w:r>
      <w:r w:rsidRPr="006B1A12">
        <w:t xml:space="preserve"> B &amp; F Sys., Inc.</w:t>
      </w:r>
      <w:r w:rsidRPr="006B1A12">
        <w:t xml:space="preserve"> </w:t>
      </w:r>
      <w:r w:rsidRPr="006B1A12">
        <w:t>v.</w:t>
      </w:r>
      <w:r w:rsidRPr="006B1A12">
        <w:t xml:space="preserve"> </w:t>
      </w:r>
      <w:r w:rsidRPr="006B1A12">
        <w:t>LeBlanc, 2011 U.S.</w:t>
      </w:r>
      <w:r w:rsidRPr="006B1A12">
        <w:t xml:space="preserve"> </w:t>
      </w:r>
      <w:r w:rsidRPr="006B1A12">
        <w:t>Dist.</w:t>
      </w:r>
      <w:r w:rsidRPr="006B1A12">
        <w:t xml:space="preserve"> </w:t>
      </w:r>
      <w:r w:rsidRPr="006B1A12">
        <w:t>LEXIS 103957, at *70, 2011 WL 4103576, 2011 BL 235738 (M.D.</w:t>
      </w:r>
      <w:r w:rsidRPr="006B1A12">
        <w:t xml:space="preserve"> </w:t>
      </w:r>
      <w:r w:rsidRPr="006B1A12">
        <w:t>Ga.</w:t>
      </w:r>
      <w:r w:rsidRPr="006B1A12">
        <w:t xml:space="preserve"> </w:t>
      </w:r>
      <w:r w:rsidRPr="006B1A12">
        <w:t>Sept.</w:t>
      </w:r>
      <w:r w:rsidRPr="006B1A12">
        <w:t xml:space="preserve"> </w:t>
      </w:r>
      <w:r w:rsidRPr="006B1A12">
        <w:t>14, 2011) (only registrant or its licensee can be liable for “using” a domain name).</w:t>
      </w:r>
    </w:p>
  </w:footnote>
  <w:footnote w:id="38">
    <w:p w14:paraId="6D00C987" w14:textId="38726A68" w:rsidR="006B1A12" w:rsidRPr="00E93F9C" w:rsidRDefault="006B1A12" w:rsidP="006B1A12">
      <w:pPr>
        <w:pStyle w:val="FootnoteText"/>
      </w:pPr>
      <w:r w:rsidRPr="006B1A12">
        <w:rPr>
          <w:vertAlign w:val="superscript"/>
        </w:rPr>
        <w:footnoteRef/>
      </w:r>
      <w:r w:rsidRPr="006B1A12">
        <w:t>726 F.</w:t>
      </w:r>
      <w:r w:rsidRPr="006B1A12">
        <w:t xml:space="preserve"> </w:t>
      </w:r>
      <w:r w:rsidRPr="006B1A12">
        <w:t>Supp.</w:t>
      </w:r>
      <w:r w:rsidRPr="006B1A12">
        <w:t xml:space="preserve"> </w:t>
      </w:r>
      <w:r w:rsidRPr="006B1A12">
        <w:t>2d 911, 97 USPQ2d 1071 (N.D.</w:t>
      </w:r>
      <w:r w:rsidRPr="006B1A12">
        <w:t xml:space="preserve"> </w:t>
      </w:r>
      <w:r w:rsidRPr="006B1A12">
        <w:t>Ill.</w:t>
      </w:r>
      <w:r w:rsidRPr="006B1A12">
        <w:t xml:space="preserve"> </w:t>
      </w:r>
      <w:r w:rsidRPr="006B1A12">
        <w:t>2010).</w:t>
      </w:r>
    </w:p>
  </w:footnote>
  <w:footnote w:id="39">
    <w:p w14:paraId="2167D4BD" w14:textId="4065996C"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920.</w:t>
      </w:r>
    </w:p>
  </w:footnote>
  <w:footnote w:id="40">
    <w:p w14:paraId="44183F24" w14:textId="26628E10" w:rsidR="006B1A12" w:rsidRPr="00E93F9C" w:rsidRDefault="006B1A12" w:rsidP="006B1A12">
      <w:pPr>
        <w:pStyle w:val="FootnoteText"/>
      </w:pPr>
      <w:r w:rsidRPr="006B1A12">
        <w:rPr>
          <w:vertAlign w:val="superscript"/>
        </w:rPr>
        <w:footnoteRef/>
      </w:r>
      <w:r w:rsidRPr="006B1A12">
        <w:t>Lanham Act §43(d)(1)(A)(ii), 15 U.S.C.</w:t>
      </w:r>
      <w:r w:rsidRPr="006B1A12">
        <w:t xml:space="preserve"> </w:t>
      </w:r>
      <w:r w:rsidRPr="006B1A12">
        <w:t>§1125(d)(1)(A)(ii).</w:t>
      </w:r>
    </w:p>
  </w:footnote>
  <w:footnote w:id="41">
    <w:p w14:paraId="15636D67" w14:textId="14BB9CA7" w:rsidR="006B1A12" w:rsidRPr="00E93F9C" w:rsidRDefault="006B1A12" w:rsidP="006B1A12">
      <w:pPr>
        <w:pStyle w:val="FootnoteText"/>
      </w:pPr>
      <w:r w:rsidRPr="006B1A12">
        <w:rPr>
          <w:vertAlign w:val="superscript"/>
        </w:rPr>
        <w:footnoteRef/>
      </w:r>
      <w:r w:rsidRPr="006B1A12">
        <w:rPr>
          <w:i/>
        </w:rPr>
        <w:t>See</w:t>
      </w:r>
      <w:r w:rsidRPr="006B1A12">
        <w:t xml:space="preserve"> Chapter 9, §II.H.</w:t>
      </w:r>
    </w:p>
  </w:footnote>
  <w:footnote w:id="42">
    <w:p w14:paraId="421210B2" w14:textId="40553645" w:rsidR="006B1A12" w:rsidRPr="00E93F9C" w:rsidRDefault="006B1A12" w:rsidP="006B1A12">
      <w:pPr>
        <w:pStyle w:val="FootnoteText"/>
      </w:pPr>
      <w:r w:rsidRPr="006B1A12">
        <w:rPr>
          <w:vertAlign w:val="superscript"/>
        </w:rPr>
        <w:footnoteRef/>
      </w:r>
      <w:r w:rsidRPr="006B1A12">
        <w:rPr>
          <w:i/>
        </w:rPr>
        <w:t>E</w:t>
      </w:r>
      <w:r w:rsidRPr="006B1A12">
        <w:t>.</w:t>
      </w:r>
      <w:r w:rsidRPr="006B1A12">
        <w:rPr>
          <w:i/>
        </w:rPr>
        <w:t>g</w:t>
      </w:r>
      <w:r w:rsidRPr="006B1A12">
        <w:t>., Panavision Int’l, L.P.</w:t>
      </w:r>
      <w:r w:rsidRPr="006B1A12">
        <w:t xml:space="preserve"> </w:t>
      </w:r>
      <w:r w:rsidRPr="006B1A12">
        <w:t>v.</w:t>
      </w:r>
      <w:r w:rsidRPr="006B1A12">
        <w:t xml:space="preserve"> </w:t>
      </w:r>
      <w:proofErr w:type="spellStart"/>
      <w:r w:rsidRPr="006B1A12">
        <w:t>Toeppen</w:t>
      </w:r>
      <w:proofErr w:type="spellEnd"/>
      <w:r w:rsidRPr="006B1A12">
        <w:t>, 141 F.3d 1316, 1326, 46 USPQ2d 1511 (9th Cir.</w:t>
      </w:r>
      <w:r w:rsidRPr="006B1A12">
        <w:t xml:space="preserve"> </w:t>
      </w:r>
      <w:r w:rsidRPr="006B1A12">
        <w:t>1998);</w:t>
      </w:r>
      <w:r w:rsidRPr="006B1A12">
        <w:t xml:space="preserve"> </w:t>
      </w:r>
      <w:r w:rsidRPr="006B1A12">
        <w:t>Virtual Works, Inc.</w:t>
      </w:r>
      <w:r w:rsidRPr="006B1A12">
        <w:t xml:space="preserve"> </w:t>
      </w:r>
      <w:r w:rsidRPr="006B1A12">
        <w:t>v.</w:t>
      </w:r>
      <w:r w:rsidRPr="006B1A12">
        <w:t xml:space="preserve"> </w:t>
      </w:r>
      <w:r w:rsidRPr="006B1A12">
        <w:t>Network Sols., Inc., 106 F.</w:t>
      </w:r>
      <w:r w:rsidRPr="006B1A12">
        <w:t xml:space="preserve"> </w:t>
      </w:r>
      <w:r w:rsidRPr="006B1A12">
        <w:t>Supp.</w:t>
      </w:r>
      <w:r w:rsidRPr="006B1A12">
        <w:t xml:space="preserve"> </w:t>
      </w:r>
      <w:r w:rsidRPr="006B1A12">
        <w:t>2d 845, 847, 54 USPQ2d 1126 (E.D.</w:t>
      </w:r>
      <w:r w:rsidRPr="006B1A12">
        <w:t xml:space="preserve"> </w:t>
      </w:r>
      <w:r w:rsidRPr="006B1A12">
        <w:t>Va.</w:t>
      </w:r>
      <w:r w:rsidRPr="006B1A12">
        <w:t xml:space="preserve"> </w:t>
      </w:r>
      <w:r w:rsidRPr="006B1A12">
        <w:t xml:space="preserve">2000), </w:t>
      </w:r>
      <w:r w:rsidRPr="006B1A12">
        <w:rPr>
          <w:i/>
        </w:rPr>
        <w:t>aff’d on other grounds</w:t>
      </w:r>
      <w:r w:rsidRPr="006B1A12">
        <w:t>, 238 F.3d 264, 57 USPQ2d 1547 (4th Cir.</w:t>
      </w:r>
      <w:r w:rsidRPr="006B1A12">
        <w:t xml:space="preserve"> </w:t>
      </w:r>
      <w:r w:rsidRPr="006B1A12">
        <w:t>2001);</w:t>
      </w:r>
      <w:r w:rsidRPr="006B1A12">
        <w:t xml:space="preserve"> </w:t>
      </w:r>
      <w:r w:rsidRPr="006B1A12">
        <w:t>Lozano Enters.</w:t>
      </w:r>
      <w:r w:rsidRPr="006B1A12">
        <w:t xml:space="preserve"> </w:t>
      </w:r>
      <w:r w:rsidRPr="006B1A12">
        <w:t>v.</w:t>
      </w:r>
      <w:r w:rsidRPr="006B1A12">
        <w:t xml:space="preserve"> </w:t>
      </w:r>
      <w:r w:rsidRPr="006B1A12">
        <w:t xml:space="preserve">La </w:t>
      </w:r>
      <w:proofErr w:type="spellStart"/>
      <w:r w:rsidRPr="006B1A12">
        <w:t>Opinión</w:t>
      </w:r>
      <w:proofErr w:type="spellEnd"/>
      <w:r w:rsidRPr="006B1A12">
        <w:t xml:space="preserve"> Publ’g Co., 44 USPQ2d 1764, 1769 (C.D.</w:t>
      </w:r>
      <w:r w:rsidRPr="006B1A12">
        <w:t xml:space="preserve"> </w:t>
      </w:r>
      <w:r w:rsidRPr="006B1A12">
        <w:t>Cal.</w:t>
      </w:r>
      <w:r w:rsidRPr="006B1A12">
        <w:t xml:space="preserve"> </w:t>
      </w:r>
      <w:r w:rsidRPr="006B1A12">
        <w:t>1997);</w:t>
      </w:r>
      <w:r w:rsidRPr="006B1A12">
        <w:t xml:space="preserve"> </w:t>
      </w:r>
      <w:proofErr w:type="spellStart"/>
      <w:r w:rsidRPr="006B1A12">
        <w:t>Intermatic</w:t>
      </w:r>
      <w:proofErr w:type="spellEnd"/>
      <w:r w:rsidRPr="006B1A12">
        <w:t>, Inc.</w:t>
      </w:r>
      <w:r w:rsidRPr="006B1A12">
        <w:t xml:space="preserve"> </w:t>
      </w:r>
      <w:r w:rsidRPr="006B1A12">
        <w:t>v.</w:t>
      </w:r>
      <w:r w:rsidRPr="006B1A12">
        <w:t xml:space="preserve"> </w:t>
      </w:r>
      <w:proofErr w:type="spellStart"/>
      <w:r w:rsidRPr="006B1A12">
        <w:t>Toeppen</w:t>
      </w:r>
      <w:proofErr w:type="spellEnd"/>
      <w:r w:rsidRPr="006B1A12">
        <w:t>, 947 F.</w:t>
      </w:r>
      <w:r w:rsidRPr="006B1A12">
        <w:t xml:space="preserve"> </w:t>
      </w:r>
      <w:r w:rsidRPr="006B1A12">
        <w:t>Supp.</w:t>
      </w:r>
      <w:r w:rsidRPr="006B1A12">
        <w:t xml:space="preserve"> </w:t>
      </w:r>
      <w:r w:rsidRPr="006B1A12">
        <w:t>1227, 1240, 40 USPQ2d 1412 (N.D.</w:t>
      </w:r>
      <w:r w:rsidRPr="006B1A12">
        <w:t xml:space="preserve"> </w:t>
      </w:r>
      <w:r w:rsidRPr="006B1A12">
        <w:t>Ill.</w:t>
      </w:r>
      <w:r w:rsidRPr="006B1A12">
        <w:t xml:space="preserve"> </w:t>
      </w:r>
      <w:r w:rsidRPr="006B1A12">
        <w:t>1996).</w:t>
      </w:r>
    </w:p>
  </w:footnote>
  <w:footnote w:id="43">
    <w:p w14:paraId="167783FE" w14:textId="4A824592" w:rsidR="006B1A12" w:rsidRPr="00E93F9C" w:rsidRDefault="006B1A12" w:rsidP="006B1A12">
      <w:pPr>
        <w:pStyle w:val="FootnoteText"/>
      </w:pPr>
      <w:r w:rsidRPr="006B1A12">
        <w:rPr>
          <w:vertAlign w:val="superscript"/>
        </w:rPr>
        <w:footnoteRef/>
      </w:r>
      <w:r w:rsidRPr="006B1A12">
        <w:rPr>
          <w:i/>
        </w:rPr>
        <w:t>E</w:t>
      </w:r>
      <w:r w:rsidRPr="006B1A12">
        <w:t>.</w:t>
      </w:r>
      <w:r w:rsidRPr="006B1A12">
        <w:rPr>
          <w:i/>
        </w:rPr>
        <w:t>g</w:t>
      </w:r>
      <w:r w:rsidRPr="006B1A12">
        <w:t>., Strick Corp.</w:t>
      </w:r>
      <w:r w:rsidRPr="006B1A12">
        <w:t xml:space="preserve"> </w:t>
      </w:r>
      <w:r w:rsidRPr="006B1A12">
        <w:t>v.</w:t>
      </w:r>
      <w:r w:rsidRPr="006B1A12">
        <w:t xml:space="preserve"> </w:t>
      </w:r>
      <w:r w:rsidRPr="006B1A12">
        <w:t>Strickland, 162 F.</w:t>
      </w:r>
      <w:r w:rsidRPr="006B1A12">
        <w:t xml:space="preserve"> </w:t>
      </w:r>
      <w:r w:rsidRPr="006B1A12">
        <w:t>Supp.</w:t>
      </w:r>
      <w:r w:rsidRPr="006B1A12">
        <w:t xml:space="preserve"> </w:t>
      </w:r>
      <w:r w:rsidRPr="006B1A12">
        <w:t>2d 372, 379–80, 60 USPQ2d 1889 (E.D.</w:t>
      </w:r>
      <w:r w:rsidRPr="006B1A12">
        <w:t xml:space="preserve"> </w:t>
      </w:r>
      <w:r w:rsidRPr="006B1A12">
        <w:t>Pa.</w:t>
      </w:r>
      <w:r w:rsidRPr="006B1A12">
        <w:t xml:space="preserve"> </w:t>
      </w:r>
      <w:r w:rsidRPr="006B1A12">
        <w:t>2001);</w:t>
      </w:r>
      <w:r w:rsidRPr="006B1A12">
        <w:t xml:space="preserve"> </w:t>
      </w:r>
      <w:r w:rsidRPr="006B1A12">
        <w:t>HQM, Ltd.</w:t>
      </w:r>
      <w:r w:rsidRPr="006B1A12">
        <w:t xml:space="preserve"> </w:t>
      </w:r>
      <w:r w:rsidRPr="006B1A12">
        <w:t>v.</w:t>
      </w:r>
      <w:r w:rsidRPr="006B1A12">
        <w:t xml:space="preserve"> </w:t>
      </w:r>
      <w:r w:rsidRPr="006B1A12">
        <w:t>Hatfield, 71 F.</w:t>
      </w:r>
      <w:r w:rsidRPr="006B1A12">
        <w:t xml:space="preserve"> </w:t>
      </w:r>
      <w:r w:rsidRPr="006B1A12">
        <w:t>Supp.</w:t>
      </w:r>
      <w:r w:rsidRPr="006B1A12">
        <w:t xml:space="preserve"> </w:t>
      </w:r>
      <w:r w:rsidRPr="006B1A12">
        <w:t>2d 500, 508–09 (D.</w:t>
      </w:r>
      <w:r w:rsidRPr="006B1A12">
        <w:t xml:space="preserve"> </w:t>
      </w:r>
      <w:r w:rsidRPr="006B1A12">
        <w:t>Md.</w:t>
      </w:r>
      <w:r w:rsidRPr="006B1A12">
        <w:t xml:space="preserve"> </w:t>
      </w:r>
      <w:r w:rsidRPr="006B1A12">
        <w:t>1999);</w:t>
      </w:r>
      <w:r w:rsidRPr="006B1A12">
        <w:t xml:space="preserve"> </w:t>
      </w:r>
      <w:r w:rsidRPr="006B1A12">
        <w:t>Hasbro, Inc.</w:t>
      </w:r>
      <w:r w:rsidRPr="006B1A12">
        <w:t xml:space="preserve"> </w:t>
      </w:r>
      <w:r w:rsidRPr="006B1A12">
        <w:t>v.</w:t>
      </w:r>
      <w:r w:rsidRPr="006B1A12">
        <w:t xml:space="preserve"> </w:t>
      </w:r>
      <w:r w:rsidRPr="006B1A12">
        <w:t>Clue Computing, Inc., 66 F.</w:t>
      </w:r>
      <w:r w:rsidRPr="006B1A12">
        <w:t xml:space="preserve"> </w:t>
      </w:r>
      <w:r w:rsidRPr="006B1A12">
        <w:t>Supp.</w:t>
      </w:r>
      <w:r w:rsidRPr="006B1A12">
        <w:t xml:space="preserve"> </w:t>
      </w:r>
      <w:r w:rsidRPr="006B1A12">
        <w:t>2d 117, 133, 52 USPQ2d 1402 (D.</w:t>
      </w:r>
      <w:r w:rsidRPr="006B1A12">
        <w:t xml:space="preserve"> </w:t>
      </w:r>
      <w:r w:rsidRPr="006B1A12">
        <w:t>Mass.</w:t>
      </w:r>
      <w:r w:rsidRPr="006B1A12">
        <w:t xml:space="preserve"> </w:t>
      </w:r>
      <w:r w:rsidRPr="006B1A12">
        <w:t xml:space="preserve">1999), </w:t>
      </w:r>
      <w:r w:rsidRPr="006B1A12">
        <w:rPr>
          <w:i/>
        </w:rPr>
        <w:t>aff’d</w:t>
      </w:r>
      <w:r w:rsidRPr="006B1A12">
        <w:t>, 232 F.3d 1, 56 USPQ2d 1766 (1st Cir.</w:t>
      </w:r>
      <w:r w:rsidRPr="006B1A12">
        <w:t xml:space="preserve"> </w:t>
      </w:r>
      <w:r w:rsidRPr="006B1A12">
        <w:t>2000).</w:t>
      </w:r>
    </w:p>
  </w:footnote>
  <w:footnote w:id="44">
    <w:p w14:paraId="0FCF5A47" w14:textId="02B3DB2B" w:rsidR="006B1A12" w:rsidRPr="00E93F9C" w:rsidRDefault="006B1A12" w:rsidP="006B1A12">
      <w:pPr>
        <w:pStyle w:val="FootnoteText"/>
      </w:pPr>
      <w:r w:rsidRPr="006B1A12">
        <w:rPr>
          <w:vertAlign w:val="superscript"/>
        </w:rPr>
        <w:footnoteRef/>
      </w:r>
      <w:r w:rsidRPr="006B1A12">
        <w:t>Lanham Act §43(c)(2)(B), (C), 15 U.S.C.</w:t>
      </w:r>
      <w:r w:rsidRPr="006B1A12">
        <w:t xml:space="preserve"> </w:t>
      </w:r>
      <w:r w:rsidRPr="006B1A12">
        <w:t xml:space="preserve">§1125(c)(2)(B), (C) (definitions of blurring and </w:t>
      </w:r>
      <w:proofErr w:type="spellStart"/>
      <w:r w:rsidRPr="006B1A12">
        <w:t>tarnishment</w:t>
      </w:r>
      <w:proofErr w:type="spellEnd"/>
      <w:r w:rsidRPr="006B1A12">
        <w:t>).</w:t>
      </w:r>
      <w:r w:rsidRPr="006B1A12">
        <w:t xml:space="preserve"> </w:t>
      </w:r>
      <w:r w:rsidRPr="006B1A12">
        <w:rPr>
          <w:i/>
        </w:rPr>
        <w:t>See</w:t>
      </w:r>
      <w:r w:rsidRPr="006B1A12">
        <w:t xml:space="preserve"> Chapter 9, §II.H.3.</w:t>
      </w:r>
    </w:p>
  </w:footnote>
  <w:footnote w:id="45">
    <w:p w14:paraId="466901EB" w14:textId="14801F3C" w:rsidR="006B1A12" w:rsidRPr="00E93F9C" w:rsidRDefault="006B1A12" w:rsidP="006B1A12">
      <w:pPr>
        <w:pStyle w:val="FootnoteText"/>
      </w:pPr>
      <w:r w:rsidRPr="006B1A12">
        <w:rPr>
          <w:vertAlign w:val="superscript"/>
        </w:rPr>
        <w:footnoteRef/>
      </w:r>
      <w:r w:rsidRPr="006B1A12">
        <w:t xml:space="preserve">202 F.3d 489, 53 USPQ2d 1570 (2d Cir.), </w:t>
      </w:r>
      <w:r w:rsidRPr="006B1A12">
        <w:rPr>
          <w:i/>
        </w:rPr>
        <w:t>cert</w:t>
      </w:r>
      <w:r w:rsidRPr="006B1A12">
        <w:t>.</w:t>
      </w:r>
      <w:r w:rsidRPr="006B1A12">
        <w:t xml:space="preserve"> </w:t>
      </w:r>
      <w:r w:rsidRPr="006B1A12">
        <w:rPr>
          <w:i/>
        </w:rPr>
        <w:t>denied</w:t>
      </w:r>
      <w:r w:rsidRPr="006B1A12">
        <w:t>, 530 U.S.</w:t>
      </w:r>
      <w:r w:rsidRPr="006B1A12">
        <w:t xml:space="preserve"> </w:t>
      </w:r>
      <w:r w:rsidRPr="006B1A12">
        <w:t>1262 (2000).</w:t>
      </w:r>
    </w:p>
  </w:footnote>
  <w:footnote w:id="46">
    <w:p w14:paraId="1781D3BC" w14:textId="204C99DB"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497.</w:t>
      </w:r>
      <w:r w:rsidRPr="006B1A12">
        <w:t xml:space="preserve"> </w:t>
      </w:r>
      <w:r w:rsidRPr="006B1A12">
        <w:t>Whether a mark is “famous” is apparently measured by the standards of §43(c).</w:t>
      </w:r>
      <w:r w:rsidRPr="006B1A12">
        <w:t xml:space="preserve"> </w:t>
      </w:r>
      <w:r w:rsidRPr="006B1A12">
        <w:rPr>
          <w:i/>
        </w:rPr>
        <w:t>See</w:t>
      </w:r>
      <w:r w:rsidRPr="006B1A12">
        <w:t xml:space="preserve"> §IV.A, below.</w:t>
      </w:r>
      <w:r w:rsidRPr="006B1A12">
        <w:t xml:space="preserve"> </w:t>
      </w:r>
      <w:r w:rsidRPr="006B1A12">
        <w:t>Distinctiveness is measured as it usually is in trademark cases.</w:t>
      </w:r>
      <w:r w:rsidRPr="006B1A12">
        <w:t xml:space="preserve"> </w:t>
      </w:r>
      <w:r w:rsidRPr="006B1A12">
        <w:t>202 F.3d at 497;</w:t>
      </w:r>
      <w:r w:rsidRPr="006B1A12">
        <w:t xml:space="preserve"> </w:t>
      </w:r>
      <w:r w:rsidRPr="006B1A12">
        <w:rPr>
          <w:i/>
        </w:rPr>
        <w:t>cf</w:t>
      </w:r>
      <w:r w:rsidRPr="006B1A12">
        <w:t>.</w:t>
      </w:r>
      <w:r w:rsidRPr="006B1A12">
        <w:t xml:space="preserve"> </w:t>
      </w:r>
      <w:r w:rsidRPr="006B1A12">
        <w:t>Victoria’s Cyber Secret Ltd.</w:t>
      </w:r>
      <w:r w:rsidRPr="006B1A12">
        <w:t xml:space="preserve"> </w:t>
      </w:r>
      <w:proofErr w:type="spellStart"/>
      <w:r w:rsidRPr="006B1A12">
        <w:t>P’ship</w:t>
      </w:r>
      <w:proofErr w:type="spellEnd"/>
      <w:r w:rsidRPr="006B1A12">
        <w:t xml:space="preserve"> v.</w:t>
      </w:r>
      <w:r w:rsidRPr="006B1A12">
        <w:t xml:space="preserve"> </w:t>
      </w:r>
      <w:r w:rsidRPr="006B1A12">
        <w:t>V Secret Catalogue, Inc., 161 F.</w:t>
      </w:r>
      <w:r w:rsidRPr="006B1A12">
        <w:t xml:space="preserve"> </w:t>
      </w:r>
      <w:r w:rsidRPr="006B1A12">
        <w:t>Supp.</w:t>
      </w:r>
      <w:r w:rsidRPr="006B1A12">
        <w:t xml:space="preserve"> </w:t>
      </w:r>
      <w:r w:rsidRPr="006B1A12">
        <w:t>2d 1339, 1350 (S.D.</w:t>
      </w:r>
      <w:r w:rsidRPr="006B1A12">
        <w:t xml:space="preserve"> </w:t>
      </w:r>
      <w:r w:rsidRPr="006B1A12">
        <w:t>Fla.</w:t>
      </w:r>
      <w:r w:rsidRPr="006B1A12">
        <w:t xml:space="preserve"> </w:t>
      </w:r>
      <w:r w:rsidRPr="006B1A12">
        <w:t xml:space="preserve">2001) (conducting an independent analysis of distinctiveness according to the standards set forth in </w:t>
      </w:r>
      <w:r w:rsidRPr="006B1A12">
        <w:rPr>
          <w:i/>
        </w:rPr>
        <w:t>Nabisco, Inc</w:t>
      </w:r>
      <w:r w:rsidRPr="006B1A12">
        <w:t>.</w:t>
      </w:r>
      <w:r w:rsidRPr="006B1A12">
        <w:t xml:space="preserve"> </w:t>
      </w:r>
      <w:r w:rsidRPr="006B1A12">
        <w:rPr>
          <w:i/>
        </w:rPr>
        <w:t>v</w:t>
      </w:r>
      <w:r w:rsidRPr="006B1A12">
        <w:t>.</w:t>
      </w:r>
      <w:r w:rsidRPr="006B1A12">
        <w:t xml:space="preserve"> </w:t>
      </w:r>
      <w:r w:rsidRPr="006B1A12">
        <w:rPr>
          <w:i/>
        </w:rPr>
        <w:t>PF Brands, Inc</w:t>
      </w:r>
      <w:r w:rsidRPr="006B1A12">
        <w:t>., 191 F.3d 208, 215–16, 51 USPQ2d 1882 (2d Cir.</w:t>
      </w:r>
      <w:r w:rsidRPr="006B1A12">
        <w:t xml:space="preserve"> </w:t>
      </w:r>
      <w:r w:rsidRPr="006B1A12">
        <w:t>1999)).</w:t>
      </w:r>
    </w:p>
  </w:footnote>
  <w:footnote w:id="47">
    <w:p w14:paraId="03D78451" w14:textId="4D12D6E8" w:rsidR="006B1A12" w:rsidRPr="00E93F9C" w:rsidRDefault="006B1A12" w:rsidP="006B1A12">
      <w:pPr>
        <w:pStyle w:val="FootnoteText"/>
      </w:pPr>
      <w:r w:rsidRPr="006B1A12">
        <w:rPr>
          <w:vertAlign w:val="superscript"/>
        </w:rPr>
        <w:footnoteRef/>
      </w:r>
      <w:r w:rsidRPr="006B1A12">
        <w:t>202 F.3d at 498.</w:t>
      </w:r>
    </w:p>
  </w:footnote>
  <w:footnote w:id="48">
    <w:p w14:paraId="071B62E2" w14:textId="35B72A25"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n.11 (citing Wella Corp.</w:t>
      </w:r>
      <w:r w:rsidRPr="006B1A12">
        <w:t xml:space="preserve"> </w:t>
      </w:r>
      <w:r w:rsidRPr="006B1A12">
        <w:t>v.</w:t>
      </w:r>
      <w:r w:rsidRPr="006B1A12">
        <w:t xml:space="preserve"> </w:t>
      </w:r>
      <w:r w:rsidRPr="006B1A12">
        <w:t>Wella Graphics, Inc., 37 F.3d 46, 48, 32 USPQ2d 1318 (2d Cir.</w:t>
      </w:r>
      <w:r w:rsidRPr="006B1A12">
        <w:t xml:space="preserve"> </w:t>
      </w:r>
      <w:r w:rsidRPr="006B1A12">
        <w:t>1994)).</w:t>
      </w:r>
    </w:p>
  </w:footnote>
  <w:footnote w:id="49">
    <w:p w14:paraId="4AA765A7" w14:textId="149663B7" w:rsidR="006B1A12" w:rsidRPr="00E93F9C" w:rsidRDefault="006B1A12" w:rsidP="006B1A12">
      <w:pPr>
        <w:pStyle w:val="FootnoteText"/>
      </w:pPr>
      <w:r w:rsidRPr="006B1A12">
        <w:rPr>
          <w:vertAlign w:val="superscript"/>
        </w:rPr>
        <w:footnoteRef/>
      </w:r>
      <w:r w:rsidRPr="006B1A12">
        <w:t>Wella Corp.</w:t>
      </w:r>
      <w:r w:rsidRPr="006B1A12">
        <w:t xml:space="preserve"> </w:t>
      </w:r>
      <w:r w:rsidRPr="006B1A12">
        <w:t>v.</w:t>
      </w:r>
      <w:r w:rsidRPr="006B1A12">
        <w:t xml:space="preserve"> </w:t>
      </w:r>
      <w:r w:rsidRPr="006B1A12">
        <w:t>Wella Graphics, Inc., 37 F.3d 46, 48, 32 USPQ2d 1318 (2d Cir.</w:t>
      </w:r>
      <w:r w:rsidRPr="006B1A12">
        <w:t xml:space="preserve"> </w:t>
      </w:r>
      <w:r w:rsidRPr="006B1A12">
        <w:t>1994).</w:t>
      </w:r>
    </w:p>
  </w:footnote>
  <w:footnote w:id="50">
    <w:p w14:paraId="34154B2A" w14:textId="159A2160" w:rsidR="006B1A12" w:rsidRPr="00E93F9C" w:rsidRDefault="006B1A12" w:rsidP="006B1A12">
      <w:pPr>
        <w:pStyle w:val="FootnoteText"/>
      </w:pPr>
      <w:r w:rsidRPr="006B1A12">
        <w:rPr>
          <w:vertAlign w:val="superscript"/>
        </w:rPr>
        <w:footnoteRef/>
      </w:r>
      <w:r w:rsidRPr="006B1A12">
        <w:t>Hartog &amp; Co.</w:t>
      </w:r>
      <w:r w:rsidRPr="006B1A12">
        <w:t xml:space="preserve"> </w:t>
      </w:r>
      <w:r w:rsidRPr="006B1A12">
        <w:t>v.</w:t>
      </w:r>
      <w:r w:rsidRPr="006B1A12">
        <w:t xml:space="preserve"> </w:t>
      </w:r>
      <w:r w:rsidRPr="006B1A12">
        <w:t>Swix.com, 136 F.</w:t>
      </w:r>
      <w:r w:rsidRPr="006B1A12">
        <w:t xml:space="preserve"> </w:t>
      </w:r>
      <w:r w:rsidRPr="006B1A12">
        <w:t>Supp.</w:t>
      </w:r>
      <w:r w:rsidRPr="006B1A12">
        <w:t xml:space="preserve"> </w:t>
      </w:r>
      <w:r w:rsidRPr="006B1A12">
        <w:t>2d 531, 537–38 (E.D.</w:t>
      </w:r>
      <w:r w:rsidRPr="006B1A12">
        <w:t xml:space="preserve"> </w:t>
      </w:r>
      <w:r w:rsidRPr="006B1A12">
        <w:t>Va.</w:t>
      </w:r>
      <w:r w:rsidRPr="006B1A12">
        <w:t xml:space="preserve"> </w:t>
      </w:r>
      <w:r w:rsidRPr="006B1A12">
        <w:t>2001);</w:t>
      </w:r>
      <w:r w:rsidRPr="006B1A12">
        <w:t xml:space="preserve"> </w:t>
      </w:r>
      <w:r w:rsidRPr="006B1A12">
        <w:t>Northern Light Tech., Inc.</w:t>
      </w:r>
      <w:r w:rsidRPr="006B1A12">
        <w:t xml:space="preserve"> </w:t>
      </w:r>
      <w:r w:rsidRPr="006B1A12">
        <w:t>v.</w:t>
      </w:r>
      <w:r w:rsidRPr="006B1A12">
        <w:t xml:space="preserve"> </w:t>
      </w:r>
      <w:r w:rsidRPr="006B1A12">
        <w:t>Northern Lights Club, 97 F.</w:t>
      </w:r>
      <w:r w:rsidRPr="006B1A12">
        <w:t xml:space="preserve"> </w:t>
      </w:r>
      <w:r w:rsidRPr="006B1A12">
        <w:t>Supp.</w:t>
      </w:r>
      <w:r w:rsidRPr="006B1A12">
        <w:t xml:space="preserve"> </w:t>
      </w:r>
      <w:r w:rsidRPr="006B1A12">
        <w:t>2d 96, 117 (D.</w:t>
      </w:r>
      <w:r w:rsidRPr="006B1A12">
        <w:t xml:space="preserve"> </w:t>
      </w:r>
      <w:r w:rsidRPr="006B1A12">
        <w:t>Mass.</w:t>
      </w:r>
      <w:r w:rsidRPr="006B1A12">
        <w:t xml:space="preserve"> </w:t>
      </w:r>
      <w:r w:rsidRPr="006B1A12">
        <w:t xml:space="preserve">2000), </w:t>
      </w:r>
      <w:r w:rsidRPr="006B1A12">
        <w:rPr>
          <w:i/>
        </w:rPr>
        <w:t>aff’d</w:t>
      </w:r>
      <w:r w:rsidRPr="006B1A12">
        <w:t xml:space="preserve">, 236 F.3d 57, 57 USPQ2d 1277 (1st Cir.), </w:t>
      </w:r>
      <w:r w:rsidRPr="006B1A12">
        <w:rPr>
          <w:i/>
        </w:rPr>
        <w:t>cert</w:t>
      </w:r>
      <w:r w:rsidRPr="006B1A12">
        <w:t>.</w:t>
      </w:r>
      <w:r w:rsidRPr="006B1A12">
        <w:t xml:space="preserve"> </w:t>
      </w:r>
      <w:r w:rsidRPr="006B1A12">
        <w:rPr>
          <w:i/>
        </w:rPr>
        <w:t>denied</w:t>
      </w:r>
      <w:r w:rsidRPr="006B1A12">
        <w:t>, 533 U.S.</w:t>
      </w:r>
      <w:r w:rsidRPr="006B1A12">
        <w:t xml:space="preserve"> </w:t>
      </w:r>
      <w:r w:rsidRPr="006B1A12">
        <w:t>911 (2001).</w:t>
      </w:r>
    </w:p>
  </w:footnote>
  <w:footnote w:id="51">
    <w:p w14:paraId="2DD059A0" w14:textId="54FF0F61" w:rsidR="006B1A12" w:rsidRPr="00E93F9C" w:rsidRDefault="006B1A12" w:rsidP="006B1A12">
      <w:pPr>
        <w:pStyle w:val="FootnoteText"/>
      </w:pPr>
      <w:r w:rsidRPr="006B1A12">
        <w:rPr>
          <w:vertAlign w:val="superscript"/>
        </w:rPr>
        <w:footnoteRef/>
      </w:r>
      <w:r w:rsidRPr="006B1A12">
        <w:t xml:space="preserve">The facts were somewhat unusual because the original domain name registrant, which competed with the plaintiff in the aviation accessories business, had transferred the registration to a noncompeting entity called </w:t>
      </w:r>
      <w:proofErr w:type="spellStart"/>
      <w:r w:rsidRPr="006B1A12">
        <w:t>Sporty’s</w:t>
      </w:r>
      <w:proofErr w:type="spellEnd"/>
      <w:r w:rsidRPr="006B1A12">
        <w:t xml:space="preserve"> Farm, which grew and sold Christmas trees.</w:t>
      </w:r>
      <w:r w:rsidRPr="006B1A12">
        <w:t xml:space="preserve"> </w:t>
      </w:r>
      <w:r w:rsidRPr="006B1A12">
        <w:t>202 F.3d at 494.</w:t>
      </w:r>
      <w:r w:rsidRPr="006B1A12">
        <w:t xml:space="preserve"> </w:t>
      </w:r>
      <w:r w:rsidRPr="006B1A12">
        <w:t xml:space="preserve">The plaintiff’s mark, </w:t>
      </w:r>
      <w:proofErr w:type="spellStart"/>
      <w:r w:rsidRPr="006B1A12">
        <w:t>Sporty’s</w:t>
      </w:r>
      <w:proofErr w:type="spellEnd"/>
      <w:r w:rsidRPr="006B1A12">
        <w:t>, was very well known in its field, but not so well known outside the field.</w:t>
      </w:r>
      <w:r w:rsidRPr="006B1A12">
        <w:t xml:space="preserve"> </w:t>
      </w:r>
      <w:r w:rsidRPr="006B1A12">
        <w:rPr>
          <w:i/>
        </w:rPr>
        <w:t>Id</w:t>
      </w:r>
      <w:r w:rsidRPr="006B1A12">
        <w:t>.</w:t>
      </w:r>
      <w:r w:rsidRPr="006B1A12">
        <w:t xml:space="preserve"> </w:t>
      </w:r>
      <w:r w:rsidRPr="006B1A12">
        <w:t>at 499.</w:t>
      </w:r>
    </w:p>
  </w:footnote>
  <w:footnote w:id="52">
    <w:p w14:paraId="144AD848" w14:textId="57FDDC38" w:rsidR="006B1A12" w:rsidRPr="00E93F9C" w:rsidRDefault="006B1A12" w:rsidP="006B1A12">
      <w:pPr>
        <w:pStyle w:val="FootnoteText"/>
      </w:pPr>
      <w:r w:rsidRPr="006B1A12">
        <w:rPr>
          <w:vertAlign w:val="superscript"/>
        </w:rPr>
        <w:footnoteRef/>
      </w:r>
      <w:r w:rsidRPr="006B1A12">
        <w:rPr>
          <w:i/>
        </w:rPr>
        <w:t>Id</w:t>
      </w:r>
      <w:r w:rsidRPr="006B1A12">
        <w:t>.</w:t>
      </w:r>
    </w:p>
  </w:footnote>
  <w:footnote w:id="53">
    <w:p w14:paraId="19B0486F" w14:textId="40F64455"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498–99.</w:t>
      </w:r>
    </w:p>
  </w:footnote>
  <w:footnote w:id="54">
    <w:p w14:paraId="2054B4A7" w14:textId="42A8519D"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499.</w:t>
      </w:r>
    </w:p>
  </w:footnote>
  <w:footnote w:id="55">
    <w:p w14:paraId="2041DB87" w14:textId="4E4FBA9E" w:rsidR="006B1A12" w:rsidRPr="00E93F9C" w:rsidRDefault="006B1A12" w:rsidP="006B1A12">
      <w:pPr>
        <w:pStyle w:val="FootnoteText"/>
      </w:pPr>
      <w:r w:rsidRPr="006B1A12">
        <w:rPr>
          <w:vertAlign w:val="superscript"/>
        </w:rPr>
        <w:footnoteRef/>
      </w:r>
      <w:r w:rsidRPr="006B1A12">
        <w:rPr>
          <w:i/>
        </w:rPr>
        <w:t>Id</w:t>
      </w:r>
      <w:r w:rsidRPr="006B1A12">
        <w:t>.</w:t>
      </w:r>
    </w:p>
  </w:footnote>
  <w:footnote w:id="56">
    <w:p w14:paraId="35643723" w14:textId="02EB43DA" w:rsidR="006B1A12" w:rsidRPr="00E93F9C" w:rsidRDefault="006B1A12" w:rsidP="006B1A12">
      <w:pPr>
        <w:pStyle w:val="FootnoteText"/>
      </w:pPr>
      <w:r w:rsidRPr="006B1A12">
        <w:rPr>
          <w:vertAlign w:val="superscript"/>
        </w:rPr>
        <w:footnoteRef/>
      </w:r>
      <w:r w:rsidRPr="006B1A12">
        <w:t xml:space="preserve">236 F.3d 57, 57 USPQ2d 1277 (1st Cir.), </w:t>
      </w:r>
      <w:r w:rsidRPr="006B1A12">
        <w:rPr>
          <w:i/>
        </w:rPr>
        <w:t>cert</w:t>
      </w:r>
      <w:r w:rsidRPr="006B1A12">
        <w:t>.</w:t>
      </w:r>
      <w:r w:rsidRPr="006B1A12">
        <w:t xml:space="preserve"> </w:t>
      </w:r>
      <w:r w:rsidRPr="006B1A12">
        <w:rPr>
          <w:i/>
        </w:rPr>
        <w:t>denied</w:t>
      </w:r>
      <w:r w:rsidRPr="006B1A12">
        <w:t>, 533 U.S.</w:t>
      </w:r>
      <w:r w:rsidRPr="006B1A12">
        <w:t xml:space="preserve"> </w:t>
      </w:r>
      <w:r w:rsidRPr="006B1A12">
        <w:t>911 (2001).</w:t>
      </w:r>
    </w:p>
  </w:footnote>
  <w:footnote w:id="57">
    <w:p w14:paraId="342AA915" w14:textId="1696BCDE"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65.</w:t>
      </w:r>
    </w:p>
  </w:footnote>
  <w:footnote w:id="58">
    <w:p w14:paraId="4C400195" w14:textId="2FD84CBF" w:rsidR="006B1A12" w:rsidRPr="00E93F9C" w:rsidRDefault="006B1A12" w:rsidP="006B1A12">
      <w:pPr>
        <w:pStyle w:val="FootnoteText"/>
      </w:pPr>
      <w:r w:rsidRPr="006B1A12">
        <w:rPr>
          <w:vertAlign w:val="superscript"/>
        </w:rPr>
        <w:footnoteRef/>
      </w:r>
      <w:r w:rsidRPr="006B1A12">
        <w:t>106 F.</w:t>
      </w:r>
      <w:r w:rsidRPr="006B1A12">
        <w:t xml:space="preserve"> </w:t>
      </w:r>
      <w:r w:rsidRPr="006B1A12">
        <w:t>Supp.</w:t>
      </w:r>
      <w:r w:rsidRPr="006B1A12">
        <w:t xml:space="preserve"> </w:t>
      </w:r>
      <w:r w:rsidRPr="006B1A12">
        <w:t>2d 845, 54 USPQ2d 1126 (E.D.</w:t>
      </w:r>
      <w:r w:rsidRPr="006B1A12">
        <w:t xml:space="preserve"> </w:t>
      </w:r>
      <w:r w:rsidRPr="006B1A12">
        <w:t>Va.</w:t>
      </w:r>
      <w:r w:rsidRPr="006B1A12">
        <w:t xml:space="preserve"> </w:t>
      </w:r>
      <w:r w:rsidRPr="006B1A12">
        <w:t xml:space="preserve">2000), </w:t>
      </w:r>
      <w:r w:rsidRPr="006B1A12">
        <w:rPr>
          <w:i/>
        </w:rPr>
        <w:t>aff’d</w:t>
      </w:r>
      <w:r w:rsidRPr="006B1A12">
        <w:t>, 238 F.3d 264, 57 USPQ2d 1547 (4th Cir.</w:t>
      </w:r>
      <w:r w:rsidRPr="006B1A12">
        <w:t xml:space="preserve"> </w:t>
      </w:r>
      <w:r w:rsidRPr="006B1A12">
        <w:t>2001).</w:t>
      </w:r>
    </w:p>
  </w:footnote>
  <w:footnote w:id="59">
    <w:p w14:paraId="58227F9F" w14:textId="1804F96E"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847–48.</w:t>
      </w:r>
      <w:r w:rsidRPr="006B1A12">
        <w:t xml:space="preserve"> </w:t>
      </w:r>
      <w:r w:rsidRPr="006B1A12">
        <w:t>The court was ruling on a counterclaim by Volkswagen.</w:t>
      </w:r>
      <w:r w:rsidRPr="006B1A12">
        <w:t xml:space="preserve"> </w:t>
      </w:r>
      <w:r w:rsidRPr="006B1A12">
        <w:t>The Fourth Circuit affirmed only on the ACPA grounds and did not reach the dilution and infringement issues.</w:t>
      </w:r>
      <w:r w:rsidRPr="006B1A12">
        <w:t xml:space="preserve"> </w:t>
      </w:r>
      <w:r w:rsidRPr="006B1A12">
        <w:t>238 F.3d at 271.</w:t>
      </w:r>
    </w:p>
  </w:footnote>
  <w:footnote w:id="60">
    <w:p w14:paraId="4D35688D" w14:textId="7AE72C02" w:rsidR="006B1A12" w:rsidRPr="00E93F9C" w:rsidRDefault="006B1A12" w:rsidP="006B1A12">
      <w:pPr>
        <w:pStyle w:val="FootnoteText"/>
      </w:pPr>
      <w:r w:rsidRPr="006B1A12">
        <w:rPr>
          <w:vertAlign w:val="superscript"/>
        </w:rPr>
        <w:footnoteRef/>
      </w:r>
      <w:r w:rsidRPr="006B1A12">
        <w:t>106 F.</w:t>
      </w:r>
      <w:r w:rsidRPr="006B1A12">
        <w:t xml:space="preserve"> </w:t>
      </w:r>
      <w:r w:rsidRPr="006B1A12">
        <w:t>Supp.</w:t>
      </w:r>
      <w:r w:rsidRPr="006B1A12">
        <w:t xml:space="preserve"> </w:t>
      </w:r>
      <w:r w:rsidRPr="006B1A12">
        <w:t>2d at 847.</w:t>
      </w:r>
    </w:p>
  </w:footnote>
  <w:footnote w:id="61">
    <w:p w14:paraId="1DB43041" w14:textId="11E1B3BA" w:rsidR="006B1A12" w:rsidRPr="00E93F9C" w:rsidRDefault="006B1A12" w:rsidP="006B1A12">
      <w:pPr>
        <w:pStyle w:val="FootnoteText"/>
      </w:pPr>
      <w:r w:rsidRPr="006B1A12">
        <w:rPr>
          <w:vertAlign w:val="superscript"/>
        </w:rPr>
        <w:footnoteRef/>
      </w:r>
      <w:r w:rsidRPr="006B1A12">
        <w:rPr>
          <w:i/>
        </w:rPr>
        <w:t>Id</w:t>
      </w:r>
      <w:r w:rsidRPr="006B1A12">
        <w:t>.</w:t>
      </w:r>
    </w:p>
  </w:footnote>
  <w:footnote w:id="62">
    <w:p w14:paraId="3CEBDBC1" w14:textId="1AB893FB"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847–48.</w:t>
      </w:r>
    </w:p>
  </w:footnote>
  <w:footnote w:id="63">
    <w:p w14:paraId="024393DB" w14:textId="3611BA82"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848.</w:t>
      </w:r>
    </w:p>
  </w:footnote>
  <w:footnote w:id="64">
    <w:p w14:paraId="75117160" w14:textId="7C5A73A9" w:rsidR="006B1A12" w:rsidRPr="00E93F9C" w:rsidRDefault="006B1A12" w:rsidP="006B1A12">
      <w:pPr>
        <w:pStyle w:val="FootnoteText"/>
      </w:pPr>
      <w:r w:rsidRPr="006B1A12">
        <w:rPr>
          <w:vertAlign w:val="superscript"/>
        </w:rPr>
        <w:footnoteRef/>
      </w:r>
      <w:r w:rsidRPr="006B1A12">
        <w:t>238 F.3d at 269–70.</w:t>
      </w:r>
    </w:p>
  </w:footnote>
  <w:footnote w:id="65">
    <w:p w14:paraId="39B7B7A0" w14:textId="612CDB26"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269.</w:t>
      </w:r>
    </w:p>
  </w:footnote>
  <w:footnote w:id="66">
    <w:p w14:paraId="6AED942A" w14:textId="10E03D6A"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270.</w:t>
      </w:r>
    </w:p>
  </w:footnote>
  <w:footnote w:id="67">
    <w:p w14:paraId="6755AA75" w14:textId="05A0C19C"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271.</w:t>
      </w:r>
    </w:p>
  </w:footnote>
  <w:footnote w:id="68">
    <w:p w14:paraId="641FFDD4" w14:textId="4E9FC676" w:rsidR="006B1A12" w:rsidRPr="00E93F9C" w:rsidRDefault="006B1A12" w:rsidP="006B1A12">
      <w:pPr>
        <w:pStyle w:val="FootnoteText"/>
      </w:pPr>
      <w:r w:rsidRPr="006B1A12">
        <w:rPr>
          <w:vertAlign w:val="superscript"/>
        </w:rPr>
        <w:footnoteRef/>
      </w:r>
      <w:r w:rsidRPr="006B1A12">
        <w:t>Lucas Nursery &amp; Landscaping, Inc.</w:t>
      </w:r>
      <w:r w:rsidRPr="006B1A12">
        <w:t xml:space="preserve"> </w:t>
      </w:r>
      <w:r w:rsidRPr="006B1A12">
        <w:t>v.</w:t>
      </w:r>
      <w:r w:rsidRPr="006B1A12">
        <w:t xml:space="preserve"> </w:t>
      </w:r>
      <w:r w:rsidRPr="006B1A12">
        <w:t>Grosse, 359 F.3d 806, 807, 70 USPQ2d 1149 (6th Cir.</w:t>
      </w:r>
      <w:r w:rsidRPr="006B1A12">
        <w:t xml:space="preserve"> </w:t>
      </w:r>
      <w:r w:rsidRPr="006B1A12">
        <w:t>2004).</w:t>
      </w:r>
      <w:r w:rsidRPr="006B1A12">
        <w:t xml:space="preserve"> </w:t>
      </w:r>
      <w:r w:rsidRPr="006B1A12">
        <w:t>The defendant registered the domain name lucasnursery.com.</w:t>
      </w:r>
    </w:p>
  </w:footnote>
  <w:footnote w:id="69">
    <w:p w14:paraId="3E0E70A3" w14:textId="033036B2"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808.</w:t>
      </w:r>
    </w:p>
  </w:footnote>
  <w:footnote w:id="70">
    <w:p w14:paraId="27A48D5C" w14:textId="6BAF06E7"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809–11.</w:t>
      </w:r>
    </w:p>
  </w:footnote>
  <w:footnote w:id="71">
    <w:p w14:paraId="2830FD74" w14:textId="6EE5B0B1"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811;</w:t>
      </w:r>
      <w:r w:rsidRPr="006B1A12">
        <w:t xml:space="preserve"> </w:t>
      </w:r>
      <w:r w:rsidRPr="006B1A12">
        <w:rPr>
          <w:i/>
        </w:rPr>
        <w:t>accord</w:t>
      </w:r>
      <w:r w:rsidRPr="006B1A12">
        <w:t xml:space="preserve"> TMI, Inc.</w:t>
      </w:r>
      <w:r w:rsidRPr="006B1A12">
        <w:t xml:space="preserve"> </w:t>
      </w:r>
      <w:r w:rsidRPr="006B1A12">
        <w:t>v.</w:t>
      </w:r>
      <w:r w:rsidRPr="006B1A12">
        <w:t xml:space="preserve"> </w:t>
      </w:r>
      <w:r w:rsidRPr="006B1A12">
        <w:t>Maxwell, 368 F.3d 433, 439–40, 70 USPQ2d 1630 (5th Cir.</w:t>
      </w:r>
      <w:r w:rsidRPr="006B1A12">
        <w:t xml:space="preserve"> </w:t>
      </w:r>
      <w:r w:rsidRPr="006B1A12">
        <w:t xml:space="preserve">2004) (citing </w:t>
      </w:r>
      <w:r w:rsidRPr="006B1A12">
        <w:rPr>
          <w:i/>
        </w:rPr>
        <w:t>Lucas</w:t>
      </w:r>
      <w:r w:rsidRPr="006B1A12">
        <w:t>);</w:t>
      </w:r>
      <w:r w:rsidRPr="006B1A12">
        <w:t xml:space="preserve"> </w:t>
      </w:r>
      <w:r w:rsidRPr="006B1A12">
        <w:t>Career Agents Network, Inc.</w:t>
      </w:r>
      <w:r w:rsidRPr="006B1A12">
        <w:t xml:space="preserve"> </w:t>
      </w:r>
      <w:r w:rsidRPr="006B1A12">
        <w:t>v.</w:t>
      </w:r>
      <w:r w:rsidRPr="006B1A12">
        <w:t xml:space="preserve"> </w:t>
      </w:r>
      <w:r w:rsidRPr="006B1A12">
        <w:t>careeragentsnetwork.biz, 96 USPQ2d 1884, 1888 (E.D.</w:t>
      </w:r>
      <w:r w:rsidRPr="006B1A12">
        <w:t xml:space="preserve"> </w:t>
      </w:r>
      <w:r w:rsidRPr="006B1A12">
        <w:t>Mich.</w:t>
      </w:r>
      <w:r w:rsidRPr="006B1A12">
        <w:t xml:space="preserve"> </w:t>
      </w:r>
      <w:r w:rsidRPr="006B1A12">
        <w:t>2010) (same);</w:t>
      </w:r>
      <w:r w:rsidRPr="006B1A12">
        <w:t xml:space="preserve"> </w:t>
      </w:r>
      <w:r w:rsidRPr="006B1A12">
        <w:t>Mayflower Transit, LLC v.</w:t>
      </w:r>
      <w:r w:rsidRPr="006B1A12">
        <w:t xml:space="preserve"> </w:t>
      </w:r>
      <w:r w:rsidRPr="006B1A12">
        <w:t>Prince, 314 F.</w:t>
      </w:r>
      <w:r w:rsidRPr="006B1A12">
        <w:t xml:space="preserve"> </w:t>
      </w:r>
      <w:r w:rsidRPr="006B1A12">
        <w:t>Supp.</w:t>
      </w:r>
      <w:r w:rsidRPr="006B1A12">
        <w:t xml:space="preserve"> </w:t>
      </w:r>
      <w:r w:rsidRPr="006B1A12">
        <w:t>2d 362, 369–72, 70 USPQ2d 1814 (D.N.J.</w:t>
      </w:r>
      <w:r w:rsidRPr="006B1A12">
        <w:t xml:space="preserve"> </w:t>
      </w:r>
      <w:r w:rsidRPr="006B1A12">
        <w:t>2004) (same);</w:t>
      </w:r>
      <w:r w:rsidRPr="006B1A12">
        <w:t xml:space="preserve"> </w:t>
      </w:r>
      <w:r w:rsidRPr="006B1A12">
        <w:rPr>
          <w:i/>
        </w:rPr>
        <w:t>see</w:t>
      </w:r>
      <w:r w:rsidRPr="006B1A12">
        <w:t xml:space="preserve"> Utah Lighthouse Ministry v.</w:t>
      </w:r>
      <w:r w:rsidRPr="006B1A12">
        <w:t xml:space="preserve"> </w:t>
      </w:r>
      <w:r w:rsidRPr="006B1A12">
        <w:t>Foundation for Apologetic Info.</w:t>
      </w:r>
      <w:r w:rsidRPr="006B1A12">
        <w:t xml:space="preserve"> </w:t>
      </w:r>
      <w:r w:rsidRPr="006B1A12">
        <w:t>&amp; Research, 527 F.3d 1045, 1058, 86 USPQ2d 1865 (10th Cir.</w:t>
      </w:r>
      <w:r w:rsidRPr="006B1A12">
        <w:t xml:space="preserve"> </w:t>
      </w:r>
      <w:r w:rsidRPr="006B1A12">
        <w:t>2008) (upholding summary judgment;</w:t>
      </w:r>
      <w:r w:rsidRPr="006B1A12">
        <w:t xml:space="preserve"> </w:t>
      </w:r>
      <w:r w:rsidRPr="006B1A12">
        <w:t>court found defendant’s use to be noncommercial).</w:t>
      </w:r>
    </w:p>
  </w:footnote>
  <w:footnote w:id="72">
    <w:p w14:paraId="26952726" w14:textId="7CB86EA2" w:rsidR="006B1A12" w:rsidRPr="00E93F9C" w:rsidRDefault="006B1A12" w:rsidP="006B1A12">
      <w:pPr>
        <w:pStyle w:val="FootnoteText"/>
      </w:pPr>
      <w:r w:rsidRPr="006B1A12">
        <w:rPr>
          <w:vertAlign w:val="superscript"/>
        </w:rPr>
        <w:footnoteRef/>
      </w:r>
      <w:r w:rsidRPr="006B1A12">
        <w:rPr>
          <w:i/>
        </w:rPr>
        <w:t>See</w:t>
      </w:r>
      <w:r w:rsidRPr="006B1A12">
        <w:t xml:space="preserve"> Northland Ins.</w:t>
      </w:r>
      <w:r w:rsidRPr="006B1A12">
        <w:t xml:space="preserve"> </w:t>
      </w:r>
      <w:r w:rsidRPr="006B1A12">
        <w:t>Cos.</w:t>
      </w:r>
      <w:r w:rsidRPr="006B1A12">
        <w:t xml:space="preserve"> </w:t>
      </w:r>
      <w:r w:rsidRPr="006B1A12">
        <w:t>v.</w:t>
      </w:r>
      <w:r w:rsidRPr="006B1A12">
        <w:t xml:space="preserve"> </w:t>
      </w:r>
      <w:r w:rsidRPr="006B1A12">
        <w:t>Blaylock, 115 F.</w:t>
      </w:r>
      <w:r w:rsidRPr="006B1A12">
        <w:t xml:space="preserve"> </w:t>
      </w:r>
      <w:r w:rsidRPr="006B1A12">
        <w:t>Supp.</w:t>
      </w:r>
      <w:r w:rsidRPr="006B1A12">
        <w:t xml:space="preserve"> </w:t>
      </w:r>
      <w:r w:rsidRPr="006B1A12">
        <w:t>2d 1108, 56 USPQ2d 1662 (D.</w:t>
      </w:r>
      <w:r w:rsidRPr="006B1A12">
        <w:t xml:space="preserve"> </w:t>
      </w:r>
      <w:r w:rsidRPr="006B1A12">
        <w:t>Minn.</w:t>
      </w:r>
      <w:r w:rsidRPr="006B1A12">
        <w:t xml:space="preserve"> </w:t>
      </w:r>
      <w:r w:rsidRPr="006B1A12">
        <w:t>2000) (defendant registered the domain name northlandinsurance.com and used it to criticize the plaintiff).</w:t>
      </w:r>
    </w:p>
  </w:footnote>
  <w:footnote w:id="73">
    <w:p w14:paraId="5EA3A0E3" w14:textId="2622F7E0" w:rsidR="006B1A12" w:rsidRPr="00E93F9C" w:rsidRDefault="006B1A12" w:rsidP="006B1A12">
      <w:pPr>
        <w:pStyle w:val="FootnoteText"/>
      </w:pPr>
      <w:r w:rsidRPr="006B1A12">
        <w:rPr>
          <w:vertAlign w:val="superscript"/>
        </w:rPr>
        <w:footnoteRef/>
      </w:r>
      <w:r w:rsidRPr="006B1A12">
        <w:t>382 F.3d 774, 72 USPQ2d 1305 (8th Cir.</w:t>
      </w:r>
      <w:r w:rsidRPr="006B1A12">
        <w:t xml:space="preserve"> </w:t>
      </w:r>
      <w:r w:rsidRPr="006B1A12">
        <w:t>2004).</w:t>
      </w:r>
    </w:p>
  </w:footnote>
  <w:footnote w:id="74">
    <w:p w14:paraId="641002C4" w14:textId="4A793244" w:rsidR="006B1A12" w:rsidRPr="00E93F9C" w:rsidRDefault="006B1A12" w:rsidP="006B1A12">
      <w:pPr>
        <w:pStyle w:val="FootnoteText"/>
      </w:pPr>
      <w:r w:rsidRPr="006B1A12">
        <w:rPr>
          <w:vertAlign w:val="superscript"/>
        </w:rPr>
        <w:footnoteRef/>
      </w:r>
      <w:r w:rsidRPr="006B1A12">
        <w:t>Some of the defendant’s domain-name registrations included drinkcoke.org, mycocacola.com, mypepsi.org, and my-washingtonpost.com.</w:t>
      </w:r>
      <w:r w:rsidRPr="006B1A12">
        <w:t xml:space="preserve"> </w:t>
      </w:r>
      <w:r w:rsidRPr="006B1A12">
        <w:t>He linked them to a site called abortionismurder.com.</w:t>
      </w:r>
      <w:r w:rsidRPr="006B1A12">
        <w:t xml:space="preserve"> </w:t>
      </w:r>
      <w:r w:rsidRPr="006B1A12">
        <w:rPr>
          <w:i/>
        </w:rPr>
        <w:t>Id</w:t>
      </w:r>
      <w:r w:rsidRPr="006B1A12">
        <w:t>.</w:t>
      </w:r>
      <w:r w:rsidRPr="006B1A12">
        <w:t xml:space="preserve"> </w:t>
      </w:r>
      <w:r w:rsidRPr="006B1A12">
        <w:t>at 779.</w:t>
      </w:r>
    </w:p>
  </w:footnote>
  <w:footnote w:id="75">
    <w:p w14:paraId="39A62656" w14:textId="268A2675" w:rsidR="006B1A12" w:rsidRPr="00397A9B" w:rsidRDefault="006B1A12" w:rsidP="006B1A12">
      <w:pPr>
        <w:pStyle w:val="FootnoteText"/>
        <w:rPr>
          <w:lang w:val="da-DK"/>
        </w:rPr>
      </w:pPr>
      <w:r w:rsidRPr="006B1A12">
        <w:rPr>
          <w:vertAlign w:val="superscript"/>
        </w:rPr>
        <w:footnoteRef/>
      </w:r>
      <w:r w:rsidRPr="006B1A12">
        <w:rPr>
          <w:i/>
        </w:rPr>
        <w:t>Id</w:t>
      </w:r>
      <w:r w:rsidRPr="006B1A12">
        <w:t>.</w:t>
      </w:r>
      <w:r w:rsidRPr="006B1A12">
        <w:t xml:space="preserve"> </w:t>
      </w:r>
      <w:r w:rsidRPr="006B1A12">
        <w:t>at 786.</w:t>
      </w:r>
    </w:p>
  </w:footnote>
  <w:footnote w:id="76">
    <w:p w14:paraId="3005C602" w14:textId="1CF2227C" w:rsidR="006B1A12" w:rsidRPr="00397A9B" w:rsidRDefault="006B1A12" w:rsidP="006B1A12">
      <w:pPr>
        <w:pStyle w:val="FootnoteText"/>
        <w:rPr>
          <w:lang w:val="da-DK"/>
        </w:rPr>
      </w:pPr>
      <w:r w:rsidRPr="006B1A12">
        <w:rPr>
          <w:vertAlign w:val="superscript"/>
        </w:rPr>
        <w:footnoteRef/>
      </w:r>
      <w:r w:rsidRPr="006B1A12">
        <w:rPr>
          <w:i/>
        </w:rPr>
        <w:t>Id</w:t>
      </w:r>
      <w:r w:rsidRPr="006B1A12">
        <w:t>.</w:t>
      </w:r>
    </w:p>
  </w:footnote>
  <w:footnote w:id="77">
    <w:p w14:paraId="1BF3D306" w14:textId="60458B5A"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787–88.</w:t>
      </w:r>
      <w:r w:rsidRPr="006B1A12">
        <w:t xml:space="preserve"> </w:t>
      </w:r>
      <w:r w:rsidRPr="006B1A12">
        <w:t xml:space="preserve">The Eighth Circuit’s analysis was followed in </w:t>
      </w:r>
      <w:r w:rsidRPr="006B1A12">
        <w:rPr>
          <w:i/>
        </w:rPr>
        <w:t>HER, Inc</w:t>
      </w:r>
      <w:r w:rsidRPr="006B1A12">
        <w:t>.</w:t>
      </w:r>
      <w:r w:rsidRPr="006B1A12">
        <w:t xml:space="preserve"> </w:t>
      </w:r>
      <w:r w:rsidRPr="006B1A12">
        <w:rPr>
          <w:i/>
        </w:rPr>
        <w:t>v</w:t>
      </w:r>
      <w:r w:rsidRPr="006B1A12">
        <w:t>.</w:t>
      </w:r>
      <w:r w:rsidRPr="006B1A12">
        <w:t xml:space="preserve"> </w:t>
      </w:r>
      <w:r w:rsidRPr="006B1A12">
        <w:rPr>
          <w:i/>
        </w:rPr>
        <w:t>REMAX/First Choice, LLC</w:t>
      </w:r>
      <w:r w:rsidRPr="006B1A12">
        <w:t>, 468 F.</w:t>
      </w:r>
      <w:r w:rsidRPr="006B1A12">
        <w:t xml:space="preserve"> </w:t>
      </w:r>
      <w:r w:rsidRPr="006B1A12">
        <w:t>Supp.</w:t>
      </w:r>
      <w:r w:rsidRPr="006B1A12">
        <w:t xml:space="preserve"> </w:t>
      </w:r>
      <w:r w:rsidRPr="006B1A12">
        <w:t>2d 964 (S.D.</w:t>
      </w:r>
      <w:r w:rsidRPr="006B1A12">
        <w:t xml:space="preserve"> </w:t>
      </w:r>
      <w:r w:rsidRPr="006B1A12">
        <w:t>Ohio 2007).</w:t>
      </w:r>
    </w:p>
  </w:footnote>
  <w:footnote w:id="78">
    <w:p w14:paraId="13C27FFB" w14:textId="66FFDCA7" w:rsidR="006B1A12" w:rsidRPr="006B1A12" w:rsidRDefault="006B1A12" w:rsidP="006B1A12">
      <w:pPr>
        <w:pStyle w:val="FootnoteText"/>
      </w:pPr>
      <w:r w:rsidRPr="006B1A12">
        <w:rPr>
          <w:vertAlign w:val="superscript"/>
        </w:rPr>
        <w:footnoteRef/>
      </w:r>
      <w:r w:rsidRPr="006B1A12">
        <w:rPr>
          <w:i/>
        </w:rPr>
        <w:t>E.g.</w:t>
      </w:r>
      <w:r w:rsidRPr="006B1A12">
        <w:t>, Verizon Cal., Inc.</w:t>
      </w:r>
      <w:r w:rsidRPr="006B1A12">
        <w:t xml:space="preserve"> </w:t>
      </w:r>
      <w:r w:rsidRPr="006B1A12">
        <w:t>v.</w:t>
      </w:r>
      <w:r w:rsidRPr="006B1A12">
        <w:t xml:space="preserve"> </w:t>
      </w:r>
      <w:r w:rsidRPr="006B1A12">
        <w:t>Above.com Pty, Ltd., 881 F.</w:t>
      </w:r>
      <w:r w:rsidRPr="006B1A12">
        <w:t xml:space="preserve"> </w:t>
      </w:r>
      <w:r w:rsidRPr="006B1A12">
        <w:t>Supp.</w:t>
      </w:r>
      <w:r w:rsidRPr="006B1A12">
        <w:t xml:space="preserve"> </w:t>
      </w:r>
      <w:r w:rsidRPr="006B1A12">
        <w:t>2d 1173, 1176 (C.D.</w:t>
      </w:r>
      <w:r w:rsidRPr="006B1A12">
        <w:t xml:space="preserve"> </w:t>
      </w:r>
      <w:r w:rsidRPr="006B1A12">
        <w:t>Cal.</w:t>
      </w:r>
      <w:r w:rsidRPr="006B1A12">
        <w:t xml:space="preserve"> </w:t>
      </w:r>
      <w:r w:rsidRPr="006B1A12">
        <w:t>2011) (citing cases).</w:t>
      </w:r>
    </w:p>
    <w:p w14:paraId="27B46CB1" w14:textId="77777777" w:rsidR="006B1A12" w:rsidRDefault="006B1A12" w:rsidP="005B17AF">
      <w:pPr>
        <w:pStyle w:val="footnote"/>
      </w:pPr>
    </w:p>
  </w:footnote>
  <w:footnote w:id="79">
    <w:p w14:paraId="6C3CFF6B" w14:textId="00C0CE29" w:rsidR="006B1A12" w:rsidRPr="006B1A12"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1179.</w:t>
      </w:r>
    </w:p>
    <w:p w14:paraId="7B1F9E82" w14:textId="77777777" w:rsidR="006B1A12" w:rsidRDefault="006B1A12" w:rsidP="005B17AF">
      <w:pPr>
        <w:pStyle w:val="footnote"/>
      </w:pPr>
    </w:p>
  </w:footnote>
  <w:footnote w:id="80">
    <w:p w14:paraId="7A9DA818" w14:textId="5498E262" w:rsidR="006B1A12" w:rsidRPr="006B1A12" w:rsidRDefault="006B1A12" w:rsidP="006B1A12">
      <w:pPr>
        <w:pStyle w:val="FootnoteText"/>
      </w:pPr>
      <w:r w:rsidRPr="006B1A12">
        <w:rPr>
          <w:vertAlign w:val="superscript"/>
        </w:rPr>
        <w:footnoteRef/>
      </w:r>
      <w:r w:rsidRPr="006B1A12">
        <w:t xml:space="preserve">Petroliam Nasional </w:t>
      </w:r>
      <w:proofErr w:type="spellStart"/>
      <w:r w:rsidRPr="006B1A12">
        <w:t>Berhad</w:t>
      </w:r>
      <w:proofErr w:type="spellEnd"/>
      <w:r w:rsidRPr="006B1A12">
        <w:t xml:space="preserve"> v.</w:t>
      </w:r>
      <w:r w:rsidRPr="006B1A12">
        <w:t xml:space="preserve"> </w:t>
      </w:r>
      <w:r w:rsidRPr="006B1A12">
        <w:t>GoDaddy.com, Inc., 737 F.3d 546, 108 USPQ2d 2012 (9th Cir.</w:t>
      </w:r>
      <w:r w:rsidRPr="006B1A12">
        <w:t xml:space="preserve"> </w:t>
      </w:r>
      <w:r w:rsidRPr="006B1A12">
        <w:t>2013).</w:t>
      </w:r>
    </w:p>
    <w:p w14:paraId="0D46A4F8" w14:textId="77777777" w:rsidR="006B1A12" w:rsidRDefault="006B1A12" w:rsidP="005B17AF">
      <w:pPr>
        <w:pStyle w:val="footnote"/>
      </w:pPr>
    </w:p>
  </w:footnote>
  <w:footnote w:id="81">
    <w:p w14:paraId="43DB4A9D" w14:textId="696BBA36" w:rsidR="006B1A12" w:rsidRPr="00E93F9C" w:rsidRDefault="006B1A12" w:rsidP="006B1A12">
      <w:pPr>
        <w:pStyle w:val="FootnoteText"/>
      </w:pPr>
      <w:r w:rsidRPr="006B1A12">
        <w:rPr>
          <w:vertAlign w:val="superscript"/>
        </w:rPr>
        <w:footnoteRef/>
      </w:r>
      <w:r w:rsidRPr="006B1A12">
        <w:rPr>
          <w:i/>
        </w:rPr>
        <w:t>E</w:t>
      </w:r>
      <w:r w:rsidRPr="006B1A12">
        <w:t>.</w:t>
      </w:r>
      <w:r w:rsidRPr="006B1A12">
        <w:rPr>
          <w:i/>
        </w:rPr>
        <w:t>g</w:t>
      </w:r>
      <w:r w:rsidRPr="006B1A12">
        <w:t>., Lanham Act §43(d)(1)(A)(ii)(II), 15 U.S.C.</w:t>
      </w:r>
      <w:r w:rsidRPr="006B1A12">
        <w:t xml:space="preserve"> </w:t>
      </w:r>
      <w:r w:rsidRPr="006B1A12">
        <w:t>§1125(d)(1)(A)(ii)(II) (relating to a domain name that “is identical or confusingly similar to or dilutive of” another’s “famous mark”</w:t>
      </w:r>
      <w:proofErr w:type="gramStart"/>
      <w:r w:rsidRPr="006B1A12">
        <w:t>);</w:t>
      </w:r>
      <w:proofErr w:type="gramEnd"/>
      <w:r w:rsidRPr="006B1A12">
        <w:t xml:space="preserve"> </w:t>
      </w:r>
      <w:r w:rsidRPr="006B1A12">
        <w:rPr>
          <w:i/>
        </w:rPr>
        <w:t>id</w:t>
      </w:r>
      <w:r w:rsidRPr="006B1A12">
        <w:t>.</w:t>
      </w:r>
      <w:r w:rsidRPr="006B1A12">
        <w:t xml:space="preserve"> </w:t>
      </w:r>
      <w:r w:rsidRPr="006B1A12">
        <w:t>§43(d)(1)(B)(</w:t>
      </w:r>
      <w:proofErr w:type="spellStart"/>
      <w:r w:rsidRPr="006B1A12">
        <w:t>i</w:t>
      </w:r>
      <w:proofErr w:type="spellEnd"/>
      <w:r w:rsidRPr="006B1A12">
        <w:t>)(IX), 15 U.S.C.</w:t>
      </w:r>
      <w:r w:rsidRPr="006B1A12">
        <w:t xml:space="preserve"> </w:t>
      </w:r>
      <w:r w:rsidRPr="006B1A12">
        <w:t>§1125(d)(1)(B)(</w:t>
      </w:r>
      <w:proofErr w:type="spellStart"/>
      <w:r w:rsidRPr="006B1A12">
        <w:t>i</w:t>
      </w:r>
      <w:proofErr w:type="spellEnd"/>
      <w:r w:rsidRPr="006B1A12">
        <w:t>)(IX) (same).</w:t>
      </w:r>
    </w:p>
  </w:footnote>
  <w:footnote w:id="82">
    <w:p w14:paraId="12B24691" w14:textId="2C150542" w:rsidR="006B1A12" w:rsidRPr="00E93F9C" w:rsidRDefault="006B1A12" w:rsidP="006B1A12">
      <w:pPr>
        <w:pStyle w:val="FootnoteText"/>
      </w:pPr>
      <w:r w:rsidRPr="006B1A12">
        <w:rPr>
          <w:vertAlign w:val="superscript"/>
        </w:rPr>
        <w:footnoteRef/>
      </w:r>
      <w:r w:rsidRPr="006B1A12">
        <w:t>To be famous, a mark must be “widely recognized [as a mark] by the general consuming public of the United States.” Lanham Act §43(c)(2)(A), 15 U.S.C.</w:t>
      </w:r>
      <w:r w:rsidRPr="006B1A12">
        <w:t xml:space="preserve"> </w:t>
      </w:r>
      <w:r w:rsidRPr="006B1A12">
        <w:t>§1125(c)(2)(A).</w:t>
      </w:r>
      <w:r w:rsidRPr="006B1A12">
        <w:t xml:space="preserve"> </w:t>
      </w:r>
      <w:r w:rsidRPr="006B1A12">
        <w:t>See Chapter 8, §V, for a discussion of niche market fame.</w:t>
      </w:r>
    </w:p>
  </w:footnote>
  <w:footnote w:id="83">
    <w:p w14:paraId="4030E989" w14:textId="491972F4" w:rsidR="006B1A12" w:rsidRPr="00E93F9C" w:rsidRDefault="006B1A12" w:rsidP="006B1A12">
      <w:pPr>
        <w:pStyle w:val="FootnoteText"/>
      </w:pPr>
      <w:r w:rsidRPr="006B1A12">
        <w:rPr>
          <w:vertAlign w:val="superscript"/>
        </w:rPr>
        <w:footnoteRef/>
      </w:r>
      <w:r w:rsidRPr="006B1A12">
        <w:t>The TDRA only requires a likelihood of dilution, not actual dilution.</w:t>
      </w:r>
      <w:r w:rsidRPr="006B1A12">
        <w:t xml:space="preserve"> </w:t>
      </w:r>
      <w:r w:rsidRPr="006B1A12">
        <w:t xml:space="preserve">But the TDRA, unlike the FTDA, only recognizes two categories of dilution—blurring and </w:t>
      </w:r>
      <w:proofErr w:type="spellStart"/>
      <w:r w:rsidRPr="006B1A12">
        <w:t>tarnishment</w:t>
      </w:r>
      <w:proofErr w:type="spellEnd"/>
      <w:r w:rsidRPr="006B1A12">
        <w:t>—and defines them separately.</w:t>
      </w:r>
      <w:r w:rsidRPr="006B1A12">
        <w:t xml:space="preserve"> </w:t>
      </w:r>
      <w:r w:rsidRPr="006B1A12">
        <w:t>Lanham Act §43(c)(2)(B), (C), 15 U.S.C.</w:t>
      </w:r>
      <w:r w:rsidRPr="006B1A12">
        <w:t xml:space="preserve"> </w:t>
      </w:r>
      <w:r w:rsidRPr="006B1A12">
        <w:t>§1125(c)(2)(B), (C).</w:t>
      </w:r>
      <w:r w:rsidRPr="006B1A12">
        <w:t xml:space="preserve"> </w:t>
      </w:r>
      <w:r w:rsidRPr="006B1A12">
        <w:t>See Chapter 9 for a discussion of these definitions.</w:t>
      </w:r>
    </w:p>
  </w:footnote>
  <w:footnote w:id="84">
    <w:p w14:paraId="69AFFAA5" w14:textId="4AE8F38D" w:rsidR="006B1A12" w:rsidRPr="00397A9B" w:rsidRDefault="006B1A12" w:rsidP="006B1A12">
      <w:pPr>
        <w:pStyle w:val="FootnoteText"/>
        <w:rPr>
          <w:lang w:val="es-US"/>
        </w:rPr>
      </w:pPr>
      <w:r w:rsidRPr="006B1A12">
        <w:rPr>
          <w:vertAlign w:val="superscript"/>
        </w:rPr>
        <w:footnoteRef/>
      </w:r>
      <w:r w:rsidRPr="006B1A12">
        <w:t>254 F.3d 476, 59 USPQ2d 1207 (3d Cir.</w:t>
      </w:r>
      <w:r w:rsidRPr="006B1A12">
        <w:t xml:space="preserve"> </w:t>
      </w:r>
      <w:r w:rsidRPr="006B1A12">
        <w:t>2001).</w:t>
      </w:r>
    </w:p>
  </w:footnote>
  <w:footnote w:id="85">
    <w:p w14:paraId="37B42058" w14:textId="64D3A0E7"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479–80.</w:t>
      </w:r>
      <w:r w:rsidRPr="006B1A12">
        <w:t xml:space="preserve"> </w:t>
      </w:r>
      <w:r w:rsidRPr="006B1A12">
        <w:t>The plaintiff had registered www.joecartoon.com.</w:t>
      </w:r>
      <w:r w:rsidRPr="006B1A12">
        <w:t xml:space="preserve"> </w:t>
      </w:r>
      <w:r w:rsidRPr="006B1A12">
        <w:t>The defendant registered variations, including common misspellings of the mark.</w:t>
      </w:r>
    </w:p>
  </w:footnote>
  <w:footnote w:id="86">
    <w:p w14:paraId="3A0C7F67" w14:textId="25D09E5A" w:rsidR="006B1A12" w:rsidRPr="00E93F9C" w:rsidRDefault="006B1A12" w:rsidP="006B1A12">
      <w:pPr>
        <w:pStyle w:val="FootnoteText"/>
      </w:pPr>
      <w:r w:rsidRPr="006B1A12">
        <w:rPr>
          <w:vertAlign w:val="superscript"/>
        </w:rPr>
        <w:footnoteRef/>
      </w:r>
      <w:r w:rsidRPr="006B1A12">
        <w:t>The TDRA also requires both fame and distinctiveness, but the TDRA clarified the requirements for each because the original FTDA was unclear on the distinction between the two.</w:t>
      </w:r>
      <w:r w:rsidRPr="006B1A12">
        <w:t xml:space="preserve"> </w:t>
      </w:r>
      <w:r w:rsidRPr="006B1A12">
        <w:rPr>
          <w:i/>
        </w:rPr>
        <w:t>See</w:t>
      </w:r>
      <w:r w:rsidRPr="006B1A12">
        <w:t xml:space="preserve"> Chapter 8, §VIII.</w:t>
      </w:r>
    </w:p>
  </w:footnote>
  <w:footnote w:id="87">
    <w:p w14:paraId="2B259267" w14:textId="5F147CDB" w:rsidR="006B1A12" w:rsidRPr="00E93F9C" w:rsidRDefault="006B1A12" w:rsidP="006B1A12">
      <w:pPr>
        <w:pStyle w:val="FootnoteText"/>
      </w:pPr>
      <w:r w:rsidRPr="006B1A12">
        <w:rPr>
          <w:vertAlign w:val="superscript"/>
        </w:rPr>
        <w:footnoteRef/>
      </w:r>
      <w:r w:rsidRPr="006B1A12">
        <w:t>254 F.3d at 482–83.</w:t>
      </w:r>
      <w:r w:rsidRPr="006B1A12">
        <w:t xml:space="preserve"> </w:t>
      </w:r>
      <w:r w:rsidRPr="006B1A12">
        <w:t>The district court had come to the same conclusions using the same analysis.</w:t>
      </w:r>
      <w:r w:rsidRPr="006B1A12">
        <w:t xml:space="preserve"> </w:t>
      </w:r>
      <w:r w:rsidRPr="006B1A12">
        <w:t>89 F.</w:t>
      </w:r>
      <w:r w:rsidRPr="006B1A12">
        <w:t xml:space="preserve"> </w:t>
      </w:r>
      <w:r w:rsidRPr="006B1A12">
        <w:t>Supp.</w:t>
      </w:r>
      <w:r w:rsidRPr="006B1A12">
        <w:t xml:space="preserve"> </w:t>
      </w:r>
      <w:r w:rsidRPr="006B1A12">
        <w:t>2d 634, 638–39, 54 USPQ2d 1166 (E.D.</w:t>
      </w:r>
      <w:r w:rsidRPr="006B1A12">
        <w:t xml:space="preserve"> </w:t>
      </w:r>
      <w:r w:rsidRPr="006B1A12">
        <w:t>Pa.</w:t>
      </w:r>
      <w:r w:rsidRPr="006B1A12">
        <w:t xml:space="preserve"> </w:t>
      </w:r>
      <w:r w:rsidRPr="006B1A12">
        <w:t>2000).</w:t>
      </w:r>
      <w:r w:rsidRPr="006B1A12">
        <w:t xml:space="preserve"> </w:t>
      </w:r>
      <w:r w:rsidRPr="006B1A12">
        <w:t>At that time, the statutory factors were contained in §43(c)(1);</w:t>
      </w:r>
      <w:r w:rsidRPr="006B1A12">
        <w:t xml:space="preserve"> </w:t>
      </w:r>
      <w:r w:rsidRPr="006B1A12">
        <w:t>they have since been reduced in number and moved to §43(c)(2)(A).</w:t>
      </w:r>
    </w:p>
  </w:footnote>
  <w:footnote w:id="88">
    <w:p w14:paraId="0DB0E6E5" w14:textId="14F78A54" w:rsidR="006B1A12" w:rsidRPr="00E93F9C" w:rsidRDefault="006B1A12" w:rsidP="006B1A12">
      <w:pPr>
        <w:pStyle w:val="FootnoteText"/>
      </w:pPr>
      <w:r w:rsidRPr="006B1A12">
        <w:rPr>
          <w:vertAlign w:val="superscript"/>
        </w:rPr>
        <w:footnoteRef/>
      </w:r>
      <w:r w:rsidRPr="006B1A12">
        <w:t>254 F.3d at 483–84.</w:t>
      </w:r>
    </w:p>
  </w:footnote>
  <w:footnote w:id="89">
    <w:p w14:paraId="688B0303" w14:textId="18400D3D" w:rsidR="006B1A12" w:rsidRPr="00E93F9C" w:rsidRDefault="006B1A12" w:rsidP="006B1A12">
      <w:pPr>
        <w:pStyle w:val="FootnoteText"/>
      </w:pPr>
      <w:r w:rsidRPr="006B1A12">
        <w:rPr>
          <w:vertAlign w:val="superscript"/>
        </w:rPr>
        <w:footnoteRef/>
      </w:r>
      <w:r w:rsidRPr="006B1A12">
        <w:t>Factor nine provides, “(IX) the extent to which the mark incorporated in the person’s domain name registration is or is not distinctive and famous within the meaning of subsection (c).” Lanham Act §43(d)(1)(B)(</w:t>
      </w:r>
      <w:proofErr w:type="spellStart"/>
      <w:r w:rsidRPr="006B1A12">
        <w:t>i</w:t>
      </w:r>
      <w:proofErr w:type="spellEnd"/>
      <w:r w:rsidRPr="006B1A12">
        <w:t>)(IX), 15 U.S.C.</w:t>
      </w:r>
      <w:r w:rsidRPr="006B1A12">
        <w:t xml:space="preserve"> </w:t>
      </w:r>
      <w:r w:rsidRPr="006B1A12">
        <w:t>§1125(d)(1)(B)(</w:t>
      </w:r>
      <w:proofErr w:type="spellStart"/>
      <w:r w:rsidRPr="006B1A12">
        <w:t>i</w:t>
      </w:r>
      <w:proofErr w:type="spellEnd"/>
      <w:r w:rsidRPr="006B1A12">
        <w:t>)(IX).</w:t>
      </w:r>
    </w:p>
  </w:footnote>
  <w:footnote w:id="90">
    <w:p w14:paraId="275E3C90" w14:textId="083ADF3B" w:rsidR="006B1A12" w:rsidRPr="00E93F9C" w:rsidRDefault="006B1A12" w:rsidP="006B1A12">
      <w:pPr>
        <w:pStyle w:val="FootnoteText"/>
      </w:pPr>
      <w:r w:rsidRPr="006B1A12">
        <w:rPr>
          <w:vertAlign w:val="superscript"/>
        </w:rPr>
        <w:footnoteRef/>
      </w:r>
      <w:r w:rsidRPr="006B1A12">
        <w:t>161 F.</w:t>
      </w:r>
      <w:r w:rsidRPr="006B1A12">
        <w:t xml:space="preserve"> </w:t>
      </w:r>
      <w:r w:rsidRPr="006B1A12">
        <w:t>Supp.</w:t>
      </w:r>
      <w:r w:rsidRPr="006B1A12">
        <w:t xml:space="preserve"> </w:t>
      </w:r>
      <w:r w:rsidRPr="006B1A12">
        <w:t>2d 1339 (S.D.</w:t>
      </w:r>
      <w:r w:rsidRPr="006B1A12">
        <w:t xml:space="preserve"> </w:t>
      </w:r>
      <w:r w:rsidRPr="006B1A12">
        <w:t>Fla.</w:t>
      </w:r>
      <w:r w:rsidRPr="006B1A12">
        <w:t xml:space="preserve"> </w:t>
      </w:r>
      <w:r w:rsidRPr="006B1A12">
        <w:t>2001).</w:t>
      </w:r>
    </w:p>
  </w:footnote>
  <w:footnote w:id="91">
    <w:p w14:paraId="3DCBDBAB" w14:textId="4F57B3C4"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1350.</w:t>
      </w:r>
    </w:p>
  </w:footnote>
  <w:footnote w:id="92">
    <w:p w14:paraId="4FB1BCA0" w14:textId="3D394A8E" w:rsidR="006B1A12" w:rsidRPr="00E93F9C" w:rsidRDefault="006B1A12" w:rsidP="006B1A12">
      <w:pPr>
        <w:pStyle w:val="FootnoteText"/>
      </w:pPr>
      <w:r w:rsidRPr="006B1A12">
        <w:rPr>
          <w:vertAlign w:val="superscript"/>
        </w:rPr>
        <w:footnoteRef/>
      </w:r>
      <w:r w:rsidRPr="006B1A12">
        <w:t xml:space="preserve">The court apparently adopted the Second Circuit’s concept that distinctiveness and fame are </w:t>
      </w:r>
      <w:proofErr w:type="gramStart"/>
      <w:r w:rsidRPr="006B1A12">
        <w:t>completely separate</w:t>
      </w:r>
      <w:proofErr w:type="gramEnd"/>
      <w:r w:rsidRPr="006B1A12">
        <w:t xml:space="preserve"> inquiries.</w:t>
      </w:r>
      <w:r w:rsidRPr="006B1A12">
        <w:t xml:space="preserve"> </w:t>
      </w:r>
      <w:r w:rsidRPr="006B1A12">
        <w:t>In effect, the court performed the analysis then required in the Second Circuit.</w:t>
      </w:r>
      <w:r w:rsidRPr="006B1A12">
        <w:t xml:space="preserve"> </w:t>
      </w:r>
      <w:r w:rsidRPr="006B1A12">
        <w:rPr>
          <w:i/>
        </w:rPr>
        <w:t>Id</w:t>
      </w:r>
      <w:r w:rsidRPr="006B1A12">
        <w:t>.</w:t>
      </w:r>
      <w:r w:rsidRPr="006B1A12">
        <w:t xml:space="preserve"> </w:t>
      </w:r>
      <w:r w:rsidRPr="006B1A12">
        <w:t xml:space="preserve">at 1349 (quoting </w:t>
      </w:r>
      <w:proofErr w:type="spellStart"/>
      <w:r w:rsidRPr="006B1A12">
        <w:t>Sporty’s</w:t>
      </w:r>
      <w:proofErr w:type="spellEnd"/>
      <w:r w:rsidRPr="006B1A12">
        <w:t xml:space="preserve"> Farm L.L.C.</w:t>
      </w:r>
      <w:r w:rsidRPr="006B1A12">
        <w:t xml:space="preserve"> </w:t>
      </w:r>
      <w:r w:rsidRPr="006B1A12">
        <w:t>v.</w:t>
      </w:r>
      <w:r w:rsidRPr="006B1A12">
        <w:t xml:space="preserve"> </w:t>
      </w:r>
      <w:r w:rsidRPr="006B1A12">
        <w:t xml:space="preserve">Sportsman’s Mkt., Inc., 202 F.3d 489, 497, 53 USPQ2d 1570 (2d Cir.), </w:t>
      </w:r>
      <w:r w:rsidRPr="006B1A12">
        <w:rPr>
          <w:i/>
        </w:rPr>
        <w:t>cert</w:t>
      </w:r>
      <w:r w:rsidRPr="006B1A12">
        <w:t>.</w:t>
      </w:r>
      <w:r w:rsidRPr="006B1A12">
        <w:t xml:space="preserve"> </w:t>
      </w:r>
      <w:r w:rsidRPr="006B1A12">
        <w:rPr>
          <w:i/>
        </w:rPr>
        <w:t>denied</w:t>
      </w:r>
      <w:r w:rsidRPr="006B1A12">
        <w:t>, 530 U.S.</w:t>
      </w:r>
      <w:r w:rsidRPr="006B1A12">
        <w:t xml:space="preserve"> </w:t>
      </w:r>
      <w:r w:rsidRPr="006B1A12">
        <w:t>1262 (2000) (citing Nabisco, Inc.</w:t>
      </w:r>
      <w:r w:rsidRPr="006B1A12">
        <w:t xml:space="preserve"> </w:t>
      </w:r>
      <w:r w:rsidRPr="006B1A12">
        <w:t>v.</w:t>
      </w:r>
      <w:r w:rsidRPr="006B1A12">
        <w:t xml:space="preserve"> </w:t>
      </w:r>
      <w:r w:rsidRPr="006B1A12">
        <w:t>PF Brands, Inc., 191 F.3d 208, 215–16, 51 USPQ2d 1882 (2d Cir.</w:t>
      </w:r>
      <w:r w:rsidRPr="006B1A12">
        <w:t xml:space="preserve"> </w:t>
      </w:r>
      <w:r w:rsidRPr="006B1A12">
        <w:t>1999)).</w:t>
      </w:r>
      <w:r w:rsidRPr="006B1A12">
        <w:t xml:space="preserve"> </w:t>
      </w:r>
      <w:r w:rsidRPr="006B1A12">
        <w:t>The TDRA has since altered the standard that would be used in such a case.</w:t>
      </w:r>
    </w:p>
  </w:footnote>
  <w:footnote w:id="93">
    <w:p w14:paraId="60B53240" w14:textId="56A6E3A4" w:rsidR="006B1A12" w:rsidRPr="006B1A12" w:rsidRDefault="006B1A12" w:rsidP="006B1A12">
      <w:pPr>
        <w:pStyle w:val="FootnoteText"/>
      </w:pPr>
      <w:r w:rsidRPr="006B1A12">
        <w:rPr>
          <w:vertAlign w:val="superscript"/>
        </w:rPr>
        <w:footnoteRef/>
      </w:r>
      <w:r w:rsidRPr="006B1A12">
        <w:t xml:space="preserve">In </w:t>
      </w:r>
      <w:r w:rsidRPr="006B1A12">
        <w:rPr>
          <w:i/>
        </w:rPr>
        <w:t>Philbrick v</w:t>
      </w:r>
      <w:r w:rsidRPr="006B1A12">
        <w:t>.</w:t>
      </w:r>
      <w:r w:rsidRPr="006B1A12">
        <w:t xml:space="preserve"> </w:t>
      </w:r>
      <w:proofErr w:type="spellStart"/>
      <w:r w:rsidRPr="006B1A12">
        <w:rPr>
          <w:i/>
        </w:rPr>
        <w:t>eNom</w:t>
      </w:r>
      <w:proofErr w:type="spellEnd"/>
      <w:r w:rsidRPr="006B1A12">
        <w:rPr>
          <w:i/>
        </w:rPr>
        <w:t>, Inc</w:t>
      </w:r>
      <w:r w:rsidRPr="006B1A12">
        <w:t>., 593 F.</w:t>
      </w:r>
      <w:r w:rsidRPr="006B1A12">
        <w:t xml:space="preserve"> </w:t>
      </w:r>
      <w:r w:rsidRPr="006B1A12">
        <w:t>Supp.</w:t>
      </w:r>
      <w:r w:rsidRPr="006B1A12">
        <w:t xml:space="preserve"> </w:t>
      </w:r>
      <w:r w:rsidRPr="006B1A12">
        <w:t>2d 352, 366 (D.N.H.</w:t>
      </w:r>
      <w:r w:rsidRPr="006B1A12">
        <w:t xml:space="preserve"> </w:t>
      </w:r>
      <w:r w:rsidRPr="006B1A12">
        <w:t>2009), the court held that the TDRA’s standard of fame should be used to measure fame under the ACPA.</w:t>
      </w:r>
      <w:r w:rsidRPr="006B1A12">
        <w:t xml:space="preserve"> </w:t>
      </w:r>
      <w:r w:rsidRPr="006B1A12">
        <w:rPr>
          <w:i/>
        </w:rPr>
        <w:t>See</w:t>
      </w:r>
      <w:r w:rsidRPr="006B1A12">
        <w:t xml:space="preserve"> NYP Holdings v.</w:t>
      </w:r>
      <w:r w:rsidRPr="006B1A12">
        <w:t xml:space="preserve"> </w:t>
      </w:r>
      <w:r w:rsidRPr="006B1A12">
        <w:t>New York Post Publ’g, Inc., 63 F.</w:t>
      </w:r>
      <w:r w:rsidRPr="006B1A12">
        <w:t xml:space="preserve"> </w:t>
      </w:r>
      <w:r w:rsidRPr="006B1A12">
        <w:t>Supp.</w:t>
      </w:r>
      <w:r w:rsidRPr="006B1A12">
        <w:t xml:space="preserve"> </w:t>
      </w:r>
      <w:r w:rsidRPr="006B1A12">
        <w:t>3d 328, 339 (S.D.N.Y.</w:t>
      </w:r>
      <w:r w:rsidRPr="006B1A12">
        <w:t xml:space="preserve"> </w:t>
      </w:r>
      <w:r w:rsidRPr="006B1A12">
        <w:t>2014) (using TDRA definition to find New York Post famous);</w:t>
      </w:r>
      <w:r w:rsidRPr="006B1A12">
        <w:t xml:space="preserve"> </w:t>
      </w:r>
      <w:r w:rsidRPr="006B1A12">
        <w:t>Volvo Trademark Holding AB v.</w:t>
      </w:r>
      <w:r w:rsidRPr="006B1A12">
        <w:t xml:space="preserve"> </w:t>
      </w:r>
      <w:r w:rsidRPr="006B1A12">
        <w:t>Volvospares.com, 703 F.</w:t>
      </w:r>
      <w:r w:rsidRPr="006B1A12">
        <w:t xml:space="preserve"> </w:t>
      </w:r>
      <w:r w:rsidRPr="006B1A12">
        <w:t>Supp.</w:t>
      </w:r>
      <w:r w:rsidRPr="006B1A12">
        <w:t xml:space="preserve"> </w:t>
      </w:r>
      <w:r w:rsidRPr="006B1A12">
        <w:t>2d 563, 568 (E.D.</w:t>
      </w:r>
      <w:r w:rsidRPr="006B1A12">
        <w:t xml:space="preserve"> </w:t>
      </w:r>
      <w:r w:rsidRPr="006B1A12">
        <w:t>Va.</w:t>
      </w:r>
      <w:r w:rsidRPr="006B1A12">
        <w:t xml:space="preserve"> </w:t>
      </w:r>
      <w:r w:rsidRPr="006B1A12">
        <w:t>2010) (finding Volvo mark famous using TDRA definition);</w:t>
      </w:r>
      <w:r w:rsidRPr="006B1A12">
        <w:t xml:space="preserve"> </w:t>
      </w:r>
      <w:r w:rsidRPr="006B1A12">
        <w:t>Continental Airlines, Inc.</w:t>
      </w:r>
      <w:r w:rsidRPr="006B1A12">
        <w:t xml:space="preserve"> </w:t>
      </w:r>
      <w:r w:rsidRPr="006B1A12">
        <w:t>v.</w:t>
      </w:r>
      <w:r w:rsidRPr="006B1A12">
        <w:t xml:space="preserve"> </w:t>
      </w:r>
      <w:r w:rsidRPr="006B1A12">
        <w:t>Continentalair.com, 2009 U.S.</w:t>
      </w:r>
      <w:r w:rsidRPr="006B1A12">
        <w:t xml:space="preserve"> </w:t>
      </w:r>
      <w:r w:rsidRPr="006B1A12">
        <w:t>Dist.</w:t>
      </w:r>
      <w:r w:rsidRPr="006B1A12">
        <w:t xml:space="preserve"> </w:t>
      </w:r>
      <w:r w:rsidRPr="006B1A12">
        <w:t>LEXIS 117850, at *17 (E.D.</w:t>
      </w:r>
      <w:r w:rsidRPr="006B1A12">
        <w:t xml:space="preserve"> </w:t>
      </w:r>
      <w:r w:rsidRPr="006B1A12">
        <w:t>Va.</w:t>
      </w:r>
      <w:r w:rsidRPr="006B1A12">
        <w:t xml:space="preserve"> </w:t>
      </w:r>
      <w:r w:rsidRPr="006B1A12">
        <w:t>Nov.</w:t>
      </w:r>
      <w:r w:rsidRPr="006B1A12">
        <w:t xml:space="preserve"> </w:t>
      </w:r>
      <w:r w:rsidRPr="006B1A12">
        <w:t>3, 2009) (“[T]he Continental Airlines Marks are widely recognized by consumers throughout the United States and abroad as source designations for services emanating from Continental Airlines and are therefore famous marks within the meaning of 15 U.S.C.</w:t>
      </w:r>
      <w:r w:rsidRPr="006B1A12">
        <w:t xml:space="preserve"> </w:t>
      </w:r>
      <w:r w:rsidRPr="006B1A12">
        <w:t>§1125(c)(2)(A).”).</w:t>
      </w:r>
      <w:r w:rsidRPr="006B1A12">
        <w:t xml:space="preserve"> </w:t>
      </w:r>
      <w:r w:rsidRPr="006B1A12">
        <w:rPr>
          <w:i/>
        </w:rPr>
        <w:t>But cf.</w:t>
      </w:r>
      <w:r w:rsidRPr="006B1A12">
        <w:rPr>
          <w:i/>
        </w:rPr>
        <w:t xml:space="preserve"> </w:t>
      </w:r>
      <w:proofErr w:type="spellStart"/>
      <w:r w:rsidRPr="006B1A12">
        <w:t>Crossfit</w:t>
      </w:r>
      <w:proofErr w:type="spellEnd"/>
      <w:r w:rsidRPr="006B1A12">
        <w:t>, Inc.</w:t>
      </w:r>
      <w:r w:rsidRPr="006B1A12">
        <w:t xml:space="preserve"> </w:t>
      </w:r>
      <w:r w:rsidRPr="006B1A12">
        <w:t>v.</w:t>
      </w:r>
      <w:r w:rsidRPr="006B1A12">
        <w:t xml:space="preserve"> </w:t>
      </w:r>
      <w:r w:rsidRPr="006B1A12">
        <w:t>5280 Realty, Inc., 157 F.</w:t>
      </w:r>
      <w:r w:rsidRPr="006B1A12">
        <w:t xml:space="preserve"> </w:t>
      </w:r>
      <w:r w:rsidRPr="006B1A12">
        <w:t>Supp.</w:t>
      </w:r>
      <w:r w:rsidRPr="006B1A12">
        <w:t xml:space="preserve"> </w:t>
      </w:r>
      <w:r w:rsidRPr="006B1A12">
        <w:t>3d 954, 958 (D.</w:t>
      </w:r>
      <w:r w:rsidRPr="006B1A12">
        <w:t xml:space="preserve"> </w:t>
      </w:r>
      <w:r w:rsidRPr="006B1A12">
        <w:t>Colo.</w:t>
      </w:r>
      <w:r w:rsidRPr="006B1A12">
        <w:t xml:space="preserve"> </w:t>
      </w:r>
      <w:r w:rsidRPr="006B1A12">
        <w:t xml:space="preserve">2016) (finding </w:t>
      </w:r>
      <w:proofErr w:type="spellStart"/>
      <w:r w:rsidRPr="006B1A12">
        <w:t>Crossfit</w:t>
      </w:r>
      <w:proofErr w:type="spellEnd"/>
      <w:r w:rsidRPr="006B1A12">
        <w:t xml:space="preserve"> mark “distinctive and famous” but not appearing to use the TDRA standard for determining fame).</w:t>
      </w:r>
      <w:r w:rsidRPr="006B1A12">
        <w:t xml:space="preserve"> </w:t>
      </w:r>
      <w:r w:rsidRPr="006B1A12">
        <w:t>See generally Chapter 8 for a discussion of the determination of fame under the TDRA.</w:t>
      </w:r>
    </w:p>
    <w:p w14:paraId="2255A475" w14:textId="77777777" w:rsidR="006B1A12" w:rsidRPr="00E93F9C" w:rsidRDefault="006B1A12" w:rsidP="00C9757D">
      <w:pPr>
        <w:pStyle w:val="footnote"/>
        <w:tabs>
          <w:tab w:val="left" w:pos="-720"/>
          <w:tab w:val="left" w:pos="0"/>
          <w:tab w:val="left" w:pos="720"/>
          <w:tab w:val="left" w:pos="1440"/>
          <w:tab w:val="left" w:pos="2160"/>
          <w:tab w:val="left" w:pos="2880"/>
          <w:tab w:val="left" w:pos="3600"/>
          <w:tab w:val="left" w:pos="4320"/>
          <w:tab w:val="left" w:pos="5040"/>
          <w:tab w:val="left" w:pos="5760"/>
        </w:tabs>
        <w:rPr>
          <w:szCs w:val="20"/>
        </w:rPr>
      </w:pPr>
    </w:p>
  </w:footnote>
  <w:footnote w:id="94">
    <w:p w14:paraId="1651D957" w14:textId="6F32544A" w:rsidR="006B1A12" w:rsidRPr="00E93F9C" w:rsidRDefault="006B1A12" w:rsidP="006B1A12">
      <w:pPr>
        <w:pStyle w:val="FootnoteText"/>
      </w:pPr>
      <w:r w:rsidRPr="006B1A12">
        <w:rPr>
          <w:vertAlign w:val="superscript"/>
        </w:rPr>
        <w:footnoteRef/>
      </w:r>
      <w:r w:rsidRPr="006B1A12">
        <w:rPr>
          <w:i/>
        </w:rPr>
        <w:t>Volvo Trademark Holding</w:t>
      </w:r>
      <w:r w:rsidRPr="006B1A12">
        <w:t>, 703 F.</w:t>
      </w:r>
      <w:r w:rsidRPr="006B1A12">
        <w:t xml:space="preserve"> </w:t>
      </w:r>
      <w:r w:rsidRPr="006B1A12">
        <w:t>Supp.</w:t>
      </w:r>
      <w:r w:rsidRPr="006B1A12">
        <w:t xml:space="preserve"> </w:t>
      </w:r>
      <w:r w:rsidRPr="006B1A12">
        <w:t>2d at 568.</w:t>
      </w:r>
      <w:r w:rsidRPr="006B1A12">
        <w:t xml:space="preserve"> </w:t>
      </w:r>
      <w:r w:rsidRPr="006B1A12">
        <w:t>This was also an in rem proceeding, and it appears that the defendant did not respond to the plaintiff’s motion for summary judgment.</w:t>
      </w:r>
      <w:r w:rsidRPr="006B1A12">
        <w:t xml:space="preserve"> </w:t>
      </w:r>
      <w:r w:rsidRPr="006B1A12">
        <w:t xml:space="preserve">In </w:t>
      </w:r>
      <w:r w:rsidRPr="006B1A12">
        <w:rPr>
          <w:i/>
        </w:rPr>
        <w:t>Monex Deposit Co</w:t>
      </w:r>
      <w:r w:rsidRPr="006B1A12">
        <w:t>.</w:t>
      </w:r>
      <w:r w:rsidRPr="006B1A12">
        <w:t xml:space="preserve"> </w:t>
      </w:r>
      <w:r w:rsidRPr="006B1A12">
        <w:rPr>
          <w:i/>
        </w:rPr>
        <w:t>v</w:t>
      </w:r>
      <w:r w:rsidRPr="006B1A12">
        <w:t>.</w:t>
      </w:r>
      <w:r w:rsidRPr="006B1A12">
        <w:t xml:space="preserve"> </w:t>
      </w:r>
      <w:r w:rsidRPr="006B1A12">
        <w:rPr>
          <w:i/>
        </w:rPr>
        <w:t>Gilliam</w:t>
      </w:r>
      <w:r w:rsidRPr="006B1A12">
        <w:t>, 2010 U.S.</w:t>
      </w:r>
      <w:r w:rsidRPr="006B1A12">
        <w:t xml:space="preserve"> </w:t>
      </w:r>
      <w:r w:rsidRPr="006B1A12">
        <w:t>Dist.</w:t>
      </w:r>
      <w:r w:rsidRPr="006B1A12">
        <w:t xml:space="preserve"> </w:t>
      </w:r>
      <w:r w:rsidRPr="006B1A12">
        <w:t>LEXIS 65660 (C.D.</w:t>
      </w:r>
      <w:r w:rsidRPr="006B1A12">
        <w:t xml:space="preserve"> </w:t>
      </w:r>
      <w:r w:rsidRPr="006B1A12">
        <w:t>Cal.</w:t>
      </w:r>
      <w:r w:rsidRPr="006B1A12">
        <w:t xml:space="preserve"> </w:t>
      </w:r>
      <w:r w:rsidRPr="006B1A12">
        <w:t>June 1, 2010), the court found the mark Monex to be “famous and distinctive” and the website monexfraud.com to be dilutive of the Monex mark.</w:t>
      </w:r>
      <w:r w:rsidRPr="006B1A12">
        <w:t xml:space="preserve"> </w:t>
      </w:r>
      <w:r w:rsidRPr="006B1A12">
        <w:rPr>
          <w:i/>
        </w:rPr>
        <w:t>Id</w:t>
      </w:r>
      <w:r w:rsidRPr="006B1A12">
        <w:t>.</w:t>
      </w:r>
      <w:r w:rsidRPr="006B1A12">
        <w:t xml:space="preserve"> </w:t>
      </w:r>
      <w:r w:rsidRPr="006B1A12">
        <w:t>at *16.</w:t>
      </w:r>
      <w:r w:rsidRPr="006B1A12">
        <w:t xml:space="preserve"> </w:t>
      </w:r>
      <w:r w:rsidRPr="006B1A12">
        <w:t>However, although these findings were contained in the court’s Conclusions of Law, there were neither factual findings nor any legal discussion justifying these conclusions, and the court did not refer to the TDRA’s dilution standards.</w:t>
      </w:r>
      <w:r w:rsidRPr="006B1A12">
        <w:t xml:space="preserve"> </w:t>
      </w:r>
      <w:r w:rsidRPr="006B1A12">
        <w:t>This may reflect the fact that the judgment was entered by default.</w:t>
      </w:r>
      <w:r w:rsidRPr="006B1A12">
        <w:t xml:space="preserve"> </w:t>
      </w:r>
      <w:r w:rsidRPr="006B1A12">
        <w:t>Monex Deposit Co.</w:t>
      </w:r>
      <w:r w:rsidRPr="006B1A12">
        <w:t xml:space="preserve"> </w:t>
      </w:r>
      <w:r w:rsidRPr="006B1A12">
        <w:t>v.</w:t>
      </w:r>
      <w:r w:rsidRPr="006B1A12">
        <w:t xml:space="preserve"> </w:t>
      </w:r>
      <w:r w:rsidRPr="006B1A12">
        <w:t>Gilliam, 2010 WL 2380873, 2010 BL 387285 (C.D.</w:t>
      </w:r>
      <w:r w:rsidRPr="006B1A12">
        <w:t xml:space="preserve"> </w:t>
      </w:r>
      <w:r w:rsidRPr="006B1A12">
        <w:t>Cal.</w:t>
      </w:r>
      <w:r w:rsidRPr="006B1A12">
        <w:t xml:space="preserve"> </w:t>
      </w:r>
      <w:r w:rsidRPr="006B1A12">
        <w:t>May 24, 2010);</w:t>
      </w:r>
      <w:r w:rsidRPr="006B1A12">
        <w:t xml:space="preserve"> </w:t>
      </w:r>
      <w:r w:rsidRPr="006B1A12">
        <w:rPr>
          <w:i/>
        </w:rPr>
        <w:t>see</w:t>
      </w:r>
      <w:r w:rsidRPr="006B1A12">
        <w:t xml:space="preserve"> Monex Deposit Co.</w:t>
      </w:r>
      <w:r w:rsidRPr="006B1A12">
        <w:t xml:space="preserve"> </w:t>
      </w:r>
      <w:r w:rsidRPr="006B1A12">
        <w:t>v.</w:t>
      </w:r>
      <w:r w:rsidRPr="006B1A12">
        <w:t xml:space="preserve"> </w:t>
      </w:r>
      <w:r w:rsidRPr="006B1A12">
        <w:t>Gilliam, 680 F.</w:t>
      </w:r>
      <w:r w:rsidRPr="006B1A12">
        <w:t xml:space="preserve"> </w:t>
      </w:r>
      <w:r w:rsidRPr="006B1A12">
        <w:t>Supp.</w:t>
      </w:r>
      <w:r w:rsidRPr="006B1A12">
        <w:t xml:space="preserve"> </w:t>
      </w:r>
      <w:r w:rsidRPr="006B1A12">
        <w:t>2d 1148, 1164–65 (C.D.</w:t>
      </w:r>
      <w:r w:rsidRPr="006B1A12">
        <w:t xml:space="preserve"> </w:t>
      </w:r>
      <w:r w:rsidRPr="006B1A12">
        <w:t>Cal.</w:t>
      </w:r>
      <w:r w:rsidRPr="006B1A12">
        <w:t xml:space="preserve"> </w:t>
      </w:r>
      <w:r w:rsidRPr="006B1A12">
        <w:t>2010) (granting summary judgment on, inter alia, cybersquatting claims but without any reference to fame or dilution).</w:t>
      </w:r>
    </w:p>
  </w:footnote>
  <w:footnote w:id="95">
    <w:p w14:paraId="1D8025B8" w14:textId="78D88E92" w:rsidR="006B1A12" w:rsidRPr="006B1A12" w:rsidRDefault="006B1A12" w:rsidP="006B1A12">
      <w:pPr>
        <w:pStyle w:val="FootnoteText"/>
      </w:pPr>
      <w:r w:rsidRPr="006B1A12">
        <w:rPr>
          <w:vertAlign w:val="superscript"/>
        </w:rPr>
        <w:footnoteRef/>
      </w:r>
      <w:r w:rsidRPr="006B1A12">
        <w:t xml:space="preserve">In </w:t>
      </w:r>
      <w:r w:rsidRPr="006B1A12">
        <w:rPr>
          <w:i/>
        </w:rPr>
        <w:t>Victoria’s Cyber Secret</w:t>
      </w:r>
      <w:r w:rsidRPr="006B1A12">
        <w:t>, the court relied largely on the existence of a nationwide chain of stores, large distribution of catalogs, volume of sales, and large advertising expenditures.</w:t>
      </w:r>
      <w:r w:rsidRPr="006B1A12">
        <w:t xml:space="preserve"> </w:t>
      </w:r>
      <w:r w:rsidRPr="006B1A12">
        <w:t>161 F.</w:t>
      </w:r>
      <w:r w:rsidRPr="006B1A12">
        <w:t xml:space="preserve"> </w:t>
      </w:r>
      <w:r w:rsidRPr="006B1A12">
        <w:t>Supp.</w:t>
      </w:r>
      <w:r w:rsidRPr="006B1A12">
        <w:t xml:space="preserve"> </w:t>
      </w:r>
      <w:r w:rsidRPr="006B1A12">
        <w:t>2d at 1350.</w:t>
      </w:r>
      <w:r w:rsidRPr="006B1A12">
        <w:t xml:space="preserve"> </w:t>
      </w:r>
      <w:r w:rsidRPr="006B1A12">
        <w:t>Although not as extensive an analysis as some courts have used, the issue of the fame of the Victoria’s Secret mark is not as close a question as with many other marks.</w:t>
      </w:r>
    </w:p>
    <w:p w14:paraId="5833D870" w14:textId="77777777" w:rsidR="006B1A12" w:rsidRPr="00E93F9C" w:rsidRDefault="006B1A12" w:rsidP="00C9757D">
      <w:pPr>
        <w:pStyle w:val="footnote"/>
        <w:tabs>
          <w:tab w:val="left" w:pos="-720"/>
          <w:tab w:val="left" w:pos="0"/>
          <w:tab w:val="left" w:pos="720"/>
          <w:tab w:val="left" w:pos="1440"/>
          <w:tab w:val="left" w:pos="2160"/>
          <w:tab w:val="left" w:pos="2880"/>
          <w:tab w:val="left" w:pos="3600"/>
          <w:tab w:val="left" w:pos="4320"/>
          <w:tab w:val="left" w:pos="5040"/>
          <w:tab w:val="left" w:pos="5760"/>
        </w:tabs>
        <w:rPr>
          <w:szCs w:val="20"/>
        </w:rPr>
      </w:pPr>
    </w:p>
  </w:footnote>
  <w:footnote w:id="96">
    <w:p w14:paraId="65405385" w14:textId="22AC5D41" w:rsidR="006B1A12" w:rsidRPr="00E93F9C" w:rsidRDefault="006B1A12" w:rsidP="006B1A12">
      <w:pPr>
        <w:pStyle w:val="FootnoteText"/>
      </w:pPr>
      <w:r w:rsidRPr="006B1A12">
        <w:rPr>
          <w:vertAlign w:val="superscript"/>
        </w:rPr>
        <w:footnoteRef/>
      </w:r>
      <w:r w:rsidRPr="006B1A12">
        <w:t>Lanham Act §43(c)(2)(B), (C), 15 U.S.C.</w:t>
      </w:r>
      <w:r w:rsidRPr="006B1A12">
        <w:t xml:space="preserve"> </w:t>
      </w:r>
      <w:r w:rsidRPr="006B1A12">
        <w:t>§1125(c)(2)(B), (C).</w:t>
      </w:r>
    </w:p>
  </w:footnote>
  <w:footnote w:id="97">
    <w:p w14:paraId="3825E1A8" w14:textId="26E26243" w:rsidR="006B1A12" w:rsidRPr="00E93F9C" w:rsidRDefault="006B1A12" w:rsidP="006B1A12">
      <w:pPr>
        <w:pStyle w:val="FootnoteText"/>
      </w:pPr>
      <w:r w:rsidRPr="006B1A12">
        <w:rPr>
          <w:vertAlign w:val="superscript"/>
        </w:rPr>
        <w:footnoteRef/>
      </w:r>
      <w:r w:rsidRPr="006B1A12">
        <w:t>106 F.</w:t>
      </w:r>
      <w:r w:rsidRPr="006B1A12">
        <w:t xml:space="preserve"> </w:t>
      </w:r>
      <w:r w:rsidRPr="006B1A12">
        <w:t>Supp.</w:t>
      </w:r>
      <w:r w:rsidRPr="006B1A12">
        <w:t xml:space="preserve"> </w:t>
      </w:r>
      <w:r w:rsidRPr="006B1A12">
        <w:t>2d 845, 54 USPQ2d 1126 (E.D.</w:t>
      </w:r>
      <w:r w:rsidRPr="006B1A12">
        <w:t xml:space="preserve"> </w:t>
      </w:r>
      <w:r w:rsidRPr="006B1A12">
        <w:t>Va.</w:t>
      </w:r>
      <w:r w:rsidRPr="006B1A12">
        <w:t xml:space="preserve"> </w:t>
      </w:r>
      <w:r w:rsidRPr="006B1A12">
        <w:t xml:space="preserve">2000), </w:t>
      </w:r>
      <w:r w:rsidRPr="006B1A12">
        <w:rPr>
          <w:i/>
        </w:rPr>
        <w:t>aff’d</w:t>
      </w:r>
      <w:r w:rsidRPr="006B1A12">
        <w:t>, 238 F.3d 264, 57 USPQ2d 1547 (4th Cir.</w:t>
      </w:r>
      <w:r w:rsidRPr="006B1A12">
        <w:t xml:space="preserve"> </w:t>
      </w:r>
      <w:r w:rsidRPr="006B1A12">
        <w:t>2001).</w:t>
      </w:r>
    </w:p>
  </w:footnote>
  <w:footnote w:id="98">
    <w:p w14:paraId="7ACE2C19" w14:textId="55E07B7B"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847–48.</w:t>
      </w:r>
    </w:p>
  </w:footnote>
  <w:footnote w:id="99">
    <w:p w14:paraId="7B166252" w14:textId="08AAB0EE"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847.</w:t>
      </w:r>
      <w:r w:rsidRPr="006B1A12">
        <w:t xml:space="preserve"> </w:t>
      </w:r>
      <w:r w:rsidRPr="006B1A12">
        <w:rPr>
          <w:i/>
        </w:rPr>
        <w:t>See</w:t>
      </w:r>
      <w:r w:rsidRPr="006B1A12">
        <w:t xml:space="preserve"> Chapter 9, §II.H.</w:t>
      </w:r>
    </w:p>
  </w:footnote>
  <w:footnote w:id="100">
    <w:p w14:paraId="7A61777C" w14:textId="177EE9EA" w:rsidR="006B1A12" w:rsidRPr="00E93F9C" w:rsidRDefault="006B1A12" w:rsidP="006B1A12">
      <w:pPr>
        <w:pStyle w:val="FootnoteText"/>
      </w:pPr>
      <w:r w:rsidRPr="006B1A12">
        <w:rPr>
          <w:vertAlign w:val="superscript"/>
        </w:rPr>
        <w:footnoteRef/>
      </w:r>
      <w:r w:rsidRPr="006B1A12">
        <w:t>Fourth Circuit precedent under the original FTDA required a showing of actual harm in a federal dilution case.</w:t>
      </w:r>
      <w:r w:rsidRPr="006B1A12">
        <w:t xml:space="preserve"> </w:t>
      </w:r>
      <w:r w:rsidRPr="006B1A12">
        <w:t>Ringling Bros.-Barnum &amp; Bailey Combined Shows, Inc.</w:t>
      </w:r>
      <w:r w:rsidRPr="006B1A12">
        <w:t xml:space="preserve"> </w:t>
      </w:r>
      <w:r w:rsidRPr="006B1A12">
        <w:t>v.</w:t>
      </w:r>
      <w:r w:rsidRPr="006B1A12">
        <w:t xml:space="preserve"> </w:t>
      </w:r>
      <w:r w:rsidRPr="006B1A12">
        <w:t>Utah Div.</w:t>
      </w:r>
      <w:r w:rsidRPr="006B1A12">
        <w:t xml:space="preserve"> </w:t>
      </w:r>
      <w:r w:rsidRPr="006B1A12">
        <w:t xml:space="preserve">of Travel Dev., 170 F.3d 449, 458, 50 USPQ2d 1065 (4th Cir.), </w:t>
      </w:r>
      <w:r w:rsidRPr="006B1A12">
        <w:rPr>
          <w:i/>
        </w:rPr>
        <w:t>cert</w:t>
      </w:r>
      <w:r w:rsidRPr="006B1A12">
        <w:t>.</w:t>
      </w:r>
      <w:r w:rsidRPr="006B1A12">
        <w:t xml:space="preserve"> </w:t>
      </w:r>
      <w:r w:rsidRPr="006B1A12">
        <w:rPr>
          <w:i/>
        </w:rPr>
        <w:t>denied</w:t>
      </w:r>
      <w:r w:rsidRPr="006B1A12">
        <w:t>, 528 U.S.</w:t>
      </w:r>
      <w:r w:rsidRPr="006B1A12">
        <w:t xml:space="preserve"> </w:t>
      </w:r>
      <w:r w:rsidRPr="006B1A12">
        <w:t>923 (1999).</w:t>
      </w:r>
      <w:r w:rsidRPr="006B1A12">
        <w:t xml:space="preserve"> </w:t>
      </w:r>
      <w:r w:rsidRPr="006B1A12">
        <w:rPr>
          <w:i/>
        </w:rPr>
        <w:t>See</w:t>
      </w:r>
      <w:r w:rsidRPr="006B1A12">
        <w:t xml:space="preserve"> Chapter 9, §II.C.3.</w:t>
      </w:r>
      <w:r w:rsidRPr="006B1A12">
        <w:t xml:space="preserve"> </w:t>
      </w:r>
      <w:r w:rsidRPr="006B1A12">
        <w:t xml:space="preserve">The court in the </w:t>
      </w:r>
      <w:r w:rsidRPr="006B1A12">
        <w:rPr>
          <w:i/>
        </w:rPr>
        <w:t>Virtual Works</w:t>
      </w:r>
      <w:r w:rsidRPr="006B1A12">
        <w:t xml:space="preserve"> opinion acknowledged that requirement by finding that the defendant suffered “economic harm as a result of use of the domain name vw.net and as a result of this dilution by [the plaintiff].” 106 F.</w:t>
      </w:r>
      <w:r w:rsidRPr="006B1A12">
        <w:t xml:space="preserve"> </w:t>
      </w:r>
      <w:r w:rsidRPr="006B1A12">
        <w:t>Supp.</w:t>
      </w:r>
      <w:r w:rsidRPr="006B1A12">
        <w:t xml:space="preserve"> </w:t>
      </w:r>
      <w:r w:rsidRPr="006B1A12">
        <w:t>2d at 848.</w:t>
      </w:r>
      <w:r w:rsidRPr="006B1A12">
        <w:t xml:space="preserve"> </w:t>
      </w:r>
      <w:r w:rsidRPr="006B1A12">
        <w:t>It is uncertain whether this was an appropriate application of the Fourth Circuit’s standard or whether it reflected a different, less stringent standard for ACPA cases.</w:t>
      </w:r>
      <w:r w:rsidRPr="006B1A12">
        <w:t xml:space="preserve"> </w:t>
      </w:r>
      <w:r w:rsidRPr="006B1A12">
        <w:t xml:space="preserve">On appeal in </w:t>
      </w:r>
      <w:r w:rsidRPr="006B1A12">
        <w:rPr>
          <w:i/>
        </w:rPr>
        <w:t>Virtual Works</w:t>
      </w:r>
      <w:r w:rsidRPr="006B1A12">
        <w:t>, the Fourth Circuit did not answer this question, finding it unnecessary to address dilution because it found the domain name to be “confusingly similar” to the famous VW mark.</w:t>
      </w:r>
      <w:r w:rsidRPr="006B1A12">
        <w:t xml:space="preserve"> </w:t>
      </w:r>
      <w:r w:rsidRPr="006B1A12">
        <w:t>238 F.3d at 271;</w:t>
      </w:r>
      <w:r w:rsidRPr="006B1A12">
        <w:t xml:space="preserve"> </w:t>
      </w:r>
      <w:r w:rsidRPr="006B1A12">
        <w:rPr>
          <w:i/>
        </w:rPr>
        <w:t>cf</w:t>
      </w:r>
      <w:r w:rsidRPr="006B1A12">
        <w:t>.</w:t>
      </w:r>
      <w:r w:rsidRPr="006B1A12">
        <w:t xml:space="preserve"> </w:t>
      </w:r>
      <w:r w:rsidRPr="006B1A12">
        <w:t>Cable News Network, L.P.</w:t>
      </w:r>
      <w:r w:rsidRPr="006B1A12">
        <w:t xml:space="preserve"> </w:t>
      </w:r>
      <w:r w:rsidRPr="006B1A12">
        <w:t>v.</w:t>
      </w:r>
      <w:r w:rsidRPr="006B1A12">
        <w:t xml:space="preserve"> </w:t>
      </w:r>
      <w:r w:rsidRPr="006B1A12">
        <w:t>cnnews.com, 177 F.</w:t>
      </w:r>
      <w:r w:rsidRPr="006B1A12">
        <w:t xml:space="preserve"> </w:t>
      </w:r>
      <w:r w:rsidRPr="006B1A12">
        <w:t>Supp.</w:t>
      </w:r>
      <w:r w:rsidRPr="006B1A12">
        <w:t xml:space="preserve"> </w:t>
      </w:r>
      <w:r w:rsidRPr="006B1A12">
        <w:t>2d 506, 61 USPQ2d 1331 (E.D.</w:t>
      </w:r>
      <w:r w:rsidRPr="006B1A12">
        <w:t xml:space="preserve"> </w:t>
      </w:r>
      <w:r w:rsidRPr="006B1A12">
        <w:t>Va.</w:t>
      </w:r>
      <w:r w:rsidRPr="006B1A12">
        <w:t xml:space="preserve"> </w:t>
      </w:r>
      <w:r w:rsidRPr="006B1A12">
        <w:t xml:space="preserve">2001) (finding likelihood of confusion and therefore a violation of ACPA, but rejecting dilution claim due to lack of evidence of actual harm), </w:t>
      </w:r>
      <w:r w:rsidRPr="006B1A12">
        <w:rPr>
          <w:i/>
        </w:rPr>
        <w:t>aff’d in part, vacated in part on other grounds</w:t>
      </w:r>
      <w:r w:rsidRPr="006B1A12">
        <w:t>, 56 F.</w:t>
      </w:r>
      <w:r w:rsidRPr="006B1A12">
        <w:t xml:space="preserve"> </w:t>
      </w:r>
      <w:proofErr w:type="spellStart"/>
      <w:r w:rsidRPr="006B1A12">
        <w:t>App’x</w:t>
      </w:r>
      <w:proofErr w:type="spellEnd"/>
      <w:r w:rsidRPr="006B1A12">
        <w:t xml:space="preserve"> 599, 66 USPQ2d 1057 (4th Cir.</w:t>
      </w:r>
      <w:r w:rsidRPr="006B1A12">
        <w:t xml:space="preserve"> </w:t>
      </w:r>
      <w:r w:rsidRPr="006B1A12">
        <w:t>2003) (unpublished opinion).</w:t>
      </w:r>
    </w:p>
  </w:footnote>
  <w:footnote w:id="101">
    <w:p w14:paraId="16ECEB71" w14:textId="27D57751" w:rsidR="006B1A12" w:rsidRPr="00E93F9C" w:rsidRDefault="006B1A12" w:rsidP="006B1A12">
      <w:pPr>
        <w:pStyle w:val="FootnoteText"/>
      </w:pPr>
      <w:r w:rsidRPr="006B1A12">
        <w:rPr>
          <w:vertAlign w:val="superscript"/>
        </w:rPr>
        <w:footnoteRef/>
      </w:r>
      <w:r w:rsidRPr="006B1A12">
        <w:t>See Chapter 9 for a discussion of this issue.</w:t>
      </w:r>
    </w:p>
  </w:footnote>
  <w:footnote w:id="102">
    <w:p w14:paraId="775F3A26" w14:textId="66EC1AEB" w:rsidR="006B1A12" w:rsidRPr="006B1A12" w:rsidRDefault="006B1A12" w:rsidP="006B1A12">
      <w:pPr>
        <w:pStyle w:val="FootnoteText"/>
      </w:pPr>
      <w:r w:rsidRPr="006B1A12">
        <w:rPr>
          <w:vertAlign w:val="superscript"/>
        </w:rPr>
        <w:footnoteRef/>
      </w:r>
      <w:r w:rsidRPr="006B1A12">
        <w:t>Domain Vault, LLC v.</w:t>
      </w:r>
      <w:r w:rsidRPr="006B1A12">
        <w:t xml:space="preserve"> </w:t>
      </w:r>
      <w:r w:rsidRPr="006B1A12">
        <w:t>Bush, 2015 U.S.</w:t>
      </w:r>
      <w:r w:rsidRPr="006B1A12">
        <w:t xml:space="preserve"> </w:t>
      </w:r>
      <w:r w:rsidRPr="006B1A12">
        <w:t>Dist.</w:t>
      </w:r>
      <w:r w:rsidRPr="006B1A12">
        <w:t xml:space="preserve"> </w:t>
      </w:r>
      <w:r w:rsidRPr="006B1A12">
        <w:t>LEXIS 45979, at *23 (D.</w:t>
      </w:r>
      <w:r w:rsidRPr="006B1A12">
        <w:t xml:space="preserve"> </w:t>
      </w:r>
      <w:r w:rsidRPr="006B1A12">
        <w:t>Colo.</w:t>
      </w:r>
      <w:r w:rsidRPr="006B1A12">
        <w:t xml:space="preserve"> </w:t>
      </w:r>
      <w:r w:rsidRPr="006B1A12">
        <w:t>Apr.</w:t>
      </w:r>
      <w:r w:rsidRPr="006B1A12">
        <w:t xml:space="preserve"> </w:t>
      </w:r>
      <w:r w:rsidRPr="006B1A12">
        <w:t>8, 2015).</w:t>
      </w:r>
    </w:p>
    <w:p w14:paraId="1B46BFAA" w14:textId="77777777" w:rsidR="006B1A12" w:rsidRDefault="006B1A12" w:rsidP="005B17AF">
      <w:pPr>
        <w:pStyle w:val="footnote"/>
      </w:pPr>
    </w:p>
  </w:footnote>
  <w:footnote w:id="103">
    <w:p w14:paraId="164F461E" w14:textId="52733A0D" w:rsidR="006B1A12" w:rsidRPr="006B1A12" w:rsidRDefault="006B1A12" w:rsidP="006B1A12">
      <w:pPr>
        <w:pStyle w:val="FootnoteText"/>
      </w:pPr>
      <w:r w:rsidRPr="006B1A12">
        <w:rPr>
          <w:vertAlign w:val="superscript"/>
        </w:rPr>
        <w:footnoteRef/>
      </w:r>
      <w:r w:rsidRPr="006B1A12">
        <w:t xml:space="preserve">Academy of Motion Picture Arts &amp; </w:t>
      </w:r>
      <w:proofErr w:type="spellStart"/>
      <w:r w:rsidRPr="006B1A12">
        <w:t>Scis</w:t>
      </w:r>
      <w:proofErr w:type="spellEnd"/>
      <w:r w:rsidRPr="006B1A12">
        <w:t>.</w:t>
      </w:r>
      <w:r w:rsidRPr="006B1A12">
        <w:t xml:space="preserve"> </w:t>
      </w:r>
      <w:r w:rsidRPr="006B1A12">
        <w:t>v.</w:t>
      </w:r>
      <w:r w:rsidRPr="006B1A12">
        <w:t xml:space="preserve"> </w:t>
      </w:r>
      <w:r w:rsidRPr="006B1A12">
        <w:t>GoDaddy.com, Inc., 2013 WL 12122689, at *11, 2013 BL 171132 (C.D.</w:t>
      </w:r>
      <w:r w:rsidRPr="006B1A12">
        <w:t xml:space="preserve"> </w:t>
      </w:r>
      <w:r w:rsidRPr="006B1A12">
        <w:t>Cal.</w:t>
      </w:r>
      <w:r w:rsidRPr="006B1A12">
        <w:t xml:space="preserve"> </w:t>
      </w:r>
      <w:r w:rsidRPr="006B1A12">
        <w:t>June 21, 2013).</w:t>
      </w:r>
    </w:p>
    <w:p w14:paraId="7A41B67A" w14:textId="77777777" w:rsidR="006B1A12" w:rsidRDefault="006B1A12" w:rsidP="00071FCC">
      <w:pPr>
        <w:pStyle w:val="footnote"/>
      </w:pPr>
    </w:p>
  </w:footnote>
  <w:footnote w:id="104">
    <w:p w14:paraId="678CE664" w14:textId="76F6905F" w:rsidR="006B1A12" w:rsidRPr="006B1A12" w:rsidRDefault="006B1A12" w:rsidP="006B1A12">
      <w:pPr>
        <w:pStyle w:val="FootnoteText"/>
      </w:pPr>
      <w:r w:rsidRPr="006B1A12">
        <w:rPr>
          <w:vertAlign w:val="superscript"/>
        </w:rPr>
        <w:footnoteRef/>
      </w:r>
      <w:proofErr w:type="spellStart"/>
      <w:r w:rsidRPr="006B1A12">
        <w:t>ISystems</w:t>
      </w:r>
      <w:proofErr w:type="spellEnd"/>
      <w:r w:rsidRPr="006B1A12">
        <w:t xml:space="preserve"> v.</w:t>
      </w:r>
      <w:r w:rsidRPr="006B1A12">
        <w:t xml:space="preserve"> </w:t>
      </w:r>
      <w:r w:rsidRPr="006B1A12">
        <w:t>Spark Networks, Ltd., 2012 WL 3101672, at *2, 2012 BL 469067 (5th Cir.</w:t>
      </w:r>
      <w:r w:rsidRPr="006B1A12">
        <w:t xml:space="preserve"> </w:t>
      </w:r>
      <w:r w:rsidRPr="006B1A12">
        <w:t>Mar.</w:t>
      </w:r>
      <w:r w:rsidRPr="006B1A12">
        <w:t xml:space="preserve"> </w:t>
      </w:r>
      <w:r w:rsidRPr="006B1A12">
        <w:t>21, 2012) (unpublished).</w:t>
      </w:r>
    </w:p>
    <w:p w14:paraId="236F7F85" w14:textId="77777777" w:rsidR="006B1A12" w:rsidRDefault="006B1A12" w:rsidP="000D47C8">
      <w:pPr>
        <w:pStyle w:val="footnote"/>
      </w:pPr>
    </w:p>
  </w:footnote>
  <w:footnote w:id="105">
    <w:p w14:paraId="1FD916BD" w14:textId="7AE081AF" w:rsidR="006B1A12" w:rsidRPr="006B1A12" w:rsidRDefault="006B1A12" w:rsidP="006B1A12">
      <w:pPr>
        <w:pStyle w:val="FootnoteText"/>
      </w:pPr>
      <w:r w:rsidRPr="006B1A12">
        <w:rPr>
          <w:vertAlign w:val="superscript"/>
        </w:rPr>
        <w:footnoteRef/>
      </w:r>
      <w:r w:rsidRPr="006B1A12">
        <w:rPr>
          <w:i/>
        </w:rPr>
        <w:t>Id</w:t>
      </w:r>
      <w:r w:rsidRPr="006B1A12">
        <w:t>.</w:t>
      </w:r>
    </w:p>
    <w:p w14:paraId="664A19B7" w14:textId="77777777" w:rsidR="006B1A12" w:rsidRDefault="006B1A12" w:rsidP="005B17AF">
      <w:pPr>
        <w:pStyle w:val="footnote"/>
      </w:pPr>
    </w:p>
  </w:footnote>
  <w:footnote w:id="106">
    <w:p w14:paraId="21B24506" w14:textId="11DC01F3" w:rsidR="006B1A12" w:rsidRPr="006B1A12" w:rsidRDefault="006B1A12" w:rsidP="006B1A12">
      <w:pPr>
        <w:pStyle w:val="FootnoteText"/>
      </w:pPr>
      <w:r w:rsidRPr="006B1A12">
        <w:rPr>
          <w:vertAlign w:val="superscript"/>
        </w:rPr>
        <w:footnoteRef/>
      </w:r>
      <w:r w:rsidRPr="006B1A12">
        <w:rPr>
          <w:i/>
        </w:rPr>
        <w:t>Domain Vault</w:t>
      </w:r>
      <w:r w:rsidRPr="006B1A12">
        <w:t>, 2015 U.S.</w:t>
      </w:r>
      <w:r w:rsidRPr="006B1A12">
        <w:t xml:space="preserve"> </w:t>
      </w:r>
      <w:r w:rsidRPr="006B1A12">
        <w:t>Dist.</w:t>
      </w:r>
      <w:r w:rsidRPr="006B1A12">
        <w:t xml:space="preserve"> </w:t>
      </w:r>
      <w:r w:rsidRPr="006B1A12">
        <w:t>LEXIS 45979, at *20–21.</w:t>
      </w:r>
    </w:p>
    <w:p w14:paraId="4F0EBC6A" w14:textId="77777777" w:rsidR="006B1A12" w:rsidRDefault="006B1A12" w:rsidP="005B17AF">
      <w:pPr>
        <w:pStyle w:val="footnote"/>
      </w:pPr>
    </w:p>
  </w:footnote>
  <w:footnote w:id="107">
    <w:p w14:paraId="38B16105" w14:textId="404385FE" w:rsidR="006B1A12" w:rsidRPr="00E93F9C" w:rsidRDefault="006B1A12" w:rsidP="006B1A12">
      <w:pPr>
        <w:pStyle w:val="FootnoteText"/>
      </w:pPr>
      <w:r w:rsidRPr="006B1A12">
        <w:rPr>
          <w:vertAlign w:val="superscript"/>
        </w:rPr>
        <w:footnoteRef/>
      </w:r>
      <w:r w:rsidRPr="006B1A12">
        <w:t>Continental Airlines, Inc.</w:t>
      </w:r>
      <w:r w:rsidRPr="006B1A12">
        <w:t xml:space="preserve"> </w:t>
      </w:r>
      <w:r w:rsidRPr="006B1A12">
        <w:t>v.</w:t>
      </w:r>
      <w:r w:rsidRPr="006B1A12">
        <w:t xml:space="preserve"> </w:t>
      </w:r>
      <w:r w:rsidRPr="006B1A12">
        <w:t>Continentalair.com, 2009 U.S.</w:t>
      </w:r>
      <w:r w:rsidRPr="006B1A12">
        <w:t xml:space="preserve"> </w:t>
      </w:r>
      <w:r w:rsidRPr="006B1A12">
        <w:t>Dist.</w:t>
      </w:r>
      <w:r w:rsidRPr="006B1A12">
        <w:t xml:space="preserve"> </w:t>
      </w:r>
      <w:r w:rsidRPr="006B1A12">
        <w:t>LEXIS 117850, at *18–20 (E.D.</w:t>
      </w:r>
      <w:r w:rsidRPr="006B1A12">
        <w:t xml:space="preserve"> </w:t>
      </w:r>
      <w:r w:rsidRPr="006B1A12">
        <w:t>Va.</w:t>
      </w:r>
      <w:r w:rsidRPr="006B1A12">
        <w:t xml:space="preserve"> </w:t>
      </w:r>
      <w:r w:rsidRPr="006B1A12">
        <w:t>Nov.</w:t>
      </w:r>
      <w:r w:rsidRPr="006B1A12">
        <w:t xml:space="preserve"> </w:t>
      </w:r>
      <w:r w:rsidRPr="006B1A12">
        <w:t xml:space="preserve">3, 2009) (magistrate judge opinion), </w:t>
      </w:r>
      <w:r w:rsidRPr="006B1A12">
        <w:rPr>
          <w:i/>
        </w:rPr>
        <w:t>adopted by</w:t>
      </w:r>
      <w:r w:rsidRPr="006B1A12">
        <w:t xml:space="preserve"> 2009 U.S.</w:t>
      </w:r>
      <w:r w:rsidRPr="006B1A12">
        <w:t xml:space="preserve"> </w:t>
      </w:r>
      <w:r w:rsidRPr="006B1A12">
        <w:t>Dist.</w:t>
      </w:r>
      <w:r w:rsidRPr="006B1A12">
        <w:t xml:space="preserve"> </w:t>
      </w:r>
      <w:r w:rsidRPr="006B1A12">
        <w:t>LEXIS 117461 (E.D.</w:t>
      </w:r>
      <w:r w:rsidRPr="006B1A12">
        <w:t xml:space="preserve"> </w:t>
      </w:r>
      <w:r w:rsidRPr="006B1A12">
        <w:t>Va.</w:t>
      </w:r>
      <w:r w:rsidRPr="006B1A12">
        <w:t xml:space="preserve"> </w:t>
      </w:r>
      <w:r w:rsidRPr="006B1A12">
        <w:t>Dec.</w:t>
      </w:r>
      <w:r w:rsidRPr="006B1A12">
        <w:t xml:space="preserve"> </w:t>
      </w:r>
      <w:r w:rsidRPr="006B1A12">
        <w:t>17, 2009).</w:t>
      </w:r>
    </w:p>
  </w:footnote>
  <w:footnote w:id="108">
    <w:p w14:paraId="408C7E22" w14:textId="772F67DB" w:rsidR="006B1A12" w:rsidRPr="00E93F9C" w:rsidRDefault="006B1A12" w:rsidP="006B1A12">
      <w:pPr>
        <w:pStyle w:val="FootnoteText"/>
      </w:pPr>
      <w:r w:rsidRPr="006B1A12">
        <w:rPr>
          <w:vertAlign w:val="superscript"/>
        </w:rPr>
        <w:footnoteRef/>
      </w:r>
      <w:r w:rsidRPr="006B1A12">
        <w:rPr>
          <w:i/>
        </w:rPr>
        <w:t>But cf</w:t>
      </w:r>
      <w:r w:rsidRPr="006B1A12">
        <w:t>.</w:t>
      </w:r>
      <w:r w:rsidRPr="006B1A12">
        <w:t xml:space="preserve"> </w:t>
      </w:r>
      <w:r w:rsidRPr="006B1A12">
        <w:t>Victoria’s Cyber Secret Ltd.</w:t>
      </w:r>
      <w:r w:rsidRPr="006B1A12">
        <w:t xml:space="preserve"> </w:t>
      </w:r>
      <w:proofErr w:type="spellStart"/>
      <w:r w:rsidRPr="006B1A12">
        <w:t>P’ship</w:t>
      </w:r>
      <w:proofErr w:type="spellEnd"/>
      <w:r w:rsidRPr="006B1A12">
        <w:t xml:space="preserve"> v.</w:t>
      </w:r>
      <w:r w:rsidRPr="006B1A12">
        <w:t xml:space="preserve"> </w:t>
      </w:r>
      <w:r w:rsidRPr="006B1A12">
        <w:t>V Secret Catalogue, Inc., 161 F.</w:t>
      </w:r>
      <w:r w:rsidRPr="006B1A12">
        <w:t xml:space="preserve"> </w:t>
      </w:r>
      <w:r w:rsidRPr="006B1A12">
        <w:t>Supp.</w:t>
      </w:r>
      <w:r w:rsidRPr="006B1A12">
        <w:t xml:space="preserve"> </w:t>
      </w:r>
      <w:r w:rsidRPr="006B1A12">
        <w:t>2d 1339, 1353 (S.D.</w:t>
      </w:r>
      <w:r w:rsidRPr="006B1A12">
        <w:t xml:space="preserve"> </w:t>
      </w:r>
      <w:r w:rsidRPr="006B1A12">
        <w:t>Fla.</w:t>
      </w:r>
      <w:r w:rsidRPr="006B1A12">
        <w:t xml:space="preserve"> </w:t>
      </w:r>
      <w:r w:rsidRPr="006B1A12">
        <w:t xml:space="preserve">2001) (after finding ACPA violation based on a bad faith intent to profit from a domain name that was confusingly </w:t>
      </w:r>
      <w:proofErr w:type="gramStart"/>
      <w:r w:rsidRPr="006B1A12">
        <w:t>similar to</w:t>
      </w:r>
      <w:proofErr w:type="gramEnd"/>
      <w:r w:rsidRPr="006B1A12">
        <w:t xml:space="preserve"> a famous mark, court separately found a violation of the FTDA).</w:t>
      </w:r>
      <w:r w:rsidRPr="006B1A12">
        <w:t xml:space="preserve"> </w:t>
      </w:r>
      <w:r w:rsidRPr="006B1A12">
        <w:t>In Her, Inc.</w:t>
      </w:r>
      <w:r w:rsidRPr="006B1A12">
        <w:t xml:space="preserve"> </w:t>
      </w:r>
      <w:r w:rsidRPr="006B1A12">
        <w:t>v.</w:t>
      </w:r>
      <w:r w:rsidRPr="006B1A12">
        <w:t xml:space="preserve"> </w:t>
      </w:r>
      <w:r w:rsidRPr="006B1A12">
        <w:t>RE/MAX First Choice, LLC, 2008 U.S.</w:t>
      </w:r>
      <w:r w:rsidRPr="006B1A12">
        <w:t xml:space="preserve"> </w:t>
      </w:r>
      <w:r w:rsidRPr="006B1A12">
        <w:t>Dist.</w:t>
      </w:r>
      <w:r w:rsidRPr="006B1A12">
        <w:t xml:space="preserve"> </w:t>
      </w:r>
      <w:r w:rsidRPr="006B1A12">
        <w:t>LEXIS 40164 (S.D.</w:t>
      </w:r>
      <w:r w:rsidRPr="006B1A12">
        <w:t xml:space="preserve"> </w:t>
      </w:r>
      <w:r w:rsidRPr="006B1A12">
        <w:t>Ohio May 2, 2008), the court stated that the domain name in question was both “confusingly similar” and “dilutive” of the plaintiff’s trademark.</w:t>
      </w:r>
      <w:r w:rsidRPr="006B1A12">
        <w:t xml:space="preserve"> </w:t>
      </w:r>
      <w:r w:rsidRPr="006B1A12">
        <w:rPr>
          <w:i/>
        </w:rPr>
        <w:t>Id</w:t>
      </w:r>
      <w:r w:rsidRPr="006B1A12">
        <w:t>.</w:t>
      </w:r>
      <w:r w:rsidRPr="006B1A12">
        <w:t xml:space="preserve"> </w:t>
      </w:r>
      <w:r w:rsidRPr="006B1A12">
        <w:t>at *14.</w:t>
      </w:r>
      <w:r w:rsidRPr="006B1A12">
        <w:t xml:space="preserve"> </w:t>
      </w:r>
      <w:r w:rsidRPr="006B1A12">
        <w:t>However, the court never made any finding that the trademark was famous (and, assuming “famous” now incorporates the TDRA definition, that would have been unlikely).</w:t>
      </w:r>
      <w:r w:rsidRPr="006B1A12">
        <w:t xml:space="preserve"> </w:t>
      </w:r>
      <w:r w:rsidRPr="006B1A12">
        <w:t>Thus, the court’s determination that dilution existed and its subsequent injunction against dilution appear to have been improper.</w:t>
      </w:r>
      <w:r w:rsidRPr="006B1A12">
        <w:t xml:space="preserve"> </w:t>
      </w:r>
      <w:r w:rsidRPr="006B1A12">
        <w:rPr>
          <w:i/>
        </w:rPr>
        <w:t>See</w:t>
      </w:r>
      <w:r w:rsidRPr="006B1A12">
        <w:t xml:space="preserve"> Monex Deposit Co.</w:t>
      </w:r>
      <w:r w:rsidRPr="006B1A12">
        <w:t xml:space="preserve"> </w:t>
      </w:r>
      <w:r w:rsidRPr="006B1A12">
        <w:t>v.</w:t>
      </w:r>
      <w:r w:rsidRPr="006B1A12">
        <w:t xml:space="preserve"> </w:t>
      </w:r>
      <w:r w:rsidRPr="006B1A12">
        <w:t>Gilliam, 2010 U.S.</w:t>
      </w:r>
      <w:r w:rsidRPr="006B1A12">
        <w:t xml:space="preserve"> </w:t>
      </w:r>
      <w:r w:rsidRPr="006B1A12">
        <w:t>Dist.</w:t>
      </w:r>
      <w:r w:rsidRPr="006B1A12">
        <w:t xml:space="preserve"> </w:t>
      </w:r>
      <w:r w:rsidRPr="006B1A12">
        <w:t>LEXIS 65660, at *16 (C.D.</w:t>
      </w:r>
      <w:r w:rsidRPr="006B1A12">
        <w:t xml:space="preserve"> </w:t>
      </w:r>
      <w:r w:rsidRPr="006B1A12">
        <w:t>Cal.</w:t>
      </w:r>
      <w:r w:rsidRPr="006B1A12">
        <w:t xml:space="preserve"> </w:t>
      </w:r>
      <w:r w:rsidRPr="006B1A12">
        <w:t>June 1, 2010) (finding mark Monex to be famous and www.monexfraud.com to be dilutive, but with little factual basis or discussion).</w:t>
      </w:r>
    </w:p>
  </w:footnote>
  <w:footnote w:id="109">
    <w:p w14:paraId="02C58093" w14:textId="0A9B9E68" w:rsidR="006B1A12" w:rsidRPr="00E93F9C" w:rsidRDefault="006B1A12" w:rsidP="006B1A12">
      <w:pPr>
        <w:pStyle w:val="FootnoteText"/>
      </w:pPr>
      <w:r w:rsidRPr="006B1A12">
        <w:rPr>
          <w:vertAlign w:val="superscript"/>
        </w:rPr>
        <w:footnoteRef/>
      </w:r>
      <w:r w:rsidRPr="006B1A12">
        <w:t>Lanham Act §43(d)(1)(B)(</w:t>
      </w:r>
      <w:proofErr w:type="spellStart"/>
      <w:r w:rsidRPr="006B1A12">
        <w:t>i</w:t>
      </w:r>
      <w:proofErr w:type="spellEnd"/>
      <w:r w:rsidRPr="006B1A12">
        <w:t>)(IV), 15 U.S.C.</w:t>
      </w:r>
      <w:r w:rsidRPr="006B1A12">
        <w:t xml:space="preserve"> </w:t>
      </w:r>
      <w:r w:rsidRPr="006B1A12">
        <w:t>§1125(d)(1)(B)(</w:t>
      </w:r>
      <w:proofErr w:type="spellStart"/>
      <w:r w:rsidRPr="006B1A12">
        <w:t>i</w:t>
      </w:r>
      <w:proofErr w:type="spellEnd"/>
      <w:r w:rsidRPr="006B1A12">
        <w:t>)(IV).</w:t>
      </w:r>
    </w:p>
  </w:footnote>
  <w:footnote w:id="110">
    <w:p w14:paraId="79E91323" w14:textId="70B03E7B"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§43(d)(1)(B)(ii), 15 U.S.C.</w:t>
      </w:r>
      <w:r w:rsidRPr="006B1A12">
        <w:t xml:space="preserve"> </w:t>
      </w:r>
      <w:r w:rsidRPr="006B1A12">
        <w:t>§1125(d)(1)(B)(ii).</w:t>
      </w:r>
    </w:p>
  </w:footnote>
  <w:footnote w:id="111">
    <w:p w14:paraId="626A85D8" w14:textId="3459F3B0"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§43(c)(3)(A), (C), 15 U.S.C.</w:t>
      </w:r>
      <w:r w:rsidRPr="006B1A12">
        <w:t xml:space="preserve"> </w:t>
      </w:r>
      <w:r w:rsidRPr="006B1A12">
        <w:t>§1125(c)(3)(A), (C).</w:t>
      </w:r>
    </w:p>
  </w:footnote>
  <w:footnote w:id="112">
    <w:p w14:paraId="131DAD59" w14:textId="45FE8EFC" w:rsidR="006B1A12" w:rsidRPr="00E93F9C" w:rsidRDefault="006B1A12" w:rsidP="006B1A12">
      <w:pPr>
        <w:pStyle w:val="FootnoteText"/>
      </w:pPr>
      <w:r w:rsidRPr="006B1A12">
        <w:rPr>
          <w:vertAlign w:val="superscript"/>
        </w:rPr>
        <w:footnoteRef/>
      </w:r>
      <w:r w:rsidRPr="006B1A12">
        <w:t>Virtual Works, Inc.</w:t>
      </w:r>
      <w:r w:rsidRPr="006B1A12">
        <w:t xml:space="preserve"> </w:t>
      </w:r>
      <w:r w:rsidRPr="006B1A12">
        <w:t>v.</w:t>
      </w:r>
      <w:r w:rsidRPr="006B1A12">
        <w:t xml:space="preserve"> </w:t>
      </w:r>
      <w:r w:rsidRPr="006B1A12">
        <w:t>Volkswagen of Am., Inc., 238 F.3d 264, 270, 57 USPQ2d 1547 (4th Cir.</w:t>
      </w:r>
      <w:r w:rsidRPr="006B1A12">
        <w:t xml:space="preserve"> </w:t>
      </w:r>
      <w:r w:rsidRPr="006B1A12">
        <w:t>2001).</w:t>
      </w:r>
    </w:p>
  </w:footnote>
  <w:footnote w:id="113">
    <w:p w14:paraId="2672ECF2" w14:textId="1A3AABBA"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rPr>
          <w:i/>
        </w:rPr>
        <w:t>accord</w:t>
      </w:r>
      <w:r w:rsidRPr="006B1A12">
        <w:t xml:space="preserve"> Lahoti v.</w:t>
      </w:r>
      <w:r w:rsidRPr="006B1A12">
        <w:t xml:space="preserve"> </w:t>
      </w:r>
      <w:proofErr w:type="spellStart"/>
      <w:r w:rsidRPr="006B1A12">
        <w:t>VeriCheck</w:t>
      </w:r>
      <w:proofErr w:type="spellEnd"/>
      <w:r w:rsidRPr="006B1A12">
        <w:t>, Inc., 586 F.3d 1190, 1203, 92 USPQ2d 1641 (9th Cir.</w:t>
      </w:r>
      <w:r w:rsidRPr="006B1A12">
        <w:t xml:space="preserve"> </w:t>
      </w:r>
      <w:r w:rsidRPr="006B1A12">
        <w:t>2009).</w:t>
      </w:r>
    </w:p>
  </w:footnote>
  <w:footnote w:id="114">
    <w:p w14:paraId="060CEBAE" w14:textId="57DAC2D4" w:rsidR="006B1A12" w:rsidRPr="00E93F9C" w:rsidRDefault="006B1A12" w:rsidP="006B1A12">
      <w:pPr>
        <w:pStyle w:val="FootnoteText"/>
      </w:pPr>
      <w:r w:rsidRPr="006B1A12">
        <w:rPr>
          <w:vertAlign w:val="superscript"/>
        </w:rPr>
        <w:footnoteRef/>
      </w:r>
      <w:r w:rsidRPr="006B1A12">
        <w:rPr>
          <w:i/>
        </w:rPr>
        <w:t>Cf</w:t>
      </w:r>
      <w:r w:rsidRPr="006B1A12">
        <w:t>.</w:t>
      </w:r>
      <w:r w:rsidRPr="006B1A12">
        <w:t xml:space="preserve"> </w:t>
      </w:r>
      <w:r w:rsidRPr="006B1A12">
        <w:t>KP Permanent Make-Up, Inc.</w:t>
      </w:r>
      <w:r w:rsidRPr="006B1A12">
        <w:t xml:space="preserve"> </w:t>
      </w:r>
      <w:r w:rsidRPr="006B1A12">
        <w:t>v.</w:t>
      </w:r>
      <w:r w:rsidRPr="006B1A12">
        <w:t xml:space="preserve"> </w:t>
      </w:r>
      <w:r w:rsidRPr="006B1A12">
        <w:t>Lasting Impression I, Inc., 543 U.S.</w:t>
      </w:r>
      <w:r w:rsidRPr="006B1A12">
        <w:t xml:space="preserve"> </w:t>
      </w:r>
      <w:r w:rsidRPr="006B1A12">
        <w:t xml:space="preserve">111, 121–22, 72 USPQ2d 1833 (2004) (defendant not required to negate confusion </w:t>
      </w:r>
      <w:proofErr w:type="gramStart"/>
      <w:r w:rsidRPr="006B1A12">
        <w:t>in order to</w:t>
      </w:r>
      <w:proofErr w:type="gramEnd"/>
      <w:r w:rsidRPr="006B1A12">
        <w:t xml:space="preserve"> invoke descriptive fair use defense).</w:t>
      </w:r>
    </w:p>
  </w:footnote>
  <w:footnote w:id="115">
    <w:p w14:paraId="057F6519" w14:textId="568DDBCE" w:rsidR="006B1A12" w:rsidRPr="00E93F9C" w:rsidRDefault="006B1A12" w:rsidP="006B1A12">
      <w:pPr>
        <w:pStyle w:val="FootnoteText"/>
      </w:pPr>
      <w:r w:rsidRPr="006B1A12">
        <w:rPr>
          <w:vertAlign w:val="superscript"/>
        </w:rPr>
        <w:footnoteRef/>
      </w:r>
      <w:r w:rsidRPr="006B1A12">
        <w:t>Lamparello v.</w:t>
      </w:r>
      <w:r w:rsidRPr="006B1A12">
        <w:t xml:space="preserve"> </w:t>
      </w:r>
      <w:r w:rsidRPr="006B1A12">
        <w:t>Falwell, 420 F.3d 309, 76 USPQ2d 1024 (4th Cir.</w:t>
      </w:r>
      <w:r w:rsidRPr="006B1A12">
        <w:t xml:space="preserve"> </w:t>
      </w:r>
      <w:r w:rsidRPr="006B1A12">
        <w:t xml:space="preserve">2005), </w:t>
      </w:r>
      <w:r w:rsidRPr="006B1A12">
        <w:rPr>
          <w:i/>
        </w:rPr>
        <w:t>cert</w:t>
      </w:r>
      <w:r w:rsidRPr="006B1A12">
        <w:t>.</w:t>
      </w:r>
      <w:r w:rsidRPr="006B1A12">
        <w:t xml:space="preserve"> </w:t>
      </w:r>
      <w:r w:rsidRPr="006B1A12">
        <w:rPr>
          <w:i/>
        </w:rPr>
        <w:t>denied</w:t>
      </w:r>
      <w:r w:rsidRPr="006B1A12">
        <w:t>, 547 U.S.</w:t>
      </w:r>
      <w:r w:rsidRPr="006B1A12">
        <w:t xml:space="preserve"> </w:t>
      </w:r>
      <w:r w:rsidRPr="006B1A12">
        <w:t>1069 (2006).</w:t>
      </w:r>
    </w:p>
  </w:footnote>
  <w:footnote w:id="116">
    <w:p w14:paraId="554B363D" w14:textId="1B364355"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320.</w:t>
      </w:r>
    </w:p>
  </w:footnote>
  <w:footnote w:id="117">
    <w:p w14:paraId="49B2110D" w14:textId="0BC1D106" w:rsidR="006B1A12" w:rsidRPr="006B1A12"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321 (citing TMI, Inc.</w:t>
      </w:r>
      <w:r w:rsidRPr="006B1A12">
        <w:t xml:space="preserve"> </w:t>
      </w:r>
      <w:r w:rsidRPr="006B1A12">
        <w:t>v.</w:t>
      </w:r>
      <w:r w:rsidRPr="006B1A12">
        <w:t xml:space="preserve"> </w:t>
      </w:r>
      <w:r w:rsidRPr="006B1A12">
        <w:t>Maxwell, 368 F.3d 433, 438–39, 70 USPQ2d 1630 (5th Cir.</w:t>
      </w:r>
      <w:r w:rsidRPr="006B1A12">
        <w:t xml:space="preserve"> </w:t>
      </w:r>
      <w:r w:rsidRPr="006B1A12">
        <w:t>2004), and Lucas Nursery &amp; Landscaping, Inc.</w:t>
      </w:r>
      <w:r w:rsidRPr="006B1A12">
        <w:t xml:space="preserve"> </w:t>
      </w:r>
      <w:r w:rsidRPr="006B1A12">
        <w:t>v.</w:t>
      </w:r>
      <w:r w:rsidRPr="006B1A12">
        <w:t xml:space="preserve"> </w:t>
      </w:r>
      <w:r w:rsidRPr="006B1A12">
        <w:t>Grosse, 359 F.3d 806, 811, 70 USPQ2d 1149 (6th Cir.</w:t>
      </w:r>
      <w:r w:rsidRPr="006B1A12">
        <w:t xml:space="preserve"> </w:t>
      </w:r>
      <w:r w:rsidRPr="006B1A12">
        <w:t>2004)).</w:t>
      </w:r>
    </w:p>
    <w:p w14:paraId="4F44F477" w14:textId="77777777" w:rsidR="006B1A12" w:rsidRPr="00E93F9C" w:rsidRDefault="006B1A12" w:rsidP="00C9757D">
      <w:pPr>
        <w:pStyle w:val="footnote"/>
        <w:tabs>
          <w:tab w:val="left" w:pos="-720"/>
          <w:tab w:val="left" w:pos="0"/>
          <w:tab w:val="left" w:pos="720"/>
          <w:tab w:val="left" w:pos="1440"/>
          <w:tab w:val="left" w:pos="2160"/>
          <w:tab w:val="left" w:pos="2880"/>
          <w:tab w:val="left" w:pos="3600"/>
          <w:tab w:val="left" w:pos="4320"/>
          <w:tab w:val="left" w:pos="5040"/>
          <w:tab w:val="left" w:pos="5760"/>
        </w:tabs>
        <w:rPr>
          <w:szCs w:val="20"/>
        </w:rPr>
      </w:pPr>
    </w:p>
  </w:footnote>
  <w:footnote w:id="118">
    <w:p w14:paraId="2AA15CCE" w14:textId="2A7C32A3" w:rsidR="006B1A12" w:rsidRPr="00E93F9C" w:rsidRDefault="006B1A12" w:rsidP="006B1A12">
      <w:pPr>
        <w:pStyle w:val="FootnoteText"/>
      </w:pPr>
      <w:r w:rsidRPr="006B1A12">
        <w:rPr>
          <w:vertAlign w:val="superscript"/>
        </w:rPr>
        <w:footnoteRef/>
      </w:r>
      <w:r w:rsidRPr="006B1A12">
        <w:t>684 F.3d 1211 (11th Cir.</w:t>
      </w:r>
      <w:r w:rsidRPr="006B1A12">
        <w:t xml:space="preserve"> </w:t>
      </w:r>
      <w:r w:rsidRPr="006B1A12">
        <w:t>2012).</w:t>
      </w:r>
    </w:p>
  </w:footnote>
  <w:footnote w:id="119">
    <w:p w14:paraId="1A54A0B5" w14:textId="257C8F0D"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1223–24.</w:t>
      </w:r>
    </w:p>
  </w:footnote>
  <w:footnote w:id="120">
    <w:p w14:paraId="49FBB864" w14:textId="322AA289" w:rsidR="006B1A12" w:rsidRPr="006B1A12"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1225.</w:t>
      </w:r>
      <w:r w:rsidRPr="006B1A12">
        <w:t xml:space="preserve"> </w:t>
      </w:r>
      <w:r w:rsidRPr="006B1A12">
        <w:t>The court held that the plaintiff had waived its objection to the inconsistency by not raising it in a timely fashion.</w:t>
      </w:r>
      <w:r w:rsidRPr="006B1A12">
        <w:t xml:space="preserve"> </w:t>
      </w:r>
      <w:r w:rsidRPr="006B1A12">
        <w:rPr>
          <w:i/>
        </w:rPr>
        <w:t>Id</w:t>
      </w:r>
      <w:r w:rsidRPr="006B1A12">
        <w:t>.</w:t>
      </w:r>
    </w:p>
    <w:p w14:paraId="58DDA28D" w14:textId="77777777" w:rsidR="006B1A12" w:rsidRPr="00E93F9C" w:rsidRDefault="006B1A12" w:rsidP="00C9757D">
      <w:pPr>
        <w:pStyle w:val="footnote"/>
        <w:tabs>
          <w:tab w:val="left" w:pos="-720"/>
          <w:tab w:val="left" w:pos="0"/>
          <w:tab w:val="left" w:pos="720"/>
          <w:tab w:val="left" w:pos="1440"/>
          <w:tab w:val="left" w:pos="2160"/>
          <w:tab w:val="left" w:pos="2880"/>
          <w:tab w:val="left" w:pos="3600"/>
          <w:tab w:val="left" w:pos="4320"/>
          <w:tab w:val="left" w:pos="5040"/>
          <w:tab w:val="left" w:pos="5760"/>
        </w:tabs>
        <w:rPr>
          <w:szCs w:val="20"/>
        </w:rPr>
      </w:pPr>
    </w:p>
  </w:footnote>
  <w:footnote w:id="121">
    <w:p w14:paraId="31C2A281" w14:textId="697585E2" w:rsidR="006B1A12" w:rsidRPr="00E93F9C" w:rsidRDefault="006B1A12" w:rsidP="006B1A12">
      <w:pPr>
        <w:pStyle w:val="FootnoteText"/>
      </w:pPr>
      <w:r w:rsidRPr="006B1A12">
        <w:rPr>
          <w:vertAlign w:val="superscript"/>
        </w:rPr>
        <w:footnoteRef/>
      </w:r>
      <w:proofErr w:type="spellStart"/>
      <w:r w:rsidRPr="006B1A12">
        <w:t>ISystems</w:t>
      </w:r>
      <w:proofErr w:type="spellEnd"/>
      <w:r w:rsidRPr="006B1A12">
        <w:t xml:space="preserve"> v.</w:t>
      </w:r>
      <w:r w:rsidRPr="006B1A12">
        <w:t xml:space="preserve"> </w:t>
      </w:r>
      <w:r w:rsidRPr="006B1A12">
        <w:t>Spark Networks, Ltd., 2012 U.S.</w:t>
      </w:r>
      <w:r w:rsidRPr="006B1A12">
        <w:t xml:space="preserve"> </w:t>
      </w:r>
      <w:r w:rsidRPr="006B1A12">
        <w:t>App.</w:t>
      </w:r>
      <w:r w:rsidRPr="006B1A12">
        <w:t xml:space="preserve"> </w:t>
      </w:r>
      <w:r w:rsidRPr="006B1A12">
        <w:t>LEXIS 6197, at *7–8, 102 USPQ2d 1055 (5th Cir.</w:t>
      </w:r>
      <w:r w:rsidRPr="006B1A12">
        <w:t xml:space="preserve"> </w:t>
      </w:r>
      <w:r w:rsidRPr="006B1A12">
        <w:t>Mar.</w:t>
      </w:r>
      <w:r w:rsidRPr="006B1A12">
        <w:t xml:space="preserve"> </w:t>
      </w:r>
      <w:r w:rsidRPr="006B1A12">
        <w:t>21, 2012) (unpublished) (citing 15 U.S.C.</w:t>
      </w:r>
      <w:r w:rsidRPr="006B1A12">
        <w:t xml:space="preserve"> </w:t>
      </w:r>
      <w:r w:rsidRPr="006B1A12">
        <w:t>§1125(c)(3)(C)).</w:t>
      </w:r>
    </w:p>
  </w:footnote>
  <w:footnote w:id="122">
    <w:p w14:paraId="4939B975" w14:textId="7242F3E0" w:rsidR="006B1A12" w:rsidRPr="00E93F9C" w:rsidRDefault="006B1A12" w:rsidP="006B1A12">
      <w:pPr>
        <w:pStyle w:val="FootnoteText"/>
      </w:pPr>
      <w:r w:rsidRPr="006B1A12">
        <w:rPr>
          <w:vertAlign w:val="superscript"/>
        </w:rPr>
        <w:footnoteRef/>
      </w:r>
      <w:r w:rsidRPr="006B1A12">
        <w:rPr>
          <w:i/>
        </w:rPr>
        <w:t>See</w:t>
      </w:r>
      <w:r w:rsidRPr="006B1A12">
        <w:t xml:space="preserve"> </w:t>
      </w:r>
      <w:r w:rsidRPr="006B1A12">
        <w:rPr>
          <w:smallCaps/>
        </w:rPr>
        <w:t>S.</w:t>
      </w:r>
      <w:r w:rsidRPr="006B1A12">
        <w:rPr>
          <w:smallCaps/>
        </w:rPr>
        <w:t xml:space="preserve"> </w:t>
      </w:r>
      <w:r w:rsidRPr="006B1A12">
        <w:rPr>
          <w:smallCaps/>
        </w:rPr>
        <w:t>Rep.</w:t>
      </w:r>
      <w:r w:rsidRPr="006B1A12">
        <w:rPr>
          <w:smallCaps/>
        </w:rPr>
        <w:t xml:space="preserve"> </w:t>
      </w:r>
      <w:r w:rsidRPr="006B1A12">
        <w:rPr>
          <w:smallCaps/>
        </w:rPr>
        <w:t>No.</w:t>
      </w:r>
      <w:r w:rsidRPr="006B1A12">
        <w:rPr>
          <w:smallCaps/>
        </w:rPr>
        <w:t xml:space="preserve"> </w:t>
      </w:r>
      <w:r w:rsidRPr="006B1A12">
        <w:t>106-140, at 10–11 (Aug.</w:t>
      </w:r>
      <w:r w:rsidRPr="006B1A12">
        <w:t xml:space="preserve"> </w:t>
      </w:r>
      <w:r w:rsidRPr="006B1A12">
        <w:t>5, 1999);</w:t>
      </w:r>
      <w:r w:rsidRPr="006B1A12">
        <w:t xml:space="preserve"> </w:t>
      </w:r>
      <w:r w:rsidRPr="006B1A12">
        <w:t xml:space="preserve">145 </w:t>
      </w:r>
      <w:r w:rsidRPr="006B1A12">
        <w:rPr>
          <w:smallCaps/>
        </w:rPr>
        <w:t>Cong.</w:t>
      </w:r>
      <w:r w:rsidRPr="006B1A12">
        <w:rPr>
          <w:smallCaps/>
        </w:rPr>
        <w:t xml:space="preserve"> </w:t>
      </w:r>
      <w:r w:rsidRPr="006B1A12">
        <w:rPr>
          <w:smallCaps/>
        </w:rPr>
        <w:t>Rec.</w:t>
      </w:r>
      <w:r w:rsidRPr="006B1A12">
        <w:rPr>
          <w:smallCaps/>
        </w:rPr>
        <w:t xml:space="preserve"> </w:t>
      </w:r>
      <w:r w:rsidRPr="006B1A12">
        <w:t>S10513, S10520 (Aug.</w:t>
      </w:r>
      <w:r w:rsidRPr="006B1A12">
        <w:t xml:space="preserve"> </w:t>
      </w:r>
      <w:r w:rsidRPr="006B1A12">
        <w:t>5, 1999) (remarks of Sen.</w:t>
      </w:r>
      <w:r w:rsidRPr="006B1A12">
        <w:t xml:space="preserve"> </w:t>
      </w:r>
      <w:r w:rsidRPr="006B1A12">
        <w:t>Abraham);</w:t>
      </w:r>
      <w:r w:rsidRPr="006B1A12">
        <w:t xml:space="preserve"> </w:t>
      </w:r>
      <w:r w:rsidRPr="006B1A12">
        <w:rPr>
          <w:i/>
        </w:rPr>
        <w:t>id</w:t>
      </w:r>
      <w:r w:rsidRPr="006B1A12">
        <w:t>.</w:t>
      </w:r>
      <w:r w:rsidRPr="006B1A12">
        <w:t xml:space="preserve"> </w:t>
      </w:r>
      <w:r w:rsidRPr="006B1A12">
        <w:t>at S10516 (remarks of Sen.</w:t>
      </w:r>
      <w:r w:rsidRPr="006B1A12">
        <w:t xml:space="preserve"> </w:t>
      </w:r>
      <w:r w:rsidRPr="006B1A12">
        <w:t>Hatch).</w:t>
      </w:r>
    </w:p>
  </w:footnote>
  <w:footnote w:id="123">
    <w:p w14:paraId="5BFE5400" w14:textId="4B414A07" w:rsidR="006B1A12" w:rsidRPr="00E93F9C" w:rsidRDefault="006B1A12" w:rsidP="006B1A12">
      <w:pPr>
        <w:pStyle w:val="FootnoteText"/>
      </w:pPr>
      <w:r w:rsidRPr="006B1A12">
        <w:rPr>
          <w:vertAlign w:val="superscript"/>
        </w:rPr>
        <w:footnoteRef/>
      </w:r>
      <w:r w:rsidRPr="006B1A12">
        <w:t>Lanham Act §43(d)(2), 15 U.S.C.</w:t>
      </w:r>
      <w:r w:rsidRPr="006B1A12">
        <w:t xml:space="preserve"> </w:t>
      </w:r>
      <w:r w:rsidRPr="006B1A12">
        <w:t>§1125(d)(2).</w:t>
      </w:r>
      <w:r w:rsidRPr="006B1A12">
        <w:t xml:space="preserve"> </w:t>
      </w:r>
      <w:r w:rsidRPr="006B1A12">
        <w:t xml:space="preserve">In </w:t>
      </w:r>
      <w:r w:rsidRPr="006B1A12">
        <w:rPr>
          <w:i/>
        </w:rPr>
        <w:t>Porsche Cars North America, Inc</w:t>
      </w:r>
      <w:r w:rsidRPr="006B1A12">
        <w:t>.</w:t>
      </w:r>
      <w:r w:rsidRPr="006B1A12">
        <w:t xml:space="preserve"> </w:t>
      </w:r>
      <w:r w:rsidRPr="006B1A12">
        <w:rPr>
          <w:i/>
        </w:rPr>
        <w:t>v</w:t>
      </w:r>
      <w:r w:rsidRPr="006B1A12">
        <w:t>.</w:t>
      </w:r>
      <w:r w:rsidRPr="006B1A12">
        <w:t xml:space="preserve"> </w:t>
      </w:r>
      <w:r w:rsidRPr="006B1A12">
        <w:rPr>
          <w:i/>
        </w:rPr>
        <w:t>Porsche</w:t>
      </w:r>
      <w:r w:rsidRPr="006B1A12">
        <w:t>.</w:t>
      </w:r>
      <w:r w:rsidRPr="006B1A12">
        <w:rPr>
          <w:i/>
        </w:rPr>
        <w:t>net</w:t>
      </w:r>
      <w:r w:rsidRPr="006B1A12">
        <w:t>, 302 F.3d 248, 64 USPQ2d 1248 (4th Cir.</w:t>
      </w:r>
      <w:r w:rsidRPr="006B1A12">
        <w:t xml:space="preserve"> </w:t>
      </w:r>
      <w:r w:rsidRPr="006B1A12">
        <w:t xml:space="preserve">2002), the Fourth Circuit held that one cannot maintain an </w:t>
      </w:r>
      <w:proofErr w:type="gramStart"/>
      <w:r w:rsidRPr="006B1A12">
        <w:t>in rem</w:t>
      </w:r>
      <w:proofErr w:type="gramEnd"/>
      <w:r w:rsidRPr="006B1A12">
        <w:t xml:space="preserve"> action for violation of the FTDA by cybersquatting.</w:t>
      </w:r>
      <w:r w:rsidRPr="006B1A12">
        <w:t xml:space="preserve"> </w:t>
      </w:r>
      <w:r w:rsidRPr="006B1A12">
        <w:t xml:space="preserve">The court noted that Congress had provided a specific remedy for cybersquatting that included an </w:t>
      </w:r>
      <w:proofErr w:type="gramStart"/>
      <w:r w:rsidRPr="006B1A12">
        <w:t>in rem</w:t>
      </w:r>
      <w:proofErr w:type="gramEnd"/>
      <w:r w:rsidRPr="006B1A12">
        <w:t xml:space="preserve"> procedure, and that a contrary result would permit plaintiffs to circumvent the specific requirements of the ACPA.</w:t>
      </w:r>
      <w:r w:rsidRPr="006B1A12">
        <w:t xml:space="preserve"> </w:t>
      </w:r>
      <w:r w:rsidRPr="006B1A12">
        <w:rPr>
          <w:i/>
        </w:rPr>
        <w:t>Id</w:t>
      </w:r>
      <w:r w:rsidRPr="006B1A12">
        <w:t>.</w:t>
      </w:r>
      <w:r w:rsidRPr="006B1A12">
        <w:t xml:space="preserve"> </w:t>
      </w:r>
      <w:r w:rsidRPr="006B1A12">
        <w:t>at 261.</w:t>
      </w:r>
    </w:p>
  </w:footnote>
  <w:footnote w:id="124">
    <w:p w14:paraId="62D6F10D" w14:textId="22C1CE4E" w:rsidR="006B1A12" w:rsidRPr="001A4EF4" w:rsidRDefault="006B1A12" w:rsidP="006B1A12">
      <w:pPr>
        <w:pStyle w:val="FootnoteText"/>
      </w:pPr>
      <w:r w:rsidRPr="006B1A12">
        <w:rPr>
          <w:rStyle w:val="FootnoteReference"/>
          <w:rFonts w:eastAsiaTheme="majorEastAsia"/>
        </w:rPr>
        <w:footnoteRef/>
      </w:r>
      <w:r w:rsidRPr="006B1A12">
        <w:t>The method of service over foreign defendants, normally prescribed by Federal Rule 4(f), has been held to be overridden by the provisions of the ACPA, found in 15 U.S.C.</w:t>
      </w:r>
      <w:r w:rsidRPr="006B1A12">
        <w:t xml:space="preserve"> </w:t>
      </w:r>
      <w:r w:rsidRPr="006B1A12">
        <w:t>§ 1125(d)(2)(A)(ii)(II).</w:t>
      </w:r>
      <w:r w:rsidRPr="006B1A12">
        <w:t xml:space="preserve"> </w:t>
      </w:r>
      <w:r w:rsidRPr="006B1A12">
        <w:rPr>
          <w:i/>
        </w:rPr>
        <w:t>See, e.g.</w:t>
      </w:r>
      <w:r w:rsidRPr="006B1A12">
        <w:t>, Licensing IP Int’l S.A.R.L.</w:t>
      </w:r>
      <w:r w:rsidRPr="006B1A12">
        <w:t xml:space="preserve"> </w:t>
      </w:r>
      <w:r w:rsidRPr="006B1A12">
        <w:t>v.</w:t>
      </w:r>
      <w:r w:rsidRPr="006B1A12">
        <w:t xml:space="preserve"> </w:t>
      </w:r>
      <w:r w:rsidRPr="006B1A12">
        <w:t>mydirtyhobby.to, 2025 WL 889425, at * 3–4, 2025 BL 96610 (N.D.</w:t>
      </w:r>
      <w:r w:rsidRPr="006B1A12">
        <w:t xml:space="preserve"> </w:t>
      </w:r>
      <w:r w:rsidRPr="006B1A12">
        <w:t>Cal.</w:t>
      </w:r>
      <w:r w:rsidRPr="006B1A12">
        <w:t xml:space="preserve"> </w:t>
      </w:r>
      <w:r w:rsidRPr="006B1A12">
        <w:t>Feb.</w:t>
      </w:r>
      <w:r w:rsidRPr="006B1A12">
        <w:t xml:space="preserve"> </w:t>
      </w:r>
      <w:r w:rsidRPr="006B1A12">
        <w:t>24, 2025) (discussing cases).</w:t>
      </w:r>
    </w:p>
  </w:footnote>
  <w:footnote w:id="125">
    <w:p w14:paraId="531A1462" w14:textId="23C3E92F" w:rsidR="006B1A12" w:rsidRPr="00E93F9C" w:rsidRDefault="006B1A12" w:rsidP="006B1A12">
      <w:pPr>
        <w:pStyle w:val="FootnoteText"/>
      </w:pPr>
      <w:r w:rsidRPr="006B1A12">
        <w:rPr>
          <w:vertAlign w:val="superscript"/>
        </w:rPr>
        <w:footnoteRef/>
      </w:r>
      <w:r w:rsidRPr="006B1A12">
        <w:rPr>
          <w:i/>
        </w:rPr>
        <w:t>E</w:t>
      </w:r>
      <w:r w:rsidRPr="006B1A12">
        <w:t>.</w:t>
      </w:r>
      <w:r w:rsidRPr="006B1A12">
        <w:rPr>
          <w:i/>
        </w:rPr>
        <w:t>g</w:t>
      </w:r>
      <w:r w:rsidRPr="006B1A12">
        <w:t>., Mattel, Inc.</w:t>
      </w:r>
      <w:r w:rsidRPr="006B1A12">
        <w:t xml:space="preserve"> </w:t>
      </w:r>
      <w:r w:rsidRPr="006B1A12">
        <w:t>v.</w:t>
      </w:r>
      <w:r w:rsidRPr="006B1A12">
        <w:t xml:space="preserve"> </w:t>
      </w:r>
      <w:r w:rsidRPr="006B1A12">
        <w:t>Barbie-Club.com, 310 F.3d 293, 306, 64 USPQ2d 1879 (2d Cir.</w:t>
      </w:r>
      <w:r w:rsidRPr="006B1A12">
        <w:t xml:space="preserve"> </w:t>
      </w:r>
      <w:r w:rsidRPr="006B1A12">
        <w:t>2002).</w:t>
      </w:r>
    </w:p>
  </w:footnote>
  <w:footnote w:id="126">
    <w:p w14:paraId="0F1B995F" w14:textId="265B348C" w:rsidR="006B1A12" w:rsidRPr="00E93F9C" w:rsidRDefault="006B1A12" w:rsidP="006B1A12">
      <w:pPr>
        <w:pStyle w:val="FootnoteText"/>
      </w:pPr>
      <w:r w:rsidRPr="006B1A12">
        <w:rPr>
          <w:vertAlign w:val="superscript"/>
        </w:rPr>
        <w:footnoteRef/>
      </w:r>
      <w:r w:rsidRPr="006B1A12">
        <w:t>Lanham Act §43(d)(2)(A)(</w:t>
      </w:r>
      <w:proofErr w:type="spellStart"/>
      <w:r w:rsidRPr="006B1A12">
        <w:t>i</w:t>
      </w:r>
      <w:proofErr w:type="spellEnd"/>
      <w:r w:rsidRPr="006B1A12">
        <w:t>), 15 U.S.C.</w:t>
      </w:r>
      <w:r w:rsidRPr="006B1A12">
        <w:t xml:space="preserve"> </w:t>
      </w:r>
      <w:r w:rsidRPr="006B1A12">
        <w:t>§1125(d)(2)(A)(</w:t>
      </w:r>
      <w:proofErr w:type="spellStart"/>
      <w:r w:rsidRPr="006B1A12">
        <w:t>i</w:t>
      </w:r>
      <w:proofErr w:type="spellEnd"/>
      <w:r w:rsidRPr="006B1A12">
        <w:t xml:space="preserve">) (allowing an </w:t>
      </w:r>
      <w:proofErr w:type="gramStart"/>
      <w:r w:rsidRPr="006B1A12">
        <w:t>in rem</w:t>
      </w:r>
      <w:proofErr w:type="gramEnd"/>
      <w:r w:rsidRPr="006B1A12">
        <w:t xml:space="preserve"> action “if the domain name violates any right of the owner of a mark registered in the Patent and Trademark </w:t>
      </w:r>
      <w:proofErr w:type="gramStart"/>
      <w:r w:rsidRPr="006B1A12">
        <w:t>Office, or</w:t>
      </w:r>
      <w:proofErr w:type="gramEnd"/>
      <w:r w:rsidRPr="006B1A12">
        <w:t xml:space="preserve"> protected under subsection (a) or (c)”).</w:t>
      </w:r>
    </w:p>
  </w:footnote>
  <w:footnote w:id="127">
    <w:p w14:paraId="6F2DA27B" w14:textId="78E4FA90" w:rsidR="006B1A12" w:rsidRPr="00071FC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§43(d)(2)(A)(ii)(I), 15 U.S.C.</w:t>
      </w:r>
      <w:r w:rsidRPr="006B1A12">
        <w:t xml:space="preserve"> </w:t>
      </w:r>
      <w:r w:rsidRPr="006B1A12">
        <w:t>§1125(d)(2)(A)(ii)(I);</w:t>
      </w:r>
      <w:r w:rsidRPr="006B1A12">
        <w:t xml:space="preserve"> </w:t>
      </w:r>
      <w:r w:rsidRPr="006B1A12">
        <w:rPr>
          <w:i/>
        </w:rPr>
        <w:t>accord</w:t>
      </w:r>
      <w:r w:rsidRPr="006B1A12">
        <w:t xml:space="preserve"> Denso Corp.</w:t>
      </w:r>
      <w:r w:rsidRPr="006B1A12">
        <w:t xml:space="preserve"> </w:t>
      </w:r>
      <w:r w:rsidRPr="006B1A12">
        <w:t>v.</w:t>
      </w:r>
      <w:r w:rsidRPr="006B1A12">
        <w:t xml:space="preserve"> </w:t>
      </w:r>
      <w:r w:rsidRPr="006B1A12">
        <w:t>Domain name denso.com, 2014 WL 7208488, at *3, 2014 BL 356112 (N.D.</w:t>
      </w:r>
      <w:r w:rsidRPr="006B1A12">
        <w:t xml:space="preserve"> </w:t>
      </w:r>
      <w:r w:rsidRPr="006B1A12">
        <w:t>Cal.</w:t>
      </w:r>
      <w:r w:rsidRPr="006B1A12">
        <w:t xml:space="preserve"> </w:t>
      </w:r>
      <w:r w:rsidRPr="006B1A12">
        <w:t>Dec.</w:t>
      </w:r>
      <w:r w:rsidRPr="006B1A12">
        <w:t xml:space="preserve"> </w:t>
      </w:r>
      <w:r w:rsidRPr="006B1A12">
        <w:t>17, 2014);</w:t>
      </w:r>
      <w:r w:rsidRPr="006B1A12">
        <w:t xml:space="preserve"> </w:t>
      </w:r>
      <w:r w:rsidRPr="006B1A12">
        <w:t>Ford Motor Co.</w:t>
      </w:r>
      <w:r w:rsidRPr="006B1A12">
        <w:t xml:space="preserve"> </w:t>
      </w:r>
      <w:r w:rsidRPr="006B1A12">
        <w:t>v.</w:t>
      </w:r>
      <w:r w:rsidRPr="006B1A12">
        <w:t xml:space="preserve"> </w:t>
      </w:r>
      <w:r w:rsidRPr="006B1A12">
        <w:t>GreatDomains.com, Inc., 177 F.</w:t>
      </w:r>
      <w:r w:rsidRPr="006B1A12">
        <w:t xml:space="preserve"> </w:t>
      </w:r>
      <w:r w:rsidRPr="006B1A12">
        <w:t>Supp.</w:t>
      </w:r>
      <w:r w:rsidRPr="006B1A12">
        <w:t xml:space="preserve"> </w:t>
      </w:r>
      <w:r w:rsidRPr="006B1A12">
        <w:t>2d 656, 657–58, 61 USPQ2d 1718 (E.D.</w:t>
      </w:r>
      <w:r w:rsidRPr="006B1A12">
        <w:t xml:space="preserve"> </w:t>
      </w:r>
      <w:r w:rsidRPr="006B1A12">
        <w:t>Mich.</w:t>
      </w:r>
      <w:r w:rsidRPr="006B1A12">
        <w:t xml:space="preserve"> </w:t>
      </w:r>
      <w:r w:rsidRPr="006B1A12">
        <w:t>2001);</w:t>
      </w:r>
      <w:r w:rsidRPr="006B1A12">
        <w:t xml:space="preserve"> </w:t>
      </w:r>
      <w:r w:rsidRPr="006B1A12">
        <w:t>Lucent Techs., Inc.</w:t>
      </w:r>
      <w:r w:rsidRPr="006B1A12">
        <w:t xml:space="preserve"> </w:t>
      </w:r>
      <w:r w:rsidRPr="006B1A12">
        <w:t>v.</w:t>
      </w:r>
      <w:r w:rsidRPr="006B1A12">
        <w:t xml:space="preserve"> </w:t>
      </w:r>
      <w:r w:rsidRPr="006B1A12">
        <w:t>Lucentsucks.com, 95 F.</w:t>
      </w:r>
      <w:r w:rsidRPr="006B1A12">
        <w:t xml:space="preserve"> </w:t>
      </w:r>
      <w:r w:rsidRPr="006B1A12">
        <w:t>Supp.</w:t>
      </w:r>
      <w:r w:rsidRPr="006B1A12">
        <w:t xml:space="preserve"> </w:t>
      </w:r>
      <w:r w:rsidRPr="006B1A12">
        <w:t>2d 528, 534, 54 USPQ2d 1653 (E.D.</w:t>
      </w:r>
      <w:r w:rsidRPr="006B1A12">
        <w:t xml:space="preserve"> </w:t>
      </w:r>
      <w:r w:rsidRPr="006B1A12">
        <w:t>Va.</w:t>
      </w:r>
      <w:r w:rsidRPr="006B1A12">
        <w:t xml:space="preserve"> </w:t>
      </w:r>
      <w:r w:rsidRPr="006B1A12">
        <w:t>2000).</w:t>
      </w:r>
      <w:r w:rsidRPr="006B1A12">
        <w:t xml:space="preserve"> </w:t>
      </w:r>
      <w:r w:rsidRPr="006B1A12">
        <w:t xml:space="preserve">The </w:t>
      </w:r>
      <w:proofErr w:type="gramStart"/>
      <w:r w:rsidRPr="006B1A12">
        <w:t>in rem</w:t>
      </w:r>
      <w:proofErr w:type="gramEnd"/>
      <w:r w:rsidRPr="006B1A12">
        <w:t xml:space="preserve"> action also must be brought in the judicial district where the registrar is located.</w:t>
      </w:r>
      <w:r w:rsidRPr="006B1A12">
        <w:t xml:space="preserve"> </w:t>
      </w:r>
      <w:r w:rsidRPr="006B1A12">
        <w:t>Standing Stone Media, Inc.</w:t>
      </w:r>
      <w:r w:rsidRPr="006B1A12">
        <w:t xml:space="preserve"> </w:t>
      </w:r>
      <w:r w:rsidRPr="006B1A12">
        <w:t>v.</w:t>
      </w:r>
      <w:r w:rsidRPr="006B1A12">
        <w:t xml:space="preserve"> </w:t>
      </w:r>
      <w:r w:rsidRPr="006B1A12">
        <w:t>Indiancountrytoday.com, 193 F.</w:t>
      </w:r>
      <w:r w:rsidRPr="006B1A12">
        <w:t xml:space="preserve"> </w:t>
      </w:r>
      <w:r w:rsidRPr="006B1A12">
        <w:t>Supp.</w:t>
      </w:r>
      <w:r w:rsidRPr="006B1A12">
        <w:t xml:space="preserve"> </w:t>
      </w:r>
      <w:r w:rsidRPr="006B1A12">
        <w:t>2d 528, 533–34 (N.D.N.Y.</w:t>
      </w:r>
      <w:r w:rsidRPr="006B1A12">
        <w:t xml:space="preserve"> </w:t>
      </w:r>
      <w:r w:rsidRPr="006B1A12">
        <w:t>2002);</w:t>
      </w:r>
      <w:r w:rsidRPr="006B1A12">
        <w:t xml:space="preserve"> </w:t>
      </w:r>
      <w:r w:rsidRPr="006B1A12">
        <w:rPr>
          <w:i/>
        </w:rPr>
        <w:t>see Ford Motor</w:t>
      </w:r>
      <w:r w:rsidRPr="006B1A12">
        <w:t>, 177 F.</w:t>
      </w:r>
      <w:r w:rsidRPr="006B1A12">
        <w:t xml:space="preserve"> </w:t>
      </w:r>
      <w:r w:rsidRPr="006B1A12">
        <w:t>Supp.</w:t>
      </w:r>
      <w:r w:rsidRPr="006B1A12">
        <w:t xml:space="preserve"> </w:t>
      </w:r>
      <w:r w:rsidRPr="006B1A12">
        <w:t>2d at 658.</w:t>
      </w:r>
      <w:r w:rsidRPr="006B1A12">
        <w:t xml:space="preserve"> </w:t>
      </w:r>
      <w:r w:rsidRPr="006B1A12">
        <w:t>Moreover, registering the domain name with a U.S.</w:t>
      </w:r>
      <w:r w:rsidRPr="006B1A12">
        <w:t xml:space="preserve"> </w:t>
      </w:r>
      <w:r w:rsidRPr="006B1A12">
        <w:t xml:space="preserve">registrar is not considered a sufficient contact to create </w:t>
      </w:r>
      <w:r w:rsidRPr="006B1A12">
        <w:rPr>
          <w:i/>
        </w:rPr>
        <w:t xml:space="preserve">in </w:t>
      </w:r>
      <w:proofErr w:type="spellStart"/>
      <w:r w:rsidRPr="006B1A12">
        <w:rPr>
          <w:i/>
        </w:rPr>
        <w:t>personam</w:t>
      </w:r>
      <w:proofErr w:type="spellEnd"/>
      <w:r w:rsidRPr="006B1A12">
        <w:t xml:space="preserve"> jurisdiction.</w:t>
      </w:r>
      <w:r w:rsidRPr="006B1A12">
        <w:t xml:space="preserve"> </w:t>
      </w:r>
      <w:r w:rsidRPr="006B1A12">
        <w:rPr>
          <w:i/>
        </w:rPr>
        <w:t>Denso Corp.</w:t>
      </w:r>
      <w:r w:rsidRPr="006B1A12">
        <w:t>, 2014 WL 7208488, at *4, 2014 BL 356112.</w:t>
      </w:r>
      <w:r w:rsidRPr="006B1A12">
        <w:t xml:space="preserve"> </w:t>
      </w:r>
      <w:r w:rsidRPr="006B1A12">
        <w:t xml:space="preserve">How this would comport with </w:t>
      </w:r>
      <w:r w:rsidRPr="006B1A12">
        <w:rPr>
          <w:i/>
        </w:rPr>
        <w:t>Shaffer v</w:t>
      </w:r>
      <w:r w:rsidRPr="006B1A12">
        <w:t>.</w:t>
      </w:r>
      <w:r w:rsidRPr="006B1A12">
        <w:t xml:space="preserve"> </w:t>
      </w:r>
      <w:r w:rsidRPr="006B1A12">
        <w:rPr>
          <w:i/>
        </w:rPr>
        <w:t>Heitner</w:t>
      </w:r>
      <w:r w:rsidRPr="006B1A12">
        <w:t>, 433 U.S.</w:t>
      </w:r>
      <w:r w:rsidRPr="006B1A12">
        <w:t xml:space="preserve"> </w:t>
      </w:r>
      <w:r w:rsidRPr="006B1A12">
        <w:t>186 (1977), under which assertions of in rem jurisdiction are subject to the requirement of minimum contacts, is not clear.</w:t>
      </w:r>
      <w:r w:rsidRPr="006B1A12">
        <w:t xml:space="preserve"> </w:t>
      </w:r>
      <w:r w:rsidRPr="006B1A12">
        <w:t xml:space="preserve">In </w:t>
      </w:r>
      <w:r w:rsidRPr="006B1A12">
        <w:rPr>
          <w:i/>
        </w:rPr>
        <w:t>Ford Motor</w:t>
      </w:r>
      <w:r w:rsidRPr="006B1A12">
        <w:t xml:space="preserve">, the court applied </w:t>
      </w:r>
      <w:r w:rsidRPr="006B1A12">
        <w:rPr>
          <w:i/>
        </w:rPr>
        <w:t>Shaffer</w:t>
      </w:r>
      <w:r w:rsidRPr="006B1A12">
        <w:t xml:space="preserve"> to an in rem ACPA action and found insufficient contacts to support jurisdiction.</w:t>
      </w:r>
      <w:r w:rsidRPr="006B1A12">
        <w:t xml:space="preserve"> </w:t>
      </w:r>
      <w:r w:rsidRPr="006B1A12">
        <w:t>177 F.</w:t>
      </w:r>
      <w:r w:rsidRPr="006B1A12">
        <w:t xml:space="preserve"> </w:t>
      </w:r>
      <w:r w:rsidRPr="006B1A12">
        <w:t>Supp.</w:t>
      </w:r>
      <w:r w:rsidRPr="006B1A12">
        <w:t xml:space="preserve"> </w:t>
      </w:r>
      <w:r w:rsidRPr="006B1A12">
        <w:t>2d at 659–60.</w:t>
      </w:r>
    </w:p>
  </w:footnote>
  <w:footnote w:id="128">
    <w:p w14:paraId="3F8728E0" w14:textId="036D59DB" w:rsidR="006B1A12" w:rsidRPr="00E93F9C" w:rsidRDefault="006B1A12" w:rsidP="006B1A12">
      <w:pPr>
        <w:pStyle w:val="FootnoteText"/>
      </w:pPr>
      <w:r w:rsidRPr="006B1A12">
        <w:rPr>
          <w:vertAlign w:val="superscript"/>
        </w:rPr>
        <w:footnoteRef/>
      </w:r>
      <w:r w:rsidRPr="006B1A12">
        <w:t>Lanham Act §43(d)(2)(A)(ii)(II), 15 U.S.C.</w:t>
      </w:r>
      <w:r w:rsidRPr="006B1A12">
        <w:t xml:space="preserve"> </w:t>
      </w:r>
      <w:r w:rsidRPr="006B1A12">
        <w:t>§1125(d)(2)(A)(ii)(II).</w:t>
      </w:r>
      <w:r w:rsidRPr="006B1A12">
        <w:t xml:space="preserve"> </w:t>
      </w:r>
      <w:r w:rsidRPr="006B1A12">
        <w:t>One case has been dismissed for failure to abide by this limitation.</w:t>
      </w:r>
      <w:r w:rsidRPr="006B1A12">
        <w:t xml:space="preserve"> </w:t>
      </w:r>
      <w:r w:rsidRPr="006B1A12">
        <w:rPr>
          <w:i/>
        </w:rPr>
        <w:t>Lucent</w:t>
      </w:r>
      <w:r w:rsidRPr="006B1A12">
        <w:t>, 95 F.</w:t>
      </w:r>
      <w:r w:rsidRPr="006B1A12">
        <w:t xml:space="preserve"> </w:t>
      </w:r>
      <w:r w:rsidRPr="006B1A12">
        <w:t>Supp.</w:t>
      </w:r>
      <w:r w:rsidRPr="006B1A12">
        <w:t xml:space="preserve"> </w:t>
      </w:r>
      <w:r w:rsidRPr="006B1A12">
        <w:t>2d at 532–34 (dismissing ACPA claim where plaintiff failed to show personal jurisdiction was unavailable and where plaintiff gave insufficient notice, precluding finding of due diligence).</w:t>
      </w:r>
      <w:r w:rsidRPr="006B1A12">
        <w:t xml:space="preserve"> </w:t>
      </w:r>
      <w:r w:rsidRPr="006B1A12">
        <w:t>The statute also requires that the plaintiff send certain forms of notice if this subsection is used.</w:t>
      </w:r>
      <w:r w:rsidRPr="006B1A12">
        <w:t xml:space="preserve"> </w:t>
      </w:r>
      <w:r w:rsidRPr="006B1A12">
        <w:t>Lanham Act §43(d)(2)(A)(ii)(</w:t>
      </w:r>
      <w:proofErr w:type="gramStart"/>
      <w:r w:rsidRPr="006B1A12">
        <w:t>II)(</w:t>
      </w:r>
      <w:proofErr w:type="gramEnd"/>
      <w:r w:rsidRPr="006B1A12">
        <w:t>aa), (bb), 15 U.S.C.</w:t>
      </w:r>
      <w:r w:rsidRPr="006B1A12">
        <w:t xml:space="preserve"> </w:t>
      </w:r>
      <w:r w:rsidRPr="006B1A12">
        <w:t>§1125(d)(2)(A)(ii)(</w:t>
      </w:r>
      <w:proofErr w:type="gramStart"/>
      <w:r w:rsidRPr="006B1A12">
        <w:t>II)(</w:t>
      </w:r>
      <w:proofErr w:type="gramEnd"/>
      <w:r w:rsidRPr="006B1A12">
        <w:t>aa), (bb).</w:t>
      </w:r>
    </w:p>
  </w:footnote>
  <w:footnote w:id="129">
    <w:p w14:paraId="419AA32F" w14:textId="4EC16930" w:rsidR="006B1A12" w:rsidRPr="00E93F9C" w:rsidRDefault="006B1A12" w:rsidP="006B1A12">
      <w:pPr>
        <w:pStyle w:val="FootnoteText"/>
      </w:pPr>
      <w:r w:rsidRPr="006B1A12">
        <w:rPr>
          <w:vertAlign w:val="superscript"/>
        </w:rPr>
        <w:footnoteRef/>
      </w:r>
      <w:r w:rsidRPr="006B1A12">
        <w:t>Hartog &amp; Co.</w:t>
      </w:r>
      <w:r w:rsidRPr="006B1A12">
        <w:t xml:space="preserve"> </w:t>
      </w:r>
      <w:r w:rsidRPr="006B1A12">
        <w:t>v.</w:t>
      </w:r>
      <w:r w:rsidRPr="006B1A12">
        <w:t xml:space="preserve"> </w:t>
      </w:r>
      <w:r w:rsidRPr="006B1A12">
        <w:t>Swix.com, 136 F.</w:t>
      </w:r>
      <w:r w:rsidRPr="006B1A12">
        <w:t xml:space="preserve"> </w:t>
      </w:r>
      <w:r w:rsidRPr="006B1A12">
        <w:t>Supp.</w:t>
      </w:r>
      <w:r w:rsidRPr="006B1A12">
        <w:t xml:space="preserve"> </w:t>
      </w:r>
      <w:r w:rsidRPr="006B1A12">
        <w:t>2d 531, 537–38 (E.D.</w:t>
      </w:r>
      <w:r w:rsidRPr="006B1A12">
        <w:t xml:space="preserve"> </w:t>
      </w:r>
      <w:r w:rsidRPr="006B1A12">
        <w:t>Va.</w:t>
      </w:r>
      <w:r w:rsidRPr="006B1A12">
        <w:t xml:space="preserve"> </w:t>
      </w:r>
      <w:r w:rsidRPr="006B1A12">
        <w:t>2001).</w:t>
      </w:r>
    </w:p>
  </w:footnote>
  <w:footnote w:id="130">
    <w:p w14:paraId="66F96CE4" w14:textId="151CDDA2"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537–38.</w:t>
      </w:r>
      <w:r w:rsidRPr="006B1A12">
        <w:t xml:space="preserve"> </w:t>
      </w:r>
      <w:r w:rsidRPr="006B1A12">
        <w:t>See §IV, above, for a discussion of this issue.</w:t>
      </w:r>
    </w:p>
  </w:footnote>
  <w:footnote w:id="131">
    <w:p w14:paraId="43B4723D" w14:textId="7269B4E8" w:rsidR="006B1A12" w:rsidRPr="00E93F9C" w:rsidRDefault="006B1A12" w:rsidP="006B1A12">
      <w:pPr>
        <w:pStyle w:val="FootnoteText"/>
      </w:pPr>
      <w:r w:rsidRPr="006B1A12">
        <w:rPr>
          <w:vertAlign w:val="superscript"/>
        </w:rPr>
        <w:footnoteRef/>
      </w:r>
      <w:r w:rsidRPr="006B1A12">
        <w:t>In rem plaintiffs can only obtain a “forfeiture or cancellation of the domain name or the transfer of the domain name.” Lanham Act §43(d)(2)(D)(</w:t>
      </w:r>
      <w:proofErr w:type="spellStart"/>
      <w:r w:rsidRPr="006B1A12">
        <w:t>i</w:t>
      </w:r>
      <w:proofErr w:type="spellEnd"/>
      <w:r w:rsidRPr="006B1A12">
        <w:t>), 15 U.S.C.</w:t>
      </w:r>
      <w:r w:rsidRPr="006B1A12">
        <w:t xml:space="preserve"> </w:t>
      </w:r>
      <w:r w:rsidRPr="006B1A12">
        <w:t>§1125(d)(2)(D)(</w:t>
      </w:r>
      <w:proofErr w:type="spellStart"/>
      <w:r w:rsidRPr="006B1A12">
        <w:t>i</w:t>
      </w:r>
      <w:proofErr w:type="spellEnd"/>
      <w:r w:rsidRPr="006B1A12">
        <w:t>).</w:t>
      </w:r>
    </w:p>
  </w:footnote>
  <w:footnote w:id="132">
    <w:p w14:paraId="359F4E18" w14:textId="0F6F56BD" w:rsidR="006B1A12" w:rsidRPr="00E93F9C" w:rsidRDefault="006B1A12" w:rsidP="006B1A12">
      <w:pPr>
        <w:pStyle w:val="FootnoteText"/>
      </w:pPr>
      <w:r w:rsidRPr="006B1A12">
        <w:rPr>
          <w:vertAlign w:val="superscript"/>
        </w:rPr>
        <w:footnoteRef/>
      </w:r>
      <w:r w:rsidRPr="006B1A12">
        <w:rPr>
          <w:i/>
        </w:rPr>
        <w:t>See id</w:t>
      </w:r>
      <w:r w:rsidRPr="006B1A12">
        <w:t>.</w:t>
      </w:r>
      <w:r w:rsidRPr="006B1A12">
        <w:t xml:space="preserve"> </w:t>
      </w:r>
      <w:r w:rsidRPr="006B1A12">
        <w:t>§43(d)(2)(A), 15 U.S.C.</w:t>
      </w:r>
      <w:r w:rsidRPr="006B1A12">
        <w:t xml:space="preserve"> </w:t>
      </w:r>
      <w:r w:rsidRPr="006B1A12">
        <w:t>§1125(d)(2)(A).</w:t>
      </w:r>
    </w:p>
  </w:footnote>
  <w:footnote w:id="133">
    <w:p w14:paraId="0DDD3136" w14:textId="02B39262" w:rsidR="006B1A12" w:rsidRPr="00E93F9C" w:rsidRDefault="006B1A12" w:rsidP="006B1A12">
      <w:pPr>
        <w:pStyle w:val="FootnoteText"/>
      </w:pPr>
      <w:r w:rsidRPr="006B1A12">
        <w:rPr>
          <w:vertAlign w:val="superscript"/>
        </w:rPr>
        <w:footnoteRef/>
      </w:r>
      <w:r w:rsidRPr="006B1A12">
        <w:rPr>
          <w:i/>
        </w:rPr>
        <w:t>E</w:t>
      </w:r>
      <w:r w:rsidRPr="006B1A12">
        <w:t>.</w:t>
      </w:r>
      <w:r w:rsidRPr="006B1A12">
        <w:rPr>
          <w:i/>
        </w:rPr>
        <w:t>g</w:t>
      </w:r>
      <w:r w:rsidRPr="006B1A12">
        <w:t>., Cable News Network, L.P.</w:t>
      </w:r>
      <w:r w:rsidRPr="006B1A12">
        <w:t xml:space="preserve"> </w:t>
      </w:r>
      <w:r w:rsidRPr="006B1A12">
        <w:t>v.</w:t>
      </w:r>
      <w:r w:rsidRPr="006B1A12">
        <w:t xml:space="preserve"> </w:t>
      </w:r>
      <w:r w:rsidRPr="006B1A12">
        <w:t>cnnews.com, 177 F.</w:t>
      </w:r>
      <w:r w:rsidRPr="006B1A12">
        <w:t xml:space="preserve"> </w:t>
      </w:r>
      <w:r w:rsidRPr="006B1A12">
        <w:t>Supp.</w:t>
      </w:r>
      <w:r w:rsidRPr="006B1A12">
        <w:t xml:space="preserve"> </w:t>
      </w:r>
      <w:r w:rsidRPr="006B1A12">
        <w:t>2d 506, 61 USPQ2d 1331 (E.D.</w:t>
      </w:r>
      <w:r w:rsidRPr="006B1A12">
        <w:t xml:space="preserve"> </w:t>
      </w:r>
      <w:r w:rsidRPr="006B1A12">
        <w:t>Va.</w:t>
      </w:r>
      <w:r w:rsidRPr="006B1A12">
        <w:t xml:space="preserve"> </w:t>
      </w:r>
      <w:r w:rsidRPr="006B1A12">
        <w:t xml:space="preserve">2001), </w:t>
      </w:r>
      <w:r w:rsidRPr="006B1A12">
        <w:rPr>
          <w:i/>
        </w:rPr>
        <w:t>aff’d in part, vacated in part</w:t>
      </w:r>
      <w:r w:rsidRPr="006B1A12">
        <w:t>, 56 F.</w:t>
      </w:r>
      <w:r w:rsidRPr="006B1A12">
        <w:t xml:space="preserve"> </w:t>
      </w:r>
      <w:proofErr w:type="spellStart"/>
      <w:r w:rsidRPr="006B1A12">
        <w:t>App’x</w:t>
      </w:r>
      <w:proofErr w:type="spellEnd"/>
      <w:r w:rsidRPr="006B1A12">
        <w:t xml:space="preserve"> 599, 66 USPQ2d 1057 (4th Cir.</w:t>
      </w:r>
      <w:r w:rsidRPr="006B1A12">
        <w:t xml:space="preserve"> </w:t>
      </w:r>
      <w:r w:rsidRPr="006B1A12">
        <w:t xml:space="preserve">2003) (unpublished opinion) (the Fourth Circuit vacated the district court’s analysis on this point, relying on its decision in </w:t>
      </w:r>
      <w:r w:rsidRPr="006B1A12">
        <w:rPr>
          <w:i/>
        </w:rPr>
        <w:t>Harrods, Ltd</w:t>
      </w:r>
      <w:r w:rsidRPr="006B1A12">
        <w:t>.</w:t>
      </w:r>
      <w:r w:rsidRPr="006B1A12">
        <w:t xml:space="preserve"> </w:t>
      </w:r>
      <w:r w:rsidRPr="006B1A12">
        <w:rPr>
          <w:i/>
        </w:rPr>
        <w:t>v</w:t>
      </w:r>
      <w:r w:rsidRPr="006B1A12">
        <w:t>.</w:t>
      </w:r>
      <w:r w:rsidRPr="006B1A12">
        <w:t xml:space="preserve"> </w:t>
      </w:r>
      <w:r w:rsidRPr="006B1A12">
        <w:rPr>
          <w:i/>
        </w:rPr>
        <w:t>Sixty Internet Domain Names</w:t>
      </w:r>
      <w:r w:rsidRPr="006B1A12">
        <w:t>, 302 F.3d 214, 64 USPQ2d 1225 (4th Cir.</w:t>
      </w:r>
      <w:r w:rsidRPr="006B1A12">
        <w:t xml:space="preserve"> </w:t>
      </w:r>
      <w:r w:rsidRPr="006B1A12">
        <w:t>2002));</w:t>
      </w:r>
      <w:r w:rsidRPr="006B1A12">
        <w:t xml:space="preserve"> </w:t>
      </w:r>
      <w:r w:rsidRPr="006B1A12">
        <w:t>Hartog &amp; Co.</w:t>
      </w:r>
      <w:r w:rsidRPr="006B1A12">
        <w:t xml:space="preserve"> </w:t>
      </w:r>
      <w:r w:rsidRPr="006B1A12">
        <w:t>v.</w:t>
      </w:r>
      <w:r w:rsidRPr="006B1A12">
        <w:t xml:space="preserve"> </w:t>
      </w:r>
      <w:r w:rsidRPr="006B1A12">
        <w:t>SWIX.com, 136 F.</w:t>
      </w:r>
      <w:r w:rsidRPr="006B1A12">
        <w:t xml:space="preserve"> </w:t>
      </w:r>
      <w:r w:rsidRPr="006B1A12">
        <w:t>Supp.</w:t>
      </w:r>
      <w:r w:rsidRPr="006B1A12">
        <w:t xml:space="preserve"> </w:t>
      </w:r>
      <w:r w:rsidRPr="006B1A12">
        <w:t>2d 531, 539–40, 63 USPQ2d 1086 (E.D.</w:t>
      </w:r>
      <w:r w:rsidRPr="006B1A12">
        <w:t xml:space="preserve"> </w:t>
      </w:r>
      <w:r w:rsidRPr="006B1A12">
        <w:t>Va.</w:t>
      </w:r>
      <w:r w:rsidRPr="006B1A12">
        <w:t xml:space="preserve"> </w:t>
      </w:r>
      <w:r w:rsidRPr="006B1A12">
        <w:t>2001);</w:t>
      </w:r>
      <w:r w:rsidRPr="006B1A12">
        <w:t xml:space="preserve"> </w:t>
      </w:r>
      <w:r w:rsidRPr="006B1A12">
        <w:t>Harrods, Ltd.</w:t>
      </w:r>
      <w:r w:rsidRPr="006B1A12">
        <w:t xml:space="preserve"> </w:t>
      </w:r>
      <w:r w:rsidRPr="006B1A12">
        <w:t>v.</w:t>
      </w:r>
      <w:r w:rsidRPr="006B1A12">
        <w:t xml:space="preserve"> </w:t>
      </w:r>
      <w:r w:rsidRPr="006B1A12">
        <w:t>Sixty Internet Domain Names, 110 F.</w:t>
      </w:r>
      <w:r w:rsidRPr="006B1A12">
        <w:t xml:space="preserve"> </w:t>
      </w:r>
      <w:r w:rsidRPr="006B1A12">
        <w:t>Supp.</w:t>
      </w:r>
      <w:r w:rsidRPr="006B1A12">
        <w:t xml:space="preserve"> </w:t>
      </w:r>
      <w:r w:rsidRPr="006B1A12">
        <w:t>2d 420, 425–26, 56 USPQ2d 1048 (E.D.</w:t>
      </w:r>
      <w:r w:rsidRPr="006B1A12">
        <w:t xml:space="preserve"> </w:t>
      </w:r>
      <w:r w:rsidRPr="006B1A12">
        <w:t>Va.</w:t>
      </w:r>
      <w:r w:rsidRPr="006B1A12">
        <w:t xml:space="preserve"> </w:t>
      </w:r>
      <w:r w:rsidRPr="006B1A12">
        <w:t xml:space="preserve">2000), </w:t>
      </w:r>
      <w:proofErr w:type="spellStart"/>
      <w:r w:rsidRPr="006B1A12">
        <w:rPr>
          <w:i/>
        </w:rPr>
        <w:t>rev’d</w:t>
      </w:r>
      <w:proofErr w:type="spellEnd"/>
      <w:r w:rsidRPr="006B1A12">
        <w:t>, 302 F.3d 214, 64 USPQ2d 1225 (4th Cir.</w:t>
      </w:r>
      <w:r w:rsidRPr="006B1A12">
        <w:t xml:space="preserve"> </w:t>
      </w:r>
      <w:r w:rsidRPr="006B1A12">
        <w:t>2002) (Fourth Circuit held bad-faith intent to register, sue, or traffic not required;</w:t>
      </w:r>
      <w:r w:rsidRPr="006B1A12">
        <w:t xml:space="preserve"> </w:t>
      </w:r>
      <w:r w:rsidRPr="006B1A12">
        <w:t>mark owner can use infringement or dilution);</w:t>
      </w:r>
      <w:r w:rsidRPr="006B1A12">
        <w:t xml:space="preserve"> </w:t>
      </w:r>
      <w:proofErr w:type="spellStart"/>
      <w:r w:rsidRPr="006B1A12">
        <w:t>BroadBridge</w:t>
      </w:r>
      <w:proofErr w:type="spellEnd"/>
      <w:r w:rsidRPr="006B1A12">
        <w:t xml:space="preserve"> Media, LLC v.</w:t>
      </w:r>
      <w:r w:rsidRPr="006B1A12">
        <w:t xml:space="preserve"> </w:t>
      </w:r>
      <w:r w:rsidRPr="006B1A12">
        <w:t>Hypercd.com, 106 F.</w:t>
      </w:r>
      <w:r w:rsidRPr="006B1A12">
        <w:t xml:space="preserve"> </w:t>
      </w:r>
      <w:r w:rsidRPr="006B1A12">
        <w:t>Supp.</w:t>
      </w:r>
      <w:r w:rsidRPr="006B1A12">
        <w:t xml:space="preserve"> </w:t>
      </w:r>
      <w:r w:rsidRPr="006B1A12">
        <w:t>2d 505, 511, 55 USPQ2d 1426 (S.D.N.Y.</w:t>
      </w:r>
      <w:r w:rsidRPr="006B1A12">
        <w:t xml:space="preserve"> </w:t>
      </w:r>
      <w:r w:rsidRPr="006B1A12">
        <w:t>2000).</w:t>
      </w:r>
    </w:p>
  </w:footnote>
  <w:footnote w:id="134">
    <w:p w14:paraId="59C36BCB" w14:textId="6036B982" w:rsidR="006B1A12" w:rsidRPr="00397A9B" w:rsidRDefault="006B1A12" w:rsidP="006B1A12">
      <w:pPr>
        <w:pStyle w:val="FootnoteText"/>
        <w:rPr>
          <w:lang w:val="pt-BR"/>
        </w:rPr>
      </w:pPr>
      <w:r w:rsidRPr="006B1A12">
        <w:rPr>
          <w:vertAlign w:val="superscript"/>
        </w:rPr>
        <w:footnoteRef/>
      </w:r>
      <w:r w:rsidRPr="006B1A12">
        <w:t>Lanham Act §43(d)(2)(A)(ii)(I), (II), 15 U.S.C.</w:t>
      </w:r>
      <w:r w:rsidRPr="006B1A12">
        <w:t xml:space="preserve"> </w:t>
      </w:r>
      <w:r w:rsidRPr="006B1A12">
        <w:t>§1125(d)(2)(A)(ii)(I), (II).</w:t>
      </w:r>
    </w:p>
  </w:footnote>
  <w:footnote w:id="135">
    <w:p w14:paraId="25AC70EC" w14:textId="485E07F6" w:rsidR="006B1A12" w:rsidRPr="00397A9B" w:rsidRDefault="006B1A12" w:rsidP="006B1A12">
      <w:pPr>
        <w:pStyle w:val="FootnoteText"/>
        <w:rPr>
          <w:lang w:val="pt-BR"/>
        </w:rPr>
      </w:pPr>
      <w:r w:rsidRPr="006B1A12">
        <w:rPr>
          <w:vertAlign w:val="superscript"/>
        </w:rPr>
        <w:footnoteRef/>
      </w:r>
      <w:r w:rsidRPr="006B1A12">
        <w:rPr>
          <w:i/>
        </w:rPr>
        <w:t>E</w:t>
      </w:r>
      <w:r w:rsidRPr="006B1A12">
        <w:t>.</w:t>
      </w:r>
      <w:r w:rsidRPr="006B1A12">
        <w:rPr>
          <w:i/>
        </w:rPr>
        <w:t>g</w:t>
      </w:r>
      <w:r w:rsidRPr="006B1A12">
        <w:t xml:space="preserve">., </w:t>
      </w:r>
      <w:r w:rsidRPr="006B1A12">
        <w:rPr>
          <w:i/>
        </w:rPr>
        <w:t>Harrod’s Ltd</w:t>
      </w:r>
      <w:r w:rsidRPr="006B1A12">
        <w:t>., 110 F.</w:t>
      </w:r>
      <w:r w:rsidRPr="006B1A12">
        <w:t xml:space="preserve"> </w:t>
      </w:r>
      <w:r w:rsidRPr="006B1A12">
        <w:t>Supp.</w:t>
      </w:r>
      <w:r w:rsidRPr="006B1A12">
        <w:t xml:space="preserve"> </w:t>
      </w:r>
      <w:r w:rsidRPr="006B1A12">
        <w:t>2d at 425–26;</w:t>
      </w:r>
      <w:r w:rsidRPr="006B1A12">
        <w:t xml:space="preserve"> </w:t>
      </w:r>
      <w:proofErr w:type="spellStart"/>
      <w:r w:rsidRPr="006B1A12">
        <w:rPr>
          <w:i/>
        </w:rPr>
        <w:t>BroadBridge</w:t>
      </w:r>
      <w:proofErr w:type="spellEnd"/>
      <w:r w:rsidRPr="006B1A12">
        <w:rPr>
          <w:i/>
        </w:rPr>
        <w:t xml:space="preserve"> Media</w:t>
      </w:r>
      <w:r w:rsidRPr="006B1A12">
        <w:t>, 106 F.</w:t>
      </w:r>
      <w:r w:rsidRPr="006B1A12">
        <w:t xml:space="preserve"> </w:t>
      </w:r>
      <w:r w:rsidRPr="006B1A12">
        <w:t>Supp.</w:t>
      </w:r>
      <w:r w:rsidRPr="006B1A12">
        <w:t xml:space="preserve"> </w:t>
      </w:r>
      <w:r w:rsidRPr="006B1A12">
        <w:t>2d at 511.</w:t>
      </w:r>
    </w:p>
  </w:footnote>
  <w:footnote w:id="136">
    <w:p w14:paraId="77F7FD66" w14:textId="5A6440B5" w:rsidR="006B1A12" w:rsidRPr="00397A9B" w:rsidRDefault="006B1A12" w:rsidP="006B1A12">
      <w:pPr>
        <w:pStyle w:val="FootnoteText"/>
        <w:rPr>
          <w:lang w:val="pt-BR"/>
        </w:rPr>
      </w:pPr>
      <w:r w:rsidRPr="006B1A12">
        <w:rPr>
          <w:vertAlign w:val="superscript"/>
        </w:rPr>
        <w:footnoteRef/>
      </w:r>
      <w:r w:rsidRPr="006B1A12">
        <w:rPr>
          <w:i/>
        </w:rPr>
        <w:t>Harrod’s Ltd</w:t>
      </w:r>
      <w:r w:rsidRPr="006B1A12">
        <w:t>., 110 F.</w:t>
      </w:r>
      <w:r w:rsidRPr="006B1A12">
        <w:t xml:space="preserve"> </w:t>
      </w:r>
      <w:r w:rsidRPr="006B1A12">
        <w:t>Supp.</w:t>
      </w:r>
      <w:r w:rsidRPr="006B1A12">
        <w:t xml:space="preserve"> </w:t>
      </w:r>
      <w:r w:rsidRPr="006B1A12">
        <w:t>2d at 426.</w:t>
      </w:r>
    </w:p>
  </w:footnote>
  <w:footnote w:id="137">
    <w:p w14:paraId="29D6E7F2" w14:textId="53133F83" w:rsidR="006B1A12" w:rsidRPr="00E93F9C" w:rsidRDefault="006B1A12" w:rsidP="006B1A12">
      <w:pPr>
        <w:pStyle w:val="FootnoteText"/>
      </w:pPr>
      <w:r w:rsidRPr="006B1A12">
        <w:rPr>
          <w:vertAlign w:val="superscript"/>
        </w:rPr>
        <w:footnoteRef/>
      </w:r>
      <w:r w:rsidRPr="006B1A12">
        <w:rPr>
          <w:i/>
        </w:rPr>
        <w:t>Cable News Network</w:t>
      </w:r>
      <w:r w:rsidRPr="006B1A12">
        <w:t>, 177 F.</w:t>
      </w:r>
      <w:r w:rsidRPr="006B1A12">
        <w:t xml:space="preserve"> </w:t>
      </w:r>
      <w:r w:rsidRPr="006B1A12">
        <w:t>Supp.</w:t>
      </w:r>
      <w:r w:rsidRPr="006B1A12">
        <w:t xml:space="preserve"> </w:t>
      </w:r>
      <w:r w:rsidRPr="006B1A12">
        <w:t>2d at 522–23.</w:t>
      </w:r>
    </w:p>
  </w:footnote>
  <w:footnote w:id="138">
    <w:p w14:paraId="6CF3E8DC" w14:textId="247863AD"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523.</w:t>
      </w:r>
    </w:p>
  </w:footnote>
  <w:footnote w:id="139">
    <w:p w14:paraId="6E1620F9" w14:textId="00887656" w:rsidR="006B1A12" w:rsidRPr="00E93F9C" w:rsidRDefault="006B1A12" w:rsidP="006B1A12">
      <w:pPr>
        <w:pStyle w:val="FootnoteText"/>
      </w:pPr>
      <w:r w:rsidRPr="006B1A12">
        <w:rPr>
          <w:vertAlign w:val="superscript"/>
        </w:rPr>
        <w:footnoteRef/>
      </w:r>
      <w:r w:rsidRPr="006B1A12">
        <w:t>302 F.3d 214, 64 USPQ2d 1225 (4th Cir.</w:t>
      </w:r>
      <w:r w:rsidRPr="006B1A12">
        <w:t xml:space="preserve"> </w:t>
      </w:r>
      <w:r w:rsidRPr="006B1A12">
        <w:t>2002).</w:t>
      </w:r>
    </w:p>
  </w:footnote>
  <w:footnote w:id="140">
    <w:p w14:paraId="07DFA0B9" w14:textId="1760DB97"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229–32.</w:t>
      </w:r>
      <w:r w:rsidRPr="006B1A12">
        <w:t xml:space="preserve"> </w:t>
      </w:r>
      <w:r w:rsidRPr="006B1A12">
        <w:rPr>
          <w:i/>
        </w:rPr>
        <w:t>But cf</w:t>
      </w:r>
      <w:r w:rsidRPr="006B1A12">
        <w:t>.</w:t>
      </w:r>
      <w:r w:rsidRPr="006B1A12">
        <w:t xml:space="preserve"> </w:t>
      </w:r>
      <w:r w:rsidRPr="006B1A12">
        <w:t>Virtual Works, Inc.</w:t>
      </w:r>
      <w:r w:rsidRPr="006B1A12">
        <w:t xml:space="preserve"> </w:t>
      </w:r>
      <w:r w:rsidRPr="006B1A12">
        <w:t>v.</w:t>
      </w:r>
      <w:r w:rsidRPr="006B1A12">
        <w:t xml:space="preserve"> </w:t>
      </w:r>
      <w:r w:rsidRPr="006B1A12">
        <w:t>Volkswagen of Am., Inc., 238 F.3d 264, 270, 57 USPQ2d 1547 (4th Cir.</w:t>
      </w:r>
      <w:r w:rsidRPr="006B1A12">
        <w:t xml:space="preserve"> </w:t>
      </w:r>
      <w:r w:rsidRPr="006B1A12">
        <w:t>2001) (Fourth Circuit wary of taking an overly expansive view of the ACPA).</w:t>
      </w:r>
      <w:r w:rsidRPr="006B1A12">
        <w:t xml:space="preserve"> </w:t>
      </w:r>
      <w:r w:rsidRPr="006B1A12">
        <w:t xml:space="preserve">Allowing other than bad-faith registration claims under the </w:t>
      </w:r>
      <w:proofErr w:type="gramStart"/>
      <w:r w:rsidRPr="006B1A12">
        <w:t>in rem</w:t>
      </w:r>
      <w:proofErr w:type="gramEnd"/>
      <w:r w:rsidRPr="006B1A12">
        <w:t xml:space="preserve"> provisions does expand the reach of the statute somewhat.</w:t>
      </w:r>
    </w:p>
  </w:footnote>
  <w:footnote w:id="141">
    <w:p w14:paraId="42D73A37" w14:textId="1C9B74DB" w:rsidR="006B1A12" w:rsidRPr="00E93F9C" w:rsidRDefault="006B1A12" w:rsidP="006B1A12">
      <w:pPr>
        <w:pStyle w:val="FootnoteText"/>
      </w:pPr>
      <w:r w:rsidRPr="006B1A12">
        <w:rPr>
          <w:vertAlign w:val="superscript"/>
        </w:rPr>
        <w:footnoteRef/>
      </w:r>
      <w:r w:rsidRPr="006B1A12">
        <w:t>Lanham Act §43(d)(2)(D), 15 U.S.C.</w:t>
      </w:r>
      <w:r w:rsidRPr="006B1A12">
        <w:t xml:space="preserve"> </w:t>
      </w:r>
      <w:r w:rsidRPr="006B1A12">
        <w:t>§1125(d)(2)(D).</w:t>
      </w:r>
    </w:p>
  </w:footnote>
  <w:footnote w:id="142">
    <w:p w14:paraId="63E5560F" w14:textId="79528C54" w:rsidR="006B1A12" w:rsidRPr="00E93F9C" w:rsidRDefault="006B1A12" w:rsidP="006B1A12">
      <w:pPr>
        <w:pStyle w:val="FootnoteText"/>
      </w:pPr>
      <w:r w:rsidRPr="006B1A12">
        <w:rPr>
          <w:vertAlign w:val="superscript"/>
        </w:rPr>
        <w:footnoteRef/>
      </w:r>
      <w:r w:rsidRPr="006B1A12">
        <w:rPr>
          <w:i/>
        </w:rPr>
        <w:t>See</w:t>
      </w:r>
      <w:r w:rsidRPr="006B1A12">
        <w:t xml:space="preserve"> Harrods, Ltd.</w:t>
      </w:r>
      <w:r w:rsidRPr="006B1A12">
        <w:t xml:space="preserve"> </w:t>
      </w:r>
      <w:r w:rsidRPr="006B1A12">
        <w:t>v.</w:t>
      </w:r>
      <w:r w:rsidRPr="006B1A12">
        <w:t xml:space="preserve"> </w:t>
      </w:r>
      <w:r w:rsidRPr="006B1A12">
        <w:t>Sixty Internet Domain Names, 110 F.</w:t>
      </w:r>
      <w:r w:rsidRPr="006B1A12">
        <w:t xml:space="preserve"> </w:t>
      </w:r>
      <w:r w:rsidRPr="006B1A12">
        <w:t>Supp.</w:t>
      </w:r>
      <w:r w:rsidRPr="006B1A12">
        <w:t xml:space="preserve"> </w:t>
      </w:r>
      <w:r w:rsidRPr="006B1A12">
        <w:t>2d 420, 426, 56 USPQ2d 1048 (E.D.</w:t>
      </w:r>
      <w:r w:rsidRPr="006B1A12">
        <w:t xml:space="preserve"> </w:t>
      </w:r>
      <w:r w:rsidRPr="006B1A12">
        <w:t>Va.</w:t>
      </w:r>
      <w:r w:rsidRPr="006B1A12">
        <w:t xml:space="preserve"> </w:t>
      </w:r>
      <w:r w:rsidRPr="006B1A12">
        <w:t xml:space="preserve">2000) (noting but ultimately rejecting this argument), </w:t>
      </w:r>
      <w:proofErr w:type="spellStart"/>
      <w:r w:rsidRPr="006B1A12">
        <w:rPr>
          <w:i/>
        </w:rPr>
        <w:t>rev’d</w:t>
      </w:r>
      <w:proofErr w:type="spellEnd"/>
      <w:r w:rsidRPr="006B1A12">
        <w:t>, 302 F.3d 214, 64 USPQ2d 1225 (4th Cir.</w:t>
      </w:r>
      <w:r w:rsidRPr="006B1A12">
        <w:t xml:space="preserve"> </w:t>
      </w:r>
      <w:r w:rsidRPr="006B1A12">
        <w:t>2002) (holding mark owner can assert infringement or dilution claims not requiring bad faith under in rem provisions).</w:t>
      </w:r>
    </w:p>
  </w:footnote>
  <w:footnote w:id="143">
    <w:p w14:paraId="0E605762" w14:textId="6EDE745D" w:rsidR="006B1A12" w:rsidRPr="00E93F9C" w:rsidRDefault="006B1A12" w:rsidP="006B1A12">
      <w:pPr>
        <w:pStyle w:val="FootnoteText"/>
      </w:pPr>
      <w:r w:rsidRPr="006B1A12">
        <w:rPr>
          <w:vertAlign w:val="superscript"/>
        </w:rPr>
        <w:footnoteRef/>
      </w:r>
      <w:r w:rsidRPr="006B1A12">
        <w:rPr>
          <w:i/>
        </w:rPr>
        <w:t>Id</w:t>
      </w:r>
      <w:r w:rsidRPr="006B1A12">
        <w:t>.</w:t>
      </w:r>
    </w:p>
  </w:footnote>
  <w:footnote w:id="144">
    <w:p w14:paraId="11952EB4" w14:textId="30AC0D85" w:rsidR="006B1A12" w:rsidRPr="00E93F9C" w:rsidRDefault="006B1A12" w:rsidP="006B1A12">
      <w:pPr>
        <w:pStyle w:val="FootnoteText"/>
      </w:pPr>
      <w:r w:rsidRPr="006B1A12">
        <w:rPr>
          <w:vertAlign w:val="superscript"/>
        </w:rPr>
        <w:footnoteRef/>
      </w:r>
      <w:r w:rsidRPr="006B1A12">
        <w:t>Jack in the Box, Inc.</w:t>
      </w:r>
      <w:r w:rsidRPr="006B1A12">
        <w:t xml:space="preserve"> </w:t>
      </w:r>
      <w:r w:rsidRPr="006B1A12">
        <w:t>v.</w:t>
      </w:r>
      <w:r w:rsidRPr="006B1A12">
        <w:t xml:space="preserve"> </w:t>
      </w:r>
      <w:r w:rsidRPr="006B1A12">
        <w:t>Jackinthebox.org, 143 F.</w:t>
      </w:r>
      <w:r w:rsidRPr="006B1A12">
        <w:t xml:space="preserve"> </w:t>
      </w:r>
      <w:r w:rsidRPr="006B1A12">
        <w:t>Supp.</w:t>
      </w:r>
      <w:r w:rsidRPr="006B1A12">
        <w:t xml:space="preserve"> </w:t>
      </w:r>
      <w:r w:rsidRPr="006B1A12">
        <w:t>2d 590, 592 (E.D.</w:t>
      </w:r>
      <w:r w:rsidRPr="006B1A12">
        <w:t xml:space="preserve"> </w:t>
      </w:r>
      <w:r w:rsidRPr="006B1A12">
        <w:t>Va.</w:t>
      </w:r>
      <w:r w:rsidRPr="006B1A12">
        <w:t xml:space="preserve"> </w:t>
      </w:r>
      <w:r w:rsidRPr="006B1A12">
        <w:t>2001).</w:t>
      </w:r>
    </w:p>
  </w:footnote>
  <w:footnote w:id="145">
    <w:p w14:paraId="4A330FCE" w14:textId="67230BBE" w:rsidR="006B1A12" w:rsidRPr="00E93F9C" w:rsidRDefault="006B1A12" w:rsidP="006B1A12">
      <w:pPr>
        <w:pStyle w:val="FootnoteText"/>
      </w:pPr>
      <w:r w:rsidRPr="006B1A12">
        <w:rPr>
          <w:vertAlign w:val="superscript"/>
        </w:rPr>
        <w:footnoteRef/>
      </w:r>
      <w:r w:rsidRPr="006B1A12">
        <w:rPr>
          <w:i/>
        </w:rPr>
        <w:t>Id</w:t>
      </w:r>
      <w:r w:rsidRPr="006B1A12">
        <w:t>.</w:t>
      </w:r>
    </w:p>
  </w:footnote>
  <w:footnote w:id="146">
    <w:p w14:paraId="2543EA96" w14:textId="0D92DECD" w:rsidR="006B1A12" w:rsidRPr="00E93F9C" w:rsidRDefault="006B1A12" w:rsidP="006B1A12">
      <w:pPr>
        <w:pStyle w:val="FootnoteText"/>
      </w:pPr>
      <w:r w:rsidRPr="006B1A12">
        <w:rPr>
          <w:vertAlign w:val="superscript"/>
        </w:rPr>
        <w:footnoteRef/>
      </w:r>
      <w:r w:rsidRPr="006B1A12">
        <w:t xml:space="preserve">145 </w:t>
      </w:r>
      <w:r w:rsidRPr="006B1A12">
        <w:rPr>
          <w:smallCaps/>
        </w:rPr>
        <w:t>Cong.</w:t>
      </w:r>
      <w:r w:rsidRPr="006B1A12">
        <w:rPr>
          <w:smallCaps/>
        </w:rPr>
        <w:t xml:space="preserve"> </w:t>
      </w:r>
      <w:r w:rsidRPr="006B1A12">
        <w:rPr>
          <w:smallCaps/>
        </w:rPr>
        <w:t>Rec.</w:t>
      </w:r>
      <w:r w:rsidRPr="006B1A12">
        <w:rPr>
          <w:smallCaps/>
        </w:rPr>
        <w:t xml:space="preserve"> </w:t>
      </w:r>
      <w:r w:rsidRPr="006B1A12">
        <w:t>S10518 (Aug.</w:t>
      </w:r>
      <w:r w:rsidRPr="006B1A12">
        <w:t xml:space="preserve"> </w:t>
      </w:r>
      <w:r w:rsidRPr="006B1A12">
        <w:t>5, 1999) (remarks of Sen.</w:t>
      </w:r>
      <w:r w:rsidRPr="006B1A12">
        <w:t xml:space="preserve"> </w:t>
      </w:r>
      <w:r w:rsidRPr="006B1A12">
        <w:t>Leahy).</w:t>
      </w:r>
    </w:p>
  </w:footnote>
  <w:footnote w:id="147">
    <w:p w14:paraId="2E6313CD" w14:textId="468670E2" w:rsidR="006B1A12" w:rsidRPr="00E93F9C" w:rsidRDefault="006B1A12" w:rsidP="006B1A12">
      <w:pPr>
        <w:pStyle w:val="FootnoteText"/>
      </w:pPr>
      <w:r w:rsidRPr="006B1A12">
        <w:rPr>
          <w:vertAlign w:val="superscript"/>
        </w:rPr>
        <w:footnoteRef/>
      </w:r>
      <w:r w:rsidRPr="006B1A12">
        <w:rPr>
          <w:i/>
        </w:rPr>
        <w:t>Id</w:t>
      </w:r>
      <w:r w:rsidRPr="006B1A12">
        <w:t>.</w:t>
      </w:r>
    </w:p>
  </w:footnote>
  <w:footnote w:id="148">
    <w:p w14:paraId="2A41FE5F" w14:textId="0A22B803" w:rsidR="006B1A12" w:rsidRPr="00E93F9C" w:rsidRDefault="006B1A12" w:rsidP="006B1A12">
      <w:pPr>
        <w:pStyle w:val="FootnoteText"/>
      </w:pPr>
      <w:r w:rsidRPr="006B1A12">
        <w:rPr>
          <w:vertAlign w:val="superscript"/>
        </w:rPr>
        <w:footnoteRef/>
      </w:r>
      <w:r w:rsidRPr="006B1A12">
        <w:t>Lanham Act §43(d)(2)(A)(</w:t>
      </w:r>
      <w:proofErr w:type="spellStart"/>
      <w:r w:rsidRPr="006B1A12">
        <w:t>i</w:t>
      </w:r>
      <w:proofErr w:type="spellEnd"/>
      <w:r w:rsidRPr="006B1A12">
        <w:t>), 15 U.S.C.</w:t>
      </w:r>
      <w:r w:rsidRPr="006B1A12">
        <w:t xml:space="preserve"> </w:t>
      </w:r>
      <w:r w:rsidRPr="006B1A12">
        <w:t>§1125(d)(2)(A)(</w:t>
      </w:r>
      <w:proofErr w:type="spellStart"/>
      <w:r w:rsidRPr="006B1A12">
        <w:t>i</w:t>
      </w:r>
      <w:proofErr w:type="spellEnd"/>
      <w:r w:rsidRPr="006B1A12">
        <w:t>).</w:t>
      </w:r>
    </w:p>
  </w:footnote>
  <w:footnote w:id="149">
    <w:p w14:paraId="0D0F2F53" w14:textId="2EA5676B" w:rsidR="006B1A12" w:rsidRPr="00E93F9C" w:rsidRDefault="006B1A12" w:rsidP="006B1A12">
      <w:pPr>
        <w:pStyle w:val="FootnoteText"/>
      </w:pPr>
      <w:r w:rsidRPr="006B1A12">
        <w:rPr>
          <w:vertAlign w:val="superscript"/>
        </w:rPr>
        <w:footnoteRef/>
      </w:r>
      <w:r w:rsidRPr="006B1A12">
        <w:t>Southern Co.</w:t>
      </w:r>
      <w:r w:rsidRPr="006B1A12">
        <w:t xml:space="preserve"> </w:t>
      </w:r>
      <w:r w:rsidRPr="006B1A12">
        <w:t>v.</w:t>
      </w:r>
      <w:r w:rsidRPr="006B1A12">
        <w:t xml:space="preserve"> </w:t>
      </w:r>
      <w:proofErr w:type="spellStart"/>
      <w:r w:rsidRPr="006B1A12">
        <w:t>Dauben</w:t>
      </w:r>
      <w:proofErr w:type="spellEnd"/>
      <w:r w:rsidRPr="006B1A12">
        <w:t>, Inc., 324 F.</w:t>
      </w:r>
      <w:r w:rsidRPr="006B1A12">
        <w:t xml:space="preserve"> </w:t>
      </w:r>
      <w:proofErr w:type="spellStart"/>
      <w:r w:rsidRPr="006B1A12">
        <w:t>App’x</w:t>
      </w:r>
      <w:proofErr w:type="spellEnd"/>
      <w:r w:rsidRPr="006B1A12">
        <w:t xml:space="preserve"> 309, 318–19, 90 USPQ2d 1651 (5th Cir.</w:t>
      </w:r>
      <w:r w:rsidRPr="006B1A12">
        <w:t xml:space="preserve"> </w:t>
      </w:r>
      <w:r w:rsidRPr="006B1A12">
        <w:t>2009) (reversing grant of preliminary injunction on grounds that showing that defendant’s domain name was confusingly similar was not sufficient evidence of irreparable harm);</w:t>
      </w:r>
      <w:r w:rsidRPr="006B1A12">
        <w:t xml:space="preserve"> </w:t>
      </w:r>
      <w:r w:rsidRPr="006B1A12">
        <w:rPr>
          <w:i/>
        </w:rPr>
        <w:t>see</w:t>
      </w:r>
      <w:r w:rsidRPr="006B1A12">
        <w:t xml:space="preserve"> Winter v.</w:t>
      </w:r>
      <w:r w:rsidRPr="006B1A12">
        <w:t xml:space="preserve"> </w:t>
      </w:r>
      <w:r w:rsidRPr="006B1A12">
        <w:t>Natural Res.</w:t>
      </w:r>
      <w:r w:rsidRPr="006B1A12">
        <w:t xml:space="preserve"> </w:t>
      </w:r>
      <w:r w:rsidRPr="006B1A12">
        <w:t>Def.</w:t>
      </w:r>
      <w:r w:rsidRPr="006B1A12">
        <w:t xml:space="preserve"> </w:t>
      </w:r>
      <w:r w:rsidRPr="006B1A12">
        <w:t>Council, Inc., 555 U.S.</w:t>
      </w:r>
      <w:r w:rsidRPr="006B1A12">
        <w:t xml:space="preserve"> </w:t>
      </w:r>
      <w:r w:rsidRPr="006B1A12">
        <w:t>7, 22 (2008) (“Issuing a preliminary injunction based only on a possibility of irreparable harm is inconsistent with our characterization of injunctive relief as an extraordinary remedy that may only be awarded upon a clear showing that the plaintiff is entitled to such relief.”).</w:t>
      </w:r>
    </w:p>
  </w:footnote>
  <w:footnote w:id="150">
    <w:p w14:paraId="3D339605" w14:textId="218981E8" w:rsidR="006B1A12" w:rsidRPr="00E93F9C" w:rsidRDefault="006B1A12" w:rsidP="006B1A12">
      <w:pPr>
        <w:pStyle w:val="FootnoteText"/>
      </w:pPr>
      <w:r w:rsidRPr="006B1A12">
        <w:rPr>
          <w:vertAlign w:val="superscript"/>
        </w:rPr>
        <w:footnoteRef/>
      </w:r>
      <w:r w:rsidRPr="006B1A12">
        <w:t>Lanham Act §35(a), 15 U.S.C.</w:t>
      </w:r>
      <w:r w:rsidRPr="006B1A12">
        <w:t xml:space="preserve"> </w:t>
      </w:r>
      <w:r w:rsidRPr="006B1A12">
        <w:t>§1117(a).</w:t>
      </w:r>
    </w:p>
  </w:footnote>
  <w:footnote w:id="151">
    <w:p w14:paraId="1E6A2ED1" w14:textId="1A7D3B21" w:rsidR="006B1A12" w:rsidRPr="00E93F9C" w:rsidRDefault="006B1A12" w:rsidP="006B1A12">
      <w:pPr>
        <w:pStyle w:val="FootnoteText"/>
      </w:pPr>
      <w:r w:rsidRPr="006B1A12">
        <w:rPr>
          <w:vertAlign w:val="superscript"/>
        </w:rPr>
        <w:footnoteRef/>
      </w:r>
      <w:r w:rsidRPr="006B1A12">
        <w:rPr>
          <w:i/>
        </w:rPr>
        <w:t>Id</w:t>
      </w:r>
      <w:r w:rsidRPr="006B1A12">
        <w:t>.</w:t>
      </w:r>
    </w:p>
  </w:footnote>
  <w:footnote w:id="152">
    <w:p w14:paraId="79BE36EB" w14:textId="515230DC" w:rsidR="006B1A12" w:rsidRPr="00E93F9C" w:rsidRDefault="006B1A12" w:rsidP="006B1A12">
      <w:pPr>
        <w:pStyle w:val="FootnoteText"/>
      </w:pPr>
      <w:r w:rsidRPr="006B1A12">
        <w:rPr>
          <w:vertAlign w:val="superscript"/>
        </w:rPr>
        <w:footnoteRef/>
      </w:r>
      <w:r w:rsidRPr="006B1A12">
        <w:rPr>
          <w:i/>
        </w:rPr>
        <w:t>Id</w:t>
      </w:r>
      <w:r w:rsidRPr="006B1A12">
        <w:t>.</w:t>
      </w:r>
    </w:p>
  </w:footnote>
  <w:footnote w:id="153">
    <w:p w14:paraId="3B1D4A1B" w14:textId="592959E3"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§35(d), 15 U.S.C.</w:t>
      </w:r>
      <w:r w:rsidRPr="006B1A12">
        <w:t xml:space="preserve"> </w:t>
      </w:r>
      <w:r w:rsidRPr="006B1A12">
        <w:t>§1117(d).</w:t>
      </w:r>
    </w:p>
  </w:footnote>
  <w:footnote w:id="154">
    <w:p w14:paraId="1C530A6F" w14:textId="12DEFE62" w:rsidR="006B1A12" w:rsidRPr="00E93F9C" w:rsidRDefault="006B1A12" w:rsidP="006B1A12">
      <w:pPr>
        <w:pStyle w:val="FootnoteText"/>
      </w:pPr>
      <w:r w:rsidRPr="006B1A12">
        <w:rPr>
          <w:vertAlign w:val="superscript"/>
        </w:rPr>
        <w:footnoteRef/>
      </w:r>
      <w:r w:rsidRPr="006B1A12">
        <w:t>Morrison &amp; Foerster, LLP v.</w:t>
      </w:r>
      <w:r w:rsidRPr="006B1A12">
        <w:t xml:space="preserve"> </w:t>
      </w:r>
      <w:r w:rsidRPr="006B1A12">
        <w:t>Wick, 94 F.</w:t>
      </w:r>
      <w:r w:rsidRPr="006B1A12">
        <w:t xml:space="preserve"> </w:t>
      </w:r>
      <w:r w:rsidRPr="006B1A12">
        <w:t>Supp.</w:t>
      </w:r>
      <w:r w:rsidRPr="006B1A12">
        <w:t xml:space="preserve"> </w:t>
      </w:r>
      <w:r w:rsidRPr="006B1A12">
        <w:t>2d 1125, 1136 (D.</w:t>
      </w:r>
      <w:r w:rsidRPr="006B1A12">
        <w:t xml:space="preserve"> </w:t>
      </w:r>
      <w:r w:rsidRPr="006B1A12">
        <w:t>Colo.</w:t>
      </w:r>
      <w:r w:rsidRPr="006B1A12">
        <w:t xml:space="preserve"> </w:t>
      </w:r>
      <w:r w:rsidRPr="006B1A12">
        <w:t>2000).</w:t>
      </w:r>
    </w:p>
  </w:footnote>
  <w:footnote w:id="155">
    <w:p w14:paraId="0D5E97CA" w14:textId="36154FFF" w:rsidR="006B1A12" w:rsidRPr="00E93F9C" w:rsidRDefault="006B1A12" w:rsidP="006B1A12">
      <w:pPr>
        <w:pStyle w:val="FootnoteText"/>
      </w:pPr>
      <w:r w:rsidRPr="006B1A12">
        <w:rPr>
          <w:vertAlign w:val="superscript"/>
        </w:rPr>
        <w:footnoteRef/>
      </w:r>
      <w:r w:rsidRPr="006B1A12">
        <w:t>Her, Inc.</w:t>
      </w:r>
      <w:r w:rsidRPr="006B1A12">
        <w:t xml:space="preserve"> </w:t>
      </w:r>
      <w:r w:rsidRPr="006B1A12">
        <w:t>v.</w:t>
      </w:r>
      <w:r w:rsidRPr="006B1A12">
        <w:t xml:space="preserve"> </w:t>
      </w:r>
      <w:proofErr w:type="spellStart"/>
      <w:r w:rsidRPr="006B1A12">
        <w:t>Re/MAX</w:t>
      </w:r>
      <w:proofErr w:type="spellEnd"/>
      <w:r w:rsidRPr="006B1A12">
        <w:t xml:space="preserve"> First Choice, LLC, 2011 WL 6019438, at *3–4, 2011 BL 302467 (S.D.</w:t>
      </w:r>
      <w:r w:rsidRPr="006B1A12">
        <w:t xml:space="preserve"> </w:t>
      </w:r>
      <w:r w:rsidRPr="006B1A12">
        <w:t>Ohio Dec.</w:t>
      </w:r>
      <w:r w:rsidRPr="006B1A12">
        <w:t xml:space="preserve"> </w:t>
      </w:r>
      <w:r w:rsidRPr="006B1A12">
        <w:t>1, 2011) (awarding fees to plaintiff);</w:t>
      </w:r>
      <w:r w:rsidRPr="006B1A12">
        <w:t xml:space="preserve"> </w:t>
      </w:r>
      <w:r w:rsidRPr="006B1A12">
        <w:t>Career Agents Network, Inc.</w:t>
      </w:r>
      <w:r w:rsidRPr="006B1A12">
        <w:t xml:space="preserve"> </w:t>
      </w:r>
      <w:r w:rsidRPr="006B1A12">
        <w:t>v.</w:t>
      </w:r>
      <w:r w:rsidRPr="006B1A12">
        <w:t xml:space="preserve"> </w:t>
      </w:r>
      <w:r w:rsidRPr="006B1A12">
        <w:t>careeragentsnetwork.biz, 722 F.</w:t>
      </w:r>
      <w:r w:rsidRPr="006B1A12">
        <w:t xml:space="preserve"> </w:t>
      </w:r>
      <w:r w:rsidRPr="006B1A12">
        <w:t>Supp.</w:t>
      </w:r>
      <w:r w:rsidRPr="006B1A12">
        <w:t xml:space="preserve"> </w:t>
      </w:r>
      <w:r w:rsidRPr="006B1A12">
        <w:t>2d 814 (E.D.</w:t>
      </w:r>
      <w:r w:rsidRPr="006B1A12">
        <w:t xml:space="preserve"> </w:t>
      </w:r>
      <w:r w:rsidRPr="006B1A12">
        <w:t>Mich.</w:t>
      </w:r>
      <w:r w:rsidRPr="006B1A12">
        <w:t xml:space="preserve"> </w:t>
      </w:r>
      <w:r w:rsidRPr="006B1A12">
        <w:t>2010) (awarding fees to prevailing defendant).</w:t>
      </w:r>
    </w:p>
  </w:footnote>
  <w:footnote w:id="156">
    <w:p w14:paraId="79AB0B5A" w14:textId="44B19606" w:rsidR="006B1A12" w:rsidRPr="00E93F9C" w:rsidRDefault="006B1A12" w:rsidP="006B1A12">
      <w:pPr>
        <w:pStyle w:val="FootnoteText"/>
      </w:pPr>
      <w:r w:rsidRPr="006B1A12">
        <w:rPr>
          <w:vertAlign w:val="superscript"/>
        </w:rPr>
        <w:footnoteRef/>
      </w:r>
      <w:r w:rsidRPr="006B1A12">
        <w:rPr>
          <w:i/>
        </w:rPr>
        <w:t>See, e</w:t>
      </w:r>
      <w:r w:rsidRPr="006B1A12">
        <w:t>.</w:t>
      </w:r>
      <w:r w:rsidRPr="006B1A12">
        <w:rPr>
          <w:i/>
        </w:rPr>
        <w:t>g</w:t>
      </w:r>
      <w:r w:rsidRPr="006B1A12">
        <w:t>., Northern Light Tech., Inc.</w:t>
      </w:r>
      <w:r w:rsidRPr="006B1A12">
        <w:t xml:space="preserve"> </w:t>
      </w:r>
      <w:r w:rsidRPr="006B1A12">
        <w:t>v.</w:t>
      </w:r>
      <w:r w:rsidRPr="006B1A12">
        <w:t xml:space="preserve"> </w:t>
      </w:r>
      <w:r w:rsidRPr="006B1A12">
        <w:t xml:space="preserve">Northern Lights Club, 236 F.3d 57, 57 USPQ2d 1277 (1st Cir.) (ACPA became effective after complaint filed), </w:t>
      </w:r>
      <w:r w:rsidRPr="006B1A12">
        <w:rPr>
          <w:i/>
        </w:rPr>
        <w:t>cert</w:t>
      </w:r>
      <w:r w:rsidRPr="006B1A12">
        <w:t>.</w:t>
      </w:r>
      <w:r w:rsidRPr="006B1A12">
        <w:t xml:space="preserve"> </w:t>
      </w:r>
      <w:r w:rsidRPr="006B1A12">
        <w:rPr>
          <w:i/>
        </w:rPr>
        <w:t>denied,</w:t>
      </w:r>
      <w:r w:rsidRPr="006B1A12">
        <w:t xml:space="preserve"> 533 U.S.</w:t>
      </w:r>
      <w:r w:rsidRPr="006B1A12">
        <w:t xml:space="preserve"> </w:t>
      </w:r>
      <w:r w:rsidRPr="006B1A12">
        <w:t>911 (2001);</w:t>
      </w:r>
      <w:r w:rsidRPr="006B1A12">
        <w:t xml:space="preserve"> </w:t>
      </w:r>
      <w:proofErr w:type="spellStart"/>
      <w:r w:rsidRPr="006B1A12">
        <w:t>Sporty’s</w:t>
      </w:r>
      <w:proofErr w:type="spellEnd"/>
      <w:r w:rsidRPr="006B1A12">
        <w:t xml:space="preserve"> Farm, L.L.C.</w:t>
      </w:r>
      <w:r w:rsidRPr="006B1A12">
        <w:t xml:space="preserve"> </w:t>
      </w:r>
      <w:r w:rsidRPr="006B1A12">
        <w:t>v.</w:t>
      </w:r>
      <w:r w:rsidRPr="006B1A12">
        <w:t xml:space="preserve"> </w:t>
      </w:r>
      <w:r w:rsidRPr="006B1A12">
        <w:t xml:space="preserve">Sportsman’s Mkt., Inc., 202 F.3d 489, 53 USPQ2d 1570 (2d Cir.) (same), </w:t>
      </w:r>
      <w:r w:rsidRPr="006B1A12">
        <w:rPr>
          <w:i/>
        </w:rPr>
        <w:t>cert</w:t>
      </w:r>
      <w:r w:rsidRPr="006B1A12">
        <w:t>.</w:t>
      </w:r>
      <w:r w:rsidRPr="006B1A12">
        <w:t xml:space="preserve"> </w:t>
      </w:r>
      <w:r w:rsidRPr="006B1A12">
        <w:rPr>
          <w:i/>
        </w:rPr>
        <w:t>denied</w:t>
      </w:r>
      <w:r w:rsidRPr="006B1A12">
        <w:t>, 530 U.S.</w:t>
      </w:r>
      <w:r w:rsidRPr="006B1A12">
        <w:t xml:space="preserve"> </w:t>
      </w:r>
      <w:r w:rsidRPr="006B1A12">
        <w:t>1262 (2000).</w:t>
      </w:r>
    </w:p>
  </w:footnote>
  <w:footnote w:id="157">
    <w:p w14:paraId="59687106" w14:textId="6F2092D4" w:rsidR="006B1A12" w:rsidRPr="00E93F9C" w:rsidRDefault="006B1A12" w:rsidP="006B1A12">
      <w:pPr>
        <w:pStyle w:val="FootnoteText"/>
      </w:pPr>
      <w:r w:rsidRPr="006B1A12">
        <w:rPr>
          <w:vertAlign w:val="superscript"/>
        </w:rPr>
        <w:footnoteRef/>
      </w:r>
      <w:proofErr w:type="spellStart"/>
      <w:r w:rsidRPr="006B1A12">
        <w:rPr>
          <w:i/>
        </w:rPr>
        <w:t>Sporty’s</w:t>
      </w:r>
      <w:proofErr w:type="spellEnd"/>
      <w:r w:rsidRPr="006B1A12">
        <w:rPr>
          <w:i/>
        </w:rPr>
        <w:t xml:space="preserve"> Farm</w:t>
      </w:r>
      <w:r w:rsidRPr="006B1A12">
        <w:t>, 202 F.3d at 496;</w:t>
      </w:r>
      <w:r w:rsidRPr="006B1A12">
        <w:t xml:space="preserve"> </w:t>
      </w:r>
      <w:r w:rsidRPr="006B1A12">
        <w:rPr>
          <w:i/>
        </w:rPr>
        <w:t>see</w:t>
      </w:r>
      <w:r w:rsidRPr="006B1A12">
        <w:t xml:space="preserve"> Cello Holdings, L.L.C.</w:t>
      </w:r>
      <w:r w:rsidRPr="006B1A12">
        <w:t xml:space="preserve"> </w:t>
      </w:r>
      <w:r w:rsidRPr="006B1A12">
        <w:t>v.</w:t>
      </w:r>
      <w:r w:rsidRPr="006B1A12">
        <w:t xml:space="preserve"> </w:t>
      </w:r>
      <w:r w:rsidRPr="006B1A12">
        <w:t>Lawrence-Dahl Cos., 89 F.</w:t>
      </w:r>
      <w:r w:rsidRPr="006B1A12">
        <w:t xml:space="preserve"> </w:t>
      </w:r>
      <w:r w:rsidRPr="006B1A12">
        <w:t>Supp.</w:t>
      </w:r>
      <w:r w:rsidRPr="006B1A12">
        <w:t xml:space="preserve"> </w:t>
      </w:r>
      <w:r w:rsidRPr="006B1A12">
        <w:t>2d 464, 472, 54 USPQ2d 1645 (S.D.N.Y.</w:t>
      </w:r>
      <w:r w:rsidRPr="006B1A12">
        <w:t xml:space="preserve"> </w:t>
      </w:r>
      <w:r w:rsidRPr="006B1A12">
        <w:t>2000).</w:t>
      </w:r>
    </w:p>
  </w:footnote>
  <w:footnote w:id="158">
    <w:p w14:paraId="114F42FB" w14:textId="213B91C3" w:rsidR="006B1A12" w:rsidRPr="00E93F9C" w:rsidRDefault="006B1A12" w:rsidP="006B1A12">
      <w:pPr>
        <w:pStyle w:val="FootnoteText"/>
      </w:pPr>
      <w:r w:rsidRPr="006B1A12">
        <w:rPr>
          <w:vertAlign w:val="superscript"/>
        </w:rPr>
        <w:footnoteRef/>
      </w:r>
      <w:r w:rsidRPr="006B1A12">
        <w:t>This section was not codified as part of the Lanham Act.</w:t>
      </w:r>
    </w:p>
  </w:footnote>
  <w:footnote w:id="159">
    <w:p w14:paraId="2DDC7D4C" w14:textId="1D12A531" w:rsidR="006B1A12" w:rsidRPr="00E93F9C" w:rsidRDefault="006B1A12" w:rsidP="006B1A12">
      <w:pPr>
        <w:pStyle w:val="FootnoteText"/>
      </w:pPr>
      <w:r w:rsidRPr="006B1A12">
        <w:rPr>
          <w:vertAlign w:val="superscript"/>
        </w:rPr>
        <w:footnoteRef/>
      </w:r>
      <w:r w:rsidRPr="006B1A12">
        <w:t>P.L.</w:t>
      </w:r>
      <w:r w:rsidRPr="006B1A12">
        <w:t xml:space="preserve"> </w:t>
      </w:r>
      <w:r w:rsidRPr="006B1A12">
        <w:t>106-113 §3010, 113 Stat.</w:t>
      </w:r>
      <w:r w:rsidRPr="006B1A12">
        <w:t xml:space="preserve"> </w:t>
      </w:r>
      <w:r w:rsidRPr="006B1A12">
        <w:t>1501A-552 (enacted Nov.</w:t>
      </w:r>
      <w:r w:rsidRPr="006B1A12">
        <w:t xml:space="preserve"> </w:t>
      </w:r>
      <w:r w:rsidRPr="006B1A12">
        <w:t>29, 1999) (emphasis added).</w:t>
      </w:r>
    </w:p>
  </w:footnote>
  <w:footnote w:id="160">
    <w:p w14:paraId="18129B54" w14:textId="09922083" w:rsidR="006B1A12" w:rsidRPr="00E93F9C" w:rsidRDefault="006B1A12" w:rsidP="006B1A12">
      <w:pPr>
        <w:pStyle w:val="FootnoteText"/>
      </w:pPr>
      <w:r w:rsidRPr="006B1A12">
        <w:rPr>
          <w:vertAlign w:val="superscript"/>
        </w:rPr>
        <w:footnoteRef/>
      </w:r>
      <w:r w:rsidRPr="006B1A12">
        <w:t>P.L.</w:t>
      </w:r>
      <w:r w:rsidRPr="006B1A12">
        <w:t xml:space="preserve"> </w:t>
      </w:r>
      <w:r w:rsidRPr="006B1A12">
        <w:t>106-113 §3010.</w:t>
      </w:r>
    </w:p>
  </w:footnote>
  <w:footnote w:id="161">
    <w:p w14:paraId="26F6DB6D" w14:textId="554BC811" w:rsidR="006B1A12" w:rsidRPr="00E93F9C" w:rsidRDefault="006B1A12" w:rsidP="006B1A12">
      <w:pPr>
        <w:pStyle w:val="FootnoteText"/>
      </w:pPr>
      <w:r w:rsidRPr="006B1A12">
        <w:rPr>
          <w:vertAlign w:val="superscript"/>
        </w:rPr>
        <w:footnoteRef/>
      </w:r>
      <w:r w:rsidRPr="006B1A12">
        <w:t>202 F.3d 489.</w:t>
      </w:r>
    </w:p>
  </w:footnote>
  <w:footnote w:id="162">
    <w:p w14:paraId="0C69BAC5" w14:textId="5AF87E8F" w:rsidR="006B1A12" w:rsidRPr="00E93F9C" w:rsidRDefault="006B1A12" w:rsidP="006B1A12">
      <w:pPr>
        <w:pStyle w:val="FootnoteText"/>
      </w:pPr>
      <w:r w:rsidRPr="006B1A12">
        <w:rPr>
          <w:vertAlign w:val="superscript"/>
        </w:rPr>
        <w:footnoteRef/>
      </w:r>
      <w:r w:rsidRPr="006B1A12">
        <w:rPr>
          <w:i/>
        </w:rPr>
        <w:t>Id</w:t>
      </w:r>
      <w:r w:rsidRPr="006B1A12">
        <w:t>.</w:t>
      </w:r>
      <w:r w:rsidRPr="006B1A12">
        <w:t xml:space="preserve"> </w:t>
      </w:r>
      <w:r w:rsidRPr="006B1A12">
        <w:t>at 502.</w:t>
      </w:r>
      <w:r w:rsidRPr="006B1A12">
        <w:t xml:space="preserve"> </w:t>
      </w:r>
      <w:r w:rsidRPr="006B1A12">
        <w:t xml:space="preserve">The court cited the Eighth Circuit’s opinion in </w:t>
      </w:r>
      <w:r w:rsidRPr="006B1A12">
        <w:rPr>
          <w:i/>
        </w:rPr>
        <w:t>Viacom, Inc</w:t>
      </w:r>
      <w:r w:rsidRPr="006B1A12">
        <w:t>.</w:t>
      </w:r>
      <w:r w:rsidRPr="006B1A12">
        <w:t xml:space="preserve"> </w:t>
      </w:r>
      <w:r w:rsidRPr="006B1A12">
        <w:rPr>
          <w:i/>
        </w:rPr>
        <w:t>v</w:t>
      </w:r>
      <w:r w:rsidRPr="006B1A12">
        <w:t>.</w:t>
      </w:r>
      <w:r w:rsidRPr="006B1A12">
        <w:t xml:space="preserve"> </w:t>
      </w:r>
      <w:r w:rsidRPr="006B1A12">
        <w:rPr>
          <w:i/>
        </w:rPr>
        <w:t>Ingram Enterprises, Inc</w:t>
      </w:r>
      <w:r w:rsidRPr="006B1A12">
        <w:t>., 141 F.3d 886, 889, 46 USPQ2d 1473 (8th Cir.</w:t>
      </w:r>
      <w:r w:rsidRPr="006B1A12">
        <w:t xml:space="preserve"> </w:t>
      </w:r>
      <w:r w:rsidRPr="006B1A12">
        <w:t>1998), where that court reached the same result under the FTDA.</w:t>
      </w:r>
    </w:p>
  </w:footnote>
  <w:footnote w:id="163">
    <w:p w14:paraId="68708DC5" w14:textId="701E7B65" w:rsidR="006B1A12" w:rsidRPr="00E93F9C" w:rsidRDefault="006B1A12" w:rsidP="006B1A12">
      <w:pPr>
        <w:pStyle w:val="FootnoteText"/>
      </w:pPr>
      <w:r w:rsidRPr="006B1A12">
        <w:rPr>
          <w:vertAlign w:val="superscript"/>
        </w:rPr>
        <w:footnoteRef/>
      </w:r>
      <w:r w:rsidRPr="006B1A12">
        <w:rPr>
          <w:i/>
        </w:rPr>
        <w:t>E</w:t>
      </w:r>
      <w:r w:rsidRPr="006B1A12">
        <w:t>.</w:t>
      </w:r>
      <w:r w:rsidRPr="006B1A12">
        <w:rPr>
          <w:i/>
        </w:rPr>
        <w:t>g</w:t>
      </w:r>
      <w:r w:rsidRPr="006B1A12">
        <w:t>., Virtual Works, Inc.</w:t>
      </w:r>
      <w:r w:rsidRPr="006B1A12">
        <w:t xml:space="preserve"> </w:t>
      </w:r>
      <w:r w:rsidRPr="006B1A12">
        <w:t>v.</w:t>
      </w:r>
      <w:r w:rsidRPr="006B1A12">
        <w:t xml:space="preserve"> </w:t>
      </w:r>
      <w:r w:rsidRPr="006B1A12">
        <w:t>Volkswagen of Am., Inc., 238 F.3d 264, 268, 57 USPQ2d 1547 (4th Cir.</w:t>
      </w:r>
      <w:r w:rsidRPr="006B1A12">
        <w:t xml:space="preserve"> </w:t>
      </w:r>
      <w:r w:rsidRPr="006B1A12">
        <w:t>2001);</w:t>
      </w:r>
      <w:r w:rsidRPr="006B1A12">
        <w:t xml:space="preserve"> </w:t>
      </w:r>
      <w:r w:rsidRPr="006B1A12">
        <w:t>Shields v.</w:t>
      </w:r>
      <w:r w:rsidRPr="006B1A12">
        <w:t xml:space="preserve"> </w:t>
      </w:r>
      <w:r w:rsidRPr="006B1A12">
        <w:t>Zuccarini, 89 F.</w:t>
      </w:r>
      <w:r w:rsidRPr="006B1A12">
        <w:t xml:space="preserve"> </w:t>
      </w:r>
      <w:r w:rsidRPr="006B1A12">
        <w:t>Supp.</w:t>
      </w:r>
      <w:r w:rsidRPr="006B1A12">
        <w:t xml:space="preserve"> </w:t>
      </w:r>
      <w:r w:rsidRPr="006B1A12">
        <w:t>2d 634, 642, 54 USPQ2d 1166 (E.D.</w:t>
      </w:r>
      <w:r w:rsidRPr="006B1A12">
        <w:t xml:space="preserve"> </w:t>
      </w:r>
      <w:r w:rsidRPr="006B1A12">
        <w:t>Pa.</w:t>
      </w:r>
      <w:r w:rsidRPr="006B1A12">
        <w:t xml:space="preserve"> </w:t>
      </w:r>
      <w:r w:rsidRPr="006B1A12">
        <w:t xml:space="preserve">2000), </w:t>
      </w:r>
      <w:r w:rsidRPr="006B1A12">
        <w:rPr>
          <w:i/>
        </w:rPr>
        <w:t>aff’d</w:t>
      </w:r>
      <w:r w:rsidRPr="006B1A12">
        <w:t>, 254 F.3d 476 (3d Cir.</w:t>
      </w:r>
      <w:r w:rsidRPr="006B1A12">
        <w:t xml:space="preserve"> </w:t>
      </w:r>
      <w:r w:rsidRPr="006B1A12">
        <w:t>2001);</w:t>
      </w:r>
      <w:r w:rsidRPr="006B1A12">
        <w:t xml:space="preserve"> </w:t>
      </w:r>
      <w:r w:rsidRPr="006B1A12">
        <w:t>Cello Holdings, L.L.C.</w:t>
      </w:r>
      <w:r w:rsidRPr="006B1A12">
        <w:t xml:space="preserve"> </w:t>
      </w:r>
      <w:r w:rsidRPr="006B1A12">
        <w:t>v.</w:t>
      </w:r>
      <w:r w:rsidRPr="006B1A12">
        <w:t xml:space="preserve"> </w:t>
      </w:r>
      <w:r w:rsidRPr="006B1A12">
        <w:t>Lawrence-Dahl Cos., 89 F.</w:t>
      </w:r>
      <w:r w:rsidRPr="006B1A12">
        <w:t xml:space="preserve"> </w:t>
      </w:r>
      <w:r w:rsidRPr="006B1A12">
        <w:t>Supp.</w:t>
      </w:r>
      <w:r w:rsidRPr="006B1A12">
        <w:t xml:space="preserve"> </w:t>
      </w:r>
      <w:r w:rsidRPr="006B1A12">
        <w:t>2d 464, 472, 54 USPQ2d 1645 (S.D.N.Y.</w:t>
      </w:r>
      <w:r w:rsidRPr="006B1A12">
        <w:t xml:space="preserve"> </w:t>
      </w:r>
      <w:r w:rsidRPr="006B1A12">
        <w:t>2000).</w:t>
      </w:r>
    </w:p>
  </w:footnote>
  <w:footnote w:id="164">
    <w:p w14:paraId="71E54C52" w14:textId="586D53E9" w:rsidR="006B1A12" w:rsidRPr="00E93F9C" w:rsidRDefault="006B1A12" w:rsidP="006B1A12">
      <w:pPr>
        <w:pStyle w:val="FootnoteText"/>
      </w:pPr>
      <w:r w:rsidRPr="006B1A12">
        <w:rPr>
          <w:vertAlign w:val="superscript"/>
        </w:rPr>
        <w:footnoteRef/>
      </w:r>
      <w:r w:rsidRPr="006B1A12">
        <w:rPr>
          <w:i/>
        </w:rPr>
        <w:t>Shields v</w:t>
      </w:r>
      <w:r w:rsidRPr="006B1A12">
        <w:t>.</w:t>
      </w:r>
      <w:r w:rsidRPr="006B1A12">
        <w:t xml:space="preserve"> </w:t>
      </w:r>
      <w:r w:rsidRPr="006B1A12">
        <w:rPr>
          <w:i/>
        </w:rPr>
        <w:t>Zuccarini</w:t>
      </w:r>
      <w:r w:rsidRPr="006B1A12">
        <w:t>, 254 F.3d at 486–87;</w:t>
      </w:r>
      <w:r w:rsidRPr="006B1A12">
        <w:t xml:space="preserve"> </w:t>
      </w:r>
      <w:r w:rsidRPr="006B1A12">
        <w:t>B &amp; F System, Inc.</w:t>
      </w:r>
      <w:r w:rsidRPr="006B1A12">
        <w:t xml:space="preserve"> </w:t>
      </w:r>
      <w:r w:rsidRPr="006B1A12">
        <w:t>v.</w:t>
      </w:r>
      <w:r w:rsidRPr="006B1A12">
        <w:t xml:space="preserve"> </w:t>
      </w:r>
      <w:r w:rsidRPr="006B1A12">
        <w:t>LeBlanc, 2011 U.S.</w:t>
      </w:r>
      <w:r w:rsidRPr="006B1A12">
        <w:t xml:space="preserve"> </w:t>
      </w:r>
      <w:r w:rsidRPr="006B1A12">
        <w:t>Dist.</w:t>
      </w:r>
      <w:r w:rsidRPr="006B1A12">
        <w:t xml:space="preserve"> </w:t>
      </w:r>
      <w:r w:rsidRPr="006B1A12">
        <w:t>LEXIS 103957, at *69 (M.D.</w:t>
      </w:r>
      <w:r w:rsidRPr="006B1A12">
        <w:t xml:space="preserve"> </w:t>
      </w:r>
      <w:r w:rsidRPr="006B1A12">
        <w:t>Ga.</w:t>
      </w:r>
      <w:r w:rsidRPr="006B1A12">
        <w:t xml:space="preserve"> </w:t>
      </w:r>
      <w:r w:rsidRPr="006B1A12">
        <w:t>Sept.</w:t>
      </w:r>
      <w:r w:rsidRPr="006B1A12">
        <w:t xml:space="preserve"> </w:t>
      </w:r>
      <w:r w:rsidRPr="006B1A12">
        <w:t>14, 2011) (citing cases);</w:t>
      </w:r>
      <w:r w:rsidRPr="006B1A12">
        <w:t xml:space="preserve"> </w:t>
      </w:r>
      <w:r w:rsidRPr="006B1A12">
        <w:t>E.</w:t>
      </w:r>
      <w:r w:rsidRPr="006B1A12">
        <w:t xml:space="preserve"> </w:t>
      </w:r>
      <w:r w:rsidRPr="006B1A12">
        <w:t>&amp; J.</w:t>
      </w:r>
      <w:r w:rsidRPr="006B1A12">
        <w:t xml:space="preserve"> </w:t>
      </w:r>
      <w:r w:rsidRPr="006B1A12">
        <w:t>Gallo Winery v.</w:t>
      </w:r>
      <w:r w:rsidRPr="006B1A12">
        <w:t xml:space="preserve"> </w:t>
      </w:r>
      <w:r w:rsidRPr="006B1A12">
        <w:t>Spider Webs, Ltd., 129 F.</w:t>
      </w:r>
      <w:r w:rsidRPr="006B1A12">
        <w:t xml:space="preserve"> </w:t>
      </w:r>
      <w:r w:rsidRPr="006B1A12">
        <w:t>Supp.</w:t>
      </w:r>
      <w:r w:rsidRPr="006B1A12">
        <w:t xml:space="preserve"> </w:t>
      </w:r>
      <w:r w:rsidRPr="006B1A12">
        <w:t>2d 1033, 1047–48 (S.D.</w:t>
      </w:r>
      <w:r w:rsidRPr="006B1A12">
        <w:t xml:space="preserve"> </w:t>
      </w:r>
      <w:r w:rsidRPr="006B1A12">
        <w:t>Tex.</w:t>
      </w:r>
      <w:r w:rsidRPr="006B1A12">
        <w:t xml:space="preserve"> </w:t>
      </w:r>
      <w:r w:rsidRPr="006B1A12">
        <w:t xml:space="preserve">2001), </w:t>
      </w:r>
      <w:r w:rsidRPr="006B1A12">
        <w:rPr>
          <w:i/>
        </w:rPr>
        <w:t>aff’d</w:t>
      </w:r>
      <w:r w:rsidRPr="006B1A12">
        <w:t>, 286 F.3d 270, 62 USPQ2d 1404 (5th Cir.</w:t>
      </w:r>
      <w:r w:rsidRPr="006B1A12">
        <w:t xml:space="preserve"> </w:t>
      </w:r>
      <w:r w:rsidRPr="006B1A12">
        <w:t>2002).</w:t>
      </w:r>
    </w:p>
  </w:footnote>
  <w:footnote w:id="165">
    <w:p w14:paraId="6D1E208C" w14:textId="7538F812" w:rsidR="006B1A12" w:rsidRPr="00E93F9C" w:rsidRDefault="006B1A12" w:rsidP="006B1A12">
      <w:pPr>
        <w:pStyle w:val="FootnoteText"/>
      </w:pPr>
      <w:r w:rsidRPr="006B1A12">
        <w:rPr>
          <w:vertAlign w:val="superscript"/>
        </w:rPr>
        <w:footnoteRef/>
      </w:r>
      <w:r w:rsidRPr="006B1A12">
        <w:rPr>
          <w:i/>
        </w:rPr>
        <w:t>See</w:t>
      </w:r>
      <w:r w:rsidRPr="006B1A12">
        <w:t xml:space="preserve"> Lanham Act §35(d), 15 U.S.C.</w:t>
      </w:r>
      <w:r w:rsidRPr="006B1A12">
        <w:t xml:space="preserve"> </w:t>
      </w:r>
      <w:r w:rsidRPr="006B1A12">
        <w:t>§1117(d) (permitting awards of between $1000 and $100,000 per domain name for ACPA violations).</w:t>
      </w:r>
      <w:r w:rsidRPr="006B1A12">
        <w:t xml:space="preserve"> </w:t>
      </w:r>
      <w:r w:rsidRPr="006B1A12">
        <w:t>Alternatively, ACPA claimants may use §35(a), which provides for a wide range of awards “subject to the principles of equity.” 15 U.S.C.</w:t>
      </w:r>
      <w:r w:rsidRPr="006B1A12">
        <w:t xml:space="preserve"> </w:t>
      </w:r>
      <w:r w:rsidRPr="006B1A12">
        <w:t>§1117(a).</w:t>
      </w:r>
    </w:p>
  </w:footnote>
  <w:footnote w:id="166">
    <w:p w14:paraId="557F0BE3" w14:textId="2591AFFE" w:rsidR="006B1A12" w:rsidRPr="00E93F9C" w:rsidRDefault="006B1A12" w:rsidP="006B1A12">
      <w:pPr>
        <w:pStyle w:val="FootnoteText"/>
      </w:pPr>
      <w:r w:rsidRPr="006B1A12">
        <w:rPr>
          <w:vertAlign w:val="superscript"/>
        </w:rPr>
        <w:footnoteRef/>
      </w:r>
      <w:r w:rsidRPr="006B1A12">
        <w:rPr>
          <w:i/>
        </w:rPr>
        <w:t>See</w:t>
      </w:r>
      <w:r w:rsidRPr="006B1A12">
        <w:t xml:space="preserve"> Chapter 10, §IX.</w:t>
      </w:r>
    </w:p>
  </w:footnote>
  <w:footnote w:id="167">
    <w:p w14:paraId="5E12C397" w14:textId="3E259CB5" w:rsidR="006B1A12" w:rsidRPr="00E93F9C" w:rsidRDefault="006B1A12" w:rsidP="006B1A12">
      <w:pPr>
        <w:pStyle w:val="FootnoteText"/>
      </w:pPr>
      <w:r w:rsidRPr="006B1A12">
        <w:rPr>
          <w:vertAlign w:val="superscript"/>
        </w:rPr>
        <w:footnoteRef/>
      </w:r>
      <w:r w:rsidRPr="006B1A12">
        <w:rPr>
          <w:i/>
        </w:rPr>
        <w:t>Virtual Works</w:t>
      </w:r>
      <w:r w:rsidRPr="006B1A12">
        <w:t>, 238 F.3d at 269;</w:t>
      </w:r>
      <w:r w:rsidRPr="006B1A12">
        <w:t xml:space="preserve"> </w:t>
      </w:r>
      <w:proofErr w:type="spellStart"/>
      <w:r w:rsidRPr="006B1A12">
        <w:t>Sporty’s</w:t>
      </w:r>
      <w:proofErr w:type="spellEnd"/>
      <w:r w:rsidRPr="006B1A12">
        <w:t xml:space="preserve"> Farm, L.L.C.</w:t>
      </w:r>
      <w:r w:rsidRPr="006B1A12">
        <w:t xml:space="preserve"> </w:t>
      </w:r>
      <w:r w:rsidRPr="006B1A12">
        <w:t>v.</w:t>
      </w:r>
      <w:r w:rsidRPr="006B1A12">
        <w:t xml:space="preserve"> </w:t>
      </w:r>
      <w:r w:rsidRPr="006B1A12">
        <w:t xml:space="preserve">Sportsman’s Mkt., Inc., 202 F.3d 489, 493, 53 USPQ2d 1570 (2d Cir.), </w:t>
      </w:r>
      <w:r w:rsidRPr="006B1A12">
        <w:rPr>
          <w:i/>
        </w:rPr>
        <w:t>cert</w:t>
      </w:r>
      <w:r w:rsidRPr="006B1A12">
        <w:t>.</w:t>
      </w:r>
      <w:r w:rsidRPr="006B1A12">
        <w:t xml:space="preserve"> </w:t>
      </w:r>
      <w:r w:rsidRPr="006B1A12">
        <w:rPr>
          <w:i/>
        </w:rPr>
        <w:t>denied</w:t>
      </w:r>
      <w:r w:rsidRPr="006B1A12">
        <w:t>, 530 U.S.</w:t>
      </w:r>
      <w:r w:rsidRPr="006B1A12">
        <w:t xml:space="preserve"> </w:t>
      </w:r>
      <w:r w:rsidRPr="006B1A12">
        <w:t>1262 (2000).</w:t>
      </w:r>
    </w:p>
  </w:footnote>
  <w:footnote w:id="168">
    <w:p w14:paraId="29385965" w14:textId="02BFE80F" w:rsidR="006B1A12" w:rsidRPr="00E93F9C" w:rsidRDefault="006B1A12" w:rsidP="006B1A12">
      <w:pPr>
        <w:pStyle w:val="FootnoteText"/>
      </w:pPr>
      <w:r w:rsidRPr="006B1A12">
        <w:rPr>
          <w:vertAlign w:val="superscript"/>
        </w:rPr>
        <w:footnoteRef/>
      </w:r>
      <w:r w:rsidRPr="006B1A12">
        <w:t>Lanham Act §43(d)(1)(B)(ii), 15 U.S.C.</w:t>
      </w:r>
      <w:r w:rsidRPr="006B1A12">
        <w:t xml:space="preserve"> </w:t>
      </w:r>
      <w:r w:rsidRPr="006B1A12">
        <w:t>§1125(d)(1)(B)(ii).</w:t>
      </w:r>
    </w:p>
  </w:footnote>
  <w:footnote w:id="169">
    <w:p w14:paraId="1773FE23" w14:textId="5802900A" w:rsidR="006B1A12" w:rsidRPr="00E93F9C" w:rsidRDefault="006B1A12" w:rsidP="006B1A12">
      <w:pPr>
        <w:pStyle w:val="FootnoteText"/>
      </w:pPr>
      <w:r w:rsidRPr="006B1A12">
        <w:rPr>
          <w:vertAlign w:val="superscript"/>
        </w:rPr>
        <w:footnoteRef/>
      </w:r>
      <w:r w:rsidRPr="006B1A12">
        <w:rPr>
          <w:i/>
        </w:rPr>
        <w:t>E</w:t>
      </w:r>
      <w:r w:rsidRPr="006B1A12">
        <w:t>.</w:t>
      </w:r>
      <w:r w:rsidRPr="006B1A12">
        <w:rPr>
          <w:i/>
        </w:rPr>
        <w:t>g</w:t>
      </w:r>
      <w:r w:rsidRPr="006B1A12">
        <w:t>., B &amp; F Sys., Inc.</w:t>
      </w:r>
      <w:r w:rsidRPr="006B1A12">
        <w:t xml:space="preserve"> </w:t>
      </w:r>
      <w:r w:rsidRPr="006B1A12">
        <w:t>v.</w:t>
      </w:r>
      <w:r w:rsidRPr="006B1A12">
        <w:t xml:space="preserve"> </w:t>
      </w:r>
      <w:r w:rsidRPr="006B1A12">
        <w:t>LeBlanc, 2011 U.S.</w:t>
      </w:r>
      <w:r w:rsidRPr="006B1A12">
        <w:t xml:space="preserve"> </w:t>
      </w:r>
      <w:r w:rsidRPr="006B1A12">
        <w:t>Dist.</w:t>
      </w:r>
      <w:r w:rsidRPr="006B1A12">
        <w:t xml:space="preserve"> </w:t>
      </w:r>
      <w:r w:rsidRPr="006B1A12">
        <w:t>LEXIS 103957, at *69 (M.D.</w:t>
      </w:r>
      <w:r w:rsidRPr="006B1A12">
        <w:t xml:space="preserve"> </w:t>
      </w:r>
      <w:r w:rsidRPr="006B1A12">
        <w:t>Ga.</w:t>
      </w:r>
      <w:r w:rsidRPr="006B1A12">
        <w:t xml:space="preserve"> </w:t>
      </w:r>
      <w:r w:rsidRPr="006B1A12">
        <w:t>Sept.</w:t>
      </w:r>
      <w:r w:rsidRPr="006B1A12">
        <w:t xml:space="preserve"> </w:t>
      </w:r>
      <w:r w:rsidRPr="006B1A12">
        <w:t>14,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02BB" w14:textId="77777777" w:rsidR="006B1A12" w:rsidRPr="006B1A12" w:rsidRDefault="006B1A12" w:rsidP="006B1A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E90C" w14:textId="77777777" w:rsidR="006B1A12" w:rsidRPr="006B1A12" w:rsidRDefault="006B1A12" w:rsidP="006B1A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8406" w14:textId="77777777" w:rsidR="006B1A12" w:rsidRPr="006B1A12" w:rsidRDefault="006B1A12" w:rsidP="006B1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2"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2"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7"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2"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36"/>
  </w:num>
  <w:num w:numId="2" w16cid:durableId="1796212711">
    <w:abstractNumId w:val="40"/>
  </w:num>
  <w:num w:numId="3" w16cid:durableId="560215516">
    <w:abstractNumId w:val="10"/>
  </w:num>
  <w:num w:numId="4" w16cid:durableId="127167174">
    <w:abstractNumId w:val="15"/>
  </w:num>
  <w:num w:numId="5" w16cid:durableId="530146565">
    <w:abstractNumId w:val="16"/>
  </w:num>
  <w:num w:numId="6" w16cid:durableId="1308701023">
    <w:abstractNumId w:val="14"/>
  </w:num>
  <w:num w:numId="7" w16cid:durableId="1164586576">
    <w:abstractNumId w:val="24"/>
  </w:num>
  <w:num w:numId="8" w16cid:durableId="390078248">
    <w:abstractNumId w:val="38"/>
  </w:num>
  <w:num w:numId="9" w16cid:durableId="1709836850">
    <w:abstractNumId w:val="30"/>
  </w:num>
  <w:num w:numId="10" w16cid:durableId="1514031139">
    <w:abstractNumId w:val="8"/>
  </w:num>
  <w:num w:numId="11" w16cid:durableId="439372092">
    <w:abstractNumId w:val="17"/>
  </w:num>
  <w:num w:numId="12" w16cid:durableId="1176964315">
    <w:abstractNumId w:val="11"/>
  </w:num>
  <w:num w:numId="13" w16cid:durableId="57481982">
    <w:abstractNumId w:val="35"/>
  </w:num>
  <w:num w:numId="14" w16cid:durableId="616182069">
    <w:abstractNumId w:val="33"/>
  </w:num>
  <w:num w:numId="15" w16cid:durableId="1331370395">
    <w:abstractNumId w:val="32"/>
  </w:num>
  <w:num w:numId="16" w16cid:durableId="2048220565">
    <w:abstractNumId w:val="18"/>
  </w:num>
  <w:num w:numId="17" w16cid:durableId="1376926949">
    <w:abstractNumId w:val="39"/>
  </w:num>
  <w:num w:numId="18" w16cid:durableId="353920111">
    <w:abstractNumId w:val="19"/>
  </w:num>
  <w:num w:numId="19" w16cid:durableId="1125343429">
    <w:abstractNumId w:val="27"/>
  </w:num>
  <w:num w:numId="20" w16cid:durableId="72313112">
    <w:abstractNumId w:val="21"/>
  </w:num>
  <w:num w:numId="21" w16cid:durableId="1413089690">
    <w:abstractNumId w:val="23"/>
  </w:num>
  <w:num w:numId="22" w16cid:durableId="1946451628">
    <w:abstractNumId w:val="28"/>
  </w:num>
  <w:num w:numId="23" w16cid:durableId="1714229662">
    <w:abstractNumId w:val="29"/>
  </w:num>
  <w:num w:numId="24" w16cid:durableId="1864049548">
    <w:abstractNumId w:val="40"/>
  </w:num>
  <w:num w:numId="25" w16cid:durableId="1312754695">
    <w:abstractNumId w:val="40"/>
  </w:num>
  <w:num w:numId="26" w16cid:durableId="1166363704">
    <w:abstractNumId w:val="20"/>
  </w:num>
  <w:num w:numId="27" w16cid:durableId="789670048">
    <w:abstractNumId w:val="26"/>
  </w:num>
  <w:num w:numId="28" w16cid:durableId="971784460">
    <w:abstractNumId w:val="31"/>
  </w:num>
  <w:num w:numId="29" w16cid:durableId="1803688727">
    <w:abstractNumId w:val="13"/>
  </w:num>
  <w:num w:numId="30" w16cid:durableId="154415689">
    <w:abstractNumId w:val="34"/>
  </w:num>
  <w:num w:numId="31" w16cid:durableId="109083732">
    <w:abstractNumId w:val="9"/>
  </w:num>
  <w:num w:numId="32" w16cid:durableId="1136098287">
    <w:abstractNumId w:val="25"/>
  </w:num>
  <w:num w:numId="33" w16cid:durableId="329909884">
    <w:abstractNumId w:val="22"/>
  </w:num>
  <w:num w:numId="34" w16cid:durableId="1326783886">
    <w:abstractNumId w:val="37"/>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E33"/>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D7E33"/>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278B5"/>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CF9"/>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7B4"/>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1A12"/>
    <w:rsid w:val="006B2779"/>
    <w:rsid w:val="006B27AB"/>
    <w:rsid w:val="006B2F73"/>
    <w:rsid w:val="006B47CA"/>
    <w:rsid w:val="006B4AFC"/>
    <w:rsid w:val="006B513F"/>
    <w:rsid w:val="006B54D8"/>
    <w:rsid w:val="006B5836"/>
    <w:rsid w:val="006B5E75"/>
    <w:rsid w:val="006B7A0F"/>
    <w:rsid w:val="006B7EC4"/>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DD5"/>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25B0"/>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8DD"/>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22E4"/>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1D58"/>
    <w:rsid w:val="00B323B3"/>
    <w:rsid w:val="00B32731"/>
    <w:rsid w:val="00B32A1B"/>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7A1"/>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0A21"/>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2F7E"/>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9AD"/>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6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rsid w:val="000E1CF7"/>
    <w:rPr>
      <w:rFonts w:eastAsia="Times New Roman"/>
      <w:sz w:val="20"/>
      <w:szCs w:val="20"/>
      <w:lang w:bidi="ar-SA"/>
    </w:rPr>
  </w:style>
  <w:style w:type="character" w:styleId="FootnoteReference">
    <w:name w:val="footnote reference"/>
    <w:basedOn w:val="DefaultParagraphFont"/>
    <w:rsid w:val="00311088"/>
    <w:rPr>
      <w:vertAlign w:val="superscript"/>
    </w:rPr>
  </w:style>
  <w:style w:type="paragraph" w:styleId="FootnoteText">
    <w:name w:val="footnote text"/>
    <w:basedOn w:val="Normal"/>
    <w:link w:val="FootnoteTextChar"/>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text">
    <w:name w:val="text"/>
    <w:basedOn w:val="Normal"/>
    <w:uiPriority w:val="99"/>
    <w:qFormat/>
    <w:rsid w:val="007A2DD5"/>
    <w:pPr>
      <w:widowControl w:val="0"/>
      <w:spacing w:before="0" w:after="0"/>
      <w:ind w:firstLine="360"/>
    </w:pPr>
    <w:rPr>
      <w:kern w:val="0"/>
      <w:lang w:bidi="ar-SA"/>
    </w:rPr>
  </w:style>
  <w:style w:type="paragraph" w:customStyle="1" w:styleId="footnote">
    <w:name w:val="footnote"/>
    <w:basedOn w:val="text"/>
    <w:autoRedefine/>
    <w:uiPriority w:val="99"/>
    <w:qFormat/>
    <w:rsid w:val="007A2DD5"/>
    <w:rPr>
      <w:sz w:val="20"/>
    </w:rPr>
  </w:style>
  <w:style w:type="paragraph" w:customStyle="1" w:styleId="block-f-">
    <w:name w:val="block-f/+/-"/>
    <w:basedOn w:val="Normal"/>
    <w:autoRedefine/>
    <w:uiPriority w:val="99"/>
    <w:qFormat/>
    <w:rsid w:val="007A2DD5"/>
    <w:pPr>
      <w:spacing w:before="120"/>
      <w:ind w:left="720"/>
    </w:pPr>
    <w:rPr>
      <w:rFonts w:eastAsiaTheme="minorEastAsia" w:cs="ITC New Baskerville Std"/>
      <w:color w:val="000000"/>
      <w:kern w:val="0"/>
      <w:sz w:val="20"/>
      <w:szCs w:val="20"/>
      <w:lang w:bidi="ar-SA"/>
    </w:rPr>
  </w:style>
  <w:style w:type="paragraph" w:customStyle="1" w:styleId="1stLevelHeadII">
    <w:name w:val="1st Level Head II."/>
    <w:basedOn w:val="Normal"/>
    <w:autoRedefine/>
    <w:uiPriority w:val="99"/>
    <w:rsid w:val="007A2DD5"/>
    <w:pPr>
      <w:keepNext/>
      <w:widowControl w:val="0"/>
      <w:suppressAutoHyphens/>
      <w:autoSpaceDE w:val="0"/>
      <w:autoSpaceDN w:val="0"/>
      <w:adjustRightInd w:val="0"/>
      <w:spacing w:before="480" w:after="360"/>
      <w:jc w:val="center"/>
      <w:textAlignment w:val="center"/>
    </w:pPr>
    <w:rPr>
      <w:rFonts w:eastAsiaTheme="minorEastAsia" w:cs="ITC New Baskerville Std"/>
      <w:b/>
      <w:bCs/>
      <w:smallCaps/>
      <w:color w:val="000000"/>
      <w:kern w:val="0"/>
      <w:lang w:bidi="ar-SA"/>
    </w:rPr>
  </w:style>
  <w:style w:type="paragraph" w:customStyle="1" w:styleId="2ndLevelHeadA">
    <w:name w:val="2nd Level Head A."/>
    <w:basedOn w:val="Normal"/>
    <w:autoRedefine/>
    <w:uiPriority w:val="99"/>
    <w:rsid w:val="007A2DD5"/>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Cs/>
      <w:color w:val="000000"/>
      <w:kern w:val="0"/>
      <w:lang w:bidi="ar-SA"/>
    </w:rPr>
  </w:style>
  <w:style w:type="paragraph" w:customStyle="1" w:styleId="chapternumber">
    <w:name w:val="chapter number"/>
    <w:basedOn w:val="Normal"/>
    <w:uiPriority w:val="99"/>
    <w:rsid w:val="007A2DD5"/>
    <w:pPr>
      <w:widowControl w:val="0"/>
      <w:suppressAutoHyphens/>
      <w:autoSpaceDE w:val="0"/>
      <w:autoSpaceDN w:val="0"/>
      <w:adjustRightInd w:val="0"/>
      <w:spacing w:before="0" w:after="240" w:line="560" w:lineRule="atLeast"/>
      <w:textAlignment w:val="center"/>
    </w:pPr>
    <w:rPr>
      <w:rFonts w:ascii="ITC New Baskerville Std" w:eastAsiaTheme="minorEastAsia" w:hAnsi="ITC New Baskerville Std" w:cs="ITC New Baskerville Std"/>
      <w:b/>
      <w:bCs/>
      <w:color w:val="000000"/>
      <w:kern w:val="0"/>
      <w:sz w:val="56"/>
      <w:szCs w:val="56"/>
      <w:lang w:bidi="ar-SA"/>
    </w:rPr>
  </w:style>
  <w:style w:type="paragraph" w:customStyle="1" w:styleId="chaptertitle">
    <w:name w:val="chapter title"/>
    <w:basedOn w:val="Normal"/>
    <w:uiPriority w:val="99"/>
    <w:rsid w:val="007A2DD5"/>
    <w:pPr>
      <w:widowControl w:val="0"/>
      <w:suppressAutoHyphens/>
      <w:autoSpaceDE w:val="0"/>
      <w:autoSpaceDN w:val="0"/>
      <w:adjustRightInd w:val="0"/>
      <w:spacing w:before="0" w:after="480" w:line="440" w:lineRule="atLeast"/>
      <w:textAlignment w:val="center"/>
    </w:pPr>
    <w:rPr>
      <w:rFonts w:ascii="ITC New Baskerville Std" w:eastAsiaTheme="minorEastAsia" w:hAnsi="ITC New Baskerville Std" w:cs="ITC New Baskerville Std"/>
      <w:color w:val="000000"/>
      <w:kern w:val="0"/>
      <w:sz w:val="40"/>
      <w:szCs w:val="40"/>
      <w:lang w:bidi="ar-SA"/>
    </w:rPr>
  </w:style>
  <w:style w:type="paragraph" w:customStyle="1" w:styleId="blockquote-6pt">
    <w:name w:val="block quote -/+ 6 pt"/>
    <w:basedOn w:val="Normal"/>
    <w:uiPriority w:val="99"/>
    <w:rsid w:val="007A2DD5"/>
    <w:pPr>
      <w:widowControl w:val="0"/>
      <w:autoSpaceDE w:val="0"/>
      <w:autoSpaceDN w:val="0"/>
      <w:adjustRightInd w:val="0"/>
      <w:spacing w:before="0" w:line="200" w:lineRule="atLeast"/>
      <w:ind w:left="440"/>
      <w:jc w:val="both"/>
      <w:textAlignment w:val="center"/>
    </w:pPr>
    <w:rPr>
      <w:rFonts w:ascii="ITC New Baskerville Std" w:eastAsiaTheme="minorEastAsia" w:hAnsi="ITC New Baskerville Std" w:cs="ITC New Baskerville Std"/>
      <w:color w:val="000000"/>
      <w:kern w:val="0"/>
      <w:sz w:val="20"/>
      <w:szCs w:val="20"/>
      <w:lang w:bidi="ar-SA"/>
    </w:rPr>
  </w:style>
  <w:style w:type="paragraph" w:customStyle="1" w:styleId="blockflush-">
    <w:name w:val="block flush -/+"/>
    <w:basedOn w:val="Normal"/>
    <w:uiPriority w:val="99"/>
    <w:rsid w:val="007A2DD5"/>
    <w:pPr>
      <w:widowControl w:val="0"/>
      <w:autoSpaceDE w:val="0"/>
      <w:autoSpaceDN w:val="0"/>
      <w:adjustRightInd w:val="0"/>
      <w:spacing w:before="0" w:after="240" w:line="200" w:lineRule="atLeast"/>
      <w:ind w:left="440"/>
      <w:jc w:val="both"/>
      <w:textAlignment w:val="center"/>
    </w:pPr>
    <w:rPr>
      <w:rFonts w:ascii="ITC New Baskerville Std" w:eastAsiaTheme="minorEastAsia" w:hAnsi="ITC New Baskerville Std" w:cs="ITC New Baskerville Std"/>
      <w:color w:val="000000"/>
      <w:kern w:val="0"/>
      <w:sz w:val="20"/>
      <w:szCs w:val="20"/>
      <w:lang w:bidi="ar-SA"/>
    </w:rPr>
  </w:style>
  <w:style w:type="paragraph" w:customStyle="1" w:styleId="2ndlevelheadAbi">
    <w:name w:val="2nd level head A._bi"/>
    <w:basedOn w:val="Normal"/>
    <w:uiPriority w:val="99"/>
    <w:qFormat/>
    <w:rsid w:val="007A2DD5"/>
    <w:pPr>
      <w:tabs>
        <w:tab w:val="left" w:pos="360"/>
      </w:tabs>
      <w:spacing w:after="240"/>
      <w:ind w:left="360" w:hanging="360"/>
    </w:pPr>
    <w:rPr>
      <w:rFonts w:ascii="Times New Roman Bold" w:eastAsiaTheme="minorEastAsia" w:hAnsi="Times New Roman Bold" w:cstheme="minorBidi"/>
      <w:b/>
      <w:i/>
      <w:kern w:val="0"/>
      <w:szCs w:val="22"/>
      <w:lang w:bidi="ar-SA"/>
    </w:rPr>
  </w:style>
  <w:style w:type="paragraph" w:customStyle="1" w:styleId="ChapterNum">
    <w:name w:val="ChapterNum"/>
    <w:basedOn w:val="Normal"/>
    <w:link w:val="ChapterNumChar"/>
    <w:rsid w:val="007A2DD5"/>
    <w:pPr>
      <w:widowControl w:val="0"/>
      <w:tabs>
        <w:tab w:val="left" w:pos="0"/>
        <w:tab w:val="right" w:pos="600"/>
        <w:tab w:val="left" w:pos="720"/>
        <w:tab w:val="right" w:leader="dot" w:pos="5520"/>
        <w:tab w:val="right" w:pos="6120"/>
        <w:tab w:val="right" w:pos="6956"/>
      </w:tabs>
      <w:spacing w:before="0" w:after="0" w:line="240" w:lineRule="atLeast"/>
      <w:ind w:firstLine="720"/>
    </w:pPr>
    <w:rPr>
      <w:rFonts w:eastAsia="Times New Roman"/>
      <w:kern w:val="0"/>
      <w:sz w:val="56"/>
      <w:szCs w:val="56"/>
      <w:lang w:bidi="ar-SA"/>
    </w:rPr>
  </w:style>
  <w:style w:type="character" w:customStyle="1" w:styleId="ChapterNumChar">
    <w:name w:val="ChapterNum Char"/>
    <w:link w:val="ChapterNum"/>
    <w:rsid w:val="007A2DD5"/>
    <w:rPr>
      <w:rFonts w:eastAsia="Times New Roman"/>
      <w:kern w:val="0"/>
      <w:sz w:val="56"/>
      <w:szCs w:val="5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inkedin.com/in/welkowitz-david-76b3489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B9AEE03-19A9-4C4E-A9BB-F705C6A63C22}"/>
      </w:docPartPr>
      <w:docPartBody>
        <w:p w:rsidR="000E1B38" w:rsidRDefault="000E1B38">
          <w:r w:rsidRPr="002F6D09">
            <w:rPr>
              <w:rStyle w:val="PlaceholderText"/>
            </w:rPr>
            <w:t>Click or tap here to enter text.</w:t>
          </w:r>
        </w:p>
      </w:docPartBody>
    </w:docPart>
    <w:docPart>
      <w:docPartPr>
        <w:name w:val="F05C74F1BA894222B38BD60BFE006939"/>
        <w:category>
          <w:name w:val="General"/>
          <w:gallery w:val="placeholder"/>
        </w:category>
        <w:types>
          <w:type w:val="bbPlcHdr"/>
        </w:types>
        <w:behaviors>
          <w:behavior w:val="content"/>
        </w:behaviors>
        <w:guid w:val="{BA04B294-A940-4154-85FC-5ABA76C3E511}"/>
      </w:docPartPr>
      <w:docPartBody>
        <w:p w:rsidR="000E1B38" w:rsidRDefault="000E1B38">
          <w:r w:rsidRPr="002F6D09">
            <w:rPr>
              <w:rStyle w:val="PlaceholderText"/>
            </w:rPr>
            <w:t>Unit.Start</w:t>
          </w:r>
        </w:p>
      </w:docPartBody>
    </w:docPart>
    <w:docPart>
      <w:docPartPr>
        <w:name w:val="0389E6232E0C4072B7DB920D7A84AE0A"/>
        <w:category>
          <w:name w:val="General"/>
          <w:gallery w:val="placeholder"/>
        </w:category>
        <w:types>
          <w:type w:val="bbPlcHdr"/>
        </w:types>
        <w:behaviors>
          <w:behavior w:val="content"/>
        </w:behaviors>
        <w:guid w:val="{63564A34-9447-4F12-B5CE-8B9B6CAFCD0C}"/>
      </w:docPartPr>
      <w:docPartBody>
        <w:p w:rsidR="000E1B38" w:rsidRDefault="000E1B38">
          <w:r w:rsidRPr="002F6D09">
            <w:rPr>
              <w:rStyle w:val="PlaceholderText"/>
            </w:rPr>
            <w:t>Document</w:t>
          </w:r>
        </w:p>
      </w:docPartBody>
    </w:docPart>
    <w:docPart>
      <w:docPartPr>
        <w:name w:val="10D81CE20AD9465D94D8B0B6763D6665"/>
        <w:category>
          <w:name w:val="General"/>
          <w:gallery w:val="placeholder"/>
        </w:category>
        <w:types>
          <w:type w:val="bbPlcHdr"/>
        </w:types>
        <w:behaviors>
          <w:behavior w:val="content"/>
        </w:behaviors>
        <w:guid w:val="{2C27C24A-695C-4169-B072-23F3880EDDBC}"/>
      </w:docPartPr>
      <w:docPartBody>
        <w:p w:rsidR="000E1B38" w:rsidRDefault="000E1B38">
          <w:r w:rsidRPr="002F6D09">
            <w:rPr>
              <w:rStyle w:val="PlaceholderText"/>
            </w:rPr>
            <w:t>enter text</w:t>
          </w:r>
        </w:p>
      </w:docPartBody>
    </w:docPart>
    <w:docPart>
      <w:docPartPr>
        <w:name w:val="7A06BA0B5B554632A4A922878C5506A4"/>
        <w:category>
          <w:name w:val="General"/>
          <w:gallery w:val="placeholder"/>
        </w:category>
        <w:types>
          <w:type w:val="bbPlcHdr"/>
        </w:types>
        <w:behaviors>
          <w:behavior w:val="content"/>
        </w:behaviors>
        <w:guid w:val="{32921CA2-77A1-4207-979A-1FD05DC0A2D4}"/>
      </w:docPartPr>
      <w:docPartBody>
        <w:p w:rsidR="000E1B38" w:rsidRDefault="000E1B38">
          <w:r w:rsidRPr="002F6D09">
            <w:rPr>
              <w:rStyle w:val="PlaceholderText"/>
            </w:rPr>
            <w:t>enter text</w:t>
          </w:r>
        </w:p>
      </w:docPartBody>
    </w:docPart>
    <w:docPart>
      <w:docPartPr>
        <w:name w:val="ED23DE8574C0462E843750470F16C512"/>
        <w:category>
          <w:name w:val="General"/>
          <w:gallery w:val="placeholder"/>
        </w:category>
        <w:types>
          <w:type w:val="bbPlcHdr"/>
        </w:types>
        <w:behaviors>
          <w:behavior w:val="content"/>
        </w:behaviors>
        <w:guid w:val="{65677DA5-4443-4569-AFD9-0A13815AD637}"/>
      </w:docPartPr>
      <w:docPartBody>
        <w:p w:rsidR="000E1B38" w:rsidRDefault="000E1B38">
          <w:r w:rsidRPr="002F6D09">
            <w:rPr>
              <w:rStyle w:val="PlaceholderText"/>
            </w:rPr>
            <w:t>enter REQUIRED text</w:t>
          </w:r>
        </w:p>
      </w:docPartBody>
    </w:docPart>
    <w:docPart>
      <w:docPartPr>
        <w:name w:val="860AFCEC3ACB41B7A6F48F0F65BD5152"/>
        <w:category>
          <w:name w:val="General"/>
          <w:gallery w:val="placeholder"/>
        </w:category>
        <w:types>
          <w:type w:val="bbPlcHdr"/>
        </w:types>
        <w:behaviors>
          <w:behavior w:val="content"/>
        </w:behaviors>
        <w:guid w:val="{85ED2562-B3C5-4080-AA64-ABACD923B537}"/>
      </w:docPartPr>
      <w:docPartBody>
        <w:p w:rsidR="000E1B38" w:rsidRDefault="000E1B38">
          <w:r w:rsidRPr="002F6D09">
            <w:rPr>
              <w:rStyle w:val="PlaceholderText"/>
            </w:rPr>
            <w:t>enter REQUIRED text</w:t>
          </w:r>
        </w:p>
      </w:docPartBody>
    </w:docPart>
    <w:docPart>
      <w:docPartPr>
        <w:name w:val="F318D13CD34F495FB0CB7E37772E99CE"/>
        <w:category>
          <w:name w:val="General"/>
          <w:gallery w:val="placeholder"/>
        </w:category>
        <w:types>
          <w:type w:val="bbPlcHdr"/>
        </w:types>
        <w:behaviors>
          <w:behavior w:val="content"/>
        </w:behaviors>
        <w:guid w:val="{84F92586-087F-4A0D-BD90-5B2EBBFC9B3E}"/>
      </w:docPartPr>
      <w:docPartBody>
        <w:p w:rsidR="000E1B38" w:rsidRDefault="000E1B38">
          <w:r w:rsidRPr="002F6D09">
            <w:rPr>
              <w:rStyle w:val="PlaceholderText"/>
            </w:rPr>
            <w:t>enter text</w:t>
          </w:r>
        </w:p>
      </w:docPartBody>
    </w:docPart>
    <w:docPart>
      <w:docPartPr>
        <w:name w:val="4C6AE277F40E42FE8280B039E2CD678F"/>
        <w:category>
          <w:name w:val="General"/>
          <w:gallery w:val="placeholder"/>
        </w:category>
        <w:types>
          <w:type w:val="bbPlcHdr"/>
        </w:types>
        <w:behaviors>
          <w:behavior w:val="content"/>
        </w:behaviors>
        <w:guid w:val="{83A2C9C4-3D80-41AD-AA44-1CD6E6278C0C}"/>
      </w:docPartPr>
      <w:docPartBody>
        <w:p w:rsidR="000E1B38" w:rsidRDefault="000E1B38">
          <w:r w:rsidRPr="002F6D09">
            <w:rPr>
              <w:rStyle w:val="PlaceholderText"/>
            </w:rPr>
            <w:t>enter text</w:t>
          </w:r>
        </w:p>
      </w:docPartBody>
    </w:docPart>
    <w:docPart>
      <w:docPartPr>
        <w:name w:val="B1A9E04F97524DEDB8E1E03E46F82ACC"/>
        <w:category>
          <w:name w:val="General"/>
          <w:gallery w:val="placeholder"/>
        </w:category>
        <w:types>
          <w:type w:val="bbPlcHdr"/>
        </w:types>
        <w:behaviors>
          <w:behavior w:val="content"/>
        </w:behaviors>
        <w:guid w:val="{882DF8E9-ED0B-4AC4-BE85-1F36EBB0F44C}"/>
      </w:docPartPr>
      <w:docPartBody>
        <w:p w:rsidR="000E1B38" w:rsidRDefault="000E1B38">
          <w:r w:rsidRPr="002F6D09">
            <w:rPr>
              <w:rStyle w:val="PlaceholderText"/>
            </w:rPr>
            <w:t>enter text</w:t>
          </w:r>
        </w:p>
      </w:docPartBody>
    </w:docPart>
    <w:docPart>
      <w:docPartPr>
        <w:name w:val="AF56BDF49E12439786F8B0875DDADF8E"/>
        <w:category>
          <w:name w:val="General"/>
          <w:gallery w:val="placeholder"/>
        </w:category>
        <w:types>
          <w:type w:val="bbPlcHdr"/>
        </w:types>
        <w:behaviors>
          <w:behavior w:val="content"/>
        </w:behaviors>
        <w:guid w:val="{6F71B61C-780C-41F6-894E-0B8A686AC2F9}"/>
      </w:docPartPr>
      <w:docPartBody>
        <w:p w:rsidR="000E1B38" w:rsidRDefault="000E1B38">
          <w:r w:rsidRPr="002F6D09">
            <w:rPr>
              <w:rStyle w:val="PlaceholderText"/>
            </w:rPr>
            <w:t>enter text</w:t>
          </w:r>
        </w:p>
      </w:docPartBody>
    </w:docPart>
    <w:docPart>
      <w:docPartPr>
        <w:name w:val="E7E34EA9B9D743A8847F9F0A563725C8"/>
        <w:category>
          <w:name w:val="General"/>
          <w:gallery w:val="placeholder"/>
        </w:category>
        <w:types>
          <w:type w:val="bbPlcHdr"/>
        </w:types>
        <w:behaviors>
          <w:behavior w:val="content"/>
        </w:behaviors>
        <w:guid w:val="{41A00613-BBD9-4967-9283-5D4095EF7B0E}"/>
      </w:docPartPr>
      <w:docPartBody>
        <w:p w:rsidR="000E1B38" w:rsidRDefault="000E1B38">
          <w:r w:rsidRPr="002F6D09">
            <w:rPr>
              <w:rStyle w:val="PlaceholderText"/>
            </w:rPr>
            <w:t>enter text</w:t>
          </w:r>
        </w:p>
      </w:docPartBody>
    </w:docPart>
    <w:docPart>
      <w:docPartPr>
        <w:name w:val="044DA76D1EE74226BC6CCCBCF00972F9"/>
        <w:category>
          <w:name w:val="General"/>
          <w:gallery w:val="placeholder"/>
        </w:category>
        <w:types>
          <w:type w:val="bbPlcHdr"/>
        </w:types>
        <w:behaviors>
          <w:behavior w:val="content"/>
        </w:behaviors>
        <w:guid w:val="{9ADACBDA-5D74-4C12-AFFD-F6791D91DAD2}"/>
      </w:docPartPr>
      <w:docPartBody>
        <w:p w:rsidR="000E1B38" w:rsidRDefault="000E1B38">
          <w:r w:rsidRPr="002F6D09">
            <w:rPr>
              <w:rStyle w:val="PlaceholderText"/>
            </w:rPr>
            <w:t>enter text</w:t>
          </w:r>
        </w:p>
      </w:docPartBody>
    </w:docPart>
    <w:docPart>
      <w:docPartPr>
        <w:name w:val="E9CAF9AAA1324F8F805A5C1129F8F2CA"/>
        <w:category>
          <w:name w:val="General"/>
          <w:gallery w:val="placeholder"/>
        </w:category>
        <w:types>
          <w:type w:val="bbPlcHdr"/>
        </w:types>
        <w:behaviors>
          <w:behavior w:val="content"/>
        </w:behaviors>
        <w:guid w:val="{6D166071-EBCB-4308-9A4C-4F0A9F84F85E}"/>
      </w:docPartPr>
      <w:docPartBody>
        <w:p w:rsidR="000E1B38" w:rsidRDefault="000E1B38">
          <w:r w:rsidRPr="002F6D09">
            <w:rPr>
              <w:rStyle w:val="PlaceholderText"/>
            </w:rPr>
            <w:t>enter text</w:t>
          </w:r>
        </w:p>
      </w:docPartBody>
    </w:docPart>
    <w:docPart>
      <w:docPartPr>
        <w:name w:val="F6AAE06237B04088BDD1DFC610AAA5FE"/>
        <w:category>
          <w:name w:val="General"/>
          <w:gallery w:val="placeholder"/>
        </w:category>
        <w:types>
          <w:type w:val="bbPlcHdr"/>
        </w:types>
        <w:behaviors>
          <w:behavior w:val="content"/>
        </w:behaviors>
        <w:guid w:val="{39076581-FF0C-4F7A-B914-E8713C3F88F7}"/>
      </w:docPartPr>
      <w:docPartBody>
        <w:p w:rsidR="000E1B38" w:rsidRDefault="000E1B38">
          <w:r w:rsidRPr="002F6D09">
            <w:rPr>
              <w:rStyle w:val="PlaceholderText"/>
            </w:rPr>
            <w:t>enter text</w:t>
          </w:r>
        </w:p>
      </w:docPartBody>
    </w:docPart>
    <w:docPart>
      <w:docPartPr>
        <w:name w:val="55114A64CE694962B894430BB2020584"/>
        <w:category>
          <w:name w:val="General"/>
          <w:gallery w:val="placeholder"/>
        </w:category>
        <w:types>
          <w:type w:val="bbPlcHdr"/>
        </w:types>
        <w:behaviors>
          <w:behavior w:val="content"/>
        </w:behaviors>
        <w:guid w:val="{9A1AC314-BFD4-47E5-9FF3-51A1726F3D2C}"/>
      </w:docPartPr>
      <w:docPartBody>
        <w:p w:rsidR="000E1B38" w:rsidRDefault="000E1B38">
          <w:r w:rsidRPr="002F6D09">
            <w:rPr>
              <w:rStyle w:val="PlaceholderText"/>
            </w:rPr>
            <w:t>choose an item (REQUIRED)</w:t>
          </w:r>
        </w:p>
      </w:docPartBody>
    </w:docPart>
    <w:docPart>
      <w:docPartPr>
        <w:name w:val="863A0986A932493BB4AA0AD19C184179"/>
        <w:category>
          <w:name w:val="General"/>
          <w:gallery w:val="placeholder"/>
        </w:category>
        <w:types>
          <w:type w:val="bbPlcHdr"/>
        </w:types>
        <w:behaviors>
          <w:behavior w:val="content"/>
        </w:behaviors>
        <w:guid w:val="{8C290FA3-8180-4893-BC1D-597769DF55CA}"/>
      </w:docPartPr>
      <w:docPartBody>
        <w:p w:rsidR="000E1B38" w:rsidRDefault="000E1B38">
          <w:r w:rsidRPr="002F6D09">
            <w:rPr>
              <w:rStyle w:val="PlaceholderText"/>
            </w:rPr>
            <w:t>enter text</w:t>
          </w:r>
        </w:p>
      </w:docPartBody>
    </w:docPart>
    <w:docPart>
      <w:docPartPr>
        <w:name w:val="41AF6130073B4083AA84931DEBE08914"/>
        <w:category>
          <w:name w:val="General"/>
          <w:gallery w:val="placeholder"/>
        </w:category>
        <w:types>
          <w:type w:val="bbPlcHdr"/>
        </w:types>
        <w:behaviors>
          <w:behavior w:val="content"/>
        </w:behaviors>
        <w:guid w:val="{D06ECC70-9740-4724-B6BF-839C95F146FD}"/>
      </w:docPartPr>
      <w:docPartBody>
        <w:p w:rsidR="000E1B38" w:rsidRDefault="000E1B38">
          <w:r w:rsidRPr="002F6D09">
            <w:rPr>
              <w:rStyle w:val="PlaceholderText"/>
            </w:rPr>
            <w:t>enter text</w:t>
          </w:r>
        </w:p>
      </w:docPartBody>
    </w:docPart>
    <w:docPart>
      <w:docPartPr>
        <w:name w:val="C712F6E65F0B4685840A03563D63C9AC"/>
        <w:category>
          <w:name w:val="General"/>
          <w:gallery w:val="placeholder"/>
        </w:category>
        <w:types>
          <w:type w:val="bbPlcHdr"/>
        </w:types>
        <w:behaviors>
          <w:behavior w:val="content"/>
        </w:behaviors>
        <w:guid w:val="{C26698B8-A6CA-4467-9D3C-1997199E7BCC}"/>
      </w:docPartPr>
      <w:docPartBody>
        <w:p w:rsidR="000E1B38" w:rsidRDefault="000E1B38">
          <w:r w:rsidRPr="002F6D09">
            <w:rPr>
              <w:rStyle w:val="PlaceholderText"/>
            </w:rPr>
            <w:t>enter REQUIRED text</w:t>
          </w:r>
        </w:p>
      </w:docPartBody>
    </w:docPart>
    <w:docPart>
      <w:docPartPr>
        <w:name w:val="A6C6D61C7C88445B8AA817B1BEF97023"/>
        <w:category>
          <w:name w:val="General"/>
          <w:gallery w:val="placeholder"/>
        </w:category>
        <w:types>
          <w:type w:val="bbPlcHdr"/>
        </w:types>
        <w:behaviors>
          <w:behavior w:val="content"/>
        </w:behaviors>
        <w:guid w:val="{442E5C8C-3459-4BE5-B96D-8B48886EC377}"/>
      </w:docPartPr>
      <w:docPartBody>
        <w:p w:rsidR="000E1B38" w:rsidRDefault="000E1B38">
          <w:r w:rsidRPr="002F6D09">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ITC New Baskerville Std">
    <w:altName w:val="Cambria"/>
    <w:panose1 w:val="00000000000000000000"/>
    <w:charset w:val="00"/>
    <w:family w:val="roman"/>
    <w:notTrueType/>
    <w:pitch w:val="variable"/>
    <w:sig w:usb0="800000AF" w:usb1="5000204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B38"/>
    <w:rsid w:val="0005288F"/>
    <w:rsid w:val="000E1B38"/>
    <w:rsid w:val="004278B5"/>
    <w:rsid w:val="00DF2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1B3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glf-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lbs1500-book"/>
    <listitem value="hlbs2100-book"/>
    <listitem value="hlbs2300-book"/>
    <listitem value="hlbs2400-book"/>
    <listitem value="hlbs2600-book"/>
    <listitem value="hlbs2650-book"/>
    <listitem value="hlbs2800-book"/>
    <listitem value="hlbs2900-book"/>
    <listitem value="hlbs3300-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vvp-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2.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onversion.options xmlns="http://www.bna.com/gateway/conversion.options">
  <ns0:tables xmlns:ns0="http://www.bna.com/gateway/conversion.options" tag="smart"/>
</conversion.options>
</file>

<file path=customXml/item5.xml><?xml version="1.0" encoding="utf-8"?>
<document xmlns="http://www.bna.com/gateway/unit.start">
  <ns0:unit.start xmlns:ns0="http://www.bna.com/gateway/unit.start" copyright.owner="enter text" subpart.name="enter text" unit.code="main0014" unit.name="Chapter 14. Dilution and the Anticybersquatting Statute" folio="619" class.code="A" class.name="Book Body" bna.id.prefix="14" pdm.name="Chap14" part.num="2" part.name="Part II. Federal Dilution Law" publication.name="Trademark Dilution - Federal, State, and International Law, Second Edition" acct.code="TD2M20" date="2025-09-25" supplement="0" volume.num="1" service.code="td-book"/>
</document>
</file>

<file path=customXml/item6.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Props1.xml><?xml version="1.0" encoding="utf-8"?>
<ds:datastoreItem xmlns:ds="http://schemas.openxmlformats.org/officeDocument/2006/customXml" ds:itemID="{438364F0-8022-49DD-ACD0-F4F06AB21D4B}">
  <ds:schemaRefs>
    <ds:schemaRef ds:uri="BookServiceCodes"/>
  </ds:schemaRefs>
</ds:datastoreItem>
</file>

<file path=customXml/itemProps2.xml><?xml version="1.0" encoding="utf-8"?>
<ds:datastoreItem xmlns:ds="http://schemas.openxmlformats.org/officeDocument/2006/customXml" ds:itemID="{25203738-0C39-41F2-B232-E9DAD00FD52D}">
  <ds:schemaRefs>
    <ds:schemaRef ds:uri="PortfolioServiceCodes"/>
  </ds:schemaRefs>
</ds:datastoreItem>
</file>

<file path=customXml/itemProps3.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4.xml><?xml version="1.0" encoding="utf-8"?>
<ds:datastoreItem xmlns:ds="http://schemas.openxmlformats.org/officeDocument/2006/customXml" ds:itemID="{DADA3C72-C4A8-40A7-A93D-753FF12AADFE}">
  <ds:schemaRefs>
    <ds:schemaRef ds:uri="http://www.bna.com/gateway/conversion.options"/>
  </ds:schemaRefs>
</ds:datastoreItem>
</file>

<file path=customXml/itemProps5.xml><?xml version="1.0" encoding="utf-8"?>
<ds:datastoreItem xmlns:ds="http://schemas.openxmlformats.org/officeDocument/2006/customXml" ds:itemID="{B04FCA99-13B0-422B-ADC9-9491644FA79D}">
  <ds:schemaRefs>
    <ds:schemaRef ds:uri="http://www.bna.com/gateway/unit.start"/>
  </ds:schemaRefs>
</ds:datastoreItem>
</file>

<file path=customXml/itemProps6.xml><?xml version="1.0" encoding="utf-8"?>
<ds:datastoreItem xmlns:ds="http://schemas.openxmlformats.org/officeDocument/2006/customXml" ds:itemID="{88E47CC7-89B1-4334-9439-A1F1C1083F4F}">
  <ds:schemaRefs>
    <ds:schemaRef ds:uri="ReferenceServiceCode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Template>
  <TotalTime>0</TotalTime>
  <Pages>1</Pages>
  <Words>7078</Words>
  <Characters>36478</Characters>
  <Application>Microsoft Office Word</Application>
  <DocSecurity>0</DocSecurity>
  <Lines>303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2025-09-25T20:52:00Z</dcterms:created>
  <dcterms:modified xsi:type="dcterms:W3CDTF">2025-10-01T16:16:00Z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