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E3DF" w14:textId="77777777" w:rsidR="001E3995" w:rsidRPr="001E3995" w:rsidRDefault="00EF781B" w:rsidP="00600989">
      <w:pPr>
        <w:pStyle w:val="BDocStart"/>
      </w:pPr>
      <w:sdt>
        <w:sdtPr>
          <w:tag w:val="unit.start.head"/>
          <w:id w:val="138534946"/>
          <w:lock w:val="sdtLocked"/>
          <w:placeholder>
            <w:docPart w:val="DAB0D1862DF34BD598C2B84B09C27088"/>
          </w:placeholder>
          <w15:appearance w15:val="hidden"/>
        </w:sdtPr>
        <w:sdtEndPr/>
        <w:sdtContent>
          <w:proofErr w:type="spellStart"/>
          <w:r w:rsidR="00600989">
            <w:t>Unit.Start</w:t>
          </w:r>
          <w:proofErr w:type="spellEnd"/>
        </w:sdtContent>
      </w:sdt>
    </w:p>
    <w:sdt>
      <w:sdtPr>
        <w:rPr>
          <w:rStyle w:val="BContentControl"/>
        </w:rPr>
        <w:alias w:val="unit.start"/>
        <w:tag w:val="Unit1"/>
        <w:id w:val="-1262595317"/>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1F06FFBD" w14:textId="263D5365" w:rsidR="001E3995" w:rsidRPr="001E3995" w:rsidRDefault="00EF781B" w:rsidP="00600989">
          <w:pPr>
            <w:pStyle w:val="BNormal"/>
          </w:pPr>
          <w:sdt>
            <w:sdtPr>
              <w:rPr>
                <w:rStyle w:val="BContentControl"/>
              </w:rPr>
              <w:alias w:val="acct.code"/>
              <w:tag w:val="acct.code"/>
              <w:id w:val="-1026255006"/>
              <w:lock w:val="sdtLocked"/>
              <w:placeholder>
                <w:docPart w:val="55EA102FCB554C2BB668FEE9061AF0BD"/>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600989">
                <w:rPr>
                  <w:rStyle w:val="BContentControl"/>
                </w:rPr>
                <w:t>TD2M20</w:t>
              </w:r>
            </w:sdtContent>
          </w:sdt>
          <w:sdt>
            <w:sdtPr>
              <w:rPr>
                <w:rStyle w:val="BContentControl"/>
              </w:rPr>
              <w:alias w:val="bna.id.prefix"/>
              <w:tag w:val="bna.id.prefix"/>
              <w:id w:val="-915394635"/>
              <w:lock w:val="sdtLocked"/>
              <w:placeholder>
                <w:docPart w:val="2F9140BF72DF4EF6B7AA041D37D7A145"/>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600989">
                <w:rPr>
                  <w:rStyle w:val="BContentControl"/>
                </w:rPr>
                <w:t>12</w:t>
              </w:r>
            </w:sdtContent>
          </w:sdt>
          <w:r w:rsidR="00600989" w:rsidRPr="00600989">
            <w:rPr>
              <w:rStyle w:val="BContentControl"/>
            </w:rPr>
            <w:t xml:space="preserve"> </w:t>
          </w:r>
          <w:sdt>
            <w:sdtPr>
              <w:rPr>
                <w:rStyle w:val="BContentControl"/>
              </w:rPr>
              <w:alias w:val="class.code*"/>
              <w:tag w:val="class.code"/>
              <w:id w:val="-241947087"/>
              <w:lock w:val="sdtLocked"/>
              <w:placeholder>
                <w:docPart w:val="0368ECCAD7624AC28AF39FB8E9555871"/>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600989">
                <w:rPr>
                  <w:rStyle w:val="BContentControl"/>
                </w:rPr>
                <w:t>A</w:t>
              </w:r>
            </w:sdtContent>
          </w:sdt>
          <w:r w:rsidR="00600989" w:rsidRPr="00600989">
            <w:rPr>
              <w:rStyle w:val="BContentControl"/>
            </w:rPr>
            <w:t xml:space="preserve"> </w:t>
          </w:r>
          <w:sdt>
            <w:sdtPr>
              <w:rPr>
                <w:rStyle w:val="BContentControl"/>
              </w:rPr>
              <w:alias w:val="class.name*"/>
              <w:tag w:val="class.name"/>
              <w:id w:val="280685323"/>
              <w:lock w:val="sdtLocked"/>
              <w:placeholder>
                <w:docPart w:val="2A936AB09D5E4B16A1EE81603E61B91F"/>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600989">
                <w:rPr>
                  <w:rStyle w:val="BContentControl"/>
                </w:rPr>
                <w:t>Book Body</w:t>
              </w:r>
            </w:sdtContent>
          </w:sdt>
          <w:r w:rsidR="00600989" w:rsidRPr="00600989">
            <w:rPr>
              <w:rStyle w:val="BContentControl"/>
            </w:rPr>
            <w:t xml:space="preserve"> </w:t>
          </w:r>
          <w:sdt>
            <w:sdtPr>
              <w:rPr>
                <w:rStyle w:val="BContentControl"/>
              </w:rPr>
              <w:alias w:val="copyright.owner"/>
              <w:tag w:val="copyright.owner"/>
              <w:id w:val="-1128850297"/>
              <w:lock w:val="sdtLocked"/>
              <w:placeholder>
                <w:docPart w:val="19D1F4D0AAB34B74ADF3F84EC7520080"/>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600989" w:rsidRPr="00600989">
                <w:rPr>
                  <w:rStyle w:val="BContentControl"/>
                </w:rPr>
                <w:t>enter text</w:t>
              </w:r>
            </w:sdtContent>
          </w:sdt>
          <w:r w:rsidR="00600989" w:rsidRPr="00600989">
            <w:rPr>
              <w:rStyle w:val="BContentControl"/>
            </w:rPr>
            <w:t xml:space="preserve"> </w:t>
          </w:r>
          <w:sdt>
            <w:sdtPr>
              <w:rPr>
                <w:rStyle w:val="BContentControl"/>
              </w:rPr>
              <w:alias w:val="date"/>
              <w:tag w:val="date"/>
              <w:id w:val="-1434508117"/>
              <w:lock w:val="sdtLocked"/>
              <w:placeholder>
                <w:docPart w:val="D5CF071E2FE64E1DBBFFEE3242245000"/>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600989">
                <w:rPr>
                  <w:rStyle w:val="BContentControl"/>
                </w:rPr>
                <w:t>2025-09-25</w:t>
              </w:r>
            </w:sdtContent>
          </w:sdt>
          <w:r w:rsidR="00600989" w:rsidRPr="00600989">
            <w:rPr>
              <w:rStyle w:val="BContentControl"/>
            </w:rPr>
            <w:t xml:space="preserve"> </w:t>
          </w:r>
          <w:sdt>
            <w:sdtPr>
              <w:rPr>
                <w:rStyle w:val="BContentControl"/>
              </w:rPr>
              <w:alias w:val="folio"/>
              <w:tag w:val="folio"/>
              <w:id w:val="1511873414"/>
              <w:lock w:val="sdtLocked"/>
              <w:placeholder>
                <w:docPart w:val="49838FD77B0F4615B2FBD00A2A95ED78"/>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600989">
                <w:rPr>
                  <w:rStyle w:val="BContentControl"/>
                </w:rPr>
                <w:t>563</w:t>
              </w:r>
            </w:sdtContent>
          </w:sdt>
          <w:r w:rsidR="00600989" w:rsidRPr="00600989">
            <w:rPr>
              <w:rStyle w:val="BContentControl"/>
            </w:rPr>
            <w:t xml:space="preserve"> </w:t>
          </w:r>
          <w:sdt>
            <w:sdtPr>
              <w:rPr>
                <w:rStyle w:val="BContentControl"/>
              </w:rPr>
              <w:alias w:val="part.name"/>
              <w:tag w:val="part.name"/>
              <w:id w:val="1524593699"/>
              <w:lock w:val="sdtLocked"/>
              <w:placeholder>
                <w:docPart w:val="C00A5065FBE144239BD69B13D7DF0712"/>
              </w:placeholder>
              <w:dataBinding w:prefixMappings="xmlns:ns0='http://www.bna.com/gateway/unit.start' " w:xpath="/ns0:document[1]/ns0:unit.start[1]/@part.name" w:storeItemID="{B04FCA99-13B0-422B-ADC9-9491644FA79D}"/>
              <w15:appearance w15:val="tags"/>
              <w:text/>
            </w:sdtPr>
            <w:sdtContent>
              <w:r w:rsidR="001E3995" w:rsidRPr="001E3995">
                <w:rPr>
                  <w:rStyle w:val="BContentControl"/>
                </w:rPr>
                <w:t>Part II.</w:t>
              </w:r>
              <w:r w:rsidR="001E3995" w:rsidRPr="001E3995">
                <w:rPr>
                  <w:rStyle w:val="BContentControl"/>
                </w:rPr>
                <w:t xml:space="preserve"> </w:t>
              </w:r>
              <w:r w:rsidR="001E3995" w:rsidRPr="001E3995">
                <w:rPr>
                  <w:rStyle w:val="BContentControl"/>
                </w:rPr>
                <w:t>Federal Dilution Law</w:t>
              </w:r>
            </w:sdtContent>
          </w:sdt>
          <w:r w:rsidR="00600989" w:rsidRPr="00600989">
            <w:rPr>
              <w:rStyle w:val="BContentControl"/>
            </w:rPr>
            <w:t xml:space="preserve"> </w:t>
          </w:r>
          <w:sdt>
            <w:sdtPr>
              <w:rPr>
                <w:rStyle w:val="BContentControl"/>
              </w:rPr>
              <w:alias w:val="part.num"/>
              <w:tag w:val="part.num"/>
              <w:id w:val="433093937"/>
              <w:lock w:val="sdtLocked"/>
              <w:placeholder>
                <w:docPart w:val="F55F76163C9A4CE9BB000507D18ED5B2"/>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600989">
                <w:rPr>
                  <w:rStyle w:val="BContentControl"/>
                </w:rPr>
                <w:t>2</w:t>
              </w:r>
            </w:sdtContent>
          </w:sdt>
          <w:r w:rsidR="00600989" w:rsidRPr="00600989">
            <w:rPr>
              <w:rStyle w:val="BContentControl"/>
            </w:rPr>
            <w:t xml:space="preserve"> </w:t>
          </w:r>
          <w:sdt>
            <w:sdtPr>
              <w:rPr>
                <w:rStyle w:val="BContentControl"/>
              </w:rPr>
              <w:alias w:val="subpart.name"/>
              <w:tag w:val="subpart.name"/>
              <w:id w:val="1112324382"/>
              <w:lock w:val="sdtLocked"/>
              <w:placeholder>
                <w:docPart w:val="C62F2E3A56274F3EA24843992C02CAFF"/>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600989" w:rsidRPr="00600989">
                <w:rPr>
                  <w:rStyle w:val="BContentControl"/>
                </w:rPr>
                <w:t>enter text</w:t>
              </w:r>
            </w:sdtContent>
          </w:sdt>
          <w:r w:rsidR="00600989" w:rsidRPr="00600989">
            <w:rPr>
              <w:rStyle w:val="BContentControl"/>
            </w:rPr>
            <w:t xml:space="preserve"> </w:t>
          </w:r>
          <w:sdt>
            <w:sdtPr>
              <w:rPr>
                <w:rStyle w:val="BContentControl"/>
              </w:rPr>
              <w:alias w:val="pdm.name"/>
              <w:tag w:val="pdm.name"/>
              <w:id w:val="-861895703"/>
              <w:lock w:val="sdtLocked"/>
              <w:placeholder>
                <w:docPart w:val="C2742BDC6DDB40EFB0E9D8E1DA333C3D"/>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600989">
                <w:rPr>
                  <w:rStyle w:val="BContentControl"/>
                </w:rPr>
                <w:t>Chap12</w:t>
              </w:r>
            </w:sdtContent>
          </w:sdt>
          <w:r w:rsidR="00600989" w:rsidRPr="00600989">
            <w:rPr>
              <w:rStyle w:val="BContentControl"/>
            </w:rPr>
            <w:t xml:space="preserve"> </w:t>
          </w:r>
          <w:sdt>
            <w:sdtPr>
              <w:rPr>
                <w:rStyle w:val="BContentControl"/>
              </w:rPr>
              <w:alias w:val="publication.name"/>
              <w:tag w:val="publication.name"/>
              <w:id w:val="889850974"/>
              <w:lock w:val="sdtLocked"/>
              <w:placeholder>
                <w:docPart w:val="913632D9D7EC4658BF59671E1C5F64B6"/>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600989">
                <w:rPr>
                  <w:rStyle w:val="BContentControl"/>
                </w:rPr>
                <w:t>Trademark Dilution - Federal, State, and International Law, Second Edition</w:t>
              </w:r>
            </w:sdtContent>
          </w:sdt>
          <w:r w:rsidR="00600989" w:rsidRPr="00600989">
            <w:rPr>
              <w:rStyle w:val="BContentControl"/>
            </w:rPr>
            <w:t xml:space="preserve"> </w:t>
          </w:r>
          <w:sdt>
            <w:sdtPr>
              <w:rPr>
                <w:rStyle w:val="BContentControl"/>
              </w:rPr>
              <w:alias w:val="service.code*"/>
              <w:tag w:val="mUnit1"/>
              <w:id w:val="1727569636"/>
              <w:lock w:val="sdtLocked"/>
              <w:placeholder>
                <w:docPart w:val="8D33750A091E4213A0347AF999281825"/>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600989">
                <w:rPr>
                  <w:rStyle w:val="BContentControl"/>
                </w:rPr>
                <w:t>td-book</w:t>
              </w:r>
            </w:sdtContent>
          </w:sdt>
          <w:r w:rsidR="00600989" w:rsidRPr="00600989">
            <w:rPr>
              <w:rStyle w:val="BContentControl"/>
            </w:rPr>
            <w:t xml:space="preserve"> </w:t>
          </w:r>
          <w:sdt>
            <w:sdtPr>
              <w:rPr>
                <w:rStyle w:val="BContentControl"/>
              </w:rPr>
              <w:alias w:val="supplement"/>
              <w:tag w:val="supplement"/>
              <w:id w:val="481901071"/>
              <w:lock w:val="sdtLocked"/>
              <w:placeholder>
                <w:docPart w:val="7149297C09C7475A88A07C734C877205"/>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600989">
                <w:rPr>
                  <w:rStyle w:val="BContentControl"/>
                </w:rPr>
                <w:t>0</w:t>
              </w:r>
            </w:sdtContent>
          </w:sdt>
          <w:r w:rsidR="00600989" w:rsidRPr="00600989">
            <w:rPr>
              <w:rStyle w:val="BContentControl"/>
            </w:rPr>
            <w:t xml:space="preserve"> </w:t>
          </w:r>
          <w:sdt>
            <w:sdtPr>
              <w:rPr>
                <w:rStyle w:val="BContentControl"/>
              </w:rPr>
              <w:alias w:val="unit.code"/>
              <w:tag w:val="unit.code"/>
              <w:id w:val="1156808183"/>
              <w:lock w:val="sdtLocked"/>
              <w:placeholder>
                <w:docPart w:val="D8E466B0E2794844A22C7E8E73A17AF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600989">
                <w:rPr>
                  <w:rStyle w:val="BContentControl"/>
                </w:rPr>
                <w:t>main0012</w:t>
              </w:r>
            </w:sdtContent>
          </w:sdt>
          <w:r w:rsidR="00600989" w:rsidRPr="00600989">
            <w:rPr>
              <w:rStyle w:val="BContentControl"/>
            </w:rPr>
            <w:t xml:space="preserve"> </w:t>
          </w:r>
          <w:sdt>
            <w:sdtPr>
              <w:rPr>
                <w:rStyle w:val="BContentControl"/>
              </w:rPr>
              <w:alias w:val="unit.name*"/>
              <w:tag w:val="unit.name"/>
              <w:id w:val="694737022"/>
              <w:lock w:val="sdtLocked"/>
              <w:placeholder>
                <w:docPart w:val="0C0B75E9757442F0882A73B2602CBD02"/>
              </w:placeholder>
              <w:dataBinding w:prefixMappings="xmlns:ns0='http://www.bna.com/gateway/unit.start' " w:xpath="/ns0:document[1]/ns0:unit.start[1]/@unit.name" w:storeItemID="{B04FCA99-13B0-422B-ADC9-9491644FA79D}"/>
              <w15:appearance w15:val="tags"/>
              <w:text/>
            </w:sdtPr>
            <w:sdtContent>
              <w:r w:rsidR="001E3995" w:rsidRPr="001E3995">
                <w:rPr>
                  <w:rStyle w:val="BContentControl"/>
                </w:rPr>
                <w:t>Chapter 12.</w:t>
              </w:r>
              <w:r w:rsidR="001E3995" w:rsidRPr="001E3995">
                <w:rPr>
                  <w:rStyle w:val="BContentControl"/>
                </w:rPr>
                <w:t xml:space="preserve"> </w:t>
              </w:r>
              <w:r w:rsidR="001E3995" w:rsidRPr="001E3995">
                <w:rPr>
                  <w:rStyle w:val="BContentControl"/>
                </w:rPr>
                <w:t>Issues of Practice and Procedure</w:t>
              </w:r>
            </w:sdtContent>
          </w:sdt>
          <w:r w:rsidR="00600989" w:rsidRPr="00600989">
            <w:rPr>
              <w:rStyle w:val="BContentControl"/>
            </w:rPr>
            <w:t xml:space="preserve"> </w:t>
          </w:r>
          <w:sdt>
            <w:sdtPr>
              <w:rPr>
                <w:rStyle w:val="BContentControl"/>
              </w:rPr>
              <w:alias w:val="volume.num"/>
              <w:tag w:val="volume.num"/>
              <w:id w:val="2043083025"/>
              <w:lock w:val="sdtLocked"/>
              <w:placeholder>
                <w:docPart w:val="ECFA4AFA44AE4049B8452047E23EA71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600989">
                <w:rPr>
                  <w:rStyle w:val="BContentControl"/>
                </w:rPr>
                <w:t>1</w:t>
              </w:r>
            </w:sdtContent>
          </w:sdt>
        </w:p>
        <w:bookmarkEnd w:id="0" w:displacedByCustomXml="next"/>
      </w:sdtContent>
    </w:sdt>
    <w:p w14:paraId="78AE068D" w14:textId="77777777" w:rsidR="001E3995" w:rsidRPr="001E3995" w:rsidRDefault="00EF781B" w:rsidP="00600989">
      <w:pPr>
        <w:pStyle w:val="BDocStart"/>
      </w:pPr>
      <w:sdt>
        <w:sdtPr>
          <w:tag w:val="DocStart"/>
          <w:id w:val="-319195164"/>
          <w:lock w:val="sdtLocked"/>
          <w:placeholder>
            <w:docPart w:val="F4C284432ACA42ACA5E38FCD4310CC46"/>
          </w:placeholder>
          <w15:appearance w15:val="hidden"/>
        </w:sdtPr>
        <w:sdtEndPr/>
        <w:sdtContent>
          <w:r w:rsidR="00600989">
            <w:t>Document</w:t>
          </w:r>
        </w:sdtContent>
      </w:sdt>
    </w:p>
    <w:p w14:paraId="3DE40A0D" w14:textId="5417F4AE" w:rsidR="001E3995" w:rsidRPr="001E3995" w:rsidRDefault="00CA1E43" w:rsidP="001E3995">
      <w:pPr>
        <w:pStyle w:val="BChapterName"/>
      </w:pPr>
      <w:r w:rsidRPr="001E3995">
        <w:t>Chapter 12</w:t>
      </w:r>
      <w:r w:rsidR="001E3995" w:rsidRPr="001E3995">
        <w:t>.</w:t>
      </w:r>
      <w:r w:rsidR="001E3995" w:rsidRPr="001E3995">
        <w:t xml:space="preserve"> </w:t>
      </w:r>
      <w:r w:rsidR="001E3995" w:rsidRPr="001E3995">
        <w:t>I</w:t>
      </w:r>
      <w:r w:rsidRPr="001E3995">
        <w:t>ssues of Practice and Procedure</w:t>
      </w:r>
    </w:p>
    <w:p w14:paraId="091ED42C" w14:textId="6615F9B2" w:rsidR="001E3995" w:rsidRPr="001E3995" w:rsidRDefault="001E3995" w:rsidP="001E3995">
      <w:pPr>
        <w:pStyle w:val="BNormal"/>
      </w:pPr>
      <w:r w:rsidRPr="001E3995">
        <w:rPr>
          <w:i/>
        </w:rPr>
        <w:t>This chapter is current through May 2025.</w:t>
      </w:r>
    </w:p>
    <w:p w14:paraId="082D40C3" w14:textId="42A6D9B1" w:rsidR="001E3995" w:rsidRPr="001E3995" w:rsidRDefault="00CA1E43" w:rsidP="001E3995">
      <w:pPr>
        <w:pStyle w:val="BNormal"/>
      </w:pPr>
      <w:hyperlink r:id="rId13" w:history="1">
        <w:r w:rsidR="001E3995" w:rsidRPr="001E3995">
          <w:rPr>
            <w:rStyle w:val="Hyperlink"/>
          </w:rPr>
          <w:t>David Welkowitz</w:t>
        </w:r>
      </w:hyperlink>
      <w:r w:rsidR="001E3995" w:rsidRPr="001E3995">
        <w:rPr>
          <w:rFonts w:eastAsiaTheme="majorEastAsia"/>
          <w:vertAlign w:val="superscript"/>
        </w:rPr>
        <w:footnoteReference w:id="1"/>
      </w:r>
      <w:r w:rsidR="001E3995">
        <w:br/>
      </w:r>
      <w:r w:rsidR="001E3995" w:rsidRPr="001E3995">
        <w:rPr>
          <w:i/>
        </w:rPr>
        <w:t>Whittier Law School, Costa Mesa, CA</w:t>
      </w:r>
    </w:p>
    <w:p w14:paraId="44AD41E9" w14:textId="7633B6D9" w:rsidR="001E3995" w:rsidRPr="001E3995" w:rsidRDefault="00CA1E43" w:rsidP="001E3995">
      <w:pPr>
        <w:pStyle w:val="BNormal"/>
      </w:pPr>
      <w:r w:rsidRPr="001E3995">
        <w:t>Disclaimer</w:t>
      </w:r>
      <w:r w:rsidR="001E3995" w:rsidRPr="001E3995">
        <w:t>:</w:t>
      </w:r>
      <w:r w:rsidR="001E3995" w:rsidRPr="001E3995">
        <w:t xml:space="preserve"> </w:t>
      </w:r>
      <w:r w:rsidR="001E3995" w:rsidRPr="001E3995">
        <w:t>T</w:t>
      </w:r>
      <w:r w:rsidRPr="001E3995">
        <w:t>he opinions expressed here are solely those of the author and should not be construed as representing the opinions, directly or indirectly, of the U.S</w:t>
      </w:r>
      <w:r w:rsidR="001E3995" w:rsidRPr="001E3995">
        <w:t>.</w:t>
      </w:r>
      <w:r w:rsidR="001E3995" w:rsidRPr="001E3995">
        <w:t xml:space="preserve"> </w:t>
      </w:r>
      <w:r w:rsidR="001E3995" w:rsidRPr="001E3995">
        <w:t>C</w:t>
      </w:r>
      <w:r w:rsidRPr="001E3995">
        <w:t>opyright Office.</w:t>
      </w:r>
    </w:p>
    <w:p w14:paraId="767CDBE9" w14:textId="27AC7FDF" w:rsidR="001E3995" w:rsidRPr="001E3995" w:rsidRDefault="001E3995" w:rsidP="001E3995">
      <w:pPr>
        <w:pStyle w:val="BHead1"/>
      </w:pPr>
      <w:r>
        <w:t>12.</w:t>
      </w:r>
      <w:r w:rsidRPr="001E3995">
        <w:rPr>
          <w:rStyle w:val="BBNAidChar"/>
          <w:rFonts w:eastAsiaTheme="majorEastAsia"/>
        </w:rPr>
        <w:t>I</w:t>
      </w:r>
      <w:r w:rsidRPr="001E3995">
        <w:t>.</w:t>
      </w:r>
      <w:r>
        <w:t xml:space="preserve">  </w:t>
      </w:r>
      <w:r w:rsidRPr="001E3995">
        <w:t>Subject Matter Jurisdiction Over Dilution Claims</w:t>
      </w:r>
    </w:p>
    <w:p w14:paraId="780D2791" w14:textId="1FB26229" w:rsidR="001E3995" w:rsidRPr="001E3995" w:rsidRDefault="001E3995" w:rsidP="001E3995">
      <w:pPr>
        <w:pStyle w:val="BHead2"/>
      </w:pPr>
      <w:r>
        <w:t>12.I.</w:t>
      </w:r>
      <w:r w:rsidRPr="001E3995">
        <w:rPr>
          <w:rStyle w:val="BBNAidChar"/>
          <w:rFonts w:eastAsiaTheme="majorEastAsia"/>
        </w:rPr>
        <w:t>A</w:t>
      </w:r>
      <w:r w:rsidRPr="001E3995">
        <w:t>.</w:t>
      </w:r>
      <w:r>
        <w:t> </w:t>
      </w:r>
      <w:r w:rsidRPr="001E3995">
        <w:tab/>
        <w:t>Federal Dilution Claims</w:t>
      </w:r>
    </w:p>
    <w:p w14:paraId="2BB3E1E9" w14:textId="196C71B3" w:rsidR="001E3995" w:rsidRPr="001E3995" w:rsidRDefault="001E3995" w:rsidP="001E3995">
      <w:pPr>
        <w:pStyle w:val="BHead3"/>
      </w:pPr>
      <w:r>
        <w:t>12.I.A.</w:t>
      </w:r>
      <w:r w:rsidRPr="001E3995">
        <w:rPr>
          <w:rStyle w:val="BBNAidChar"/>
          <w:rFonts w:eastAsiaTheme="majorEastAsia"/>
        </w:rPr>
        <w:t>1</w:t>
      </w:r>
      <w:r w:rsidRPr="001E3995">
        <w:t>.</w:t>
      </w:r>
      <w:r>
        <w:t> </w:t>
      </w:r>
      <w:r w:rsidRPr="001E3995">
        <w:tab/>
        <w:t>Federal Court Jurisdiction</w:t>
      </w:r>
    </w:p>
    <w:p w14:paraId="3F8D10C7" w14:textId="79986EF3" w:rsidR="001E3995" w:rsidRPr="001E3995" w:rsidRDefault="00CA1E43" w:rsidP="001E3995">
      <w:pPr>
        <w:pStyle w:val="BNormal"/>
      </w:pPr>
      <w:r w:rsidRPr="001E3995">
        <w:t>Federal subject matter jurisdiction over dilution claims may be grounded in several different statutes</w:t>
      </w:r>
      <w:r w:rsidR="001E3995" w:rsidRPr="001E3995">
        <w:t>.</w:t>
      </w:r>
      <w:r w:rsidR="001E3995" w:rsidRPr="001E3995">
        <w:t xml:space="preserve"> </w:t>
      </w:r>
      <w:r w:rsidR="001E3995" w:rsidRPr="001E3995">
        <w:t>T</w:t>
      </w:r>
      <w:r w:rsidRPr="001E3995">
        <w:t>he Trademark Dilution Revision Act (TDRA),</w:t>
      </w:r>
      <w:r w:rsidR="001E3995" w:rsidRPr="001E3995">
        <w:rPr>
          <w:vertAlign w:val="superscript"/>
        </w:rPr>
        <w:footnoteReference w:id="2"/>
      </w:r>
      <w:r w:rsidRPr="001E3995">
        <w:t xml:space="preserve"> like the Federal Trademark Dilution Act (FTDA) before it,</w:t>
      </w:r>
      <w:r w:rsidR="001E3995" w:rsidRPr="001E3995">
        <w:rPr>
          <w:vertAlign w:val="superscript"/>
        </w:rPr>
        <w:footnoteReference w:id="3"/>
      </w:r>
      <w:r w:rsidRPr="001E3995">
        <w:t xml:space="preserve"> is part of the Lanham Act, and the Lanham Act specifically addresses the issue of subject matter jurisdiction</w:t>
      </w:r>
      <w:r w:rsidR="001E3995" w:rsidRPr="001E3995">
        <w:t>.</w:t>
      </w:r>
      <w:r w:rsidR="001E3995" w:rsidRPr="001E3995">
        <w:t xml:space="preserve"> </w:t>
      </w:r>
      <w:r w:rsidR="001E3995" w:rsidRPr="001E3995">
        <w:t>S</w:t>
      </w:r>
      <w:r w:rsidRPr="001E3995">
        <w:t xml:space="preserve">ection 39(a) of the Lanham Act grants subject matter jurisdiction to the federal district courts over all claims </w:t>
      </w:r>
      <w:r w:rsidRPr="001E3995">
        <w:lastRenderedPageBreak/>
        <w:t>cognizable under the statute.</w:t>
      </w:r>
      <w:r w:rsidR="001E3995" w:rsidRPr="001E3995">
        <w:rPr>
          <w:vertAlign w:val="superscript"/>
        </w:rPr>
        <w:footnoteReference w:id="4"/>
      </w:r>
      <w:r w:rsidRPr="001E3995">
        <w:t xml:space="preserve"> In addition, 28 U.S.C</w:t>
      </w:r>
      <w:r w:rsidR="001E3995" w:rsidRPr="001E3995">
        <w:t>.</w:t>
      </w:r>
      <w:r w:rsidR="001E3995" w:rsidRPr="001E3995">
        <w:t xml:space="preserve"> </w:t>
      </w:r>
      <w:r w:rsidR="001E3995" w:rsidRPr="001E3995">
        <w:t>§</w:t>
      </w:r>
      <w:r w:rsidRPr="001E3995">
        <w:t>1338(a) grants federal district courts original jurisdiction over trademark claims</w:t>
      </w:r>
      <w:r w:rsidR="001E3995" w:rsidRPr="001E3995">
        <w:t>.</w:t>
      </w:r>
      <w:r w:rsidR="001E3995" w:rsidRPr="001E3995">
        <w:t xml:space="preserve"> </w:t>
      </w:r>
      <w:r w:rsidR="001E3995" w:rsidRPr="001E3995">
        <w:t>F</w:t>
      </w:r>
      <w:r w:rsidRPr="001E3995">
        <w:t>inally, 28 U.S.C</w:t>
      </w:r>
      <w:r w:rsidR="001E3995" w:rsidRPr="001E3995">
        <w:t>.</w:t>
      </w:r>
      <w:r w:rsidR="001E3995" w:rsidRPr="001E3995">
        <w:t xml:space="preserve"> </w:t>
      </w:r>
      <w:r w:rsidR="001E3995" w:rsidRPr="001E3995">
        <w:t>§</w:t>
      </w:r>
      <w:r w:rsidRPr="001E3995">
        <w:t>1331 grants jurisdiction to federal district courts over claims arising under federal law</w:t>
      </w:r>
      <w:r w:rsidR="001E3995" w:rsidRPr="001E3995">
        <w:t>.</w:t>
      </w:r>
      <w:r w:rsidR="001E3995" w:rsidRPr="001E3995">
        <w:t xml:space="preserve"> </w:t>
      </w:r>
      <w:r w:rsidR="001E3995" w:rsidRPr="001E3995">
        <w:t>I</w:t>
      </w:r>
      <w:r w:rsidRPr="001E3995">
        <w:t>n addition, defendants may remove federal dilution claims (along with any associated infringement claims and any supplemental state law claims) that are brought in state court.</w:t>
      </w:r>
      <w:r w:rsidR="001E3995" w:rsidRPr="001E3995">
        <w:rPr>
          <w:vertAlign w:val="superscript"/>
        </w:rPr>
        <w:footnoteReference w:id="5"/>
      </w:r>
      <w:r w:rsidRPr="001E3995">
        <w:t xml:space="preserve"> Obviously, a claim under the Lanham Act would arise under federal law.</w:t>
      </w:r>
    </w:p>
    <w:p w14:paraId="63BDBEA8" w14:textId="67E56007" w:rsidR="001E3995" w:rsidRPr="001E3995" w:rsidRDefault="00CA1E43" w:rsidP="001E3995">
      <w:pPr>
        <w:pStyle w:val="BNormal"/>
      </w:pPr>
      <w:r w:rsidRPr="001E3995">
        <w:t xml:space="preserve">An unusual twist on federal subject matter jurisdiction was present in </w:t>
      </w:r>
      <w:r w:rsidR="001E3995" w:rsidRPr="001E3995">
        <w:rPr>
          <w:rStyle w:val="BCasenamefull"/>
        </w:rPr>
        <w:t>Bell Helicopter Textron, Inc. v. Islamic Republic of Iran</w:t>
      </w:r>
      <w:r w:rsidRPr="001E3995">
        <w:t>.</w:t>
      </w:r>
      <w:r w:rsidR="001E3995" w:rsidRPr="001E3995">
        <w:rPr>
          <w:vertAlign w:val="superscript"/>
        </w:rPr>
        <w:footnoteReference w:id="6"/>
      </w:r>
      <w:r w:rsidRPr="001E3995">
        <w:t xml:space="preserve"> Bell Helicopter sued an Iranian entity for, among other things, trademark dilution, and obtained a default judgment</w:t>
      </w:r>
      <w:r w:rsidR="001E3995" w:rsidRPr="001E3995">
        <w:t>.</w:t>
      </w:r>
      <w:r w:rsidR="001E3995" w:rsidRPr="001E3995">
        <w:t xml:space="preserve"> </w:t>
      </w:r>
      <w:r w:rsidR="001E3995" w:rsidRPr="001E3995">
        <w:t>T</w:t>
      </w:r>
      <w:r w:rsidRPr="001E3995">
        <w:t>he government of Iran moved to set aside the default judgment</w:t>
      </w:r>
      <w:r w:rsidR="001E3995" w:rsidRPr="001E3995">
        <w:t>.</w:t>
      </w:r>
      <w:r w:rsidR="001E3995" w:rsidRPr="001E3995">
        <w:t xml:space="preserve"> </w:t>
      </w:r>
      <w:r w:rsidR="001E3995" w:rsidRPr="001E3995">
        <w:t>B</w:t>
      </w:r>
      <w:r w:rsidRPr="001E3995">
        <w:t>ecause the defendant was a government agency, Bell had to demonstrate that jurisdiction was consistent with the Foreign Sovereign Immunities Act (FSIA)</w:t>
      </w:r>
      <w:r w:rsidR="001E3995" w:rsidRPr="001E3995">
        <w:t>.</w:t>
      </w:r>
      <w:r w:rsidR="001E3995" w:rsidRPr="001E3995">
        <w:t xml:space="preserve"> </w:t>
      </w:r>
      <w:r w:rsidR="001E3995" w:rsidRPr="001E3995">
        <w:t>T</w:t>
      </w:r>
      <w:r w:rsidRPr="001E3995">
        <w:t>he court held that Bell failed to show that Iran’s activities had a “direct effect” on the United States—that it affected intellectual property rights owned by a U.S</w:t>
      </w:r>
      <w:r w:rsidR="001E3995" w:rsidRPr="001E3995">
        <w:t>.</w:t>
      </w:r>
      <w:r w:rsidR="001E3995" w:rsidRPr="001E3995">
        <w:t xml:space="preserve"> </w:t>
      </w:r>
      <w:r w:rsidR="001E3995" w:rsidRPr="001E3995">
        <w:t>e</w:t>
      </w:r>
      <w:r w:rsidRPr="001E3995">
        <w:t>ntity and caused financial losses to Bell was not sufficient—and therefore the default judgment had to be set aside for lack of subject matter jurisdiction.</w:t>
      </w:r>
      <w:r w:rsidR="001E3995" w:rsidRPr="001E3995">
        <w:rPr>
          <w:vertAlign w:val="superscript"/>
        </w:rPr>
        <w:footnoteReference w:id="7"/>
      </w:r>
    </w:p>
    <w:p w14:paraId="1B9C8C3E" w14:textId="70529958" w:rsidR="001E3995" w:rsidRPr="001E3995" w:rsidRDefault="001E3995" w:rsidP="001E3995">
      <w:pPr>
        <w:pStyle w:val="BHead3"/>
      </w:pPr>
      <w:r>
        <w:t>12.I.A.</w:t>
      </w:r>
      <w:r w:rsidRPr="001E3995">
        <w:rPr>
          <w:rStyle w:val="BBNAidChar"/>
          <w:rFonts w:eastAsiaTheme="majorEastAsia"/>
        </w:rPr>
        <w:t>2</w:t>
      </w:r>
      <w:r w:rsidRPr="001E3995">
        <w:t>.</w:t>
      </w:r>
      <w:r>
        <w:t xml:space="preserve">  </w:t>
      </w:r>
      <w:r w:rsidRPr="001E3995">
        <w:t>Abstention and Dilution Claims</w:t>
      </w:r>
    </w:p>
    <w:p w14:paraId="5B2D30E5" w14:textId="218F3E6C" w:rsidR="001E3995" w:rsidRPr="001E3995" w:rsidRDefault="00CA1E43" w:rsidP="001E3995">
      <w:pPr>
        <w:pStyle w:val="BNormal"/>
      </w:pPr>
      <w:r w:rsidRPr="001E3995">
        <w:t>In rare situations, various doctrines permit federal courts to abstain from deciding cases despite the existence of federal subject matter jurisdiction</w:t>
      </w:r>
      <w:r w:rsidR="001E3995" w:rsidRPr="001E3995">
        <w:t>.</w:t>
      </w:r>
      <w:r w:rsidR="001E3995" w:rsidRPr="001E3995">
        <w:t xml:space="preserve"> </w:t>
      </w:r>
      <w:r w:rsidR="001E3995" w:rsidRPr="001E3995">
        <w:t>H</w:t>
      </w:r>
      <w:r w:rsidRPr="001E3995">
        <w:t>owever, these are very limited circumstances</w:t>
      </w:r>
      <w:r w:rsidR="001E3995" w:rsidRPr="001E3995">
        <w:t>.</w:t>
      </w:r>
      <w:r w:rsidR="001E3995" w:rsidRPr="001E3995">
        <w:t xml:space="preserve"> </w:t>
      </w:r>
      <w:r w:rsidR="001E3995" w:rsidRPr="001E3995">
        <w:t>I</w:t>
      </w:r>
      <w:r w:rsidRPr="001E3995">
        <w:t>n one case, the Fourth Circuit reversed a district court’s abstention order based on so-called Colorado River abstention</w:t>
      </w:r>
      <w:r w:rsidR="001E3995" w:rsidRPr="001E3995">
        <w:rPr>
          <w:vertAlign w:val="superscript"/>
        </w:rPr>
        <w:footnoteReference w:id="8"/>
      </w:r>
      <w:r w:rsidRPr="001E3995">
        <w:t xml:space="preserve"> (in which there are parallel proceedings in state and federal courts) on the grounds that the federal proceedings were not identical to the state proceedings, even if some of the key issues were the same.</w:t>
      </w:r>
      <w:r w:rsidR="001E3995" w:rsidRPr="001E3995">
        <w:rPr>
          <w:vertAlign w:val="superscript"/>
        </w:rPr>
        <w:footnoteReference w:id="9"/>
      </w:r>
      <w:r w:rsidR="001E3995" w:rsidRPr="001E3995">
        <w:t xml:space="preserve"> </w:t>
      </w:r>
      <w:r w:rsidRPr="001E3995">
        <w:t>However, in another case, a district court agreed to stay its action in favor of an ongoing action in the Trademark Trial and Appeal Board, noting that the TTAB action had been litigated for several years (the district court action was relatively recent), the TTAB action had had extensive discovery, and likely would narrow the issues in the district court proceeding.</w:t>
      </w:r>
      <w:r w:rsidR="001E3995" w:rsidRPr="001E3995">
        <w:rPr>
          <w:b/>
          <w:vertAlign w:val="superscript"/>
        </w:rPr>
        <w:footnoteReference w:id="10"/>
      </w:r>
    </w:p>
    <w:p w14:paraId="3A8DA75C" w14:textId="2BD1C373" w:rsidR="001E3995" w:rsidRPr="001E3995" w:rsidRDefault="001E3995" w:rsidP="001E3995">
      <w:pPr>
        <w:pStyle w:val="BHead3"/>
      </w:pPr>
      <w:r>
        <w:t>12.I.A.</w:t>
      </w:r>
      <w:r w:rsidRPr="001E3995">
        <w:rPr>
          <w:rStyle w:val="BBNAidChar"/>
          <w:rFonts w:eastAsiaTheme="majorEastAsia"/>
        </w:rPr>
        <w:t>3</w:t>
      </w:r>
      <w:r w:rsidRPr="001E3995">
        <w:t>.</w:t>
      </w:r>
      <w:r>
        <w:t> </w:t>
      </w:r>
      <w:r w:rsidRPr="001E3995">
        <w:tab/>
        <w:t>State Court Jurisdiction</w:t>
      </w:r>
    </w:p>
    <w:p w14:paraId="58667543" w14:textId="2265E0CF" w:rsidR="001E3995" w:rsidRPr="001E3995" w:rsidRDefault="00CA1E43" w:rsidP="001E3995">
      <w:pPr>
        <w:pStyle w:val="BNormal"/>
      </w:pPr>
      <w:r w:rsidRPr="001E3995">
        <w:t>Although federal courts have exclusive jurisdiction over patent and copyright claims, they do not have exclusive jurisdiction over Lanham Act claims.</w:t>
      </w:r>
      <w:r w:rsidR="001E3995" w:rsidRPr="001E3995">
        <w:rPr>
          <w:vertAlign w:val="superscript"/>
        </w:rPr>
        <w:footnoteReference w:id="11"/>
      </w:r>
      <w:r w:rsidRPr="001E3995">
        <w:t xml:space="preserve"> Thus, federal trademark claims, including claims under the TDRA, may be brought in either federal or state courts.</w:t>
      </w:r>
      <w:r w:rsidR="001E3995" w:rsidRPr="001E3995">
        <w:rPr>
          <w:vertAlign w:val="superscript"/>
        </w:rPr>
        <w:footnoteReference w:id="12"/>
      </w:r>
      <w:r w:rsidRPr="001E3995">
        <w:t xml:space="preserve"> However, any such cases brought in state court will be </w:t>
      </w:r>
      <w:r w:rsidRPr="001E3995">
        <w:lastRenderedPageBreak/>
        <w:t>subject to removal to federal court by defendants.</w:t>
      </w:r>
      <w:r w:rsidR="001E3995" w:rsidRPr="001E3995">
        <w:rPr>
          <w:vertAlign w:val="superscript"/>
        </w:rPr>
        <w:footnoteReference w:id="13"/>
      </w:r>
    </w:p>
    <w:p w14:paraId="58B311FF" w14:textId="2943DDA2" w:rsidR="001E3995" w:rsidRPr="001E3995" w:rsidRDefault="001E3995" w:rsidP="001E3995">
      <w:pPr>
        <w:pStyle w:val="BHead2"/>
      </w:pPr>
      <w:r>
        <w:t>12.I.</w:t>
      </w:r>
      <w:r w:rsidRPr="001E3995">
        <w:rPr>
          <w:rStyle w:val="BBNAidChar"/>
          <w:rFonts w:eastAsiaTheme="majorEastAsia"/>
        </w:rPr>
        <w:t>B</w:t>
      </w:r>
      <w:r w:rsidRPr="001E3995">
        <w:t>.</w:t>
      </w:r>
      <w:r>
        <w:t> </w:t>
      </w:r>
      <w:r w:rsidRPr="001E3995">
        <w:tab/>
        <w:t>Dilution Claims Under State Law</w:t>
      </w:r>
    </w:p>
    <w:p w14:paraId="16E6065E" w14:textId="2B9A54F0" w:rsidR="001E3995" w:rsidRPr="001E3995" w:rsidRDefault="001E3995" w:rsidP="001E3995">
      <w:pPr>
        <w:pStyle w:val="BHead3"/>
      </w:pPr>
      <w:r>
        <w:t>12.I.B.</w:t>
      </w:r>
      <w:r w:rsidRPr="001E3995">
        <w:rPr>
          <w:rStyle w:val="BBNAidChar"/>
          <w:rFonts w:eastAsiaTheme="majorEastAsia"/>
        </w:rPr>
        <w:t>1</w:t>
      </w:r>
      <w:r w:rsidRPr="001E3995">
        <w:t>.</w:t>
      </w:r>
      <w:r>
        <w:t> </w:t>
      </w:r>
      <w:r w:rsidRPr="001E3995">
        <w:tab/>
        <w:t>Federal Court Jurisdiction</w:t>
      </w:r>
    </w:p>
    <w:p w14:paraId="36862737" w14:textId="51C09EFB" w:rsidR="001E3995" w:rsidRPr="001E3995" w:rsidRDefault="00CA1E43" w:rsidP="001E3995">
      <w:pPr>
        <w:pStyle w:val="BNormal"/>
      </w:pPr>
      <w:r w:rsidRPr="001E3995">
        <w:t>Federal courts may exercise jurisdiction over dilution claims brought under state laws</w:t>
      </w:r>
      <w:r w:rsidR="001E3995" w:rsidRPr="001E3995">
        <w:t>.</w:t>
      </w:r>
      <w:r w:rsidR="001E3995" w:rsidRPr="001E3995">
        <w:t xml:space="preserve"> </w:t>
      </w:r>
      <w:r w:rsidR="001E3995" w:rsidRPr="001E3995">
        <w:t>I</w:t>
      </w:r>
      <w:r w:rsidRPr="001E3995">
        <w:t>f the parties are of diverse citizenship,</w:t>
      </w:r>
      <w:r w:rsidR="001E3995" w:rsidRPr="001E3995">
        <w:rPr>
          <w:vertAlign w:val="superscript"/>
        </w:rPr>
        <w:footnoteReference w:id="14"/>
      </w:r>
      <w:r w:rsidRPr="001E3995">
        <w:t xml:space="preserve"> and the amount in controversy exceeds $75,000, then such claims may be brought under the federal diversity statute.</w:t>
      </w:r>
      <w:r w:rsidR="001E3995" w:rsidRPr="001E3995">
        <w:rPr>
          <w:vertAlign w:val="superscript"/>
        </w:rPr>
        <w:footnoteReference w:id="15"/>
      </w:r>
      <w:r w:rsidRPr="001E3995">
        <w:t xml:space="preserve"> More commonly, federal courts will exercise supplemental jurisdiction over dilution claims brought under state law.</w:t>
      </w:r>
      <w:r w:rsidR="001E3995" w:rsidRPr="001E3995">
        <w:rPr>
          <w:vertAlign w:val="superscript"/>
        </w:rPr>
        <w:footnoteReference w:id="16"/>
      </w:r>
      <w:r w:rsidRPr="001E3995">
        <w:t xml:space="preserve"> Supplemental jurisdiction permits federal courts to hear claims lacking independent federal subject matter jurisdiction if those claims are sufficiently related to a federal claim such that the two claims form a single constitutional “case.”</w:t>
      </w:r>
      <w:r w:rsidR="001E3995" w:rsidRPr="001E3995">
        <w:rPr>
          <w:vertAlign w:val="superscript"/>
        </w:rPr>
        <w:footnoteReference w:id="17"/>
      </w:r>
      <w:r w:rsidRPr="001E3995">
        <w:t xml:space="preserve"> Since state dilution claims almost invariably are alleged to arise from the same conduct that forms the basis of a federal trademark infringement and/or dilution claim, this normally will not pose a problem</w:t>
      </w:r>
      <w:r w:rsidR="001E3995" w:rsidRPr="001E3995">
        <w:t>.</w:t>
      </w:r>
      <w:r w:rsidR="001E3995" w:rsidRPr="001E3995">
        <w:t xml:space="preserve"> </w:t>
      </w:r>
      <w:r w:rsidR="001E3995" w:rsidRPr="001E3995">
        <w:t>I</w:t>
      </w:r>
      <w:r w:rsidRPr="001E3995">
        <w:t>f a federal court dismisses the federal question claims, it normally will dismiss the supplemental state claims as well.</w:t>
      </w:r>
      <w:r w:rsidR="001E3995" w:rsidRPr="001E3995">
        <w:rPr>
          <w:vertAlign w:val="superscript"/>
        </w:rPr>
        <w:footnoteReference w:id="18"/>
      </w:r>
    </w:p>
    <w:p w14:paraId="795A9D52" w14:textId="6F050584" w:rsidR="001E3995" w:rsidRPr="001E3995" w:rsidRDefault="00CA1E43" w:rsidP="001E3995">
      <w:pPr>
        <w:pStyle w:val="BNormal"/>
      </w:pPr>
      <w:r w:rsidRPr="001E3995">
        <w:t>In rare instances, a court may exercise jurisdiction over state claims if it deems a federal statute to have completely preempted the field, transforming a state-law claim into a federal one.</w:t>
      </w:r>
      <w:r w:rsidR="001E3995" w:rsidRPr="001E3995">
        <w:rPr>
          <w:vertAlign w:val="superscript"/>
        </w:rPr>
        <w:footnoteReference w:id="19"/>
      </w:r>
      <w:r w:rsidRPr="001E3995">
        <w:t xml:space="preserve"> Usually claims of federal jurisdiction in this context arise when a defendant attempts to remove a case to federal court.</w:t>
      </w:r>
      <w:r w:rsidR="001E3995" w:rsidRPr="001E3995">
        <w:rPr>
          <w:vertAlign w:val="superscript"/>
        </w:rPr>
        <w:footnoteReference w:id="20"/>
      </w:r>
      <w:r w:rsidRPr="001E3995">
        <w:t xml:space="preserve"> This is often called the “artful pleading” rule, where a plaintiff is deemed to have artfully pleaded its way around a federal question.</w:t>
      </w:r>
      <w:r w:rsidR="001E3995" w:rsidRPr="001E3995">
        <w:rPr>
          <w:vertAlign w:val="superscript"/>
        </w:rPr>
        <w:footnoteReference w:id="21"/>
      </w:r>
      <w:r w:rsidRPr="001E3995">
        <w:t xml:space="preserve"> However, the plaintiff normally is deemed to be the master of its complaint, and it is very rare for federal courts to permit the use of this doctrine outside of labor management or employee benefits situations.</w:t>
      </w:r>
      <w:r w:rsidR="001E3995" w:rsidRPr="001E3995">
        <w:rPr>
          <w:vertAlign w:val="superscript"/>
        </w:rPr>
        <w:footnoteReference w:id="22"/>
      </w:r>
      <w:r w:rsidRPr="001E3995">
        <w:t xml:space="preserve"> </w:t>
      </w:r>
      <w:r w:rsidRPr="001E3995">
        <w:lastRenderedPageBreak/>
        <w:t xml:space="preserve">Given Congress’s clear intent in the TDRA </w:t>
      </w:r>
      <w:r w:rsidR="001E3995" w:rsidRPr="001E3995">
        <w:rPr>
          <w:i/>
        </w:rPr>
        <w:t>not</w:t>
      </w:r>
      <w:r w:rsidRPr="001E3995">
        <w:t xml:space="preserve"> to preempt state dilution claims in general, it is unlikely that a defendant would be able to remove a state dilution claim on this basis.</w:t>
      </w:r>
      <w:r w:rsidR="001E3995" w:rsidRPr="001E3995">
        <w:rPr>
          <w:vertAlign w:val="superscript"/>
        </w:rPr>
        <w:footnoteReference w:id="23"/>
      </w:r>
      <w:r w:rsidRPr="001E3995">
        <w:t xml:space="preserve"> This does not mean that state dilution claims cannot be preempted</w:t>
      </w:r>
      <w:r w:rsidR="001E3995" w:rsidRPr="001E3995">
        <w:t>.</w:t>
      </w:r>
      <w:r w:rsidR="001E3995" w:rsidRPr="001E3995">
        <w:t xml:space="preserve"> </w:t>
      </w:r>
      <w:r w:rsidR="001E3995" w:rsidRPr="001E3995">
        <w:t>I</w:t>
      </w:r>
      <w:r w:rsidRPr="001E3995">
        <w:t>t simply means that the preemption defense will be litigated in state court (unless the case is in federal court under diversity jurisdiction), and the parties will ultimately have the right to petition the United States Supreme Court for certiorari on that federal-law issue.</w:t>
      </w:r>
    </w:p>
    <w:p w14:paraId="0263ED56" w14:textId="5EE1ADA6" w:rsidR="001E3995" w:rsidRPr="001E3995" w:rsidRDefault="00CA1E43" w:rsidP="001E3995">
      <w:pPr>
        <w:pStyle w:val="BNormal"/>
      </w:pPr>
      <w:r w:rsidRPr="001E3995">
        <w:t>A court may decline supplemental jurisdiction if it believes that the state claims will predominate over the federal trademark claims.</w:t>
      </w:r>
      <w:r w:rsidR="001E3995" w:rsidRPr="001E3995">
        <w:rPr>
          <w:vertAlign w:val="superscript"/>
        </w:rPr>
        <w:footnoteReference w:id="24"/>
      </w:r>
      <w:r w:rsidRPr="001E3995">
        <w:t xml:space="preserve"> State dilution claims could present such issues in trademark infringement cases because they permit recovery without a showing of likelihood of confusion, and some state laws allow dilution protection for marks that are not “famous,” as the TDRA requires.</w:t>
      </w:r>
      <w:r w:rsidR="001E3995" w:rsidRPr="001E3995">
        <w:rPr>
          <w:vertAlign w:val="superscript"/>
        </w:rPr>
        <w:footnoteReference w:id="25"/>
      </w:r>
      <w:r w:rsidRPr="001E3995">
        <w:t xml:space="preserve"> However, few dilution claims will be tried to a jury,</w:t>
      </w:r>
      <w:r w:rsidR="001E3995" w:rsidRPr="001E3995">
        <w:rPr>
          <w:vertAlign w:val="superscript"/>
        </w:rPr>
        <w:footnoteReference w:id="26"/>
      </w:r>
      <w:r w:rsidRPr="001E3995">
        <w:t xml:space="preserve"> and a court should be able to sort out the conflicting legal standards without being confused about the properly applicable standard</w:t>
      </w:r>
      <w:r w:rsidR="001E3995" w:rsidRPr="001E3995">
        <w:t>.</w:t>
      </w:r>
      <w:r w:rsidR="001E3995" w:rsidRPr="001E3995">
        <w:t xml:space="preserve"> </w:t>
      </w:r>
      <w:r w:rsidR="001E3995" w:rsidRPr="001E3995">
        <w:t>T</w:t>
      </w:r>
      <w:r w:rsidRPr="001E3995">
        <w:t>hus, the possibility of discretionary denial of supplemental jurisdiction over state dilution claims is usually more theoretical than real.</w:t>
      </w:r>
      <w:r w:rsidR="001E3995" w:rsidRPr="001E3995">
        <w:rPr>
          <w:vertAlign w:val="superscript"/>
        </w:rPr>
        <w:footnoteReference w:id="27"/>
      </w:r>
    </w:p>
    <w:p w14:paraId="040C3EBC" w14:textId="19582BC2" w:rsidR="001E3995" w:rsidRPr="001E3995" w:rsidRDefault="00CA1E43" w:rsidP="001E3995">
      <w:pPr>
        <w:pStyle w:val="BNormal"/>
      </w:pPr>
      <w:r w:rsidRPr="001E3995">
        <w:t>In addition, claims under state dilution laws may be deemed “unfair competition” claims</w:t>
      </w:r>
      <w:r w:rsidR="001E3995" w:rsidRPr="001E3995">
        <w:t>.</w:t>
      </w:r>
      <w:r w:rsidR="001E3995" w:rsidRPr="001E3995">
        <w:t xml:space="preserve"> </w:t>
      </w:r>
      <w:r w:rsidR="001E3995" w:rsidRPr="001E3995">
        <w:t>I</w:t>
      </w:r>
      <w:r w:rsidRPr="001E3995">
        <w:t>n that event, a separate federal statute permits such claims to be brought together with federal trademark claims.</w:t>
      </w:r>
      <w:r w:rsidR="001E3995" w:rsidRPr="001E3995">
        <w:rPr>
          <w:vertAlign w:val="superscript"/>
        </w:rPr>
        <w:footnoteReference w:id="28"/>
      </w:r>
    </w:p>
    <w:p w14:paraId="3B344E3C" w14:textId="6615719F" w:rsidR="001E3995" w:rsidRPr="001E3995" w:rsidRDefault="00CA1E43" w:rsidP="001E3995">
      <w:pPr>
        <w:pStyle w:val="BNormal"/>
      </w:pPr>
      <w:r w:rsidRPr="001E3995">
        <w:t>In rare situations, a federal court may abstain from hearing a case based on state law where there is a parallel action pending in the state court and there is a significant risk of inconsistent rulings concerning the disposition of property (in this case, a trademark).</w:t>
      </w:r>
      <w:r w:rsidR="001E3995" w:rsidRPr="001E3995">
        <w:rPr>
          <w:vertAlign w:val="superscript"/>
        </w:rPr>
        <w:footnoteReference w:id="29"/>
      </w:r>
    </w:p>
    <w:p w14:paraId="4E0D36FF" w14:textId="5AB940CB" w:rsidR="001E3995" w:rsidRPr="001E3995" w:rsidRDefault="001E3995" w:rsidP="001E3995">
      <w:pPr>
        <w:pStyle w:val="BHead3"/>
      </w:pPr>
      <w:r>
        <w:t>12.I.B.</w:t>
      </w:r>
      <w:r w:rsidRPr="001E3995">
        <w:rPr>
          <w:rStyle w:val="BBNAidChar"/>
          <w:rFonts w:eastAsiaTheme="majorEastAsia"/>
        </w:rPr>
        <w:t>2</w:t>
      </w:r>
      <w:r w:rsidRPr="001E3995">
        <w:t>.</w:t>
      </w:r>
      <w:r>
        <w:t> </w:t>
      </w:r>
      <w:r w:rsidRPr="001E3995">
        <w:tab/>
        <w:t>State Court Jurisdiction</w:t>
      </w:r>
    </w:p>
    <w:p w14:paraId="334E0CE0" w14:textId="299D2C18" w:rsidR="001E3995" w:rsidRPr="001E3995" w:rsidRDefault="00CA1E43" w:rsidP="001E3995">
      <w:pPr>
        <w:pStyle w:val="BNormal"/>
      </w:pPr>
      <w:r w:rsidRPr="001E3995">
        <w:t>Quite naturally, state courts will have subject matter jurisdiction over claims brought under state dilution laws</w:t>
      </w:r>
      <w:r w:rsidR="001E3995" w:rsidRPr="001E3995">
        <w:t>.</w:t>
      </w:r>
      <w:r w:rsidR="001E3995" w:rsidRPr="001E3995">
        <w:t xml:space="preserve"> </w:t>
      </w:r>
      <w:r w:rsidR="001E3995" w:rsidRPr="001E3995">
        <w:t>T</w:t>
      </w:r>
      <w:r w:rsidRPr="001E3995">
        <w:t>his is particularly true when the entire claim is based on state law</w:t>
      </w:r>
      <w:r w:rsidR="001E3995" w:rsidRPr="001E3995">
        <w:t>.</w:t>
      </w:r>
      <w:r w:rsidR="001E3995" w:rsidRPr="001E3995">
        <w:t xml:space="preserve"> </w:t>
      </w:r>
      <w:r w:rsidR="001E3995" w:rsidRPr="001E3995">
        <w:t>A</w:t>
      </w:r>
      <w:r w:rsidRPr="001E3995">
        <w:t xml:space="preserve">lthough state dilution claims are overwhelmingly brought in federal </w:t>
      </w:r>
      <w:proofErr w:type="gramStart"/>
      <w:r w:rsidRPr="001E3995">
        <w:t>court</w:t>
      </w:r>
      <w:proofErr w:type="gramEnd"/>
      <w:r w:rsidRPr="001E3995">
        <w:t xml:space="preserve"> as supplemental claims to federal trademark (infringement and dilution) claims, there have been </w:t>
      </w:r>
      <w:proofErr w:type="gramStart"/>
      <w:r w:rsidRPr="001E3995">
        <w:t>a number of</w:t>
      </w:r>
      <w:proofErr w:type="gramEnd"/>
      <w:r w:rsidRPr="001E3995">
        <w:t xml:space="preserve"> dilution cases brought in state courts, especially New York and Texas.</w:t>
      </w:r>
      <w:r w:rsidR="001E3995" w:rsidRPr="001E3995">
        <w:rPr>
          <w:vertAlign w:val="superscript"/>
        </w:rPr>
        <w:footnoteReference w:id="30"/>
      </w:r>
    </w:p>
    <w:p w14:paraId="71A66D65" w14:textId="0FF7A223" w:rsidR="001E3995" w:rsidRPr="001E3995" w:rsidRDefault="001E3995" w:rsidP="001E3995">
      <w:pPr>
        <w:pStyle w:val="BHead2"/>
      </w:pPr>
      <w:r>
        <w:t>12.I.</w:t>
      </w:r>
      <w:r w:rsidRPr="001E3995">
        <w:rPr>
          <w:rStyle w:val="BBNAidChar"/>
          <w:rFonts w:eastAsiaTheme="majorEastAsia"/>
        </w:rPr>
        <w:t>C</w:t>
      </w:r>
      <w:r w:rsidRPr="001E3995">
        <w:t>.</w:t>
      </w:r>
      <w:r>
        <w:t> </w:t>
      </w:r>
      <w:r w:rsidRPr="001E3995">
        <w:tab/>
        <w:t>In Rem Actions Under the TDRA</w:t>
      </w:r>
    </w:p>
    <w:p w14:paraId="1620DC73" w14:textId="4C583755" w:rsidR="001E3995" w:rsidRPr="001E3995" w:rsidRDefault="00CA1E43" w:rsidP="001E3995">
      <w:pPr>
        <w:pStyle w:val="BNormal"/>
      </w:pPr>
      <w:r w:rsidRPr="001E3995">
        <w:t xml:space="preserve">In </w:t>
      </w:r>
      <w:r w:rsidR="001E3995" w:rsidRPr="001E3995">
        <w:rPr>
          <w:i/>
        </w:rPr>
        <w:t>Porsche Cars North America,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Porsche</w:t>
      </w:r>
      <w:r w:rsidRPr="001E3995">
        <w:t>.</w:t>
      </w:r>
      <w:r w:rsidR="001E3995" w:rsidRPr="001E3995">
        <w:rPr>
          <w:i/>
        </w:rPr>
        <w:t>net</w:t>
      </w:r>
      <w:r w:rsidRPr="001E3995">
        <w:t>,</w:t>
      </w:r>
      <w:r w:rsidR="001E3995" w:rsidRPr="001E3995">
        <w:rPr>
          <w:vertAlign w:val="superscript"/>
        </w:rPr>
        <w:footnoteReference w:id="31"/>
      </w:r>
      <w:r w:rsidRPr="001E3995">
        <w:t xml:space="preserve"> the U.S</w:t>
      </w:r>
      <w:r w:rsidR="001E3995" w:rsidRPr="001E3995">
        <w:t>.</w:t>
      </w:r>
      <w:r w:rsidR="001E3995" w:rsidRPr="001E3995">
        <w:t xml:space="preserve"> </w:t>
      </w:r>
      <w:r w:rsidR="001E3995" w:rsidRPr="001E3995">
        <w:t>C</w:t>
      </w:r>
      <w:r w:rsidRPr="001E3995">
        <w:t xml:space="preserve">ourt of Appeals for the Fourth Circuit held that one cannot maintain an </w:t>
      </w:r>
      <w:proofErr w:type="gramStart"/>
      <w:r w:rsidRPr="001E3995">
        <w:t>in rem</w:t>
      </w:r>
      <w:proofErr w:type="gramEnd"/>
      <w:r w:rsidRPr="001E3995">
        <w:t xml:space="preserve"> action for violation of the FTDA by cybersquatting</w:t>
      </w:r>
      <w:r w:rsidR="001E3995" w:rsidRPr="001E3995">
        <w:t>.</w:t>
      </w:r>
      <w:r w:rsidR="001E3995" w:rsidRPr="001E3995">
        <w:t xml:space="preserve"> </w:t>
      </w:r>
      <w:r w:rsidR="001E3995" w:rsidRPr="001E3995">
        <w:t>T</w:t>
      </w:r>
      <w:r w:rsidRPr="001E3995">
        <w:t xml:space="preserve">he court stated that the FTDA did not afford the remedy of domain name transfer, but noted that Congress had provided a specific remedy for cybersquatting in the </w:t>
      </w:r>
      <w:proofErr w:type="spellStart"/>
      <w:r w:rsidRPr="001E3995">
        <w:t>Anticybersquatting</w:t>
      </w:r>
      <w:proofErr w:type="spellEnd"/>
      <w:r w:rsidRPr="001E3995">
        <w:t xml:space="preserve"> Consumer Protection Act (ACPA), including an in rem procedure, and that a contrary result would permit plaintiffs to circumvent the specific requirements of that </w:t>
      </w:r>
      <w:r w:rsidRPr="001E3995">
        <w:lastRenderedPageBreak/>
        <w:t>statute.</w:t>
      </w:r>
      <w:r w:rsidR="001E3995" w:rsidRPr="001E3995">
        <w:rPr>
          <w:vertAlign w:val="superscript"/>
        </w:rPr>
        <w:footnoteReference w:id="32"/>
      </w:r>
      <w:r w:rsidRPr="001E3995">
        <w:t xml:space="preserve"> Nothing in the TDRA would seem to alter that reasoning.</w:t>
      </w:r>
    </w:p>
    <w:p w14:paraId="534691FA" w14:textId="2A13CBE4" w:rsidR="001E3995" w:rsidRPr="001E3995" w:rsidRDefault="001E3995" w:rsidP="001E3995">
      <w:pPr>
        <w:pStyle w:val="BHead2"/>
      </w:pPr>
      <w:r>
        <w:t>12.I.</w:t>
      </w:r>
      <w:r w:rsidRPr="001E3995">
        <w:rPr>
          <w:rStyle w:val="BBNAidChar"/>
          <w:rFonts w:eastAsiaTheme="majorEastAsia"/>
        </w:rPr>
        <w:t>D</w:t>
      </w:r>
      <w:r w:rsidRPr="001E3995">
        <w:t>.</w:t>
      </w:r>
      <w:r>
        <w:t> </w:t>
      </w:r>
      <w:r w:rsidRPr="001E3995">
        <w:tab/>
        <w:t>Dilution Claims Under Foreign Laws</w:t>
      </w:r>
    </w:p>
    <w:p w14:paraId="54D2E372" w14:textId="1C73C7C9" w:rsidR="001E3995" w:rsidRPr="001E3995" w:rsidRDefault="00CA1E43" w:rsidP="001E3995">
      <w:pPr>
        <w:pStyle w:val="BNormal"/>
      </w:pPr>
      <w:r w:rsidRPr="001E3995">
        <w:t>As discussed in Chapter 15, many countries allow claims for trademark infringement that are essentially the same as dilution claims</w:t>
      </w:r>
      <w:r w:rsidR="001E3995" w:rsidRPr="001E3995">
        <w:t>.</w:t>
      </w:r>
      <w:r w:rsidR="001E3995" w:rsidRPr="001E3995">
        <w:t xml:space="preserve"> </w:t>
      </w:r>
      <w:r w:rsidR="001E3995" w:rsidRPr="001E3995">
        <w:t>I</w:t>
      </w:r>
      <w:r w:rsidRPr="001E3995">
        <w:t xml:space="preserve">n theory, if there is </w:t>
      </w:r>
      <w:proofErr w:type="gramStart"/>
      <w:r w:rsidRPr="001E3995">
        <w:t>diversity</w:t>
      </w:r>
      <w:proofErr w:type="gramEnd"/>
      <w:r w:rsidRPr="001E3995">
        <w:t xml:space="preserve"> jurisdiction, such a claim could be heard in a federal court</w:t>
      </w:r>
      <w:r w:rsidR="001E3995" w:rsidRPr="001E3995">
        <w:t>.</w:t>
      </w:r>
      <w:r w:rsidR="001E3995" w:rsidRPr="001E3995">
        <w:t xml:space="preserve"> </w:t>
      </w:r>
      <w:r w:rsidR="001E3995" w:rsidRPr="001E3995">
        <w:t>H</w:t>
      </w:r>
      <w:r w:rsidRPr="001E3995">
        <w:t>owever, a federal court may be disinclined to accept supplemental jurisdiction over a trademark claim based on foreign law, even if the foreign-law claim is factually related to a federal trademark claim.</w:t>
      </w:r>
      <w:r w:rsidR="001E3995" w:rsidRPr="001E3995">
        <w:rPr>
          <w:vertAlign w:val="superscript"/>
        </w:rPr>
        <w:footnoteReference w:id="33"/>
      </w:r>
    </w:p>
    <w:p w14:paraId="2323C66F" w14:textId="5481C5FD" w:rsidR="001E3995" w:rsidRPr="001E3995" w:rsidRDefault="001E3995" w:rsidP="001E3995">
      <w:pPr>
        <w:pStyle w:val="BHead1"/>
      </w:pPr>
      <w:r>
        <w:t>12.</w:t>
      </w:r>
      <w:r w:rsidRPr="001E3995">
        <w:rPr>
          <w:rStyle w:val="BBNAidChar"/>
          <w:rFonts w:eastAsiaTheme="majorEastAsia"/>
        </w:rPr>
        <w:t>II</w:t>
      </w:r>
      <w:r w:rsidRPr="001E3995">
        <w:t>.</w:t>
      </w:r>
      <w:r>
        <w:t xml:space="preserve">  </w:t>
      </w:r>
      <w:r w:rsidRPr="001E3995">
        <w:t>Federal Venue in Dilution Actions</w:t>
      </w:r>
    </w:p>
    <w:p w14:paraId="4079724E" w14:textId="119564C9" w:rsidR="001E3995" w:rsidRPr="001E3995" w:rsidRDefault="001E3995" w:rsidP="001E3995">
      <w:pPr>
        <w:pStyle w:val="BHead2"/>
      </w:pPr>
      <w:r>
        <w:t>12.II.</w:t>
      </w:r>
      <w:r w:rsidRPr="001E3995">
        <w:rPr>
          <w:rStyle w:val="BBNAidChar"/>
          <w:rFonts w:eastAsiaTheme="majorEastAsia"/>
        </w:rPr>
        <w:t>A</w:t>
      </w:r>
      <w:r w:rsidRPr="001E3995">
        <w:t>.</w:t>
      </w:r>
      <w:r>
        <w:t> </w:t>
      </w:r>
      <w:r w:rsidRPr="001E3995">
        <w:tab/>
        <w:t>Where Venue Is Proper</w:t>
      </w:r>
    </w:p>
    <w:p w14:paraId="021F3238" w14:textId="1FCBD5E1" w:rsidR="001E3995" w:rsidRPr="001E3995" w:rsidRDefault="00CA1E43" w:rsidP="001E3995">
      <w:pPr>
        <w:pStyle w:val="BNormal"/>
      </w:pPr>
      <w:r w:rsidRPr="001E3995">
        <w:t>Venue in TDRA actions is governed by the general federal venue statute.</w:t>
      </w:r>
      <w:r w:rsidR="001E3995" w:rsidRPr="001E3995">
        <w:rPr>
          <w:vertAlign w:val="superscript"/>
        </w:rPr>
        <w:footnoteReference w:id="34"/>
      </w:r>
      <w:r w:rsidRPr="001E3995">
        <w:t xml:space="preserve"> The relevant section of that statute provides as follows:</w:t>
      </w:r>
    </w:p>
    <w:p w14:paraId="04CABFBC" w14:textId="20F10A74" w:rsidR="001E3995" w:rsidRPr="001E3995" w:rsidRDefault="00CA1E43" w:rsidP="001E3995">
      <w:pPr>
        <w:pStyle w:val="BQuotelong"/>
      </w:pPr>
      <w:r w:rsidRPr="001E3995">
        <w:t>(b) Venue in General.</w:t>
      </w:r>
    </w:p>
    <w:p w14:paraId="7B36EFC8" w14:textId="5A2AC028" w:rsidR="001E3995" w:rsidRPr="001E3995" w:rsidRDefault="00CA1E43" w:rsidP="001E3995">
      <w:pPr>
        <w:pStyle w:val="BQuotelong"/>
      </w:pPr>
      <w:r w:rsidRPr="001E3995">
        <w:t>A civil action may be brought in—</w:t>
      </w:r>
    </w:p>
    <w:p w14:paraId="78A1837E" w14:textId="351AAB54" w:rsidR="001E3995" w:rsidRPr="001E3995" w:rsidRDefault="00CA1E43" w:rsidP="001E3995">
      <w:pPr>
        <w:pStyle w:val="BQuotelong"/>
        <w:ind w:left="1440"/>
      </w:pPr>
      <w:r w:rsidRPr="001E3995">
        <w:t>(1)</w:t>
      </w:r>
      <w:r w:rsidRPr="001E3995">
        <w:tab/>
        <w:t xml:space="preserve">a judicial district in which any defendant resides, if all defendants are residents of the State in which the district is </w:t>
      </w:r>
      <w:proofErr w:type="gramStart"/>
      <w:r w:rsidRPr="001E3995">
        <w:t>located;</w:t>
      </w:r>
      <w:proofErr w:type="gramEnd"/>
    </w:p>
    <w:p w14:paraId="61F9090C" w14:textId="5B2B8576" w:rsidR="001E3995" w:rsidRPr="001E3995" w:rsidRDefault="00CA1E43" w:rsidP="001E3995">
      <w:pPr>
        <w:pStyle w:val="BQuotelong"/>
        <w:ind w:left="1440"/>
      </w:pPr>
      <w:r w:rsidRPr="001E3995">
        <w:t>(2)</w:t>
      </w:r>
      <w:r w:rsidRPr="001E3995">
        <w:tab/>
        <w:t>a judicial district in which a substantial part of the events or omissions giving rise to the claim occurred, or a substantial part of property that is the subject of the action is situated</w:t>
      </w:r>
      <w:r w:rsidR="001E3995" w:rsidRPr="001E3995">
        <w:t>;</w:t>
      </w:r>
      <w:r w:rsidR="001E3995" w:rsidRPr="001E3995">
        <w:t xml:space="preserve"> </w:t>
      </w:r>
      <w:r w:rsidR="001E3995" w:rsidRPr="001E3995">
        <w:t>o</w:t>
      </w:r>
      <w:r w:rsidRPr="001E3995">
        <w:t>r</w:t>
      </w:r>
    </w:p>
    <w:p w14:paraId="1D235F16" w14:textId="2FABF8CE" w:rsidR="001E3995" w:rsidRPr="001E3995" w:rsidRDefault="00CA1E43" w:rsidP="001E3995">
      <w:pPr>
        <w:pStyle w:val="BQuotelong"/>
        <w:ind w:left="1440"/>
      </w:pPr>
      <w:r w:rsidRPr="001E3995">
        <w:t>(3)</w:t>
      </w:r>
      <w:r w:rsidRPr="001E3995">
        <w:tab/>
        <w:t>if there is no district in which an action may otherwise be brought as provided in this section, any judicial district in which any defendant is subject to the court’s personal jurisdiction with respect to such action.</w:t>
      </w:r>
    </w:p>
    <w:p w14:paraId="3CD9BD5E" w14:textId="6F4F9F0D" w:rsidR="001E3995" w:rsidRPr="001E3995" w:rsidRDefault="00CA1E43" w:rsidP="001E3995">
      <w:pPr>
        <w:pStyle w:val="BNormal"/>
      </w:pPr>
      <w:r w:rsidRPr="001E3995">
        <w:t>The first part is relatively straightforward</w:t>
      </w:r>
      <w:r w:rsidR="001E3995" w:rsidRPr="001E3995">
        <w:t>.</w:t>
      </w:r>
      <w:r w:rsidR="001E3995" w:rsidRPr="001E3995">
        <w:t xml:space="preserve"> </w:t>
      </w:r>
      <w:r w:rsidR="001E3995" w:rsidRPr="001E3995">
        <w:t>O</w:t>
      </w:r>
      <w:r w:rsidRPr="001E3995">
        <w:t>ne must only remember that if any defendant is a corporation, its residence for venue purposes will be any district where it is subject to personal jurisdiction.</w:t>
      </w:r>
      <w:r w:rsidR="001E3995" w:rsidRPr="001E3995">
        <w:rPr>
          <w:vertAlign w:val="superscript"/>
        </w:rPr>
        <w:footnoteReference w:id="35"/>
      </w:r>
      <w:r w:rsidRPr="001E3995">
        <w:t xml:space="preserve"> The residence of the </w:t>
      </w:r>
      <w:r w:rsidR="001E3995" w:rsidRPr="001E3995">
        <w:rPr>
          <w:i/>
        </w:rPr>
        <w:t>plaintiff</w:t>
      </w:r>
      <w:r w:rsidRPr="001E3995">
        <w:t xml:space="preserve"> is not relevant to this analysis</w:t>
      </w:r>
      <w:r w:rsidR="001E3995" w:rsidRPr="001E3995">
        <w:t>.</w:t>
      </w:r>
      <w:r w:rsidR="001E3995" w:rsidRPr="001E3995">
        <w:t xml:space="preserve"> </w:t>
      </w:r>
      <w:r w:rsidR="001E3995" w:rsidRPr="001E3995">
        <w:t>S</w:t>
      </w:r>
      <w:r w:rsidRPr="001E3995">
        <w:t xml:space="preserve">ubsection (2) is a bit </w:t>
      </w:r>
      <w:proofErr w:type="gramStart"/>
      <w:r w:rsidRPr="001E3995">
        <w:t>more vague</w:t>
      </w:r>
      <w:proofErr w:type="gramEnd"/>
      <w:r w:rsidRPr="001E3995">
        <w:t xml:space="preserve">, but in most </w:t>
      </w:r>
      <w:proofErr w:type="gramStart"/>
      <w:r w:rsidRPr="001E3995">
        <w:t>cases</w:t>
      </w:r>
      <w:proofErr w:type="gramEnd"/>
      <w:r w:rsidRPr="001E3995">
        <w:t xml:space="preserve"> it will not pose a problem</w:t>
      </w:r>
      <w:r w:rsidR="001E3995" w:rsidRPr="001E3995">
        <w:t>.</w:t>
      </w:r>
      <w:r w:rsidR="001E3995" w:rsidRPr="001E3995">
        <w:t xml:space="preserve"> </w:t>
      </w:r>
      <w:r w:rsidR="001E3995" w:rsidRPr="001E3995">
        <w:t>A</w:t>
      </w:r>
      <w:r w:rsidRPr="001E3995">
        <w:t>ny district in which a significant act of dilution occurs should be sufficient to create proper venue.</w:t>
      </w:r>
      <w:r w:rsidR="001E3995" w:rsidRPr="001E3995">
        <w:rPr>
          <w:vertAlign w:val="superscript"/>
        </w:rPr>
        <w:footnoteReference w:id="36"/>
      </w:r>
      <w:r w:rsidRPr="001E3995">
        <w:t xml:space="preserve"> Thus, in any given case there may be several districts in which venue would be proper.</w:t>
      </w:r>
      <w:r w:rsidR="001E3995" w:rsidRPr="001E3995">
        <w:rPr>
          <w:vertAlign w:val="superscript"/>
        </w:rPr>
        <w:footnoteReference w:id="37"/>
      </w:r>
      <w:r w:rsidRPr="001E3995">
        <w:t xml:space="preserve"> The sale of </w:t>
      </w:r>
      <w:r w:rsidRPr="001E3995">
        <w:lastRenderedPageBreak/>
        <w:t>infringing (diluting) goods in the district would satisfy this provision.</w:t>
      </w:r>
      <w:r w:rsidR="001E3995" w:rsidRPr="001E3995">
        <w:rPr>
          <w:vertAlign w:val="superscript"/>
        </w:rPr>
        <w:footnoteReference w:id="38"/>
      </w:r>
      <w:r w:rsidRPr="001E3995">
        <w:t xml:space="preserve"> However, the mere fact that the plaintiff will be affected by the dilution does not make the plaintiff’s residence a proper venue location.</w:t>
      </w:r>
      <w:r w:rsidR="001E3995" w:rsidRPr="001E3995">
        <w:rPr>
          <w:vertAlign w:val="superscript"/>
        </w:rPr>
        <w:footnoteReference w:id="39"/>
      </w:r>
      <w:r w:rsidRPr="001E3995">
        <w:t xml:space="preserve"> Moreover, the actions creating a connection between the defendant and the district must be connected with the dilution in order to serve as a basis for venue.</w:t>
      </w:r>
      <w:r w:rsidR="001E3995" w:rsidRPr="001E3995">
        <w:rPr>
          <w:vertAlign w:val="superscript"/>
        </w:rPr>
        <w:footnoteReference w:id="40"/>
      </w:r>
    </w:p>
    <w:p w14:paraId="7B8FAF20" w14:textId="5C95BA7F" w:rsidR="001E3995" w:rsidRPr="001E3995" w:rsidRDefault="00CA1E43" w:rsidP="001E3995">
      <w:pPr>
        <w:pStyle w:val="BNormal"/>
      </w:pPr>
      <w:r w:rsidRPr="001E3995">
        <w:t>As with other actions, the parties may contractually set the place for bringing a dilution lawsuit</w:t>
      </w:r>
      <w:r w:rsidR="001E3995" w:rsidRPr="001E3995">
        <w:t>.</w:t>
      </w:r>
      <w:r w:rsidR="001E3995" w:rsidRPr="001E3995">
        <w:t xml:space="preserve"> </w:t>
      </w:r>
      <w:r w:rsidR="001E3995" w:rsidRPr="001E3995">
        <w:t>I</w:t>
      </w:r>
      <w:r w:rsidRPr="001E3995">
        <w:t xml:space="preserve">n that case, </w:t>
      </w:r>
      <w:r w:rsidR="001E3995" w:rsidRPr="001E3995">
        <w:rPr>
          <w:i/>
        </w:rPr>
        <w:t>if the claim arises from the contract</w:t>
      </w:r>
      <w:r w:rsidRPr="001E3995">
        <w:t>, a court may dismiss for improper venue if the action is not brought in the place(s) specified by the forum selection provision.</w:t>
      </w:r>
      <w:r w:rsidR="001E3995" w:rsidRPr="001E3995">
        <w:rPr>
          <w:vertAlign w:val="superscript"/>
        </w:rPr>
        <w:footnoteReference w:id="41"/>
      </w:r>
    </w:p>
    <w:p w14:paraId="19A1B645" w14:textId="2B483FBF" w:rsidR="001E3995" w:rsidRPr="001E3995" w:rsidRDefault="001E3995" w:rsidP="001E3995">
      <w:pPr>
        <w:pStyle w:val="BHead2"/>
      </w:pPr>
      <w:r>
        <w:t>12.II.</w:t>
      </w:r>
      <w:r w:rsidRPr="001E3995">
        <w:rPr>
          <w:rStyle w:val="BBNAidChar"/>
          <w:rFonts w:eastAsiaTheme="majorEastAsia"/>
        </w:rPr>
        <w:t>B</w:t>
      </w:r>
      <w:r w:rsidRPr="001E3995">
        <w:t>.</w:t>
      </w:r>
      <w:r>
        <w:t> </w:t>
      </w:r>
      <w:r w:rsidRPr="001E3995">
        <w:tab/>
        <w:t>Transfer of Venue</w:t>
      </w:r>
    </w:p>
    <w:p w14:paraId="673DB827" w14:textId="36829D48" w:rsidR="001E3995" w:rsidRPr="001E3995" w:rsidRDefault="00CA1E43" w:rsidP="001E3995">
      <w:pPr>
        <w:pStyle w:val="BNormal"/>
      </w:pPr>
      <w:r w:rsidRPr="001E3995">
        <w:t>Assuming venue is proper in the original district, transfer of venue in federal court is governed by 28 U.S.C</w:t>
      </w:r>
      <w:r w:rsidR="001E3995" w:rsidRPr="001E3995">
        <w:t>.</w:t>
      </w:r>
      <w:r w:rsidR="001E3995" w:rsidRPr="001E3995">
        <w:t xml:space="preserve"> </w:t>
      </w:r>
      <w:r w:rsidR="001E3995" w:rsidRPr="001E3995">
        <w:t>§</w:t>
      </w:r>
      <w:r w:rsidRPr="001E3995">
        <w:t>1404(a),</w:t>
      </w:r>
      <w:r w:rsidR="001E3995" w:rsidRPr="001E3995">
        <w:rPr>
          <w:vertAlign w:val="superscript"/>
        </w:rPr>
        <w:footnoteReference w:id="42"/>
      </w:r>
      <w:r w:rsidRPr="001E3995">
        <w:t xml:space="preserve"> which states:</w:t>
      </w:r>
    </w:p>
    <w:p w14:paraId="32403E45" w14:textId="5EADC59C" w:rsidR="001E3995" w:rsidRPr="001E3995" w:rsidRDefault="00CA1E43" w:rsidP="001E3995">
      <w:pPr>
        <w:pStyle w:val="BQuotelong"/>
      </w:pPr>
      <w:r w:rsidRPr="001E3995">
        <w:t>For the convenience of parties and witnesses, in the interest of justice, a district court may transfer any civil action to any other district or division where it might have been brought or to any district or division to which all parties have consented.</w:t>
      </w:r>
    </w:p>
    <w:p w14:paraId="0796B818" w14:textId="4B7A2793" w:rsidR="001E3995" w:rsidRPr="001E3995" w:rsidRDefault="00CA1E43" w:rsidP="001E3995">
      <w:pPr>
        <w:pStyle w:val="BNormal"/>
      </w:pPr>
      <w:r w:rsidRPr="001E3995">
        <w:t>This requires a very fact-specific analysis, with the district court exercising a great deal of discretion.</w:t>
      </w:r>
      <w:r w:rsidR="001E3995" w:rsidRPr="001E3995">
        <w:rPr>
          <w:vertAlign w:val="superscript"/>
        </w:rPr>
        <w:footnoteReference w:id="43"/>
      </w:r>
      <w:r w:rsidRPr="001E3995">
        <w:t xml:space="preserve"> Moreover, the moving party generally bears the burden of demonstrating that the transfer is appropriate.</w:t>
      </w:r>
      <w:r w:rsidR="001E3995" w:rsidRPr="001E3995">
        <w:rPr>
          <w:vertAlign w:val="superscript"/>
        </w:rPr>
        <w:footnoteReference w:id="44"/>
      </w:r>
      <w:r w:rsidRPr="001E3995">
        <w:t xml:space="preserve"> Transfer may be made only to a district “where [the action] might have been brought.”</w:t>
      </w:r>
      <w:r w:rsidR="001E3995" w:rsidRPr="001E3995">
        <w:rPr>
          <w:vertAlign w:val="superscript"/>
        </w:rPr>
        <w:footnoteReference w:id="45"/>
      </w:r>
      <w:r w:rsidRPr="001E3995">
        <w:t xml:space="preserve"> This has been interpreted to mean that both personal jurisdiction and venue must be proper in the proposed transferee district.</w:t>
      </w:r>
      <w:r w:rsidR="001E3995" w:rsidRPr="001E3995">
        <w:rPr>
          <w:vertAlign w:val="superscript"/>
        </w:rPr>
        <w:footnoteReference w:id="46"/>
      </w:r>
      <w:r w:rsidRPr="001E3995">
        <w:t xml:space="preserve"> However, as a result of amendments to the statute made by the Federal Courts Jurisdiction and Venue Clarification Act (JVCA) of 2011,</w:t>
      </w:r>
      <w:r w:rsidR="001E3995" w:rsidRPr="001E3995">
        <w:rPr>
          <w:vertAlign w:val="superscript"/>
        </w:rPr>
        <w:footnoteReference w:id="47"/>
      </w:r>
      <w:r w:rsidRPr="001E3995">
        <w:t xml:space="preserve"> the parties may now consent to transfer venue to a place where venue would not have been proper without their consent</w:t>
      </w:r>
      <w:r w:rsidR="001E3995" w:rsidRPr="001E3995">
        <w:t>.</w:t>
      </w:r>
      <w:r w:rsidR="001E3995" w:rsidRPr="001E3995">
        <w:t xml:space="preserve"> </w:t>
      </w:r>
      <w:r w:rsidR="001E3995" w:rsidRPr="001E3995">
        <w:t>I</w:t>
      </w:r>
      <w:r w:rsidRPr="001E3995">
        <w:t xml:space="preserve">t has been held that transfer may be made on the judge’s </w:t>
      </w:r>
      <w:r w:rsidRPr="001E3995">
        <w:lastRenderedPageBreak/>
        <w:t>motion, without requiring a party to make a motion.</w:t>
      </w:r>
      <w:r w:rsidR="001E3995" w:rsidRPr="001E3995">
        <w:rPr>
          <w:vertAlign w:val="superscript"/>
        </w:rPr>
        <w:footnoteReference w:id="48"/>
      </w:r>
    </w:p>
    <w:p w14:paraId="2ADC413F" w14:textId="3A255546" w:rsidR="001E3995" w:rsidRPr="001E3995" w:rsidRDefault="00CA1E43" w:rsidP="001E3995">
      <w:pPr>
        <w:pStyle w:val="BNormal"/>
      </w:pPr>
      <w:r w:rsidRPr="001E3995">
        <w:t>The plaintiff’s choice of forum is often said to be entitled to great weight.</w:t>
      </w:r>
      <w:r w:rsidR="001E3995" w:rsidRPr="001E3995">
        <w:rPr>
          <w:vertAlign w:val="superscript"/>
        </w:rPr>
        <w:footnoteReference w:id="49"/>
      </w:r>
      <w:r w:rsidRPr="001E3995">
        <w:t xml:space="preserve"> However, where the plaintiff chooses a forum that is not its home state of residence, that choice is given much less weight.</w:t>
      </w:r>
      <w:r w:rsidR="001E3995" w:rsidRPr="001E3995">
        <w:rPr>
          <w:vertAlign w:val="superscript"/>
        </w:rPr>
        <w:footnoteReference w:id="50"/>
      </w:r>
    </w:p>
    <w:p w14:paraId="0215A8A9" w14:textId="645E7D9E" w:rsidR="001E3995" w:rsidRPr="001E3995" w:rsidRDefault="00CA1E43" w:rsidP="001E3995">
      <w:pPr>
        <w:pStyle w:val="BNormal"/>
      </w:pPr>
      <w:r w:rsidRPr="001E3995">
        <w:t>In a dilution case, as in other cases, if litigating in a particular district would be unduly burdensome for a party, the court may transfer the case.</w:t>
      </w:r>
      <w:r w:rsidR="001E3995" w:rsidRPr="001E3995">
        <w:rPr>
          <w:vertAlign w:val="superscript"/>
        </w:rPr>
        <w:footnoteReference w:id="51"/>
      </w:r>
      <w:r w:rsidRPr="001E3995">
        <w:t xml:space="preserve"> Several factors inform the judge’s decision concerning transfer.</w:t>
      </w:r>
      <w:r w:rsidR="001E3995" w:rsidRPr="001E3995">
        <w:rPr>
          <w:vertAlign w:val="superscript"/>
        </w:rPr>
        <w:footnoteReference w:id="52"/>
      </w:r>
      <w:r w:rsidRPr="001E3995">
        <w:t xml:space="preserve"> These include</w:t>
      </w:r>
      <w:r w:rsidR="001E3995" w:rsidRPr="001E3995">
        <w:t>:</w:t>
      </w:r>
      <w:r w:rsidR="001E3995" w:rsidRPr="001E3995">
        <w:t xml:space="preserve"> </w:t>
      </w:r>
      <w:r w:rsidR="001E3995" w:rsidRPr="001E3995">
        <w:t>c</w:t>
      </w:r>
      <w:r w:rsidRPr="001E3995">
        <w:t>onvenience of witnesses, convenience of the parties (including consideration of relative financial means), location of documents and access to evidence, location of “operative facts,” availability of compulsory process for uncooperative witnesses, the plaintiff’s choice of forum, and other trial efficiency issues.</w:t>
      </w:r>
      <w:r w:rsidR="001E3995" w:rsidRPr="001E3995">
        <w:rPr>
          <w:vertAlign w:val="superscript"/>
        </w:rPr>
        <w:footnoteReference w:id="53"/>
      </w:r>
      <w:r w:rsidRPr="001E3995">
        <w:t xml:space="preserve"> Witness inconvenience must be substantiated by specific references to named witnesses, with indications of the substance of their testimony.</w:t>
      </w:r>
      <w:r w:rsidR="001E3995" w:rsidRPr="001E3995">
        <w:rPr>
          <w:vertAlign w:val="superscript"/>
        </w:rPr>
        <w:footnoteReference w:id="54"/>
      </w:r>
      <w:r w:rsidRPr="001E3995">
        <w:t xml:space="preserve"> The court will give the most weight to identified witnesses who are located in either the transferor forum (which weighs against transfer) or the transferee forum (which weighs in favor of transfer).</w:t>
      </w:r>
      <w:r w:rsidR="001E3995" w:rsidRPr="001E3995">
        <w:rPr>
          <w:vertAlign w:val="superscript"/>
        </w:rPr>
        <w:footnoteReference w:id="55"/>
      </w:r>
      <w:r w:rsidRPr="001E3995">
        <w:t xml:space="preserve"> Inconvenience to nonparty witnesses is given the greatest weight;</w:t>
      </w:r>
      <w:r w:rsidR="001E3995" w:rsidRPr="001E3995">
        <w:rPr>
          <w:vertAlign w:val="superscript"/>
        </w:rPr>
        <w:footnoteReference w:id="56"/>
      </w:r>
      <w:r w:rsidRPr="001E3995">
        <w:t xml:space="preserve"> however, such inconvenience does not necessarily outweigh the plaintiff’s choice of forum, if that choice is reasonable.</w:t>
      </w:r>
      <w:r w:rsidR="001E3995" w:rsidRPr="001E3995">
        <w:rPr>
          <w:vertAlign w:val="superscript"/>
        </w:rPr>
        <w:footnoteReference w:id="57"/>
      </w:r>
      <w:r w:rsidRPr="001E3995">
        <w:t xml:space="preserve"> The location of witnesses who do not reside in either forum is of relatively little consequence, unless they are clearly more inconvenienced by one forum over another.</w:t>
      </w:r>
      <w:r w:rsidR="001E3995" w:rsidRPr="001E3995">
        <w:rPr>
          <w:vertAlign w:val="superscript"/>
        </w:rPr>
        <w:footnoteReference w:id="58"/>
      </w:r>
      <w:r w:rsidRPr="001E3995">
        <w:t xml:space="preserve"> Out-of-state witnesses employed by corporate parties may be presumed willing and able to travel in the absence of evidence to the contrary.</w:t>
      </w:r>
      <w:r w:rsidR="001E3995" w:rsidRPr="001E3995">
        <w:rPr>
          <w:vertAlign w:val="superscript"/>
        </w:rPr>
        <w:footnoteReference w:id="59"/>
      </w:r>
      <w:r w:rsidRPr="001E3995">
        <w:t xml:space="preserve"> If the claim is that documents are located outside the district, again the inconvenience must be clear and specifically shown in the moving papers by evidence, not by mere assertions of the parties or their attorneys.</w:t>
      </w:r>
      <w:r w:rsidR="001E3995" w:rsidRPr="001E3995">
        <w:rPr>
          <w:vertAlign w:val="superscript"/>
        </w:rPr>
        <w:footnoteReference w:id="60"/>
      </w:r>
    </w:p>
    <w:p w14:paraId="16A5FEC6" w14:textId="324A984A" w:rsidR="001E3995" w:rsidRPr="001E3995" w:rsidRDefault="00CA1E43" w:rsidP="001E3995">
      <w:pPr>
        <w:pStyle w:val="BNormal"/>
      </w:pPr>
      <w:r w:rsidRPr="001E3995">
        <w:t>Convenience of the parties is considered, but not where it simply shifts the inconvenience from one side to the other.</w:t>
      </w:r>
      <w:r w:rsidR="001E3995" w:rsidRPr="001E3995">
        <w:rPr>
          <w:vertAlign w:val="superscript"/>
        </w:rPr>
        <w:footnoteReference w:id="61"/>
      </w:r>
      <w:r w:rsidRPr="001E3995">
        <w:t xml:space="preserve"> However, a significant imbalance in the inconveniences may favor </w:t>
      </w:r>
      <w:proofErr w:type="gramStart"/>
      <w:r w:rsidRPr="001E3995">
        <w:t>a transfer</w:t>
      </w:r>
      <w:proofErr w:type="gramEnd"/>
      <w:r w:rsidR="001E3995" w:rsidRPr="001E3995">
        <w:t>.</w:t>
      </w:r>
      <w:r w:rsidR="001E3995" w:rsidRPr="001E3995">
        <w:t xml:space="preserve"> </w:t>
      </w:r>
      <w:r w:rsidR="001E3995" w:rsidRPr="001E3995">
        <w:t>F</w:t>
      </w:r>
      <w:r w:rsidRPr="001E3995">
        <w:t xml:space="preserve">or example, where </w:t>
      </w:r>
      <w:r w:rsidRPr="001E3995">
        <w:lastRenderedPageBreak/>
        <w:t>one party’s employee witnesses reside mostly outside of the original forum and will have to travel in any case, while the other side’s employee witnesses reside in the transferee forum, a long distance from the original forum, it weighs in favor of transfer.</w:t>
      </w:r>
      <w:r w:rsidR="001E3995" w:rsidRPr="001E3995">
        <w:rPr>
          <w:vertAlign w:val="superscript"/>
        </w:rPr>
        <w:footnoteReference w:id="62"/>
      </w:r>
      <w:r w:rsidRPr="001E3995">
        <w:t xml:space="preserve"> The location of a party’s </w:t>
      </w:r>
      <w:r w:rsidR="001E3995" w:rsidRPr="001E3995">
        <w:rPr>
          <w:i/>
        </w:rPr>
        <w:t>attorney,</w:t>
      </w:r>
      <w:r w:rsidRPr="001E3995">
        <w:t xml:space="preserve"> however, is not a relevant factor in the analysis.</w:t>
      </w:r>
      <w:r w:rsidR="001E3995" w:rsidRPr="001E3995">
        <w:rPr>
          <w:vertAlign w:val="superscript"/>
        </w:rPr>
        <w:footnoteReference w:id="63"/>
      </w:r>
      <w:r w:rsidRPr="001E3995">
        <w:t xml:space="preserve"> The court will consider the relative financial resources of the parties.</w:t>
      </w:r>
      <w:r w:rsidR="001E3995" w:rsidRPr="001E3995">
        <w:rPr>
          <w:vertAlign w:val="superscript"/>
        </w:rPr>
        <w:footnoteReference w:id="64"/>
      </w:r>
      <w:r w:rsidRPr="001E3995">
        <w:t xml:space="preserve"> However, it has been said that a court will favor one side only if there is a </w:t>
      </w:r>
      <w:r w:rsidR="001E3995" w:rsidRPr="001E3995">
        <w:rPr>
          <w:i/>
        </w:rPr>
        <w:t>specific</w:t>
      </w:r>
      <w:r w:rsidRPr="001E3995">
        <w:t xml:space="preserve"> demonstration of significant disruption to that side’s business.</w:t>
      </w:r>
      <w:r w:rsidR="001E3995" w:rsidRPr="001E3995">
        <w:rPr>
          <w:vertAlign w:val="superscript"/>
        </w:rPr>
        <w:footnoteReference w:id="65"/>
      </w:r>
    </w:p>
    <w:p w14:paraId="1AB7757B" w14:textId="4AD061DA" w:rsidR="001E3995" w:rsidRPr="001E3995" w:rsidRDefault="00CA1E43" w:rsidP="001E3995">
      <w:pPr>
        <w:pStyle w:val="BNormal"/>
      </w:pPr>
      <w:r w:rsidRPr="001E3995">
        <w:t>The location of operative events has been described as “a primary factor” in transfer motions.</w:t>
      </w:r>
      <w:r w:rsidR="001E3995" w:rsidRPr="001E3995">
        <w:rPr>
          <w:vertAlign w:val="superscript"/>
        </w:rPr>
        <w:footnoteReference w:id="66"/>
      </w:r>
      <w:r w:rsidRPr="001E3995">
        <w:t xml:space="preserve"> In a dilution case, this refers to the primary location of acts of dilution, such as advertising or sales of allegedly diluting goods or services.</w:t>
      </w:r>
      <w:r w:rsidR="001E3995" w:rsidRPr="001E3995">
        <w:rPr>
          <w:vertAlign w:val="superscript"/>
        </w:rPr>
        <w:footnoteReference w:id="67"/>
      </w:r>
    </w:p>
    <w:p w14:paraId="60E907A4" w14:textId="3742B464" w:rsidR="001E3995" w:rsidRPr="001E3995" w:rsidRDefault="00CA1E43" w:rsidP="001E3995">
      <w:pPr>
        <w:pStyle w:val="BNormal"/>
      </w:pPr>
      <w:r w:rsidRPr="001E3995">
        <w:t>The existence of state-law claims can be an important factor in a transfer decision</w:t>
      </w:r>
      <w:r w:rsidR="001E3995" w:rsidRPr="001E3995">
        <w:t>.</w:t>
      </w:r>
      <w:r w:rsidR="001E3995" w:rsidRPr="001E3995">
        <w:t xml:space="preserve"> </w:t>
      </w:r>
      <w:r w:rsidR="001E3995" w:rsidRPr="001E3995">
        <w:t>W</w:t>
      </w:r>
      <w:r w:rsidRPr="001E3995">
        <w:t>here the law of the transferee court would apply to such claims, the original court may view the alternative forum as more knowledgeable about the nuances of state law.</w:t>
      </w:r>
      <w:r w:rsidR="001E3995" w:rsidRPr="001E3995">
        <w:rPr>
          <w:vertAlign w:val="superscript"/>
        </w:rPr>
        <w:footnoteReference w:id="68"/>
      </w:r>
      <w:r w:rsidRPr="001E3995">
        <w:t xml:space="preserve"> However, where the state-law claims are not particularly complex or novel, this factor will not weigh heavily in the balance.</w:t>
      </w:r>
      <w:r w:rsidR="001E3995" w:rsidRPr="001E3995">
        <w:rPr>
          <w:vertAlign w:val="superscript"/>
        </w:rPr>
        <w:footnoteReference w:id="69"/>
      </w:r>
      <w:r w:rsidRPr="001E3995">
        <w:t xml:space="preserve"> In some dilution cases, this may make a difference</w:t>
      </w:r>
      <w:r w:rsidR="001E3995" w:rsidRPr="001E3995">
        <w:t>.</w:t>
      </w:r>
      <w:r w:rsidR="001E3995" w:rsidRPr="001E3995">
        <w:t xml:space="preserve"> </w:t>
      </w:r>
      <w:r w:rsidR="001E3995" w:rsidRPr="001E3995">
        <w:t>M</w:t>
      </w:r>
      <w:r w:rsidRPr="001E3995">
        <w:t>any dilution cases will turn primarily on Lanham Act claims, making state claims secondary and of lesser importance.</w:t>
      </w:r>
      <w:r w:rsidR="001E3995" w:rsidRPr="001E3995">
        <w:rPr>
          <w:vertAlign w:val="superscript"/>
        </w:rPr>
        <w:footnoteReference w:id="70"/>
      </w:r>
      <w:r w:rsidRPr="001E3995">
        <w:t xml:space="preserve"> But the requirements of state dilution laws may be less stringent than the TDRA, giving them increasing importance, even where there are federal claims.</w:t>
      </w:r>
      <w:r w:rsidR="001E3995" w:rsidRPr="001E3995">
        <w:rPr>
          <w:vertAlign w:val="superscript"/>
        </w:rPr>
        <w:footnoteReference w:id="71"/>
      </w:r>
      <w:r w:rsidRPr="001E3995">
        <w:t xml:space="preserve"> Because the state laws often are relatively untested, this may favor transfer</w:t>
      </w:r>
      <w:r w:rsidR="001E3995" w:rsidRPr="001E3995">
        <w:t>.</w:t>
      </w:r>
      <w:r w:rsidR="001E3995" w:rsidRPr="001E3995">
        <w:t xml:space="preserve"> </w:t>
      </w:r>
      <w:r w:rsidR="001E3995" w:rsidRPr="001E3995">
        <w:t>O</w:t>
      </w:r>
      <w:r w:rsidRPr="001E3995">
        <w:t xml:space="preserve">n the other hand, if the state dilution claim is based on a state law patterned after the 1992 or 1996 Model State Trademark Bill, the operative standard may </w:t>
      </w:r>
      <w:proofErr w:type="gramStart"/>
      <w:r w:rsidRPr="001E3995">
        <w:t>actually be</w:t>
      </w:r>
      <w:proofErr w:type="gramEnd"/>
      <w:r w:rsidRPr="001E3995">
        <w:t xml:space="preserve"> more stringent than federal law.</w:t>
      </w:r>
      <w:r w:rsidR="001E3995" w:rsidRPr="001E3995">
        <w:rPr>
          <w:vertAlign w:val="superscript"/>
        </w:rPr>
        <w:footnoteReference w:id="72"/>
      </w:r>
    </w:p>
    <w:p w14:paraId="7168C956" w14:textId="30782ED1" w:rsidR="001E3995" w:rsidRPr="001E3995" w:rsidRDefault="00CA1E43" w:rsidP="001E3995">
      <w:pPr>
        <w:pStyle w:val="BNormal"/>
      </w:pPr>
      <w:r w:rsidRPr="001E3995">
        <w:t>Parties frequently agree to a forum by contract</w:t>
      </w:r>
      <w:r w:rsidR="001E3995" w:rsidRPr="001E3995">
        <w:t>.</w:t>
      </w:r>
      <w:r w:rsidR="001E3995" w:rsidRPr="001E3995">
        <w:t xml:space="preserve"> </w:t>
      </w:r>
      <w:r w:rsidR="001E3995" w:rsidRPr="001E3995">
        <w:t>A</w:t>
      </w:r>
      <w:r w:rsidRPr="001E3995">
        <w:t>lthough a federal court is not absolutely bound by the choice, when analyzing the public and private factors involved in transfer, the court will consider the private factors as favoring the chosen forum.</w:t>
      </w:r>
      <w:r w:rsidR="001E3995" w:rsidRPr="001E3995">
        <w:rPr>
          <w:vertAlign w:val="superscript"/>
        </w:rPr>
        <w:footnoteReference w:id="73"/>
      </w:r>
    </w:p>
    <w:p w14:paraId="255EA327" w14:textId="35EEAE09" w:rsidR="001E3995" w:rsidRPr="001E3995" w:rsidRDefault="00CA1E43" w:rsidP="001E3995">
      <w:pPr>
        <w:pStyle w:val="BNormal"/>
      </w:pPr>
      <w:r w:rsidRPr="001E3995">
        <w:t>Ultimately, the transfer decision involves a balancing of the factors discussed above</w:t>
      </w:r>
      <w:r w:rsidR="001E3995" w:rsidRPr="001E3995">
        <w:t>.</w:t>
      </w:r>
      <w:r w:rsidR="001E3995" w:rsidRPr="001E3995">
        <w:t xml:space="preserve"> </w:t>
      </w:r>
      <w:r w:rsidR="001E3995" w:rsidRPr="001E3995">
        <w:t>A</w:t>
      </w:r>
      <w:r w:rsidRPr="001E3995">
        <w:t xml:space="preserve">s stated earlier, the district judge’s determination is generally </w:t>
      </w:r>
      <w:proofErr w:type="gramStart"/>
      <w:r w:rsidRPr="001E3995">
        <w:t>accorded</w:t>
      </w:r>
      <w:proofErr w:type="gramEnd"/>
      <w:r w:rsidRPr="001E3995">
        <w:t xml:space="preserve"> great deference.</w:t>
      </w:r>
    </w:p>
    <w:p w14:paraId="06314E36" w14:textId="335D4C5B" w:rsidR="001E3995" w:rsidRPr="001E3995" w:rsidRDefault="00CA1E43" w:rsidP="001E3995">
      <w:pPr>
        <w:pStyle w:val="BNormal"/>
      </w:pPr>
      <w:r w:rsidRPr="001E3995">
        <w:t>Another basis of transfer is the “first to file” rule, where, if a similar action was previously filed in another federal court, the second court may transfer that action to the court in which the first action was filed.</w:t>
      </w:r>
      <w:r w:rsidR="001E3995" w:rsidRPr="001E3995">
        <w:rPr>
          <w:vertAlign w:val="superscript"/>
        </w:rPr>
        <w:footnoteReference w:id="74"/>
      </w:r>
    </w:p>
    <w:p w14:paraId="6A04CD41" w14:textId="0DC25C3B" w:rsidR="001E3995" w:rsidRPr="001E3995" w:rsidRDefault="001E3995" w:rsidP="001E3995">
      <w:pPr>
        <w:pStyle w:val="BHead1"/>
      </w:pPr>
      <w:r>
        <w:t>12.</w:t>
      </w:r>
      <w:r w:rsidRPr="001E3995">
        <w:rPr>
          <w:rStyle w:val="BBNAidChar"/>
          <w:rFonts w:eastAsiaTheme="majorEastAsia"/>
        </w:rPr>
        <w:t>III</w:t>
      </w:r>
      <w:r w:rsidRPr="001E3995">
        <w:t>.</w:t>
      </w:r>
      <w:r>
        <w:t xml:space="preserve">  </w:t>
      </w:r>
      <w:r w:rsidRPr="001E3995">
        <w:t>Personal Jurisdiction in Dilution Cases</w:t>
      </w:r>
    </w:p>
    <w:p w14:paraId="016633D0" w14:textId="7458EEBD" w:rsidR="001E3995" w:rsidRPr="001E3995" w:rsidRDefault="001E3995" w:rsidP="001E3995">
      <w:pPr>
        <w:pStyle w:val="BHead2"/>
      </w:pPr>
      <w:r>
        <w:t>12.III.</w:t>
      </w:r>
      <w:r w:rsidRPr="001E3995">
        <w:rPr>
          <w:rStyle w:val="BBNAidChar"/>
          <w:rFonts w:eastAsiaTheme="majorEastAsia"/>
        </w:rPr>
        <w:t>A</w:t>
      </w:r>
      <w:r w:rsidRPr="001E3995">
        <w:t>.</w:t>
      </w:r>
      <w:r>
        <w:t> </w:t>
      </w:r>
      <w:r w:rsidRPr="001E3995">
        <w:tab/>
        <w:t>General Considerations</w:t>
      </w:r>
    </w:p>
    <w:p w14:paraId="222F6A07" w14:textId="28B53D14" w:rsidR="001E3995" w:rsidRPr="001E3995" w:rsidRDefault="00CA1E43" w:rsidP="001E3995">
      <w:pPr>
        <w:pStyle w:val="BNormal"/>
      </w:pPr>
      <w:r w:rsidRPr="001E3995">
        <w:t>It is textbook law that a court may not enter a valid judgment against a defendant without having personal jurisdiction over that party</w:t>
      </w:r>
      <w:r w:rsidR="001E3995" w:rsidRPr="001E3995">
        <w:t>.</w:t>
      </w:r>
      <w:r w:rsidR="001E3995" w:rsidRPr="001E3995">
        <w:t xml:space="preserve"> </w:t>
      </w:r>
      <w:r w:rsidR="001E3995" w:rsidRPr="001E3995">
        <w:t>T</w:t>
      </w:r>
      <w:r w:rsidRPr="001E3995">
        <w:t>his principle applies equally to federal claims, such as those under the Lanham Act, and state claims, such as those under state dilution laws</w:t>
      </w:r>
      <w:r w:rsidR="001E3995" w:rsidRPr="001E3995">
        <w:t>.</w:t>
      </w:r>
      <w:r w:rsidR="001E3995" w:rsidRPr="001E3995">
        <w:t xml:space="preserve"> </w:t>
      </w:r>
      <w:r w:rsidR="001E3995" w:rsidRPr="001E3995">
        <w:t>T</w:t>
      </w:r>
      <w:r w:rsidRPr="001E3995">
        <w:t>he analysis of personal jurisdiction requires a two-step process.</w:t>
      </w:r>
      <w:r w:rsidR="001E3995" w:rsidRPr="001E3995">
        <w:rPr>
          <w:vertAlign w:val="superscript"/>
        </w:rPr>
        <w:footnoteReference w:id="75"/>
      </w:r>
      <w:r w:rsidRPr="001E3995">
        <w:t xml:space="preserve"> First, one must examine the applicable jurisdictional (“long-arm”) statute to determine whether the court is empowered by the legislature to assert authority over the defendant</w:t>
      </w:r>
      <w:r w:rsidR="001E3995" w:rsidRPr="001E3995">
        <w:t>.</w:t>
      </w:r>
      <w:r w:rsidR="001E3995" w:rsidRPr="001E3995">
        <w:t xml:space="preserve"> </w:t>
      </w:r>
      <w:r w:rsidR="001E3995" w:rsidRPr="001E3995">
        <w:t>S</w:t>
      </w:r>
      <w:r w:rsidRPr="001E3995">
        <w:t>econd, assuming the long-arm statute permits jurisdiction, one must determine whether that assertion of authority is consistent with the U.S</w:t>
      </w:r>
      <w:r w:rsidR="001E3995" w:rsidRPr="001E3995">
        <w:t>.</w:t>
      </w:r>
      <w:r w:rsidR="001E3995" w:rsidRPr="001E3995">
        <w:t xml:space="preserve"> </w:t>
      </w:r>
      <w:r w:rsidR="001E3995" w:rsidRPr="001E3995">
        <w:t>C</w:t>
      </w:r>
      <w:r w:rsidRPr="001E3995">
        <w:t>onstitution, specifically the Due Process Clause.</w:t>
      </w:r>
      <w:r w:rsidR="001E3995" w:rsidRPr="001E3995">
        <w:rPr>
          <w:vertAlign w:val="superscript"/>
        </w:rPr>
        <w:footnoteReference w:id="76"/>
      </w:r>
      <w:r w:rsidRPr="001E3995">
        <w:t xml:space="preserve"> The reach of the applicable long-arm statute will vary from jurisdiction to jurisdiction, and sometimes from claim to claim.</w:t>
      </w:r>
      <w:r w:rsidR="001E3995" w:rsidRPr="001E3995">
        <w:rPr>
          <w:vertAlign w:val="superscript"/>
        </w:rPr>
        <w:footnoteReference w:id="77"/>
      </w:r>
      <w:r w:rsidRPr="001E3995">
        <w:t xml:space="preserve"> If the long-arm statute does not permit jurisdiction in a particular situation, then jurisdiction cannot be asserted</w:t>
      </w:r>
      <w:r w:rsidR="001E3995" w:rsidRPr="001E3995">
        <w:t>;</w:t>
      </w:r>
      <w:r w:rsidR="001E3995" w:rsidRPr="001E3995">
        <w:t xml:space="preserve"> </w:t>
      </w:r>
      <w:r w:rsidR="001E3995" w:rsidRPr="001E3995">
        <w:t>t</w:t>
      </w:r>
      <w:r w:rsidRPr="001E3995">
        <w:t>he due process analysis would not be required</w:t>
      </w:r>
      <w:r w:rsidR="001E3995" w:rsidRPr="001E3995">
        <w:t>.</w:t>
      </w:r>
      <w:r w:rsidR="001E3995" w:rsidRPr="001E3995">
        <w:t xml:space="preserve"> </w:t>
      </w:r>
      <w:r w:rsidR="001E3995" w:rsidRPr="001E3995">
        <w:t>H</w:t>
      </w:r>
      <w:r w:rsidRPr="001E3995">
        <w:t>owever, the reach of any long-arm statute is ultimately limited by due process.</w:t>
      </w:r>
    </w:p>
    <w:p w14:paraId="6B4FE5B9" w14:textId="72C10DBF" w:rsidR="001E3995" w:rsidRPr="001E3995" w:rsidRDefault="00CA1E43" w:rsidP="001E3995">
      <w:pPr>
        <w:pStyle w:val="BNormal"/>
      </w:pPr>
      <w:r w:rsidRPr="001E3995">
        <w:t>Section 1(e) of the Lanham Act,</w:t>
      </w:r>
      <w:r w:rsidR="001E3995" w:rsidRPr="001E3995">
        <w:rPr>
          <w:vertAlign w:val="superscript"/>
        </w:rPr>
        <w:footnoteReference w:id="78"/>
      </w:r>
      <w:r w:rsidRPr="001E3995">
        <w:t xml:space="preserve"> which, until 2002, required a foreign applicant for trademark registration to designate an agent for service, has generated some disagreement about whether it also allows service on the agent to satisfy personal jurisdiction in ordinary civil actions.</w:t>
      </w:r>
      <w:r w:rsidR="001E3995" w:rsidRPr="001E3995">
        <w:rPr>
          <w:vertAlign w:val="superscript"/>
        </w:rPr>
        <w:footnoteReference w:id="79"/>
      </w:r>
      <w:r w:rsidRPr="001E3995">
        <w:t xml:space="preserve"> A 2005 district court decision held, after extensive analysis of the issue, that Section 1(e) does </w:t>
      </w:r>
      <w:r w:rsidR="001E3995" w:rsidRPr="001E3995">
        <w:rPr>
          <w:i/>
        </w:rPr>
        <w:t>not</w:t>
      </w:r>
      <w:r w:rsidRPr="001E3995">
        <w:t xml:space="preserve"> create personal jurisdiction for actions other than proceedings before the U.S</w:t>
      </w:r>
      <w:r w:rsidR="001E3995" w:rsidRPr="001E3995">
        <w:t>.</w:t>
      </w:r>
      <w:r w:rsidR="001E3995" w:rsidRPr="001E3995">
        <w:t xml:space="preserve"> </w:t>
      </w:r>
      <w:r w:rsidR="001E3995" w:rsidRPr="001E3995">
        <w:t>P</w:t>
      </w:r>
      <w:r w:rsidRPr="001E3995">
        <w:t>atent and Trademark Office (PTO).</w:t>
      </w:r>
      <w:r w:rsidR="001E3995" w:rsidRPr="001E3995">
        <w:rPr>
          <w:vertAlign w:val="superscript"/>
        </w:rPr>
        <w:footnoteReference w:id="80"/>
      </w:r>
    </w:p>
    <w:p w14:paraId="1AFBE8FC" w14:textId="0220C58C" w:rsidR="001E3995" w:rsidRPr="001E3995" w:rsidRDefault="00CA1E43" w:rsidP="001E3995">
      <w:pPr>
        <w:pStyle w:val="BNormal"/>
      </w:pPr>
      <w:r w:rsidRPr="001E3995">
        <w:t>A procedural note of caution is in order here</w:t>
      </w:r>
      <w:r w:rsidR="001E3995" w:rsidRPr="001E3995">
        <w:t>.</w:t>
      </w:r>
      <w:r w:rsidR="001E3995" w:rsidRPr="001E3995">
        <w:t xml:space="preserve"> </w:t>
      </w:r>
      <w:r w:rsidR="001E3995" w:rsidRPr="001E3995">
        <w:t>O</w:t>
      </w:r>
      <w:r w:rsidRPr="001E3995">
        <w:t>bjection to personal jurisdiction is waivable, not just by express waiver but by failing to raise the issue properly</w:t>
      </w:r>
      <w:r w:rsidR="001E3995" w:rsidRPr="001E3995">
        <w:t>.</w:t>
      </w:r>
      <w:r w:rsidR="001E3995" w:rsidRPr="001E3995">
        <w:t xml:space="preserve"> </w:t>
      </w:r>
      <w:r w:rsidR="001E3995" w:rsidRPr="001E3995">
        <w:t>I</w:t>
      </w:r>
      <w:r w:rsidRPr="001E3995">
        <w:t>f one makes a pre-answer motion (for example, raising issues of subject matter jurisdiction, venue, or failure to state a claim), one must join any personal jurisdiction objection in that motion (only one pre-answer motion is allowed), and if an objection to personal jurisdiction is not included in that motion, it is waived.</w:t>
      </w:r>
      <w:r w:rsidR="001E3995" w:rsidRPr="001E3995">
        <w:rPr>
          <w:vertAlign w:val="superscript"/>
        </w:rPr>
        <w:footnoteReference w:id="81"/>
      </w:r>
    </w:p>
    <w:p w14:paraId="48F01A68" w14:textId="12CBC86A" w:rsidR="001E3995" w:rsidRPr="001E3995" w:rsidRDefault="001E3995" w:rsidP="001E3995">
      <w:pPr>
        <w:pStyle w:val="BHead2"/>
      </w:pPr>
      <w:r>
        <w:t>12.III.</w:t>
      </w:r>
      <w:r w:rsidRPr="001E3995">
        <w:rPr>
          <w:rStyle w:val="BBNAidChar"/>
          <w:rFonts w:eastAsiaTheme="majorEastAsia"/>
        </w:rPr>
        <w:t>B</w:t>
      </w:r>
      <w:r w:rsidRPr="001E3995">
        <w:t>.</w:t>
      </w:r>
      <w:r>
        <w:t> </w:t>
      </w:r>
      <w:r w:rsidRPr="001E3995">
        <w:tab/>
        <w:t>Applicable Long-Arm Statutes</w:t>
      </w:r>
    </w:p>
    <w:p w14:paraId="22E287F0" w14:textId="118C956A" w:rsidR="001E3995" w:rsidRPr="001E3995" w:rsidRDefault="00CA1E43" w:rsidP="001E3995">
      <w:pPr>
        <w:pStyle w:val="BNormal"/>
      </w:pPr>
      <w:r w:rsidRPr="001E3995">
        <w:t>Although the TDRA is a federal statute, there is no federal long-arm statute that applies to federal trademark claims</w:t>
      </w:r>
      <w:r w:rsidR="001E3995" w:rsidRPr="001E3995">
        <w:t>.</w:t>
      </w:r>
      <w:r w:rsidR="001E3995" w:rsidRPr="001E3995">
        <w:t xml:space="preserve"> </w:t>
      </w:r>
      <w:r w:rsidR="001E3995" w:rsidRPr="001E3995">
        <w:t>T</w:t>
      </w:r>
      <w:r w:rsidRPr="001E3995">
        <w:t>herefore, a federal court hearing a federal dilution claim must use the long-arm statute of the state in which it sits.</w:t>
      </w:r>
      <w:r w:rsidR="001E3995" w:rsidRPr="001E3995">
        <w:rPr>
          <w:vertAlign w:val="superscript"/>
        </w:rPr>
        <w:footnoteReference w:id="82"/>
      </w:r>
      <w:r w:rsidRPr="001E3995">
        <w:t xml:space="preserve"> The reach of state statutes varies</w:t>
      </w:r>
      <w:r w:rsidR="001E3995" w:rsidRPr="001E3995">
        <w:t>.</w:t>
      </w:r>
      <w:r w:rsidR="001E3995" w:rsidRPr="001E3995">
        <w:t xml:space="preserve"> </w:t>
      </w:r>
      <w:r w:rsidR="001E3995" w:rsidRPr="001E3995">
        <w:t>A</w:t>
      </w:r>
      <w:r w:rsidRPr="001E3995">
        <w:t xml:space="preserve"> few expressly permit courts to assert jurisdiction to the outer limits of due process,</w:t>
      </w:r>
      <w:r w:rsidR="001E3995" w:rsidRPr="001E3995">
        <w:rPr>
          <w:vertAlign w:val="superscript"/>
        </w:rPr>
        <w:footnoteReference w:id="83"/>
      </w:r>
      <w:r w:rsidRPr="001E3995">
        <w:t xml:space="preserve"> and others have been interpreted to reach the same result.</w:t>
      </w:r>
      <w:r w:rsidR="001E3995" w:rsidRPr="001E3995">
        <w:rPr>
          <w:vertAlign w:val="superscript"/>
        </w:rPr>
        <w:footnoteReference w:id="84"/>
      </w:r>
      <w:r w:rsidRPr="001E3995">
        <w:t xml:space="preserve"> In those states, courts need only consider the due process limits on jurisdiction</w:t>
      </w:r>
      <w:r w:rsidR="001E3995" w:rsidRPr="001E3995">
        <w:t>.</w:t>
      </w:r>
      <w:r w:rsidR="001E3995" w:rsidRPr="001E3995">
        <w:t xml:space="preserve"> </w:t>
      </w:r>
      <w:r w:rsidR="001E3995" w:rsidRPr="001E3995">
        <w:t>I</w:t>
      </w:r>
      <w:r w:rsidRPr="001E3995">
        <w:t>n other states, however, courts must first examine whether the long-arm statute reaches the conduct in question, before considering the limits of due process.</w:t>
      </w:r>
      <w:r w:rsidR="001E3995" w:rsidRPr="001E3995">
        <w:rPr>
          <w:vertAlign w:val="superscript"/>
        </w:rPr>
        <w:footnoteReference w:id="85"/>
      </w:r>
      <w:r w:rsidRPr="001E3995">
        <w:t xml:space="preserve"> In some cases, this may preclude the plaintiff from claiming jurisdiction in its home forum if no sales were made by the defendant in that state.</w:t>
      </w:r>
      <w:r w:rsidR="001E3995" w:rsidRPr="001E3995">
        <w:rPr>
          <w:vertAlign w:val="superscript"/>
        </w:rPr>
        <w:footnoteReference w:id="86"/>
      </w:r>
    </w:p>
    <w:p w14:paraId="634C4CC7" w14:textId="7AE96788" w:rsidR="001E3995" w:rsidRPr="001E3995" w:rsidRDefault="00CA1E43" w:rsidP="001E3995">
      <w:pPr>
        <w:pStyle w:val="BNormal"/>
      </w:pPr>
      <w:r w:rsidRPr="001E3995">
        <w:t>For foreign defendants, Federal Rule of Civil Procedure 4(k)(2) permits a federal court to assert personal jurisdiction as long as it is “consistent with the Constitution and laws of the United States” when those defendants are not otherwise subject to personal jurisdiction in “the courts of general jurisdiction of any state.”</w:t>
      </w:r>
      <w:r w:rsidR="001E3995" w:rsidRPr="001E3995">
        <w:rPr>
          <w:vertAlign w:val="superscript"/>
        </w:rPr>
        <w:footnoteReference w:id="87"/>
      </w:r>
      <w:r w:rsidRPr="001E3995">
        <w:t xml:space="preserve"> This provision applies only “with respect to claims arising under federal law.”</w:t>
      </w:r>
      <w:r w:rsidR="001E3995" w:rsidRPr="001E3995">
        <w:rPr>
          <w:vertAlign w:val="superscript"/>
        </w:rPr>
        <w:footnoteReference w:id="88"/>
      </w:r>
      <w:r w:rsidRPr="001E3995">
        <w:t xml:space="preserve"> The apparent intent of this provision was to permit the assertion of jurisdiction over defendants who had insufficient contacts with any one state to support jurisdiction, but whose contacts with the United States as a whole would support jurisdiction under the Fifth Amendment’s Due Process Clause.</w:t>
      </w:r>
      <w:r w:rsidR="001E3995" w:rsidRPr="001E3995">
        <w:rPr>
          <w:vertAlign w:val="superscript"/>
        </w:rPr>
        <w:footnoteReference w:id="89"/>
      </w:r>
      <w:r w:rsidRPr="001E3995">
        <w:t xml:space="preserve"> The Supreme Court has yet to rule on the extent to which the jurisdictional limits of the Fifth Amendment differ from those of the Fourteenth Amendment</w:t>
      </w:r>
      <w:r w:rsidR="001E3995" w:rsidRPr="001E3995">
        <w:t>.</w:t>
      </w:r>
      <w:r w:rsidR="001E3995" w:rsidRPr="001E3995">
        <w:t xml:space="preserve"> </w:t>
      </w:r>
      <w:r w:rsidR="001E3995" w:rsidRPr="001E3995">
        <w:t>T</w:t>
      </w:r>
      <w:r w:rsidRPr="001E3995">
        <w:t>herefore, the precise reach of this provision is a bit uncertain.</w:t>
      </w:r>
      <w:r w:rsidR="001E3995" w:rsidRPr="001E3995">
        <w:rPr>
          <w:vertAlign w:val="superscript"/>
        </w:rPr>
        <w:footnoteReference w:id="90"/>
      </w:r>
      <w:r w:rsidRPr="001E3995">
        <w:t xml:space="preserve"> However, the Ninth Circuit has indicated that Rule 4(k)(2) will be satisfied only in unusual situations.</w:t>
      </w:r>
      <w:r w:rsidR="001E3995" w:rsidRPr="001E3995">
        <w:rPr>
          <w:vertAlign w:val="superscript"/>
        </w:rPr>
        <w:footnoteReference w:id="91"/>
      </w:r>
    </w:p>
    <w:p w14:paraId="15F260D8" w14:textId="4DD30E51" w:rsidR="001E3995" w:rsidRPr="001E3995" w:rsidRDefault="00CA1E43" w:rsidP="001E3995">
      <w:pPr>
        <w:pStyle w:val="BNormal"/>
      </w:pPr>
      <w:r w:rsidRPr="001E3995">
        <w:t xml:space="preserve">At least one court has upheld jurisdiction under Rule 4(k)(2)—albeit in a default judgment situation—by </w:t>
      </w:r>
      <w:r w:rsidRPr="001E3995">
        <w:lastRenderedPageBreak/>
        <w:t>shifting the burden to the defendant to cite a state in which jurisdiction exists, after plaintiff states that there is no such state.</w:t>
      </w:r>
      <w:r w:rsidR="001E3995" w:rsidRPr="001E3995">
        <w:rPr>
          <w:vertAlign w:val="superscript"/>
        </w:rPr>
        <w:footnoteReference w:id="92"/>
      </w:r>
    </w:p>
    <w:p w14:paraId="7AAD7B45" w14:textId="77777777" w:rsidR="001E3995" w:rsidRPr="001E3995" w:rsidRDefault="00CA1E43" w:rsidP="001E3995">
      <w:pPr>
        <w:pStyle w:val="BNormal"/>
      </w:pPr>
      <w:r w:rsidRPr="001E3995">
        <w:t xml:space="preserve">For claims under state dilution laws, both federal and state courts would </w:t>
      </w:r>
      <w:proofErr w:type="gramStart"/>
      <w:r w:rsidRPr="001E3995">
        <w:t>use state</w:t>
      </w:r>
      <w:proofErr w:type="gramEnd"/>
      <w:r w:rsidRPr="001E3995">
        <w:t xml:space="preserve"> long-arm statutes.</w:t>
      </w:r>
    </w:p>
    <w:p w14:paraId="7B6FA43C" w14:textId="2ED458CF" w:rsidR="001E3995" w:rsidRPr="001E3995" w:rsidRDefault="001E3995" w:rsidP="001E3995">
      <w:pPr>
        <w:pStyle w:val="BHead2"/>
      </w:pPr>
      <w:r>
        <w:t>12.III.</w:t>
      </w:r>
      <w:r w:rsidRPr="001E3995">
        <w:rPr>
          <w:rStyle w:val="BBNAidChar"/>
          <w:rFonts w:eastAsiaTheme="majorEastAsia"/>
        </w:rPr>
        <w:t>C</w:t>
      </w:r>
      <w:r w:rsidRPr="001E3995">
        <w:t>.</w:t>
      </w:r>
      <w:r>
        <w:t> </w:t>
      </w:r>
      <w:r w:rsidRPr="001E3995">
        <w:tab/>
        <w:t>Constitutional Restraints on Personal Jurisdiction in Dilution Cases</w:t>
      </w:r>
    </w:p>
    <w:p w14:paraId="1E23675E" w14:textId="5D69D39F" w:rsidR="001E3995" w:rsidRPr="001E3995" w:rsidRDefault="00CA1E43" w:rsidP="001E3995">
      <w:pPr>
        <w:pStyle w:val="BNormal"/>
      </w:pPr>
      <w:r w:rsidRPr="001E3995">
        <w:t>The constitutional analysis of jurisdiction in dilution cases proceeds on the same basis as in any other case</w:t>
      </w:r>
      <w:r w:rsidR="001E3995" w:rsidRPr="001E3995">
        <w:t>.</w:t>
      </w:r>
      <w:r w:rsidR="001E3995" w:rsidRPr="001E3995">
        <w:t xml:space="preserve"> </w:t>
      </w:r>
      <w:r w:rsidR="001E3995" w:rsidRPr="001E3995">
        <w:t>T</w:t>
      </w:r>
      <w:r w:rsidRPr="001E3995">
        <w:t xml:space="preserve">he court uses the familiar “minimum contacts” analysis set forth in </w:t>
      </w:r>
      <w:r w:rsidR="001E3995" w:rsidRPr="001E3995">
        <w:rPr>
          <w:i/>
        </w:rPr>
        <w:t>International Shoe Co</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Washington</w:t>
      </w:r>
      <w:r w:rsidR="001E3995" w:rsidRPr="001E3995">
        <w:rPr>
          <w:i/>
        </w:rPr>
        <w:t xml:space="preserve"> </w:t>
      </w:r>
      <w:r w:rsidR="001E3995" w:rsidRPr="001E3995">
        <w:rPr>
          <w:vertAlign w:val="superscript"/>
        </w:rPr>
        <w:footnoteReference w:id="93"/>
      </w:r>
      <w:r w:rsidRPr="001E3995">
        <w:t xml:space="preserve"> and its progeny</w:t>
      </w:r>
      <w:r w:rsidR="001E3995" w:rsidRPr="001E3995">
        <w:t>.</w:t>
      </w:r>
      <w:r w:rsidR="001E3995" w:rsidRPr="001E3995">
        <w:t xml:space="preserve"> </w:t>
      </w:r>
      <w:r w:rsidR="001E3995" w:rsidRPr="001E3995">
        <w:t>A</w:t>
      </w:r>
      <w:r w:rsidRPr="001E3995">
        <w:t xml:space="preserve">s interpreted by later cases, </w:t>
      </w:r>
      <w:r w:rsidR="001E3995" w:rsidRPr="001E3995">
        <w:rPr>
          <w:i/>
        </w:rPr>
        <w:t>International Shoe</w:t>
      </w:r>
      <w:r w:rsidRPr="001E3995">
        <w:t xml:space="preserve"> requires the plaintiff to show that the defendant “purposefully availed” itself of the benefits and protections of the state, and so would “reasonably anticipate being </w:t>
      </w:r>
      <w:proofErr w:type="spellStart"/>
      <w:r w:rsidRPr="001E3995">
        <w:t>haled</w:t>
      </w:r>
      <w:proofErr w:type="spellEnd"/>
      <w:r w:rsidRPr="001E3995">
        <w:t xml:space="preserve"> into court [in the state].”</w:t>
      </w:r>
      <w:r w:rsidR="001E3995" w:rsidRPr="001E3995">
        <w:rPr>
          <w:vertAlign w:val="superscript"/>
        </w:rPr>
        <w:footnoteReference w:id="94"/>
      </w:r>
      <w:r w:rsidRPr="001E3995">
        <w:t xml:space="preserve"> The court must also determine that the existence of jurisdiction over the defendant would not be so unreasonable that it would “offend traditional notions of fair play and substantial justice.”</w:t>
      </w:r>
      <w:r w:rsidR="001E3995" w:rsidRPr="001E3995">
        <w:rPr>
          <w:vertAlign w:val="superscript"/>
        </w:rPr>
        <w:footnoteReference w:id="95"/>
      </w:r>
    </w:p>
    <w:p w14:paraId="13253475" w14:textId="69881CA6" w:rsidR="001E3995" w:rsidRPr="001E3995" w:rsidRDefault="00CA1E43" w:rsidP="001E3995">
      <w:pPr>
        <w:pStyle w:val="BNormal"/>
      </w:pPr>
      <w:r w:rsidRPr="001E3995">
        <w:t xml:space="preserve">Several trademark cases have analyzed personal jurisdiction using an “effects test,” associated with the Supreme Court’s opinion in </w:t>
      </w:r>
      <w:r w:rsidR="001E3995" w:rsidRPr="001E3995">
        <w:rPr>
          <w:i/>
        </w:rPr>
        <w:t>Calder v</w:t>
      </w:r>
      <w:r w:rsidR="001E3995" w:rsidRPr="001E3995">
        <w:t>.</w:t>
      </w:r>
      <w:r w:rsidR="001E3995" w:rsidRPr="001E3995">
        <w:t xml:space="preserve"> </w:t>
      </w:r>
      <w:r w:rsidR="001E3995" w:rsidRPr="001E3995">
        <w:rPr>
          <w:i/>
        </w:rPr>
        <w:t>Jones</w:t>
      </w:r>
      <w:r w:rsidRPr="001E3995">
        <w:t>.</w:t>
      </w:r>
      <w:r w:rsidR="001E3995" w:rsidRPr="001E3995">
        <w:rPr>
          <w:vertAlign w:val="superscript"/>
        </w:rPr>
        <w:footnoteReference w:id="96"/>
      </w:r>
      <w:r w:rsidRPr="001E3995">
        <w:t xml:space="preserve"> In </w:t>
      </w:r>
      <w:r w:rsidR="001E3995" w:rsidRPr="001E3995">
        <w:rPr>
          <w:i/>
        </w:rPr>
        <w:t>Calder,</w:t>
      </w:r>
      <w:r w:rsidRPr="001E3995">
        <w:t xml:space="preserve"> the Court upheld jurisdiction in California over a reporter and editor located in Florida, on a claim that a story in a tabloid newspaper libeled the plaintiff, who lived and worked in California</w:t>
      </w:r>
      <w:r w:rsidR="001E3995" w:rsidRPr="001E3995">
        <w:t>.</w:t>
      </w:r>
      <w:r w:rsidR="001E3995" w:rsidRPr="001E3995">
        <w:t xml:space="preserve"> </w:t>
      </w:r>
      <w:r w:rsidR="001E3995" w:rsidRPr="001E3995">
        <w:t>T</w:t>
      </w:r>
      <w:r w:rsidRPr="001E3995">
        <w:t>he Court cited the facts that the story was aimed at the plaintiff and that the effects of the story clearly would be felt most strongly in California, where the newspaper had a sizable circulation.</w:t>
      </w:r>
      <w:r w:rsidR="001E3995" w:rsidRPr="001E3995">
        <w:rPr>
          <w:vertAlign w:val="superscript"/>
        </w:rPr>
        <w:footnoteReference w:id="97"/>
      </w:r>
      <w:r w:rsidRPr="001E3995">
        <w:t xml:space="preserve"> In several cases, the plaintiff has argued that the effects of defendant’s dilution (and, in most cases, infringement) were aimed at the state where the plaintiff was located.</w:t>
      </w:r>
      <w:r w:rsidR="001E3995" w:rsidRPr="001E3995">
        <w:rPr>
          <w:vertAlign w:val="superscript"/>
        </w:rPr>
        <w:footnoteReference w:id="98"/>
      </w:r>
    </w:p>
    <w:p w14:paraId="3CB4FB6D" w14:textId="4ED2E0C4" w:rsidR="001E3995" w:rsidRPr="001E3995" w:rsidRDefault="00CA1E43" w:rsidP="001E3995">
      <w:pPr>
        <w:pStyle w:val="BNormal"/>
      </w:pPr>
      <w:r w:rsidRPr="001E3995">
        <w:t xml:space="preserve">However, the Supreme Court’s decision in </w:t>
      </w:r>
      <w:r w:rsidR="001E3995" w:rsidRPr="001E3995">
        <w:rPr>
          <w:rStyle w:val="BCasenamefull"/>
        </w:rPr>
        <w:t>Walden v. Fiore</w:t>
      </w:r>
      <w:r w:rsidR="001E3995" w:rsidRPr="001E3995">
        <w:rPr>
          <w:vertAlign w:val="superscript"/>
        </w:rPr>
        <w:footnoteReference w:id="99"/>
      </w:r>
      <w:r w:rsidRPr="001E3995">
        <w:t xml:space="preserve"> counsels care when using the “effects” test</w:t>
      </w:r>
      <w:r w:rsidR="001E3995" w:rsidRPr="001E3995">
        <w:t>.</w:t>
      </w:r>
      <w:r w:rsidR="001E3995" w:rsidRPr="001E3995">
        <w:t xml:space="preserve"> </w:t>
      </w:r>
      <w:r w:rsidR="001E3995" w:rsidRPr="001E3995">
        <w:t>T</w:t>
      </w:r>
      <w:r w:rsidRPr="001E3995">
        <w:t xml:space="preserve">he Court emphasized that defendant’s contacts must be more than simply contacts with the </w:t>
      </w:r>
      <w:r w:rsidR="001E3995" w:rsidRPr="001E3995">
        <w:rPr>
          <w:i/>
        </w:rPr>
        <w:t>plaintiff</w:t>
      </w:r>
      <w:r w:rsidRPr="001E3995">
        <w:t xml:space="preserve">—they must be contacts with the </w:t>
      </w:r>
      <w:r w:rsidR="001E3995" w:rsidRPr="001E3995">
        <w:rPr>
          <w:i/>
        </w:rPr>
        <w:t>forum</w:t>
      </w:r>
      <w:r w:rsidRPr="001E3995">
        <w:t>.</w:t>
      </w:r>
      <w:r w:rsidR="001E3995" w:rsidRPr="001E3995">
        <w:rPr>
          <w:vertAlign w:val="superscript"/>
        </w:rPr>
        <w:footnoteReference w:id="100"/>
      </w:r>
      <w:r w:rsidRPr="001E3995">
        <w:t xml:space="preserve"> Thus, the mere fact that defendant knows that plaintiff lives or is incorporated or does business in the forum state is not sufficient by itself to justify jurisdiction.</w:t>
      </w:r>
      <w:r w:rsidR="001E3995" w:rsidRPr="001E3995">
        <w:rPr>
          <w:vertAlign w:val="superscript"/>
        </w:rPr>
        <w:footnoteReference w:id="101"/>
      </w:r>
    </w:p>
    <w:p w14:paraId="55BDC47F" w14:textId="471B342E" w:rsidR="001E3995" w:rsidRPr="001E3995" w:rsidRDefault="00CA1E43" w:rsidP="001E3995">
      <w:pPr>
        <w:pStyle w:val="BNormal"/>
      </w:pPr>
      <w:r w:rsidRPr="001E3995">
        <w:t>The most persistent problems of personal jurisdiction involve the Internet</w:t>
      </w:r>
      <w:r w:rsidR="001E3995" w:rsidRPr="001E3995">
        <w:t>.</w:t>
      </w:r>
      <w:r w:rsidR="001E3995" w:rsidRPr="001E3995">
        <w:t xml:space="preserve"> </w:t>
      </w:r>
      <w:r w:rsidR="001E3995" w:rsidRPr="001E3995">
        <w:t>A</w:t>
      </w:r>
      <w:r w:rsidRPr="001E3995">
        <w:t xml:space="preserve"> website is accessible anywhere, and it has been argued that this creates jurisdiction over a defendant wherever its website can be accessed</w:t>
      </w:r>
      <w:r w:rsidR="001E3995" w:rsidRPr="001E3995">
        <w:t>.</w:t>
      </w:r>
      <w:r w:rsidR="001E3995" w:rsidRPr="001E3995">
        <w:t xml:space="preserve"> </w:t>
      </w:r>
      <w:r w:rsidR="001E3995" w:rsidRPr="001E3995">
        <w:t>H</w:t>
      </w:r>
      <w:r w:rsidRPr="001E3995">
        <w:t>owever, courts have not asserted such a broad jurisdictional reach</w:t>
      </w:r>
      <w:r w:rsidR="001E3995" w:rsidRPr="001E3995">
        <w:t>.</w:t>
      </w:r>
      <w:r w:rsidR="001E3995" w:rsidRPr="001E3995">
        <w:t xml:space="preserve"> </w:t>
      </w:r>
      <w:r w:rsidR="001E3995" w:rsidRPr="001E3995">
        <w:t>I</w:t>
      </w:r>
      <w:r w:rsidRPr="001E3995">
        <w:t>nstead, they tend to categorize websites as “passive” or “active,” based largely on whether one can order goods directly from the site, and the degree of interactivity provided by the website.</w:t>
      </w:r>
      <w:r w:rsidR="001E3995" w:rsidRPr="001E3995">
        <w:rPr>
          <w:vertAlign w:val="superscript"/>
        </w:rPr>
        <w:footnoteReference w:id="102"/>
      </w:r>
      <w:r w:rsidRPr="001E3995">
        <w:t xml:space="preserve"> Where the website is “passive,” courts tend not to find jurisdiction.</w:t>
      </w:r>
      <w:r w:rsidR="001E3995" w:rsidRPr="001E3995">
        <w:rPr>
          <w:vertAlign w:val="superscript"/>
        </w:rPr>
        <w:footnoteReference w:id="103"/>
      </w:r>
      <w:r w:rsidRPr="001E3995">
        <w:t xml:space="preserve"> Where the website permits online ordering, and particularly where such orders are placed by residents of the forum state, courts tend to find jurisdiction.</w:t>
      </w:r>
      <w:r w:rsidR="001E3995" w:rsidRPr="001E3995">
        <w:rPr>
          <w:vertAlign w:val="superscript"/>
        </w:rPr>
        <w:footnoteReference w:id="104"/>
      </w:r>
      <w:r w:rsidRPr="001E3995">
        <w:t xml:space="preserve"> Courts have reached mixed results when the website is interactive (i.e., information can be exchanged) but online ordering does not occur.</w:t>
      </w:r>
      <w:r w:rsidR="001E3995" w:rsidRPr="001E3995">
        <w:rPr>
          <w:vertAlign w:val="superscript"/>
        </w:rPr>
        <w:footnoteReference w:id="105"/>
      </w:r>
    </w:p>
    <w:p w14:paraId="5B528D4C" w14:textId="27462557" w:rsidR="001E3995" w:rsidRPr="001E3995" w:rsidRDefault="00CA1E43" w:rsidP="001E3995">
      <w:pPr>
        <w:pStyle w:val="BNormal"/>
      </w:pPr>
      <w:r w:rsidRPr="001E3995">
        <w:t xml:space="preserve">Again, the Court’s decision in </w:t>
      </w:r>
      <w:r w:rsidR="001E3995" w:rsidRPr="001E3995">
        <w:rPr>
          <w:rStyle w:val="BCasenamefull"/>
        </w:rPr>
        <w:t>Walden v. Fiore</w:t>
      </w:r>
      <w:r w:rsidRPr="001E3995">
        <w:t>, discussed above, must be considered when deciding whether defendant’s contacts with the forum are sufficient.</w:t>
      </w:r>
    </w:p>
    <w:p w14:paraId="7DDE30BB" w14:textId="235FCFEC" w:rsidR="001E3995" w:rsidRPr="001E3995" w:rsidRDefault="001E3995" w:rsidP="001E3995">
      <w:pPr>
        <w:pStyle w:val="BHead2"/>
      </w:pPr>
      <w:r>
        <w:t>12.III.</w:t>
      </w:r>
      <w:r w:rsidRPr="001E3995">
        <w:rPr>
          <w:rStyle w:val="BBNAidChar"/>
          <w:rFonts w:eastAsiaTheme="majorEastAsia"/>
        </w:rPr>
        <w:t>D</w:t>
      </w:r>
      <w:r w:rsidRPr="001E3995">
        <w:t>.</w:t>
      </w:r>
      <w:r>
        <w:t> </w:t>
      </w:r>
      <w:r w:rsidRPr="001E3995">
        <w:tab/>
        <w:t>Voluntary and Involuntary Consent to Jurisdiction</w:t>
      </w:r>
    </w:p>
    <w:p w14:paraId="7F9CDF0D" w14:textId="49133C9E" w:rsidR="001E3995" w:rsidRPr="001E3995" w:rsidRDefault="00CA1E43" w:rsidP="001E3995">
      <w:pPr>
        <w:pStyle w:val="BNormal"/>
      </w:pPr>
      <w:r w:rsidRPr="001E3995">
        <w:t>Regardless of the existence of minimum contacts, litigants may consent to personal jurisdiction</w:t>
      </w:r>
      <w:r w:rsidR="001E3995" w:rsidRPr="001E3995">
        <w:t>.</w:t>
      </w:r>
      <w:r w:rsidR="001E3995" w:rsidRPr="001E3995">
        <w:t xml:space="preserve"> </w:t>
      </w:r>
      <w:r w:rsidR="001E3995" w:rsidRPr="001E3995">
        <w:t>S</w:t>
      </w:r>
      <w:r w:rsidRPr="001E3995">
        <w:t>uch consent may be created by contract</w:t>
      </w:r>
      <w:r w:rsidR="001E3995" w:rsidRPr="001E3995">
        <w:rPr>
          <w:vertAlign w:val="superscript"/>
        </w:rPr>
        <w:footnoteReference w:id="106"/>
      </w:r>
      <w:r w:rsidRPr="001E3995">
        <w:t xml:space="preserve"> or by action (or inaction) of the parties</w:t>
      </w:r>
      <w:r w:rsidR="001E3995" w:rsidRPr="001E3995">
        <w:t>.</w:t>
      </w:r>
      <w:r w:rsidR="001E3995" w:rsidRPr="001E3995">
        <w:t xml:space="preserve"> </w:t>
      </w:r>
      <w:r w:rsidR="001E3995" w:rsidRPr="001E3995">
        <w:t>I</w:t>
      </w:r>
      <w:r w:rsidRPr="001E3995">
        <w:t>t can occur in ways that may not be obvious to the defendant.</w:t>
      </w:r>
    </w:p>
    <w:p w14:paraId="0A5B623B" w14:textId="055EBC14" w:rsidR="001E3995" w:rsidRPr="001E3995" w:rsidRDefault="00CA1E43" w:rsidP="001E3995">
      <w:pPr>
        <w:pStyle w:val="BNormal"/>
      </w:pPr>
      <w:r w:rsidRPr="001E3995">
        <w:t>In a case that should be cautionary for practitioners, the court held that where an officer of the defendant corporation was served when he attended a motion hearing, such in-state service sufficed to support personal jurisdiction.</w:t>
      </w:r>
      <w:r w:rsidR="001E3995" w:rsidRPr="001E3995">
        <w:rPr>
          <w:vertAlign w:val="superscript"/>
        </w:rPr>
        <w:footnoteReference w:id="107"/>
      </w:r>
    </w:p>
    <w:p w14:paraId="51B028E6" w14:textId="29A327F3" w:rsidR="001E3995" w:rsidRPr="001E3995" w:rsidRDefault="00CA1E43" w:rsidP="001E3995">
      <w:pPr>
        <w:pStyle w:val="BNormal"/>
      </w:pPr>
      <w:r w:rsidRPr="001E3995">
        <w:t>Furthermore, one should remember that under the Federal Rules, the defense of personal jurisdiction must be raised in a pre-answer motion or, if no such motion is made, in the answer</w:t>
      </w:r>
      <w:r w:rsidR="001E3995" w:rsidRPr="001E3995">
        <w:t>.</w:t>
      </w:r>
      <w:r w:rsidR="001E3995" w:rsidRPr="001E3995">
        <w:t xml:space="preserve"> </w:t>
      </w:r>
      <w:r w:rsidR="001E3995" w:rsidRPr="001E3995">
        <w:t>O</w:t>
      </w:r>
      <w:r w:rsidRPr="001E3995">
        <w:t>therwise, it will be deemed waived.</w:t>
      </w:r>
      <w:r w:rsidR="001E3995" w:rsidRPr="001E3995">
        <w:rPr>
          <w:vertAlign w:val="superscript"/>
        </w:rPr>
        <w:footnoteReference w:id="108"/>
      </w:r>
    </w:p>
    <w:p w14:paraId="3B4C5B85" w14:textId="2DB85898" w:rsidR="001E3995" w:rsidRPr="001E3995" w:rsidRDefault="001E3995" w:rsidP="001E3995">
      <w:pPr>
        <w:pStyle w:val="BHead2"/>
      </w:pPr>
      <w:r>
        <w:t>12.III.</w:t>
      </w:r>
      <w:r w:rsidRPr="001E3995">
        <w:rPr>
          <w:rStyle w:val="BBNAidChar"/>
          <w:rFonts w:eastAsiaTheme="majorEastAsia"/>
        </w:rPr>
        <w:t>E</w:t>
      </w:r>
      <w:r w:rsidRPr="001E3995">
        <w:t>.</w:t>
      </w:r>
      <w:r>
        <w:t> </w:t>
      </w:r>
      <w:r w:rsidRPr="001E3995">
        <w:tab/>
        <w:t>Service of Process Requirements</w:t>
      </w:r>
    </w:p>
    <w:p w14:paraId="706F1BF8" w14:textId="0B05A82E" w:rsidR="001E3995" w:rsidRPr="001E3995" w:rsidRDefault="00CA1E43" w:rsidP="001E3995">
      <w:pPr>
        <w:pStyle w:val="BNormal"/>
      </w:pPr>
      <w:r w:rsidRPr="001E3995">
        <w:t>In federal court, service of process must be made according to Federal Rule of Civil Procedure 4</w:t>
      </w:r>
      <w:r w:rsidR="001E3995" w:rsidRPr="001E3995">
        <w:t>.</w:t>
      </w:r>
      <w:r w:rsidR="001E3995" w:rsidRPr="001E3995">
        <w:t xml:space="preserve"> </w:t>
      </w:r>
      <w:r w:rsidR="001E3995" w:rsidRPr="001E3995">
        <w:t>T</w:t>
      </w:r>
      <w:r w:rsidRPr="001E3995">
        <w:t>his rule permits a plaintiff to request a waiver of service,</w:t>
      </w:r>
      <w:r w:rsidR="001E3995" w:rsidRPr="001E3995">
        <w:rPr>
          <w:vertAlign w:val="superscript"/>
        </w:rPr>
        <w:footnoteReference w:id="109"/>
      </w:r>
      <w:r w:rsidRPr="001E3995">
        <w:t xml:space="preserve"> but if a waiver is not forthcoming, the plaintiff must serve according to one of the methods prescribed by the rule.</w:t>
      </w:r>
      <w:r w:rsidR="001E3995" w:rsidRPr="001E3995">
        <w:rPr>
          <w:vertAlign w:val="superscript"/>
        </w:rPr>
        <w:footnoteReference w:id="110"/>
      </w:r>
      <w:r w:rsidRPr="001E3995">
        <w:t xml:space="preserve"> Service on individuals and corporations may also be made under the provisions of state law;</w:t>
      </w:r>
      <w:r w:rsidR="001E3995" w:rsidRPr="001E3995">
        <w:rPr>
          <w:vertAlign w:val="superscript"/>
        </w:rPr>
        <w:footnoteReference w:id="111"/>
      </w:r>
      <w:r w:rsidRPr="001E3995">
        <w:t xml:space="preserve"> the rule gives plaintiffs two alternatives here—either the method provided by the state in which the action is filed </w:t>
      </w:r>
      <w:r w:rsidR="001E3995" w:rsidRPr="001E3995">
        <w:rPr>
          <w:i/>
        </w:rPr>
        <w:t>or</w:t>
      </w:r>
      <w:r w:rsidRPr="001E3995">
        <w:t xml:space="preserve"> the method provided by the state in which service is made.</w:t>
      </w:r>
      <w:r w:rsidR="001E3995" w:rsidRPr="001E3995">
        <w:rPr>
          <w:vertAlign w:val="superscript"/>
        </w:rPr>
        <w:footnoteReference w:id="112"/>
      </w:r>
    </w:p>
    <w:p w14:paraId="65DC9F36" w14:textId="142B7A1E" w:rsidR="001E3995" w:rsidRPr="001E3995" w:rsidRDefault="001E3995" w:rsidP="001E3995">
      <w:pPr>
        <w:pStyle w:val="BHead1"/>
      </w:pPr>
      <w:r>
        <w:t>12.</w:t>
      </w:r>
      <w:r w:rsidRPr="001E3995">
        <w:rPr>
          <w:rStyle w:val="BBNAidChar"/>
          <w:rFonts w:eastAsiaTheme="majorEastAsia"/>
        </w:rPr>
        <w:t>IV</w:t>
      </w:r>
      <w:r w:rsidRPr="001E3995">
        <w:t>.</w:t>
      </w:r>
      <w:r>
        <w:t xml:space="preserve">  </w:t>
      </w:r>
      <w:r w:rsidRPr="001E3995">
        <w:t>Pleading Requirements for Federal</w:t>
      </w:r>
      <w:r>
        <w:t xml:space="preserve"> </w:t>
      </w:r>
      <w:r w:rsidRPr="001E3995">
        <w:t>Trademark Dilution Claims</w:t>
      </w:r>
    </w:p>
    <w:p w14:paraId="092CE036" w14:textId="4B8AAD6E" w:rsidR="001E3995" w:rsidRPr="001E3995" w:rsidRDefault="00CA1E43" w:rsidP="001E3995">
      <w:pPr>
        <w:pStyle w:val="BNormal"/>
      </w:pPr>
      <w:r w:rsidRPr="001E3995">
        <w:t>Pleadings in TDRA claims—assuming that they are brought in federal court</w:t>
      </w:r>
      <w:r w:rsidR="001E3995" w:rsidRPr="001E3995">
        <w:rPr>
          <w:vertAlign w:val="superscript"/>
        </w:rPr>
        <w:footnoteReference w:id="113"/>
      </w:r>
      <w:r w:rsidRPr="001E3995">
        <w:t xml:space="preserve">—are governed by the </w:t>
      </w:r>
      <w:r w:rsidRPr="001E3995">
        <w:lastRenderedPageBreak/>
        <w:t>Federal Rules of Civil Procedure</w:t>
      </w:r>
      <w:r w:rsidR="001E3995" w:rsidRPr="001E3995">
        <w:t>.</w:t>
      </w:r>
      <w:r w:rsidR="001E3995" w:rsidRPr="001E3995">
        <w:t xml:space="preserve"> </w:t>
      </w:r>
      <w:r w:rsidR="001E3995" w:rsidRPr="001E3995">
        <w:t>I</w:t>
      </w:r>
      <w:r w:rsidRPr="001E3995">
        <w:t>n general, pleadings in federal court are measured by Rule 8, which merely requires a complaint to contain “a short and plain statement of the claim, showing that the pleader is entitled to relief,” as well as a jurisdictional allegation and a demand for relief.</w:t>
      </w:r>
      <w:r w:rsidR="001E3995" w:rsidRPr="001E3995">
        <w:rPr>
          <w:vertAlign w:val="superscript"/>
        </w:rPr>
        <w:footnoteReference w:id="114"/>
      </w:r>
      <w:r w:rsidRPr="001E3995">
        <w:t xml:space="preserve"> This is a liberal standard, known as “</w:t>
      </w:r>
      <w:proofErr w:type="gramStart"/>
      <w:r w:rsidRPr="001E3995">
        <w:t>notice</w:t>
      </w:r>
      <w:proofErr w:type="gramEnd"/>
      <w:r w:rsidRPr="001E3995">
        <w:t>” pleading</w:t>
      </w:r>
      <w:r w:rsidR="001E3995" w:rsidRPr="001E3995">
        <w:t>.</w:t>
      </w:r>
      <w:r w:rsidR="001E3995" w:rsidRPr="001E3995">
        <w:t xml:space="preserve"> </w:t>
      </w:r>
      <w:r w:rsidR="001E3995" w:rsidRPr="001E3995">
        <w:t>A</w:t>
      </w:r>
      <w:r w:rsidRPr="001E3995">
        <w:t>lthough the Federal Rules do not require detailed pleading, in two cases, the Supreme Court has required that a complaint state a “plausible” cause of action to withstand a motion to dismiss.</w:t>
      </w:r>
      <w:r w:rsidR="001E3995" w:rsidRPr="001E3995">
        <w:rPr>
          <w:vertAlign w:val="superscript"/>
        </w:rPr>
        <w:footnoteReference w:id="115"/>
      </w:r>
      <w:r w:rsidRPr="001E3995">
        <w:t xml:space="preserve"> The exact parameters of the plausibility inquiry are not clear</w:t>
      </w:r>
      <w:r w:rsidR="001E3995" w:rsidRPr="001E3995">
        <w:t>;</w:t>
      </w:r>
      <w:r w:rsidR="001E3995" w:rsidRPr="001E3995">
        <w:t xml:space="preserve"> </w:t>
      </w:r>
      <w:r w:rsidR="001E3995" w:rsidRPr="001E3995">
        <w:t>h</w:t>
      </w:r>
      <w:r w:rsidRPr="001E3995">
        <w:t>owever, the Court has admonished trial judges to use their own “judicial experience and common sense” when evaluating whether the plausibility standard has been met.</w:t>
      </w:r>
      <w:r w:rsidR="001E3995" w:rsidRPr="001E3995">
        <w:rPr>
          <w:vertAlign w:val="superscript"/>
        </w:rPr>
        <w:footnoteReference w:id="116"/>
      </w:r>
      <w:r w:rsidRPr="001E3995">
        <w:t xml:space="preserve"> The Court also expressed concerns about complaints that simply track the language of a statute, disparaging such complaints as simply stating “a legal conclusion couched as a factual allegation.”</w:t>
      </w:r>
      <w:r w:rsidR="001E3995" w:rsidRPr="001E3995">
        <w:rPr>
          <w:vertAlign w:val="superscript"/>
        </w:rPr>
        <w:footnoteReference w:id="117"/>
      </w:r>
    </w:p>
    <w:p w14:paraId="24D542C7" w14:textId="2F2219DA" w:rsidR="001E3995" w:rsidRPr="001E3995" w:rsidRDefault="00CA1E43" w:rsidP="001E3995">
      <w:pPr>
        <w:pStyle w:val="BNormal"/>
      </w:pPr>
      <w:r w:rsidRPr="001E3995">
        <w:t xml:space="preserve">Prior to the Supreme Court’s 2009 and 2007 opinions in </w:t>
      </w:r>
      <w:r w:rsidR="001E3995" w:rsidRPr="001E3995">
        <w:rPr>
          <w:i/>
        </w:rPr>
        <w:t>Iqbal</w:t>
      </w:r>
      <w:r w:rsidRPr="001E3995">
        <w:t xml:space="preserve"> and </w:t>
      </w:r>
      <w:r w:rsidR="001E3995" w:rsidRPr="001E3995">
        <w:rPr>
          <w:i/>
        </w:rPr>
        <w:t>Twombly</w:t>
      </w:r>
      <w:r w:rsidRPr="001E3995">
        <w:t>, courts generally held that Rule 8 imposed only modest requirements on a plaintiff in a dilution case</w:t>
      </w:r>
      <w:r w:rsidR="001E3995" w:rsidRPr="001E3995">
        <w:t>.</w:t>
      </w:r>
      <w:r w:rsidR="001E3995" w:rsidRPr="001E3995">
        <w:t xml:space="preserve"> </w:t>
      </w:r>
      <w:r w:rsidR="001E3995" w:rsidRPr="001E3995">
        <w:t>T</w:t>
      </w:r>
      <w:r w:rsidRPr="001E3995">
        <w:t>hus, general—even conclusory—allegations that the plaintiff’s mark was famous, that the defendant made commercial use of the mark, and that the defendant’s use diluted the plaintiff’s mark were found to be sufficient.</w:t>
      </w:r>
      <w:r w:rsidR="001E3995" w:rsidRPr="001E3995">
        <w:rPr>
          <w:vertAlign w:val="superscript"/>
        </w:rPr>
        <w:footnoteReference w:id="118"/>
      </w:r>
      <w:r w:rsidRPr="001E3995">
        <w:t xml:space="preserve"> Some courts indicated that it was necessary to allege specifically that the mark was “famous,”</w:t>
      </w:r>
      <w:r w:rsidR="001E3995" w:rsidRPr="001E3995">
        <w:rPr>
          <w:vertAlign w:val="superscript"/>
        </w:rPr>
        <w:footnoteReference w:id="119"/>
      </w:r>
      <w:r w:rsidRPr="001E3995">
        <w:t xml:space="preserve"> while others permitted mere allegations that the mark was distinctive and uniquely identified the plaintiff to suffice.</w:t>
      </w:r>
      <w:r w:rsidR="001E3995" w:rsidRPr="001E3995">
        <w:rPr>
          <w:vertAlign w:val="superscript"/>
        </w:rPr>
        <w:footnoteReference w:id="120"/>
      </w:r>
      <w:r w:rsidRPr="001E3995">
        <w:t xml:space="preserve"> One court dismissed a dilution claim </w:t>
      </w:r>
      <w:r w:rsidRPr="001E3995">
        <w:lastRenderedPageBreak/>
        <w:t xml:space="preserve">(with leave to replead) because it failed to allege </w:t>
      </w:r>
      <w:r w:rsidR="001E3995" w:rsidRPr="001E3995">
        <w:rPr>
          <w:i/>
        </w:rPr>
        <w:t>ownership</w:t>
      </w:r>
      <w:r w:rsidRPr="001E3995">
        <w:t xml:space="preserve"> of a famous mark.</w:t>
      </w:r>
      <w:r w:rsidR="001E3995" w:rsidRPr="001E3995">
        <w:rPr>
          <w:vertAlign w:val="superscript"/>
        </w:rPr>
        <w:footnoteReference w:id="121"/>
      </w:r>
      <w:r w:rsidRPr="001E3995">
        <w:t xml:space="preserve"> However, another court required only that there be sufficient facts alleged in the complaint to be able to infer ownership.</w:t>
      </w:r>
      <w:r w:rsidR="001E3995" w:rsidRPr="001E3995">
        <w:rPr>
          <w:vertAlign w:val="superscript"/>
        </w:rPr>
        <w:footnoteReference w:id="122"/>
      </w:r>
    </w:p>
    <w:p w14:paraId="64A7F8AF" w14:textId="4A467E16" w:rsidR="001E3995" w:rsidRPr="001E3995" w:rsidRDefault="00CA1E43" w:rsidP="001E3995">
      <w:pPr>
        <w:pStyle w:val="BNormal"/>
      </w:pPr>
      <w:proofErr w:type="gramStart"/>
      <w:r w:rsidRPr="001E3995">
        <w:t>In light of</w:t>
      </w:r>
      <w:proofErr w:type="gramEnd"/>
      <w:r w:rsidRPr="001E3995">
        <w:t xml:space="preserve"> the plausibility standard required by the Supreme Court, some of the more generous older opinions must be reconsidered</w:t>
      </w:r>
      <w:r w:rsidR="001E3995" w:rsidRPr="001E3995">
        <w:t>.</w:t>
      </w:r>
      <w:r w:rsidR="001E3995" w:rsidRPr="001E3995">
        <w:t xml:space="preserve"> </w:t>
      </w:r>
      <w:r w:rsidR="001E3995" w:rsidRPr="001E3995">
        <w:t>A</w:t>
      </w:r>
      <w:r w:rsidRPr="001E3995">
        <w:t>rguably, the bare allegation that a mark is famous (or perhaps that the defendant’s mark is likely to cause dilution of the plaintiff’s mark) is insufficient to meet the plausibility standard.</w:t>
      </w:r>
      <w:r w:rsidR="001E3995" w:rsidRPr="001E3995">
        <w:rPr>
          <w:vertAlign w:val="superscript"/>
        </w:rPr>
        <w:footnoteReference w:id="123"/>
      </w:r>
      <w:r w:rsidRPr="001E3995">
        <w:t xml:space="preserve"> However, proving fame does not require discovery from the opposition, which was a concern expressed by the Court when it imposed the plausibility requirement.</w:t>
      </w:r>
      <w:r w:rsidR="001E3995" w:rsidRPr="001E3995">
        <w:rPr>
          <w:vertAlign w:val="superscript"/>
        </w:rPr>
        <w:footnoteReference w:id="124"/>
      </w:r>
      <w:r w:rsidRPr="001E3995">
        <w:t xml:space="preserve"> Moreover, although pleading requirements should not be onerous, courts should not ignore pleadings that clearly do not fall within the requirements of the dilution statute, particularly allegations of fame under the TDRA</w:t>
      </w:r>
      <w:r w:rsidR="001E3995" w:rsidRPr="001E3995">
        <w:t>.</w:t>
      </w:r>
      <w:r w:rsidR="001E3995" w:rsidRPr="001E3995">
        <w:t xml:space="preserve"> </w:t>
      </w:r>
      <w:r w:rsidR="001E3995" w:rsidRPr="001E3995">
        <w:t>F</w:t>
      </w:r>
      <w:r w:rsidRPr="001E3995">
        <w:t>or example, in one case, a court permitted dilution allegations under California law and the TDRA to stand, despite the fact that the pleading stated that the plaintiff’s mark was famous in a particular industry, not to the “general consuming public.”</w:t>
      </w:r>
      <w:r w:rsidR="001E3995" w:rsidRPr="001E3995">
        <w:rPr>
          <w:vertAlign w:val="superscript"/>
        </w:rPr>
        <w:footnoteReference w:id="125"/>
      </w:r>
      <w:r w:rsidRPr="001E3995">
        <w:t xml:space="preserve"> In another case, the court stated that the TDRA required an allegation that the plaintiff’s mark was “famous or distinctive,” which is clearly wrong—the mark must be both famous </w:t>
      </w:r>
      <w:r w:rsidR="001E3995" w:rsidRPr="001E3995">
        <w:rPr>
          <w:i/>
        </w:rPr>
        <w:t>and</w:t>
      </w:r>
      <w:r w:rsidRPr="001E3995">
        <w:t xml:space="preserve"> distinctive.</w:t>
      </w:r>
      <w:r w:rsidR="001E3995" w:rsidRPr="001E3995">
        <w:rPr>
          <w:vertAlign w:val="superscript"/>
        </w:rPr>
        <w:footnoteReference w:id="126"/>
      </w:r>
    </w:p>
    <w:p w14:paraId="7EB4F9DE" w14:textId="0D5FED2F" w:rsidR="001E3995" w:rsidRPr="001E3995" w:rsidRDefault="00CA1E43" w:rsidP="001E3995">
      <w:pPr>
        <w:pStyle w:val="BNormal"/>
      </w:pPr>
      <w:r w:rsidRPr="001E3995">
        <w:t>There are indications that the Supreme Court’s pronouncements are being heard</w:t>
      </w:r>
      <w:r w:rsidR="001E3995" w:rsidRPr="001E3995">
        <w:t>.</w:t>
      </w:r>
      <w:r w:rsidR="001E3995" w:rsidRPr="001E3995">
        <w:t xml:space="preserve"> </w:t>
      </w:r>
      <w:r w:rsidR="001E3995" w:rsidRPr="001E3995">
        <w:t>A</w:t>
      </w:r>
      <w:r w:rsidRPr="001E3995">
        <w:t xml:space="preserve"> district court, citing </w:t>
      </w:r>
      <w:r w:rsidR="001E3995" w:rsidRPr="001E3995">
        <w:rPr>
          <w:i/>
        </w:rPr>
        <w:t>Iqbal</w:t>
      </w:r>
      <w:r w:rsidRPr="001E3995">
        <w:t>, dismissed a state dilution claim, partly on the grounds that it failed to allege facts to support the allegation that the mark was widely known.</w:t>
      </w:r>
      <w:r w:rsidR="001E3995" w:rsidRPr="001E3995">
        <w:rPr>
          <w:vertAlign w:val="superscript"/>
        </w:rPr>
        <w:footnoteReference w:id="127"/>
      </w:r>
      <w:r w:rsidRPr="001E3995">
        <w:t xml:space="preserve"> On the other hand, where a complaint alleges facts that support a blurring analysis by, for example, supporting the six statutory factors, a plausible claim will be found.</w:t>
      </w:r>
      <w:r w:rsidR="001E3995" w:rsidRPr="001E3995">
        <w:rPr>
          <w:vertAlign w:val="superscript"/>
        </w:rPr>
        <w:footnoteReference w:id="128"/>
      </w:r>
    </w:p>
    <w:p w14:paraId="3C1B0D43" w14:textId="341AD9B9" w:rsidR="001E3995" w:rsidRPr="001E3995" w:rsidRDefault="00CA1E43" w:rsidP="001E3995">
      <w:pPr>
        <w:pStyle w:val="BNormal"/>
      </w:pPr>
      <w:r w:rsidRPr="001E3995">
        <w:t xml:space="preserve">Although </w:t>
      </w:r>
      <w:proofErr w:type="gramStart"/>
      <w:r w:rsidRPr="001E3995">
        <w:t xml:space="preserve">it is clear that </w:t>
      </w:r>
      <w:r w:rsidR="001E3995" w:rsidRPr="001E3995">
        <w:rPr>
          <w:i/>
        </w:rPr>
        <w:t>Iqbal</w:t>
      </w:r>
      <w:proofErr w:type="gramEnd"/>
      <w:r w:rsidRPr="001E3995">
        <w:t xml:space="preserve"> governs the requirements for complaints (and apparently counterclaims and third-party claims), whether it governs all of defendant’s response—particularly affirmative defenses—is still unsettled.</w:t>
      </w:r>
      <w:r w:rsidR="001E3995" w:rsidRPr="001E3995">
        <w:rPr>
          <w:vertAlign w:val="superscript"/>
        </w:rPr>
        <w:footnoteReference w:id="129"/>
      </w:r>
    </w:p>
    <w:p w14:paraId="33BF8EA5" w14:textId="30CEF2C1" w:rsidR="001E3995" w:rsidRPr="001E3995" w:rsidRDefault="00CA1E43" w:rsidP="001E3995">
      <w:pPr>
        <w:pStyle w:val="BNormal"/>
      </w:pPr>
      <w:r w:rsidRPr="001E3995">
        <w:t>Some defendants have tried to force plaintiffs to plead with greater particularity, invoking the more stringent pleading requirements of Federal Rule of Civil Procedure 9(b).</w:t>
      </w:r>
      <w:r w:rsidR="001E3995" w:rsidRPr="001E3995">
        <w:rPr>
          <w:vertAlign w:val="superscript"/>
        </w:rPr>
        <w:footnoteReference w:id="130"/>
      </w:r>
      <w:r w:rsidRPr="001E3995">
        <w:t xml:space="preserve"> Rule 9(b) requires that allegations of fraud be made with particularity, in contrast to the liberal standard that is used by Rule 8</w:t>
      </w:r>
      <w:r w:rsidR="001E3995" w:rsidRPr="001E3995">
        <w:t>.</w:t>
      </w:r>
      <w:r w:rsidR="001E3995" w:rsidRPr="001E3995">
        <w:t xml:space="preserve"> </w:t>
      </w:r>
      <w:r w:rsidR="001E3995" w:rsidRPr="001E3995">
        <w:t>D</w:t>
      </w:r>
      <w:r w:rsidRPr="001E3995">
        <w:t>efendants invoking Rule 9(b) have argued that Lanham Act claims are grounded in deception, which brings them within Rule 9(b)’s requirements regarding allegations of fraud.</w:t>
      </w:r>
      <w:r w:rsidR="001E3995" w:rsidRPr="001E3995">
        <w:rPr>
          <w:vertAlign w:val="superscript"/>
        </w:rPr>
        <w:footnoteReference w:id="131"/>
      </w:r>
      <w:r w:rsidRPr="001E3995">
        <w:t xml:space="preserve"> However, even for ordinary infringement claims, that argument fails because the Lanham Act does not require any fraudulent intent on the part of the infringer.</w:t>
      </w:r>
      <w:r w:rsidR="001E3995" w:rsidRPr="001E3995">
        <w:rPr>
          <w:vertAlign w:val="superscript"/>
        </w:rPr>
        <w:footnoteReference w:id="132"/>
      </w:r>
      <w:r w:rsidRPr="001E3995">
        <w:t xml:space="preserve"> Dilution claims are still weaker candidates for Rule 9(b) treatment because they do not even require likelihood of confusion, which is the arguable basis for deception</w:t>
      </w:r>
      <w:r w:rsidR="001E3995" w:rsidRPr="001E3995">
        <w:t>.</w:t>
      </w:r>
      <w:r w:rsidR="001E3995" w:rsidRPr="001E3995">
        <w:t xml:space="preserve"> </w:t>
      </w:r>
      <w:r w:rsidR="001E3995" w:rsidRPr="001E3995">
        <w:t>I</w:t>
      </w:r>
      <w:r w:rsidRPr="001E3995">
        <w:t>n dilution, there is no fraud requirement to be found.</w:t>
      </w:r>
      <w:r w:rsidR="001E3995" w:rsidRPr="001E3995">
        <w:rPr>
          <w:vertAlign w:val="superscript"/>
        </w:rPr>
        <w:footnoteReference w:id="133"/>
      </w:r>
    </w:p>
    <w:p w14:paraId="08F14593" w14:textId="051F6A26" w:rsidR="001E3995" w:rsidRPr="001E3995" w:rsidRDefault="00CA1E43" w:rsidP="001E3995">
      <w:pPr>
        <w:pStyle w:val="BNormal"/>
      </w:pPr>
      <w:r w:rsidRPr="001E3995">
        <w:t xml:space="preserve">Permitting relatively nonspecific allegations in pleadings—within the confines of the plausibility standard—is consistent with the usual </w:t>
      </w:r>
      <w:proofErr w:type="gramStart"/>
      <w:r w:rsidRPr="001E3995">
        <w:t>manner in which</w:t>
      </w:r>
      <w:proofErr w:type="gramEnd"/>
      <w:r w:rsidRPr="001E3995">
        <w:t xml:space="preserve"> trademark claims are litigated</w:t>
      </w:r>
      <w:r w:rsidR="001E3995" w:rsidRPr="001E3995">
        <w:t>.</w:t>
      </w:r>
      <w:r w:rsidR="001E3995" w:rsidRPr="001E3995">
        <w:t xml:space="preserve"> </w:t>
      </w:r>
      <w:r w:rsidR="001E3995" w:rsidRPr="001E3995">
        <w:t>G</w:t>
      </w:r>
      <w:r w:rsidRPr="001E3995">
        <w:t>enerally, both sides are interested in a rapid decision, with plaintiffs often moving for a preliminary injunction or defendants moving early for summary judgment</w:t>
      </w:r>
      <w:r w:rsidR="001E3995" w:rsidRPr="001E3995">
        <w:t>.</w:t>
      </w:r>
      <w:r w:rsidR="001E3995" w:rsidRPr="001E3995">
        <w:t xml:space="preserve"> </w:t>
      </w:r>
      <w:r w:rsidR="001E3995" w:rsidRPr="001E3995">
        <w:t>U</w:t>
      </w:r>
      <w:r w:rsidRPr="001E3995">
        <w:t xml:space="preserve">nder those circumstances, it is less likely that specificity will be of great use in assuring that </w:t>
      </w:r>
      <w:r w:rsidR="001E3995" w:rsidRPr="001E3995">
        <w:rPr>
          <w:i/>
        </w:rPr>
        <w:t>complaints</w:t>
      </w:r>
      <w:r w:rsidRPr="001E3995">
        <w:t xml:space="preserve"> will not be used as fishing expeditions to intimidate the other side, although such possibilities cannot be completely ruled out.</w:t>
      </w:r>
      <w:r w:rsidR="001E3995" w:rsidRPr="001E3995">
        <w:rPr>
          <w:vertAlign w:val="superscript"/>
        </w:rPr>
        <w:footnoteReference w:id="134"/>
      </w:r>
      <w:r w:rsidRPr="001E3995">
        <w:t xml:space="preserve"> The possibility of misuse may be most acute in Internet cases, where allegations of bad faith may be based on little more than the registration of a domain name similar or identical to the plaintiff’s trade name or trademark.</w:t>
      </w:r>
      <w:r w:rsidR="001E3995" w:rsidRPr="001E3995">
        <w:rPr>
          <w:vertAlign w:val="superscript"/>
        </w:rPr>
        <w:footnoteReference w:id="135"/>
      </w:r>
      <w:r w:rsidRPr="001E3995">
        <w:t xml:space="preserve"> And some courts have permitted fairly vague and conclusory allegations of fame and/or dilution to proceed beyond a motion to dismiss.</w:t>
      </w:r>
      <w:r w:rsidR="001E3995" w:rsidRPr="001E3995">
        <w:rPr>
          <w:vertAlign w:val="superscript"/>
        </w:rPr>
        <w:footnoteReference w:id="136"/>
      </w:r>
      <w:r w:rsidRPr="001E3995">
        <w:t xml:space="preserve"> But other courts have been willing to dismiss complaints where they clearly lack elements of the claim, such as sufficient allegations that the mark is famous, or sufficient facts to demonstrate that there is a likelihood of dilution.</w:t>
      </w:r>
      <w:r w:rsidR="001E3995" w:rsidRPr="001E3995">
        <w:rPr>
          <w:vertAlign w:val="superscript"/>
        </w:rPr>
        <w:footnoteReference w:id="137"/>
      </w:r>
      <w:r w:rsidRPr="001E3995">
        <w:t xml:space="preserve"> Courts can and should use </w:t>
      </w:r>
      <w:r w:rsidRPr="001E3995">
        <w:lastRenderedPageBreak/>
        <w:t>their authority to control the discovery process</w:t>
      </w:r>
      <w:r w:rsidR="001E3995" w:rsidRPr="001E3995">
        <w:rPr>
          <w:vertAlign w:val="superscript"/>
        </w:rPr>
        <w:footnoteReference w:id="138"/>
      </w:r>
      <w:r w:rsidRPr="001E3995">
        <w:t xml:space="preserve"> to insure that conclusory dilution allegations are not the basis for onerous discovery requests to smaller businesses</w:t>
      </w:r>
      <w:r w:rsidR="001E3995" w:rsidRPr="001E3995">
        <w:t>.</w:t>
      </w:r>
      <w:r w:rsidR="001E3995" w:rsidRPr="001E3995">
        <w:t xml:space="preserve"> </w:t>
      </w:r>
      <w:r w:rsidR="001E3995" w:rsidRPr="001E3995">
        <w:t>I</w:t>
      </w:r>
      <w:r w:rsidRPr="001E3995">
        <w:t>n addition, Federal Rule 11 provides a basis to sanction any party that pleads frivolously.</w:t>
      </w:r>
      <w:r w:rsidR="001E3995" w:rsidRPr="001E3995">
        <w:rPr>
          <w:vertAlign w:val="superscript"/>
        </w:rPr>
        <w:footnoteReference w:id="139"/>
      </w:r>
      <w:r w:rsidRPr="001E3995">
        <w:t xml:space="preserve"> In theory, a Rule 12(e) motion for a more definite statement could serve to flesh out the allegations, but courts tend to disfavor such motions unless the pleading is truly unintelligible without clarification.</w:t>
      </w:r>
      <w:r w:rsidR="001E3995" w:rsidRPr="001E3995">
        <w:rPr>
          <w:vertAlign w:val="superscript"/>
        </w:rPr>
        <w:footnoteReference w:id="140"/>
      </w:r>
    </w:p>
    <w:p w14:paraId="417469A1" w14:textId="5BD80703" w:rsidR="001E3995" w:rsidRPr="001E3995" w:rsidRDefault="00CA1E43" w:rsidP="001E3995">
      <w:pPr>
        <w:pStyle w:val="BNormal"/>
      </w:pPr>
      <w:r w:rsidRPr="001E3995">
        <w:t>Sometimes, of course, the service of a complaint virtually ends the matter, if there is no answer</w:t>
      </w:r>
      <w:r w:rsidR="001E3995" w:rsidRPr="001E3995">
        <w:t>.</w:t>
      </w:r>
      <w:r w:rsidR="001E3995" w:rsidRPr="001E3995">
        <w:t xml:space="preserve"> </w:t>
      </w:r>
      <w:r w:rsidR="001E3995" w:rsidRPr="001E3995">
        <w:t>I</w:t>
      </w:r>
      <w:r w:rsidRPr="001E3995">
        <w:t>f a party defaults, then the allegations may be deemed admitted and proper relief granted.</w:t>
      </w:r>
      <w:r w:rsidR="001E3995" w:rsidRPr="001E3995">
        <w:rPr>
          <w:vertAlign w:val="superscript"/>
        </w:rPr>
        <w:footnoteReference w:id="141"/>
      </w:r>
    </w:p>
    <w:p w14:paraId="0237369D" w14:textId="62F87B88" w:rsidR="001E3995" w:rsidRPr="001E3995" w:rsidRDefault="001E3995" w:rsidP="001E3995">
      <w:pPr>
        <w:pStyle w:val="BHead1"/>
      </w:pPr>
      <w:r>
        <w:t>12.</w:t>
      </w:r>
      <w:r w:rsidRPr="001E3995">
        <w:rPr>
          <w:rStyle w:val="BBNAidChar"/>
          <w:rFonts w:eastAsiaTheme="majorEastAsia"/>
        </w:rPr>
        <w:t>V</w:t>
      </w:r>
      <w:r w:rsidRPr="001E3995">
        <w:t>.</w:t>
      </w:r>
      <w:r>
        <w:t xml:space="preserve">  </w:t>
      </w:r>
      <w:r w:rsidRPr="001E3995">
        <w:t>Discovery Issues in Dilution Cases</w:t>
      </w:r>
    </w:p>
    <w:p w14:paraId="2D184BD5" w14:textId="71A7F7CE" w:rsidR="001E3995" w:rsidRPr="001E3995" w:rsidRDefault="001E3995" w:rsidP="001E3995">
      <w:pPr>
        <w:pStyle w:val="BHead2"/>
      </w:pPr>
      <w:r>
        <w:t>12.V.</w:t>
      </w:r>
      <w:r w:rsidRPr="001E3995">
        <w:rPr>
          <w:rStyle w:val="BBNAidChar"/>
          <w:rFonts w:eastAsiaTheme="majorEastAsia"/>
        </w:rPr>
        <w:t>A</w:t>
      </w:r>
      <w:r w:rsidRPr="001E3995">
        <w:t>.</w:t>
      </w:r>
      <w:r>
        <w:t> </w:t>
      </w:r>
      <w:r w:rsidRPr="001E3995">
        <w:tab/>
        <w:t>Relevance Issues</w:t>
      </w:r>
    </w:p>
    <w:p w14:paraId="3C7C1990" w14:textId="22B8D265" w:rsidR="001E3995" w:rsidRPr="001E3995" w:rsidRDefault="00CA1E43" w:rsidP="001E3995">
      <w:pPr>
        <w:pStyle w:val="BNormal"/>
      </w:pPr>
      <w:r w:rsidRPr="001E3995">
        <w:t>The Federal Rules of Civil Procedure provide for broad discovery in all cases, obviously including dilution cases</w:t>
      </w:r>
      <w:r w:rsidR="001E3995" w:rsidRPr="001E3995">
        <w:t>.</w:t>
      </w:r>
      <w:r w:rsidR="001E3995" w:rsidRPr="001E3995">
        <w:t xml:space="preserve"> </w:t>
      </w:r>
      <w:r w:rsidR="001E3995" w:rsidRPr="001E3995">
        <w:t>H</w:t>
      </w:r>
      <w:r w:rsidRPr="001E3995">
        <w:t>owever, the requirement that discovery requests be relevant to “a claim or defense” is not merely hortatory</w:t>
      </w:r>
      <w:r w:rsidR="001E3995" w:rsidRPr="001E3995">
        <w:t>.</w:t>
      </w:r>
      <w:r w:rsidR="001E3995" w:rsidRPr="001E3995">
        <w:t xml:space="preserve"> </w:t>
      </w:r>
      <w:r w:rsidR="001E3995" w:rsidRPr="001E3995">
        <w:t>F</w:t>
      </w:r>
      <w:r w:rsidRPr="001E3995">
        <w:t xml:space="preserve">or example, in a </w:t>
      </w:r>
      <w:proofErr w:type="spellStart"/>
      <w:r w:rsidRPr="001E3995">
        <w:t>tarnishment</w:t>
      </w:r>
      <w:proofErr w:type="spellEnd"/>
      <w:r w:rsidRPr="001E3995">
        <w:t xml:space="preserve"> claim brought by Wal-Mart, a district court refused to grant a request for discovery of third-party uses of marks similar to Wal-Mart because the plaintiff conceded that Wal-Mart’s marks were famous.</w:t>
      </w:r>
      <w:r w:rsidR="001E3995" w:rsidRPr="001E3995">
        <w:rPr>
          <w:vertAlign w:val="superscript"/>
        </w:rPr>
        <w:footnoteReference w:id="142"/>
      </w:r>
      <w:r w:rsidRPr="001E3995">
        <w:t xml:space="preserve"> In addition, the court refused a request for discovery of Wal-Mart’s internal evaluations of its reputation on the ground that dilution by </w:t>
      </w:r>
      <w:proofErr w:type="spellStart"/>
      <w:r w:rsidRPr="001E3995">
        <w:t>tarnishment</w:t>
      </w:r>
      <w:proofErr w:type="spellEnd"/>
      <w:r w:rsidRPr="001E3995">
        <w:t xml:space="preserve"> depends on the public’s perception, not Wal-Mart’s perception of its reputation.</w:t>
      </w:r>
      <w:r w:rsidR="001E3995" w:rsidRPr="001E3995">
        <w:rPr>
          <w:vertAlign w:val="superscript"/>
        </w:rPr>
        <w:footnoteReference w:id="143"/>
      </w:r>
      <w:r w:rsidR="001E3995" w:rsidRPr="001E3995">
        <w:t xml:space="preserve"> </w:t>
      </w:r>
      <w:r w:rsidRPr="001E3995">
        <w:t>On the other hand, a district court granted a request for communications between the plaintiff any product retailers for five years on the grounds that it was relevant to the strength of the mark (regarding both infringement and dilution).</w:t>
      </w:r>
      <w:r w:rsidR="001E3995" w:rsidRPr="001E3995">
        <w:rPr>
          <w:vertAlign w:val="superscript"/>
        </w:rPr>
        <w:footnoteReference w:id="144"/>
      </w:r>
    </w:p>
    <w:p w14:paraId="5C4DFCF6" w14:textId="53DA8D26" w:rsidR="001E3995" w:rsidRPr="001E3995" w:rsidRDefault="001E3995" w:rsidP="001E3995">
      <w:pPr>
        <w:pStyle w:val="BHead2"/>
      </w:pPr>
      <w:r>
        <w:t>12.V.</w:t>
      </w:r>
      <w:r w:rsidRPr="001E3995">
        <w:rPr>
          <w:rStyle w:val="BBNAidChar"/>
          <w:rFonts w:eastAsiaTheme="majorEastAsia"/>
        </w:rPr>
        <w:t>B</w:t>
      </w:r>
      <w:r w:rsidRPr="001E3995">
        <w:t>.</w:t>
      </w:r>
      <w:r>
        <w:t> </w:t>
      </w:r>
      <w:r w:rsidRPr="001E3995">
        <w:tab/>
        <w:t>The Effect of Admissions Under Rule 36</w:t>
      </w:r>
    </w:p>
    <w:p w14:paraId="0A490762" w14:textId="276C4376" w:rsidR="001E3995" w:rsidRPr="001E3995" w:rsidRDefault="00CA1E43" w:rsidP="001E3995">
      <w:pPr>
        <w:pStyle w:val="BNormal"/>
      </w:pPr>
      <w:r w:rsidRPr="001E3995">
        <w:t xml:space="preserve">Rule 36 of the Federal Rules of Civil Procedure permits parties to serve requests for admission </w:t>
      </w:r>
      <w:proofErr w:type="gramStart"/>
      <w:r w:rsidRPr="001E3995">
        <w:t>on</w:t>
      </w:r>
      <w:proofErr w:type="gramEnd"/>
      <w:r w:rsidRPr="001E3995">
        <w:t xml:space="preserve"> one another</w:t>
      </w:r>
      <w:r w:rsidR="001E3995" w:rsidRPr="001E3995">
        <w:t>.</w:t>
      </w:r>
      <w:r w:rsidR="001E3995" w:rsidRPr="001E3995">
        <w:t xml:space="preserve"> </w:t>
      </w:r>
      <w:r w:rsidR="001E3995" w:rsidRPr="001E3995">
        <w:t>T</w:t>
      </w:r>
      <w:r w:rsidRPr="001E3995">
        <w:t>he purpose of such requests is to narrow the scope of trial (or permit resolution by summary judgment) by forcing parties to admit the accuracy of certain facts.</w:t>
      </w:r>
      <w:r w:rsidR="001E3995" w:rsidRPr="001E3995">
        <w:rPr>
          <w:vertAlign w:val="superscript"/>
        </w:rPr>
        <w:footnoteReference w:id="145"/>
      </w:r>
      <w:r w:rsidRPr="001E3995">
        <w:t xml:space="preserve"> In a dilution claim, for example, one might request that an opposing party admit that the mark is famous or that it is distinctive.</w:t>
      </w:r>
      <w:r w:rsidR="001E3995" w:rsidRPr="001E3995">
        <w:rPr>
          <w:vertAlign w:val="superscript"/>
        </w:rPr>
        <w:footnoteReference w:id="146"/>
      </w:r>
      <w:r w:rsidRPr="001E3995">
        <w:t xml:space="preserve"> One must remember that any such admissions are conclusive</w:t>
      </w:r>
      <w:r w:rsidR="001E3995" w:rsidRPr="001E3995">
        <w:t>;</w:t>
      </w:r>
      <w:r w:rsidR="001E3995" w:rsidRPr="001E3995">
        <w:t xml:space="preserve"> </w:t>
      </w:r>
      <w:r w:rsidR="001E3995" w:rsidRPr="001E3995">
        <w:t>t</w:t>
      </w:r>
      <w:r w:rsidRPr="001E3995">
        <w:t>he court must abide by them and should not hear evidence to contradict them.</w:t>
      </w:r>
      <w:r w:rsidR="001E3995" w:rsidRPr="001E3995">
        <w:rPr>
          <w:vertAlign w:val="superscript"/>
        </w:rPr>
        <w:footnoteReference w:id="147"/>
      </w:r>
    </w:p>
    <w:p w14:paraId="3CF0F306" w14:textId="4AAC5543" w:rsidR="001E3995" w:rsidRPr="001E3995" w:rsidRDefault="00CA1E43" w:rsidP="001E3995">
      <w:pPr>
        <w:pStyle w:val="BNormal"/>
      </w:pPr>
      <w:r w:rsidRPr="001E3995">
        <w:t>On the other hand, if a party fails to respond to Rule 36 requests (resulting in an admission of the requests), the court has the discretion to permit the party to withdraw or amend its admissions “if it would promote the presentation of the merits of the action and if the court is not persuaded that it would prejudice the requesting party in maintaining or defending the action on the merits.”</w:t>
      </w:r>
      <w:r w:rsidR="001E3995" w:rsidRPr="001E3995">
        <w:rPr>
          <w:vertAlign w:val="superscript"/>
        </w:rPr>
        <w:footnoteReference w:id="148"/>
      </w:r>
    </w:p>
    <w:p w14:paraId="621D1AFC" w14:textId="0265D9A1" w:rsidR="001E3995" w:rsidRPr="001E3995" w:rsidRDefault="001E3995" w:rsidP="001E3995">
      <w:pPr>
        <w:pStyle w:val="BHead2"/>
      </w:pPr>
      <w:r>
        <w:t>12.V.</w:t>
      </w:r>
      <w:r w:rsidRPr="001E3995">
        <w:rPr>
          <w:rStyle w:val="BBNAidChar"/>
          <w:rFonts w:eastAsiaTheme="majorEastAsia"/>
        </w:rPr>
        <w:t>C</w:t>
      </w:r>
      <w:r w:rsidRPr="001E3995">
        <w:t>.</w:t>
      </w:r>
      <w:r>
        <w:t> </w:t>
      </w:r>
      <w:r w:rsidRPr="001E3995">
        <w:tab/>
        <w:t>Discovery and TTAB Proceedings</w:t>
      </w:r>
    </w:p>
    <w:p w14:paraId="0567641E" w14:textId="7F64C660" w:rsidR="001E3995" w:rsidRPr="001E3995" w:rsidRDefault="00CA1E43" w:rsidP="001E3995">
      <w:pPr>
        <w:pStyle w:val="BNormal"/>
      </w:pPr>
      <w:r w:rsidRPr="001E3995">
        <w:t>Proceedings before the Trademark Trial and Appeal Board (TTAB) are conducted, to the extent possible, using the Federal Rules of Civil Procedure.</w:t>
      </w:r>
      <w:r w:rsidR="001E3995" w:rsidRPr="001E3995">
        <w:rPr>
          <w:vertAlign w:val="superscript"/>
        </w:rPr>
        <w:footnoteReference w:id="149"/>
      </w:r>
      <w:r w:rsidRPr="001E3995">
        <w:t xml:space="preserve"> This includes the discovery rules</w:t>
      </w:r>
      <w:r w:rsidR="001E3995" w:rsidRPr="001E3995">
        <w:t>.</w:t>
      </w:r>
      <w:r w:rsidR="001E3995" w:rsidRPr="001E3995">
        <w:t xml:space="preserve"> </w:t>
      </w:r>
      <w:r w:rsidR="001E3995" w:rsidRPr="001E3995">
        <w:t>H</w:t>
      </w:r>
      <w:r w:rsidRPr="001E3995">
        <w:t>owever, where an opposer did not serve discovery requests until the last day before the discovery period closed, the TTAB refused to extend the period, finding no good cause for the extension.</w:t>
      </w:r>
      <w:r w:rsidR="001E3995" w:rsidRPr="001E3995">
        <w:rPr>
          <w:vertAlign w:val="superscript"/>
        </w:rPr>
        <w:footnoteReference w:id="150"/>
      </w:r>
    </w:p>
    <w:p w14:paraId="78ADBAA3" w14:textId="185A9B68" w:rsidR="001E3995" w:rsidRPr="001E3995" w:rsidRDefault="001E3995" w:rsidP="001E3995">
      <w:pPr>
        <w:pStyle w:val="BHead2"/>
      </w:pPr>
      <w:r>
        <w:t>12.V.</w:t>
      </w:r>
      <w:r w:rsidRPr="001E3995">
        <w:rPr>
          <w:rStyle w:val="BBNAidChar"/>
          <w:rFonts w:eastAsiaTheme="majorEastAsia"/>
        </w:rPr>
        <w:t>D</w:t>
      </w:r>
      <w:r w:rsidRPr="001E3995">
        <w:t>.</w:t>
      </w:r>
      <w:r>
        <w:t> </w:t>
      </w:r>
      <w:r w:rsidRPr="001E3995">
        <w:t xml:space="preserve"> </w:t>
      </w:r>
      <w:r w:rsidRPr="001E3995">
        <w:t>Sanctions for Discovery Failure</w:t>
      </w:r>
    </w:p>
    <w:p w14:paraId="6C2E0C23" w14:textId="581B6023" w:rsidR="001E3995" w:rsidRPr="001E3995" w:rsidRDefault="00CA1E43" w:rsidP="001E3995">
      <w:pPr>
        <w:pStyle w:val="BNormal"/>
      </w:pPr>
      <w:r w:rsidRPr="001E3995">
        <w:t xml:space="preserve">It should not be forgotten that, just as in any other case, </w:t>
      </w:r>
      <w:proofErr w:type="gramStart"/>
      <w:r w:rsidRPr="001E3995">
        <w:t>a failure</w:t>
      </w:r>
      <w:proofErr w:type="gramEnd"/>
      <w:r w:rsidRPr="001E3995">
        <w:t xml:space="preserve"> to make proper </w:t>
      </w:r>
      <w:proofErr w:type="gramStart"/>
      <w:r w:rsidRPr="001E3995">
        <w:t>discovery</w:t>
      </w:r>
      <w:proofErr w:type="gramEnd"/>
      <w:r w:rsidRPr="001E3995">
        <w:t xml:space="preserve"> can lead to sanctions</w:t>
      </w:r>
      <w:r w:rsidR="001E3995" w:rsidRPr="001E3995">
        <w:t>.</w:t>
      </w:r>
      <w:r w:rsidR="001E3995" w:rsidRPr="001E3995">
        <w:t xml:space="preserve"> </w:t>
      </w:r>
      <w:r w:rsidR="001E3995" w:rsidRPr="001E3995">
        <w:t>I</w:t>
      </w:r>
      <w:r w:rsidRPr="001E3995">
        <w:t>n one lengthy opinion in a case that included a dilution claim, a magistrate recommended that the court impose sanctions both under Rule 37 and the court’s inherent power for failure to abide by discovery orders.</w:t>
      </w:r>
      <w:r w:rsidR="001E3995" w:rsidRPr="001E3995">
        <w:rPr>
          <w:vertAlign w:val="superscript"/>
        </w:rPr>
        <w:footnoteReference w:id="151"/>
      </w:r>
    </w:p>
    <w:p w14:paraId="5D2C02AF" w14:textId="670894D0" w:rsidR="001E3995" w:rsidRPr="001E3995" w:rsidRDefault="001E3995" w:rsidP="001E3995">
      <w:pPr>
        <w:pStyle w:val="BHead1"/>
      </w:pPr>
      <w:r>
        <w:t>12.</w:t>
      </w:r>
      <w:r w:rsidRPr="001E3995">
        <w:rPr>
          <w:rStyle w:val="BBNAidChar"/>
          <w:rFonts w:eastAsiaTheme="majorEastAsia"/>
        </w:rPr>
        <w:t>V-A</w:t>
      </w:r>
      <w:r w:rsidRPr="001E3995">
        <w:t>.</w:t>
      </w:r>
      <w:r>
        <w:t xml:space="preserve">  </w:t>
      </w:r>
      <w:r w:rsidRPr="001E3995">
        <w:t>The Effect of Interlocutory Decisions</w:t>
      </w:r>
    </w:p>
    <w:p w14:paraId="24435AB8" w14:textId="25581D9A" w:rsidR="001E3995" w:rsidRPr="001E3995" w:rsidRDefault="00CA1E43" w:rsidP="001E3995">
      <w:pPr>
        <w:pStyle w:val="BNormal"/>
      </w:pPr>
      <w:r w:rsidRPr="001E3995">
        <w:t xml:space="preserve">Various decisions at the trial level (and at the appellate level) are </w:t>
      </w:r>
      <w:proofErr w:type="gramStart"/>
      <w:r w:rsidRPr="001E3995">
        <w:t>interlocutory—</w:t>
      </w:r>
      <w:proofErr w:type="gramEnd"/>
      <w:r w:rsidRPr="001E3995">
        <w:t>that is, they do not constitute final decisions, even if some are immediately appealable (such as denials of preliminary injunctions)</w:t>
      </w:r>
      <w:r w:rsidR="001E3995" w:rsidRPr="001E3995">
        <w:t>.</w:t>
      </w:r>
      <w:r w:rsidR="001E3995" w:rsidRPr="001E3995">
        <w:t xml:space="preserve"> </w:t>
      </w:r>
      <w:r w:rsidR="001E3995" w:rsidRPr="001E3995">
        <w:t>A</w:t>
      </w:r>
      <w:r w:rsidRPr="001E3995">
        <w:t>mong those interlocutory decisions are denials of motions for summary judgment</w:t>
      </w:r>
      <w:r w:rsidR="001E3995" w:rsidRPr="001E3995">
        <w:t>.</w:t>
      </w:r>
      <w:r w:rsidR="001E3995" w:rsidRPr="001E3995">
        <w:t xml:space="preserve"> </w:t>
      </w:r>
      <w:r w:rsidR="001E3995" w:rsidRPr="001E3995">
        <w:t>T</w:t>
      </w:r>
      <w:r w:rsidRPr="001E3995">
        <w:t>hese decisions are not immediately appealable, as they are not final orders, nor is there any general exception allowing for such appeals</w:t>
      </w:r>
      <w:r w:rsidR="001E3995" w:rsidRPr="001E3995">
        <w:t>.</w:t>
      </w:r>
      <w:r w:rsidR="001E3995" w:rsidRPr="001E3995">
        <w:t xml:space="preserve"> </w:t>
      </w:r>
      <w:r w:rsidR="001E3995" w:rsidRPr="001E3995">
        <w:t>H</w:t>
      </w:r>
      <w:r w:rsidRPr="001E3995">
        <w:t>owever, it is also noteworthy that, because they are interlocutory, they are subject to change before the case ends</w:t>
      </w:r>
      <w:r w:rsidR="001E3995" w:rsidRPr="001E3995">
        <w:t>.</w:t>
      </w:r>
      <w:r w:rsidR="001E3995" w:rsidRPr="001E3995">
        <w:t xml:space="preserve"> </w:t>
      </w:r>
      <w:r w:rsidR="001E3995" w:rsidRPr="001E3995">
        <w:t>T</w:t>
      </w:r>
      <w:r w:rsidRPr="001E3995">
        <w:t>hus, in one case, the district court allowed a defendant to introduce evidence at trial on an issue that was part of a motion for summary judgment on a dilution claim that was denied.</w:t>
      </w:r>
      <w:r w:rsidR="001E3995" w:rsidRPr="001E3995">
        <w:rPr>
          <w:vertAlign w:val="superscript"/>
        </w:rPr>
        <w:footnoteReference w:id="152"/>
      </w:r>
      <w:r w:rsidRPr="001E3995">
        <w:t xml:space="preserve"> Although the court had determined that the defendant lacked admissible evidence as to the particular issue (whether it was a successor in interest to a particular company that owned a trademark), it later allowed the defendant to present evidence at trial on that issue.</w:t>
      </w:r>
      <w:r w:rsidR="001E3995" w:rsidRPr="001E3995">
        <w:rPr>
          <w:vertAlign w:val="superscript"/>
        </w:rPr>
        <w:footnoteReference w:id="153"/>
      </w:r>
    </w:p>
    <w:p w14:paraId="0F6C5B52" w14:textId="4F41CA9A" w:rsidR="001E3995" w:rsidRPr="001E3995" w:rsidRDefault="001E3995" w:rsidP="001E3995">
      <w:pPr>
        <w:pStyle w:val="BHead1"/>
      </w:pPr>
      <w:r>
        <w:t>12.</w:t>
      </w:r>
      <w:r w:rsidRPr="001E3995">
        <w:rPr>
          <w:rStyle w:val="BBNAidChar"/>
          <w:rFonts w:eastAsiaTheme="majorEastAsia"/>
        </w:rPr>
        <w:t>V-B</w:t>
      </w:r>
      <w:r w:rsidRPr="001E3995">
        <w:t>.</w:t>
      </w:r>
      <w:r>
        <w:t xml:space="preserve">  </w:t>
      </w:r>
      <w:r w:rsidRPr="001E3995">
        <w:t>The Standard of Appellate Review of Dilution Claims</w:t>
      </w:r>
    </w:p>
    <w:p w14:paraId="06065B87" w14:textId="06133CB8" w:rsidR="001E3995" w:rsidRPr="001E3995" w:rsidRDefault="00CA1E43" w:rsidP="001E3995">
      <w:pPr>
        <w:pStyle w:val="BNormal"/>
      </w:pPr>
      <w:r w:rsidRPr="001E3995">
        <w:t>Because interlocutory appeals are permitted when a court grants or denies a preliminary injunction, such appeals are relatively common in trademark cases</w:t>
      </w:r>
      <w:r w:rsidR="001E3995" w:rsidRPr="001E3995">
        <w:t>.</w:t>
      </w:r>
      <w:r w:rsidR="001E3995" w:rsidRPr="001E3995">
        <w:t xml:space="preserve"> </w:t>
      </w:r>
      <w:r w:rsidR="001E3995" w:rsidRPr="001E3995">
        <w:t>A</w:t>
      </w:r>
      <w:r w:rsidRPr="001E3995">
        <w:t>lthough there have been relatively few appellate cases since the TDRA, it is important to consider the proper standard of appellate review</w:t>
      </w:r>
      <w:r w:rsidR="001E3995" w:rsidRPr="001E3995">
        <w:t>.</w:t>
      </w:r>
      <w:r w:rsidR="001E3995" w:rsidRPr="001E3995">
        <w:t xml:space="preserve"> </w:t>
      </w:r>
      <w:r w:rsidR="001E3995" w:rsidRPr="001E3995">
        <w:t>I</w:t>
      </w:r>
      <w:r w:rsidRPr="001E3995">
        <w:t>n the infringement context, where each circuit uses a similar multifactor test for likelihood of confusion, courts have not settled on a uniform standard</w:t>
      </w:r>
      <w:r w:rsidR="001E3995" w:rsidRPr="001E3995">
        <w:t>.</w:t>
      </w:r>
      <w:r w:rsidR="001E3995" w:rsidRPr="001E3995">
        <w:t xml:space="preserve"> </w:t>
      </w:r>
      <w:r w:rsidR="001E3995" w:rsidRPr="001E3995">
        <w:t>S</w:t>
      </w:r>
      <w:r w:rsidRPr="001E3995">
        <w:t>ome circuits consider confusion a factual issue, requiring a “clearly erroneous” standard</w:t>
      </w:r>
      <w:r w:rsidR="001E3995" w:rsidRPr="001E3995">
        <w:t>.</w:t>
      </w:r>
      <w:r w:rsidR="001E3995" w:rsidRPr="001E3995">
        <w:t xml:space="preserve"> </w:t>
      </w:r>
      <w:r w:rsidR="001E3995" w:rsidRPr="001E3995">
        <w:t>O</w:t>
      </w:r>
      <w:r w:rsidRPr="001E3995">
        <w:t xml:space="preserve">thers consider confusion a hybrid, where the discussion of each factor is considered a factual finding, subject to review for clear error, while the </w:t>
      </w:r>
      <w:proofErr w:type="gramStart"/>
      <w:r w:rsidRPr="001E3995">
        <w:t>ultimate conclusion</w:t>
      </w:r>
      <w:proofErr w:type="gramEnd"/>
      <w:r w:rsidRPr="001E3995">
        <w:t xml:space="preserve"> of confusion resulting from the findings is a matter of law, subject to de novo review</w:t>
      </w:r>
      <w:r w:rsidR="001E3995" w:rsidRPr="001E3995">
        <w:t>.</w:t>
      </w:r>
      <w:r w:rsidR="001E3995" w:rsidRPr="001E3995">
        <w:t xml:space="preserve"> </w:t>
      </w:r>
      <w:r w:rsidR="001E3995" w:rsidRPr="001E3995">
        <w:t>F</w:t>
      </w:r>
      <w:r w:rsidRPr="001E3995">
        <w:t>or dilution by blurring, the TDRA sets forth a definition of blurring, plus six factors that courts may (but are not required to) use to guide the determination of likelihood of dilution.</w:t>
      </w:r>
      <w:r w:rsidR="001E3995" w:rsidRPr="001E3995">
        <w:rPr>
          <w:vertAlign w:val="superscript"/>
        </w:rPr>
        <w:footnoteReference w:id="154"/>
      </w:r>
      <w:r w:rsidRPr="001E3995">
        <w:t xml:space="preserve"> Not surprisingly, those courts that have addressed the question appear to be using the same standard as that used to review likelihood of confusion</w:t>
      </w:r>
      <w:r w:rsidR="001E3995" w:rsidRPr="001E3995">
        <w:t>.</w:t>
      </w:r>
      <w:r w:rsidR="001E3995" w:rsidRPr="001E3995">
        <w:t xml:space="preserve"> </w:t>
      </w:r>
      <w:r w:rsidR="001E3995" w:rsidRPr="001E3995">
        <w:t>T</w:t>
      </w:r>
      <w:r w:rsidRPr="001E3995">
        <w:t xml:space="preserve">hus, in </w:t>
      </w:r>
      <w:r w:rsidR="001E3995" w:rsidRPr="001E3995">
        <w:rPr>
          <w:rStyle w:val="BCasenamefull"/>
        </w:rPr>
        <w:t>Swatch AG v. Beehive Wholesale, LLC</w:t>
      </w:r>
      <w:r w:rsidRPr="001E3995">
        <w:t>,</w:t>
      </w:r>
      <w:r w:rsidR="001E3995" w:rsidRPr="001E3995">
        <w:rPr>
          <w:vertAlign w:val="superscript"/>
        </w:rPr>
        <w:footnoteReference w:id="155"/>
      </w:r>
      <w:r w:rsidRPr="001E3995">
        <w:t xml:space="preserve"> the Fourth Circuit, mirroring its confusion standard, held that dilution is reviewed for clear error.</w:t>
      </w:r>
      <w:r w:rsidR="001E3995" w:rsidRPr="001E3995">
        <w:rPr>
          <w:vertAlign w:val="superscript"/>
        </w:rPr>
        <w:footnoteReference w:id="156"/>
      </w:r>
      <w:r w:rsidRPr="001E3995">
        <w:t xml:space="preserve"> However, the Second Circuit, also mirroring its confusion standard, reviews the district court’s determination of each factor for clear error, but reviews de novo the district court’s balancing of the factors.</w:t>
      </w:r>
      <w:r w:rsidR="001E3995" w:rsidRPr="001E3995">
        <w:rPr>
          <w:vertAlign w:val="superscript"/>
        </w:rPr>
        <w:footnoteReference w:id="157"/>
      </w:r>
    </w:p>
    <w:p w14:paraId="5647CEC8" w14:textId="2A064406" w:rsidR="001E3995" w:rsidRPr="001E3995" w:rsidRDefault="001E3995" w:rsidP="001E3995">
      <w:pPr>
        <w:pStyle w:val="BHead1"/>
      </w:pPr>
      <w:r>
        <w:t>12.</w:t>
      </w:r>
      <w:r w:rsidRPr="001E3995">
        <w:rPr>
          <w:rStyle w:val="BBNAidChar"/>
          <w:rFonts w:eastAsiaTheme="majorEastAsia"/>
        </w:rPr>
        <w:t>VI</w:t>
      </w:r>
      <w:r w:rsidRPr="001E3995">
        <w:t>.</w:t>
      </w:r>
      <w:r>
        <w:t xml:space="preserve">  </w:t>
      </w:r>
      <w:r w:rsidRPr="001E3995">
        <w:t>The Right to a Jury Trial</w:t>
      </w:r>
    </w:p>
    <w:p w14:paraId="4ACEFBBB" w14:textId="4D6C57FF" w:rsidR="001E3995" w:rsidRPr="001E3995" w:rsidRDefault="001E3995" w:rsidP="001E3995">
      <w:pPr>
        <w:pStyle w:val="BHead2"/>
      </w:pPr>
      <w:r>
        <w:t>12.VI.</w:t>
      </w:r>
      <w:r w:rsidRPr="001E3995">
        <w:rPr>
          <w:rStyle w:val="BBNAidChar"/>
          <w:rFonts w:eastAsiaTheme="majorEastAsia"/>
        </w:rPr>
        <w:t>A</w:t>
      </w:r>
      <w:r w:rsidRPr="001E3995">
        <w:t>.</w:t>
      </w:r>
      <w:r>
        <w:t> </w:t>
      </w:r>
      <w:r w:rsidRPr="001E3995">
        <w:tab/>
        <w:t>The Contours of the Seventh Amendment Right</w:t>
      </w:r>
    </w:p>
    <w:p w14:paraId="16E33A92" w14:textId="2F81C597" w:rsidR="001E3995" w:rsidRPr="001E3995" w:rsidRDefault="00CA1E43" w:rsidP="001E3995">
      <w:pPr>
        <w:pStyle w:val="BNormal"/>
      </w:pPr>
      <w:r w:rsidRPr="001E3995">
        <w:t>An important procedural aspect of remedies is the identity of the factfinder</w:t>
      </w:r>
      <w:r w:rsidR="001E3995" w:rsidRPr="001E3995">
        <w:t>:</w:t>
      </w:r>
      <w:r w:rsidR="001E3995" w:rsidRPr="001E3995">
        <w:t xml:space="preserve"> </w:t>
      </w:r>
      <w:r w:rsidR="001E3995" w:rsidRPr="001E3995">
        <w:t>j</w:t>
      </w:r>
      <w:r w:rsidRPr="001E3995">
        <w:t>udge or jury</w:t>
      </w:r>
      <w:r w:rsidR="001E3995" w:rsidRPr="001E3995">
        <w:t>.</w:t>
      </w:r>
      <w:r w:rsidR="001E3995" w:rsidRPr="001E3995">
        <w:t xml:space="preserve"> </w:t>
      </w:r>
      <w:r w:rsidR="001E3995" w:rsidRPr="001E3995">
        <w:t>T</w:t>
      </w:r>
      <w:r w:rsidRPr="001E3995">
        <w:t>DRA claims ordinarily will be brought in federal court, and even state dilution claims normally are brought in federal court as supplemental claims to suits under the Lanham Act.</w:t>
      </w:r>
      <w:r w:rsidR="001E3995" w:rsidRPr="001E3995">
        <w:rPr>
          <w:vertAlign w:val="superscript"/>
        </w:rPr>
        <w:footnoteReference w:id="158"/>
      </w:r>
      <w:r w:rsidRPr="001E3995">
        <w:t xml:space="preserve"> Therefore, federal law will determine the right to a jury trial.</w:t>
      </w:r>
      <w:r w:rsidR="001E3995" w:rsidRPr="001E3995">
        <w:rPr>
          <w:vertAlign w:val="superscript"/>
        </w:rPr>
        <w:footnoteReference w:id="159"/>
      </w:r>
      <w:r w:rsidRPr="001E3995">
        <w:t xml:space="preserve"> The Seventh Amendment guarantees a right to jury trial in federal courts for suits “at common law” </w:t>
      </w:r>
      <w:r w:rsidRPr="001E3995">
        <w:lastRenderedPageBreak/>
        <w:t>with a value of more than $20</w:t>
      </w:r>
      <w:r w:rsidR="001E3995" w:rsidRPr="001E3995">
        <w:t>.</w:t>
      </w:r>
      <w:r w:rsidR="001E3995" w:rsidRPr="001E3995">
        <w:t xml:space="preserve"> </w:t>
      </w:r>
      <w:r w:rsidR="001E3995" w:rsidRPr="001E3995">
        <w:t>T</w:t>
      </w:r>
      <w:r w:rsidRPr="001E3995">
        <w:t xml:space="preserve">he language of the Seventh Amendment reflects the division of courts between law and equity that existed in 1791, with suits at law having a right to a jury trial, while equitable suits were </w:t>
      </w:r>
      <w:proofErr w:type="spellStart"/>
      <w:r w:rsidRPr="001E3995">
        <w:t>tried</w:t>
      </w:r>
      <w:proofErr w:type="spellEnd"/>
      <w:r w:rsidRPr="001E3995">
        <w:t xml:space="preserve"> to the judge.</w:t>
      </w:r>
      <w:r w:rsidR="001E3995" w:rsidRPr="001E3995">
        <w:rPr>
          <w:vertAlign w:val="superscript"/>
        </w:rPr>
        <w:footnoteReference w:id="160"/>
      </w:r>
      <w:r w:rsidRPr="001E3995">
        <w:t xml:space="preserve"> With the promulgation of the Federal Rules of Civil Procedure in 1938 came the merger of law and equity in the federal courts.</w:t>
      </w:r>
      <w:r w:rsidR="001E3995" w:rsidRPr="001E3995">
        <w:rPr>
          <w:vertAlign w:val="superscript"/>
        </w:rPr>
        <w:footnoteReference w:id="161"/>
      </w:r>
      <w:r w:rsidRPr="001E3995">
        <w:t xml:space="preserve"> This led to the question of how to deal with suits containing both legal and equitable claims</w:t>
      </w:r>
      <w:r w:rsidR="001E3995" w:rsidRPr="001E3995">
        <w:t>.</w:t>
      </w:r>
      <w:r w:rsidR="001E3995" w:rsidRPr="001E3995">
        <w:t xml:space="preserve"> </w:t>
      </w:r>
      <w:r w:rsidR="001E3995" w:rsidRPr="001E3995">
        <w:t>A</w:t>
      </w:r>
      <w:r w:rsidRPr="001E3995">
        <w:t xml:space="preserve"> subsidiary issue is</w:t>
      </w:r>
      <w:r w:rsidR="001E3995" w:rsidRPr="001E3995">
        <w:t>:</w:t>
      </w:r>
      <w:r w:rsidR="001E3995" w:rsidRPr="001E3995">
        <w:t xml:space="preserve"> </w:t>
      </w:r>
      <w:r w:rsidR="001E3995" w:rsidRPr="001E3995">
        <w:t>w</w:t>
      </w:r>
      <w:r w:rsidRPr="001E3995">
        <w:t>hat are the characteristics of “legal” and “equitable” claims?</w:t>
      </w:r>
    </w:p>
    <w:p w14:paraId="1A69D60A" w14:textId="2137E26A" w:rsidR="001E3995" w:rsidRPr="001E3995" w:rsidRDefault="00CA1E43" w:rsidP="001E3995">
      <w:pPr>
        <w:pStyle w:val="BNormal"/>
      </w:pPr>
      <w:r w:rsidRPr="001E3995">
        <w:t xml:space="preserve">In the great majority of trademark </w:t>
      </w:r>
      <w:proofErr w:type="gramStart"/>
      <w:r w:rsidRPr="001E3995">
        <w:t>claims—</w:t>
      </w:r>
      <w:proofErr w:type="gramEnd"/>
      <w:r w:rsidRPr="001E3995">
        <w:t>particularly dilution claims—these issues do not pose a major problem</w:t>
      </w:r>
      <w:r w:rsidR="001E3995" w:rsidRPr="001E3995">
        <w:t>.</w:t>
      </w:r>
      <w:r w:rsidR="001E3995" w:rsidRPr="001E3995">
        <w:t xml:space="preserve"> </w:t>
      </w:r>
      <w:r w:rsidR="001E3995" w:rsidRPr="001E3995">
        <w:t>T</w:t>
      </w:r>
      <w:r w:rsidRPr="001E3995">
        <w:t>he usual remedy for both trademark infringement and dilution is an injunction.</w:t>
      </w:r>
      <w:r w:rsidR="001E3995" w:rsidRPr="001E3995">
        <w:rPr>
          <w:vertAlign w:val="superscript"/>
        </w:rPr>
        <w:footnoteReference w:id="162"/>
      </w:r>
      <w:r w:rsidRPr="001E3995">
        <w:t xml:space="preserve"> Since an injunction is quintessentially equitable, trademark suits asking only for an injunction will not be tried to a jury.</w:t>
      </w:r>
      <w:r w:rsidR="001E3995" w:rsidRPr="001E3995">
        <w:rPr>
          <w:vertAlign w:val="superscript"/>
        </w:rPr>
        <w:footnoteReference w:id="163"/>
      </w:r>
      <w:r w:rsidRPr="001E3995">
        <w:t xml:space="preserve"> However, when a suit asks for both an injunction </w:t>
      </w:r>
      <w:r w:rsidR="001E3995" w:rsidRPr="001E3995">
        <w:rPr>
          <w:i/>
        </w:rPr>
        <w:t>and</w:t>
      </w:r>
      <w:r w:rsidRPr="001E3995">
        <w:t xml:space="preserve"> monetary damages, a jury trial issue emerges.</w:t>
      </w:r>
    </w:p>
    <w:p w14:paraId="171037C2" w14:textId="77F5AF3B" w:rsidR="001E3995" w:rsidRPr="001E3995" w:rsidRDefault="00CA1E43" w:rsidP="001E3995">
      <w:pPr>
        <w:pStyle w:val="BNormal"/>
      </w:pPr>
      <w:r w:rsidRPr="001E3995">
        <w:t>Although monetary relief is usually deemed “legal,” the wording of the Lanham Act complicates the issue</w:t>
      </w:r>
      <w:r w:rsidR="001E3995" w:rsidRPr="001E3995">
        <w:t>.</w:t>
      </w:r>
      <w:r w:rsidR="001E3995" w:rsidRPr="001E3995">
        <w:t xml:space="preserve"> </w:t>
      </w:r>
      <w:r w:rsidR="001E3995" w:rsidRPr="001E3995">
        <w:t>S</w:t>
      </w:r>
      <w:r w:rsidRPr="001E3995">
        <w:t>ection 35(a) permits the recovery of “(1) defendant’s profits, (2) any damages sustained by the plaintiff, and (3) the costs of the action.”</w:t>
      </w:r>
      <w:r w:rsidR="001E3995" w:rsidRPr="001E3995">
        <w:rPr>
          <w:vertAlign w:val="superscript"/>
        </w:rPr>
        <w:footnoteReference w:id="164"/>
      </w:r>
      <w:r w:rsidRPr="001E3995">
        <w:t xml:space="preserve"> In addition, the same section permits the enhancement of any damages award according to the circumstances of the case</w:t>
      </w:r>
      <w:r w:rsidR="001E3995" w:rsidRPr="001E3995">
        <w:t>.</w:t>
      </w:r>
      <w:r w:rsidR="001E3995" w:rsidRPr="001E3995">
        <w:t xml:space="preserve"> </w:t>
      </w:r>
      <w:r w:rsidR="001E3995" w:rsidRPr="001E3995">
        <w:t>H</w:t>
      </w:r>
      <w:r w:rsidRPr="001E3995">
        <w:t>owever, the award of damages is made “subject to the discretion of the court and the principles of equity,” and the enhancement provision clearly anticipates that decision being made by the judge, not a jury.</w:t>
      </w:r>
      <w:r w:rsidR="001E3995" w:rsidRPr="001E3995">
        <w:rPr>
          <w:vertAlign w:val="superscript"/>
        </w:rPr>
        <w:footnoteReference w:id="165"/>
      </w:r>
      <w:r w:rsidRPr="001E3995">
        <w:t xml:space="preserve"> Compounding this problem is the wording of Section 43(c)(5), which states that any award of damages for dilution is “subject to the discretion of the court and the principles of equity.” Thus, it may be</w:t>
      </w:r>
      <w:proofErr w:type="gramStart"/>
      <w:r w:rsidRPr="001E3995">
        <w:t>—and has been—argued</w:t>
      </w:r>
      <w:proofErr w:type="gramEnd"/>
      <w:r w:rsidRPr="001E3995">
        <w:t xml:space="preserve"> that </w:t>
      </w:r>
      <w:r w:rsidR="001E3995" w:rsidRPr="001E3995">
        <w:rPr>
          <w:i/>
        </w:rPr>
        <w:t>any</w:t>
      </w:r>
      <w:r w:rsidRPr="001E3995">
        <w:t xml:space="preserve"> damages in a dilution action are actually equitable in nature and do not invoke the right to a jury trial.</w:t>
      </w:r>
    </w:p>
    <w:p w14:paraId="4ACC987C" w14:textId="44EEF5BE" w:rsidR="001E3995" w:rsidRPr="001E3995" w:rsidRDefault="00CA1E43" w:rsidP="001E3995">
      <w:pPr>
        <w:pStyle w:val="BNormal"/>
      </w:pPr>
      <w:r w:rsidRPr="001E3995">
        <w:t>In two seminal decisions,</w:t>
      </w:r>
      <w:r w:rsidR="001E3995" w:rsidRPr="001E3995">
        <w:rPr>
          <w:vertAlign w:val="superscript"/>
        </w:rPr>
        <w:footnoteReference w:id="166"/>
      </w:r>
      <w:r w:rsidRPr="001E3995">
        <w:t xml:space="preserve"> the United States Supreme Court has provided some guidance on these issues</w:t>
      </w:r>
      <w:r w:rsidR="001E3995" w:rsidRPr="001E3995">
        <w:t>.</w:t>
      </w:r>
      <w:r w:rsidR="001E3995" w:rsidRPr="001E3995">
        <w:t xml:space="preserve"> </w:t>
      </w:r>
      <w:r w:rsidR="001E3995" w:rsidRPr="001E3995">
        <w:t>F</w:t>
      </w:r>
      <w:r w:rsidRPr="001E3995">
        <w:t xml:space="preserve">irst, in </w:t>
      </w:r>
      <w:r w:rsidR="001E3995" w:rsidRPr="001E3995">
        <w:rPr>
          <w:i/>
        </w:rPr>
        <w:t>Beacon Theatres,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Westover</w:t>
      </w:r>
      <w:r w:rsidRPr="001E3995">
        <w:t>,</w:t>
      </w:r>
      <w:r w:rsidR="001E3995" w:rsidRPr="001E3995">
        <w:rPr>
          <w:vertAlign w:val="superscript"/>
        </w:rPr>
        <w:footnoteReference w:id="167"/>
      </w:r>
      <w:r w:rsidRPr="001E3995">
        <w:t xml:space="preserve"> the Court held that, where a suit contains both legal and equitable claims, the legal claims must be tried first to a jury.</w:t>
      </w:r>
      <w:r w:rsidR="001E3995" w:rsidRPr="001E3995">
        <w:rPr>
          <w:vertAlign w:val="superscript"/>
        </w:rPr>
        <w:footnoteReference w:id="168"/>
      </w:r>
      <w:r w:rsidRPr="001E3995">
        <w:t xml:space="preserve"> </w:t>
      </w:r>
      <w:r w:rsidR="001E3995" w:rsidRPr="001E3995">
        <w:rPr>
          <w:i/>
        </w:rPr>
        <w:t>Beacon Theatres</w:t>
      </w:r>
      <w:r w:rsidRPr="001E3995">
        <w:t xml:space="preserve"> thus makes clear that the presence of a claim for an injunction cannot deprive a party of a jury trial when there is also a legal claim to be adjudicated.</w:t>
      </w:r>
    </w:p>
    <w:p w14:paraId="4DC66FC7" w14:textId="6B061814" w:rsidR="001E3995" w:rsidRPr="001E3995" w:rsidRDefault="00CA1E43" w:rsidP="001E3995">
      <w:pPr>
        <w:pStyle w:val="BNormal"/>
      </w:pPr>
      <w:r w:rsidRPr="001E3995">
        <w:t xml:space="preserve">In </w:t>
      </w:r>
      <w:r w:rsidR="001E3995" w:rsidRPr="001E3995">
        <w:rPr>
          <w:i/>
        </w:rPr>
        <w:t>Dairy Queen,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Wood</w:t>
      </w:r>
      <w:r w:rsidRPr="001E3995">
        <w:t>,</w:t>
      </w:r>
      <w:r w:rsidR="001E3995" w:rsidRPr="001E3995">
        <w:rPr>
          <w:vertAlign w:val="superscript"/>
        </w:rPr>
        <w:footnoteReference w:id="169"/>
      </w:r>
      <w:r w:rsidRPr="001E3995">
        <w:t xml:space="preserve"> the Court faced the issue of what constitutes a claim at law</w:t>
      </w:r>
      <w:r w:rsidR="001E3995" w:rsidRPr="001E3995">
        <w:t>.</w:t>
      </w:r>
      <w:r w:rsidR="001E3995" w:rsidRPr="001E3995">
        <w:t xml:space="preserve"> </w:t>
      </w:r>
      <w:r w:rsidR="001E3995" w:rsidRPr="001E3995">
        <w:rPr>
          <w:i/>
        </w:rPr>
        <w:t>Dairy Queen</w:t>
      </w:r>
      <w:r w:rsidRPr="001E3995">
        <w:t xml:space="preserve"> was a suit by a franchisor for breach of contract and trademark infringement</w:t>
      </w:r>
      <w:r w:rsidR="001E3995" w:rsidRPr="001E3995">
        <w:t>.</w:t>
      </w:r>
      <w:r w:rsidR="001E3995" w:rsidRPr="001E3995">
        <w:t xml:space="preserve"> </w:t>
      </w:r>
      <w:r w:rsidR="001E3995" w:rsidRPr="001E3995">
        <w:t>T</w:t>
      </w:r>
      <w:r w:rsidRPr="001E3995">
        <w:t>he plaintiff argued, and the trial court held, that the claim was equitable, because it requested an “accounting” of the damages, an accounting being an equitable remedy</w:t>
      </w:r>
      <w:r w:rsidR="001E3995" w:rsidRPr="001E3995">
        <w:t>.</w:t>
      </w:r>
      <w:r w:rsidR="001E3995" w:rsidRPr="001E3995">
        <w:t xml:space="preserve"> </w:t>
      </w:r>
      <w:r w:rsidR="001E3995" w:rsidRPr="001E3995">
        <w:t>T</w:t>
      </w:r>
      <w:r w:rsidRPr="001E3995">
        <w:t>he Supreme Court reversed, holding that the formulaic statement that an “accounting” was sought did not make the action equitable.</w:t>
      </w:r>
      <w:r w:rsidR="001E3995" w:rsidRPr="001E3995">
        <w:rPr>
          <w:vertAlign w:val="superscript"/>
        </w:rPr>
        <w:footnoteReference w:id="170"/>
      </w:r>
      <w:r w:rsidRPr="001E3995">
        <w:t xml:space="preserve"> Rather, the Court held that the breach of contract and trademark claims were ordinary damages suits and that their legal character was not altered “merely because the measure of damages may necessitate a look into petitioner’s business records.”</w:t>
      </w:r>
      <w:r w:rsidR="001E3995" w:rsidRPr="001E3995">
        <w:rPr>
          <w:vertAlign w:val="superscript"/>
        </w:rPr>
        <w:footnoteReference w:id="171"/>
      </w:r>
    </w:p>
    <w:p w14:paraId="2EE0A3C9" w14:textId="3CA2E6DD" w:rsidR="001E3995" w:rsidRPr="001E3995" w:rsidRDefault="001E3995" w:rsidP="001E3995">
      <w:pPr>
        <w:pStyle w:val="BNormal"/>
      </w:pPr>
      <w:r w:rsidRPr="001E3995">
        <w:rPr>
          <w:i/>
        </w:rPr>
        <w:t>Dairy Queen</w:t>
      </w:r>
      <w:r w:rsidR="00CA1E43" w:rsidRPr="001E3995">
        <w:t xml:space="preserve"> demonstrates that characterizing a suit as one for an “accounting” does not make it equitable</w:t>
      </w:r>
      <w:r w:rsidRPr="001E3995">
        <w:t>.</w:t>
      </w:r>
      <w:r w:rsidRPr="001E3995">
        <w:t xml:space="preserve"> </w:t>
      </w:r>
      <w:r w:rsidRPr="001E3995">
        <w:t>T</w:t>
      </w:r>
      <w:r w:rsidR="00CA1E43" w:rsidRPr="001E3995">
        <w:t xml:space="preserve">hus, although accounting for profits—the most likely form of damages for a dilution claim—might seem to be </w:t>
      </w:r>
      <w:r w:rsidR="00CA1E43" w:rsidRPr="001E3995">
        <w:lastRenderedPageBreak/>
        <w:t xml:space="preserve">equitable, </w:t>
      </w:r>
      <w:r w:rsidRPr="001E3995">
        <w:rPr>
          <w:i/>
        </w:rPr>
        <w:t>Dairy Queen</w:t>
      </w:r>
      <w:r w:rsidR="00CA1E43" w:rsidRPr="001E3995">
        <w:t xml:space="preserve"> indicates that such claims may be legal and should be tried </w:t>
      </w:r>
      <w:proofErr w:type="gramStart"/>
      <w:r w:rsidR="00CA1E43" w:rsidRPr="001E3995">
        <w:t>to</w:t>
      </w:r>
      <w:proofErr w:type="gramEnd"/>
      <w:r w:rsidR="00CA1E43" w:rsidRPr="001E3995">
        <w:t xml:space="preserve"> a jury</w:t>
      </w:r>
      <w:r w:rsidRPr="001E3995">
        <w:t>.</w:t>
      </w:r>
      <w:r w:rsidRPr="001E3995">
        <w:t xml:space="preserve"> </w:t>
      </w:r>
      <w:r w:rsidRPr="001E3995">
        <w:t>A</w:t>
      </w:r>
      <w:r w:rsidR="00CA1E43" w:rsidRPr="001E3995">
        <w:t>nd, indeed, several lower courts in trademark infringement (</w:t>
      </w:r>
      <w:proofErr w:type="spellStart"/>
      <w:r w:rsidR="00CA1E43" w:rsidRPr="001E3995">
        <w:t>nondilution</w:t>
      </w:r>
      <w:proofErr w:type="spellEnd"/>
      <w:r w:rsidR="00CA1E43" w:rsidRPr="001E3995">
        <w:t>) cases have so held.</w:t>
      </w:r>
      <w:r w:rsidRPr="001E3995">
        <w:rPr>
          <w:vertAlign w:val="superscript"/>
        </w:rPr>
        <w:footnoteReference w:id="172"/>
      </w:r>
      <w:r w:rsidR="00CA1E43" w:rsidRPr="001E3995">
        <w:t xml:space="preserve"> Other courts have disagreed, arguing that a request for the disgorgement of defendant’s profits is historically equitable in nature.</w:t>
      </w:r>
      <w:r w:rsidRPr="001E3995">
        <w:rPr>
          <w:vertAlign w:val="superscript"/>
        </w:rPr>
        <w:footnoteReference w:id="173"/>
      </w:r>
    </w:p>
    <w:p w14:paraId="1DB5A394" w14:textId="587724C9" w:rsidR="001E3995" w:rsidRPr="001E3995" w:rsidRDefault="00CA1E43" w:rsidP="001E3995">
      <w:pPr>
        <w:pStyle w:val="BNormal"/>
      </w:pPr>
      <w:r w:rsidRPr="001E3995">
        <w:t xml:space="preserve">The analysis of the nature of a dilution claim is complicated by the Supreme Court’s decision in </w:t>
      </w:r>
      <w:r w:rsidR="001E3995" w:rsidRPr="001E3995">
        <w:rPr>
          <w:i/>
        </w:rPr>
        <w:t>Feltner v</w:t>
      </w:r>
      <w:r w:rsidR="001E3995" w:rsidRPr="001E3995">
        <w:t>.</w:t>
      </w:r>
      <w:r w:rsidR="001E3995" w:rsidRPr="001E3995">
        <w:t xml:space="preserve"> </w:t>
      </w:r>
      <w:r w:rsidR="001E3995" w:rsidRPr="001E3995">
        <w:rPr>
          <w:i/>
        </w:rPr>
        <w:t>Columbia Pictures Television, Inc</w:t>
      </w:r>
      <w:r w:rsidRPr="001E3995">
        <w:t>.,</w:t>
      </w:r>
      <w:r w:rsidR="001E3995" w:rsidRPr="001E3995">
        <w:rPr>
          <w:vertAlign w:val="superscript"/>
        </w:rPr>
        <w:footnoteReference w:id="174"/>
      </w:r>
      <w:r w:rsidRPr="001E3995">
        <w:t xml:space="preserve"> that the Seventh Amendment preserves the right to a jury trial on the computation of statutory damages under Section 504(c) of the Copyright Act.</w:t>
      </w:r>
      <w:r w:rsidR="001E3995" w:rsidRPr="001E3995">
        <w:rPr>
          <w:vertAlign w:val="superscript"/>
        </w:rPr>
        <w:footnoteReference w:id="175"/>
      </w:r>
      <w:r w:rsidRPr="001E3995">
        <w:t xml:space="preserve"> The language of Section 504(c) strongly indicated that the </w:t>
      </w:r>
      <w:r w:rsidR="001E3995" w:rsidRPr="001E3995">
        <w:rPr>
          <w:i/>
        </w:rPr>
        <w:t>court</w:t>
      </w:r>
      <w:r w:rsidRPr="001E3995">
        <w:t xml:space="preserve"> (i.e., a judge), not a jury, was to make the computation.</w:t>
      </w:r>
      <w:r w:rsidR="001E3995" w:rsidRPr="001E3995">
        <w:rPr>
          <w:vertAlign w:val="superscript"/>
        </w:rPr>
        <w:footnoteReference w:id="176"/>
      </w:r>
      <w:r w:rsidRPr="001E3995">
        <w:t xml:space="preserve"> Indeed, the Court found that Congress did not intend to grant a jury trial for Section 504(c) computations.</w:t>
      </w:r>
      <w:r w:rsidR="001E3995" w:rsidRPr="001E3995">
        <w:rPr>
          <w:vertAlign w:val="superscript"/>
        </w:rPr>
        <w:footnoteReference w:id="177"/>
      </w:r>
      <w:r w:rsidRPr="001E3995">
        <w:t xml:space="preserve"> Nevertheless, the Court held that the Seventh Amendment required a right to a jury trial</w:t>
      </w:r>
      <w:r w:rsidR="001E3995" w:rsidRPr="001E3995">
        <w:t>.</w:t>
      </w:r>
      <w:r w:rsidR="001E3995" w:rsidRPr="001E3995">
        <w:t xml:space="preserve"> </w:t>
      </w:r>
      <w:r w:rsidR="001E3995" w:rsidRPr="001E3995">
        <w:t>T</w:t>
      </w:r>
      <w:r w:rsidRPr="001E3995">
        <w:t>he Court traced the history of analogous claims, particularly under English and colonial American copyright statutes,</w:t>
      </w:r>
      <w:r w:rsidR="001E3995" w:rsidRPr="001E3995">
        <w:rPr>
          <w:vertAlign w:val="superscript"/>
        </w:rPr>
        <w:footnoteReference w:id="178"/>
      </w:r>
      <w:r w:rsidRPr="001E3995">
        <w:t xml:space="preserve"> concluding that similar actions historically were tried to a jury.</w:t>
      </w:r>
      <w:r w:rsidR="001E3995" w:rsidRPr="001E3995">
        <w:rPr>
          <w:vertAlign w:val="superscript"/>
        </w:rPr>
        <w:footnoteReference w:id="179"/>
      </w:r>
    </w:p>
    <w:p w14:paraId="32A51FF3" w14:textId="09CC98B5" w:rsidR="001E3995" w:rsidRPr="001E3995" w:rsidRDefault="001E3995" w:rsidP="001E3995">
      <w:pPr>
        <w:pStyle w:val="BNormal"/>
      </w:pPr>
      <w:r w:rsidRPr="001E3995">
        <w:rPr>
          <w:i/>
        </w:rPr>
        <w:t>Feltner</w:t>
      </w:r>
      <w:r w:rsidR="00CA1E43" w:rsidRPr="001E3995">
        <w:t xml:space="preserve"> appears to support </w:t>
      </w:r>
      <w:proofErr w:type="gramStart"/>
      <w:r w:rsidR="00CA1E43" w:rsidRPr="001E3995">
        <w:t>a right</w:t>
      </w:r>
      <w:proofErr w:type="gramEnd"/>
      <w:r w:rsidR="00CA1E43" w:rsidRPr="001E3995">
        <w:t xml:space="preserve"> to jury trial where damages are sought under the TDRA</w:t>
      </w:r>
      <w:r w:rsidRPr="001E3995">
        <w:t>.</w:t>
      </w:r>
      <w:r w:rsidRPr="001E3995">
        <w:t xml:space="preserve"> </w:t>
      </w:r>
      <w:r w:rsidRPr="001E3995">
        <w:t>A</w:t>
      </w:r>
      <w:r w:rsidR="00CA1E43" w:rsidRPr="001E3995">
        <w:t xml:space="preserve">s in </w:t>
      </w:r>
      <w:r w:rsidRPr="001E3995">
        <w:rPr>
          <w:i/>
        </w:rPr>
        <w:t>Feltner</w:t>
      </w:r>
      <w:r w:rsidR="00CA1E43" w:rsidRPr="001E3995">
        <w:t>, the statutory language strongly favors a decision by a judge, not a jury</w:t>
      </w:r>
      <w:r w:rsidRPr="001E3995">
        <w:t>.</w:t>
      </w:r>
      <w:r w:rsidRPr="001E3995">
        <w:t xml:space="preserve"> </w:t>
      </w:r>
      <w:r w:rsidRPr="001E3995">
        <w:t>S</w:t>
      </w:r>
      <w:r w:rsidR="00CA1E43" w:rsidRPr="001E3995">
        <w:t xml:space="preserve">ection 35(a) contains several references to assessments being made by “the court.” Section 43(c)(2) makes </w:t>
      </w:r>
      <w:proofErr w:type="spellStart"/>
      <w:r w:rsidR="00CA1E43" w:rsidRPr="001E3995">
        <w:t>noninjunctive</w:t>
      </w:r>
      <w:proofErr w:type="spellEnd"/>
      <w:r w:rsidR="00CA1E43" w:rsidRPr="001E3995">
        <w:t xml:space="preserve"> remedies “subject to the discretion of the court</w:t>
      </w:r>
      <w:r w:rsidRPr="001E3995">
        <w:t>.</w:t>
      </w:r>
      <w:r w:rsidRPr="001E3995">
        <w:t xml:space="preserve"> </w:t>
      </w:r>
      <w:r w:rsidRPr="001E3995">
        <w:t>…</w:t>
      </w:r>
      <w:r w:rsidR="00CA1E43" w:rsidRPr="001E3995">
        <w:t>” It appears likely that Congress did not intend FTDA or TDRA cases to be tried to a jury</w:t>
      </w:r>
      <w:r w:rsidRPr="001E3995">
        <w:t>.</w:t>
      </w:r>
      <w:r w:rsidRPr="001E3995">
        <w:t xml:space="preserve"> </w:t>
      </w:r>
      <w:r w:rsidRPr="001E3995">
        <w:t>B</w:t>
      </w:r>
      <w:r w:rsidR="00CA1E43" w:rsidRPr="001E3995">
        <w:t xml:space="preserve">ut </w:t>
      </w:r>
      <w:r w:rsidRPr="001E3995">
        <w:rPr>
          <w:i/>
        </w:rPr>
        <w:t>Feltner</w:t>
      </w:r>
      <w:r w:rsidR="00CA1E43" w:rsidRPr="001E3995">
        <w:t xml:space="preserve"> makes clear that such language is not </w:t>
      </w:r>
      <w:proofErr w:type="gramStart"/>
      <w:r w:rsidR="00CA1E43" w:rsidRPr="001E3995">
        <w:t>controlling</w:t>
      </w:r>
      <w:proofErr w:type="gramEnd"/>
      <w:r w:rsidR="00CA1E43" w:rsidRPr="001E3995">
        <w:t xml:space="preserve"> in the Seventh Amendment analysis.</w:t>
      </w:r>
    </w:p>
    <w:p w14:paraId="163BB6BB" w14:textId="055663A8" w:rsidR="001E3995" w:rsidRPr="001E3995" w:rsidRDefault="00CA1E43" w:rsidP="001E3995">
      <w:pPr>
        <w:pStyle w:val="BNormal"/>
      </w:pPr>
      <w:r w:rsidRPr="001E3995">
        <w:t xml:space="preserve">On the other hand, </w:t>
      </w:r>
      <w:r w:rsidR="001E3995" w:rsidRPr="001E3995">
        <w:rPr>
          <w:i/>
        </w:rPr>
        <w:t>Feltner</w:t>
      </w:r>
      <w:r w:rsidRPr="001E3995">
        <w:t xml:space="preserve"> contains some language that points in a different direction</w:t>
      </w:r>
      <w:r w:rsidR="001E3995" w:rsidRPr="001E3995">
        <w:t>.</w:t>
      </w:r>
      <w:r w:rsidR="001E3995" w:rsidRPr="001E3995">
        <w:t xml:space="preserve"> </w:t>
      </w:r>
      <w:r w:rsidR="001E3995" w:rsidRPr="001E3995">
        <w:t>M</w:t>
      </w:r>
      <w:r w:rsidRPr="001E3995">
        <w:t>ost notably, the Court discussed the fact that the defendant had not attempted to analogize statutory damages under the Copyright Act to historically equitable actions, “such as actions for disgorgement of improper profits.”</w:t>
      </w:r>
      <w:r w:rsidR="001E3995" w:rsidRPr="001E3995">
        <w:rPr>
          <w:vertAlign w:val="superscript"/>
        </w:rPr>
        <w:footnoteReference w:id="180"/>
      </w:r>
      <w:r w:rsidRPr="001E3995">
        <w:t xml:space="preserve"> Since many TDRA damages claims will request the defendant’s profits, such claims may be deemed equitable</w:t>
      </w:r>
      <w:r w:rsidR="001E3995" w:rsidRPr="001E3995">
        <w:t>.</w:t>
      </w:r>
      <w:r w:rsidR="001E3995" w:rsidRPr="001E3995">
        <w:t xml:space="preserve"> </w:t>
      </w:r>
      <w:r w:rsidR="001E3995" w:rsidRPr="001E3995">
        <w:t>M</w:t>
      </w:r>
      <w:r w:rsidRPr="001E3995">
        <w:t>oreover, the language of both Section 35(a) and Section 43(c)(5), interposing the “principles of equity,” may convince the court that these claims are not truly analogous to historically legal actions</w:t>
      </w:r>
      <w:r w:rsidR="001E3995" w:rsidRPr="001E3995">
        <w:t>.</w:t>
      </w:r>
      <w:r w:rsidR="001E3995" w:rsidRPr="001E3995">
        <w:t xml:space="preserve"> </w:t>
      </w:r>
      <w:r w:rsidR="001E3995" w:rsidRPr="001E3995">
        <w:t>F</w:t>
      </w:r>
      <w:r w:rsidRPr="001E3995">
        <w:t>inally, it may be argued that a dilution claim was not part of a traditional unfair competition claim under the common law, and thus it is not analogous to common-law unfair competition claims for jury trial purposes</w:t>
      </w:r>
      <w:r w:rsidR="001E3995" w:rsidRPr="001E3995">
        <w:t>.</w:t>
      </w:r>
      <w:r w:rsidR="001E3995" w:rsidRPr="001E3995">
        <w:t xml:space="preserve"> </w:t>
      </w:r>
      <w:r w:rsidR="001E3995" w:rsidRPr="001E3995">
        <w:t>I</w:t>
      </w:r>
      <w:r w:rsidRPr="001E3995">
        <w:t>ndeed, it may be argued that dilution is a relatively recent phenomenon, almost entirely a creature of statute, and that historical analogies therefore do not provide proper guidance as to whether dilution claims are legal or equitable</w:t>
      </w:r>
      <w:r w:rsidR="001E3995" w:rsidRPr="001E3995">
        <w:t>.</w:t>
      </w:r>
      <w:r w:rsidR="001E3995" w:rsidRPr="001E3995">
        <w:t xml:space="preserve"> </w:t>
      </w:r>
      <w:r w:rsidR="001E3995" w:rsidRPr="001E3995">
        <w:t>T</w:t>
      </w:r>
      <w:r w:rsidRPr="001E3995">
        <w:t xml:space="preserve">he major objection to this argument is that </w:t>
      </w:r>
      <w:r w:rsidR="001E3995" w:rsidRPr="001E3995">
        <w:rPr>
          <w:i/>
        </w:rPr>
        <w:t>some</w:t>
      </w:r>
      <w:r w:rsidRPr="001E3995">
        <w:t xml:space="preserve"> older cases seemed to recognize claims that are roughly analogous to dilution.</w:t>
      </w:r>
      <w:r w:rsidR="001E3995" w:rsidRPr="001E3995">
        <w:rPr>
          <w:vertAlign w:val="superscript"/>
        </w:rPr>
        <w:footnoteReference w:id="181"/>
      </w:r>
      <w:r w:rsidRPr="001E3995">
        <w:t xml:space="preserve"> Of course, if other forms of </w:t>
      </w:r>
      <w:proofErr w:type="gramStart"/>
      <w:r w:rsidRPr="001E3995">
        <w:t>damages</w:t>
      </w:r>
      <w:proofErr w:type="gramEnd"/>
      <w:r w:rsidRPr="001E3995">
        <w:t xml:space="preserve"> were </w:t>
      </w:r>
      <w:proofErr w:type="gramStart"/>
      <w:r w:rsidRPr="001E3995">
        <w:t>requested—</w:t>
      </w:r>
      <w:proofErr w:type="gramEnd"/>
      <w:r w:rsidRPr="001E3995">
        <w:t xml:space="preserve">particularly possible in suits between </w:t>
      </w:r>
      <w:r w:rsidRPr="001E3995">
        <w:lastRenderedPageBreak/>
        <w:t>competitors—then a jury trial probably would be warranted.</w:t>
      </w:r>
      <w:r w:rsidR="001E3995" w:rsidRPr="001E3995">
        <w:rPr>
          <w:vertAlign w:val="superscript"/>
        </w:rPr>
        <w:footnoteReference w:id="182"/>
      </w:r>
    </w:p>
    <w:p w14:paraId="5BC2849B" w14:textId="2B8D740A" w:rsidR="001E3995" w:rsidRPr="001E3995" w:rsidRDefault="00CA1E43" w:rsidP="001E3995">
      <w:pPr>
        <w:pStyle w:val="BNormal"/>
      </w:pPr>
      <w:r w:rsidRPr="001E3995">
        <w:t>Although several district courts have discussed this issue in the context of trademark infringement, only a few have considered it in a case that included a claim under the FTDA or TDRA.</w:t>
      </w:r>
      <w:r w:rsidR="001E3995" w:rsidRPr="001E3995">
        <w:rPr>
          <w:vertAlign w:val="superscript"/>
        </w:rPr>
        <w:footnoteReference w:id="183"/>
      </w:r>
      <w:r w:rsidRPr="001E3995">
        <w:t xml:space="preserve"> In </w:t>
      </w:r>
      <w:proofErr w:type="spellStart"/>
      <w:r w:rsidR="001E3995" w:rsidRPr="001E3995">
        <w:rPr>
          <w:i/>
        </w:rPr>
        <w:t>Empresa</w:t>
      </w:r>
      <w:proofErr w:type="spellEnd"/>
      <w:r w:rsidRPr="001E3995">
        <w:t>, the district court considered whether a claim for disgorgement of profits was legal or equitable</w:t>
      </w:r>
      <w:r w:rsidR="001E3995" w:rsidRPr="001E3995">
        <w:t>.</w:t>
      </w:r>
      <w:r w:rsidR="001E3995" w:rsidRPr="001E3995">
        <w:t xml:space="preserve"> </w:t>
      </w:r>
      <w:r w:rsidR="001E3995" w:rsidRPr="001E3995">
        <w:t>A</w:t>
      </w:r>
      <w:r w:rsidRPr="001E3995">
        <w:t xml:space="preserve">pplying the Second Circuit’s decision in </w:t>
      </w:r>
      <w:r w:rsidR="001E3995" w:rsidRPr="001E3995">
        <w:rPr>
          <w:i/>
        </w:rPr>
        <w:t>George Basch Co</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Blue Coral, Inc</w:t>
      </w:r>
      <w:r w:rsidRPr="001E3995">
        <w:t>.,</w:t>
      </w:r>
      <w:r w:rsidR="001E3995" w:rsidRPr="001E3995">
        <w:rPr>
          <w:vertAlign w:val="superscript"/>
        </w:rPr>
        <w:footnoteReference w:id="184"/>
      </w:r>
      <w:r w:rsidRPr="001E3995">
        <w:t xml:space="preserve"> the court distinguished a claim for profits representing unjust enrichment from a claim for profits awarded as a rough substitute for compensatory damages.</w:t>
      </w:r>
      <w:r w:rsidR="001E3995" w:rsidRPr="001E3995">
        <w:rPr>
          <w:vertAlign w:val="superscript"/>
        </w:rPr>
        <w:footnoteReference w:id="185"/>
      </w:r>
      <w:r w:rsidRPr="001E3995">
        <w:t xml:space="preserve"> The claim in </w:t>
      </w:r>
      <w:proofErr w:type="spellStart"/>
      <w:r w:rsidR="001E3995" w:rsidRPr="001E3995">
        <w:rPr>
          <w:i/>
        </w:rPr>
        <w:t>Empresa</w:t>
      </w:r>
      <w:proofErr w:type="spellEnd"/>
      <w:r w:rsidRPr="001E3995">
        <w:t xml:space="preserve"> was said to be for unjust enrichment because the plaintiff and the defendant did not compete.</w:t>
      </w:r>
      <w:r w:rsidR="001E3995" w:rsidRPr="001E3995">
        <w:rPr>
          <w:vertAlign w:val="superscript"/>
        </w:rPr>
        <w:footnoteReference w:id="186"/>
      </w:r>
      <w:r w:rsidRPr="001E3995">
        <w:t xml:space="preserve"> The court further held that </w:t>
      </w:r>
      <w:r w:rsidR="001E3995" w:rsidRPr="001E3995">
        <w:rPr>
          <w:i/>
        </w:rPr>
        <w:t>Dairy Queen</w:t>
      </w:r>
      <w:r w:rsidRPr="001E3995">
        <w:t xml:space="preserve"> did not change this result, because the suit in </w:t>
      </w:r>
      <w:proofErr w:type="spellStart"/>
      <w:r w:rsidR="001E3995" w:rsidRPr="001E3995">
        <w:rPr>
          <w:i/>
        </w:rPr>
        <w:t>Empresa</w:t>
      </w:r>
      <w:proofErr w:type="spellEnd"/>
      <w:r w:rsidRPr="001E3995">
        <w:t xml:space="preserve"> did not include any claims that were historically legal in nature.</w:t>
      </w:r>
      <w:r w:rsidR="001E3995" w:rsidRPr="001E3995">
        <w:rPr>
          <w:vertAlign w:val="superscript"/>
        </w:rPr>
        <w:footnoteReference w:id="187"/>
      </w:r>
      <w:r w:rsidRPr="001E3995">
        <w:t xml:space="preserve"> Turning specifically to the dilution claim, the court noted that, in the absence of compensatory damages, the only monetary claims would be equitable in nature.</w:t>
      </w:r>
      <w:r w:rsidR="001E3995" w:rsidRPr="001E3995">
        <w:rPr>
          <w:vertAlign w:val="superscript"/>
        </w:rPr>
        <w:footnoteReference w:id="188"/>
      </w:r>
    </w:p>
    <w:p w14:paraId="74CF316C" w14:textId="3C1FE990" w:rsidR="001E3995" w:rsidRPr="001E3995" w:rsidRDefault="00CA1E43" w:rsidP="001E3995">
      <w:pPr>
        <w:pStyle w:val="BNormal"/>
      </w:pPr>
      <w:r w:rsidRPr="001E3995">
        <w:t xml:space="preserve">In </w:t>
      </w:r>
      <w:r w:rsidR="001E3995" w:rsidRPr="001E3995">
        <w:rPr>
          <w:i/>
        </w:rPr>
        <w:t>Ringling</w:t>
      </w:r>
      <w:r w:rsidRPr="001E3995">
        <w:t>, the district court also found no right to a jury trial, primarily because it granted summary judgment to the defendant on the issue of willful intent.</w:t>
      </w:r>
      <w:r w:rsidR="001E3995" w:rsidRPr="001E3995">
        <w:rPr>
          <w:vertAlign w:val="superscript"/>
        </w:rPr>
        <w:footnoteReference w:id="189"/>
      </w:r>
      <w:r w:rsidRPr="001E3995">
        <w:t xml:space="preserve"> Because willful intent is the prerequisite for damages, the plaintiff was left with no claim for which a jury trial could be requested</w:t>
      </w:r>
      <w:r w:rsidR="001E3995" w:rsidRPr="001E3995">
        <w:t>.</w:t>
      </w:r>
      <w:r w:rsidR="001E3995" w:rsidRPr="001E3995">
        <w:t xml:space="preserve"> </w:t>
      </w:r>
      <w:r w:rsidR="001E3995" w:rsidRPr="001E3995">
        <w:t>P</w:t>
      </w:r>
      <w:r w:rsidRPr="001E3995">
        <w:t>rior to discussing intent, however, the court also discussed some general principles governing jury trials in dilution cases.</w:t>
      </w:r>
      <w:r w:rsidR="001E3995" w:rsidRPr="001E3995">
        <w:rPr>
          <w:vertAlign w:val="superscript"/>
        </w:rPr>
        <w:footnoteReference w:id="190"/>
      </w:r>
      <w:r w:rsidRPr="001E3995">
        <w:t xml:space="preserve"> It noted that although dilution, as a claim resembling a property right, looked somewhat “legal” in nature, the need to balance various factors made it look like an equitable claim.</w:t>
      </w:r>
      <w:r w:rsidR="001E3995" w:rsidRPr="001E3995">
        <w:rPr>
          <w:vertAlign w:val="superscript"/>
        </w:rPr>
        <w:footnoteReference w:id="191"/>
      </w:r>
      <w:r w:rsidRPr="001E3995">
        <w:t xml:space="preserve"> It also argued, as did the court in </w:t>
      </w:r>
      <w:proofErr w:type="spellStart"/>
      <w:r w:rsidR="001E3995" w:rsidRPr="001E3995">
        <w:rPr>
          <w:i/>
        </w:rPr>
        <w:t>Empresa</w:t>
      </w:r>
      <w:proofErr w:type="spellEnd"/>
      <w:r w:rsidRPr="001E3995">
        <w:t>, that the likely remedies (disgorgement of profits and destruction of infringing materials) would be equitable.</w:t>
      </w:r>
      <w:r w:rsidR="001E3995" w:rsidRPr="001E3995">
        <w:rPr>
          <w:vertAlign w:val="superscript"/>
        </w:rPr>
        <w:footnoteReference w:id="192"/>
      </w:r>
    </w:p>
    <w:p w14:paraId="0624AB18" w14:textId="2E4E77C9" w:rsidR="001E3995" w:rsidRPr="001E3995" w:rsidRDefault="00CA1E43" w:rsidP="001E3995">
      <w:pPr>
        <w:pStyle w:val="BNormal"/>
      </w:pPr>
      <w:r w:rsidRPr="001E3995">
        <w:t xml:space="preserve">However, in </w:t>
      </w:r>
      <w:r w:rsidR="001E3995" w:rsidRPr="001E3995">
        <w:rPr>
          <w:i/>
        </w:rPr>
        <w:t>Libbey Glass,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Oneida, Ltd</w:t>
      </w:r>
      <w:r w:rsidRPr="001E3995">
        <w:t>.,</w:t>
      </w:r>
      <w:r w:rsidR="001E3995" w:rsidRPr="001E3995">
        <w:rPr>
          <w:vertAlign w:val="superscript"/>
        </w:rPr>
        <w:footnoteReference w:id="193"/>
      </w:r>
      <w:r w:rsidRPr="001E3995">
        <w:t xml:space="preserve"> the court held that claims for profits were not equitable and carried with them a right to a jury trial.</w:t>
      </w:r>
      <w:r w:rsidR="001E3995" w:rsidRPr="001E3995">
        <w:rPr>
          <w:vertAlign w:val="superscript"/>
        </w:rPr>
        <w:footnoteReference w:id="194"/>
      </w:r>
      <w:r w:rsidRPr="001E3995">
        <w:t xml:space="preserve"> The court did not explain its decision in detail, but it appeared to believe that the </w:t>
      </w:r>
      <w:r w:rsidR="001E3995" w:rsidRPr="001E3995">
        <w:rPr>
          <w:i/>
        </w:rPr>
        <w:t>Dairy Queen</w:t>
      </w:r>
      <w:r w:rsidRPr="001E3995">
        <w:t xml:space="preserve"> decision mandated its finding.</w:t>
      </w:r>
      <w:r w:rsidR="001E3995" w:rsidRPr="001E3995">
        <w:rPr>
          <w:vertAlign w:val="superscript"/>
        </w:rPr>
        <w:footnoteReference w:id="195"/>
      </w:r>
    </w:p>
    <w:p w14:paraId="5587CC61" w14:textId="6FF1E406" w:rsidR="001E3995" w:rsidRPr="001E3995" w:rsidRDefault="00CA1E43" w:rsidP="001E3995">
      <w:pPr>
        <w:pStyle w:val="BNormal"/>
      </w:pPr>
      <w:r w:rsidRPr="001E3995">
        <w:t xml:space="preserve">In a more recent copyright case, the Supreme Court indicated that, at least under some circumstances, </w:t>
      </w:r>
      <w:r w:rsidRPr="001E3995">
        <w:lastRenderedPageBreak/>
        <w:t>disgorgement of profits may be considered an equitable remedy.</w:t>
      </w:r>
      <w:r w:rsidR="001E3995" w:rsidRPr="001E3995">
        <w:rPr>
          <w:vertAlign w:val="superscript"/>
        </w:rPr>
        <w:footnoteReference w:id="196"/>
      </w:r>
      <w:r w:rsidRPr="001E3995">
        <w:t xml:space="preserve"> That would tend to support the possibility that a jury trial is not required</w:t>
      </w:r>
      <w:r w:rsidR="001E3995" w:rsidRPr="001E3995">
        <w:t>.</w:t>
      </w:r>
      <w:r w:rsidR="001E3995" w:rsidRPr="001E3995">
        <w:t xml:space="preserve"> </w:t>
      </w:r>
      <w:r w:rsidR="001E3995" w:rsidRPr="001E3995">
        <w:t>H</w:t>
      </w:r>
      <w:r w:rsidRPr="001E3995">
        <w:t>owever, the Court’s opinion did not discuss the issue in the context of a right to a jury trial</w:t>
      </w:r>
      <w:r w:rsidR="001E3995" w:rsidRPr="001E3995">
        <w:t>.</w:t>
      </w:r>
      <w:r w:rsidR="001E3995" w:rsidRPr="001E3995">
        <w:t xml:space="preserve"> </w:t>
      </w:r>
      <w:r w:rsidR="001E3995" w:rsidRPr="001E3995">
        <w:t>I</w:t>
      </w:r>
      <w:r w:rsidRPr="001E3995">
        <w:t>n addition, the Ninth Circuit has specifically upheld a judge’s determination of a profits award in a trademark case against a Seventh Amendment challenge.</w:t>
      </w:r>
      <w:r w:rsidR="001E3995" w:rsidRPr="001E3995">
        <w:rPr>
          <w:vertAlign w:val="superscript"/>
        </w:rPr>
        <w:footnoteReference w:id="197"/>
      </w:r>
    </w:p>
    <w:p w14:paraId="21A2576E" w14:textId="60CB9DAB" w:rsidR="001E3995" w:rsidRPr="001E3995" w:rsidRDefault="00CA1E43" w:rsidP="001E3995">
      <w:pPr>
        <w:pStyle w:val="BNormal"/>
      </w:pPr>
      <w:r w:rsidRPr="001E3995">
        <w:t xml:space="preserve">Although not a dilution case, in </w:t>
      </w:r>
      <w:r w:rsidR="001E3995" w:rsidRPr="001E3995">
        <w:rPr>
          <w:rStyle w:val="BCasenamefull"/>
        </w:rPr>
        <w:t xml:space="preserve">Black &amp; Decker Corp. v. </w:t>
      </w:r>
      <w:proofErr w:type="spellStart"/>
      <w:r w:rsidR="001E3995" w:rsidRPr="001E3995">
        <w:rPr>
          <w:rStyle w:val="BCasenamefull"/>
        </w:rPr>
        <w:t>Positec</w:t>
      </w:r>
      <w:proofErr w:type="spellEnd"/>
      <w:r w:rsidR="001E3995" w:rsidRPr="001E3995">
        <w:rPr>
          <w:rStyle w:val="BCasenamefull"/>
        </w:rPr>
        <w:t xml:space="preserve"> USA, Inc.,</w:t>
      </w:r>
      <w:r w:rsidRPr="001E3995">
        <w:t xml:space="preserve"> the district court addressed the issue of jury trials in cases claiming disgorgement.</w:t>
      </w:r>
      <w:r w:rsidR="001E3995" w:rsidRPr="001E3995">
        <w:rPr>
          <w:vertAlign w:val="superscript"/>
        </w:rPr>
        <w:footnoteReference w:id="198"/>
      </w:r>
      <w:r w:rsidRPr="001E3995">
        <w:t xml:space="preserve"> The court concluded that, at least where profits acted as a proxy for damages, a jury trial was required.</w:t>
      </w:r>
      <w:r w:rsidR="001E3995" w:rsidRPr="001E3995">
        <w:rPr>
          <w:vertAlign w:val="superscript"/>
        </w:rPr>
        <w:footnoteReference w:id="199"/>
      </w:r>
    </w:p>
    <w:p w14:paraId="7A7EE183" w14:textId="1AC6C5FD" w:rsidR="001E3995" w:rsidRPr="001E3995" w:rsidRDefault="00CA1E43" w:rsidP="001E3995">
      <w:pPr>
        <w:pStyle w:val="BNormal"/>
      </w:pPr>
      <w:r w:rsidRPr="001E3995">
        <w:t>It is worth noting that the existence of a right to a jury trial does not preclude the issuance of a preliminary injunction by the court.</w:t>
      </w:r>
      <w:r w:rsidR="001E3995" w:rsidRPr="001E3995">
        <w:rPr>
          <w:vertAlign w:val="superscript"/>
        </w:rPr>
        <w:footnoteReference w:id="200"/>
      </w:r>
      <w:r w:rsidRPr="001E3995">
        <w:t xml:space="preserve"> If there are other claims that carry a right to a jury trial, then a jury trial must be held</w:t>
      </w:r>
      <w:r w:rsidR="001E3995" w:rsidRPr="001E3995">
        <w:t>.</w:t>
      </w:r>
      <w:r w:rsidR="001E3995" w:rsidRPr="001E3995">
        <w:t xml:space="preserve"> </w:t>
      </w:r>
      <w:r w:rsidR="001E3995" w:rsidRPr="001E3995">
        <w:t>I</w:t>
      </w:r>
      <w:r w:rsidRPr="001E3995">
        <w:t>n such a case, even if the dilution claim does not carry a right to a jury trial, the court may use the jury in an advisory capacity, while reserving the ultimate findings of fact to itself.</w:t>
      </w:r>
      <w:r w:rsidR="001E3995" w:rsidRPr="001E3995">
        <w:rPr>
          <w:vertAlign w:val="superscript"/>
        </w:rPr>
        <w:footnoteReference w:id="201"/>
      </w:r>
    </w:p>
    <w:p w14:paraId="074E1BFF" w14:textId="1C4E245E" w:rsidR="001E3995" w:rsidRPr="001E3995" w:rsidRDefault="00CA1E43" w:rsidP="001E3995">
      <w:pPr>
        <w:pStyle w:val="BNormal"/>
      </w:pPr>
      <w:r w:rsidRPr="001E3995">
        <w:t xml:space="preserve">Overall, the cases are less than </w:t>
      </w:r>
      <w:proofErr w:type="gramStart"/>
      <w:r w:rsidRPr="001E3995">
        <w:t>clear about</w:t>
      </w:r>
      <w:proofErr w:type="gramEnd"/>
      <w:r w:rsidRPr="001E3995">
        <w:t xml:space="preserve"> when a jury trial is required</w:t>
      </w:r>
      <w:r w:rsidR="001E3995" w:rsidRPr="001E3995">
        <w:t>.</w:t>
      </w:r>
      <w:r w:rsidR="001E3995" w:rsidRPr="001E3995">
        <w:t xml:space="preserve"> </w:t>
      </w:r>
      <w:r w:rsidR="001E3995" w:rsidRPr="001E3995">
        <w:t>H</w:t>
      </w:r>
      <w:r w:rsidRPr="001E3995">
        <w:t>owever, the lack of clarity plus the easier availability of damages in infringement cases (where no willful intent is required) make it likely that dilution cases will sometimes be tried to a jury, either alone or in combination with infringement cases.</w:t>
      </w:r>
      <w:r w:rsidR="001E3995" w:rsidRPr="001E3995">
        <w:rPr>
          <w:vertAlign w:val="superscript"/>
        </w:rPr>
        <w:footnoteReference w:id="202"/>
      </w:r>
    </w:p>
    <w:p w14:paraId="0E470DC7" w14:textId="5078A5DB" w:rsidR="001E3995" w:rsidRPr="001E3995" w:rsidRDefault="001E3995" w:rsidP="001E3995">
      <w:pPr>
        <w:pStyle w:val="BHead2"/>
      </w:pPr>
      <w:r>
        <w:t>12.VI.</w:t>
      </w:r>
      <w:r w:rsidRPr="001E3995">
        <w:rPr>
          <w:rStyle w:val="BBNAidChar"/>
          <w:rFonts w:eastAsiaTheme="majorEastAsia"/>
        </w:rPr>
        <w:t>B</w:t>
      </w:r>
      <w:r w:rsidRPr="001E3995">
        <w:t>.</w:t>
      </w:r>
      <w:r>
        <w:t> </w:t>
      </w:r>
      <w:r w:rsidRPr="001E3995">
        <w:tab/>
        <w:t>Jury Trials Only Available if Willfulness Exists</w:t>
      </w:r>
    </w:p>
    <w:p w14:paraId="57A91B15" w14:textId="7E6C8CB3" w:rsidR="001E3995" w:rsidRPr="001E3995" w:rsidRDefault="00CA1E43" w:rsidP="001E3995">
      <w:pPr>
        <w:pStyle w:val="BNormal"/>
      </w:pPr>
      <w:r w:rsidRPr="001E3995">
        <w:t>Even if a jury trial may be demanded in a dilution claim, that right will exist only in a limited number of cases</w:t>
      </w:r>
      <w:r w:rsidR="001E3995" w:rsidRPr="001E3995">
        <w:t>.</w:t>
      </w:r>
      <w:r w:rsidR="001E3995" w:rsidRPr="001E3995">
        <w:t xml:space="preserve"> </w:t>
      </w:r>
      <w:r w:rsidR="001E3995" w:rsidRPr="001E3995">
        <w:t>A</w:t>
      </w:r>
      <w:r w:rsidRPr="001E3995">
        <w:t>s discussed above, the usual remedy under the TDRA is an injunction.</w:t>
      </w:r>
      <w:r w:rsidR="001E3995" w:rsidRPr="001E3995">
        <w:rPr>
          <w:vertAlign w:val="superscript"/>
        </w:rPr>
        <w:footnoteReference w:id="203"/>
      </w:r>
      <w:r w:rsidRPr="001E3995">
        <w:t xml:space="preserve"> Damages can be obtained only where willful acts of dilution are shown</w:t>
      </w:r>
      <w:r w:rsidR="001E3995" w:rsidRPr="001E3995">
        <w:t>.</w:t>
      </w:r>
      <w:r w:rsidR="001E3995" w:rsidRPr="001E3995">
        <w:t xml:space="preserve"> </w:t>
      </w:r>
      <w:r w:rsidR="001E3995" w:rsidRPr="001E3995">
        <w:t>T</w:t>
      </w:r>
      <w:r w:rsidRPr="001E3995">
        <w:t>hus, where the defendant fails to demonstrate that a triable issue exists on the existence of willful intent, no damages are available, and no jury trial right attaches.</w:t>
      </w:r>
      <w:r w:rsidR="001E3995" w:rsidRPr="001E3995">
        <w:rPr>
          <w:vertAlign w:val="superscript"/>
        </w:rPr>
        <w:footnoteReference w:id="204"/>
      </w:r>
      <w:r w:rsidRPr="001E3995">
        <w:t xml:space="preserve"> Even if the monetary claim is not dismissed until the trial is underway, the court can strike a demand for a jury trial once it is clear that monetary damages are not recoverable.</w:t>
      </w:r>
      <w:r w:rsidR="001E3995" w:rsidRPr="001E3995">
        <w:rPr>
          <w:vertAlign w:val="superscript"/>
        </w:rPr>
        <w:footnoteReference w:id="205"/>
      </w:r>
    </w:p>
    <w:p w14:paraId="23B6E0AA" w14:textId="7E71820B" w:rsidR="001E3995" w:rsidRPr="001E3995" w:rsidRDefault="00CA1E43" w:rsidP="001E3995">
      <w:pPr>
        <w:pStyle w:val="BNormal"/>
      </w:pPr>
      <w:r w:rsidRPr="001E3995">
        <w:t xml:space="preserve">The first case to discuss this issue under the FTDA, </w:t>
      </w:r>
      <w:r w:rsidR="001E3995" w:rsidRPr="001E3995">
        <w:rPr>
          <w:i/>
        </w:rPr>
        <w:t>Ringling Brothers-Barnum &amp; Bailey Combined Shows,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Utah Division of Travel Development</w:t>
      </w:r>
      <w:r w:rsidRPr="001E3995">
        <w:t>,</w:t>
      </w:r>
      <w:r w:rsidR="001E3995" w:rsidRPr="001E3995">
        <w:rPr>
          <w:vertAlign w:val="superscript"/>
        </w:rPr>
        <w:footnoteReference w:id="206"/>
      </w:r>
      <w:r w:rsidRPr="001E3995">
        <w:t xml:space="preserve"> came to this conclusion</w:t>
      </w:r>
      <w:r w:rsidR="001E3995" w:rsidRPr="001E3995">
        <w:t>.</w:t>
      </w:r>
      <w:r w:rsidR="001E3995" w:rsidRPr="001E3995">
        <w:t xml:space="preserve"> </w:t>
      </w:r>
      <w:r w:rsidR="001E3995" w:rsidRPr="001E3995">
        <w:t>G</w:t>
      </w:r>
      <w:r w:rsidRPr="001E3995">
        <w:t>ranting summary judgment to the defendant on the issue of willful intent, the district court held that no right to a jury trial existed without such intent.</w:t>
      </w:r>
      <w:r w:rsidR="001E3995" w:rsidRPr="001E3995">
        <w:rPr>
          <w:vertAlign w:val="superscript"/>
        </w:rPr>
        <w:footnoteReference w:id="207"/>
      </w:r>
    </w:p>
    <w:p w14:paraId="2775B23A" w14:textId="3F7FA2B1" w:rsidR="001E3995" w:rsidRPr="001E3995" w:rsidRDefault="001E3995" w:rsidP="001E3995">
      <w:pPr>
        <w:pStyle w:val="BHead2"/>
      </w:pPr>
      <w:r>
        <w:t>12.VI.</w:t>
      </w:r>
      <w:r w:rsidRPr="001E3995">
        <w:rPr>
          <w:rStyle w:val="BBNAidChar"/>
          <w:rFonts w:eastAsiaTheme="majorEastAsia"/>
        </w:rPr>
        <w:t>C</w:t>
      </w:r>
      <w:r w:rsidRPr="001E3995">
        <w:t>.</w:t>
      </w:r>
      <w:r>
        <w:t> </w:t>
      </w:r>
      <w:r w:rsidRPr="001E3995">
        <w:tab/>
        <w:t xml:space="preserve">Jury Trials and </w:t>
      </w:r>
      <w:proofErr w:type="spellStart"/>
      <w:r w:rsidRPr="001E3995">
        <w:t>Nondamages</w:t>
      </w:r>
      <w:proofErr w:type="spellEnd"/>
      <w:r w:rsidRPr="001E3995">
        <w:t xml:space="preserve"> Remedies</w:t>
      </w:r>
    </w:p>
    <w:p w14:paraId="34C53FDB" w14:textId="47099181" w:rsidR="001E3995" w:rsidRPr="001E3995" w:rsidRDefault="00CA1E43" w:rsidP="001E3995">
      <w:pPr>
        <w:pStyle w:val="BNormal"/>
      </w:pPr>
      <w:r w:rsidRPr="001E3995">
        <w:t>If the sole remedy available is an injunction, no jury trial right exists</w:t>
      </w:r>
      <w:r w:rsidR="001E3995" w:rsidRPr="001E3995">
        <w:t>;</w:t>
      </w:r>
      <w:r w:rsidR="001E3995" w:rsidRPr="001E3995">
        <w:t xml:space="preserve"> </w:t>
      </w:r>
      <w:r w:rsidR="001E3995" w:rsidRPr="001E3995">
        <w:t>i</w:t>
      </w:r>
      <w:r w:rsidRPr="001E3995">
        <w:t>njunctions are clearly equitable remedies for which jury trials have not historically been available.</w:t>
      </w:r>
      <w:r w:rsidR="001E3995" w:rsidRPr="001E3995">
        <w:rPr>
          <w:vertAlign w:val="superscript"/>
        </w:rPr>
        <w:footnoteReference w:id="208"/>
      </w:r>
      <w:r w:rsidRPr="001E3995">
        <w:t xml:space="preserve"> But other, </w:t>
      </w:r>
      <w:proofErr w:type="spellStart"/>
      <w:r w:rsidRPr="001E3995">
        <w:t>nondamages</w:t>
      </w:r>
      <w:proofErr w:type="spellEnd"/>
      <w:r w:rsidRPr="001E3995">
        <w:t xml:space="preserve"> remedies are available for willful violations under the TDRA—principally destruction of infringing articles,</w:t>
      </w:r>
      <w:r w:rsidR="001E3995" w:rsidRPr="001E3995">
        <w:rPr>
          <w:vertAlign w:val="superscript"/>
        </w:rPr>
        <w:footnoteReference w:id="209"/>
      </w:r>
      <w:r w:rsidRPr="001E3995">
        <w:t xml:space="preserve"> attorneys’ fees, and costs.</w:t>
      </w:r>
      <w:r w:rsidR="001E3995" w:rsidRPr="001E3995">
        <w:rPr>
          <w:vertAlign w:val="superscript"/>
        </w:rPr>
        <w:footnoteReference w:id="210"/>
      </w:r>
      <w:r w:rsidRPr="001E3995">
        <w:t xml:space="preserve"> One may fairly ask whether these other remedies would trigger a right to a jury trial, even if no damages were sought.</w:t>
      </w:r>
    </w:p>
    <w:p w14:paraId="513A5371" w14:textId="19A1E53C" w:rsidR="001E3995" w:rsidRPr="001E3995" w:rsidRDefault="00CA1E43" w:rsidP="001E3995">
      <w:pPr>
        <w:pStyle w:val="BNormal"/>
      </w:pPr>
      <w:r w:rsidRPr="001E3995">
        <w:t>The only courts discussing this issue under the FTDA or TDRA have held that these remedies do not trigger a Seventh Amendment right.</w:t>
      </w:r>
      <w:r w:rsidR="001E3995" w:rsidRPr="001E3995">
        <w:rPr>
          <w:vertAlign w:val="superscript"/>
        </w:rPr>
        <w:footnoteReference w:id="211"/>
      </w:r>
      <w:r w:rsidRPr="001E3995">
        <w:t xml:space="preserve"> Costs have been described as “incidental” to other remedies.</w:t>
      </w:r>
      <w:r w:rsidR="001E3995" w:rsidRPr="001E3995">
        <w:rPr>
          <w:vertAlign w:val="superscript"/>
        </w:rPr>
        <w:footnoteReference w:id="212"/>
      </w:r>
      <w:r w:rsidRPr="001E3995">
        <w:t xml:space="preserve"> Attorneys’ fees are similarly incidental and historically have been computed by judges, not juries.</w:t>
      </w:r>
      <w:r w:rsidR="001E3995" w:rsidRPr="001E3995">
        <w:rPr>
          <w:vertAlign w:val="superscript"/>
        </w:rPr>
        <w:footnoteReference w:id="213"/>
      </w:r>
    </w:p>
    <w:p w14:paraId="252A1F56" w14:textId="3E34E0B0" w:rsidR="001E3995" w:rsidRPr="001E3995" w:rsidRDefault="00CA1E43" w:rsidP="001E3995">
      <w:pPr>
        <w:pStyle w:val="BNormal"/>
      </w:pPr>
      <w:r w:rsidRPr="001E3995">
        <w:t>Destruction of infringing articles does not involve any computation of damages and should also be deemed equitable in nature.</w:t>
      </w:r>
      <w:r w:rsidR="001E3995" w:rsidRPr="001E3995">
        <w:rPr>
          <w:vertAlign w:val="superscript"/>
        </w:rPr>
        <w:footnoteReference w:id="214"/>
      </w:r>
    </w:p>
    <w:p w14:paraId="1EF807CB" w14:textId="1E913BDE" w:rsidR="001E3995" w:rsidRPr="001E3995" w:rsidRDefault="001E3995" w:rsidP="001E3995">
      <w:pPr>
        <w:pStyle w:val="BHead1"/>
      </w:pPr>
      <w:r>
        <w:t>12.</w:t>
      </w:r>
      <w:r w:rsidRPr="001E3995">
        <w:rPr>
          <w:rStyle w:val="BBNAidChar"/>
          <w:rFonts w:eastAsiaTheme="majorEastAsia"/>
        </w:rPr>
        <w:t>VII</w:t>
      </w:r>
      <w:r w:rsidRPr="001E3995">
        <w:t>.</w:t>
      </w:r>
      <w:r>
        <w:t xml:space="preserve">  </w:t>
      </w:r>
      <w:r w:rsidRPr="001E3995">
        <w:t>Arbitration of Dilution Claims</w:t>
      </w:r>
    </w:p>
    <w:p w14:paraId="117F2664" w14:textId="412B4659" w:rsidR="001E3995" w:rsidRPr="001E3995" w:rsidRDefault="00CA1E43" w:rsidP="001E3995">
      <w:pPr>
        <w:pStyle w:val="BNormal"/>
      </w:pPr>
      <w:r w:rsidRPr="001E3995">
        <w:t>Parties to commercial contracts frequently desire to avoid what they view as potentially costly court proceedings</w:t>
      </w:r>
      <w:r w:rsidR="001E3995" w:rsidRPr="001E3995">
        <w:t>.</w:t>
      </w:r>
      <w:r w:rsidR="001E3995" w:rsidRPr="001E3995">
        <w:t xml:space="preserve"> </w:t>
      </w:r>
      <w:r w:rsidR="001E3995" w:rsidRPr="001E3995">
        <w:t>A</w:t>
      </w:r>
      <w:r w:rsidRPr="001E3995">
        <w:t>s a result, they agree to arbitrate some or all disputes that arise from or relate to the contract</w:t>
      </w:r>
      <w:r w:rsidR="001E3995" w:rsidRPr="001E3995">
        <w:t>.</w:t>
      </w:r>
      <w:r w:rsidR="001E3995" w:rsidRPr="001E3995">
        <w:t xml:space="preserve"> </w:t>
      </w:r>
      <w:r w:rsidR="001E3995" w:rsidRPr="001E3995">
        <w:t>T</w:t>
      </w:r>
      <w:r w:rsidRPr="001E3995">
        <w:t>he Federal Arbitration Act (FAA)</w:t>
      </w:r>
      <w:r w:rsidR="001E3995" w:rsidRPr="001E3995">
        <w:rPr>
          <w:vertAlign w:val="superscript"/>
        </w:rPr>
        <w:footnoteReference w:id="215"/>
      </w:r>
      <w:r w:rsidRPr="001E3995">
        <w:t xml:space="preserve"> supports the use of arbitration, specifically directing that written agreements to arbitrate are to be deemed valid, unless grounds exist to revoke the contract.</w:t>
      </w:r>
      <w:r w:rsidR="001E3995" w:rsidRPr="001E3995">
        <w:rPr>
          <w:vertAlign w:val="superscript"/>
        </w:rPr>
        <w:footnoteReference w:id="216"/>
      </w:r>
      <w:r w:rsidRPr="001E3995">
        <w:t xml:space="preserve"> Although somewhat unusual, sometimes parties to a contract (especially a distributorship or a license agreement) can find themselves in a trademark dispute</w:t>
      </w:r>
      <w:r w:rsidR="001E3995" w:rsidRPr="001E3995">
        <w:t>.</w:t>
      </w:r>
      <w:r w:rsidR="001E3995" w:rsidRPr="001E3995">
        <w:t xml:space="preserve"> </w:t>
      </w:r>
      <w:r w:rsidR="001E3995" w:rsidRPr="001E3995">
        <w:t>S</w:t>
      </w:r>
      <w:r w:rsidRPr="001E3995">
        <w:t>uch contracts often contain arbitration clauses, leading to the question whether such clauses can remove trademark claims, including dilution claims, from the courts and put them in the hands of private arbitrators.</w:t>
      </w:r>
    </w:p>
    <w:p w14:paraId="07BDA680" w14:textId="2305AD85" w:rsidR="001E3995" w:rsidRPr="001E3995" w:rsidRDefault="00CA1E43" w:rsidP="001E3995">
      <w:pPr>
        <w:pStyle w:val="BNormal"/>
      </w:pPr>
      <w:r w:rsidRPr="001E3995">
        <w:t>Because most trademark claims are based on federal law, rather than common-law contract principles, one might think that they would not be subject to arbitration</w:t>
      </w:r>
      <w:r w:rsidR="001E3995" w:rsidRPr="001E3995">
        <w:t>.</w:t>
      </w:r>
      <w:r w:rsidR="001E3995" w:rsidRPr="001E3995">
        <w:t xml:space="preserve"> </w:t>
      </w:r>
      <w:r w:rsidR="001E3995" w:rsidRPr="001E3995">
        <w:t>H</w:t>
      </w:r>
      <w:r w:rsidRPr="001E3995">
        <w:t>owever, the FAA is not limited to supporting arbitration for contract law claims</w:t>
      </w:r>
      <w:r w:rsidR="001E3995" w:rsidRPr="001E3995">
        <w:t>;</w:t>
      </w:r>
      <w:r w:rsidR="001E3995" w:rsidRPr="001E3995">
        <w:t xml:space="preserve"> </w:t>
      </w:r>
      <w:r w:rsidR="001E3995" w:rsidRPr="001E3995">
        <w:t>i</w:t>
      </w:r>
      <w:r w:rsidRPr="001E3995">
        <w:t>t permits a much wider array of claims to be subject to arbitration</w:t>
      </w:r>
      <w:r w:rsidR="001E3995" w:rsidRPr="001E3995">
        <w:t>.</w:t>
      </w:r>
      <w:r w:rsidR="001E3995" w:rsidRPr="001E3995">
        <w:t xml:space="preserve"> </w:t>
      </w:r>
      <w:r w:rsidR="001E3995" w:rsidRPr="001E3995">
        <w:t>I</w:t>
      </w:r>
      <w:r w:rsidRPr="001E3995">
        <w:t xml:space="preserve">n </w:t>
      </w:r>
      <w:r w:rsidR="001E3995" w:rsidRPr="001E3995">
        <w:rPr>
          <w:i/>
        </w:rPr>
        <w:t>Norcom Electronics Corp</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CIM U</w:t>
      </w:r>
      <w:r w:rsidRPr="001E3995">
        <w:t>.</w:t>
      </w:r>
      <w:r w:rsidR="001E3995" w:rsidRPr="001E3995">
        <w:rPr>
          <w:i/>
        </w:rPr>
        <w:t>S</w:t>
      </w:r>
      <w:r w:rsidRPr="001E3995">
        <w:t>.</w:t>
      </w:r>
      <w:r w:rsidR="001E3995" w:rsidRPr="001E3995">
        <w:rPr>
          <w:i/>
        </w:rPr>
        <w:t>A</w:t>
      </w:r>
      <w:r w:rsidRPr="001E3995">
        <w:t>.</w:t>
      </w:r>
      <w:r w:rsidR="001E3995" w:rsidRPr="001E3995">
        <w:rPr>
          <w:i/>
        </w:rPr>
        <w:t>, Inc</w:t>
      </w:r>
      <w:r w:rsidRPr="001E3995">
        <w:t>.,</w:t>
      </w:r>
      <w:r w:rsidR="001E3995" w:rsidRPr="001E3995">
        <w:rPr>
          <w:vertAlign w:val="superscript"/>
        </w:rPr>
        <w:footnoteReference w:id="217"/>
      </w:r>
      <w:r w:rsidRPr="001E3995">
        <w:t xml:space="preserve"> the court held that several federal and state trademark claims, including a dilution claim under New York law, were arbitrable</w:t>
      </w:r>
      <w:r w:rsidR="001E3995" w:rsidRPr="001E3995">
        <w:t>.</w:t>
      </w:r>
      <w:r w:rsidR="001E3995" w:rsidRPr="001E3995">
        <w:t xml:space="preserve"> </w:t>
      </w:r>
      <w:r w:rsidR="001E3995" w:rsidRPr="001E3995">
        <w:t>T</w:t>
      </w:r>
      <w:r w:rsidRPr="001E3995">
        <w:t xml:space="preserve">he court began by referring to the “strong </w:t>
      </w:r>
      <w:r w:rsidRPr="001E3995">
        <w:lastRenderedPageBreak/>
        <w:t>federal policy” in favor of arbitration, as reflected in the FAA.</w:t>
      </w:r>
      <w:r w:rsidR="001E3995" w:rsidRPr="001E3995">
        <w:rPr>
          <w:vertAlign w:val="superscript"/>
        </w:rPr>
        <w:footnoteReference w:id="218"/>
      </w:r>
      <w:r w:rsidRPr="001E3995">
        <w:t xml:space="preserve"> Next, it found that the trademark claims, including the dilution claim, were related to a provision in the contract between the parties, and that the arbitration clause was sufficiently broad to cover those claims.</w:t>
      </w:r>
      <w:r w:rsidR="001E3995" w:rsidRPr="001E3995">
        <w:rPr>
          <w:vertAlign w:val="superscript"/>
        </w:rPr>
        <w:footnoteReference w:id="219"/>
      </w:r>
      <w:r w:rsidRPr="001E3995">
        <w:t xml:space="preserve"> The court concluded that the dilution claim was subject to arbitration.</w:t>
      </w:r>
      <w:r w:rsidR="001E3995" w:rsidRPr="001E3995">
        <w:rPr>
          <w:vertAlign w:val="superscript"/>
        </w:rPr>
        <w:footnoteReference w:id="220"/>
      </w:r>
      <w:r w:rsidRPr="001E3995">
        <w:t xml:space="preserve"> A similar result was reached in </w:t>
      </w:r>
      <w:r w:rsidR="001E3995" w:rsidRPr="001E3995">
        <w:rPr>
          <w:i/>
        </w:rPr>
        <w:t>Hueston v</w:t>
      </w:r>
      <w:r w:rsidR="001E3995" w:rsidRPr="001E3995">
        <w:t>.</w:t>
      </w:r>
      <w:r w:rsidR="001E3995" w:rsidRPr="001E3995">
        <w:t xml:space="preserve"> </w:t>
      </w:r>
      <w:r w:rsidR="001E3995" w:rsidRPr="001E3995">
        <w:rPr>
          <w:i/>
        </w:rPr>
        <w:t>Hueston</w:t>
      </w:r>
      <w:r w:rsidRPr="001E3995">
        <w:t>,</w:t>
      </w:r>
      <w:r w:rsidR="001E3995" w:rsidRPr="001E3995">
        <w:rPr>
          <w:vertAlign w:val="superscript"/>
        </w:rPr>
        <w:footnoteReference w:id="221"/>
      </w:r>
      <w:r w:rsidRPr="001E3995">
        <w:t xml:space="preserve"> using essentially the same reasoning.</w:t>
      </w:r>
      <w:r w:rsidR="001E3995" w:rsidRPr="001E3995">
        <w:rPr>
          <w:vertAlign w:val="superscript"/>
        </w:rPr>
        <w:footnoteReference w:id="222"/>
      </w:r>
    </w:p>
    <w:p w14:paraId="23C4AE6F" w14:textId="3D333490" w:rsidR="001E3995" w:rsidRPr="001E3995" w:rsidRDefault="00CA1E43" w:rsidP="001E3995">
      <w:pPr>
        <w:pStyle w:val="BNormal"/>
      </w:pPr>
      <w:r w:rsidRPr="001E3995">
        <w:t xml:space="preserve">However, in </w:t>
      </w:r>
      <w:r w:rsidR="001E3995" w:rsidRPr="001E3995">
        <w:rPr>
          <w:i/>
        </w:rPr>
        <w:t>A &amp; A Global Industries, Inc</w:t>
      </w:r>
      <w:r w:rsidR="001E3995" w:rsidRPr="001E3995">
        <w:t>.</w:t>
      </w:r>
      <w:r w:rsidR="001E3995" w:rsidRPr="001E3995">
        <w:t xml:space="preserve"> </w:t>
      </w:r>
      <w:r w:rsidR="001E3995" w:rsidRPr="001E3995">
        <w:rPr>
          <w:i/>
        </w:rPr>
        <w:t>v</w:t>
      </w:r>
      <w:r w:rsidR="001E3995" w:rsidRPr="001E3995">
        <w:t>.</w:t>
      </w:r>
      <w:r w:rsidR="001E3995" w:rsidRPr="001E3995">
        <w:t xml:space="preserve"> </w:t>
      </w:r>
      <w:r w:rsidR="001E3995" w:rsidRPr="001E3995">
        <w:rPr>
          <w:i/>
        </w:rPr>
        <w:t>Wolfe</w:t>
      </w:r>
      <w:r w:rsidRPr="001E3995">
        <w:t>,</w:t>
      </w:r>
      <w:r w:rsidR="001E3995" w:rsidRPr="001E3995">
        <w:rPr>
          <w:vertAlign w:val="superscript"/>
        </w:rPr>
        <w:footnoteReference w:id="223"/>
      </w:r>
      <w:r w:rsidRPr="001E3995">
        <w:t xml:space="preserve"> arbitration of trademark infringement and dilution claims was denied</w:t>
      </w:r>
      <w:r w:rsidR="001E3995" w:rsidRPr="001E3995">
        <w:t>.</w:t>
      </w:r>
      <w:r w:rsidR="001E3995" w:rsidRPr="001E3995">
        <w:t xml:space="preserve"> </w:t>
      </w:r>
      <w:r w:rsidR="001E3995" w:rsidRPr="001E3995">
        <w:t>T</w:t>
      </w:r>
      <w:r w:rsidRPr="001E3995">
        <w:t>he parties had signed an asset purchase agreement with an arbitration clause that stated as follows:</w:t>
      </w:r>
    </w:p>
    <w:p w14:paraId="6C201FF6" w14:textId="4357737A" w:rsidR="001E3995" w:rsidRPr="001E3995" w:rsidRDefault="00CA1E43" w:rsidP="001E3995">
      <w:pPr>
        <w:pStyle w:val="BQuotelong"/>
      </w:pPr>
      <w:r w:rsidRPr="001E3995">
        <w:t>Any controversy or claim arising out of or relating to this agreement or the breach thereof shall be settled by arbitration in accordance with the rules of the American Arbitration Association to be held in Dallas/Fort Worth, Texas, and judgment upon any award rendered by the arbitrators may be entered in any court of competent jurisdiction.</w:t>
      </w:r>
      <w:r w:rsidR="001E3995" w:rsidRPr="001E3995">
        <w:rPr>
          <w:vertAlign w:val="superscript"/>
        </w:rPr>
        <w:footnoteReference w:id="224"/>
      </w:r>
    </w:p>
    <w:p w14:paraId="1C7D5D01" w14:textId="4D18467C" w:rsidR="001E3995" w:rsidRPr="001E3995" w:rsidRDefault="00CA1E43" w:rsidP="001E3995">
      <w:pPr>
        <w:pStyle w:val="BNormal"/>
      </w:pPr>
      <w:r w:rsidRPr="001E3995">
        <w:t>The plaintiff sued, claiming, inter alia, that the defendants engaged in various acts of trademark infringement and dilution of marks assigned by the agreement</w:t>
      </w:r>
      <w:r w:rsidR="001E3995" w:rsidRPr="001E3995">
        <w:t>.</w:t>
      </w:r>
      <w:r w:rsidR="001E3995" w:rsidRPr="001E3995">
        <w:t xml:space="preserve"> </w:t>
      </w:r>
      <w:r w:rsidR="001E3995" w:rsidRPr="001E3995">
        <w:t>H</w:t>
      </w:r>
      <w:r w:rsidRPr="001E3995">
        <w:t>owever, the court viewed the salient issue as “whether the claim is so interwoven with the underlying contract that it could not stand alone, that is, whether the claim is actionable without reference to the underlying contract.”</w:t>
      </w:r>
      <w:r w:rsidR="001E3995" w:rsidRPr="001E3995">
        <w:rPr>
          <w:vertAlign w:val="superscript"/>
        </w:rPr>
        <w:footnoteReference w:id="225"/>
      </w:r>
      <w:r w:rsidRPr="001E3995">
        <w:t xml:space="preserve"> Because the trademark claims could be litigated without any reference to the agreement (except for demonstrating ownership of the marks), the court held the claims were not arbitrable.</w:t>
      </w:r>
      <w:r w:rsidR="001E3995" w:rsidRPr="001E3995">
        <w:rPr>
          <w:vertAlign w:val="superscript"/>
        </w:rPr>
        <w:footnoteReference w:id="226"/>
      </w:r>
    </w:p>
    <w:p w14:paraId="26CE7C26" w14:textId="3613BB49" w:rsidR="001E3995" w:rsidRPr="001E3995" w:rsidRDefault="00CA1E43" w:rsidP="001E3995">
      <w:pPr>
        <w:pStyle w:val="BNormal"/>
      </w:pPr>
      <w:r w:rsidRPr="001E3995">
        <w:t xml:space="preserve">Another case denying arbitration was a California state case, </w:t>
      </w:r>
      <w:r w:rsidR="001E3995" w:rsidRPr="001E3995">
        <w:rPr>
          <w:i/>
        </w:rPr>
        <w:t>Oakland Raiders v</w:t>
      </w:r>
      <w:r w:rsidR="001E3995" w:rsidRPr="001E3995">
        <w:t>.</w:t>
      </w:r>
      <w:r w:rsidR="001E3995" w:rsidRPr="001E3995">
        <w:t xml:space="preserve"> </w:t>
      </w:r>
      <w:r w:rsidR="001E3995" w:rsidRPr="001E3995">
        <w:rPr>
          <w:i/>
        </w:rPr>
        <w:t>National Football League</w:t>
      </w:r>
      <w:r w:rsidRPr="001E3995">
        <w:t>.</w:t>
      </w:r>
      <w:r w:rsidR="001E3995" w:rsidRPr="001E3995">
        <w:rPr>
          <w:vertAlign w:val="superscript"/>
        </w:rPr>
        <w:footnoteReference w:id="227"/>
      </w:r>
      <w:r w:rsidRPr="001E3995">
        <w:t xml:space="preserve"> The Court of Appeal acknowledged that the FAA applied to claims made under state law in a state court.</w:t>
      </w:r>
      <w:r w:rsidR="001E3995" w:rsidRPr="001E3995">
        <w:rPr>
          <w:vertAlign w:val="superscript"/>
        </w:rPr>
        <w:footnoteReference w:id="228"/>
      </w:r>
      <w:r w:rsidRPr="001E3995">
        <w:t xml:space="preserve"> Further, it agreed that there was a strong federal and state policy in favor of agreements to arbitrate.</w:t>
      </w:r>
      <w:r w:rsidR="001E3995" w:rsidRPr="001E3995">
        <w:rPr>
          <w:vertAlign w:val="superscript"/>
        </w:rPr>
        <w:footnoteReference w:id="229"/>
      </w:r>
      <w:r w:rsidRPr="001E3995">
        <w:t xml:space="preserve"> Nevertheless, it decided that the Oakland Raiders’ state dilution claims were not arbitrable.</w:t>
      </w:r>
      <w:r w:rsidR="001E3995" w:rsidRPr="001E3995">
        <w:rPr>
          <w:vertAlign w:val="superscript"/>
        </w:rPr>
        <w:footnoteReference w:id="230"/>
      </w:r>
      <w:r w:rsidRPr="001E3995">
        <w:t xml:space="preserve"> Although there was an agreement to arbitrate that generally encompassed the Raiders’ claims,</w:t>
      </w:r>
      <w:r w:rsidR="001E3995" w:rsidRPr="001E3995">
        <w:rPr>
          <w:vertAlign w:val="superscript"/>
        </w:rPr>
        <w:footnoteReference w:id="231"/>
      </w:r>
      <w:r w:rsidRPr="001E3995">
        <w:t xml:space="preserve"> the court focused on the relief available for dilution</w:t>
      </w:r>
      <w:r w:rsidR="001E3995" w:rsidRPr="001E3995">
        <w:t>.</w:t>
      </w:r>
      <w:r w:rsidR="001E3995" w:rsidRPr="001E3995">
        <w:t xml:space="preserve"> </w:t>
      </w:r>
      <w:r w:rsidR="001E3995" w:rsidRPr="001E3995">
        <w:t>U</w:t>
      </w:r>
      <w:r w:rsidRPr="001E3995">
        <w:t>nder then-extant California law, only an injunction was available.</w:t>
      </w:r>
      <w:r w:rsidR="001E3995" w:rsidRPr="001E3995">
        <w:rPr>
          <w:vertAlign w:val="superscript"/>
        </w:rPr>
        <w:footnoteReference w:id="232"/>
      </w:r>
      <w:r w:rsidRPr="001E3995">
        <w:t xml:space="preserve"> The court then held </w:t>
      </w:r>
      <w:r w:rsidRPr="001E3995">
        <w:lastRenderedPageBreak/>
        <w:t>that arbitrators are without authority to issue injunctions</w:t>
      </w:r>
      <w:r w:rsidR="001E3995" w:rsidRPr="001E3995">
        <w:t>.</w:t>
      </w:r>
      <w:r w:rsidR="001E3995" w:rsidRPr="001E3995">
        <w:t xml:space="preserve"> </w:t>
      </w:r>
      <w:r w:rsidR="001E3995" w:rsidRPr="001E3995">
        <w:t>T</w:t>
      </w:r>
      <w:r w:rsidRPr="001E3995">
        <w:t>herefore, the claim was not arbitrable.</w:t>
      </w:r>
      <w:r w:rsidR="001E3995" w:rsidRPr="001E3995">
        <w:rPr>
          <w:vertAlign w:val="superscript"/>
        </w:rPr>
        <w:footnoteReference w:id="233"/>
      </w:r>
    </w:p>
    <w:p w14:paraId="78003740" w14:textId="260E30F8" w:rsidR="001E3995" w:rsidRPr="001E3995" w:rsidRDefault="00CA1E43" w:rsidP="001E3995">
      <w:pPr>
        <w:pStyle w:val="BNormal"/>
      </w:pPr>
      <w:r w:rsidRPr="001E3995">
        <w:t xml:space="preserve">Although the </w:t>
      </w:r>
      <w:r w:rsidR="001E3995" w:rsidRPr="001E3995">
        <w:rPr>
          <w:i/>
        </w:rPr>
        <w:t xml:space="preserve">Oakland Raiders </w:t>
      </w:r>
      <w:r w:rsidRPr="001E3995">
        <w:t>decision was vacated by the California Supreme Court (depriving the decision of any precedential value), the crux of the Court of Appeal’s discussion was not necessarily undermined</w:t>
      </w:r>
      <w:r w:rsidR="001E3995" w:rsidRPr="001E3995">
        <w:t>.</w:t>
      </w:r>
      <w:r w:rsidR="001E3995" w:rsidRPr="001E3995">
        <w:t xml:space="preserve"> </w:t>
      </w:r>
      <w:r w:rsidR="001E3995" w:rsidRPr="001E3995">
        <w:t>T</w:t>
      </w:r>
      <w:r w:rsidRPr="001E3995">
        <w:t xml:space="preserve">he Supreme Court directed the Court of Appeal to consider the effect of </w:t>
      </w:r>
      <w:r w:rsidR="001E3995" w:rsidRPr="001E3995">
        <w:rPr>
          <w:i/>
        </w:rPr>
        <w:t>Boughton v</w:t>
      </w:r>
      <w:r w:rsidR="001E3995" w:rsidRPr="001E3995">
        <w:t>.</w:t>
      </w:r>
      <w:r w:rsidR="001E3995" w:rsidRPr="001E3995">
        <w:t xml:space="preserve"> </w:t>
      </w:r>
      <w:r w:rsidR="001E3995" w:rsidRPr="001E3995">
        <w:rPr>
          <w:i/>
        </w:rPr>
        <w:t xml:space="preserve">Cigna </w:t>
      </w:r>
      <w:proofErr w:type="spellStart"/>
      <w:r w:rsidR="001E3995" w:rsidRPr="001E3995">
        <w:rPr>
          <w:i/>
        </w:rPr>
        <w:t>Healthplans</w:t>
      </w:r>
      <w:proofErr w:type="spellEnd"/>
      <w:r w:rsidRPr="001E3995">
        <w:t>.</w:t>
      </w:r>
      <w:r w:rsidR="001E3995" w:rsidRPr="001E3995">
        <w:rPr>
          <w:vertAlign w:val="superscript"/>
        </w:rPr>
        <w:footnoteReference w:id="234"/>
      </w:r>
      <w:r w:rsidRPr="001E3995">
        <w:t xml:space="preserve"> In </w:t>
      </w:r>
      <w:r w:rsidR="001E3995" w:rsidRPr="001E3995">
        <w:rPr>
          <w:i/>
        </w:rPr>
        <w:t>Boughton</w:t>
      </w:r>
      <w:r w:rsidRPr="001E3995">
        <w:t>, the California Supreme Court considered whether claims under the state’s Consumers Legal Remedies Act (CLRA)</w:t>
      </w:r>
      <w:r w:rsidR="001E3995" w:rsidRPr="001E3995">
        <w:rPr>
          <w:vertAlign w:val="superscript"/>
        </w:rPr>
        <w:footnoteReference w:id="235"/>
      </w:r>
      <w:r w:rsidRPr="001E3995">
        <w:t xml:space="preserve"> were subject to arbitration.</w:t>
      </w:r>
      <w:r w:rsidR="001E3995" w:rsidRPr="001E3995">
        <w:rPr>
          <w:vertAlign w:val="superscript"/>
        </w:rPr>
        <w:footnoteReference w:id="236"/>
      </w:r>
      <w:r w:rsidRPr="001E3995">
        <w:t xml:space="preserve"> The court held that claims for monetary damages under the CLRA </w:t>
      </w:r>
      <w:r w:rsidR="001E3995" w:rsidRPr="001E3995">
        <w:rPr>
          <w:i/>
        </w:rPr>
        <w:t>were</w:t>
      </w:r>
      <w:r w:rsidRPr="001E3995">
        <w:t xml:space="preserve"> arbitrable, but that claims for injunctive relief were not.</w:t>
      </w:r>
      <w:r w:rsidR="001E3995" w:rsidRPr="001E3995">
        <w:rPr>
          <w:vertAlign w:val="superscript"/>
        </w:rPr>
        <w:footnoteReference w:id="237"/>
      </w:r>
      <w:r w:rsidRPr="001E3995">
        <w:t xml:space="preserve"> Although the court declined to decide whether arbitrators had any power to issue injunctions,</w:t>
      </w:r>
      <w:r w:rsidR="001E3995" w:rsidRPr="001E3995">
        <w:rPr>
          <w:vertAlign w:val="superscript"/>
        </w:rPr>
        <w:footnoteReference w:id="238"/>
      </w:r>
      <w:r w:rsidRPr="001E3995">
        <w:t xml:space="preserve"> it held that where the injunction would remedy a “</w:t>
      </w:r>
      <w:r w:rsidR="001E3995" w:rsidRPr="001E3995">
        <w:rPr>
          <w:i/>
        </w:rPr>
        <w:t>public</w:t>
      </w:r>
      <w:r w:rsidRPr="001E3995">
        <w:t xml:space="preserve"> wrong,” arbitration was not available.</w:t>
      </w:r>
      <w:r w:rsidR="001E3995" w:rsidRPr="001E3995">
        <w:rPr>
          <w:vertAlign w:val="superscript"/>
        </w:rPr>
        <w:footnoteReference w:id="239"/>
      </w:r>
    </w:p>
    <w:p w14:paraId="23BD0588" w14:textId="317907D6" w:rsidR="001E3995" w:rsidRPr="001E3995" w:rsidRDefault="00CA1E43" w:rsidP="001E3995">
      <w:pPr>
        <w:pStyle w:val="BNormal"/>
      </w:pPr>
      <w:r w:rsidRPr="001E3995">
        <w:t>It is unclear whether the court would consider an injunction against dilution to be remedying a “public wrong.” A trademark infringement claim based on confusion more closely resembles the type of public wrong in a CLRA claim, by seeking to prevent confusion of the public</w:t>
      </w:r>
      <w:r w:rsidR="001E3995" w:rsidRPr="001E3995">
        <w:t>.</w:t>
      </w:r>
      <w:r w:rsidR="001E3995" w:rsidRPr="001E3995">
        <w:t xml:space="preserve"> </w:t>
      </w:r>
      <w:r w:rsidR="001E3995" w:rsidRPr="001E3995">
        <w:t>A</w:t>
      </w:r>
      <w:r w:rsidRPr="001E3995">
        <w:t xml:space="preserve"> dilution claim serves a more private function, by seeking to protect the marketing power of a private party’s trademark</w:t>
      </w:r>
      <w:r w:rsidR="001E3995" w:rsidRPr="001E3995">
        <w:t>.</w:t>
      </w:r>
      <w:r w:rsidR="001E3995" w:rsidRPr="001E3995">
        <w:t xml:space="preserve"> </w:t>
      </w:r>
      <w:r w:rsidR="001E3995" w:rsidRPr="001E3995">
        <w:t>H</w:t>
      </w:r>
      <w:r w:rsidRPr="001E3995">
        <w:t>owever, to the extent that the marketing function of a trademark enables the public to find products that they desire more easily, the claim could be said to serve a public function</w:t>
      </w:r>
      <w:r w:rsidR="001E3995" w:rsidRPr="001E3995">
        <w:t>.</w:t>
      </w:r>
      <w:r w:rsidR="001E3995" w:rsidRPr="001E3995">
        <w:t xml:space="preserve"> </w:t>
      </w:r>
      <w:r w:rsidR="001E3995" w:rsidRPr="001E3995">
        <w:t>M</w:t>
      </w:r>
      <w:r w:rsidRPr="001E3995">
        <w:t>oreover, a dilution injunction, by precluding one party from labeling its goods in a particular way, affects more than simply the parties to the case.</w:t>
      </w:r>
      <w:r w:rsidR="001E3995" w:rsidRPr="001E3995">
        <w:rPr>
          <w:vertAlign w:val="superscript"/>
        </w:rPr>
        <w:footnoteReference w:id="240"/>
      </w:r>
    </w:p>
    <w:p w14:paraId="36A3BC82" w14:textId="7537B4D2" w:rsidR="001E3995" w:rsidRPr="001E3995" w:rsidRDefault="00CA1E43" w:rsidP="001E3995">
      <w:pPr>
        <w:pStyle w:val="BNormal"/>
      </w:pPr>
      <w:r w:rsidRPr="001E3995">
        <w:t>The federal cases upholding arbitration of dilution claims discussed previously did not mention the remedy issue</w:t>
      </w:r>
      <w:r w:rsidR="001E3995" w:rsidRPr="001E3995">
        <w:t>.</w:t>
      </w:r>
      <w:r w:rsidR="001E3995" w:rsidRPr="001E3995">
        <w:t xml:space="preserve"> </w:t>
      </w:r>
      <w:r w:rsidR="001E3995" w:rsidRPr="001E3995">
        <w:t>T</w:t>
      </w:r>
      <w:r w:rsidRPr="001E3995">
        <w:t>his is interesting because both cases arose in New York, which has a dilution statute that is essentially identical to the statute in force in California at the time the cases discussed here were decided.</w:t>
      </w:r>
      <w:r w:rsidR="001E3995" w:rsidRPr="001E3995">
        <w:rPr>
          <w:vertAlign w:val="superscript"/>
        </w:rPr>
        <w:footnoteReference w:id="241"/>
      </w:r>
      <w:r w:rsidRPr="001E3995">
        <w:t xml:space="preserve"> If the issue of remedy proved to be a stumbling block to arbitration, it would affect all but a few dilution claims</w:t>
      </w:r>
      <w:r w:rsidR="001E3995" w:rsidRPr="001E3995">
        <w:t>.</w:t>
      </w:r>
      <w:r w:rsidR="001E3995" w:rsidRPr="001E3995">
        <w:t xml:space="preserve"> </w:t>
      </w:r>
      <w:r w:rsidR="001E3995" w:rsidRPr="001E3995">
        <w:t>S</w:t>
      </w:r>
      <w:r w:rsidRPr="001E3995">
        <w:t>everal state laws provide only for injunctions</w:t>
      </w:r>
      <w:r w:rsidR="001E3995" w:rsidRPr="001E3995">
        <w:t>.</w:t>
      </w:r>
      <w:r w:rsidR="001E3995" w:rsidRPr="001E3995">
        <w:t xml:space="preserve"> </w:t>
      </w:r>
      <w:r w:rsidR="001E3995" w:rsidRPr="001E3995">
        <w:t>T</w:t>
      </w:r>
      <w:r w:rsidRPr="001E3995">
        <w:t>he remainder, like the TDRA, permit damages only for willful acts of dilution</w:t>
      </w:r>
      <w:r w:rsidR="001E3995" w:rsidRPr="001E3995">
        <w:t>.</w:t>
      </w:r>
      <w:r w:rsidR="001E3995" w:rsidRPr="001E3995">
        <w:t xml:space="preserve"> </w:t>
      </w:r>
      <w:r w:rsidR="001E3995" w:rsidRPr="001E3995">
        <w:t>I</w:t>
      </w:r>
      <w:r w:rsidRPr="001E3995">
        <w:t xml:space="preserve">njunctions are the normal remedy sought in </w:t>
      </w:r>
      <w:proofErr w:type="gramStart"/>
      <w:r w:rsidRPr="001E3995">
        <w:t>the vast majority of</w:t>
      </w:r>
      <w:proofErr w:type="gramEnd"/>
      <w:r w:rsidRPr="001E3995">
        <w:t xml:space="preserve"> dilution claims.</w:t>
      </w:r>
    </w:p>
    <w:p w14:paraId="4B939FB5" w14:textId="4508D95F" w:rsidR="001E3995" w:rsidRPr="001E3995" w:rsidRDefault="00CA1E43" w:rsidP="001E3995">
      <w:pPr>
        <w:pStyle w:val="BNormal"/>
      </w:pPr>
      <w:r w:rsidRPr="001E3995">
        <w:t>The general limitations on arbitration apply equally to dilution claims</w:t>
      </w:r>
      <w:r w:rsidR="001E3995" w:rsidRPr="001E3995">
        <w:t>.</w:t>
      </w:r>
      <w:r w:rsidR="001E3995" w:rsidRPr="001E3995">
        <w:t xml:space="preserve"> </w:t>
      </w:r>
      <w:r w:rsidR="001E3995" w:rsidRPr="001E3995">
        <w:t>T</w:t>
      </w:r>
      <w:r w:rsidRPr="001E3995">
        <w:t>here must be an agreement to arbitrate, and the agreement must be in writing</w:t>
      </w:r>
      <w:r w:rsidR="001E3995" w:rsidRPr="001E3995">
        <w:t>.</w:t>
      </w:r>
      <w:r w:rsidR="001E3995" w:rsidRPr="001E3995">
        <w:t xml:space="preserve"> </w:t>
      </w:r>
      <w:r w:rsidR="001E3995" w:rsidRPr="001E3995">
        <w:t>T</w:t>
      </w:r>
      <w:r w:rsidRPr="001E3995">
        <w:t>he arbitration clause must be broad enough to encompass the claims in question</w:t>
      </w:r>
      <w:r w:rsidR="001E3995" w:rsidRPr="001E3995">
        <w:t>.</w:t>
      </w:r>
      <w:r w:rsidR="001E3995" w:rsidRPr="001E3995">
        <w:t xml:space="preserve"> </w:t>
      </w:r>
      <w:r w:rsidR="001E3995" w:rsidRPr="001E3995">
        <w:t>M</w:t>
      </w:r>
      <w:r w:rsidRPr="001E3995">
        <w:t>ost dilution claims do not arise in contractual situations</w:t>
      </w:r>
      <w:r w:rsidR="001E3995" w:rsidRPr="001E3995">
        <w:t>.</w:t>
      </w:r>
      <w:r w:rsidR="001E3995" w:rsidRPr="001E3995">
        <w:t xml:space="preserve"> </w:t>
      </w:r>
      <w:r w:rsidR="001E3995" w:rsidRPr="001E3995">
        <w:t>B</w:t>
      </w:r>
      <w:r w:rsidRPr="001E3995">
        <w:t>ut where they do, courts are not likely to differentiate markedly between dilution claims and other statutory claims.</w:t>
      </w:r>
    </w:p>
    <w:p w14:paraId="274C89AE" w14:textId="42838BB6" w:rsidR="00494245" w:rsidRPr="001E3995" w:rsidRDefault="00494245" w:rsidP="001E3995">
      <w:pPr>
        <w:pStyle w:val="BNormal"/>
      </w:pPr>
    </w:p>
    <w:sectPr w:rsidR="00494245" w:rsidRPr="001E3995"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12C9" w14:textId="77777777" w:rsidR="00600989" w:rsidRDefault="00600989" w:rsidP="002A47A4">
      <w:r>
        <w:separator/>
      </w:r>
    </w:p>
    <w:p w14:paraId="22E7A7BA" w14:textId="77777777" w:rsidR="00600989" w:rsidRDefault="00600989"/>
    <w:p w14:paraId="2C1A440B" w14:textId="77777777" w:rsidR="00600989" w:rsidRDefault="00600989"/>
  </w:endnote>
  <w:endnote w:type="continuationSeparator" w:id="0">
    <w:p w14:paraId="5333378C" w14:textId="77777777" w:rsidR="00600989" w:rsidRDefault="00600989" w:rsidP="002A47A4">
      <w:r>
        <w:continuationSeparator/>
      </w:r>
    </w:p>
    <w:p w14:paraId="6EE6E20E" w14:textId="77777777" w:rsidR="00600989" w:rsidRDefault="00600989"/>
    <w:p w14:paraId="2A7B1804" w14:textId="77777777" w:rsidR="00600989" w:rsidRDefault="00600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9451" w14:textId="77777777" w:rsidR="001E3995" w:rsidRPr="001E3995" w:rsidRDefault="001E3995" w:rsidP="001E3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8B07" w14:textId="77777777" w:rsidR="001E3995" w:rsidRPr="001E3995" w:rsidRDefault="001E3995" w:rsidP="001E3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A6C9" w14:textId="77777777" w:rsidR="001E3995" w:rsidRPr="001E3995" w:rsidRDefault="001E3995" w:rsidP="001E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D3F2" w14:textId="77777777" w:rsidR="00600989" w:rsidRDefault="00600989" w:rsidP="002A47A4">
      <w:r>
        <w:separator/>
      </w:r>
    </w:p>
    <w:p w14:paraId="4569B3E5" w14:textId="77777777" w:rsidR="00600989" w:rsidRDefault="00600989"/>
    <w:p w14:paraId="03272EE3" w14:textId="77777777" w:rsidR="00600989" w:rsidRDefault="00600989"/>
  </w:footnote>
  <w:footnote w:type="continuationSeparator" w:id="0">
    <w:p w14:paraId="23F55DC0" w14:textId="77777777" w:rsidR="00600989" w:rsidRDefault="00600989" w:rsidP="002A47A4">
      <w:r>
        <w:continuationSeparator/>
      </w:r>
    </w:p>
    <w:p w14:paraId="171A643F" w14:textId="77777777" w:rsidR="00600989" w:rsidRDefault="00600989"/>
    <w:p w14:paraId="6A848207" w14:textId="77777777" w:rsidR="00600989" w:rsidRDefault="00600989"/>
  </w:footnote>
  <w:footnote w:id="1">
    <w:p w14:paraId="7FF40357" w14:textId="5776875D" w:rsidR="001E3995" w:rsidRPr="001E3995" w:rsidRDefault="001E3995" w:rsidP="001E3995">
      <w:pPr>
        <w:pStyle w:val="FootnoteText"/>
      </w:pPr>
      <w:r w:rsidRPr="001E3995">
        <w:rPr>
          <w:rStyle w:val="FootnoteReference"/>
        </w:rPr>
        <w:footnoteRef/>
      </w:r>
      <w:r w:rsidRPr="001E3995">
        <w:t>David Welkowitz is a Professor of Law Emeritus at Whittier Law School in California.</w:t>
      </w:r>
      <w:r w:rsidRPr="001E3995">
        <w:t xml:space="preserve"> </w:t>
      </w:r>
      <w:r w:rsidRPr="001E3995">
        <w:t>He has taught trademark law, international intellectual property law courses, and civil procedure, among other subjects.</w:t>
      </w:r>
      <w:r w:rsidRPr="001E3995">
        <w:t xml:space="preserve"> </w:t>
      </w:r>
      <w:r w:rsidRPr="001E3995">
        <w:t>He was a member of the Whittier faculty from 1983 to 2018.</w:t>
      </w:r>
      <w:r w:rsidRPr="001E3995">
        <w:t xml:space="preserve"> </w:t>
      </w:r>
      <w:r w:rsidRPr="001E3995">
        <w:t>From 2019 to 2024, he served as an attorney with the U.S.</w:t>
      </w:r>
      <w:r w:rsidRPr="001E3995">
        <w:t xml:space="preserve"> </w:t>
      </w:r>
      <w:r w:rsidRPr="001E3995">
        <w:t>Copyright Office in Washington, D.C.</w:t>
      </w:r>
      <w:r w:rsidRPr="001E3995">
        <w:t xml:space="preserve"> </w:t>
      </w:r>
      <w:r w:rsidRPr="001E3995">
        <w:t>Prior to that time, he practiced law in New York City.</w:t>
      </w:r>
    </w:p>
    <w:p w14:paraId="4F311F89" w14:textId="77777777" w:rsidR="001E3995" w:rsidRDefault="001E3995" w:rsidP="001E3995">
      <w:pPr>
        <w:pStyle w:val="FootnoteText"/>
      </w:pPr>
      <w:r w:rsidRPr="001E3995">
        <w:t>Mr.</w:t>
      </w:r>
      <w:r w:rsidRPr="001E3995">
        <w:t xml:space="preserve"> </w:t>
      </w:r>
      <w:proofErr w:type="spellStart"/>
      <w:r w:rsidRPr="001E3995">
        <w:t>Welkowitz</w:t>
      </w:r>
      <w:proofErr w:type="spellEnd"/>
      <w:r w:rsidRPr="001E3995">
        <w:t xml:space="preserve"> is the author of numerous articles on trademark law and other topics, and he is the co-author of a casebook on celebrity rights.</w:t>
      </w:r>
      <w:r w:rsidRPr="001E3995">
        <w:t xml:space="preserve"> </w:t>
      </w:r>
      <w:r w:rsidRPr="001E3995">
        <w:t>He has also written several lessons in computer-assisted learning, which are used by law students in the areas of civil procedure and trademark law.</w:t>
      </w:r>
      <w:r w:rsidRPr="001E3995">
        <w:t xml:space="preserve"> </w:t>
      </w:r>
      <w:r w:rsidRPr="001E3995">
        <w:t xml:space="preserve">Professor </w:t>
      </w:r>
      <w:proofErr w:type="spellStart"/>
      <w:r w:rsidRPr="001E3995">
        <w:t>Welkowitz</w:t>
      </w:r>
      <w:proofErr w:type="spellEnd"/>
      <w:r w:rsidRPr="001E3995">
        <w:t xml:space="preserve"> received his J.D.</w:t>
      </w:r>
      <w:r w:rsidRPr="001E3995">
        <w:t xml:space="preserve"> </w:t>
      </w:r>
      <w:r w:rsidRPr="001E3995">
        <w:t>degree in 1978 from New York University Law School, where he was a member of the Law Review.</w:t>
      </w:r>
      <w:r w:rsidRPr="001E3995">
        <w:t xml:space="preserve"> </w:t>
      </w:r>
      <w:r w:rsidRPr="001E3995">
        <w:t>He received an A.B.</w:t>
      </w:r>
      <w:r w:rsidRPr="001E3995">
        <w:t xml:space="preserve"> </w:t>
      </w:r>
      <w:r w:rsidRPr="001E3995">
        <w:t>degree in 1975 from Princeton University.</w:t>
      </w:r>
      <w:r w:rsidRPr="001E3995">
        <w:t xml:space="preserve"> </w:t>
      </w:r>
      <w:r w:rsidRPr="001E3995">
        <w:t xml:space="preserve">He is a member of the New York and District of Columbia </w:t>
      </w:r>
      <w:proofErr w:type="gramStart"/>
      <w:r w:rsidRPr="001E3995">
        <w:t>bars, and</w:t>
      </w:r>
      <w:proofErr w:type="gramEnd"/>
      <w:r w:rsidRPr="001E3995">
        <w:t xml:space="preserve"> is admitted to practice before the federal courts in the Southern and Eastern Districts of New York and the Court of Appeals for the Second Circuit.</w:t>
      </w:r>
    </w:p>
  </w:footnote>
  <w:footnote w:id="2">
    <w:p w14:paraId="2484998A" w14:textId="01B44A82" w:rsidR="001E3995" w:rsidRDefault="001E3995" w:rsidP="001E3995">
      <w:pPr>
        <w:pStyle w:val="FootnoteText"/>
      </w:pPr>
      <w:r w:rsidRPr="001E3995">
        <w:rPr>
          <w:vertAlign w:val="superscript"/>
        </w:rPr>
        <w:footnoteRef/>
      </w:r>
      <w:r w:rsidRPr="001E3995">
        <w:t>Pub.</w:t>
      </w:r>
      <w:r w:rsidRPr="001E3995">
        <w:t xml:space="preserve"> </w:t>
      </w:r>
      <w:r w:rsidRPr="001E3995">
        <w:t>L.</w:t>
      </w:r>
      <w:r w:rsidRPr="001E3995">
        <w:t xml:space="preserve"> </w:t>
      </w:r>
      <w:r w:rsidRPr="001E3995">
        <w:t>No.</w:t>
      </w:r>
      <w:r w:rsidRPr="001E3995">
        <w:t xml:space="preserve"> </w:t>
      </w:r>
      <w:r w:rsidRPr="001E3995">
        <w:t>109-312, 120 Stat.</w:t>
      </w:r>
      <w:r w:rsidRPr="001E3995">
        <w:t xml:space="preserve"> </w:t>
      </w:r>
      <w:r w:rsidRPr="001E3995">
        <w:t>1730 (2006).</w:t>
      </w:r>
    </w:p>
  </w:footnote>
  <w:footnote w:id="3">
    <w:p w14:paraId="73060F78" w14:textId="08F0757B" w:rsidR="001E3995" w:rsidRDefault="001E3995" w:rsidP="001E3995">
      <w:pPr>
        <w:pStyle w:val="FootnoteText"/>
      </w:pPr>
      <w:r w:rsidRPr="001E3995">
        <w:rPr>
          <w:vertAlign w:val="superscript"/>
        </w:rPr>
        <w:footnoteRef/>
      </w:r>
      <w:r w:rsidRPr="001E3995">
        <w:t>Pub.</w:t>
      </w:r>
      <w:r w:rsidRPr="001E3995">
        <w:t xml:space="preserve"> </w:t>
      </w:r>
      <w:r w:rsidRPr="001E3995">
        <w:t>L.</w:t>
      </w:r>
      <w:r w:rsidRPr="001E3995">
        <w:t xml:space="preserve"> </w:t>
      </w:r>
      <w:r w:rsidRPr="001E3995">
        <w:t>No.</w:t>
      </w:r>
      <w:r w:rsidRPr="001E3995">
        <w:t xml:space="preserve"> </w:t>
      </w:r>
      <w:r w:rsidRPr="001E3995">
        <w:t>104-98, 109 Stat.</w:t>
      </w:r>
      <w:r w:rsidRPr="001E3995">
        <w:t xml:space="preserve"> </w:t>
      </w:r>
      <w:r w:rsidRPr="001E3995">
        <w:t>985 (1995).</w:t>
      </w:r>
    </w:p>
  </w:footnote>
  <w:footnote w:id="4">
    <w:p w14:paraId="79266416" w14:textId="3C21E00C" w:rsidR="001E3995" w:rsidRDefault="001E3995" w:rsidP="001E3995">
      <w:pPr>
        <w:pStyle w:val="FootnoteText"/>
      </w:pPr>
      <w:r w:rsidRPr="001E3995">
        <w:rPr>
          <w:vertAlign w:val="superscript"/>
        </w:rPr>
        <w:footnoteRef/>
      </w:r>
      <w:r w:rsidRPr="001E3995">
        <w:t>Lanham Act §39(a), 15 U.S.C.</w:t>
      </w:r>
      <w:r w:rsidRPr="001E3995">
        <w:t xml:space="preserve"> </w:t>
      </w:r>
      <w:r w:rsidRPr="001E3995">
        <w:t>§1121(a).</w:t>
      </w:r>
    </w:p>
  </w:footnote>
  <w:footnote w:id="5">
    <w:p w14:paraId="1DD7E3D4" w14:textId="55F8A67E" w:rsidR="001E3995" w:rsidRPr="001E3995" w:rsidRDefault="001E3995" w:rsidP="001E3995">
      <w:pPr>
        <w:pStyle w:val="FootnoteText"/>
      </w:pPr>
      <w:r w:rsidRPr="001E3995">
        <w:rPr>
          <w:vertAlign w:val="superscript"/>
        </w:rPr>
        <w:footnoteRef/>
      </w:r>
      <w:r w:rsidRPr="001E3995">
        <w:t>28 U.S.C.</w:t>
      </w:r>
      <w:r w:rsidRPr="001E3995">
        <w:t xml:space="preserve"> </w:t>
      </w:r>
      <w:r w:rsidRPr="001E3995">
        <w:t>§1441(a).</w:t>
      </w:r>
      <w:r w:rsidRPr="001E3995">
        <w:t xml:space="preserve"> </w:t>
      </w:r>
      <w:r w:rsidRPr="001E3995">
        <w:t xml:space="preserve">Note that </w:t>
      </w:r>
      <w:r w:rsidRPr="001E3995">
        <w:rPr>
          <w:i/>
        </w:rPr>
        <w:t>all</w:t>
      </w:r>
      <w:r w:rsidRPr="001E3995">
        <w:t xml:space="preserve"> defendants who have been served must consent to removal.</w:t>
      </w:r>
      <w:r w:rsidRPr="001E3995">
        <w:t xml:space="preserve"> </w:t>
      </w:r>
      <w:r w:rsidRPr="001E3995">
        <w:t>28 U.S.C.</w:t>
      </w:r>
      <w:r w:rsidRPr="001E3995">
        <w:t xml:space="preserve"> </w:t>
      </w:r>
      <w:r w:rsidRPr="001E3995">
        <w:t>§1446(b)(2)(A).</w:t>
      </w:r>
    </w:p>
    <w:p w14:paraId="7E4BF854" w14:textId="77777777" w:rsidR="001E3995" w:rsidRDefault="001E3995" w:rsidP="002010F9">
      <w:pPr>
        <w:pStyle w:val="footnote"/>
      </w:pPr>
    </w:p>
  </w:footnote>
  <w:footnote w:id="6">
    <w:p w14:paraId="1992D390" w14:textId="3F180963" w:rsidR="001E3995" w:rsidRPr="001E3995" w:rsidRDefault="001E3995" w:rsidP="001E3995">
      <w:pPr>
        <w:pStyle w:val="FootnoteText"/>
      </w:pPr>
      <w:r w:rsidRPr="001E3995">
        <w:rPr>
          <w:vertAlign w:val="superscript"/>
        </w:rPr>
        <w:footnoteRef/>
      </w:r>
      <w:r w:rsidRPr="001E3995">
        <w:t>892 F.</w:t>
      </w:r>
      <w:r w:rsidRPr="001E3995">
        <w:t xml:space="preserve"> </w:t>
      </w:r>
      <w:r w:rsidRPr="001E3995">
        <w:t>Supp.</w:t>
      </w:r>
      <w:r w:rsidRPr="001E3995">
        <w:t xml:space="preserve"> </w:t>
      </w:r>
      <w:r w:rsidRPr="001E3995">
        <w:t>2d 219, 104 USPQ2d 1729 (D.D.C.</w:t>
      </w:r>
      <w:r w:rsidRPr="001E3995">
        <w:t xml:space="preserve"> </w:t>
      </w:r>
      <w:r w:rsidRPr="001E3995">
        <w:t xml:space="preserve">2012), </w:t>
      </w:r>
      <w:r w:rsidRPr="001E3995">
        <w:rPr>
          <w:i/>
        </w:rPr>
        <w:t>aff’d</w:t>
      </w:r>
      <w:r w:rsidRPr="001E3995">
        <w:t>, 734 F.3d 1175, 108 USPQ2d 1540 (D.C.</w:t>
      </w:r>
      <w:r w:rsidRPr="001E3995">
        <w:t xml:space="preserve"> </w:t>
      </w:r>
      <w:r w:rsidRPr="001E3995">
        <w:t>Cir. 2013).</w:t>
      </w:r>
    </w:p>
    <w:p w14:paraId="30CAEF04" w14:textId="77777777" w:rsidR="001E3995" w:rsidRDefault="001E3995" w:rsidP="002010F9">
      <w:pPr>
        <w:pStyle w:val="footnote"/>
      </w:pPr>
    </w:p>
  </w:footnote>
  <w:footnote w:id="7">
    <w:p w14:paraId="1A7520C0" w14:textId="750FCCC4" w:rsidR="001E3995" w:rsidRP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225–34.</w:t>
      </w:r>
      <w:r w:rsidRPr="001E3995">
        <w:t xml:space="preserve"> </w:t>
      </w:r>
      <w:r w:rsidRPr="001E3995">
        <w:t>It is worth noting that the courts of appeals appear divided on whether the need to show a domestic effect from extraterritorial acts of infringement is a jurisdictional issue.</w:t>
      </w:r>
      <w:r w:rsidRPr="001E3995">
        <w:t xml:space="preserve"> </w:t>
      </w:r>
      <w:r w:rsidRPr="001E3995">
        <w:rPr>
          <w:i/>
        </w:rPr>
        <w:t>Compare</w:t>
      </w:r>
      <w:r w:rsidRPr="001E3995">
        <w:t xml:space="preserve"> </w:t>
      </w:r>
      <w:proofErr w:type="spellStart"/>
      <w:r w:rsidRPr="001E3995">
        <w:t>McBee</w:t>
      </w:r>
      <w:proofErr w:type="spellEnd"/>
      <w:r w:rsidRPr="001E3995">
        <w:t xml:space="preserve"> v.</w:t>
      </w:r>
      <w:r w:rsidRPr="001E3995">
        <w:t xml:space="preserve"> </w:t>
      </w:r>
      <w:r w:rsidRPr="001E3995">
        <w:t>Delica Co.,417 F.3d 107, 117, 75 USPQ2d 1609 (1st Cir.</w:t>
      </w:r>
      <w:r w:rsidRPr="001E3995">
        <w:t xml:space="preserve"> </w:t>
      </w:r>
      <w:r w:rsidRPr="001E3995">
        <w:t xml:space="preserve">2005) (domestic effect is jurisdictional), </w:t>
      </w:r>
      <w:r w:rsidRPr="001E3995">
        <w:rPr>
          <w:i/>
        </w:rPr>
        <w:t xml:space="preserve">with </w:t>
      </w:r>
      <w:r w:rsidRPr="001E3995">
        <w:t>Trader Joe’s Co.</w:t>
      </w:r>
      <w:r w:rsidRPr="001E3995">
        <w:t xml:space="preserve"> </w:t>
      </w:r>
      <w:r w:rsidRPr="001E3995">
        <w:t>v.</w:t>
      </w:r>
      <w:r w:rsidRPr="001E3995">
        <w:t xml:space="preserve"> </w:t>
      </w:r>
      <w:r w:rsidRPr="001E3995">
        <w:t>Hallatt, 835 F.3d 960, 966–68 (9th Cir.</w:t>
      </w:r>
      <w:r w:rsidRPr="001E3995">
        <w:t xml:space="preserve"> </w:t>
      </w:r>
      <w:r w:rsidRPr="001E3995">
        <w:t xml:space="preserve">2016) (domestic effect not jurisdictional), </w:t>
      </w:r>
      <w:r w:rsidRPr="001E3995">
        <w:rPr>
          <w:i/>
        </w:rPr>
        <w:t>and</w:t>
      </w:r>
      <w:r w:rsidRPr="001E3995">
        <w:t xml:space="preserve"> A.O.</w:t>
      </w:r>
      <w:r w:rsidRPr="001E3995">
        <w:t xml:space="preserve"> </w:t>
      </w:r>
      <w:r w:rsidRPr="001E3995">
        <w:t>Smith Corp.</w:t>
      </w:r>
      <w:r w:rsidRPr="001E3995">
        <w:t xml:space="preserve"> </w:t>
      </w:r>
      <w:r w:rsidRPr="001E3995">
        <w:t>v.</w:t>
      </w:r>
      <w:r w:rsidRPr="001E3995">
        <w:t xml:space="preserve"> </w:t>
      </w:r>
      <w:r w:rsidRPr="001E3995">
        <w:t>USA Smith Indus.</w:t>
      </w:r>
      <w:r w:rsidRPr="001E3995">
        <w:t xml:space="preserve"> </w:t>
      </w:r>
      <w:r w:rsidRPr="001E3995">
        <w:t>Dev.</w:t>
      </w:r>
      <w:r w:rsidRPr="001E3995">
        <w:t xml:space="preserve"> </w:t>
      </w:r>
      <w:r w:rsidRPr="001E3995">
        <w:t>Inc., 2017 WL 2224539, at *2, 2017 BL 170424 (D.</w:t>
      </w:r>
      <w:r w:rsidRPr="001E3995">
        <w:t xml:space="preserve"> </w:t>
      </w:r>
      <w:r w:rsidRPr="001E3995">
        <w:t>Colo.</w:t>
      </w:r>
      <w:r w:rsidRPr="001E3995">
        <w:t xml:space="preserve"> </w:t>
      </w:r>
      <w:r w:rsidRPr="001E3995">
        <w:t>May 22, 2017) (same).</w:t>
      </w:r>
    </w:p>
    <w:p w14:paraId="1A761E53" w14:textId="77777777" w:rsidR="001E3995" w:rsidRDefault="001E3995" w:rsidP="00A676DF">
      <w:pPr>
        <w:pStyle w:val="footnote"/>
      </w:pPr>
    </w:p>
  </w:footnote>
  <w:footnote w:id="8">
    <w:p w14:paraId="504AE026" w14:textId="7A2F5EA1" w:rsidR="001E3995" w:rsidRPr="001E3995" w:rsidRDefault="001E3995" w:rsidP="001E3995">
      <w:pPr>
        <w:pStyle w:val="FootnoteText"/>
      </w:pPr>
      <w:r w:rsidRPr="001E3995">
        <w:rPr>
          <w:vertAlign w:val="superscript"/>
        </w:rPr>
        <w:footnoteRef/>
      </w:r>
      <w:r w:rsidRPr="001E3995">
        <w:rPr>
          <w:i/>
        </w:rPr>
        <w:t>See</w:t>
      </w:r>
      <w:r w:rsidRPr="001E3995">
        <w:t xml:space="preserve"> Colorado River Water Conservation Dist.</w:t>
      </w:r>
      <w:r w:rsidRPr="001E3995">
        <w:t xml:space="preserve"> </w:t>
      </w:r>
      <w:r w:rsidRPr="001E3995">
        <w:t>v.</w:t>
      </w:r>
      <w:r w:rsidRPr="001E3995">
        <w:t xml:space="preserve"> </w:t>
      </w:r>
      <w:r w:rsidRPr="001E3995">
        <w:t>United States, 424 U.S.</w:t>
      </w:r>
      <w:r w:rsidRPr="001E3995">
        <w:t xml:space="preserve"> </w:t>
      </w:r>
      <w:r w:rsidRPr="001E3995">
        <w:t>800 (1976).</w:t>
      </w:r>
    </w:p>
    <w:p w14:paraId="6385E56C" w14:textId="77777777" w:rsidR="001E3995" w:rsidRDefault="001E3995" w:rsidP="002010F9">
      <w:pPr>
        <w:pStyle w:val="footnote"/>
      </w:pPr>
    </w:p>
  </w:footnote>
  <w:footnote w:id="9">
    <w:p w14:paraId="345BCE8A" w14:textId="064E4831" w:rsidR="001E3995" w:rsidRPr="002010F9" w:rsidRDefault="001E3995" w:rsidP="001E3995">
      <w:pPr>
        <w:pStyle w:val="FootnoteText"/>
      </w:pPr>
      <w:r w:rsidRPr="001E3995">
        <w:rPr>
          <w:vertAlign w:val="superscript"/>
        </w:rPr>
        <w:footnoteRef/>
      </w:r>
      <w:proofErr w:type="spellStart"/>
      <w:r w:rsidRPr="001E3995">
        <w:t>vonRosenberg</w:t>
      </w:r>
      <w:proofErr w:type="spellEnd"/>
      <w:r w:rsidRPr="001E3995">
        <w:t xml:space="preserve"> v.</w:t>
      </w:r>
      <w:r w:rsidRPr="001E3995">
        <w:t xml:space="preserve"> </w:t>
      </w:r>
      <w:r w:rsidRPr="001E3995">
        <w:t>Lawrence, 849 F.3d 163, 167–69 (4th Cir.</w:t>
      </w:r>
      <w:r w:rsidRPr="001E3995">
        <w:t xml:space="preserve"> </w:t>
      </w:r>
      <w:r w:rsidRPr="001E3995">
        <w:t>2017).</w:t>
      </w:r>
      <w:r w:rsidRPr="001E3995">
        <w:t xml:space="preserve"> </w:t>
      </w:r>
      <w:r w:rsidRPr="001E3995">
        <w:rPr>
          <w:i/>
        </w:rPr>
        <w:t>See</w:t>
      </w:r>
      <w:r w:rsidRPr="001E3995">
        <w:t xml:space="preserve"> Krajisnik Soccer Club, Inc.</w:t>
      </w:r>
      <w:r w:rsidRPr="001E3995">
        <w:t xml:space="preserve"> </w:t>
      </w:r>
      <w:r w:rsidRPr="001E3995">
        <w:t>v.</w:t>
      </w:r>
      <w:r w:rsidRPr="001E3995">
        <w:t xml:space="preserve"> </w:t>
      </w:r>
      <w:r w:rsidRPr="001E3995">
        <w:t>Krajisnik Football Club, Inc., 2021 BL 196224 (N.D.N.Y.</w:t>
      </w:r>
      <w:r w:rsidRPr="001E3995">
        <w:t xml:space="preserve"> </w:t>
      </w:r>
      <w:r w:rsidRPr="001E3995">
        <w:t>May 26, 2021) (refusing abstention because the state action was in an early stage).</w:t>
      </w:r>
    </w:p>
  </w:footnote>
  <w:footnote w:id="10">
    <w:p w14:paraId="151223D6" w14:textId="77777777" w:rsidR="001E3995" w:rsidRDefault="001E3995" w:rsidP="001E3995">
      <w:pPr>
        <w:pStyle w:val="FootnoteText"/>
      </w:pPr>
      <w:r w:rsidRPr="001E3995">
        <w:rPr>
          <w:rStyle w:val="FootnoteReference"/>
          <w:rFonts w:eastAsiaTheme="majorEastAsia"/>
        </w:rPr>
        <w:footnoteRef/>
      </w:r>
      <w:r w:rsidRPr="001E3995">
        <w:t>Monster Energy Co.</w:t>
      </w:r>
      <w:r w:rsidRPr="001E3995">
        <w:t xml:space="preserve"> </w:t>
      </w:r>
      <w:r w:rsidRPr="001E3995">
        <w:t>v.</w:t>
      </w:r>
      <w:r w:rsidRPr="001E3995">
        <w:t xml:space="preserve"> </w:t>
      </w:r>
      <w:r w:rsidRPr="001E3995">
        <w:t>My Energy Monster, Inc., 2020 WL 14010612, at *3 (M.D.</w:t>
      </w:r>
      <w:r w:rsidRPr="001E3995">
        <w:t xml:space="preserve"> </w:t>
      </w:r>
      <w:r w:rsidRPr="001E3995">
        <w:t>Fla.</w:t>
      </w:r>
      <w:r w:rsidRPr="001E3995">
        <w:t xml:space="preserve"> </w:t>
      </w:r>
      <w:r w:rsidRPr="001E3995">
        <w:t>Nov.</w:t>
      </w:r>
      <w:r w:rsidRPr="001E3995">
        <w:t xml:space="preserve"> </w:t>
      </w:r>
      <w:r w:rsidRPr="001E3995">
        <w:t>20, 2020).</w:t>
      </w:r>
    </w:p>
  </w:footnote>
  <w:footnote w:id="11">
    <w:p w14:paraId="241AFC0E" w14:textId="640CE087" w:rsidR="001E3995" w:rsidRDefault="001E3995" w:rsidP="001E3995">
      <w:pPr>
        <w:pStyle w:val="FootnoteText"/>
      </w:pPr>
      <w:r w:rsidRPr="001E3995">
        <w:rPr>
          <w:vertAlign w:val="superscript"/>
        </w:rPr>
        <w:footnoteRef/>
      </w:r>
      <w:r w:rsidRPr="001E3995">
        <w:rPr>
          <w:i/>
        </w:rPr>
        <w:t>See</w:t>
      </w:r>
      <w:r w:rsidRPr="001E3995">
        <w:t xml:space="preserve"> 28 U.S.C.</w:t>
      </w:r>
      <w:r w:rsidRPr="001E3995">
        <w:t xml:space="preserve"> </w:t>
      </w:r>
      <w:r w:rsidRPr="001E3995">
        <w:t xml:space="preserve">§1338(a) (granting </w:t>
      </w:r>
      <w:r w:rsidRPr="001E3995">
        <w:rPr>
          <w:i/>
        </w:rPr>
        <w:t>exclusive</w:t>
      </w:r>
      <w:r w:rsidRPr="001E3995">
        <w:t xml:space="preserve"> jurisdiction to federal courts over patent and copyright claims, but only nonexclusive jurisdiction over trademark claims);</w:t>
      </w:r>
      <w:r w:rsidRPr="001E3995">
        <w:t xml:space="preserve"> </w:t>
      </w:r>
      <w:r w:rsidRPr="001E3995">
        <w:t>15 U.S.C.</w:t>
      </w:r>
      <w:r w:rsidRPr="001E3995">
        <w:t xml:space="preserve"> </w:t>
      </w:r>
      <w:r w:rsidRPr="001E3995">
        <w:t xml:space="preserve">§1121(a) (granting original jurisdiction to federal courts over Lanham Act </w:t>
      </w:r>
      <w:proofErr w:type="gramStart"/>
      <w:r w:rsidRPr="001E3995">
        <w:t>claims, but</w:t>
      </w:r>
      <w:proofErr w:type="gramEnd"/>
      <w:r w:rsidRPr="001E3995">
        <w:t xml:space="preserve"> not specifying that the jurisdiction is exclusive).</w:t>
      </w:r>
    </w:p>
  </w:footnote>
  <w:footnote w:id="12">
    <w:p w14:paraId="21F520BD" w14:textId="132A5FCA" w:rsidR="001E3995" w:rsidRDefault="001E3995" w:rsidP="001E3995">
      <w:pPr>
        <w:pStyle w:val="FootnoteText"/>
      </w:pPr>
      <w:r w:rsidRPr="001E3995">
        <w:rPr>
          <w:vertAlign w:val="superscript"/>
        </w:rPr>
        <w:footnoteRef/>
      </w:r>
      <w:r w:rsidRPr="001E3995">
        <w:rPr>
          <w:i/>
        </w:rPr>
        <w:t>See</w:t>
      </w:r>
      <w:r w:rsidRPr="001E3995">
        <w:t xml:space="preserve"> Elite Access Sys., Inc.</w:t>
      </w:r>
      <w:r w:rsidRPr="001E3995">
        <w:t xml:space="preserve"> </w:t>
      </w:r>
      <w:r w:rsidRPr="001E3995">
        <w:t>v.</w:t>
      </w:r>
      <w:r w:rsidRPr="001E3995">
        <w:t xml:space="preserve"> </w:t>
      </w:r>
      <w:r w:rsidRPr="001E3995">
        <w:t>Ramset Automatic Gate Sys., Inc., 2003 WL 1914122, at *5–6, 2003 BL 5781 (Cal.</w:t>
      </w:r>
      <w:r w:rsidRPr="001E3995">
        <w:t xml:space="preserve"> </w:t>
      </w:r>
      <w:r w:rsidRPr="001E3995">
        <w:t>Ct.</w:t>
      </w:r>
      <w:r w:rsidRPr="001E3995">
        <w:t xml:space="preserve"> </w:t>
      </w:r>
      <w:r w:rsidRPr="001E3995">
        <w:t>App.</w:t>
      </w:r>
      <w:r w:rsidRPr="001E3995">
        <w:t xml:space="preserve"> </w:t>
      </w:r>
      <w:r w:rsidRPr="001E3995">
        <w:t>Apr.</w:t>
      </w:r>
      <w:r w:rsidRPr="001E3995">
        <w:t xml:space="preserve"> </w:t>
      </w:r>
      <w:r w:rsidRPr="001E3995">
        <w:t>22, 2003) (rejecting FTDA claim;</w:t>
      </w:r>
      <w:r w:rsidRPr="001E3995">
        <w:t xml:space="preserve"> </w:t>
      </w:r>
      <w:r w:rsidRPr="001E3995">
        <w:t>product configuration not famous) (opinion not certified for publication);</w:t>
      </w:r>
      <w:r w:rsidRPr="001E3995">
        <w:t xml:space="preserve"> </w:t>
      </w:r>
      <w:r w:rsidRPr="001E3995">
        <w:t>Rise Club, Inc.</w:t>
      </w:r>
      <w:r w:rsidRPr="001E3995">
        <w:t xml:space="preserve"> </w:t>
      </w:r>
      <w:r w:rsidRPr="001E3995">
        <w:t>v.</w:t>
      </w:r>
      <w:r w:rsidRPr="001E3995">
        <w:t xml:space="preserve"> </w:t>
      </w:r>
      <w:r w:rsidRPr="001E3995">
        <w:t>Gerber Grp., Ltd.</w:t>
      </w:r>
      <w:r w:rsidRPr="001E3995">
        <w:t xml:space="preserve"> </w:t>
      </w:r>
      <w:proofErr w:type="spellStart"/>
      <w:r w:rsidRPr="001E3995">
        <w:t>P’ship</w:t>
      </w:r>
      <w:proofErr w:type="spellEnd"/>
      <w:r w:rsidRPr="001E3995">
        <w:t>, 26 Mass L.</w:t>
      </w:r>
      <w:r w:rsidRPr="001E3995">
        <w:t xml:space="preserve"> </w:t>
      </w:r>
      <w:r w:rsidRPr="001E3995">
        <w:t>Rep.</w:t>
      </w:r>
      <w:r w:rsidRPr="001E3995">
        <w:t xml:space="preserve"> </w:t>
      </w:r>
      <w:r w:rsidRPr="001E3995">
        <w:t>571, 2010 Mass.</w:t>
      </w:r>
      <w:r w:rsidRPr="001E3995">
        <w:t xml:space="preserve"> </w:t>
      </w:r>
      <w:r w:rsidRPr="001E3995">
        <w:t>Super.</w:t>
      </w:r>
      <w:r w:rsidRPr="001E3995">
        <w:t xml:space="preserve"> </w:t>
      </w:r>
      <w:r w:rsidRPr="001E3995">
        <w:t>LEXIS 66, at *1, 19–20 (Mass.</w:t>
      </w:r>
      <w:r w:rsidRPr="001E3995">
        <w:t xml:space="preserve"> </w:t>
      </w:r>
      <w:r w:rsidRPr="001E3995">
        <w:t>Super.</w:t>
      </w:r>
      <w:r w:rsidRPr="001E3995">
        <w:t xml:space="preserve"> </w:t>
      </w:r>
      <w:r w:rsidRPr="001E3995">
        <w:t>Ct.</w:t>
      </w:r>
      <w:r w:rsidRPr="001E3995">
        <w:t xml:space="preserve"> </w:t>
      </w:r>
      <w:r w:rsidRPr="001E3995">
        <w:t>Apr.</w:t>
      </w:r>
      <w:r w:rsidRPr="001E3995">
        <w:t xml:space="preserve"> </w:t>
      </w:r>
      <w:r w:rsidRPr="001E3995">
        <w:t xml:space="preserve">12, 2010), </w:t>
      </w:r>
      <w:proofErr w:type="spellStart"/>
      <w:r w:rsidRPr="001E3995">
        <w:rPr>
          <w:i/>
        </w:rPr>
        <w:t>rev’d</w:t>
      </w:r>
      <w:proofErr w:type="spellEnd"/>
      <w:r w:rsidRPr="001E3995">
        <w:rPr>
          <w:i/>
        </w:rPr>
        <w:t xml:space="preserve"> on other grounds</w:t>
      </w:r>
      <w:r w:rsidRPr="001E3995">
        <w:t>, 958 N.E.2d 537 (Mass.</w:t>
      </w:r>
      <w:r w:rsidRPr="001E3995">
        <w:t xml:space="preserve"> </w:t>
      </w:r>
      <w:r w:rsidRPr="001E3995">
        <w:t>App.</w:t>
      </w:r>
      <w:r w:rsidRPr="001E3995">
        <w:t xml:space="preserve"> </w:t>
      </w:r>
      <w:r w:rsidRPr="001E3995">
        <w:t>Ct.</w:t>
      </w:r>
      <w:r w:rsidRPr="001E3995">
        <w:t xml:space="preserve"> </w:t>
      </w:r>
      <w:r w:rsidRPr="001E3995">
        <w:t>2011) (reversing summary judgment for defendant;</w:t>
      </w:r>
      <w:r w:rsidRPr="001E3995">
        <w:t xml:space="preserve"> </w:t>
      </w:r>
      <w:r w:rsidRPr="001E3995">
        <w:t>jurisdiction not discussed);</w:t>
      </w:r>
      <w:r w:rsidRPr="001E3995">
        <w:t xml:space="preserve"> </w:t>
      </w:r>
      <w:r w:rsidRPr="001E3995">
        <w:t xml:space="preserve">Greater Lansing </w:t>
      </w:r>
      <w:proofErr w:type="spellStart"/>
      <w:r w:rsidRPr="001E3995">
        <w:t>Ass’n</w:t>
      </w:r>
      <w:proofErr w:type="spellEnd"/>
      <w:r w:rsidRPr="001E3995">
        <w:t xml:space="preserve"> of Realtors v.</w:t>
      </w:r>
      <w:r w:rsidRPr="001E3995">
        <w:t xml:space="preserve"> </w:t>
      </w:r>
      <w:r w:rsidRPr="001E3995">
        <w:t>Mentzer-Amundson, 2000 WL 33418409, 2000 BL 12313 (Mich.</w:t>
      </w:r>
      <w:r w:rsidRPr="001E3995">
        <w:t xml:space="preserve"> </w:t>
      </w:r>
      <w:r w:rsidRPr="001E3995">
        <w:t>Ct.</w:t>
      </w:r>
      <w:r w:rsidRPr="001E3995">
        <w:t xml:space="preserve"> </w:t>
      </w:r>
      <w:r w:rsidRPr="001E3995">
        <w:t>App.</w:t>
      </w:r>
      <w:r w:rsidRPr="001E3995">
        <w:t xml:space="preserve"> </w:t>
      </w:r>
      <w:r w:rsidRPr="001E3995">
        <w:t>June 16, 2000) (FTDA claim brought in state court).</w:t>
      </w:r>
    </w:p>
  </w:footnote>
  <w:footnote w:id="13">
    <w:p w14:paraId="118421A8" w14:textId="0EE20588" w:rsidR="001E3995" w:rsidRDefault="001E3995" w:rsidP="001E3995">
      <w:pPr>
        <w:pStyle w:val="FootnoteText"/>
      </w:pPr>
      <w:r w:rsidRPr="001E3995">
        <w:rPr>
          <w:vertAlign w:val="superscript"/>
        </w:rPr>
        <w:footnoteRef/>
      </w:r>
      <w:r w:rsidRPr="001E3995">
        <w:rPr>
          <w:i/>
        </w:rPr>
        <w:t>See</w:t>
      </w:r>
      <w:r w:rsidRPr="001E3995">
        <w:t xml:space="preserve"> 28 U.S.C.</w:t>
      </w:r>
      <w:r w:rsidRPr="001E3995">
        <w:t xml:space="preserve"> </w:t>
      </w:r>
      <w:r w:rsidRPr="001E3995">
        <w:t>§1441(a) (allowing removal of civil actions over which district courts have original jurisdiction).</w:t>
      </w:r>
      <w:r w:rsidRPr="001E3995">
        <w:t xml:space="preserve"> </w:t>
      </w:r>
      <w:r w:rsidRPr="001E3995">
        <w:t>Removal cannot be based on a generalized claim for attorneys’ fees (which are recoverable in some cases under federal law), even if those fees may not be recoverable under state law, if the complaint alleges only otherwise nonremovable state law claims.</w:t>
      </w:r>
      <w:r w:rsidRPr="001E3995">
        <w:t xml:space="preserve"> </w:t>
      </w:r>
      <w:r w:rsidRPr="001E3995">
        <w:rPr>
          <w:i/>
        </w:rPr>
        <w:t xml:space="preserve">In </w:t>
      </w:r>
      <w:proofErr w:type="spellStart"/>
      <w:r w:rsidRPr="001E3995">
        <w:rPr>
          <w:i/>
        </w:rPr>
        <w:t>re</w:t>
      </w:r>
      <w:proofErr w:type="spellEnd"/>
      <w:r w:rsidRPr="001E3995">
        <w:t xml:space="preserve"> Hot-Hed, Inc., 477 F.3d 320, 324, 81 USPQ2d 1684 (5th Cir.</w:t>
      </w:r>
      <w:r w:rsidRPr="001E3995">
        <w:t xml:space="preserve"> </w:t>
      </w:r>
      <w:r w:rsidRPr="001E3995">
        <w:t>2007).</w:t>
      </w:r>
      <w:r w:rsidRPr="001E3995">
        <w:t xml:space="preserve"> </w:t>
      </w:r>
      <w:r w:rsidRPr="001E3995">
        <w:t>Moreover, the mere existence of a federally registered trademark does not support removal if the plaintiff relies solely on state law claims.</w:t>
      </w:r>
      <w:r w:rsidRPr="001E3995">
        <w:t xml:space="preserve"> </w:t>
      </w:r>
      <w:r w:rsidRPr="001E3995">
        <w:t>Signorelli, Inc.</w:t>
      </w:r>
      <w:r w:rsidRPr="001E3995">
        <w:t xml:space="preserve"> </w:t>
      </w:r>
      <w:r w:rsidRPr="001E3995">
        <w:t>v.</w:t>
      </w:r>
      <w:r w:rsidRPr="001E3995">
        <w:t xml:space="preserve"> </w:t>
      </w:r>
      <w:proofErr w:type="spellStart"/>
      <w:r w:rsidRPr="001E3995">
        <w:t>OmniPeace</w:t>
      </w:r>
      <w:proofErr w:type="spellEnd"/>
      <w:r w:rsidRPr="001E3995">
        <w:t>, Inc., 2010 U.S.</w:t>
      </w:r>
      <w:r w:rsidRPr="001E3995">
        <w:t xml:space="preserve"> </w:t>
      </w:r>
      <w:r w:rsidRPr="001E3995">
        <w:t>Dist.</w:t>
      </w:r>
      <w:r w:rsidRPr="001E3995">
        <w:t xml:space="preserve"> </w:t>
      </w:r>
      <w:r w:rsidRPr="001E3995">
        <w:t>LEXIS 105636, at *7–8 (C.D.</w:t>
      </w:r>
      <w:r w:rsidRPr="001E3995">
        <w:t xml:space="preserve"> </w:t>
      </w:r>
      <w:r w:rsidRPr="001E3995">
        <w:t>Cal.</w:t>
      </w:r>
      <w:r w:rsidRPr="001E3995">
        <w:t xml:space="preserve"> </w:t>
      </w:r>
      <w:r w:rsidRPr="001E3995">
        <w:t>Sept.</w:t>
      </w:r>
      <w:r w:rsidRPr="001E3995">
        <w:t xml:space="preserve"> </w:t>
      </w:r>
      <w:r w:rsidRPr="001E3995">
        <w:t>17, 2010).</w:t>
      </w:r>
    </w:p>
  </w:footnote>
  <w:footnote w:id="14">
    <w:p w14:paraId="7FCCF782" w14:textId="49439C0D" w:rsidR="001E3995" w:rsidRDefault="001E3995" w:rsidP="001E3995">
      <w:pPr>
        <w:pStyle w:val="FootnoteText"/>
      </w:pPr>
      <w:r w:rsidRPr="001E3995">
        <w:rPr>
          <w:vertAlign w:val="superscript"/>
        </w:rPr>
        <w:footnoteRef/>
      </w:r>
      <w:r w:rsidRPr="001E3995">
        <w:t>Diversity is defined in 28 U.S.C.</w:t>
      </w:r>
      <w:r w:rsidRPr="001E3995">
        <w:t xml:space="preserve"> </w:t>
      </w:r>
      <w:r w:rsidRPr="001E3995">
        <w:t>§1332(a).</w:t>
      </w:r>
      <w:r w:rsidRPr="001E3995">
        <w:t xml:space="preserve"> </w:t>
      </w:r>
      <w:r w:rsidRPr="001E3995">
        <w:t>Citizenship for corporations is defined in 28 U.S.C.</w:t>
      </w:r>
      <w:r w:rsidRPr="001E3995">
        <w:t xml:space="preserve"> </w:t>
      </w:r>
      <w:r w:rsidRPr="001E3995">
        <w:t>§1332(c)(1).</w:t>
      </w:r>
    </w:p>
  </w:footnote>
  <w:footnote w:id="15">
    <w:p w14:paraId="5D5F2600" w14:textId="618F8CAB" w:rsidR="001E3995" w:rsidRPr="00BE0FAB" w:rsidRDefault="001E3995" w:rsidP="001E3995">
      <w:pPr>
        <w:pStyle w:val="FootnoteText"/>
      </w:pPr>
      <w:r w:rsidRPr="001E3995">
        <w:rPr>
          <w:vertAlign w:val="superscript"/>
        </w:rPr>
        <w:footnoteRef/>
      </w:r>
      <w:r w:rsidRPr="001E3995">
        <w:rPr>
          <w:i/>
        </w:rPr>
        <w:t>Id.</w:t>
      </w:r>
      <w:r w:rsidRPr="001E3995">
        <w:rPr>
          <w:i/>
        </w:rPr>
        <w:t xml:space="preserve"> </w:t>
      </w:r>
      <w:r w:rsidRPr="001E3995">
        <w:t>§1332.</w:t>
      </w:r>
      <w:r w:rsidRPr="001E3995">
        <w:t xml:space="preserve"> </w:t>
      </w:r>
      <w:r w:rsidRPr="001E3995">
        <w:t>Since many state laws allow only injunctive relief (and most dilution claims request only such relief, even when damages are a possible remedy), it may be difficult to quantify the value of such relief.</w:t>
      </w:r>
      <w:r w:rsidRPr="001E3995">
        <w:t xml:space="preserve"> </w:t>
      </w:r>
      <w:r w:rsidRPr="001E3995">
        <w:rPr>
          <w:i/>
        </w:rPr>
        <w:t>See, e.g.</w:t>
      </w:r>
      <w:r w:rsidRPr="001E3995">
        <w:t>, Allied Chem.</w:t>
      </w:r>
      <w:r w:rsidRPr="001E3995">
        <w:t xml:space="preserve"> </w:t>
      </w:r>
      <w:r w:rsidRPr="001E3995">
        <w:t>Coatings, Inc.</w:t>
      </w:r>
      <w:r w:rsidRPr="001E3995">
        <w:t xml:space="preserve"> </w:t>
      </w:r>
      <w:r w:rsidRPr="001E3995">
        <w:t>v.</w:t>
      </w:r>
      <w:r w:rsidRPr="001E3995">
        <w:t xml:space="preserve"> </w:t>
      </w:r>
      <w:r w:rsidRPr="001E3995">
        <w:t>Allied Chem.</w:t>
      </w:r>
      <w:r w:rsidRPr="001E3995">
        <w:t xml:space="preserve"> </w:t>
      </w:r>
      <w:r w:rsidRPr="001E3995">
        <w:t>Corp., 272 F.2d 204, 204–05, 123 USPQ 472 (1st Cir.</w:t>
      </w:r>
      <w:r w:rsidRPr="001E3995">
        <w:t xml:space="preserve"> </w:t>
      </w:r>
      <w:r w:rsidRPr="001E3995">
        <w:t>1959) (discussing, but not deciding, whether the value of plaintiff’s goodwill in a mark satisfied the jurisdictional amount).</w:t>
      </w:r>
      <w:r w:rsidRPr="001E3995">
        <w:t xml:space="preserve"> </w:t>
      </w:r>
      <w:r w:rsidRPr="001E3995">
        <w:t xml:space="preserve">For a discussion of this problem, see generally </w:t>
      </w:r>
      <w:r w:rsidRPr="001E3995">
        <w:rPr>
          <w:smallCaps/>
        </w:rPr>
        <w:t>Charles Alan Wright, Arthur R.</w:t>
      </w:r>
      <w:r w:rsidRPr="001E3995">
        <w:rPr>
          <w:smallCaps/>
        </w:rPr>
        <w:t xml:space="preserve"> </w:t>
      </w:r>
      <w:r w:rsidRPr="001E3995">
        <w:rPr>
          <w:smallCaps/>
        </w:rPr>
        <w:t>Miller, &amp; Edward H.</w:t>
      </w:r>
      <w:r w:rsidRPr="001E3995">
        <w:rPr>
          <w:smallCaps/>
        </w:rPr>
        <w:t xml:space="preserve"> </w:t>
      </w:r>
      <w:r w:rsidRPr="001E3995">
        <w:rPr>
          <w:smallCaps/>
        </w:rPr>
        <w:t>Cooper, 14AA Federal Practice and Procedure</w:t>
      </w:r>
      <w:r w:rsidRPr="001E3995">
        <w:t xml:space="preserve"> §3708 (4th ed.</w:t>
      </w:r>
      <w:r w:rsidRPr="001E3995">
        <w:t xml:space="preserve"> </w:t>
      </w:r>
      <w:r w:rsidRPr="001E3995">
        <w:t>2010).</w:t>
      </w:r>
      <w:r w:rsidRPr="001E3995">
        <w:t xml:space="preserve"> </w:t>
      </w:r>
      <w:r w:rsidRPr="001E3995">
        <w:rPr>
          <w:i/>
        </w:rPr>
        <w:t>But cf.</w:t>
      </w:r>
      <w:r w:rsidRPr="001E3995">
        <w:rPr>
          <w:i/>
        </w:rPr>
        <w:t xml:space="preserve"> </w:t>
      </w:r>
      <w:r w:rsidRPr="001E3995">
        <w:t>Southern Marsh Collection LLC v.</w:t>
      </w:r>
      <w:r w:rsidRPr="001E3995">
        <w:t xml:space="preserve"> </w:t>
      </w:r>
      <w:r w:rsidRPr="001E3995">
        <w:t>Southern Proper Co., LLC, 771 F.</w:t>
      </w:r>
      <w:r w:rsidRPr="001E3995">
        <w:t xml:space="preserve"> </w:t>
      </w:r>
      <w:r w:rsidRPr="001E3995">
        <w:t>Supp.</w:t>
      </w:r>
      <w:r w:rsidRPr="001E3995">
        <w:t xml:space="preserve"> </w:t>
      </w:r>
      <w:r w:rsidRPr="001E3995">
        <w:t>3d 852, 865–68 (M.D.</w:t>
      </w:r>
      <w:r w:rsidRPr="001E3995">
        <w:t xml:space="preserve"> </w:t>
      </w:r>
      <w:r w:rsidRPr="001E3995">
        <w:t>La.</w:t>
      </w:r>
      <w:r w:rsidRPr="001E3995">
        <w:t xml:space="preserve"> </w:t>
      </w:r>
      <w:r w:rsidRPr="001E3995">
        <w:t>2025) (considering, from plaintiff’s viewpoint, the value of an injunction in a removal context).</w:t>
      </w:r>
    </w:p>
  </w:footnote>
  <w:footnote w:id="16">
    <w:p w14:paraId="773A6915" w14:textId="3419D8A7" w:rsidR="001E3995" w:rsidRDefault="001E3995" w:rsidP="001E3995">
      <w:pPr>
        <w:pStyle w:val="FootnoteText"/>
      </w:pPr>
      <w:r w:rsidRPr="001E3995">
        <w:rPr>
          <w:vertAlign w:val="superscript"/>
        </w:rPr>
        <w:footnoteRef/>
      </w:r>
      <w:r w:rsidRPr="001E3995">
        <w:t>28 U.S.C.</w:t>
      </w:r>
      <w:r w:rsidRPr="001E3995">
        <w:t xml:space="preserve"> </w:t>
      </w:r>
      <w:r w:rsidRPr="001E3995">
        <w:t>§1367.</w:t>
      </w:r>
    </w:p>
  </w:footnote>
  <w:footnote w:id="17">
    <w:p w14:paraId="563B6EB5" w14:textId="73CF0D08"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§1367(a).</w:t>
      </w:r>
    </w:p>
  </w:footnote>
  <w:footnote w:id="18">
    <w:p w14:paraId="7A32124F" w14:textId="6933D148" w:rsidR="001E3995" w:rsidRDefault="001E3995" w:rsidP="001E3995">
      <w:pPr>
        <w:pStyle w:val="FootnoteText"/>
      </w:pPr>
      <w:r w:rsidRPr="001E3995">
        <w:rPr>
          <w:vertAlign w:val="superscript"/>
        </w:rPr>
        <w:footnoteRef/>
      </w:r>
      <w:r w:rsidRPr="001E3995">
        <w:t>JTH Tax LLC v.</w:t>
      </w:r>
      <w:r w:rsidRPr="001E3995">
        <w:t xml:space="preserve"> </w:t>
      </w:r>
      <w:r w:rsidRPr="001E3995">
        <w:t>AMC Networks, Inc., 694 F.</w:t>
      </w:r>
      <w:r w:rsidRPr="001E3995">
        <w:t xml:space="preserve"> </w:t>
      </w:r>
      <w:r w:rsidRPr="001E3995">
        <w:t>Supp.</w:t>
      </w:r>
      <w:r w:rsidRPr="001E3995">
        <w:t xml:space="preserve"> </w:t>
      </w:r>
      <w:r w:rsidRPr="001E3995">
        <w:t>3d 315, 341 (S.D.N.Y.</w:t>
      </w:r>
      <w:r w:rsidRPr="001E3995">
        <w:t xml:space="preserve"> </w:t>
      </w:r>
      <w:r w:rsidRPr="001E3995">
        <w:t>2023);</w:t>
      </w:r>
      <w:r w:rsidRPr="001E3995">
        <w:t xml:space="preserve"> </w:t>
      </w:r>
      <w:r w:rsidRPr="001E3995">
        <w:t>Carnegie-Mellon Univ.</w:t>
      </w:r>
      <w:r w:rsidRPr="001E3995">
        <w:t xml:space="preserve"> </w:t>
      </w:r>
      <w:r w:rsidRPr="001E3995">
        <w:t>v.</w:t>
      </w:r>
      <w:r w:rsidRPr="001E3995">
        <w:t xml:space="preserve"> </w:t>
      </w:r>
      <w:r w:rsidRPr="001E3995">
        <w:t>Cohill, 484 U.S.</w:t>
      </w:r>
      <w:r w:rsidRPr="001E3995">
        <w:t xml:space="preserve"> </w:t>
      </w:r>
      <w:r w:rsidRPr="001E3995">
        <w:t>343, 350 &amp; n.7 (1988);</w:t>
      </w:r>
      <w:r w:rsidRPr="001E3995">
        <w:t xml:space="preserve"> </w:t>
      </w:r>
      <w:r w:rsidRPr="001E3995">
        <w:t>Hibbler v.</w:t>
      </w:r>
      <w:r w:rsidRPr="001E3995">
        <w:t xml:space="preserve"> </w:t>
      </w:r>
      <w:r w:rsidRPr="001E3995">
        <w:t>Sewell, 2015 U.S.</w:t>
      </w:r>
      <w:r w:rsidRPr="001E3995">
        <w:t xml:space="preserve"> </w:t>
      </w:r>
      <w:r w:rsidRPr="001E3995">
        <w:t>Dist.</w:t>
      </w:r>
      <w:r w:rsidRPr="001E3995">
        <w:t xml:space="preserve"> </w:t>
      </w:r>
      <w:r w:rsidRPr="001E3995">
        <w:t>LEXIS 46628, at *6 (W.D.</w:t>
      </w:r>
      <w:r w:rsidRPr="001E3995">
        <w:t xml:space="preserve"> </w:t>
      </w:r>
      <w:r w:rsidRPr="001E3995">
        <w:t>Wash.</w:t>
      </w:r>
      <w:r w:rsidRPr="001E3995">
        <w:t xml:space="preserve"> </w:t>
      </w:r>
      <w:r w:rsidRPr="001E3995">
        <w:t>Apr.</w:t>
      </w:r>
      <w:r w:rsidRPr="001E3995">
        <w:t xml:space="preserve"> </w:t>
      </w:r>
      <w:r w:rsidRPr="001E3995">
        <w:t>8, 2015);</w:t>
      </w:r>
      <w:r w:rsidRPr="001E3995">
        <w:t xml:space="preserve"> </w:t>
      </w:r>
      <w:r w:rsidRPr="001E3995">
        <w:rPr>
          <w:i/>
        </w:rPr>
        <w:t>see</w:t>
      </w:r>
      <w:r w:rsidRPr="001E3995">
        <w:t xml:space="preserve"> Christopher D.</w:t>
      </w:r>
      <w:r w:rsidRPr="001E3995">
        <w:t xml:space="preserve"> </w:t>
      </w:r>
      <w:r w:rsidRPr="001E3995">
        <w:t>Smithers Found., Inc.</w:t>
      </w:r>
      <w:r w:rsidRPr="001E3995">
        <w:t xml:space="preserve"> </w:t>
      </w:r>
      <w:r w:rsidRPr="001E3995">
        <w:t>v.</w:t>
      </w:r>
      <w:r w:rsidRPr="001E3995">
        <w:t xml:space="preserve"> </w:t>
      </w:r>
      <w:r w:rsidRPr="001E3995">
        <w:t>St.</w:t>
      </w:r>
      <w:r w:rsidRPr="001E3995">
        <w:t xml:space="preserve"> </w:t>
      </w:r>
      <w:r w:rsidRPr="001E3995">
        <w:t>Luke’s-Roosevelt Hosp.</w:t>
      </w:r>
      <w:r w:rsidRPr="001E3995">
        <w:t xml:space="preserve"> </w:t>
      </w:r>
      <w:r w:rsidRPr="001E3995">
        <w:t>Ctr., 2003 WL 115234, at *7 (S.D.N.Y.</w:t>
      </w:r>
      <w:r w:rsidRPr="001E3995">
        <w:t xml:space="preserve"> </w:t>
      </w:r>
      <w:r w:rsidRPr="001E3995">
        <w:t>2003) (dismissing state dilution claim);</w:t>
      </w:r>
      <w:r w:rsidRPr="001E3995">
        <w:t xml:space="preserve"> </w:t>
      </w:r>
      <w:r w:rsidRPr="001E3995">
        <w:t>WHS Entm’t Ventures v.</w:t>
      </w:r>
      <w:r w:rsidRPr="001E3995">
        <w:t xml:space="preserve"> </w:t>
      </w:r>
      <w:proofErr w:type="spellStart"/>
      <w:r w:rsidRPr="001E3995">
        <w:t>Paperworkers</w:t>
      </w:r>
      <w:proofErr w:type="spellEnd"/>
      <w:r w:rsidRPr="001E3995">
        <w:t>, 997 F.</w:t>
      </w:r>
      <w:r w:rsidRPr="001E3995">
        <w:t xml:space="preserve"> </w:t>
      </w:r>
      <w:r w:rsidRPr="001E3995">
        <w:t>Supp.</w:t>
      </w:r>
      <w:r w:rsidRPr="001E3995">
        <w:t xml:space="preserve"> </w:t>
      </w:r>
      <w:r w:rsidRPr="001E3995">
        <w:t>946, 954 (M.D.</w:t>
      </w:r>
      <w:r w:rsidRPr="001E3995">
        <w:t xml:space="preserve"> </w:t>
      </w:r>
      <w:r w:rsidRPr="001E3995">
        <w:t>Tenn.</w:t>
      </w:r>
      <w:r w:rsidRPr="001E3995">
        <w:t xml:space="preserve"> </w:t>
      </w:r>
      <w:r w:rsidRPr="001E3995">
        <w:t>1998).</w:t>
      </w:r>
    </w:p>
  </w:footnote>
  <w:footnote w:id="19">
    <w:p w14:paraId="15E02703" w14:textId="435865DF" w:rsidR="001E3995" w:rsidRDefault="001E3995" w:rsidP="001E3995">
      <w:pPr>
        <w:pStyle w:val="FootnoteText"/>
      </w:pPr>
      <w:r w:rsidRPr="001E3995">
        <w:rPr>
          <w:vertAlign w:val="superscript"/>
        </w:rPr>
        <w:footnoteRef/>
      </w:r>
      <w:r w:rsidRPr="001E3995">
        <w:rPr>
          <w:i/>
        </w:rPr>
        <w:t>See,</w:t>
      </w:r>
      <w:r w:rsidRPr="001E3995">
        <w:t xml:space="preserve"> </w:t>
      </w:r>
      <w:r w:rsidRPr="001E3995">
        <w:rPr>
          <w:i/>
        </w:rPr>
        <w:t>e.g.</w:t>
      </w:r>
      <w:r w:rsidRPr="001E3995">
        <w:t>, Gateway 2000, Inc.</w:t>
      </w:r>
      <w:r w:rsidRPr="001E3995">
        <w:t xml:space="preserve"> </w:t>
      </w:r>
      <w:r w:rsidRPr="001E3995">
        <w:t>v.</w:t>
      </w:r>
      <w:r w:rsidRPr="001E3995">
        <w:t xml:space="preserve"> </w:t>
      </w:r>
      <w:r w:rsidRPr="001E3995">
        <w:t>Cyrix Corp., 942 F.</w:t>
      </w:r>
      <w:r w:rsidRPr="001E3995">
        <w:t xml:space="preserve"> </w:t>
      </w:r>
      <w:r w:rsidRPr="001E3995">
        <w:t>Supp.</w:t>
      </w:r>
      <w:r w:rsidRPr="001E3995">
        <w:t xml:space="preserve"> </w:t>
      </w:r>
      <w:r w:rsidRPr="001E3995">
        <w:t>985, 990 (D.N.J.</w:t>
      </w:r>
      <w:r w:rsidRPr="001E3995">
        <w:t xml:space="preserve"> </w:t>
      </w:r>
      <w:r w:rsidRPr="001E3995">
        <w:t>1996).</w:t>
      </w:r>
    </w:p>
  </w:footnote>
  <w:footnote w:id="20">
    <w:p w14:paraId="163C64F5" w14:textId="4F0CEDC6" w:rsidR="001E3995" w:rsidRDefault="001E3995" w:rsidP="001E3995">
      <w:pPr>
        <w:pStyle w:val="FootnoteText"/>
      </w:pPr>
      <w:r w:rsidRPr="001E3995">
        <w:rPr>
          <w:vertAlign w:val="superscript"/>
        </w:rPr>
        <w:footnoteRef/>
      </w:r>
      <w:r w:rsidRPr="001E3995">
        <w:t>See id.</w:t>
      </w:r>
    </w:p>
  </w:footnote>
  <w:footnote w:id="21">
    <w:p w14:paraId="447DB255" w14:textId="3148F973"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991.</w:t>
      </w:r>
    </w:p>
  </w:footnote>
  <w:footnote w:id="22">
    <w:p w14:paraId="72C82E51" w14:textId="427961CA" w:rsidR="001E3995" w:rsidRDefault="001E3995" w:rsidP="001E3995">
      <w:pPr>
        <w:pStyle w:val="FootnoteText"/>
      </w:pPr>
      <w:r w:rsidRPr="001E3995">
        <w:rPr>
          <w:vertAlign w:val="superscript"/>
        </w:rPr>
        <w:footnoteRef/>
      </w:r>
      <w:r w:rsidRPr="001E3995">
        <w:rPr>
          <w:i/>
        </w:rPr>
        <w:t>See id</w:t>
      </w:r>
      <w:r w:rsidRPr="001E3995">
        <w:t>.</w:t>
      </w:r>
      <w:r w:rsidRPr="001E3995">
        <w:t xml:space="preserve"> </w:t>
      </w:r>
      <w:r w:rsidRPr="001E3995">
        <w:rPr>
          <w:i/>
        </w:rPr>
        <w:t>Accord</w:t>
      </w:r>
      <w:r w:rsidRPr="001E3995">
        <w:t xml:space="preserve"> Teaneck Taxi v.</w:t>
      </w:r>
      <w:r w:rsidRPr="001E3995">
        <w:t xml:space="preserve"> </w:t>
      </w:r>
      <w:r w:rsidRPr="001E3995">
        <w:t>Aura Transp., Inc., 2015 U.S.</w:t>
      </w:r>
      <w:r w:rsidRPr="001E3995">
        <w:t xml:space="preserve"> </w:t>
      </w:r>
      <w:r w:rsidRPr="001E3995">
        <w:t>Dist.</w:t>
      </w:r>
      <w:r w:rsidRPr="001E3995">
        <w:t xml:space="preserve"> </w:t>
      </w:r>
      <w:r w:rsidRPr="001E3995">
        <w:t>LEXIS 50746, at *7–8 (D.N.J.</w:t>
      </w:r>
      <w:r w:rsidRPr="001E3995">
        <w:t xml:space="preserve"> </w:t>
      </w:r>
      <w:r w:rsidRPr="001E3995">
        <w:t>Apr.</w:t>
      </w:r>
      <w:r w:rsidRPr="001E3995">
        <w:t xml:space="preserve"> </w:t>
      </w:r>
      <w:r w:rsidRPr="001E3995">
        <w:t>17, 2015) (federal registration not sufficient to create federal question jurisdiction).</w:t>
      </w:r>
    </w:p>
  </w:footnote>
  <w:footnote w:id="23">
    <w:p w14:paraId="39275A8D" w14:textId="45A96297"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993–94 (refusing to permit removal).</w:t>
      </w:r>
    </w:p>
  </w:footnote>
  <w:footnote w:id="24">
    <w:p w14:paraId="35DAFE60" w14:textId="7228E226" w:rsidR="001E3995" w:rsidRDefault="001E3995" w:rsidP="001E3995">
      <w:pPr>
        <w:pStyle w:val="FootnoteText"/>
      </w:pPr>
      <w:r w:rsidRPr="001E3995">
        <w:rPr>
          <w:vertAlign w:val="superscript"/>
        </w:rPr>
        <w:footnoteRef/>
      </w:r>
      <w:r w:rsidRPr="001E3995">
        <w:t>28 U.S.C.</w:t>
      </w:r>
      <w:r w:rsidRPr="001E3995">
        <w:t xml:space="preserve"> </w:t>
      </w:r>
      <w:r w:rsidRPr="001E3995">
        <w:t>§1367(c)(2).</w:t>
      </w:r>
    </w:p>
  </w:footnote>
  <w:footnote w:id="25">
    <w:p w14:paraId="7D2ADE7F" w14:textId="0E381D64" w:rsidR="001E3995" w:rsidRDefault="001E3995" w:rsidP="001E3995">
      <w:pPr>
        <w:pStyle w:val="FootnoteText"/>
      </w:pPr>
      <w:r w:rsidRPr="001E3995">
        <w:rPr>
          <w:vertAlign w:val="superscript"/>
        </w:rPr>
        <w:footnoteRef/>
      </w:r>
      <w:r w:rsidRPr="001E3995">
        <w:rPr>
          <w:i/>
        </w:rPr>
        <w:t>See</w:t>
      </w:r>
      <w:r w:rsidRPr="001E3995">
        <w:t xml:space="preserve"> Chapter 2, §I.C.</w:t>
      </w:r>
    </w:p>
  </w:footnote>
  <w:footnote w:id="26">
    <w:p w14:paraId="52F49366" w14:textId="5A88D406" w:rsidR="001E3995" w:rsidRDefault="001E3995" w:rsidP="001E3995">
      <w:pPr>
        <w:pStyle w:val="FootnoteText"/>
      </w:pPr>
      <w:r w:rsidRPr="001E3995">
        <w:rPr>
          <w:vertAlign w:val="superscript"/>
        </w:rPr>
        <w:footnoteRef/>
      </w:r>
      <w:r w:rsidRPr="001E3995">
        <w:t>See discussion of jury trials in §VI, below.</w:t>
      </w:r>
    </w:p>
  </w:footnote>
  <w:footnote w:id="27">
    <w:p w14:paraId="12CF91F3" w14:textId="19CC3356" w:rsidR="001E3995" w:rsidRDefault="001E3995" w:rsidP="001E3995">
      <w:pPr>
        <w:pStyle w:val="FootnoteText"/>
      </w:pPr>
      <w:r w:rsidRPr="001E3995">
        <w:rPr>
          <w:vertAlign w:val="superscript"/>
        </w:rPr>
        <w:footnoteRef/>
      </w:r>
      <w:r w:rsidRPr="001E3995">
        <w:rPr>
          <w:i/>
        </w:rPr>
        <w:t>But cf.</w:t>
      </w:r>
      <w:r w:rsidRPr="001E3995">
        <w:rPr>
          <w:i/>
        </w:rPr>
        <w:t xml:space="preserve"> </w:t>
      </w:r>
      <w:r w:rsidRPr="001E3995">
        <w:t>WHS Entm’t Ventures v.</w:t>
      </w:r>
      <w:r w:rsidRPr="001E3995">
        <w:t xml:space="preserve"> </w:t>
      </w:r>
      <w:proofErr w:type="spellStart"/>
      <w:r w:rsidRPr="001E3995">
        <w:t>Paperworkers</w:t>
      </w:r>
      <w:proofErr w:type="spellEnd"/>
      <w:r w:rsidRPr="001E3995">
        <w:t>, 997 F.</w:t>
      </w:r>
      <w:r w:rsidRPr="001E3995">
        <w:t xml:space="preserve"> </w:t>
      </w:r>
      <w:r w:rsidRPr="001E3995">
        <w:t>Supp.</w:t>
      </w:r>
      <w:r w:rsidRPr="001E3995">
        <w:t xml:space="preserve"> </w:t>
      </w:r>
      <w:r w:rsidRPr="001E3995">
        <w:t>946, 955 (M.D.</w:t>
      </w:r>
      <w:r w:rsidRPr="001E3995">
        <w:t xml:space="preserve"> </w:t>
      </w:r>
      <w:r w:rsidRPr="001E3995">
        <w:t>Tenn.</w:t>
      </w:r>
      <w:r w:rsidRPr="001E3995">
        <w:t xml:space="preserve"> </w:t>
      </w:r>
      <w:r w:rsidRPr="001E3995">
        <w:t>1998) (after dismissing federal claims, court declined jurisdiction over state trademark claims citing, inter alia, comity concerns in that the state law had received little attention from state courts).</w:t>
      </w:r>
    </w:p>
  </w:footnote>
  <w:footnote w:id="28">
    <w:p w14:paraId="66937463" w14:textId="63C7F726" w:rsidR="001E3995" w:rsidRDefault="001E3995" w:rsidP="001E3995">
      <w:pPr>
        <w:pStyle w:val="FootnoteText"/>
      </w:pPr>
      <w:r w:rsidRPr="001E3995">
        <w:rPr>
          <w:vertAlign w:val="superscript"/>
        </w:rPr>
        <w:footnoteRef/>
      </w:r>
      <w:r w:rsidRPr="001E3995">
        <w:t>28 U.S.C.</w:t>
      </w:r>
      <w:r w:rsidRPr="001E3995">
        <w:t xml:space="preserve"> </w:t>
      </w:r>
      <w:r w:rsidRPr="001E3995">
        <w:t>§1338(b).</w:t>
      </w:r>
      <w:r w:rsidRPr="001E3995">
        <w:t xml:space="preserve"> </w:t>
      </w:r>
      <w:r w:rsidRPr="001E3995">
        <w:t>This section grants district courts “original jurisdiction of any civil action asserting a claim of unfair competition when joined with a substantial and related claim under the copyright, patent, plant variety protection or trademark laws.”</w:t>
      </w:r>
    </w:p>
  </w:footnote>
  <w:footnote w:id="29">
    <w:p w14:paraId="5FB4C3E4" w14:textId="08B53587" w:rsidR="001E3995" w:rsidRDefault="001E3995" w:rsidP="001E3995">
      <w:pPr>
        <w:pStyle w:val="FootnoteText"/>
      </w:pPr>
      <w:r w:rsidRPr="001E3995">
        <w:rPr>
          <w:vertAlign w:val="superscript"/>
        </w:rPr>
        <w:footnoteRef/>
      </w:r>
      <w:r w:rsidRPr="001E3995">
        <w:t>El Centro Foods, Inc.</w:t>
      </w:r>
      <w:r w:rsidRPr="001E3995">
        <w:t xml:space="preserve"> </w:t>
      </w:r>
      <w:r w:rsidRPr="001E3995">
        <w:t>v.</w:t>
      </w:r>
      <w:r w:rsidRPr="001E3995">
        <w:t xml:space="preserve"> </w:t>
      </w:r>
      <w:r w:rsidRPr="001E3995">
        <w:t>Nazarian, 2010 U.S.</w:t>
      </w:r>
      <w:r w:rsidRPr="001E3995">
        <w:t xml:space="preserve"> </w:t>
      </w:r>
      <w:r w:rsidRPr="001E3995">
        <w:t>Dist.</w:t>
      </w:r>
      <w:r w:rsidRPr="001E3995">
        <w:t xml:space="preserve"> </w:t>
      </w:r>
      <w:r w:rsidRPr="001E3995">
        <w:t>LEXIS 49745 (C.D.</w:t>
      </w:r>
      <w:r w:rsidRPr="001E3995">
        <w:t xml:space="preserve"> </w:t>
      </w:r>
      <w:r w:rsidRPr="001E3995">
        <w:t>Cal.</w:t>
      </w:r>
      <w:r w:rsidRPr="001E3995">
        <w:t xml:space="preserve"> </w:t>
      </w:r>
      <w:r w:rsidRPr="001E3995">
        <w:t>Apr.</w:t>
      </w:r>
      <w:r w:rsidRPr="001E3995">
        <w:t xml:space="preserve"> </w:t>
      </w:r>
      <w:r w:rsidRPr="001E3995">
        <w:t>21, 2010) (federal trademark claims turn on disposition of franchise agreement issues, governed by state law);</w:t>
      </w:r>
      <w:r w:rsidRPr="001E3995">
        <w:t xml:space="preserve"> </w:t>
      </w:r>
      <w:r w:rsidRPr="001E3995">
        <w:t>Bonato v.</w:t>
      </w:r>
      <w:r w:rsidRPr="001E3995">
        <w:t xml:space="preserve"> </w:t>
      </w:r>
      <w:r w:rsidRPr="001E3995">
        <w:t>Infinito Art &amp; Culture Found., Inc., 2007 U.S.</w:t>
      </w:r>
      <w:r w:rsidRPr="001E3995">
        <w:t xml:space="preserve"> </w:t>
      </w:r>
      <w:r w:rsidRPr="001E3995">
        <w:t>Dist.</w:t>
      </w:r>
      <w:r w:rsidRPr="001E3995">
        <w:t xml:space="preserve"> </w:t>
      </w:r>
      <w:r w:rsidRPr="001E3995">
        <w:t>LEXIS 26019, at *10–13 (S.D.N.Y.</w:t>
      </w:r>
      <w:r w:rsidRPr="001E3995">
        <w:t xml:space="preserve"> </w:t>
      </w:r>
      <w:r w:rsidRPr="001E3995">
        <w:t>Apr.</w:t>
      </w:r>
      <w:r w:rsidRPr="001E3995">
        <w:t xml:space="preserve"> </w:t>
      </w:r>
      <w:r w:rsidRPr="001E3995">
        <w:t>5, 2007) (citing Colorado R.</w:t>
      </w:r>
      <w:r w:rsidRPr="001E3995">
        <w:t xml:space="preserve"> </w:t>
      </w:r>
      <w:r w:rsidRPr="001E3995">
        <w:t>Water Conservation Dist.</w:t>
      </w:r>
      <w:r w:rsidRPr="001E3995">
        <w:t xml:space="preserve"> </w:t>
      </w:r>
      <w:r w:rsidRPr="001E3995">
        <w:t>v.</w:t>
      </w:r>
      <w:r w:rsidRPr="001E3995">
        <w:t xml:space="preserve"> </w:t>
      </w:r>
      <w:r w:rsidRPr="001E3995">
        <w:t>United States, 424 U.S.</w:t>
      </w:r>
      <w:r w:rsidRPr="001E3995">
        <w:t xml:space="preserve"> </w:t>
      </w:r>
      <w:r w:rsidRPr="001E3995">
        <w:t>800, 817 (1976)).</w:t>
      </w:r>
    </w:p>
  </w:footnote>
  <w:footnote w:id="30">
    <w:p w14:paraId="24257470" w14:textId="49DA31F3" w:rsidR="001E3995" w:rsidRDefault="001E3995" w:rsidP="001E3995">
      <w:pPr>
        <w:pStyle w:val="FootnoteText"/>
      </w:pPr>
      <w:r w:rsidRPr="001E3995">
        <w:rPr>
          <w:vertAlign w:val="superscript"/>
        </w:rPr>
        <w:footnoteRef/>
      </w:r>
      <w:r w:rsidRPr="001E3995">
        <w:rPr>
          <w:i/>
        </w:rPr>
        <w:t>See, e.g.</w:t>
      </w:r>
      <w:r w:rsidRPr="001E3995">
        <w:t>, cases cited in Chapter 2, §I.A.2.</w:t>
      </w:r>
    </w:p>
  </w:footnote>
  <w:footnote w:id="31">
    <w:p w14:paraId="6D94A94A" w14:textId="0EFA3DCC" w:rsidR="001E3995" w:rsidRDefault="001E3995" w:rsidP="001E3995">
      <w:pPr>
        <w:pStyle w:val="FootnoteText"/>
      </w:pPr>
      <w:r w:rsidRPr="001E3995">
        <w:rPr>
          <w:vertAlign w:val="superscript"/>
        </w:rPr>
        <w:footnoteRef/>
      </w:r>
      <w:r w:rsidRPr="001E3995">
        <w:t>302 F.3d 248, 64 USPQ2d 1248 (4th Cir.</w:t>
      </w:r>
      <w:r w:rsidRPr="001E3995">
        <w:t xml:space="preserve"> </w:t>
      </w:r>
      <w:r w:rsidRPr="001E3995">
        <w:t>2002).</w:t>
      </w:r>
    </w:p>
  </w:footnote>
  <w:footnote w:id="32">
    <w:p w14:paraId="0820E219" w14:textId="52BB0A99" w:rsid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261.</w:t>
      </w:r>
      <w:r w:rsidRPr="001E3995">
        <w:t xml:space="preserve"> </w:t>
      </w:r>
      <w:r w:rsidRPr="001E3995">
        <w:t>See Chapter 14 for a discussion of the ACPA.</w:t>
      </w:r>
    </w:p>
  </w:footnote>
  <w:footnote w:id="33">
    <w:p w14:paraId="2A7BF3B2" w14:textId="6C9268D2" w:rsidR="001E3995" w:rsidRDefault="001E3995" w:rsidP="001E3995">
      <w:pPr>
        <w:pStyle w:val="FootnoteText"/>
      </w:pPr>
      <w:r w:rsidRPr="001E3995">
        <w:rPr>
          <w:vertAlign w:val="superscript"/>
        </w:rPr>
        <w:footnoteRef/>
      </w:r>
      <w:r w:rsidRPr="001E3995">
        <w:rPr>
          <w:i/>
        </w:rPr>
        <w:t>See</w:t>
      </w:r>
      <w:r w:rsidRPr="001E3995">
        <w:t xml:space="preserve"> Levi Strauss &amp; Co.</w:t>
      </w:r>
      <w:r w:rsidRPr="001E3995">
        <w:t xml:space="preserve"> </w:t>
      </w:r>
      <w:r w:rsidRPr="001E3995">
        <w:t>v.</w:t>
      </w:r>
      <w:r w:rsidRPr="001E3995">
        <w:t xml:space="preserve"> </w:t>
      </w:r>
      <w:r w:rsidRPr="001E3995">
        <w:t>Americanjeans.com, 2011 U.S.</w:t>
      </w:r>
      <w:r w:rsidRPr="001E3995">
        <w:t xml:space="preserve"> </w:t>
      </w:r>
      <w:r w:rsidRPr="001E3995">
        <w:t>Dist.</w:t>
      </w:r>
      <w:r w:rsidRPr="001E3995">
        <w:t xml:space="preserve"> </w:t>
      </w:r>
      <w:r w:rsidRPr="001E3995">
        <w:t>LEXIS 39134, at *5–8 (N.D.</w:t>
      </w:r>
      <w:r w:rsidRPr="001E3995">
        <w:t xml:space="preserve"> </w:t>
      </w:r>
      <w:r w:rsidRPr="001E3995">
        <w:t>Cal.</w:t>
      </w:r>
      <w:r w:rsidRPr="001E3995">
        <w:t xml:space="preserve"> </w:t>
      </w:r>
      <w:r w:rsidRPr="001E3995">
        <w:t>Apr.</w:t>
      </w:r>
      <w:r w:rsidRPr="001E3995">
        <w:t xml:space="preserve"> </w:t>
      </w:r>
      <w:r w:rsidRPr="001E3995">
        <w:t>11, 2011) (declining to exercise supplemental jurisdiction over a trademark claim founded on European law).</w:t>
      </w:r>
    </w:p>
  </w:footnote>
  <w:footnote w:id="34">
    <w:p w14:paraId="0F38C289" w14:textId="548307D3" w:rsidR="001E3995" w:rsidRDefault="001E3995" w:rsidP="001E3995">
      <w:pPr>
        <w:pStyle w:val="FootnoteText"/>
      </w:pPr>
      <w:r w:rsidRPr="001E3995">
        <w:rPr>
          <w:vertAlign w:val="superscript"/>
        </w:rPr>
        <w:footnoteRef/>
      </w:r>
      <w:r w:rsidRPr="001E3995">
        <w:t>The general federal venue statute is 28 U.S.C.</w:t>
      </w:r>
      <w:r w:rsidRPr="001E3995">
        <w:t xml:space="preserve"> </w:t>
      </w:r>
      <w:r w:rsidRPr="001E3995">
        <w:t>§1391.</w:t>
      </w:r>
      <w:r w:rsidRPr="001E3995">
        <w:t xml:space="preserve"> </w:t>
      </w:r>
      <w:r w:rsidRPr="001E3995">
        <w:t>If a state dilution claim were brought in federal court using diversity jurisdiction, the same statute would apply.</w:t>
      </w:r>
    </w:p>
  </w:footnote>
  <w:footnote w:id="35">
    <w:p w14:paraId="0F9D3281" w14:textId="574CECD9"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§1391(c)(2).</w:t>
      </w:r>
      <w:r w:rsidRPr="001E3995">
        <w:t xml:space="preserve"> </w:t>
      </w:r>
      <w:r w:rsidRPr="001E3995">
        <w:t>There are additional considerations if the state has multiple judicial districts.</w:t>
      </w:r>
      <w:r w:rsidRPr="001E3995">
        <w:t xml:space="preserve"> </w:t>
      </w:r>
      <w:r w:rsidRPr="001E3995">
        <w:rPr>
          <w:i/>
        </w:rPr>
        <w:t>Id</w:t>
      </w:r>
      <w:r w:rsidRPr="001E3995">
        <w:t>.</w:t>
      </w:r>
      <w:r w:rsidRPr="001E3995">
        <w:t xml:space="preserve"> </w:t>
      </w:r>
      <w:r w:rsidRPr="001E3995">
        <w:t>§1391(d).</w:t>
      </w:r>
      <w:r w:rsidRPr="001E3995">
        <w:t xml:space="preserve"> </w:t>
      </w:r>
      <w:r w:rsidRPr="001E3995">
        <w:t xml:space="preserve">A corporation will be considered a resident of a district in a multi-district state if it is subject to personal jurisdiction in the state, and its contacts </w:t>
      </w:r>
      <w:r w:rsidRPr="001E3995">
        <w:rPr>
          <w:i/>
        </w:rPr>
        <w:t>with the district</w:t>
      </w:r>
      <w:r w:rsidRPr="001E3995">
        <w:t xml:space="preserve"> are such that it would be subject to personal jurisdiction in the district if the district were a separate state.</w:t>
      </w:r>
      <w:r w:rsidRPr="001E3995">
        <w:t xml:space="preserve"> </w:t>
      </w:r>
      <w:r w:rsidRPr="001E3995">
        <w:rPr>
          <w:i/>
        </w:rPr>
        <w:t>E.g.</w:t>
      </w:r>
      <w:r w:rsidRPr="001E3995">
        <w:t>, Surface Supplied Inc.</w:t>
      </w:r>
      <w:r w:rsidRPr="001E3995">
        <w:t xml:space="preserve"> </w:t>
      </w:r>
      <w:r w:rsidRPr="001E3995">
        <w:t>v.</w:t>
      </w:r>
      <w:r w:rsidRPr="001E3995">
        <w:t xml:space="preserve"> </w:t>
      </w:r>
      <w:r w:rsidRPr="001E3995">
        <w:t>Kirby Morgan Dive Sys., Inc., 2013 U.S.</w:t>
      </w:r>
      <w:r w:rsidRPr="001E3995">
        <w:t xml:space="preserve"> </w:t>
      </w:r>
      <w:r w:rsidRPr="001E3995">
        <w:t>Dist.</w:t>
      </w:r>
      <w:r w:rsidRPr="001E3995">
        <w:t xml:space="preserve"> </w:t>
      </w:r>
      <w:r w:rsidRPr="001E3995">
        <w:t>LEXIS 75519, at *6–10 (N.D.</w:t>
      </w:r>
      <w:r w:rsidRPr="001E3995">
        <w:t xml:space="preserve"> </w:t>
      </w:r>
      <w:r w:rsidRPr="001E3995">
        <w:t>Cal.</w:t>
      </w:r>
      <w:r w:rsidRPr="001E3995">
        <w:t xml:space="preserve"> </w:t>
      </w:r>
      <w:r w:rsidRPr="001E3995">
        <w:t>May 29, 2013) (finding insufficient contacts with the district to support jurisdiction in that district).</w:t>
      </w:r>
      <w:r w:rsidRPr="001E3995">
        <w:t xml:space="preserve"> </w:t>
      </w:r>
      <w:r w:rsidRPr="001E3995">
        <w:t>Furthermore, under §1391(c)(2), any entity that is not a natural person—</w:t>
      </w:r>
      <w:proofErr w:type="gramStart"/>
      <w:r w:rsidRPr="001E3995">
        <w:t>whether or not</w:t>
      </w:r>
      <w:proofErr w:type="gramEnd"/>
      <w:r w:rsidRPr="001E3995">
        <w:t xml:space="preserve"> it is a corporation—that has the capacity to be sued in its own name is treated for venue residence purposes in the same manner as a corporation.</w:t>
      </w:r>
    </w:p>
  </w:footnote>
  <w:footnote w:id="36">
    <w:p w14:paraId="09F3B5FE" w14:textId="220B9514" w:rsidR="001E3995" w:rsidRDefault="001E3995" w:rsidP="001E3995">
      <w:pPr>
        <w:pStyle w:val="FootnoteText"/>
      </w:pPr>
      <w:r w:rsidRPr="001E3995">
        <w:rPr>
          <w:vertAlign w:val="superscript"/>
        </w:rPr>
        <w:footnoteRef/>
      </w:r>
      <w:r w:rsidRPr="001E3995">
        <w:t>Fossil, Inc.</w:t>
      </w:r>
      <w:r w:rsidRPr="001E3995">
        <w:t xml:space="preserve"> </w:t>
      </w:r>
      <w:r w:rsidRPr="001E3995">
        <w:t>v.</w:t>
      </w:r>
      <w:r w:rsidRPr="001E3995">
        <w:t xml:space="preserve"> </w:t>
      </w:r>
      <w:r w:rsidRPr="001E3995">
        <w:t>Knicks Mend-Rite Co., 1998 WL 158674, at *4 (N.D.</w:t>
      </w:r>
      <w:r w:rsidRPr="001E3995">
        <w:t xml:space="preserve"> </w:t>
      </w:r>
      <w:r w:rsidRPr="001E3995">
        <w:t>Tex.</w:t>
      </w:r>
      <w:r w:rsidRPr="001E3995">
        <w:t xml:space="preserve"> </w:t>
      </w:r>
      <w:r w:rsidRPr="001E3995">
        <w:t>Mar.</w:t>
      </w:r>
      <w:r w:rsidRPr="001E3995">
        <w:t xml:space="preserve"> </w:t>
      </w:r>
      <w:r w:rsidRPr="001E3995">
        <w:t>25, 1998).</w:t>
      </w:r>
      <w:r w:rsidRPr="001E3995">
        <w:t xml:space="preserve"> </w:t>
      </w:r>
      <w:r w:rsidRPr="001E3995">
        <w:rPr>
          <w:i/>
        </w:rPr>
        <w:t>But cf</w:t>
      </w:r>
      <w:r w:rsidRPr="001E3995">
        <w:t>.</w:t>
      </w:r>
      <w:r w:rsidRPr="001E3995">
        <w:t xml:space="preserve"> </w:t>
      </w:r>
      <w:r w:rsidRPr="001E3995">
        <w:rPr>
          <w:i/>
        </w:rPr>
        <w:t>Surface Supplied</w:t>
      </w:r>
      <w:r w:rsidRPr="001E3995">
        <w:t>, 2013 U.S.</w:t>
      </w:r>
      <w:r w:rsidRPr="001E3995">
        <w:t xml:space="preserve"> </w:t>
      </w:r>
      <w:r w:rsidRPr="001E3995">
        <w:t>Dist.</w:t>
      </w:r>
      <w:r w:rsidRPr="001E3995">
        <w:t xml:space="preserve"> </w:t>
      </w:r>
      <w:r w:rsidRPr="001E3995">
        <w:t>LEXIS 75519, at *11 (allegedly infringing activity took place in another district of the state).</w:t>
      </w:r>
      <w:r w:rsidRPr="001E3995">
        <w:t xml:space="preserve"> </w:t>
      </w:r>
      <w:r w:rsidRPr="001E3995">
        <w:t xml:space="preserve">It is not necessary that </w:t>
      </w:r>
      <w:proofErr w:type="gramStart"/>
      <w:r w:rsidRPr="001E3995">
        <w:t>the majority of</w:t>
      </w:r>
      <w:proofErr w:type="gramEnd"/>
      <w:r w:rsidRPr="001E3995">
        <w:t xml:space="preserve"> activity take place in the district as long as a “substantial” amount of the activity giving rise to the claim occurs there.</w:t>
      </w:r>
      <w:r w:rsidRPr="001E3995">
        <w:t xml:space="preserve"> </w:t>
      </w:r>
      <w:r w:rsidRPr="001E3995">
        <w:t>Sea Tow Servs.</w:t>
      </w:r>
      <w:r w:rsidRPr="001E3995">
        <w:t xml:space="preserve"> </w:t>
      </w:r>
      <w:r w:rsidRPr="001E3995">
        <w:t>Int’l, Inc.</w:t>
      </w:r>
      <w:r w:rsidRPr="001E3995">
        <w:t xml:space="preserve"> </w:t>
      </w:r>
      <w:r w:rsidRPr="001E3995">
        <w:t>v.</w:t>
      </w:r>
      <w:r w:rsidRPr="001E3995">
        <w:t xml:space="preserve"> </w:t>
      </w:r>
      <w:r w:rsidRPr="001E3995">
        <w:t>Pontin, 472 F.</w:t>
      </w:r>
      <w:r w:rsidRPr="001E3995">
        <w:t xml:space="preserve"> </w:t>
      </w:r>
      <w:r w:rsidRPr="001E3995">
        <w:t>Supp.</w:t>
      </w:r>
      <w:r w:rsidRPr="001E3995">
        <w:t xml:space="preserve"> </w:t>
      </w:r>
      <w:r w:rsidRPr="001E3995">
        <w:t>2d 349, 363 (E.D.N.Y.</w:t>
      </w:r>
      <w:r w:rsidRPr="001E3995">
        <w:t xml:space="preserve"> </w:t>
      </w:r>
      <w:r w:rsidRPr="001E3995">
        <w:t>2007);</w:t>
      </w:r>
      <w:r w:rsidRPr="001E3995">
        <w:t xml:space="preserve"> </w:t>
      </w:r>
      <w:r w:rsidRPr="001E3995">
        <w:t>Cartier v.</w:t>
      </w:r>
      <w:r w:rsidRPr="001E3995">
        <w:t xml:space="preserve"> </w:t>
      </w:r>
      <w:r w:rsidRPr="001E3995">
        <w:t>Micha, Inc., 2007 U.S.</w:t>
      </w:r>
      <w:r w:rsidRPr="001E3995">
        <w:t xml:space="preserve"> </w:t>
      </w:r>
      <w:r w:rsidRPr="001E3995">
        <w:t>Dist.</w:t>
      </w:r>
      <w:r w:rsidRPr="001E3995">
        <w:t xml:space="preserve"> </w:t>
      </w:r>
      <w:r w:rsidRPr="001E3995">
        <w:t>LEXIS 29785, at *11–12 (S.D.N.Y.</w:t>
      </w:r>
      <w:r w:rsidRPr="001E3995">
        <w:t xml:space="preserve"> </w:t>
      </w:r>
      <w:r w:rsidRPr="001E3995">
        <w:t>Apr.</w:t>
      </w:r>
      <w:r w:rsidRPr="001E3995">
        <w:t xml:space="preserve"> </w:t>
      </w:r>
      <w:r w:rsidRPr="001E3995">
        <w:t>20, 2007).</w:t>
      </w:r>
    </w:p>
  </w:footnote>
  <w:footnote w:id="37">
    <w:p w14:paraId="4151DAFD" w14:textId="5DC92085" w:rsidR="001E3995" w:rsidRDefault="001E3995" w:rsidP="001E3995">
      <w:pPr>
        <w:pStyle w:val="FootnoteText"/>
      </w:pPr>
      <w:r w:rsidRPr="001E3995">
        <w:rPr>
          <w:vertAlign w:val="superscript"/>
        </w:rPr>
        <w:footnoteRef/>
      </w:r>
      <w:r w:rsidRPr="001E3995">
        <w:t>Woodke v.</w:t>
      </w:r>
      <w:r w:rsidRPr="001E3995">
        <w:t xml:space="preserve"> </w:t>
      </w:r>
      <w:r w:rsidRPr="001E3995">
        <w:t>Dahm, 70 F.3d 983, 985, 37 USPQ2d 1062 (8th Cir.</w:t>
      </w:r>
      <w:r w:rsidRPr="001E3995">
        <w:t xml:space="preserve"> </w:t>
      </w:r>
      <w:r w:rsidRPr="001E3995">
        <w:t>1995).</w:t>
      </w:r>
    </w:p>
  </w:footnote>
  <w:footnote w:id="38">
    <w:p w14:paraId="5C8F4F2E" w14:textId="4CE56A44" w:rsidR="001E3995" w:rsidRDefault="001E3995" w:rsidP="001E3995">
      <w:pPr>
        <w:pStyle w:val="FootnoteText"/>
      </w:pPr>
      <w:r w:rsidRPr="001E3995">
        <w:rPr>
          <w:vertAlign w:val="superscript"/>
        </w:rPr>
        <w:footnoteRef/>
      </w:r>
      <w:r w:rsidRPr="001E3995">
        <w:rPr>
          <w:i/>
        </w:rPr>
        <w:t>Fossil</w:t>
      </w:r>
      <w:r w:rsidRPr="001E3995">
        <w:t>, 1998 WL 158674, at *4;</w:t>
      </w:r>
      <w:r w:rsidRPr="001E3995">
        <w:t xml:space="preserve"> </w:t>
      </w:r>
      <w:r w:rsidRPr="001E3995">
        <w:rPr>
          <w:i/>
        </w:rPr>
        <w:t>accord</w:t>
      </w:r>
      <w:r w:rsidRPr="001E3995">
        <w:t xml:space="preserve"> </w:t>
      </w:r>
      <w:proofErr w:type="spellStart"/>
      <w:r w:rsidRPr="001E3995">
        <w:t>Hopjacks</w:t>
      </w:r>
      <w:proofErr w:type="spellEnd"/>
      <w:r w:rsidRPr="001E3995">
        <w:t>, Inc.</w:t>
      </w:r>
      <w:r w:rsidRPr="001E3995">
        <w:t xml:space="preserve"> </w:t>
      </w:r>
      <w:r w:rsidRPr="001E3995">
        <w:t>v.</w:t>
      </w:r>
      <w:r w:rsidRPr="001E3995">
        <w:t xml:space="preserve"> </w:t>
      </w:r>
      <w:r w:rsidRPr="001E3995">
        <w:t>Rock Solid Rests., LLC, 2018 WL 3635111, at *4, 2018 BL 276511 (M.D.</w:t>
      </w:r>
      <w:r w:rsidRPr="001E3995">
        <w:t xml:space="preserve"> </w:t>
      </w:r>
      <w:r w:rsidRPr="001E3995">
        <w:t>Fla.</w:t>
      </w:r>
      <w:r w:rsidRPr="001E3995">
        <w:t xml:space="preserve"> </w:t>
      </w:r>
      <w:r w:rsidRPr="001E3995">
        <w:t>May 11, 2018);</w:t>
      </w:r>
      <w:r w:rsidRPr="001E3995">
        <w:t xml:space="preserve"> </w:t>
      </w:r>
      <w:r w:rsidRPr="001E3995">
        <w:t>Mattel, Inc.</w:t>
      </w:r>
      <w:r w:rsidRPr="001E3995">
        <w:t xml:space="preserve"> </w:t>
      </w:r>
      <w:r w:rsidRPr="001E3995">
        <w:t>v.</w:t>
      </w:r>
      <w:r w:rsidRPr="001E3995">
        <w:t xml:space="preserve"> </w:t>
      </w:r>
      <w:r w:rsidRPr="001E3995">
        <w:t>Adventure Apparel, 2001 WL 1035140, 2001 BL 1316 (S.D.N.Y.</w:t>
      </w:r>
      <w:r w:rsidRPr="001E3995">
        <w:t xml:space="preserve"> </w:t>
      </w:r>
      <w:r w:rsidRPr="001E3995">
        <w:t>Sept.</w:t>
      </w:r>
      <w:r w:rsidRPr="001E3995">
        <w:t xml:space="preserve"> </w:t>
      </w:r>
      <w:r w:rsidRPr="001E3995">
        <w:t>7, 2001) (single sale from alleged diluting Internet domain sufficient).</w:t>
      </w:r>
      <w:r w:rsidRPr="001E3995">
        <w:t xml:space="preserve"> </w:t>
      </w:r>
      <w:r w:rsidRPr="001E3995">
        <w:rPr>
          <w:i/>
        </w:rPr>
        <w:t>But cf.</w:t>
      </w:r>
      <w:r w:rsidRPr="001E3995">
        <w:rPr>
          <w:i/>
        </w:rPr>
        <w:t xml:space="preserve"> </w:t>
      </w:r>
      <w:r w:rsidRPr="001E3995">
        <w:t>Cartier v.</w:t>
      </w:r>
      <w:r w:rsidRPr="001E3995">
        <w:t xml:space="preserve"> </w:t>
      </w:r>
      <w:r w:rsidRPr="001E3995">
        <w:t>Micha, Inc., 2007 U.S.</w:t>
      </w:r>
      <w:r w:rsidRPr="001E3995">
        <w:t xml:space="preserve"> </w:t>
      </w:r>
      <w:r w:rsidRPr="001E3995">
        <w:t>Dist.</w:t>
      </w:r>
      <w:r w:rsidRPr="001E3995">
        <w:t xml:space="preserve"> </w:t>
      </w:r>
      <w:r w:rsidRPr="001E3995">
        <w:t>LEXIS 29785, at *11 (S.D.N.Y.</w:t>
      </w:r>
      <w:r w:rsidRPr="001E3995">
        <w:t xml:space="preserve"> </w:t>
      </w:r>
      <w:r w:rsidRPr="001E3995">
        <w:t>Apr.</w:t>
      </w:r>
      <w:r w:rsidRPr="001E3995">
        <w:t xml:space="preserve"> </w:t>
      </w:r>
      <w:r w:rsidRPr="001E3995">
        <w:t>20, 2007) (if marketing not directed at the district, then “the sale of a substantial amount of the alleged trademark-infringing goods must occur to satisfy the ‘substantial part’ requirement”).</w:t>
      </w:r>
    </w:p>
  </w:footnote>
  <w:footnote w:id="39">
    <w:p w14:paraId="14940BFA" w14:textId="7F15FBA4" w:rsidR="001E3995" w:rsidRDefault="001E3995" w:rsidP="001E3995">
      <w:pPr>
        <w:pStyle w:val="FootnoteText"/>
      </w:pPr>
      <w:r w:rsidRPr="001E3995">
        <w:rPr>
          <w:vertAlign w:val="superscript"/>
        </w:rPr>
        <w:footnoteRef/>
      </w:r>
      <w:r w:rsidRPr="001E3995">
        <w:rPr>
          <w:i/>
        </w:rPr>
        <w:t>Woodke</w:t>
      </w:r>
      <w:r w:rsidRPr="001E3995">
        <w:t>, 70 F.3d at 985;</w:t>
      </w:r>
      <w:r w:rsidRPr="001E3995">
        <w:t xml:space="preserve"> </w:t>
      </w:r>
      <w:proofErr w:type="spellStart"/>
      <w:r w:rsidRPr="001E3995">
        <w:rPr>
          <w:i/>
        </w:rPr>
        <w:t>Hopjacks</w:t>
      </w:r>
      <w:proofErr w:type="spellEnd"/>
      <w:r w:rsidRPr="001E3995">
        <w:t>, 2018 WL 3635111, at *4, 2018 BL 276511.</w:t>
      </w:r>
      <w:r w:rsidRPr="001E3995">
        <w:t xml:space="preserve"> </w:t>
      </w:r>
      <w:r w:rsidRPr="001E3995">
        <w:rPr>
          <w:i/>
        </w:rPr>
        <w:t>But cf.</w:t>
      </w:r>
      <w:r w:rsidRPr="001E3995">
        <w:rPr>
          <w:i/>
        </w:rPr>
        <w:t xml:space="preserve"> </w:t>
      </w:r>
      <w:r w:rsidRPr="001E3995">
        <w:t>Minnesota Mining &amp; Mfg.</w:t>
      </w:r>
      <w:r w:rsidRPr="001E3995">
        <w:t xml:space="preserve"> </w:t>
      </w:r>
      <w:r w:rsidRPr="001E3995">
        <w:t>Co.</w:t>
      </w:r>
      <w:r w:rsidRPr="001E3995">
        <w:t xml:space="preserve"> </w:t>
      </w:r>
      <w:r w:rsidRPr="001E3995">
        <w:t>v.</w:t>
      </w:r>
      <w:r w:rsidRPr="001E3995">
        <w:t xml:space="preserve"> </w:t>
      </w:r>
      <w:r w:rsidRPr="001E3995">
        <w:t>Rauh Rubber, 943 F.</w:t>
      </w:r>
      <w:r w:rsidRPr="001E3995">
        <w:t xml:space="preserve"> </w:t>
      </w:r>
      <w:r w:rsidRPr="001E3995">
        <w:t>Supp.</w:t>
      </w:r>
      <w:r w:rsidRPr="001E3995">
        <w:t xml:space="preserve"> </w:t>
      </w:r>
      <w:r w:rsidRPr="001E3995">
        <w:t>1117, 1125, 42 USPQ2d 1027 (D.</w:t>
      </w:r>
      <w:r w:rsidRPr="001E3995">
        <w:t xml:space="preserve"> </w:t>
      </w:r>
      <w:r w:rsidRPr="001E3995">
        <w:t>Minn.</w:t>
      </w:r>
      <w:r w:rsidRPr="001E3995">
        <w:t xml:space="preserve"> </w:t>
      </w:r>
      <w:r w:rsidRPr="001E3995">
        <w:t>1996) (indicating that location of the trademark owner would be proper place for venue;</w:t>
      </w:r>
      <w:r w:rsidRPr="001E3995">
        <w:t xml:space="preserve"> </w:t>
      </w:r>
      <w:r w:rsidRPr="001E3995">
        <w:t xml:space="preserve">noting, however, that other substantial events also took place in the district), </w:t>
      </w:r>
      <w:r w:rsidRPr="001E3995">
        <w:rPr>
          <w:i/>
        </w:rPr>
        <w:t>aff’d</w:t>
      </w:r>
      <w:r w:rsidRPr="001E3995">
        <w:t>, 130 F.3d 1305, 45 USPQ2d 1146 (8th Cir.</w:t>
      </w:r>
      <w:r w:rsidRPr="001E3995">
        <w:t xml:space="preserve"> </w:t>
      </w:r>
      <w:r w:rsidRPr="001E3995">
        <w:t>1997).</w:t>
      </w:r>
    </w:p>
  </w:footnote>
  <w:footnote w:id="40">
    <w:p w14:paraId="4F0CD753" w14:textId="0963AC28" w:rsidR="001E3995" w:rsidRPr="005F1F28" w:rsidRDefault="001E3995" w:rsidP="001E3995">
      <w:pPr>
        <w:pStyle w:val="FootnoteText"/>
      </w:pPr>
      <w:r w:rsidRPr="001E3995">
        <w:rPr>
          <w:vertAlign w:val="superscript"/>
        </w:rPr>
        <w:footnoteRef/>
      </w:r>
      <w:r w:rsidRPr="001E3995">
        <w:t xml:space="preserve">Taylor &amp; </w:t>
      </w:r>
      <w:proofErr w:type="spellStart"/>
      <w:r w:rsidRPr="001E3995">
        <w:t>FrancisGroup</w:t>
      </w:r>
      <w:proofErr w:type="spellEnd"/>
      <w:r w:rsidRPr="001E3995">
        <w:t>, PLC v.</w:t>
      </w:r>
      <w:r w:rsidRPr="001E3995">
        <w:t xml:space="preserve"> </w:t>
      </w:r>
      <w:r w:rsidRPr="001E3995">
        <w:t>McCue, 145 F.</w:t>
      </w:r>
      <w:r w:rsidRPr="001E3995">
        <w:t xml:space="preserve"> </w:t>
      </w:r>
      <w:r w:rsidRPr="001E3995">
        <w:t>Supp.</w:t>
      </w:r>
      <w:r w:rsidRPr="001E3995">
        <w:t xml:space="preserve"> </w:t>
      </w:r>
      <w:r w:rsidRPr="001E3995">
        <w:t>2d 627, 630 (E.D.</w:t>
      </w:r>
      <w:r w:rsidRPr="001E3995">
        <w:t xml:space="preserve"> </w:t>
      </w:r>
      <w:r w:rsidRPr="001E3995">
        <w:t>Pa.</w:t>
      </w:r>
      <w:r w:rsidRPr="001E3995">
        <w:t xml:space="preserve"> </w:t>
      </w:r>
      <w:r w:rsidRPr="001E3995">
        <w:t>2001) (dismissing for improper venue where there was no showing of any sales of infringing or diluting goods in the district and defendant’s website was not hosted in the district).</w:t>
      </w:r>
      <w:r w:rsidRPr="001E3995">
        <w:t xml:space="preserve"> </w:t>
      </w:r>
      <w:r w:rsidRPr="001E3995">
        <w:rPr>
          <w:i/>
        </w:rPr>
        <w:t>See</w:t>
      </w:r>
      <w:r w:rsidRPr="001E3995">
        <w:t xml:space="preserve"> Waste Pro USA, Inc.</w:t>
      </w:r>
      <w:r w:rsidRPr="001E3995">
        <w:t xml:space="preserve"> </w:t>
      </w:r>
      <w:r w:rsidRPr="001E3995">
        <w:t>v.</w:t>
      </w:r>
      <w:r w:rsidRPr="001E3995">
        <w:t xml:space="preserve"> </w:t>
      </w:r>
      <w:r w:rsidRPr="001E3995">
        <w:t>Adams Sanitation Holding Co., LLC, 2022 BL 493578, at *4 (M.D.</w:t>
      </w:r>
      <w:r w:rsidRPr="001E3995">
        <w:t xml:space="preserve"> </w:t>
      </w:r>
      <w:r w:rsidRPr="001E3995">
        <w:t>Fla.</w:t>
      </w:r>
      <w:r w:rsidRPr="001E3995">
        <w:t xml:space="preserve"> </w:t>
      </w:r>
      <w:r w:rsidRPr="001E3995">
        <w:t>July 18, 2022).</w:t>
      </w:r>
    </w:p>
  </w:footnote>
  <w:footnote w:id="41">
    <w:p w14:paraId="3D81AAC6" w14:textId="4FD02B75" w:rsidR="001E3995" w:rsidRDefault="001E3995" w:rsidP="001E3995">
      <w:pPr>
        <w:pStyle w:val="FootnoteText"/>
      </w:pPr>
      <w:r w:rsidRPr="001E3995">
        <w:rPr>
          <w:vertAlign w:val="superscript"/>
        </w:rPr>
        <w:footnoteRef/>
      </w:r>
      <w:r w:rsidRPr="001E3995">
        <w:t>Altvater Gessler-J.A.</w:t>
      </w:r>
      <w:r w:rsidRPr="001E3995">
        <w:t xml:space="preserve"> </w:t>
      </w:r>
      <w:r w:rsidRPr="001E3995">
        <w:t>Baczewski Int’l (USA), Inc.</w:t>
      </w:r>
      <w:r w:rsidRPr="001E3995">
        <w:t xml:space="preserve"> </w:t>
      </w:r>
      <w:r w:rsidRPr="001E3995">
        <w:t>v.</w:t>
      </w:r>
      <w:r w:rsidRPr="001E3995">
        <w:t xml:space="preserve"> </w:t>
      </w:r>
      <w:r w:rsidRPr="001E3995">
        <w:t xml:space="preserve">Sobieski </w:t>
      </w:r>
      <w:proofErr w:type="spellStart"/>
      <w:r w:rsidRPr="001E3995">
        <w:t>Destylarnia</w:t>
      </w:r>
      <w:proofErr w:type="spellEnd"/>
      <w:r w:rsidRPr="001E3995">
        <w:t xml:space="preserve"> S.A., 2007 U.S.</w:t>
      </w:r>
      <w:r w:rsidRPr="001E3995">
        <w:t xml:space="preserve"> </w:t>
      </w:r>
      <w:r w:rsidRPr="001E3995">
        <w:t>Dist.</w:t>
      </w:r>
      <w:r w:rsidRPr="001E3995">
        <w:t xml:space="preserve"> </w:t>
      </w:r>
      <w:r w:rsidRPr="001E3995">
        <w:t>LEXIS 32321, at *9 (S.D.N.Y.</w:t>
      </w:r>
      <w:r w:rsidRPr="001E3995">
        <w:t xml:space="preserve"> </w:t>
      </w:r>
      <w:r w:rsidRPr="001E3995">
        <w:t xml:space="preserve">May 2, 2007) (applying forum selection clause), </w:t>
      </w:r>
      <w:proofErr w:type="spellStart"/>
      <w:r w:rsidRPr="001E3995">
        <w:rPr>
          <w:i/>
        </w:rPr>
        <w:t>rev’d</w:t>
      </w:r>
      <w:proofErr w:type="spellEnd"/>
      <w:r w:rsidRPr="001E3995">
        <w:t>, 572 F.3d 86, 91 USPQ2d 1445 (2d Cir.</w:t>
      </w:r>
      <w:r w:rsidRPr="001E3995">
        <w:t xml:space="preserve"> </w:t>
      </w:r>
      <w:r w:rsidRPr="001E3995">
        <w:t>2009) (finding that plaintiff’s claim did not arise out of the contract containing the forum selection clause).</w:t>
      </w:r>
    </w:p>
  </w:footnote>
  <w:footnote w:id="42">
    <w:p w14:paraId="3D3A38A3" w14:textId="002018CD" w:rsidR="001E3995" w:rsidRDefault="001E3995" w:rsidP="001E3995">
      <w:pPr>
        <w:pStyle w:val="FootnoteText"/>
      </w:pPr>
      <w:r w:rsidRPr="001E3995">
        <w:rPr>
          <w:vertAlign w:val="superscript"/>
        </w:rPr>
        <w:footnoteRef/>
      </w:r>
      <w:r w:rsidRPr="001E3995">
        <w:t>If venue in the transferor district is improper, then transfer may be ordered pursuant to 28 U.S.C.</w:t>
      </w:r>
      <w:r w:rsidRPr="001E3995">
        <w:t xml:space="preserve"> </w:t>
      </w:r>
      <w:r w:rsidRPr="001E3995">
        <w:t>§1406(a).</w:t>
      </w:r>
      <w:r w:rsidRPr="001E3995">
        <w:t xml:space="preserve"> </w:t>
      </w:r>
      <w:r w:rsidRPr="001E3995">
        <w:t>Where personal jurisdiction is lacking, some courts have pointed to 28 U.S.C.</w:t>
      </w:r>
      <w:r w:rsidRPr="001E3995">
        <w:t xml:space="preserve"> </w:t>
      </w:r>
      <w:r w:rsidRPr="001E3995">
        <w:t>§1631 as the appropriate authority for transferring the case in lieu of dismissal.</w:t>
      </w:r>
      <w:r w:rsidRPr="001E3995">
        <w:t xml:space="preserve"> </w:t>
      </w:r>
      <w:r w:rsidRPr="001E3995">
        <w:rPr>
          <w:i/>
        </w:rPr>
        <w:t>E.g.</w:t>
      </w:r>
      <w:r w:rsidRPr="001E3995">
        <w:t>, SCC Commc’ns Corp.</w:t>
      </w:r>
      <w:r w:rsidRPr="001E3995">
        <w:t xml:space="preserve"> </w:t>
      </w:r>
      <w:r w:rsidRPr="001E3995">
        <w:t>v.</w:t>
      </w:r>
      <w:r w:rsidRPr="001E3995">
        <w:t xml:space="preserve"> </w:t>
      </w:r>
      <w:r w:rsidRPr="001E3995">
        <w:t>Anderson, 195 F.</w:t>
      </w:r>
      <w:r w:rsidRPr="001E3995">
        <w:t xml:space="preserve"> </w:t>
      </w:r>
      <w:r w:rsidRPr="001E3995">
        <w:t>Supp.</w:t>
      </w:r>
      <w:r w:rsidRPr="001E3995">
        <w:t xml:space="preserve"> </w:t>
      </w:r>
      <w:r w:rsidRPr="001E3995">
        <w:t>2d 1257, 1258 n.3, 1264 (D.</w:t>
      </w:r>
      <w:r w:rsidRPr="001E3995">
        <w:t xml:space="preserve"> </w:t>
      </w:r>
      <w:r w:rsidRPr="001E3995">
        <w:t>Colo.</w:t>
      </w:r>
      <w:r w:rsidRPr="001E3995">
        <w:t xml:space="preserve"> </w:t>
      </w:r>
      <w:r w:rsidRPr="001E3995">
        <w:t>2002).</w:t>
      </w:r>
    </w:p>
  </w:footnote>
  <w:footnote w:id="43">
    <w:p w14:paraId="0CA267E3" w14:textId="6A641629" w:rsidR="001E3995" w:rsidRDefault="001E3995" w:rsidP="001E3995">
      <w:pPr>
        <w:pStyle w:val="FootnoteText"/>
      </w:pPr>
      <w:r w:rsidRPr="001E3995">
        <w:rPr>
          <w:vertAlign w:val="superscript"/>
        </w:rPr>
        <w:footnoteRef/>
      </w:r>
      <w:r w:rsidRPr="001E3995">
        <w:t>Reinalt-Thomas Corp.</w:t>
      </w:r>
      <w:r w:rsidRPr="001E3995">
        <w:t xml:space="preserve"> </w:t>
      </w:r>
      <w:r w:rsidRPr="001E3995">
        <w:t>v.</w:t>
      </w:r>
      <w:r w:rsidRPr="001E3995">
        <w:t xml:space="preserve"> </w:t>
      </w:r>
      <w:r w:rsidRPr="001E3995">
        <w:t>AKH Co., 2010 U.S.</w:t>
      </w:r>
      <w:r w:rsidRPr="001E3995">
        <w:t xml:space="preserve"> </w:t>
      </w:r>
      <w:r w:rsidRPr="001E3995">
        <w:t>Dist.</w:t>
      </w:r>
      <w:r w:rsidRPr="001E3995">
        <w:t xml:space="preserve"> </w:t>
      </w:r>
      <w:r w:rsidRPr="001E3995">
        <w:t>LEXIS 122704, at *6 (D.</w:t>
      </w:r>
      <w:r w:rsidRPr="001E3995">
        <w:t xml:space="preserve"> </w:t>
      </w:r>
      <w:r w:rsidRPr="001E3995">
        <w:t>Ariz.</w:t>
      </w:r>
      <w:r w:rsidRPr="001E3995">
        <w:t xml:space="preserve"> </w:t>
      </w:r>
      <w:r w:rsidRPr="001E3995">
        <w:t>Nov.</w:t>
      </w:r>
      <w:r w:rsidRPr="001E3995">
        <w:t xml:space="preserve"> </w:t>
      </w:r>
      <w:r w:rsidRPr="001E3995">
        <w:t>18, 2010);</w:t>
      </w:r>
      <w:r w:rsidRPr="001E3995">
        <w:t xml:space="preserve"> </w:t>
      </w:r>
      <w:r w:rsidRPr="001E3995">
        <w:t>Spiegelberg v.</w:t>
      </w:r>
      <w:r w:rsidRPr="001E3995">
        <w:t xml:space="preserve"> </w:t>
      </w:r>
      <w:r w:rsidRPr="001E3995">
        <w:t>Collegiate Licensing Co., 402 F.</w:t>
      </w:r>
      <w:r w:rsidRPr="001E3995">
        <w:t xml:space="preserve"> </w:t>
      </w:r>
      <w:r w:rsidRPr="001E3995">
        <w:t>Supp.</w:t>
      </w:r>
      <w:r w:rsidRPr="001E3995">
        <w:t xml:space="preserve"> </w:t>
      </w:r>
      <w:r w:rsidRPr="001E3995">
        <w:t>2d 786 (S.D.</w:t>
      </w:r>
      <w:r w:rsidRPr="001E3995">
        <w:t xml:space="preserve"> </w:t>
      </w:r>
      <w:r w:rsidRPr="001E3995">
        <w:t>Tex.</w:t>
      </w:r>
      <w:r w:rsidRPr="001E3995">
        <w:t xml:space="preserve"> </w:t>
      </w:r>
      <w:r w:rsidRPr="001E3995">
        <w:t>2005) (with a thorough discussion of all factors);</w:t>
      </w:r>
      <w:r w:rsidRPr="001E3995">
        <w:t xml:space="preserve"> </w:t>
      </w:r>
      <w:r w:rsidRPr="001E3995">
        <w:t>Dostana Enters., LLC v.</w:t>
      </w:r>
      <w:r w:rsidRPr="001E3995">
        <w:t xml:space="preserve"> </w:t>
      </w:r>
      <w:r w:rsidRPr="001E3995">
        <w:t>Federal Express Corp., 2000 WL 1170134, at *2, 2000 BL 963 (S.D.N.Y.</w:t>
      </w:r>
      <w:r w:rsidRPr="001E3995">
        <w:t xml:space="preserve"> </w:t>
      </w:r>
      <w:r w:rsidRPr="001E3995">
        <w:t>Aug.</w:t>
      </w:r>
      <w:r w:rsidRPr="001E3995">
        <w:t xml:space="preserve"> </w:t>
      </w:r>
      <w:r w:rsidRPr="001E3995">
        <w:t>16, 2000);</w:t>
      </w:r>
      <w:r w:rsidRPr="001E3995">
        <w:t xml:space="preserve"> </w:t>
      </w:r>
      <w:r w:rsidRPr="001E3995">
        <w:rPr>
          <w:i/>
        </w:rPr>
        <w:t>Fossil</w:t>
      </w:r>
      <w:r w:rsidRPr="001E3995">
        <w:t>, 1998 WL 158674, at *4.</w:t>
      </w:r>
    </w:p>
  </w:footnote>
  <w:footnote w:id="44">
    <w:p w14:paraId="68C466D5" w14:textId="1CB30AC0" w:rsidR="001E3995" w:rsidRDefault="001E3995" w:rsidP="001E3995">
      <w:pPr>
        <w:pStyle w:val="FootnoteText"/>
      </w:pPr>
      <w:r w:rsidRPr="001E3995">
        <w:rPr>
          <w:vertAlign w:val="superscript"/>
        </w:rPr>
        <w:footnoteRef/>
      </w:r>
      <w:r w:rsidRPr="001E3995">
        <w:rPr>
          <w:i/>
        </w:rPr>
        <w:t>E.g.</w:t>
      </w:r>
      <w:r w:rsidRPr="001E3995">
        <w:t>, Gemological Inst.</w:t>
      </w:r>
      <w:r w:rsidRPr="001E3995">
        <w:t xml:space="preserve"> </w:t>
      </w:r>
      <w:r w:rsidRPr="001E3995">
        <w:t>of Am., Inc.</w:t>
      </w:r>
      <w:r w:rsidRPr="001E3995">
        <w:t xml:space="preserve"> </w:t>
      </w:r>
      <w:r w:rsidRPr="001E3995">
        <w:t>v.</w:t>
      </w:r>
      <w:r w:rsidRPr="001E3995">
        <w:t xml:space="preserve"> </w:t>
      </w:r>
      <w:proofErr w:type="spellStart"/>
      <w:r w:rsidRPr="001E3995">
        <w:t>Thi</w:t>
      </w:r>
      <w:proofErr w:type="spellEnd"/>
      <w:r w:rsidRPr="001E3995">
        <w:t>-Dai Pan, 145 F.</w:t>
      </w:r>
      <w:r w:rsidRPr="001E3995">
        <w:t xml:space="preserve"> </w:t>
      </w:r>
      <w:r w:rsidRPr="001E3995">
        <w:t>Supp.</w:t>
      </w:r>
      <w:r w:rsidRPr="001E3995">
        <w:t xml:space="preserve"> </w:t>
      </w:r>
      <w:r w:rsidRPr="001E3995">
        <w:t>2d 68, 71 (D.D.C.</w:t>
      </w:r>
      <w:r w:rsidRPr="001E3995">
        <w:t xml:space="preserve"> </w:t>
      </w:r>
      <w:r w:rsidRPr="001E3995">
        <w:t>2001);</w:t>
      </w:r>
      <w:r w:rsidRPr="001E3995">
        <w:t xml:space="preserve"> </w:t>
      </w:r>
      <w:r w:rsidRPr="001E3995">
        <w:t>Hanby v.</w:t>
      </w:r>
      <w:r w:rsidRPr="001E3995">
        <w:t xml:space="preserve"> </w:t>
      </w:r>
      <w:r w:rsidRPr="001E3995">
        <w:t>Shell Oil Co., 144 F.</w:t>
      </w:r>
      <w:r w:rsidRPr="001E3995">
        <w:t xml:space="preserve"> </w:t>
      </w:r>
      <w:r w:rsidRPr="001E3995">
        <w:t>Supp.</w:t>
      </w:r>
      <w:r w:rsidRPr="001E3995">
        <w:t xml:space="preserve"> </w:t>
      </w:r>
      <w:r w:rsidRPr="001E3995">
        <w:t>2d 673, 676 (E.D.</w:t>
      </w:r>
      <w:r w:rsidRPr="001E3995">
        <w:t xml:space="preserve"> </w:t>
      </w:r>
      <w:r w:rsidRPr="001E3995">
        <w:t>Tex.</w:t>
      </w:r>
      <w:r w:rsidRPr="001E3995">
        <w:t xml:space="preserve"> </w:t>
      </w:r>
      <w:r w:rsidRPr="001E3995">
        <w:t>2001).</w:t>
      </w:r>
    </w:p>
  </w:footnote>
  <w:footnote w:id="45">
    <w:p w14:paraId="5CFFB820" w14:textId="3DCBCE53" w:rsidR="001E3995" w:rsidRDefault="001E3995" w:rsidP="001E3995">
      <w:pPr>
        <w:pStyle w:val="FootnoteText"/>
      </w:pPr>
      <w:r w:rsidRPr="001E3995">
        <w:rPr>
          <w:vertAlign w:val="superscript"/>
        </w:rPr>
        <w:footnoteRef/>
      </w:r>
      <w:r w:rsidRPr="001E3995">
        <w:t>28 U.S.C.</w:t>
      </w:r>
      <w:r w:rsidRPr="001E3995">
        <w:t xml:space="preserve"> </w:t>
      </w:r>
      <w:r w:rsidRPr="001E3995">
        <w:t>§1404(a).</w:t>
      </w:r>
    </w:p>
  </w:footnote>
  <w:footnote w:id="46">
    <w:p w14:paraId="41C202C1" w14:textId="7A4FFF6E" w:rsidR="001E3995" w:rsidRPr="001E3995" w:rsidRDefault="001E3995" w:rsidP="001E3995">
      <w:pPr>
        <w:pStyle w:val="FootnoteText"/>
      </w:pPr>
      <w:r w:rsidRPr="001E3995">
        <w:rPr>
          <w:vertAlign w:val="superscript"/>
        </w:rPr>
        <w:footnoteRef/>
      </w:r>
      <w:r w:rsidRPr="001E3995">
        <w:t>Hoffman v.</w:t>
      </w:r>
      <w:r w:rsidRPr="001E3995">
        <w:t xml:space="preserve"> </w:t>
      </w:r>
      <w:r w:rsidRPr="001E3995">
        <w:t>Blaski, 363 U.S.</w:t>
      </w:r>
      <w:r w:rsidRPr="001E3995">
        <w:t xml:space="preserve"> </w:t>
      </w:r>
      <w:r w:rsidRPr="001E3995">
        <w:t>335, 341–42, 125 USPQ 553 (1960);</w:t>
      </w:r>
      <w:r w:rsidRPr="001E3995">
        <w:t xml:space="preserve"> </w:t>
      </w:r>
      <w:r w:rsidRPr="001E3995">
        <w:t>Intria Corp.</w:t>
      </w:r>
      <w:r w:rsidRPr="001E3995">
        <w:t xml:space="preserve"> </w:t>
      </w:r>
      <w:r w:rsidRPr="001E3995">
        <w:t>v.</w:t>
      </w:r>
      <w:r w:rsidRPr="001E3995">
        <w:t xml:space="preserve"> </w:t>
      </w:r>
      <w:r w:rsidRPr="001E3995">
        <w:t>Intira Corp., 2000 WL 1745043, at *2 (S.D.N.Y.</w:t>
      </w:r>
      <w:r w:rsidRPr="001E3995">
        <w:t xml:space="preserve"> </w:t>
      </w:r>
      <w:r w:rsidRPr="001E3995">
        <w:t>Nov.</w:t>
      </w:r>
      <w:r w:rsidRPr="001E3995">
        <w:t xml:space="preserve"> </w:t>
      </w:r>
      <w:r w:rsidRPr="001E3995">
        <w:t>27, 2000).</w:t>
      </w:r>
    </w:p>
    <w:p w14:paraId="4AF08340" w14:textId="77777777" w:rsidR="001E3995" w:rsidRDefault="001E3995" w:rsidP="002010F9">
      <w:pPr>
        <w:pStyle w:val="footnote"/>
      </w:pPr>
    </w:p>
  </w:footnote>
  <w:footnote w:id="47">
    <w:p w14:paraId="769ACDDE" w14:textId="291BCB99" w:rsidR="001E3995" w:rsidRDefault="001E3995" w:rsidP="001E3995">
      <w:pPr>
        <w:pStyle w:val="FootnoteText"/>
      </w:pPr>
      <w:r w:rsidRPr="001E3995">
        <w:rPr>
          <w:vertAlign w:val="superscript"/>
        </w:rPr>
        <w:footnoteRef/>
      </w:r>
      <w:r w:rsidRPr="001E3995">
        <w:t>Pub.</w:t>
      </w:r>
      <w:r w:rsidRPr="001E3995">
        <w:t xml:space="preserve"> </w:t>
      </w:r>
      <w:r w:rsidRPr="001E3995">
        <w:t>L.</w:t>
      </w:r>
      <w:r w:rsidRPr="001E3995">
        <w:t xml:space="preserve"> </w:t>
      </w:r>
      <w:r w:rsidRPr="001E3995">
        <w:t>No.</w:t>
      </w:r>
      <w:r w:rsidRPr="001E3995">
        <w:t xml:space="preserve"> </w:t>
      </w:r>
      <w:r w:rsidRPr="001E3995">
        <w:t>112-63, 125 Stat.</w:t>
      </w:r>
      <w:r w:rsidRPr="001E3995">
        <w:t xml:space="preserve"> </w:t>
      </w:r>
      <w:r w:rsidRPr="001E3995">
        <w:t>758 (2011).</w:t>
      </w:r>
    </w:p>
  </w:footnote>
  <w:footnote w:id="48">
    <w:p w14:paraId="284D1ED3" w14:textId="7FD4CE4E" w:rsidR="001E3995" w:rsidRDefault="001E3995" w:rsidP="001E3995">
      <w:pPr>
        <w:pStyle w:val="FootnoteText"/>
      </w:pPr>
      <w:r w:rsidRPr="001E3995">
        <w:rPr>
          <w:vertAlign w:val="superscript"/>
        </w:rPr>
        <w:footnoteRef/>
      </w:r>
      <w:r w:rsidRPr="001E3995">
        <w:t>Lead Indus.</w:t>
      </w:r>
      <w:r w:rsidRPr="001E3995">
        <w:t xml:space="preserve"> </w:t>
      </w:r>
      <w:proofErr w:type="spellStart"/>
      <w:r w:rsidRPr="001E3995">
        <w:t>Ass’n</w:t>
      </w:r>
      <w:proofErr w:type="spellEnd"/>
      <w:r w:rsidRPr="001E3995">
        <w:t xml:space="preserve"> v.</w:t>
      </w:r>
      <w:r w:rsidRPr="001E3995">
        <w:t xml:space="preserve"> </w:t>
      </w:r>
      <w:r w:rsidRPr="001E3995">
        <w:t>Occupational Safety &amp; Health Admin., 610 F.2d 70, 79 n.17 (2d Cir.</w:t>
      </w:r>
      <w:r w:rsidRPr="001E3995">
        <w:t xml:space="preserve"> </w:t>
      </w:r>
      <w:r w:rsidRPr="001E3995">
        <w:t>1979).</w:t>
      </w:r>
    </w:p>
  </w:footnote>
  <w:footnote w:id="49">
    <w:p w14:paraId="359BD79C" w14:textId="1BB0202C" w:rsidR="001E3995" w:rsidRDefault="001E3995" w:rsidP="001E3995">
      <w:pPr>
        <w:pStyle w:val="FootnoteText"/>
      </w:pPr>
      <w:r w:rsidRPr="001E3995">
        <w:rPr>
          <w:vertAlign w:val="superscript"/>
        </w:rPr>
        <w:footnoteRef/>
      </w:r>
      <w:r w:rsidRPr="001E3995">
        <w:rPr>
          <w:i/>
        </w:rPr>
        <w:t>E.g.</w:t>
      </w:r>
      <w:r w:rsidRPr="001E3995">
        <w:t>, It’s a 10, Inc.</w:t>
      </w:r>
      <w:r w:rsidRPr="001E3995">
        <w:t xml:space="preserve"> </w:t>
      </w:r>
      <w:r w:rsidRPr="001E3995">
        <w:t>v.</w:t>
      </w:r>
      <w:r w:rsidRPr="001E3995">
        <w:t xml:space="preserve"> </w:t>
      </w:r>
      <w:r w:rsidRPr="001E3995">
        <w:t>PH Beauty Labs, Inc., 718 F.</w:t>
      </w:r>
      <w:r w:rsidRPr="001E3995">
        <w:t xml:space="preserve"> </w:t>
      </w:r>
      <w:r w:rsidRPr="001E3995">
        <w:t>Supp.</w:t>
      </w:r>
      <w:r w:rsidRPr="001E3995">
        <w:t xml:space="preserve"> </w:t>
      </w:r>
      <w:r w:rsidRPr="001E3995">
        <w:t>2d 332, 335 (S.D.N.Y.</w:t>
      </w:r>
      <w:r w:rsidRPr="001E3995">
        <w:t xml:space="preserve"> </w:t>
      </w:r>
      <w:r w:rsidRPr="001E3995">
        <w:t>2010);</w:t>
      </w:r>
      <w:r w:rsidRPr="001E3995">
        <w:t xml:space="preserve"> </w:t>
      </w:r>
      <w:r w:rsidRPr="001E3995">
        <w:t>N.V.E., Inc.</w:t>
      </w:r>
      <w:r w:rsidRPr="001E3995">
        <w:t xml:space="preserve"> </w:t>
      </w:r>
      <w:r w:rsidRPr="001E3995">
        <w:t>v.</w:t>
      </w:r>
      <w:r w:rsidRPr="001E3995">
        <w:t xml:space="preserve"> </w:t>
      </w:r>
      <w:r w:rsidRPr="001E3995">
        <w:t>Cosmetic Ind.</w:t>
      </w:r>
      <w:r w:rsidRPr="001E3995">
        <w:t xml:space="preserve"> </w:t>
      </w:r>
      <w:r w:rsidRPr="001E3995">
        <w:t>&amp; Trade Corp., 2010 U.S.</w:t>
      </w:r>
      <w:r w:rsidRPr="001E3995">
        <w:t xml:space="preserve"> </w:t>
      </w:r>
      <w:r w:rsidRPr="001E3995">
        <w:t>Dist.</w:t>
      </w:r>
      <w:r w:rsidRPr="001E3995">
        <w:t xml:space="preserve"> </w:t>
      </w:r>
      <w:r w:rsidRPr="001E3995">
        <w:t>LEXIS 33213, at *16–17 (D.N.J.</w:t>
      </w:r>
      <w:r w:rsidRPr="001E3995">
        <w:t xml:space="preserve"> </w:t>
      </w:r>
      <w:r w:rsidRPr="001E3995">
        <w:t>Apr.</w:t>
      </w:r>
      <w:r w:rsidRPr="001E3995">
        <w:t xml:space="preserve"> </w:t>
      </w:r>
      <w:r w:rsidRPr="001E3995">
        <w:t>1, 2010) (magistrate judge);</w:t>
      </w:r>
      <w:r w:rsidRPr="001E3995">
        <w:t xml:space="preserve"> </w:t>
      </w:r>
      <w:r w:rsidRPr="001E3995">
        <w:t>ESPN, Inc.</w:t>
      </w:r>
      <w:r w:rsidRPr="001E3995">
        <w:t xml:space="preserve"> </w:t>
      </w:r>
      <w:r w:rsidRPr="001E3995">
        <w:t>v.</w:t>
      </w:r>
      <w:r w:rsidRPr="001E3995">
        <w:t xml:space="preserve"> </w:t>
      </w:r>
      <w:r w:rsidRPr="001E3995">
        <w:t>Quicksilver, Inc., 581 F.</w:t>
      </w:r>
      <w:r w:rsidRPr="001E3995">
        <w:t xml:space="preserve"> </w:t>
      </w:r>
      <w:r w:rsidRPr="001E3995">
        <w:t>Supp.</w:t>
      </w:r>
      <w:r w:rsidRPr="001E3995">
        <w:t xml:space="preserve"> </w:t>
      </w:r>
      <w:r w:rsidRPr="001E3995">
        <w:t>2d 542, 551 (S.D.N.Y.</w:t>
      </w:r>
      <w:r w:rsidRPr="001E3995">
        <w:t xml:space="preserve"> </w:t>
      </w:r>
      <w:r w:rsidRPr="001E3995">
        <w:t>2008);</w:t>
      </w:r>
      <w:r w:rsidRPr="001E3995">
        <w:t xml:space="preserve"> </w:t>
      </w:r>
      <w:r w:rsidRPr="001E3995">
        <w:t>Louisiana Fish Fry Prods., Ltd.</w:t>
      </w:r>
      <w:r w:rsidRPr="001E3995">
        <w:t xml:space="preserve"> </w:t>
      </w:r>
      <w:r w:rsidRPr="001E3995">
        <w:t>v.</w:t>
      </w:r>
      <w:r w:rsidRPr="001E3995">
        <w:t xml:space="preserve"> </w:t>
      </w:r>
      <w:r w:rsidRPr="001E3995">
        <w:t>Corry, 2008 U.S.</w:t>
      </w:r>
      <w:r w:rsidRPr="001E3995">
        <w:t xml:space="preserve"> </w:t>
      </w:r>
      <w:r w:rsidRPr="001E3995">
        <w:t>Dist.</w:t>
      </w:r>
      <w:r w:rsidRPr="001E3995">
        <w:t xml:space="preserve"> </w:t>
      </w:r>
      <w:r w:rsidRPr="001E3995">
        <w:t>LEXIS 33851, at *8, 10 (M.D.</w:t>
      </w:r>
      <w:r w:rsidRPr="001E3995">
        <w:t xml:space="preserve"> </w:t>
      </w:r>
      <w:r w:rsidRPr="001E3995">
        <w:t>Fla.</w:t>
      </w:r>
      <w:r w:rsidRPr="001E3995">
        <w:t xml:space="preserve"> </w:t>
      </w:r>
      <w:r w:rsidRPr="001E3995">
        <w:t>Apr.</w:t>
      </w:r>
      <w:r w:rsidRPr="001E3995">
        <w:t xml:space="preserve"> </w:t>
      </w:r>
      <w:r w:rsidRPr="001E3995">
        <w:t>24, 2008);</w:t>
      </w:r>
      <w:r w:rsidRPr="001E3995">
        <w:t xml:space="preserve"> </w:t>
      </w:r>
      <w:r w:rsidRPr="001E3995">
        <w:t>Fossil, Inc.</w:t>
      </w:r>
      <w:r w:rsidRPr="001E3995">
        <w:t xml:space="preserve"> </w:t>
      </w:r>
      <w:r w:rsidRPr="001E3995">
        <w:t>v.</w:t>
      </w:r>
      <w:r w:rsidRPr="001E3995">
        <w:t xml:space="preserve"> </w:t>
      </w:r>
      <w:r w:rsidRPr="001E3995">
        <w:t>Knicks Mend-Rite Co., 1998 WL 158674, at *5 (N.D.</w:t>
      </w:r>
      <w:r w:rsidRPr="001E3995">
        <w:t xml:space="preserve"> </w:t>
      </w:r>
      <w:r w:rsidRPr="001E3995">
        <w:t>Tex.</w:t>
      </w:r>
      <w:r w:rsidRPr="001E3995">
        <w:t xml:space="preserve"> </w:t>
      </w:r>
      <w:r w:rsidRPr="001E3995">
        <w:t>Mar.</w:t>
      </w:r>
      <w:r w:rsidRPr="001E3995">
        <w:t xml:space="preserve"> </w:t>
      </w:r>
      <w:r w:rsidRPr="001E3995">
        <w:t>25, 1998).</w:t>
      </w:r>
    </w:p>
  </w:footnote>
  <w:footnote w:id="50">
    <w:p w14:paraId="45452503" w14:textId="3FC6658E" w:rsidR="001E3995" w:rsidRDefault="001E3995" w:rsidP="001E3995">
      <w:pPr>
        <w:pStyle w:val="FootnoteText"/>
      </w:pPr>
      <w:r w:rsidRPr="001E3995">
        <w:rPr>
          <w:vertAlign w:val="superscript"/>
        </w:rPr>
        <w:footnoteRef/>
      </w:r>
      <w:r w:rsidRPr="001E3995">
        <w:rPr>
          <w:i/>
        </w:rPr>
        <w:t>Gemological Inst.</w:t>
      </w:r>
      <w:r w:rsidRPr="001E3995">
        <w:t>, 145 F.</w:t>
      </w:r>
      <w:r w:rsidRPr="001E3995">
        <w:t xml:space="preserve"> </w:t>
      </w:r>
      <w:r w:rsidRPr="001E3995">
        <w:t>Supp.</w:t>
      </w:r>
      <w:r w:rsidRPr="001E3995">
        <w:t xml:space="preserve"> </w:t>
      </w:r>
      <w:r w:rsidRPr="001E3995">
        <w:t>2d at 71;</w:t>
      </w:r>
      <w:r w:rsidRPr="001E3995">
        <w:t xml:space="preserve"> </w:t>
      </w:r>
      <w:r w:rsidRPr="001E3995">
        <w:rPr>
          <w:i/>
        </w:rPr>
        <w:t>Intria</w:t>
      </w:r>
      <w:r w:rsidRPr="001E3995">
        <w:t>, 2000 WL 174504, at *8;</w:t>
      </w:r>
      <w:r w:rsidRPr="001E3995">
        <w:t xml:space="preserve"> </w:t>
      </w:r>
      <w:r w:rsidRPr="001E3995">
        <w:rPr>
          <w:i/>
        </w:rPr>
        <w:t>see</w:t>
      </w:r>
      <w:r w:rsidRPr="001E3995">
        <w:t xml:space="preserve"> Spiegelberg v.</w:t>
      </w:r>
      <w:r w:rsidRPr="001E3995">
        <w:t xml:space="preserve"> </w:t>
      </w:r>
      <w:r w:rsidRPr="001E3995">
        <w:t>Collegiate Licensing Co., 402 F.</w:t>
      </w:r>
      <w:r w:rsidRPr="001E3995">
        <w:t xml:space="preserve"> </w:t>
      </w:r>
      <w:r w:rsidRPr="001E3995">
        <w:t>Supp.</w:t>
      </w:r>
      <w:r w:rsidRPr="001E3995">
        <w:t xml:space="preserve"> </w:t>
      </w:r>
      <w:r w:rsidRPr="001E3995">
        <w:t>2d 786, 790 (S.D.</w:t>
      </w:r>
      <w:r w:rsidRPr="001E3995">
        <w:t xml:space="preserve"> </w:t>
      </w:r>
      <w:r w:rsidRPr="001E3995">
        <w:t>Tex.</w:t>
      </w:r>
      <w:r w:rsidRPr="001E3995">
        <w:t xml:space="preserve"> </w:t>
      </w:r>
      <w:r w:rsidRPr="001E3995">
        <w:t>2005);</w:t>
      </w:r>
      <w:r w:rsidRPr="001E3995">
        <w:t xml:space="preserve"> </w:t>
      </w:r>
      <w:r w:rsidRPr="001E3995">
        <w:rPr>
          <w:i/>
        </w:rPr>
        <w:t>Dostana</w:t>
      </w:r>
      <w:r w:rsidRPr="001E3995">
        <w:t>, 2000 WL 1170134, at *7, 2000 BL 963 (“where there is no material connection between the forum and the events underlying the cause of action,” the choice of forum is given little weight).</w:t>
      </w:r>
      <w:r w:rsidRPr="001E3995">
        <w:t xml:space="preserve"> </w:t>
      </w:r>
      <w:r w:rsidRPr="001E3995">
        <w:t>The “home forum” of a Native American tribe owning land in several states poses a more complicated problem than most.</w:t>
      </w:r>
      <w:r w:rsidRPr="001E3995">
        <w:t xml:space="preserve"> </w:t>
      </w:r>
      <w:r w:rsidRPr="001E3995">
        <w:t>For one court’s analysis of the issue, see Navajo Nation v.</w:t>
      </w:r>
      <w:r w:rsidRPr="001E3995">
        <w:t xml:space="preserve"> </w:t>
      </w:r>
      <w:r w:rsidRPr="001E3995">
        <w:t>Urban Outfitters, Inc., 918 F.</w:t>
      </w:r>
      <w:r w:rsidRPr="001E3995">
        <w:t xml:space="preserve"> </w:t>
      </w:r>
      <w:r w:rsidRPr="001E3995">
        <w:t>Supp.</w:t>
      </w:r>
      <w:r w:rsidRPr="001E3995">
        <w:t xml:space="preserve"> </w:t>
      </w:r>
      <w:r w:rsidRPr="001E3995">
        <w:t>2d 1245, 1254–56 (D.N.M.</w:t>
      </w:r>
      <w:r w:rsidRPr="001E3995">
        <w:t xml:space="preserve"> </w:t>
      </w:r>
      <w:r w:rsidRPr="001E3995">
        <w:t>2013) (New Mexico should be considered a “home forum” of the Navajo tribe).</w:t>
      </w:r>
    </w:p>
  </w:footnote>
  <w:footnote w:id="51">
    <w:p w14:paraId="4398192E" w14:textId="6B300EC1" w:rsidR="001E3995" w:rsidRDefault="001E3995" w:rsidP="001E3995">
      <w:pPr>
        <w:pStyle w:val="FootnoteText"/>
      </w:pPr>
      <w:r w:rsidRPr="001E3995">
        <w:rPr>
          <w:vertAlign w:val="superscript"/>
        </w:rPr>
        <w:footnoteRef/>
      </w:r>
      <w:r w:rsidRPr="001E3995">
        <w:rPr>
          <w:i/>
        </w:rPr>
        <w:t>See</w:t>
      </w:r>
      <w:r w:rsidRPr="001E3995">
        <w:t xml:space="preserve"> Mattel, Inc.</w:t>
      </w:r>
      <w:r w:rsidRPr="001E3995">
        <w:t xml:space="preserve"> </w:t>
      </w:r>
      <w:r w:rsidRPr="001E3995">
        <w:t>v.</w:t>
      </w:r>
      <w:r w:rsidRPr="001E3995">
        <w:t xml:space="preserve"> </w:t>
      </w:r>
      <w:r w:rsidRPr="001E3995">
        <w:t>Adventure Apparel, 2001 WL 1035140, 2001 BL 1316 (S.D.N.Y.</w:t>
      </w:r>
      <w:r w:rsidRPr="001E3995">
        <w:t xml:space="preserve"> </w:t>
      </w:r>
      <w:r w:rsidRPr="001E3995">
        <w:t>2001) (</w:t>
      </w:r>
      <w:proofErr w:type="spellStart"/>
      <w:r w:rsidRPr="001E3995">
        <w:rPr>
          <w:i/>
        </w:rPr>
        <w:t>sua</w:t>
      </w:r>
      <w:proofErr w:type="spellEnd"/>
      <w:r w:rsidRPr="001E3995">
        <w:rPr>
          <w:i/>
        </w:rPr>
        <w:t xml:space="preserve"> sponte</w:t>
      </w:r>
      <w:r w:rsidRPr="001E3995">
        <w:t xml:space="preserve"> requesting briefing on transfer, noting defendant’s claim that litigating in New York would be burdensome).</w:t>
      </w:r>
    </w:p>
  </w:footnote>
  <w:footnote w:id="52">
    <w:p w14:paraId="2274D9F5" w14:textId="2DB2EE63" w:rsidR="001E3995" w:rsidRDefault="001E3995" w:rsidP="001E3995">
      <w:pPr>
        <w:pStyle w:val="FootnoteText"/>
      </w:pPr>
      <w:r w:rsidRPr="001E3995">
        <w:rPr>
          <w:vertAlign w:val="superscript"/>
        </w:rPr>
        <w:footnoteRef/>
      </w:r>
      <w:r w:rsidRPr="001E3995">
        <w:rPr>
          <w:i/>
        </w:rPr>
        <w:t>Dostana</w:t>
      </w:r>
      <w:r w:rsidRPr="001E3995">
        <w:t>, 2000 WL 1170134, at *2, 2000 BL 963;</w:t>
      </w:r>
      <w:r w:rsidRPr="001E3995">
        <w:t xml:space="preserve"> </w:t>
      </w:r>
      <w:r w:rsidRPr="001E3995">
        <w:t>Hanby v.</w:t>
      </w:r>
      <w:r w:rsidRPr="001E3995">
        <w:t xml:space="preserve"> </w:t>
      </w:r>
      <w:r w:rsidRPr="001E3995">
        <w:t>Shell Oil Co., 144 F.</w:t>
      </w:r>
      <w:r w:rsidRPr="001E3995">
        <w:t xml:space="preserve"> </w:t>
      </w:r>
      <w:r w:rsidRPr="001E3995">
        <w:t>Supp.</w:t>
      </w:r>
      <w:r w:rsidRPr="001E3995">
        <w:t xml:space="preserve"> </w:t>
      </w:r>
      <w:r w:rsidRPr="001E3995">
        <w:t>2d 673, 676–77 (E.D.</w:t>
      </w:r>
      <w:r w:rsidRPr="001E3995">
        <w:t xml:space="preserve"> </w:t>
      </w:r>
      <w:r w:rsidRPr="001E3995">
        <w:t>Tex.</w:t>
      </w:r>
      <w:r w:rsidRPr="001E3995">
        <w:t xml:space="preserve"> </w:t>
      </w:r>
      <w:r w:rsidRPr="001E3995">
        <w:t>2001) (citing both convenience factors and public interest factors).</w:t>
      </w:r>
    </w:p>
  </w:footnote>
  <w:footnote w:id="53">
    <w:p w14:paraId="1E5E15C0" w14:textId="4859A8BC" w:rsidR="001E3995" w:rsidRDefault="001E3995" w:rsidP="001E3995">
      <w:pPr>
        <w:pStyle w:val="FootnoteText"/>
      </w:pPr>
      <w:r w:rsidRPr="001E3995">
        <w:rPr>
          <w:vertAlign w:val="superscript"/>
        </w:rPr>
        <w:footnoteRef/>
      </w:r>
      <w:r w:rsidRPr="001E3995">
        <w:rPr>
          <w:i/>
        </w:rPr>
        <w:t>It’s a 10</w:t>
      </w:r>
      <w:r w:rsidRPr="001E3995">
        <w:t>, 718 F.</w:t>
      </w:r>
      <w:r w:rsidRPr="001E3995">
        <w:t xml:space="preserve"> </w:t>
      </w:r>
      <w:r w:rsidRPr="001E3995">
        <w:t>Supp.</w:t>
      </w:r>
      <w:r w:rsidRPr="001E3995">
        <w:t xml:space="preserve"> </w:t>
      </w:r>
      <w:r w:rsidRPr="001E3995">
        <w:t>2d at 335–38 (discussing factors);</w:t>
      </w:r>
      <w:r w:rsidRPr="001E3995">
        <w:t xml:space="preserve"> </w:t>
      </w:r>
      <w:r w:rsidRPr="001E3995">
        <w:rPr>
          <w:i/>
        </w:rPr>
        <w:t>Spiegelberg</w:t>
      </w:r>
      <w:r w:rsidRPr="001E3995">
        <w:t>, 402 F.</w:t>
      </w:r>
      <w:r w:rsidRPr="001E3995">
        <w:t xml:space="preserve"> </w:t>
      </w:r>
      <w:r w:rsidRPr="001E3995">
        <w:t>Supp.</w:t>
      </w:r>
      <w:r w:rsidRPr="001E3995">
        <w:t xml:space="preserve"> </w:t>
      </w:r>
      <w:r w:rsidRPr="001E3995">
        <w:t>2d at 789–90;</w:t>
      </w:r>
      <w:r w:rsidRPr="001E3995">
        <w:t xml:space="preserve"> </w:t>
      </w:r>
      <w:r w:rsidRPr="001E3995">
        <w:rPr>
          <w:i/>
        </w:rPr>
        <w:t>Hanby</w:t>
      </w:r>
      <w:r w:rsidRPr="001E3995">
        <w:t>, 144 F.</w:t>
      </w:r>
      <w:r w:rsidRPr="001E3995">
        <w:t xml:space="preserve"> </w:t>
      </w:r>
      <w:r w:rsidRPr="001E3995">
        <w:t>Supp.</w:t>
      </w:r>
      <w:r w:rsidRPr="001E3995">
        <w:t xml:space="preserve"> </w:t>
      </w:r>
      <w:r w:rsidRPr="001E3995">
        <w:t>2d at 676–77;</w:t>
      </w:r>
      <w:r w:rsidRPr="001E3995">
        <w:t xml:space="preserve"> </w:t>
      </w:r>
      <w:r w:rsidRPr="001E3995">
        <w:rPr>
          <w:i/>
        </w:rPr>
        <w:t>Intria</w:t>
      </w:r>
      <w:r w:rsidRPr="001E3995">
        <w:t>, 2000 WL 1745043, at *2;</w:t>
      </w:r>
      <w:r w:rsidRPr="001E3995">
        <w:t xml:space="preserve"> </w:t>
      </w:r>
      <w:r w:rsidRPr="001E3995">
        <w:rPr>
          <w:i/>
        </w:rPr>
        <w:t>Dostana</w:t>
      </w:r>
      <w:r w:rsidRPr="001E3995">
        <w:t>, 2000 WL 1170134, 2000 BL 963.</w:t>
      </w:r>
      <w:r w:rsidRPr="001E3995">
        <w:t xml:space="preserve"> </w:t>
      </w:r>
      <w:r w:rsidRPr="001E3995">
        <w:rPr>
          <w:i/>
        </w:rPr>
        <w:t>See</w:t>
      </w:r>
      <w:r w:rsidRPr="001E3995">
        <w:rPr>
          <w:b/>
        </w:rPr>
        <w:t xml:space="preserve"> </w:t>
      </w:r>
      <w:r w:rsidRPr="001E3995">
        <w:t>Navajo Nation, 918 F.</w:t>
      </w:r>
      <w:r w:rsidRPr="001E3995">
        <w:t xml:space="preserve"> </w:t>
      </w:r>
      <w:r w:rsidRPr="001E3995">
        <w:t>Supp.</w:t>
      </w:r>
      <w:r w:rsidRPr="001E3995">
        <w:t xml:space="preserve"> </w:t>
      </w:r>
      <w:r w:rsidRPr="001E3995">
        <w:t>2d at 1253 (quoting</w:t>
      </w:r>
      <w:r w:rsidRPr="001E3995">
        <w:rPr>
          <w:b/>
        </w:rPr>
        <w:t xml:space="preserve"> </w:t>
      </w:r>
      <w:r w:rsidRPr="001E3995">
        <w:t>Employers Mut.</w:t>
      </w:r>
      <w:r w:rsidRPr="001E3995">
        <w:t xml:space="preserve"> </w:t>
      </w:r>
      <w:r w:rsidRPr="001E3995">
        <w:t>Cas.</w:t>
      </w:r>
      <w:r w:rsidRPr="001E3995">
        <w:t xml:space="preserve"> </w:t>
      </w:r>
      <w:r w:rsidRPr="001E3995">
        <w:t>Co.</w:t>
      </w:r>
      <w:r w:rsidRPr="001E3995">
        <w:t xml:space="preserve"> </w:t>
      </w:r>
      <w:r w:rsidRPr="001E3995">
        <w:t>v.</w:t>
      </w:r>
      <w:r w:rsidRPr="001E3995">
        <w:t xml:space="preserve"> </w:t>
      </w:r>
      <w:proofErr w:type="spellStart"/>
      <w:r w:rsidRPr="001E3995">
        <w:t>Bartile</w:t>
      </w:r>
      <w:proofErr w:type="spellEnd"/>
      <w:r w:rsidRPr="001E3995">
        <w:t xml:space="preserve"> Roofs, Inc., 618 F.3d 1153, 1167 (10th Cir.</w:t>
      </w:r>
      <w:r w:rsidRPr="001E3995">
        <w:t xml:space="preserve"> </w:t>
      </w:r>
      <w:r w:rsidRPr="001E3995">
        <w:t>2010) (quoting Chrysler Credit Corp.</w:t>
      </w:r>
      <w:r w:rsidRPr="001E3995">
        <w:t xml:space="preserve"> </w:t>
      </w:r>
      <w:r w:rsidRPr="001E3995">
        <w:t>v.</w:t>
      </w:r>
      <w:r w:rsidRPr="001E3995">
        <w:t xml:space="preserve"> </w:t>
      </w:r>
      <w:r w:rsidRPr="001E3995">
        <w:t>Country Chrysler, Inc., 928 F.2d 1509, 1516 (10th Cir.</w:t>
      </w:r>
      <w:r w:rsidRPr="001E3995">
        <w:t xml:space="preserve"> </w:t>
      </w:r>
      <w:r w:rsidRPr="001E3995">
        <w:t>1991)) (listing relevant factors)).</w:t>
      </w:r>
    </w:p>
  </w:footnote>
  <w:footnote w:id="54">
    <w:p w14:paraId="79FC3D18" w14:textId="35E131A5" w:rsidR="001E3995" w:rsidRDefault="001E3995" w:rsidP="001E3995">
      <w:pPr>
        <w:pStyle w:val="FootnoteText"/>
      </w:pPr>
      <w:r w:rsidRPr="001E3995">
        <w:rPr>
          <w:vertAlign w:val="superscript"/>
        </w:rPr>
        <w:footnoteRef/>
      </w:r>
      <w:r w:rsidRPr="001E3995">
        <w:rPr>
          <w:i/>
        </w:rPr>
        <w:t>Intria</w:t>
      </w:r>
      <w:r w:rsidRPr="001E3995">
        <w:t>, 2000 WL 1745043, at *3;</w:t>
      </w:r>
      <w:r w:rsidRPr="001E3995">
        <w:t xml:space="preserve"> </w:t>
      </w:r>
      <w:r w:rsidRPr="001E3995">
        <w:rPr>
          <w:i/>
        </w:rPr>
        <w:t>Dostana</w:t>
      </w:r>
      <w:r w:rsidRPr="001E3995">
        <w:t>, 2000 WL 1170134, at *3, 2000 BL 963;</w:t>
      </w:r>
      <w:r w:rsidRPr="001E3995">
        <w:t xml:space="preserve"> </w:t>
      </w:r>
      <w:r w:rsidRPr="001E3995">
        <w:rPr>
          <w:i/>
        </w:rPr>
        <w:t>Fossil</w:t>
      </w:r>
      <w:r w:rsidRPr="001E3995">
        <w:t>, 1998 WL 158674, at *5 (denying transfer where specific witnesses not named).</w:t>
      </w:r>
    </w:p>
  </w:footnote>
  <w:footnote w:id="55">
    <w:p w14:paraId="0BFD8673" w14:textId="264CD09C" w:rsidR="001E3995" w:rsidRDefault="001E3995" w:rsidP="001E3995">
      <w:pPr>
        <w:pStyle w:val="FootnoteText"/>
      </w:pPr>
      <w:r w:rsidRPr="001E3995">
        <w:rPr>
          <w:vertAlign w:val="superscript"/>
        </w:rPr>
        <w:footnoteRef/>
      </w:r>
      <w:r w:rsidRPr="001E3995">
        <w:rPr>
          <w:i/>
        </w:rPr>
        <w:t>Intria</w:t>
      </w:r>
      <w:r w:rsidRPr="001E3995">
        <w:t>, 2000 WL 1745043, at *3;</w:t>
      </w:r>
      <w:r w:rsidRPr="001E3995">
        <w:t xml:space="preserve"> </w:t>
      </w:r>
      <w:r w:rsidRPr="001E3995">
        <w:rPr>
          <w:i/>
        </w:rPr>
        <w:t>see</w:t>
      </w:r>
      <w:r w:rsidRPr="001E3995">
        <w:t xml:space="preserve"> Heckler &amp; Koch, Inc.</w:t>
      </w:r>
      <w:r w:rsidRPr="001E3995">
        <w:t xml:space="preserve"> </w:t>
      </w:r>
      <w:r w:rsidRPr="001E3995">
        <w:t>v.</w:t>
      </w:r>
      <w:r w:rsidRPr="001E3995">
        <w:t xml:space="preserve"> </w:t>
      </w:r>
      <w:r w:rsidRPr="001E3995">
        <w:t>Precision Airsoft, LLC, 2010 U.S.</w:t>
      </w:r>
      <w:r w:rsidRPr="001E3995">
        <w:t xml:space="preserve"> </w:t>
      </w:r>
      <w:r w:rsidRPr="001E3995">
        <w:t>Dist.</w:t>
      </w:r>
      <w:r w:rsidRPr="001E3995">
        <w:t xml:space="preserve"> </w:t>
      </w:r>
      <w:r w:rsidRPr="001E3995">
        <w:t>LEXIS 28818, at *5–6 (S.D.</w:t>
      </w:r>
      <w:r w:rsidRPr="001E3995">
        <w:t xml:space="preserve"> </w:t>
      </w:r>
      <w:r w:rsidRPr="001E3995">
        <w:t>Ind.</w:t>
      </w:r>
      <w:r w:rsidRPr="001E3995">
        <w:t xml:space="preserve"> </w:t>
      </w:r>
      <w:r w:rsidRPr="001E3995">
        <w:t>Mar.</w:t>
      </w:r>
      <w:r w:rsidRPr="001E3995">
        <w:t xml:space="preserve"> </w:t>
      </w:r>
      <w:r w:rsidRPr="001E3995">
        <w:t>25, 2010) (identifying nonparty witnesses in transferee forum, as well as defendant’s inconvenience).</w:t>
      </w:r>
    </w:p>
  </w:footnote>
  <w:footnote w:id="56">
    <w:p w14:paraId="4D0C0C1B" w14:textId="4E88A37D" w:rsidR="001E3995" w:rsidRDefault="001E3995" w:rsidP="001E3995">
      <w:pPr>
        <w:pStyle w:val="FootnoteText"/>
      </w:pPr>
      <w:r w:rsidRPr="001E3995">
        <w:rPr>
          <w:vertAlign w:val="superscript"/>
        </w:rPr>
        <w:footnoteRef/>
      </w:r>
      <w:r w:rsidRPr="001E3995">
        <w:rPr>
          <w:i/>
        </w:rPr>
        <w:t>It’s a 10</w:t>
      </w:r>
      <w:r w:rsidRPr="001E3995">
        <w:t>, 718 F.</w:t>
      </w:r>
      <w:r w:rsidRPr="001E3995">
        <w:t xml:space="preserve"> </w:t>
      </w:r>
      <w:r w:rsidRPr="001E3995">
        <w:t>Supp.</w:t>
      </w:r>
      <w:r w:rsidRPr="001E3995">
        <w:t xml:space="preserve"> </w:t>
      </w:r>
      <w:r w:rsidRPr="001E3995">
        <w:t>2d at 336;</w:t>
      </w:r>
      <w:r w:rsidRPr="001E3995">
        <w:t xml:space="preserve"> </w:t>
      </w:r>
      <w:r w:rsidRPr="001E3995">
        <w:rPr>
          <w:i/>
        </w:rPr>
        <w:t>Spiegelberg</w:t>
      </w:r>
      <w:r w:rsidRPr="001E3995">
        <w:t>, 402 F.</w:t>
      </w:r>
      <w:r w:rsidRPr="001E3995">
        <w:t xml:space="preserve"> </w:t>
      </w:r>
      <w:r w:rsidRPr="001E3995">
        <w:t>Supp.</w:t>
      </w:r>
      <w:r w:rsidRPr="001E3995">
        <w:t xml:space="preserve"> </w:t>
      </w:r>
      <w:r w:rsidRPr="001E3995">
        <w:t>2d at 790–91.</w:t>
      </w:r>
    </w:p>
  </w:footnote>
  <w:footnote w:id="57">
    <w:p w14:paraId="12A6761F" w14:textId="4FFEAB67" w:rsidR="001E3995" w:rsidRPr="001E3995" w:rsidRDefault="001E3995" w:rsidP="001E3995">
      <w:pPr>
        <w:pStyle w:val="FootnoteText"/>
      </w:pPr>
      <w:r w:rsidRPr="001E3995">
        <w:rPr>
          <w:vertAlign w:val="superscript"/>
        </w:rPr>
        <w:footnoteRef/>
      </w:r>
      <w:r w:rsidRPr="001E3995">
        <w:t>ESPN, Inc.</w:t>
      </w:r>
      <w:r w:rsidRPr="001E3995">
        <w:t xml:space="preserve"> </w:t>
      </w:r>
      <w:r w:rsidRPr="001E3995">
        <w:t>v.</w:t>
      </w:r>
      <w:r w:rsidRPr="001E3995">
        <w:t xml:space="preserve"> </w:t>
      </w:r>
      <w:r w:rsidRPr="001E3995">
        <w:t>Quicksilver, Inc., 581 F.</w:t>
      </w:r>
      <w:r w:rsidRPr="001E3995">
        <w:t xml:space="preserve"> </w:t>
      </w:r>
      <w:r w:rsidRPr="001E3995">
        <w:t>Supp.</w:t>
      </w:r>
      <w:r w:rsidRPr="001E3995">
        <w:t xml:space="preserve"> </w:t>
      </w:r>
      <w:r w:rsidRPr="001E3995">
        <w:t>2d 542, 551 (S.D.N.Y.</w:t>
      </w:r>
      <w:r w:rsidRPr="001E3995">
        <w:t xml:space="preserve"> </w:t>
      </w:r>
      <w:r w:rsidRPr="001E3995">
        <w:t>2008).</w:t>
      </w:r>
    </w:p>
    <w:p w14:paraId="170E3AA3" w14:textId="77777777" w:rsidR="001E3995" w:rsidRDefault="001E3995" w:rsidP="002010F9">
      <w:pPr>
        <w:pStyle w:val="footnote"/>
      </w:pPr>
    </w:p>
  </w:footnote>
  <w:footnote w:id="58">
    <w:p w14:paraId="0517F8E3" w14:textId="6AF4C4C1" w:rsidR="001E3995" w:rsidRDefault="001E3995" w:rsidP="001E3995">
      <w:pPr>
        <w:pStyle w:val="FootnoteText"/>
      </w:pPr>
      <w:r w:rsidRPr="001E3995">
        <w:rPr>
          <w:vertAlign w:val="superscript"/>
        </w:rPr>
        <w:footnoteRef/>
      </w:r>
      <w:r w:rsidRPr="001E3995">
        <w:rPr>
          <w:i/>
        </w:rPr>
        <w:t>See Intria</w:t>
      </w:r>
      <w:r w:rsidRPr="001E3995">
        <w:t>, 2000 WL 1745043, at *3.</w:t>
      </w:r>
    </w:p>
  </w:footnote>
  <w:footnote w:id="59">
    <w:p w14:paraId="1F704726" w14:textId="1B12CE36" w:rsidR="001E3995" w:rsidRDefault="001E3995" w:rsidP="001E3995">
      <w:pPr>
        <w:pStyle w:val="FootnoteText"/>
      </w:pPr>
      <w:r w:rsidRPr="001E3995">
        <w:rPr>
          <w:vertAlign w:val="superscript"/>
        </w:rPr>
        <w:footnoteRef/>
      </w:r>
      <w:r w:rsidRPr="001E3995">
        <w:rPr>
          <w:i/>
        </w:rPr>
        <w:t>Dostana</w:t>
      </w:r>
      <w:r w:rsidRPr="001E3995">
        <w:t>, 2000 WL 1170134, at *3–4, 2000 BL 963;</w:t>
      </w:r>
      <w:r w:rsidRPr="001E3995">
        <w:t xml:space="preserve"> </w:t>
      </w:r>
      <w:r w:rsidRPr="001E3995">
        <w:rPr>
          <w:i/>
        </w:rPr>
        <w:t>see</w:t>
      </w:r>
      <w:r w:rsidRPr="001E3995">
        <w:t xml:space="preserve"> Gemological Inst.</w:t>
      </w:r>
      <w:r w:rsidRPr="001E3995">
        <w:t xml:space="preserve"> </w:t>
      </w:r>
      <w:r w:rsidRPr="001E3995">
        <w:t>of Am., Inc.</w:t>
      </w:r>
      <w:r w:rsidRPr="001E3995">
        <w:t xml:space="preserve"> </w:t>
      </w:r>
      <w:r w:rsidRPr="001E3995">
        <w:t>v.</w:t>
      </w:r>
      <w:r w:rsidRPr="001E3995">
        <w:t xml:space="preserve"> </w:t>
      </w:r>
      <w:proofErr w:type="spellStart"/>
      <w:r w:rsidRPr="001E3995">
        <w:t>Thi</w:t>
      </w:r>
      <w:proofErr w:type="spellEnd"/>
      <w:r w:rsidRPr="001E3995">
        <w:t>-Dai Pan, 145 F.</w:t>
      </w:r>
      <w:r w:rsidRPr="001E3995">
        <w:t xml:space="preserve"> </w:t>
      </w:r>
      <w:r w:rsidRPr="001E3995">
        <w:t>Supp.</w:t>
      </w:r>
      <w:r w:rsidRPr="001E3995">
        <w:t xml:space="preserve"> </w:t>
      </w:r>
      <w:r w:rsidRPr="001E3995">
        <w:t>2d 68, 73 (D.D.C.</w:t>
      </w:r>
      <w:r w:rsidRPr="001E3995">
        <w:t xml:space="preserve"> </w:t>
      </w:r>
      <w:r w:rsidRPr="001E3995">
        <w:t>2001) (convenience of witnesses relevant only if they are not available in the transferee district).</w:t>
      </w:r>
    </w:p>
  </w:footnote>
  <w:footnote w:id="60">
    <w:p w14:paraId="180615B4" w14:textId="3B7DA451" w:rsidR="001E3995" w:rsidRDefault="001E3995" w:rsidP="001E3995">
      <w:pPr>
        <w:pStyle w:val="FootnoteText"/>
      </w:pPr>
      <w:r w:rsidRPr="001E3995">
        <w:rPr>
          <w:vertAlign w:val="superscript"/>
        </w:rPr>
        <w:footnoteRef/>
      </w:r>
      <w:r w:rsidRPr="001E3995">
        <w:rPr>
          <w:i/>
        </w:rPr>
        <w:t>Intria</w:t>
      </w:r>
      <w:r w:rsidRPr="001E3995">
        <w:t>, 2000 WL 1745043, at *4.</w:t>
      </w:r>
    </w:p>
  </w:footnote>
  <w:footnote w:id="61">
    <w:p w14:paraId="27D15B95" w14:textId="7A228A03" w:rsidR="001E3995" w:rsidRDefault="001E3995" w:rsidP="001E3995">
      <w:pPr>
        <w:pStyle w:val="FootnoteText"/>
      </w:pPr>
      <w:r w:rsidRPr="001E3995">
        <w:rPr>
          <w:vertAlign w:val="superscript"/>
        </w:rPr>
        <w:footnoteRef/>
      </w:r>
      <w:r w:rsidRPr="001E3995">
        <w:t>Juniper Networks, Inc.</w:t>
      </w:r>
      <w:r w:rsidRPr="001E3995">
        <w:t xml:space="preserve"> </w:t>
      </w:r>
      <w:r w:rsidRPr="001E3995">
        <w:t>v.</w:t>
      </w:r>
      <w:r w:rsidRPr="001E3995">
        <w:t xml:space="preserve"> </w:t>
      </w:r>
      <w:r w:rsidRPr="001E3995">
        <w:t>Juniper Media, LLC, 2012 U.S.</w:t>
      </w:r>
      <w:r w:rsidRPr="001E3995">
        <w:t xml:space="preserve"> </w:t>
      </w:r>
      <w:r w:rsidRPr="001E3995">
        <w:t>Dist.</w:t>
      </w:r>
      <w:r w:rsidRPr="001E3995">
        <w:t xml:space="preserve"> </w:t>
      </w:r>
      <w:r w:rsidRPr="001E3995">
        <w:t>LEXIS 5180, at *15–16 (N.D.</w:t>
      </w:r>
      <w:r w:rsidRPr="001E3995">
        <w:t xml:space="preserve"> </w:t>
      </w:r>
      <w:r w:rsidRPr="001E3995">
        <w:t>Cal.</w:t>
      </w:r>
      <w:r w:rsidRPr="001E3995">
        <w:t xml:space="preserve"> </w:t>
      </w:r>
      <w:r w:rsidRPr="001E3995">
        <w:t>Jan.</w:t>
      </w:r>
      <w:r w:rsidRPr="001E3995">
        <w:t xml:space="preserve"> </w:t>
      </w:r>
      <w:r w:rsidRPr="001E3995">
        <w:t>17, 2012);</w:t>
      </w:r>
      <w:r w:rsidRPr="001E3995">
        <w:t xml:space="preserve"> </w:t>
      </w:r>
      <w:r w:rsidRPr="001E3995">
        <w:rPr>
          <w:i/>
        </w:rPr>
        <w:t>Intria</w:t>
      </w:r>
      <w:r w:rsidRPr="001E3995">
        <w:t>, 2000 WL 1745043, at *4;</w:t>
      </w:r>
      <w:r w:rsidRPr="001E3995">
        <w:t xml:space="preserve"> </w:t>
      </w:r>
      <w:r w:rsidRPr="001E3995">
        <w:rPr>
          <w:i/>
        </w:rPr>
        <w:t>Dostana</w:t>
      </w:r>
      <w:r w:rsidRPr="001E3995">
        <w:t>, 2000 WL 1170134, at *4, 2000 BL 963.</w:t>
      </w:r>
    </w:p>
  </w:footnote>
  <w:footnote w:id="62">
    <w:p w14:paraId="0EE7B86B" w14:textId="49B9A83C" w:rsidR="001E3995" w:rsidRDefault="001E3995" w:rsidP="001E3995">
      <w:pPr>
        <w:pStyle w:val="FootnoteText"/>
      </w:pPr>
      <w:r w:rsidRPr="001E3995">
        <w:rPr>
          <w:vertAlign w:val="superscript"/>
        </w:rPr>
        <w:footnoteRef/>
      </w:r>
      <w:r w:rsidRPr="001E3995">
        <w:rPr>
          <w:i/>
        </w:rPr>
        <w:t>Gemological Inst.</w:t>
      </w:r>
      <w:r w:rsidRPr="001E3995">
        <w:t>, 145 F.</w:t>
      </w:r>
      <w:r w:rsidRPr="001E3995">
        <w:t xml:space="preserve"> </w:t>
      </w:r>
      <w:r w:rsidRPr="001E3995">
        <w:t>Supp.</w:t>
      </w:r>
      <w:r w:rsidRPr="001E3995">
        <w:t xml:space="preserve"> </w:t>
      </w:r>
      <w:r w:rsidRPr="001E3995">
        <w:t>2d at 73–74 (defendant’s witnesses and documents mostly in Texas, plaintiff’s witnesses did not reside in District of Columbia;</w:t>
      </w:r>
      <w:r w:rsidRPr="001E3995">
        <w:t xml:space="preserve"> </w:t>
      </w:r>
      <w:r w:rsidRPr="001E3995">
        <w:t>transfer granted to southern district of Texas);</w:t>
      </w:r>
      <w:r w:rsidRPr="001E3995">
        <w:t xml:space="preserve"> </w:t>
      </w:r>
      <w:r w:rsidRPr="001E3995">
        <w:rPr>
          <w:i/>
        </w:rPr>
        <w:t>Intria</w:t>
      </w:r>
      <w:r w:rsidRPr="001E3995">
        <w:t>, 2000 WL 1745043, at *4 (original forum was New York, plaintiff’s witnesses resided in Toronto, defendant’s employees resided in Northern California;</w:t>
      </w:r>
      <w:r w:rsidRPr="001E3995">
        <w:t xml:space="preserve"> </w:t>
      </w:r>
      <w:r w:rsidRPr="001E3995">
        <w:t>convenience favored transfer).</w:t>
      </w:r>
    </w:p>
  </w:footnote>
  <w:footnote w:id="63">
    <w:p w14:paraId="0DF6C6BB" w14:textId="7277D511" w:rsidR="001E3995" w:rsidRDefault="001E3995" w:rsidP="001E3995">
      <w:pPr>
        <w:pStyle w:val="FootnoteText"/>
      </w:pPr>
      <w:r w:rsidRPr="001E3995">
        <w:rPr>
          <w:vertAlign w:val="superscript"/>
        </w:rPr>
        <w:footnoteRef/>
      </w:r>
      <w:r w:rsidRPr="001E3995">
        <w:rPr>
          <w:i/>
        </w:rPr>
        <w:t>Gemological Inst.</w:t>
      </w:r>
      <w:r w:rsidRPr="001E3995">
        <w:t>, 145 F.</w:t>
      </w:r>
      <w:r w:rsidRPr="001E3995">
        <w:t xml:space="preserve"> </w:t>
      </w:r>
      <w:r w:rsidRPr="001E3995">
        <w:t>Supp.</w:t>
      </w:r>
      <w:r w:rsidRPr="001E3995">
        <w:t xml:space="preserve"> </w:t>
      </w:r>
      <w:r w:rsidRPr="001E3995">
        <w:t>2d at 74.</w:t>
      </w:r>
    </w:p>
  </w:footnote>
  <w:footnote w:id="64">
    <w:p w14:paraId="62D02F76" w14:textId="7A35F41E"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74.</w:t>
      </w:r>
    </w:p>
  </w:footnote>
  <w:footnote w:id="65">
    <w:p w14:paraId="60BAAC3F" w14:textId="539BAA32" w:rsidR="001E3995" w:rsidRDefault="001E3995" w:rsidP="001E3995">
      <w:pPr>
        <w:pStyle w:val="FootnoteText"/>
      </w:pPr>
      <w:r w:rsidRPr="001E3995">
        <w:rPr>
          <w:vertAlign w:val="superscript"/>
        </w:rPr>
        <w:footnoteRef/>
      </w:r>
      <w:r w:rsidRPr="001E3995">
        <w:rPr>
          <w:i/>
        </w:rPr>
        <w:t>See</w:t>
      </w:r>
      <w:r w:rsidRPr="001E3995">
        <w:t xml:space="preserve"> </w:t>
      </w:r>
      <w:r w:rsidRPr="001E3995">
        <w:rPr>
          <w:i/>
        </w:rPr>
        <w:t>Intria</w:t>
      </w:r>
      <w:r w:rsidRPr="001E3995">
        <w:t>, 2000 WL 1745043, at *5 (required travel by small company’s chief financial officer would seriously inconvenience defendant);</w:t>
      </w:r>
      <w:r w:rsidRPr="001E3995">
        <w:t xml:space="preserve"> </w:t>
      </w:r>
      <w:r w:rsidRPr="001E3995">
        <w:rPr>
          <w:i/>
        </w:rPr>
        <w:t>Dostana</w:t>
      </w:r>
      <w:r w:rsidRPr="001E3995">
        <w:t>, 2000 WL 1170134, at *4, 2000 BL 963 (lack of specific indication of burdens causes that factor not to be considered);</w:t>
      </w:r>
      <w:r w:rsidRPr="001E3995">
        <w:t xml:space="preserve"> </w:t>
      </w:r>
      <w:r w:rsidRPr="001E3995">
        <w:rPr>
          <w:i/>
        </w:rPr>
        <w:t>see also It’s a 10</w:t>
      </w:r>
      <w:r w:rsidRPr="001E3995">
        <w:t>, 718 F.</w:t>
      </w:r>
      <w:r w:rsidRPr="001E3995">
        <w:t xml:space="preserve"> </w:t>
      </w:r>
      <w:r w:rsidRPr="001E3995">
        <w:t>Supp.</w:t>
      </w:r>
      <w:r w:rsidRPr="001E3995">
        <w:t xml:space="preserve"> </w:t>
      </w:r>
      <w:r w:rsidRPr="001E3995">
        <w:t>2d at 338 (this factor counts less when both sides are corporations).</w:t>
      </w:r>
    </w:p>
  </w:footnote>
  <w:footnote w:id="66">
    <w:p w14:paraId="2D695E29" w14:textId="59A76397" w:rsidR="001E3995" w:rsidRDefault="001E3995" w:rsidP="001E3995">
      <w:pPr>
        <w:pStyle w:val="FootnoteText"/>
      </w:pPr>
      <w:r w:rsidRPr="001E3995">
        <w:rPr>
          <w:vertAlign w:val="superscript"/>
        </w:rPr>
        <w:footnoteRef/>
      </w:r>
      <w:r w:rsidRPr="001E3995">
        <w:rPr>
          <w:i/>
        </w:rPr>
        <w:t>Spiegelberg</w:t>
      </w:r>
      <w:r w:rsidRPr="001E3995">
        <w:t>, 402 F.</w:t>
      </w:r>
      <w:r w:rsidRPr="001E3995">
        <w:t xml:space="preserve"> </w:t>
      </w:r>
      <w:r w:rsidRPr="001E3995">
        <w:t>Supp.</w:t>
      </w:r>
      <w:r w:rsidRPr="001E3995">
        <w:t xml:space="preserve"> </w:t>
      </w:r>
      <w:r w:rsidRPr="001E3995">
        <w:t>2d at 791;</w:t>
      </w:r>
      <w:r w:rsidRPr="001E3995">
        <w:t xml:space="preserve"> </w:t>
      </w:r>
      <w:r w:rsidRPr="001E3995">
        <w:rPr>
          <w:i/>
        </w:rPr>
        <w:t>Intria</w:t>
      </w:r>
      <w:r w:rsidRPr="001E3995">
        <w:t>, 2000 WL 1745043, at *5;</w:t>
      </w:r>
      <w:r w:rsidRPr="001E3995">
        <w:t xml:space="preserve"> </w:t>
      </w:r>
      <w:r w:rsidRPr="001E3995">
        <w:rPr>
          <w:i/>
        </w:rPr>
        <w:t>Dostana</w:t>
      </w:r>
      <w:r w:rsidRPr="001E3995">
        <w:t>, 2000 WL 1170134, at *4, 2000 BL 963.</w:t>
      </w:r>
      <w:r w:rsidRPr="001E3995">
        <w:t xml:space="preserve"> </w:t>
      </w:r>
      <w:r w:rsidRPr="001E3995">
        <w:rPr>
          <w:i/>
        </w:rPr>
        <w:t>But cf.</w:t>
      </w:r>
      <w:r w:rsidRPr="001E3995">
        <w:rPr>
          <w:i/>
        </w:rPr>
        <w:t xml:space="preserve"> </w:t>
      </w:r>
      <w:r w:rsidRPr="001E3995">
        <w:t>Navajo Nation v.</w:t>
      </w:r>
      <w:r w:rsidRPr="001E3995">
        <w:t xml:space="preserve"> </w:t>
      </w:r>
      <w:r w:rsidRPr="001E3995">
        <w:t>Urban Outfitters, Inc., 918 F.</w:t>
      </w:r>
      <w:r w:rsidRPr="001E3995">
        <w:t xml:space="preserve"> </w:t>
      </w:r>
      <w:r w:rsidRPr="001E3995">
        <w:t>Supp.</w:t>
      </w:r>
      <w:r w:rsidRPr="001E3995">
        <w:t xml:space="preserve"> </w:t>
      </w:r>
      <w:r w:rsidRPr="001E3995">
        <w:t>2d 1245, 1256 (D.N.M.</w:t>
      </w:r>
      <w:r w:rsidRPr="001E3995">
        <w:t xml:space="preserve"> </w:t>
      </w:r>
      <w:r w:rsidRPr="001E3995">
        <w:t>2013) (citing convenience of witnesses as the most important factor).</w:t>
      </w:r>
    </w:p>
  </w:footnote>
  <w:footnote w:id="67">
    <w:p w14:paraId="3746B5AC" w14:textId="13D526DE" w:rsidR="001E3995" w:rsidRDefault="001E3995" w:rsidP="001E3995">
      <w:pPr>
        <w:pStyle w:val="FootnoteText"/>
      </w:pPr>
      <w:r w:rsidRPr="001E3995">
        <w:rPr>
          <w:vertAlign w:val="superscript"/>
        </w:rPr>
        <w:footnoteRef/>
      </w:r>
      <w:r w:rsidRPr="001E3995">
        <w:rPr>
          <w:i/>
        </w:rPr>
        <w:t>See</w:t>
      </w:r>
      <w:r w:rsidRPr="001E3995">
        <w:t xml:space="preserve"> </w:t>
      </w:r>
      <w:r w:rsidRPr="001E3995">
        <w:rPr>
          <w:i/>
        </w:rPr>
        <w:t>Intria</w:t>
      </w:r>
      <w:r w:rsidRPr="001E3995">
        <w:t>, 2000 WL 1745043, at *5 (alleged infringing acts took place mostly in California, where goods and services were created and sold);</w:t>
      </w:r>
      <w:r w:rsidRPr="001E3995">
        <w:t xml:space="preserve"> </w:t>
      </w:r>
      <w:r w:rsidRPr="001E3995">
        <w:t>Hanby v.</w:t>
      </w:r>
      <w:r w:rsidRPr="001E3995">
        <w:t xml:space="preserve"> </w:t>
      </w:r>
      <w:r w:rsidRPr="001E3995">
        <w:t>Shell Oil Co., 144 F.</w:t>
      </w:r>
      <w:r w:rsidRPr="001E3995">
        <w:t xml:space="preserve"> </w:t>
      </w:r>
      <w:r w:rsidRPr="001E3995">
        <w:t>Supp.</w:t>
      </w:r>
      <w:r w:rsidRPr="001E3995">
        <w:t xml:space="preserve"> </w:t>
      </w:r>
      <w:r w:rsidRPr="001E3995">
        <w:t>2d 673, 677 (E.D.</w:t>
      </w:r>
      <w:r w:rsidRPr="001E3995">
        <w:t xml:space="preserve"> </w:t>
      </w:r>
      <w:r w:rsidRPr="001E3995">
        <w:t>Tex.</w:t>
      </w:r>
      <w:r w:rsidRPr="001E3995">
        <w:t xml:space="preserve"> </w:t>
      </w:r>
      <w:r w:rsidRPr="001E3995">
        <w:t>2001) (“no nexus of activity” in the transferor forum;</w:t>
      </w:r>
      <w:r w:rsidRPr="001E3995">
        <w:t xml:space="preserve"> </w:t>
      </w:r>
      <w:r w:rsidRPr="001E3995">
        <w:t>transfer granted).</w:t>
      </w:r>
    </w:p>
  </w:footnote>
  <w:footnote w:id="68">
    <w:p w14:paraId="29913E9E" w14:textId="1AFCDD42" w:rsidR="001E3995" w:rsidRPr="001E3995" w:rsidRDefault="001E3995" w:rsidP="001E3995">
      <w:pPr>
        <w:pStyle w:val="FootnoteText"/>
      </w:pPr>
      <w:r w:rsidRPr="001E3995">
        <w:rPr>
          <w:vertAlign w:val="superscript"/>
        </w:rPr>
        <w:footnoteRef/>
      </w:r>
      <w:r w:rsidRPr="001E3995">
        <w:rPr>
          <w:i/>
        </w:rPr>
        <w:t>Intria</w:t>
      </w:r>
      <w:r w:rsidRPr="001E3995">
        <w:t>, 2000 WL 1745043, at *7;</w:t>
      </w:r>
      <w:r w:rsidRPr="001E3995">
        <w:t xml:space="preserve"> </w:t>
      </w:r>
      <w:r w:rsidRPr="001E3995">
        <w:rPr>
          <w:i/>
        </w:rPr>
        <w:t>Dostana</w:t>
      </w:r>
      <w:r w:rsidRPr="001E3995">
        <w:t>, 2000 WL 1170134, at *6, 2000 BL 963.</w:t>
      </w:r>
    </w:p>
    <w:p w14:paraId="441BF350" w14:textId="77777777" w:rsidR="001E3995" w:rsidRPr="00190DEA" w:rsidRDefault="001E3995" w:rsidP="002010F9">
      <w:pPr>
        <w:pStyle w:val="footnote"/>
        <w:rPr>
          <w:lang w:val="da-DK"/>
        </w:rPr>
      </w:pPr>
    </w:p>
  </w:footnote>
  <w:footnote w:id="69">
    <w:p w14:paraId="43437DF7" w14:textId="20664B79" w:rsidR="001E3995" w:rsidRDefault="001E3995" w:rsidP="001E3995">
      <w:pPr>
        <w:pStyle w:val="FootnoteText"/>
      </w:pPr>
      <w:r w:rsidRPr="001E3995">
        <w:rPr>
          <w:vertAlign w:val="superscript"/>
        </w:rPr>
        <w:footnoteRef/>
      </w:r>
      <w:r w:rsidRPr="001E3995">
        <w:rPr>
          <w:i/>
        </w:rPr>
        <w:t>Intria</w:t>
      </w:r>
      <w:r w:rsidRPr="001E3995">
        <w:t>, 2000 WL 1745043, at *7;</w:t>
      </w:r>
      <w:r w:rsidRPr="001E3995">
        <w:t xml:space="preserve"> </w:t>
      </w:r>
      <w:r w:rsidRPr="001E3995">
        <w:rPr>
          <w:i/>
        </w:rPr>
        <w:t>Dostana</w:t>
      </w:r>
      <w:r w:rsidRPr="001E3995">
        <w:t>, 2000 WL 1170134, at *6, 2000 BL 963;</w:t>
      </w:r>
      <w:r w:rsidRPr="001E3995">
        <w:t xml:space="preserve"> </w:t>
      </w:r>
      <w:r w:rsidRPr="001E3995">
        <w:rPr>
          <w:i/>
        </w:rPr>
        <w:t>see</w:t>
      </w:r>
      <w:r w:rsidRPr="001E3995">
        <w:t xml:space="preserve"> </w:t>
      </w:r>
      <w:proofErr w:type="spellStart"/>
      <w:r w:rsidRPr="001E3995">
        <w:t>Dymatize</w:t>
      </w:r>
      <w:proofErr w:type="spellEnd"/>
      <w:r w:rsidRPr="001E3995">
        <w:t xml:space="preserve"> Enters., Inc.</w:t>
      </w:r>
      <w:r w:rsidRPr="001E3995">
        <w:t xml:space="preserve"> </w:t>
      </w:r>
      <w:r w:rsidRPr="001E3995">
        <w:t>v.</w:t>
      </w:r>
      <w:r w:rsidRPr="001E3995">
        <w:t xml:space="preserve"> </w:t>
      </w:r>
      <w:r w:rsidRPr="001E3995">
        <w:t>Maximum Human Performance, Inc., 2010 WL 972240, at *4, 2010 BL 428873 (N.D.</w:t>
      </w:r>
      <w:r w:rsidRPr="001E3995">
        <w:t xml:space="preserve"> </w:t>
      </w:r>
      <w:r w:rsidRPr="001E3995">
        <w:t>Tex.</w:t>
      </w:r>
      <w:r w:rsidRPr="001E3995">
        <w:t xml:space="preserve"> </w:t>
      </w:r>
      <w:r w:rsidRPr="001E3995">
        <w:t>Feb.</w:t>
      </w:r>
      <w:r w:rsidRPr="001E3995">
        <w:t xml:space="preserve"> </w:t>
      </w:r>
      <w:r w:rsidRPr="001E3995">
        <w:t>28, 2010 (where federal-law issues predominate, state-law issues may be of less concern).</w:t>
      </w:r>
      <w:r w:rsidRPr="001E3995">
        <w:t xml:space="preserve"> </w:t>
      </w:r>
      <w:r w:rsidRPr="001E3995">
        <w:t>Of course, if the applicable law is that of the forum state, that will disfavor transfer.</w:t>
      </w:r>
      <w:r w:rsidRPr="001E3995">
        <w:t xml:space="preserve"> </w:t>
      </w:r>
      <w:proofErr w:type="spellStart"/>
      <w:r w:rsidRPr="001E3995">
        <w:t>Farberware</w:t>
      </w:r>
      <w:proofErr w:type="spellEnd"/>
      <w:r w:rsidRPr="001E3995">
        <w:t xml:space="preserve"> Licensing Co.</w:t>
      </w:r>
      <w:r w:rsidRPr="001E3995">
        <w:t xml:space="preserve"> </w:t>
      </w:r>
      <w:r w:rsidRPr="001E3995">
        <w:t>v.</w:t>
      </w:r>
      <w:r w:rsidRPr="001E3995">
        <w:t xml:space="preserve"> </w:t>
      </w:r>
      <w:r w:rsidRPr="001E3995">
        <w:t>Meyer Mktg.</w:t>
      </w:r>
      <w:r w:rsidRPr="001E3995">
        <w:t xml:space="preserve"> </w:t>
      </w:r>
      <w:r w:rsidRPr="001E3995">
        <w:t>Co., 2009 U.S.</w:t>
      </w:r>
      <w:r w:rsidRPr="001E3995">
        <w:t xml:space="preserve"> </w:t>
      </w:r>
      <w:r w:rsidRPr="001E3995">
        <w:t>Dist.</w:t>
      </w:r>
      <w:r w:rsidRPr="001E3995">
        <w:t xml:space="preserve"> </w:t>
      </w:r>
      <w:r w:rsidRPr="001E3995">
        <w:t>LEXIS 40782, at *10–11 (S.D.N.Y.</w:t>
      </w:r>
      <w:r w:rsidRPr="001E3995">
        <w:t xml:space="preserve"> </w:t>
      </w:r>
      <w:r w:rsidRPr="001E3995">
        <w:t>May 14, 2009).</w:t>
      </w:r>
      <w:r w:rsidRPr="001E3995">
        <w:t xml:space="preserve"> </w:t>
      </w:r>
      <w:r w:rsidRPr="001E3995">
        <w:t xml:space="preserve">Where there is a choice-of-law issue, it will be determined by the choice-of-law rules of the </w:t>
      </w:r>
      <w:r w:rsidRPr="001E3995">
        <w:rPr>
          <w:i/>
        </w:rPr>
        <w:t>transferor</w:t>
      </w:r>
      <w:r w:rsidRPr="001E3995">
        <w:t xml:space="preserve"> state.</w:t>
      </w:r>
      <w:r w:rsidRPr="001E3995">
        <w:t xml:space="preserve"> </w:t>
      </w:r>
      <w:r w:rsidRPr="001E3995">
        <w:t>Van Dusen v.</w:t>
      </w:r>
      <w:r w:rsidRPr="001E3995">
        <w:t xml:space="preserve"> </w:t>
      </w:r>
      <w:r w:rsidRPr="001E3995">
        <w:t>Barrack, 376 U.S.</w:t>
      </w:r>
      <w:r w:rsidRPr="001E3995">
        <w:t xml:space="preserve"> </w:t>
      </w:r>
      <w:r w:rsidRPr="001E3995">
        <w:t>612, 621 (1964).</w:t>
      </w:r>
    </w:p>
  </w:footnote>
  <w:footnote w:id="70">
    <w:p w14:paraId="16580E61" w14:textId="0F6A1AE1" w:rsidR="001E3995" w:rsidRDefault="001E3995" w:rsidP="001E3995">
      <w:pPr>
        <w:pStyle w:val="FootnoteText"/>
      </w:pPr>
      <w:r w:rsidRPr="001E3995">
        <w:rPr>
          <w:vertAlign w:val="superscript"/>
        </w:rPr>
        <w:footnoteRef/>
      </w:r>
      <w:r w:rsidRPr="001E3995">
        <w:rPr>
          <w:i/>
        </w:rPr>
        <w:t>Intria</w:t>
      </w:r>
      <w:r w:rsidRPr="001E3995">
        <w:t>, 2000 WL 1745043, at *8.</w:t>
      </w:r>
    </w:p>
  </w:footnote>
  <w:footnote w:id="71">
    <w:p w14:paraId="67309838" w14:textId="05A86DFD" w:rsidR="001E3995" w:rsidRDefault="001E3995" w:rsidP="001E3995">
      <w:pPr>
        <w:pStyle w:val="FootnoteText"/>
      </w:pPr>
      <w:r w:rsidRPr="001E3995">
        <w:rPr>
          <w:vertAlign w:val="superscript"/>
        </w:rPr>
        <w:footnoteRef/>
      </w:r>
      <w:r w:rsidRPr="001E3995">
        <w:t>Advantage Rent-A-Car, Inc.</w:t>
      </w:r>
      <w:r w:rsidRPr="001E3995">
        <w:t xml:space="preserve"> </w:t>
      </w:r>
      <w:r w:rsidRPr="001E3995">
        <w:t>v.</w:t>
      </w:r>
      <w:r w:rsidRPr="001E3995">
        <w:t xml:space="preserve"> </w:t>
      </w:r>
      <w:r w:rsidRPr="001E3995">
        <w:t>Enterprise Rent-A-Car, Inc., 238 F.3d 378, 381, 57 USPQ2d 1561 (5th Cir.</w:t>
      </w:r>
      <w:r w:rsidRPr="001E3995">
        <w:t xml:space="preserve"> </w:t>
      </w:r>
      <w:r w:rsidRPr="001E3995">
        <w:t xml:space="preserve">2001) (finding mark not famous under </w:t>
      </w:r>
      <w:proofErr w:type="gramStart"/>
      <w:r w:rsidRPr="001E3995">
        <w:t>FTDA, but</w:t>
      </w:r>
      <w:proofErr w:type="gramEnd"/>
      <w:r w:rsidRPr="001E3995">
        <w:t xml:space="preserve"> remanding for consideration under Texas and Louisiana dilution laws, which did not require famous marks).</w:t>
      </w:r>
    </w:p>
  </w:footnote>
  <w:footnote w:id="72">
    <w:p w14:paraId="150F397F" w14:textId="04127F18" w:rsidR="001E3995" w:rsidRDefault="001E3995" w:rsidP="001E3995">
      <w:pPr>
        <w:pStyle w:val="FootnoteText"/>
      </w:pPr>
      <w:r w:rsidRPr="001E3995">
        <w:rPr>
          <w:vertAlign w:val="superscript"/>
        </w:rPr>
        <w:footnoteRef/>
      </w:r>
      <w:r w:rsidRPr="001E3995">
        <w:t>See discussion of Model Bill in Chapter 1, §II.D.</w:t>
      </w:r>
    </w:p>
  </w:footnote>
  <w:footnote w:id="73">
    <w:p w14:paraId="0DA8DDDF" w14:textId="1EDFAEB4" w:rsidR="001E3995" w:rsidRPr="001E3995" w:rsidRDefault="001E3995" w:rsidP="001E3995">
      <w:pPr>
        <w:pStyle w:val="FootnoteText"/>
      </w:pPr>
      <w:r w:rsidRPr="001E3995">
        <w:rPr>
          <w:vertAlign w:val="superscript"/>
        </w:rPr>
        <w:footnoteRef/>
      </w:r>
      <w:r w:rsidRPr="001E3995">
        <w:t>Ross Univ.</w:t>
      </w:r>
      <w:r w:rsidRPr="001E3995">
        <w:t xml:space="preserve"> </w:t>
      </w:r>
      <w:r w:rsidRPr="001E3995">
        <w:t>Sch.</w:t>
      </w:r>
      <w:r w:rsidRPr="001E3995">
        <w:t xml:space="preserve"> </w:t>
      </w:r>
      <w:r w:rsidRPr="001E3995">
        <w:t>of Med.</w:t>
      </w:r>
      <w:r w:rsidRPr="001E3995">
        <w:t xml:space="preserve"> </w:t>
      </w:r>
      <w:r w:rsidRPr="001E3995">
        <w:t>v.</w:t>
      </w:r>
      <w:r w:rsidRPr="001E3995">
        <w:t xml:space="preserve"> </w:t>
      </w:r>
      <w:r w:rsidRPr="001E3995">
        <w:t>Amini, 2014 U.S.</w:t>
      </w:r>
      <w:r w:rsidRPr="001E3995">
        <w:t xml:space="preserve"> </w:t>
      </w:r>
      <w:r w:rsidRPr="001E3995">
        <w:t>Dist.</w:t>
      </w:r>
      <w:r w:rsidRPr="001E3995">
        <w:t xml:space="preserve"> </w:t>
      </w:r>
      <w:r w:rsidRPr="001E3995">
        <w:t>LEXIS 202, at *18–19 (D.N.J.</w:t>
      </w:r>
      <w:r w:rsidRPr="001E3995">
        <w:t xml:space="preserve"> </w:t>
      </w:r>
      <w:r w:rsidRPr="001E3995">
        <w:t>Jan.</w:t>
      </w:r>
      <w:r w:rsidRPr="001E3995">
        <w:t xml:space="preserve"> </w:t>
      </w:r>
      <w:r w:rsidRPr="001E3995">
        <w:t>2, 2014) (denying transfer from the contractually chosen forum).</w:t>
      </w:r>
    </w:p>
    <w:p w14:paraId="2254749A" w14:textId="77777777" w:rsidR="001E3995" w:rsidRDefault="001E3995" w:rsidP="002010F9">
      <w:pPr>
        <w:pStyle w:val="footnote"/>
      </w:pPr>
    </w:p>
  </w:footnote>
  <w:footnote w:id="74">
    <w:p w14:paraId="1D470E7C" w14:textId="7495ECDF" w:rsidR="001E3995" w:rsidRDefault="001E3995" w:rsidP="001E3995">
      <w:pPr>
        <w:pStyle w:val="FootnoteText"/>
      </w:pPr>
      <w:r w:rsidRPr="001E3995">
        <w:rPr>
          <w:vertAlign w:val="superscript"/>
        </w:rPr>
        <w:footnoteRef/>
      </w:r>
      <w:r w:rsidRPr="001E3995">
        <w:t>L.</w:t>
      </w:r>
      <w:r w:rsidRPr="001E3995">
        <w:t xml:space="preserve"> </w:t>
      </w:r>
      <w:r w:rsidRPr="001E3995">
        <w:t>Cohen Group v.</w:t>
      </w:r>
      <w:r w:rsidRPr="001E3995">
        <w:t xml:space="preserve"> </w:t>
      </w:r>
      <w:r w:rsidRPr="001E3995">
        <w:t>Herman Miller, Inc., 2006 U.S.</w:t>
      </w:r>
      <w:r w:rsidRPr="001E3995">
        <w:t xml:space="preserve"> </w:t>
      </w:r>
      <w:r w:rsidRPr="001E3995">
        <w:t>Dist.</w:t>
      </w:r>
      <w:r w:rsidRPr="001E3995">
        <w:t xml:space="preserve"> </w:t>
      </w:r>
      <w:r w:rsidRPr="001E3995">
        <w:t>LEXIS 2301, at *5 (N.D.</w:t>
      </w:r>
      <w:r w:rsidRPr="001E3995">
        <w:t xml:space="preserve"> </w:t>
      </w:r>
      <w:r w:rsidRPr="001E3995">
        <w:t>Cal.</w:t>
      </w:r>
      <w:r w:rsidRPr="001E3995">
        <w:t xml:space="preserve"> </w:t>
      </w:r>
      <w:r w:rsidRPr="001E3995">
        <w:t>Jan.</w:t>
      </w:r>
      <w:r w:rsidRPr="001E3995">
        <w:t xml:space="preserve"> </w:t>
      </w:r>
      <w:r w:rsidRPr="001E3995">
        <w:t>18, 2006);</w:t>
      </w:r>
      <w:r w:rsidRPr="001E3995">
        <w:t xml:space="preserve"> </w:t>
      </w:r>
      <w:r w:rsidRPr="001E3995">
        <w:rPr>
          <w:i/>
        </w:rPr>
        <w:t>see</w:t>
      </w:r>
      <w:r w:rsidRPr="001E3995">
        <w:t xml:space="preserve"> Riedell Shoes, Inc.</w:t>
      </w:r>
      <w:r w:rsidRPr="001E3995">
        <w:t xml:space="preserve"> </w:t>
      </w:r>
      <w:r w:rsidRPr="001E3995">
        <w:t>v.</w:t>
      </w:r>
      <w:r w:rsidRPr="001E3995">
        <w:t xml:space="preserve"> </w:t>
      </w:r>
      <w:r w:rsidRPr="001E3995">
        <w:t>adidas AG, 2011 U.S.</w:t>
      </w:r>
      <w:r w:rsidRPr="001E3995">
        <w:t xml:space="preserve"> </w:t>
      </w:r>
      <w:r w:rsidRPr="001E3995">
        <w:t>Dist.</w:t>
      </w:r>
      <w:r w:rsidRPr="001E3995">
        <w:t xml:space="preserve"> </w:t>
      </w:r>
      <w:r w:rsidRPr="001E3995">
        <w:t>LEXIS 52355, at *7–8 (D.</w:t>
      </w:r>
      <w:r w:rsidRPr="001E3995">
        <w:t xml:space="preserve"> </w:t>
      </w:r>
      <w:r w:rsidRPr="001E3995">
        <w:t>Minn.</w:t>
      </w:r>
      <w:r w:rsidRPr="001E3995">
        <w:t xml:space="preserve"> </w:t>
      </w:r>
      <w:r w:rsidRPr="001E3995">
        <w:t>May 16, 2011) (noting that in some declaratory judgment cases the first-to-file rule may not be followed).</w:t>
      </w:r>
    </w:p>
  </w:footnote>
  <w:footnote w:id="75">
    <w:p w14:paraId="30F3AD52" w14:textId="36AD1DA0" w:rsidR="001E3995" w:rsidRDefault="001E3995" w:rsidP="001E3995">
      <w:pPr>
        <w:pStyle w:val="FootnoteText"/>
      </w:pPr>
      <w:r w:rsidRPr="001E3995">
        <w:rPr>
          <w:vertAlign w:val="superscript"/>
        </w:rPr>
        <w:footnoteRef/>
      </w:r>
      <w:r w:rsidRPr="001E3995">
        <w:rPr>
          <w:i/>
        </w:rPr>
        <w:t>See, e.g.</w:t>
      </w:r>
      <w:r w:rsidRPr="001E3995">
        <w:t xml:space="preserve">, </w:t>
      </w:r>
      <w:proofErr w:type="spellStart"/>
      <w:r w:rsidRPr="001E3995">
        <w:t>Fanimation</w:t>
      </w:r>
      <w:proofErr w:type="spellEnd"/>
      <w:r w:rsidRPr="001E3995">
        <w:t xml:space="preserve"> Design &amp; Mfg., Inc.</w:t>
      </w:r>
      <w:r w:rsidRPr="001E3995">
        <w:t xml:space="preserve"> </w:t>
      </w:r>
      <w:r w:rsidRPr="001E3995">
        <w:t>v.</w:t>
      </w:r>
      <w:r w:rsidRPr="001E3995">
        <w:t xml:space="preserve"> </w:t>
      </w:r>
      <w:r w:rsidRPr="001E3995">
        <w:t>Dan’s Fan City, 2001 WL 485427, at *2 (S.D.</w:t>
      </w:r>
      <w:r w:rsidRPr="001E3995">
        <w:t xml:space="preserve"> </w:t>
      </w:r>
      <w:r w:rsidRPr="001E3995">
        <w:t>Ind.</w:t>
      </w:r>
      <w:r w:rsidRPr="001E3995">
        <w:t xml:space="preserve"> </w:t>
      </w:r>
      <w:r w:rsidRPr="001E3995">
        <w:t>Mar.</w:t>
      </w:r>
      <w:r w:rsidRPr="001E3995">
        <w:t xml:space="preserve"> </w:t>
      </w:r>
      <w:r w:rsidRPr="001E3995">
        <w:t>9, 2001).</w:t>
      </w:r>
    </w:p>
  </w:footnote>
  <w:footnote w:id="76">
    <w:p w14:paraId="1F8DC072" w14:textId="4C06DC58" w:rsidR="001E3995" w:rsidRDefault="001E3995" w:rsidP="001E3995">
      <w:pPr>
        <w:pStyle w:val="FootnoteText"/>
      </w:pPr>
      <w:r w:rsidRPr="001E3995">
        <w:rPr>
          <w:vertAlign w:val="superscript"/>
        </w:rPr>
        <w:footnoteRef/>
      </w:r>
      <w:r w:rsidRPr="001E3995">
        <w:t>Both the Fifth and Fourteenth Amendments contain protections against governmental deprivations of life, liberty, and property without due process of law.</w:t>
      </w:r>
      <w:r w:rsidRPr="001E3995">
        <w:t xml:space="preserve"> </w:t>
      </w:r>
      <w:r w:rsidRPr="001E3995">
        <w:t>The Fifth Amendment protects against federal incursions;</w:t>
      </w:r>
      <w:r w:rsidRPr="001E3995">
        <w:t xml:space="preserve"> </w:t>
      </w:r>
      <w:r w:rsidRPr="001E3995">
        <w:t>the Fourteenth Amendment protects against state incursions.</w:t>
      </w:r>
    </w:p>
  </w:footnote>
  <w:footnote w:id="77">
    <w:p w14:paraId="2E7148BC" w14:textId="4B92DFEC" w:rsidR="001E3995" w:rsidRDefault="001E3995" w:rsidP="001E3995">
      <w:pPr>
        <w:pStyle w:val="FootnoteText"/>
      </w:pPr>
      <w:r w:rsidRPr="001E3995">
        <w:rPr>
          <w:vertAlign w:val="superscript"/>
        </w:rPr>
        <w:footnoteRef/>
      </w:r>
      <w:r w:rsidRPr="001E3995">
        <w:rPr>
          <w:i/>
        </w:rPr>
        <w:t>See</w:t>
      </w:r>
      <w:r w:rsidRPr="001E3995">
        <w:t xml:space="preserve"> §III.B, below.</w:t>
      </w:r>
      <w:r w:rsidRPr="001E3995">
        <w:t xml:space="preserve"> </w:t>
      </w:r>
      <w:r w:rsidRPr="001E3995">
        <w:t>Some courts have asserted personal jurisdiction under the doctrine of “pendent personal jurisdiction,” when one claim does not have the requisite nexus between the defendant and the forum, but a related claim does.</w:t>
      </w:r>
      <w:r w:rsidRPr="001E3995">
        <w:t xml:space="preserve"> </w:t>
      </w:r>
      <w:r w:rsidRPr="001E3995">
        <w:rPr>
          <w:i/>
        </w:rPr>
        <w:t>See</w:t>
      </w:r>
      <w:r w:rsidRPr="001E3995">
        <w:t xml:space="preserve"> </w:t>
      </w:r>
      <w:proofErr w:type="spellStart"/>
      <w:r w:rsidRPr="001E3995">
        <w:t>Lumascape</w:t>
      </w:r>
      <w:proofErr w:type="spellEnd"/>
      <w:r w:rsidRPr="001E3995">
        <w:t xml:space="preserve"> USA, Inc.</w:t>
      </w:r>
      <w:r w:rsidRPr="001E3995">
        <w:t xml:space="preserve"> </w:t>
      </w:r>
      <w:r w:rsidRPr="001E3995">
        <w:t>v.</w:t>
      </w:r>
      <w:r w:rsidRPr="001E3995">
        <w:t xml:space="preserve"> </w:t>
      </w:r>
      <w:r w:rsidRPr="001E3995">
        <w:t>Vertex Lighting, Inc., 2006 U.S.</w:t>
      </w:r>
      <w:r w:rsidRPr="001E3995">
        <w:t xml:space="preserve"> </w:t>
      </w:r>
      <w:r w:rsidRPr="001E3995">
        <w:t>Dist.</w:t>
      </w:r>
      <w:r w:rsidRPr="001E3995">
        <w:t xml:space="preserve"> </w:t>
      </w:r>
      <w:r w:rsidRPr="001E3995">
        <w:t>LEXIS 25093, at *20–21 (N.D.</w:t>
      </w:r>
      <w:r w:rsidRPr="001E3995">
        <w:t xml:space="preserve"> </w:t>
      </w:r>
      <w:r w:rsidRPr="001E3995">
        <w:t>Cal.</w:t>
      </w:r>
      <w:r w:rsidRPr="001E3995">
        <w:t xml:space="preserve"> </w:t>
      </w:r>
      <w:r w:rsidRPr="001E3995">
        <w:t>Mar.</w:t>
      </w:r>
      <w:r w:rsidRPr="001E3995">
        <w:t xml:space="preserve"> </w:t>
      </w:r>
      <w:r w:rsidRPr="001E3995">
        <w:t xml:space="preserve">29, 2006) (citing CE </w:t>
      </w:r>
      <w:proofErr w:type="spellStart"/>
      <w:r w:rsidRPr="001E3995">
        <w:t>Distrib</w:t>
      </w:r>
      <w:proofErr w:type="spellEnd"/>
      <w:r w:rsidRPr="001E3995">
        <w:t>., LLC v.</w:t>
      </w:r>
      <w:r w:rsidRPr="001E3995">
        <w:t xml:space="preserve"> </w:t>
      </w:r>
      <w:r w:rsidRPr="001E3995">
        <w:t>New Sensor Corp., 380 F.3d 1007, 1113 (9th Cir.</w:t>
      </w:r>
      <w:r w:rsidRPr="001E3995">
        <w:t xml:space="preserve"> </w:t>
      </w:r>
      <w:r w:rsidRPr="001E3995">
        <w:t>2004), and Data Disc, Inc.</w:t>
      </w:r>
      <w:r w:rsidRPr="001E3995">
        <w:t xml:space="preserve"> </w:t>
      </w:r>
      <w:r w:rsidRPr="001E3995">
        <w:t>v.</w:t>
      </w:r>
      <w:r w:rsidRPr="001E3995">
        <w:t xml:space="preserve"> </w:t>
      </w:r>
      <w:r w:rsidRPr="001E3995">
        <w:t>Systems Tech.</w:t>
      </w:r>
      <w:r w:rsidRPr="001E3995">
        <w:t xml:space="preserve"> </w:t>
      </w:r>
      <w:r w:rsidRPr="001E3995">
        <w:t>Assocs., Inc., 557 F.2d 1280, 1289 n.8 (9th Cir.</w:t>
      </w:r>
      <w:r w:rsidRPr="001E3995">
        <w:t xml:space="preserve"> </w:t>
      </w:r>
      <w:r w:rsidRPr="001E3995">
        <w:t>1977)).</w:t>
      </w:r>
    </w:p>
  </w:footnote>
  <w:footnote w:id="78">
    <w:p w14:paraId="396B37C4" w14:textId="4F8DF098" w:rsidR="001E3995" w:rsidRDefault="001E3995" w:rsidP="001E3995">
      <w:pPr>
        <w:pStyle w:val="FootnoteText"/>
      </w:pPr>
      <w:r w:rsidRPr="001E3995">
        <w:rPr>
          <w:vertAlign w:val="superscript"/>
        </w:rPr>
        <w:footnoteRef/>
      </w:r>
      <w:r w:rsidRPr="001E3995">
        <w:t>15 U.S.C.</w:t>
      </w:r>
      <w:r w:rsidRPr="001E3995">
        <w:t xml:space="preserve"> </w:t>
      </w:r>
      <w:r w:rsidRPr="001E3995">
        <w:t>§1051(e).</w:t>
      </w:r>
    </w:p>
  </w:footnote>
  <w:footnote w:id="79">
    <w:p w14:paraId="22874256" w14:textId="5CA5479C" w:rsidR="001E3995" w:rsidRDefault="001E3995" w:rsidP="001E3995">
      <w:pPr>
        <w:pStyle w:val="FootnoteText"/>
      </w:pPr>
      <w:r w:rsidRPr="001E3995">
        <w:rPr>
          <w:vertAlign w:val="superscript"/>
        </w:rPr>
        <w:footnoteRef/>
      </w:r>
      <w:r w:rsidRPr="001E3995">
        <w:rPr>
          <w:i/>
        </w:rPr>
        <w:t>See</w:t>
      </w:r>
      <w:r w:rsidRPr="001E3995">
        <w:t xml:space="preserve"> E &amp; J Gallo Winery v.</w:t>
      </w:r>
      <w:r w:rsidRPr="001E3995">
        <w:t xml:space="preserve"> </w:t>
      </w:r>
      <w:r w:rsidRPr="001E3995">
        <w:t>Cantine Rallo, 430 F.</w:t>
      </w:r>
      <w:r w:rsidRPr="001E3995">
        <w:t xml:space="preserve"> </w:t>
      </w:r>
      <w:r w:rsidRPr="001E3995">
        <w:t>Supp.</w:t>
      </w:r>
      <w:r w:rsidRPr="001E3995">
        <w:t xml:space="preserve"> </w:t>
      </w:r>
      <w:r w:rsidRPr="001E3995">
        <w:t>2d 1064, 1072–73 (E.D.</w:t>
      </w:r>
      <w:r w:rsidRPr="001E3995">
        <w:t xml:space="preserve"> </w:t>
      </w:r>
      <w:r w:rsidRPr="001E3995">
        <w:t>Cal.</w:t>
      </w:r>
      <w:r w:rsidRPr="001E3995">
        <w:t xml:space="preserve"> </w:t>
      </w:r>
      <w:r w:rsidRPr="001E3995">
        <w:t>2005) (collecting cases).</w:t>
      </w:r>
    </w:p>
  </w:footnote>
  <w:footnote w:id="80">
    <w:p w14:paraId="3F4D24AD" w14:textId="4BB91492" w:rsid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1083.</w:t>
      </w:r>
    </w:p>
  </w:footnote>
  <w:footnote w:id="81">
    <w:p w14:paraId="3E473AEA" w14:textId="5B1460C0"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12(g), (h);</w:t>
      </w:r>
      <w:r w:rsidRPr="001E3995">
        <w:t xml:space="preserve"> </w:t>
      </w:r>
      <w:r w:rsidRPr="001E3995">
        <w:rPr>
          <w:i/>
        </w:rPr>
        <w:t>accord</w:t>
      </w:r>
      <w:r w:rsidRPr="001E3995">
        <w:t xml:space="preserve"> General Design Sign Co.</w:t>
      </w:r>
      <w:r w:rsidRPr="001E3995">
        <w:t xml:space="preserve"> </w:t>
      </w:r>
      <w:r w:rsidRPr="001E3995">
        <w:t>v.</w:t>
      </w:r>
      <w:r w:rsidRPr="001E3995">
        <w:t xml:space="preserve"> </w:t>
      </w:r>
      <w:r w:rsidRPr="001E3995">
        <w:t>American Gen.</w:t>
      </w:r>
      <w:r w:rsidRPr="001E3995">
        <w:t xml:space="preserve"> </w:t>
      </w:r>
      <w:r w:rsidRPr="001E3995">
        <w:t>Design, Inc., 2003 WL 251931, at *1 (N.D.</w:t>
      </w:r>
      <w:r w:rsidRPr="001E3995">
        <w:t xml:space="preserve"> </w:t>
      </w:r>
      <w:r w:rsidRPr="001E3995">
        <w:t>Tex.</w:t>
      </w:r>
      <w:r w:rsidRPr="001E3995">
        <w:t xml:space="preserve"> </w:t>
      </w:r>
      <w:r w:rsidRPr="001E3995">
        <w:t>Jan.</w:t>
      </w:r>
      <w:r w:rsidRPr="001E3995">
        <w:t xml:space="preserve"> </w:t>
      </w:r>
      <w:r w:rsidRPr="001E3995">
        <w:t>31, 2003) (personal jurisdiction waived when motion to dismiss for improper venue made without raising personal jurisdiction objection).</w:t>
      </w:r>
      <w:r w:rsidRPr="001E3995">
        <w:t xml:space="preserve"> </w:t>
      </w:r>
      <w:r w:rsidRPr="001E3995">
        <w:t>If no pre-answer motion is made, the personal jurisdiction objection may be raised in the answer.</w:t>
      </w:r>
    </w:p>
  </w:footnote>
  <w:footnote w:id="82">
    <w:p w14:paraId="290614D1" w14:textId="37D07D6B" w:rsidR="001E3995" w:rsidRDefault="001E3995" w:rsidP="001E3995">
      <w:pPr>
        <w:pStyle w:val="FootnoteText"/>
      </w:pPr>
      <w:r w:rsidRPr="001E3995">
        <w:rPr>
          <w:vertAlign w:val="superscript"/>
        </w:rPr>
        <w:footnoteRef/>
      </w:r>
      <w:r w:rsidRPr="001E3995">
        <w:rPr>
          <w:i/>
        </w:rPr>
        <w:t>See</w:t>
      </w:r>
      <w:r w:rsidRPr="001E3995">
        <w:t xml:space="preserve"> </w:t>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4(k)(1)(A);</w:t>
      </w:r>
      <w:r w:rsidRPr="001E3995">
        <w:t xml:space="preserve"> </w:t>
      </w:r>
      <w:r w:rsidRPr="001E3995">
        <w:t>Sea Tow Servs.</w:t>
      </w:r>
      <w:r w:rsidRPr="001E3995">
        <w:t xml:space="preserve"> </w:t>
      </w:r>
      <w:r w:rsidRPr="001E3995">
        <w:t>Int’l, Inc.</w:t>
      </w:r>
      <w:r w:rsidRPr="001E3995">
        <w:t xml:space="preserve"> </w:t>
      </w:r>
      <w:r w:rsidRPr="001E3995">
        <w:t>v.</w:t>
      </w:r>
      <w:r w:rsidRPr="001E3995">
        <w:t xml:space="preserve"> </w:t>
      </w:r>
      <w:r w:rsidRPr="001E3995">
        <w:t>Pontin, 472 F.</w:t>
      </w:r>
      <w:r w:rsidRPr="001E3995">
        <w:t xml:space="preserve"> </w:t>
      </w:r>
      <w:r w:rsidRPr="001E3995">
        <w:t>Supp.</w:t>
      </w:r>
      <w:r w:rsidRPr="001E3995">
        <w:t xml:space="preserve"> </w:t>
      </w:r>
      <w:r w:rsidRPr="001E3995">
        <w:t>2d 349, 358 (E.D.N.Y.</w:t>
      </w:r>
      <w:r w:rsidRPr="001E3995">
        <w:t xml:space="preserve"> </w:t>
      </w:r>
      <w:r w:rsidRPr="001E3995">
        <w:t>2007);</w:t>
      </w:r>
      <w:r w:rsidRPr="001E3995">
        <w:t xml:space="preserve"> </w:t>
      </w:r>
      <w:r w:rsidRPr="001E3995">
        <w:t>Real Good Toys, Inc.</w:t>
      </w:r>
      <w:r w:rsidRPr="001E3995">
        <w:t xml:space="preserve"> </w:t>
      </w:r>
      <w:r w:rsidRPr="001E3995">
        <w:t>v.</w:t>
      </w:r>
      <w:r w:rsidRPr="001E3995">
        <w:t xml:space="preserve"> </w:t>
      </w:r>
      <w:r w:rsidRPr="001E3995">
        <w:t>XL Mach.</w:t>
      </w:r>
      <w:r w:rsidRPr="001E3995">
        <w:t xml:space="preserve"> </w:t>
      </w:r>
      <w:r w:rsidRPr="001E3995">
        <w:t>Ltd., 163 F.</w:t>
      </w:r>
      <w:r w:rsidRPr="001E3995">
        <w:t xml:space="preserve"> </w:t>
      </w:r>
      <w:r w:rsidRPr="001E3995">
        <w:t>Supp.</w:t>
      </w:r>
      <w:r w:rsidRPr="001E3995">
        <w:t xml:space="preserve"> </w:t>
      </w:r>
      <w:r w:rsidRPr="001E3995">
        <w:t>2d 421, 424 (D.</w:t>
      </w:r>
      <w:r w:rsidRPr="001E3995">
        <w:t xml:space="preserve"> </w:t>
      </w:r>
      <w:r w:rsidRPr="001E3995">
        <w:t>Vt.</w:t>
      </w:r>
      <w:r w:rsidRPr="001E3995">
        <w:t xml:space="preserve"> </w:t>
      </w:r>
      <w:r w:rsidRPr="001E3995">
        <w:t>2001);</w:t>
      </w:r>
      <w:r w:rsidRPr="001E3995">
        <w:t xml:space="preserve"> </w:t>
      </w:r>
      <w:r w:rsidRPr="001E3995">
        <w:t>Ford Motor Co.</w:t>
      </w:r>
      <w:r w:rsidRPr="001E3995">
        <w:t xml:space="preserve"> </w:t>
      </w:r>
      <w:r w:rsidRPr="001E3995">
        <w:t>v.</w:t>
      </w:r>
      <w:r w:rsidRPr="001E3995">
        <w:t xml:space="preserve"> </w:t>
      </w:r>
      <w:r w:rsidRPr="001E3995">
        <w:t>Great Domains, Inc., 141 F.</w:t>
      </w:r>
      <w:r w:rsidRPr="001E3995">
        <w:t xml:space="preserve"> </w:t>
      </w:r>
      <w:r w:rsidRPr="001E3995">
        <w:t>Supp.</w:t>
      </w:r>
      <w:r w:rsidRPr="001E3995">
        <w:t xml:space="preserve"> </w:t>
      </w:r>
      <w:r w:rsidRPr="001E3995">
        <w:t xml:space="preserve">2d 763, 771, </w:t>
      </w:r>
      <w:proofErr w:type="spellStart"/>
      <w:r w:rsidRPr="001E3995">
        <w:rPr>
          <w:i/>
        </w:rPr>
        <w:t>reconsid</w:t>
      </w:r>
      <w:proofErr w:type="spellEnd"/>
      <w:r w:rsidRPr="001E3995">
        <w:rPr>
          <w:i/>
        </w:rPr>
        <w:t>.</w:t>
      </w:r>
      <w:r w:rsidRPr="001E3995">
        <w:rPr>
          <w:i/>
        </w:rPr>
        <w:t xml:space="preserve"> </w:t>
      </w:r>
      <w:r w:rsidRPr="001E3995">
        <w:rPr>
          <w:i/>
        </w:rPr>
        <w:t>granted in part</w:t>
      </w:r>
      <w:r w:rsidRPr="001E3995">
        <w:t>, 177 F.</w:t>
      </w:r>
      <w:r w:rsidRPr="001E3995">
        <w:t xml:space="preserve"> </w:t>
      </w:r>
      <w:r w:rsidRPr="001E3995">
        <w:t>Supp.</w:t>
      </w:r>
      <w:r w:rsidRPr="001E3995">
        <w:t xml:space="preserve"> </w:t>
      </w:r>
      <w:r w:rsidRPr="001E3995">
        <w:t>2d 635, 61 USPQ2d 1718 (E.D.</w:t>
      </w:r>
      <w:r w:rsidRPr="001E3995">
        <w:t xml:space="preserve"> </w:t>
      </w:r>
      <w:r w:rsidRPr="001E3995">
        <w:t>Mich.</w:t>
      </w:r>
      <w:r w:rsidRPr="001E3995">
        <w:t xml:space="preserve"> </w:t>
      </w:r>
      <w:r w:rsidRPr="001E3995">
        <w:t>2001).</w:t>
      </w:r>
    </w:p>
  </w:footnote>
  <w:footnote w:id="83">
    <w:p w14:paraId="5504E9E6" w14:textId="54683947" w:rsidR="001E3995" w:rsidRDefault="001E3995" w:rsidP="001E3995">
      <w:pPr>
        <w:pStyle w:val="FootnoteText"/>
      </w:pPr>
      <w:r w:rsidRPr="001E3995">
        <w:rPr>
          <w:vertAlign w:val="superscript"/>
        </w:rPr>
        <w:footnoteRef/>
      </w:r>
      <w:r w:rsidRPr="001E3995">
        <w:rPr>
          <w:i/>
        </w:rPr>
        <w:t>E.g.</w:t>
      </w:r>
      <w:r w:rsidRPr="001E3995">
        <w:t xml:space="preserve">, </w:t>
      </w:r>
      <w:r w:rsidRPr="001E3995">
        <w:rPr>
          <w:smallCaps/>
        </w:rPr>
        <w:t>Cal.</w:t>
      </w:r>
      <w:r w:rsidRPr="001E3995">
        <w:rPr>
          <w:smallCaps/>
        </w:rPr>
        <w:t xml:space="preserve"> </w:t>
      </w:r>
      <w:r w:rsidRPr="001E3995">
        <w:rPr>
          <w:smallCaps/>
        </w:rPr>
        <w:t>Civ.</w:t>
      </w:r>
      <w:r w:rsidRPr="001E3995">
        <w:rPr>
          <w:smallCaps/>
        </w:rPr>
        <w:t xml:space="preserve"> </w:t>
      </w:r>
      <w:r w:rsidRPr="001E3995">
        <w:rPr>
          <w:smallCaps/>
        </w:rPr>
        <w:t>Proc.</w:t>
      </w:r>
      <w:r w:rsidRPr="001E3995">
        <w:rPr>
          <w:smallCaps/>
        </w:rPr>
        <w:t xml:space="preserve"> </w:t>
      </w:r>
      <w:r w:rsidRPr="001E3995">
        <w:rPr>
          <w:smallCaps/>
        </w:rPr>
        <w:t>Code</w:t>
      </w:r>
      <w:r w:rsidRPr="001E3995">
        <w:t xml:space="preserve"> §410.10 (West 2004).</w:t>
      </w:r>
    </w:p>
  </w:footnote>
  <w:footnote w:id="84">
    <w:p w14:paraId="5DAF3C1E" w14:textId="3206CB7A" w:rsidR="001E3995" w:rsidRDefault="001E3995" w:rsidP="001E3995">
      <w:pPr>
        <w:pStyle w:val="FootnoteText"/>
      </w:pPr>
      <w:r w:rsidRPr="001E3995">
        <w:rPr>
          <w:vertAlign w:val="superscript"/>
        </w:rPr>
        <w:footnoteRef/>
      </w:r>
      <w:proofErr w:type="spellStart"/>
      <w:r w:rsidRPr="001E3995">
        <w:t>Fraserside</w:t>
      </w:r>
      <w:proofErr w:type="spellEnd"/>
      <w:r w:rsidRPr="001E3995">
        <w:t xml:space="preserve"> IP, L.L.P.</w:t>
      </w:r>
      <w:r w:rsidRPr="001E3995">
        <w:t xml:space="preserve"> </w:t>
      </w:r>
      <w:r w:rsidRPr="001E3995">
        <w:t>v.</w:t>
      </w:r>
      <w:r w:rsidRPr="001E3995">
        <w:t xml:space="preserve"> </w:t>
      </w:r>
      <w:proofErr w:type="spellStart"/>
      <w:r w:rsidRPr="001E3995">
        <w:t>Netvertising</w:t>
      </w:r>
      <w:proofErr w:type="spellEnd"/>
      <w:r w:rsidRPr="001E3995">
        <w:t>, Ltd., 902 F.</w:t>
      </w:r>
      <w:r w:rsidRPr="001E3995">
        <w:t xml:space="preserve"> </w:t>
      </w:r>
      <w:r w:rsidRPr="001E3995">
        <w:t>Supp.</w:t>
      </w:r>
      <w:r w:rsidRPr="001E3995">
        <w:t xml:space="preserve"> </w:t>
      </w:r>
      <w:r w:rsidRPr="001E3995">
        <w:t>2d 1165, 1171–72 (N.D.</w:t>
      </w:r>
      <w:r w:rsidRPr="001E3995">
        <w:t xml:space="preserve"> </w:t>
      </w:r>
      <w:r w:rsidRPr="001E3995">
        <w:t>Iowa 2012) (Iowa long-arm statute has been interpreted to go to the limits of due process);</w:t>
      </w:r>
      <w:r w:rsidRPr="001E3995">
        <w:t xml:space="preserve"> </w:t>
      </w:r>
      <w:r w:rsidRPr="001E3995">
        <w:rPr>
          <w:i/>
        </w:rPr>
        <w:t>Real Good Toys</w:t>
      </w:r>
      <w:r w:rsidRPr="001E3995">
        <w:t>, 163 F.</w:t>
      </w:r>
      <w:r w:rsidRPr="001E3995">
        <w:t xml:space="preserve"> </w:t>
      </w:r>
      <w:r w:rsidRPr="001E3995">
        <w:t>Supp.</w:t>
      </w:r>
      <w:r w:rsidRPr="001E3995">
        <w:t xml:space="preserve"> </w:t>
      </w:r>
      <w:r w:rsidRPr="001E3995">
        <w:t>2d at 424 (Vermont long-arm statute has been interpreted to go to the limits of due process);</w:t>
      </w:r>
      <w:r w:rsidRPr="001E3995">
        <w:t xml:space="preserve"> </w:t>
      </w:r>
      <w:r w:rsidRPr="001E3995">
        <w:t>Enterprise Rent-A-Car Co.</w:t>
      </w:r>
      <w:r w:rsidRPr="001E3995">
        <w:t xml:space="preserve"> </w:t>
      </w:r>
      <w:r w:rsidRPr="001E3995">
        <w:t>v.</w:t>
      </w:r>
      <w:r w:rsidRPr="001E3995">
        <w:t xml:space="preserve"> </w:t>
      </w:r>
      <w:r w:rsidRPr="001E3995">
        <w:t>Stowell, 137 F.</w:t>
      </w:r>
      <w:r w:rsidRPr="001E3995">
        <w:t xml:space="preserve"> </w:t>
      </w:r>
      <w:r w:rsidRPr="001E3995">
        <w:t>Supp.</w:t>
      </w:r>
      <w:r w:rsidRPr="001E3995">
        <w:t xml:space="preserve"> </w:t>
      </w:r>
      <w:r w:rsidRPr="001E3995">
        <w:t>2d 1151, 1155 (E.D.</w:t>
      </w:r>
      <w:r w:rsidRPr="001E3995">
        <w:t xml:space="preserve"> </w:t>
      </w:r>
      <w:r w:rsidRPr="001E3995">
        <w:t>Mo.</w:t>
      </w:r>
      <w:r w:rsidRPr="001E3995">
        <w:t xml:space="preserve"> </w:t>
      </w:r>
      <w:r w:rsidRPr="001E3995">
        <w:t>2001) (Missouri long-arm statute has been interpreted to go to the limits of due process);</w:t>
      </w:r>
      <w:r w:rsidRPr="001E3995">
        <w:t xml:space="preserve"> </w:t>
      </w:r>
      <w:r w:rsidRPr="001E3995">
        <w:t>Estate of Witko v.</w:t>
      </w:r>
      <w:r w:rsidRPr="001E3995">
        <w:t xml:space="preserve"> </w:t>
      </w:r>
      <w:r w:rsidRPr="001E3995">
        <w:t>Hornell Brewing Co., 156 F.</w:t>
      </w:r>
      <w:r w:rsidRPr="001E3995">
        <w:t xml:space="preserve"> </w:t>
      </w:r>
      <w:r w:rsidRPr="001E3995">
        <w:t>Supp.</w:t>
      </w:r>
      <w:r w:rsidRPr="001E3995">
        <w:t xml:space="preserve"> </w:t>
      </w:r>
      <w:r w:rsidRPr="001E3995">
        <w:t>2d 1092, 1096, 59 USPQ2d 1841 (D.S.D.</w:t>
      </w:r>
      <w:r w:rsidRPr="001E3995">
        <w:t xml:space="preserve"> </w:t>
      </w:r>
      <w:r w:rsidRPr="001E3995">
        <w:t>2001) (South Dakota long-arm statute has been interpreted to go to the limits of due process).</w:t>
      </w:r>
    </w:p>
  </w:footnote>
  <w:footnote w:id="85">
    <w:p w14:paraId="01EB89DA" w14:textId="49B8E116" w:rsidR="001E3995" w:rsidRDefault="001E3995" w:rsidP="001E3995">
      <w:pPr>
        <w:pStyle w:val="FootnoteText"/>
      </w:pPr>
      <w:r w:rsidRPr="001E3995">
        <w:rPr>
          <w:vertAlign w:val="superscript"/>
        </w:rPr>
        <w:footnoteRef/>
      </w:r>
      <w:r w:rsidRPr="001E3995">
        <w:rPr>
          <w:i/>
        </w:rPr>
        <w:t>E.g.</w:t>
      </w:r>
      <w:r w:rsidRPr="001E3995">
        <w:t>, Jordan Outdoor Enters., Ltd.</w:t>
      </w:r>
      <w:r w:rsidRPr="001E3995">
        <w:t xml:space="preserve"> </w:t>
      </w:r>
      <w:r w:rsidRPr="001E3995">
        <w:t>v.</w:t>
      </w:r>
      <w:r w:rsidRPr="001E3995">
        <w:t xml:space="preserve"> </w:t>
      </w:r>
      <w:r w:rsidRPr="001E3995">
        <w:t>That 70’s Store, LLC, 819 F.</w:t>
      </w:r>
      <w:r w:rsidRPr="001E3995">
        <w:t xml:space="preserve"> </w:t>
      </w:r>
      <w:r w:rsidRPr="001E3995">
        <w:t>Supp.</w:t>
      </w:r>
      <w:r w:rsidRPr="001E3995">
        <w:t xml:space="preserve"> </w:t>
      </w:r>
      <w:r w:rsidRPr="001E3995">
        <w:t>2d 1338, 1342–45 (M.D.</w:t>
      </w:r>
      <w:r w:rsidRPr="001E3995">
        <w:t xml:space="preserve"> </w:t>
      </w:r>
      <w:r w:rsidRPr="001E3995">
        <w:t>Ga.</w:t>
      </w:r>
      <w:r w:rsidRPr="001E3995">
        <w:t xml:space="preserve"> </w:t>
      </w:r>
      <w:r w:rsidRPr="001E3995">
        <w:t>2011) (dismissing for failure to satisfy Georgia long-arm statute without need for due process analysis);</w:t>
      </w:r>
      <w:r w:rsidRPr="001E3995">
        <w:t xml:space="preserve"> </w:t>
      </w:r>
      <w:r w:rsidRPr="001E3995">
        <w:t>Oasis Corp.</w:t>
      </w:r>
      <w:r w:rsidRPr="001E3995">
        <w:t xml:space="preserve"> </w:t>
      </w:r>
      <w:r w:rsidRPr="001E3995">
        <w:t>v.</w:t>
      </w:r>
      <w:r w:rsidRPr="001E3995">
        <w:t xml:space="preserve"> </w:t>
      </w:r>
      <w:r w:rsidRPr="001E3995">
        <w:t>Judd, 132 F.</w:t>
      </w:r>
      <w:r w:rsidRPr="001E3995">
        <w:t xml:space="preserve"> </w:t>
      </w:r>
      <w:r w:rsidRPr="001E3995">
        <w:t>Supp.</w:t>
      </w:r>
      <w:r w:rsidRPr="001E3995">
        <w:t xml:space="preserve"> </w:t>
      </w:r>
      <w:r w:rsidRPr="001E3995">
        <w:t>2d 612, 620–22 (S.D.</w:t>
      </w:r>
      <w:r w:rsidRPr="001E3995">
        <w:t xml:space="preserve"> </w:t>
      </w:r>
      <w:r w:rsidRPr="001E3995">
        <w:t>Ohio 2001) (examining Ohio’s long-arm statute).</w:t>
      </w:r>
    </w:p>
  </w:footnote>
  <w:footnote w:id="86">
    <w:p w14:paraId="07F72D93" w14:textId="34305933" w:rsidR="001E3995" w:rsidRDefault="001E3995" w:rsidP="001E3995">
      <w:pPr>
        <w:pStyle w:val="FootnoteText"/>
      </w:pPr>
      <w:r w:rsidRPr="001E3995">
        <w:rPr>
          <w:vertAlign w:val="superscript"/>
        </w:rPr>
        <w:footnoteRef/>
      </w:r>
      <w:r w:rsidRPr="001E3995">
        <w:rPr>
          <w:i/>
        </w:rPr>
        <w:t>See Jordan Outdoor</w:t>
      </w:r>
      <w:r w:rsidRPr="001E3995">
        <w:t>, 819 F.</w:t>
      </w:r>
      <w:r w:rsidRPr="001E3995">
        <w:t xml:space="preserve"> </w:t>
      </w:r>
      <w:r w:rsidRPr="001E3995">
        <w:t>Supp.</w:t>
      </w:r>
      <w:r w:rsidRPr="001E3995">
        <w:t xml:space="preserve"> </w:t>
      </w:r>
      <w:r w:rsidRPr="001E3995">
        <w:t>2d at 1342–45 (no proof of sales to Georgia residents;</w:t>
      </w:r>
      <w:r w:rsidRPr="001E3995">
        <w:t xml:space="preserve"> </w:t>
      </w:r>
      <w:r w:rsidRPr="001E3995">
        <w:t>alleged tortuous act took place in Arkansas);</w:t>
      </w:r>
      <w:r w:rsidRPr="001E3995">
        <w:t xml:space="preserve"> </w:t>
      </w:r>
      <w:r w:rsidRPr="001E3995">
        <w:rPr>
          <w:i/>
        </w:rPr>
        <w:t>Oasis Corp.</w:t>
      </w:r>
      <w:r w:rsidRPr="001E3995">
        <w:t>, 132 F.</w:t>
      </w:r>
      <w:r w:rsidRPr="001E3995">
        <w:t xml:space="preserve"> </w:t>
      </w:r>
      <w:r w:rsidRPr="001E3995">
        <w:t>Supp.</w:t>
      </w:r>
      <w:r w:rsidRPr="001E3995">
        <w:t xml:space="preserve"> </w:t>
      </w:r>
      <w:r w:rsidRPr="001E3995">
        <w:t>2d at 620–21 (concluding Ohio’s long-arm statute did not permit jurisdiction in trademark case where defendant made no sales in the state;</w:t>
      </w:r>
      <w:r w:rsidRPr="001E3995">
        <w:t xml:space="preserve"> </w:t>
      </w:r>
      <w:r w:rsidRPr="001E3995">
        <w:t>court rejected argument that injury took place in Ohio if plaintiff was located there);</w:t>
      </w:r>
      <w:r w:rsidRPr="001E3995">
        <w:t xml:space="preserve"> </w:t>
      </w:r>
      <w:r w:rsidRPr="001E3995">
        <w:rPr>
          <w:i/>
        </w:rPr>
        <w:t>see also</w:t>
      </w:r>
      <w:r w:rsidRPr="001E3995">
        <w:t xml:space="preserve"> Phat Fashions, L.L.C.</w:t>
      </w:r>
      <w:r w:rsidRPr="001E3995">
        <w:t xml:space="preserve"> </w:t>
      </w:r>
      <w:r w:rsidRPr="001E3995">
        <w:t>v.</w:t>
      </w:r>
      <w:r w:rsidRPr="001E3995">
        <w:t xml:space="preserve"> </w:t>
      </w:r>
      <w:r w:rsidRPr="001E3995">
        <w:t>Phat Game Athletic Apparel, Inc., 2001 WL 1041990, at *4–6 (S.D.N.Y.</w:t>
      </w:r>
      <w:r w:rsidRPr="001E3995">
        <w:t xml:space="preserve"> </w:t>
      </w:r>
      <w:r w:rsidRPr="001E3995">
        <w:t>Sept.</w:t>
      </w:r>
      <w:r w:rsidRPr="001E3995">
        <w:t xml:space="preserve"> </w:t>
      </w:r>
      <w:r w:rsidRPr="001E3995">
        <w:t>7, 2001) (dismissing for lack of jurisdiction;</w:t>
      </w:r>
      <w:r w:rsidRPr="001E3995">
        <w:t xml:space="preserve"> </w:t>
      </w:r>
      <w:r w:rsidRPr="001E3995">
        <w:t>finding insufficient activity to satisfy New York’s long-arm statute).</w:t>
      </w:r>
    </w:p>
  </w:footnote>
  <w:footnote w:id="87">
    <w:p w14:paraId="5CBB60CA" w14:textId="3D6A369B"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4(k)(2).</w:t>
      </w:r>
      <w:r w:rsidRPr="001E3995">
        <w:t xml:space="preserve"> </w:t>
      </w:r>
      <w:r w:rsidRPr="001E3995">
        <w:t>Courts have not required plaintiffs to affirmatively demonstrate a lack of jurisdiction in all 50 states;</w:t>
      </w:r>
      <w:r w:rsidRPr="001E3995">
        <w:t xml:space="preserve"> </w:t>
      </w:r>
      <w:r w:rsidRPr="001E3995">
        <w:t>if defendant claims no jurisdiction exists in any state, that will suffice.</w:t>
      </w:r>
      <w:r w:rsidRPr="001E3995">
        <w:t xml:space="preserve"> </w:t>
      </w:r>
      <w:r w:rsidRPr="001E3995">
        <w:rPr>
          <w:i/>
        </w:rPr>
        <w:t>See</w:t>
      </w:r>
      <w:r w:rsidRPr="001E3995">
        <w:t xml:space="preserve">, </w:t>
      </w:r>
      <w:r w:rsidRPr="001E3995">
        <w:rPr>
          <w:i/>
        </w:rPr>
        <w:t>e.g.</w:t>
      </w:r>
      <w:r w:rsidRPr="001E3995">
        <w:t>, ISI Int’l, Inc.</w:t>
      </w:r>
      <w:r w:rsidRPr="001E3995">
        <w:t xml:space="preserve"> </w:t>
      </w:r>
      <w:r w:rsidRPr="001E3995">
        <w:t>v.</w:t>
      </w:r>
      <w:r w:rsidRPr="001E3995">
        <w:t xml:space="preserve"> </w:t>
      </w:r>
      <w:r w:rsidRPr="001E3995">
        <w:t>Borden Ladner Gervais L.L.P., 256 F.3d 548, 552 (7th Cir.</w:t>
      </w:r>
      <w:r w:rsidRPr="001E3995">
        <w:t xml:space="preserve"> </w:t>
      </w:r>
      <w:r w:rsidRPr="001E3995">
        <w:t>2001).</w:t>
      </w:r>
    </w:p>
  </w:footnote>
  <w:footnote w:id="88">
    <w:p w14:paraId="1DE60064" w14:textId="410A9518" w:rsidR="001E3995" w:rsidRDefault="001E3995" w:rsidP="001E3995">
      <w:pPr>
        <w:pStyle w:val="FootnoteText"/>
      </w:pPr>
      <w:r w:rsidRPr="001E3995">
        <w:rPr>
          <w:vertAlign w:val="superscript"/>
        </w:rPr>
        <w:footnoteRef/>
      </w:r>
      <w:r w:rsidRPr="001E3995">
        <w:rPr>
          <w:i/>
        </w:rPr>
        <w:t>Id</w:t>
      </w:r>
      <w:r w:rsidRPr="001E3995">
        <w:t>.</w:t>
      </w:r>
    </w:p>
  </w:footnote>
  <w:footnote w:id="89">
    <w:p w14:paraId="7FFB9A98" w14:textId="2EBD9BAC" w:rsidR="001E3995" w:rsidRDefault="001E3995" w:rsidP="001E3995">
      <w:pPr>
        <w:pStyle w:val="FootnoteText"/>
      </w:pPr>
      <w:r w:rsidRPr="001E3995">
        <w:rPr>
          <w:vertAlign w:val="superscript"/>
        </w:rPr>
        <w:footnoteRef/>
      </w:r>
      <w:r w:rsidRPr="001E3995">
        <w:t>Quick Techs., Inc.</w:t>
      </w:r>
      <w:r w:rsidRPr="001E3995">
        <w:t xml:space="preserve"> </w:t>
      </w:r>
      <w:r w:rsidRPr="001E3995">
        <w:t>v.</w:t>
      </w:r>
      <w:r w:rsidRPr="001E3995">
        <w:t xml:space="preserve"> </w:t>
      </w:r>
      <w:r w:rsidRPr="001E3995">
        <w:t>Sage Group PLC, 313 F.3d 338, 344, 65 USPQ2d 1130 (5th Cir.</w:t>
      </w:r>
      <w:r w:rsidRPr="001E3995">
        <w:t xml:space="preserve"> </w:t>
      </w:r>
      <w:r w:rsidRPr="001E3995">
        <w:t xml:space="preserve">2002), </w:t>
      </w:r>
      <w:r w:rsidRPr="001E3995">
        <w:rPr>
          <w:i/>
        </w:rPr>
        <w:t>cert.</w:t>
      </w:r>
      <w:r w:rsidRPr="001E3995">
        <w:rPr>
          <w:i/>
        </w:rPr>
        <w:t xml:space="preserve"> </w:t>
      </w:r>
      <w:r w:rsidRPr="001E3995">
        <w:rPr>
          <w:i/>
        </w:rPr>
        <w:t>denied</w:t>
      </w:r>
      <w:r w:rsidRPr="001E3995">
        <w:t>, 540 U.S.</w:t>
      </w:r>
      <w:r w:rsidRPr="001E3995">
        <w:t xml:space="preserve"> </w:t>
      </w:r>
      <w:r w:rsidRPr="001E3995">
        <w:t>814 (2003);</w:t>
      </w:r>
      <w:r w:rsidRPr="001E3995">
        <w:t xml:space="preserve"> </w:t>
      </w:r>
      <w:proofErr w:type="spellStart"/>
      <w:r w:rsidRPr="001E3995">
        <w:rPr>
          <w:i/>
        </w:rPr>
        <w:t>Fraserside</w:t>
      </w:r>
      <w:proofErr w:type="spellEnd"/>
      <w:r w:rsidRPr="001E3995">
        <w:rPr>
          <w:i/>
        </w:rPr>
        <w:t xml:space="preserve"> IP</w:t>
      </w:r>
      <w:r w:rsidRPr="001E3995">
        <w:t>, 902 F.</w:t>
      </w:r>
      <w:r w:rsidRPr="001E3995">
        <w:t xml:space="preserve"> </w:t>
      </w:r>
      <w:r w:rsidRPr="001E3995">
        <w:t>Supp.</w:t>
      </w:r>
      <w:r w:rsidRPr="001E3995">
        <w:t xml:space="preserve"> </w:t>
      </w:r>
      <w:r w:rsidRPr="001E3995">
        <w:t>2d at 1178 (Rule 4(k)(2) looks at contacts with the United States as a whole);</w:t>
      </w:r>
      <w:r w:rsidRPr="001E3995">
        <w:t xml:space="preserve"> </w:t>
      </w:r>
      <w:proofErr w:type="spellStart"/>
      <w:r w:rsidRPr="001E3995">
        <w:t>Haemoscope</w:t>
      </w:r>
      <w:proofErr w:type="spellEnd"/>
      <w:r w:rsidRPr="001E3995">
        <w:t xml:space="preserve"> Corp.</w:t>
      </w:r>
      <w:r w:rsidRPr="001E3995">
        <w:t xml:space="preserve"> </w:t>
      </w:r>
      <w:r w:rsidRPr="001E3995">
        <w:t>v.</w:t>
      </w:r>
      <w:r w:rsidRPr="001E3995">
        <w:t xml:space="preserve"> </w:t>
      </w:r>
      <w:proofErr w:type="spellStart"/>
      <w:r w:rsidRPr="001E3995">
        <w:t>Pentapharm</w:t>
      </w:r>
      <w:proofErr w:type="spellEnd"/>
      <w:r w:rsidRPr="001E3995">
        <w:t xml:space="preserve"> AG, 2002 WL 31749195 (N.D.</w:t>
      </w:r>
      <w:r w:rsidRPr="001E3995">
        <w:t xml:space="preserve"> </w:t>
      </w:r>
      <w:r w:rsidRPr="001E3995">
        <w:t>Ill.</w:t>
      </w:r>
      <w:r w:rsidRPr="001E3995">
        <w:t xml:space="preserve"> </w:t>
      </w:r>
      <w:r w:rsidRPr="001E3995">
        <w:t>Dec.</w:t>
      </w:r>
      <w:r w:rsidRPr="001E3995">
        <w:t xml:space="preserve"> </w:t>
      </w:r>
      <w:r w:rsidRPr="001E3995">
        <w:t>9, 2002);</w:t>
      </w:r>
      <w:r w:rsidRPr="001E3995">
        <w:t xml:space="preserve"> </w:t>
      </w:r>
      <w:r w:rsidRPr="001E3995">
        <w:rPr>
          <w:i/>
        </w:rPr>
        <w:t>see</w:t>
      </w:r>
      <w:r w:rsidRPr="001E3995">
        <w:t xml:space="preserve"> </w:t>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4, Advisory Committee Notes, 1993 Amendments.</w:t>
      </w:r>
    </w:p>
  </w:footnote>
  <w:footnote w:id="90">
    <w:p w14:paraId="506670B0" w14:textId="0026315A" w:rsidR="001E3995" w:rsidRDefault="001E3995" w:rsidP="001E3995">
      <w:pPr>
        <w:pStyle w:val="FootnoteText"/>
      </w:pPr>
      <w:r w:rsidRPr="001E3995">
        <w:rPr>
          <w:vertAlign w:val="superscript"/>
        </w:rPr>
        <w:footnoteRef/>
      </w:r>
      <w:r w:rsidRPr="001E3995">
        <w:t>The constitutional issue is discussed in §III.C, below.</w:t>
      </w:r>
    </w:p>
  </w:footnote>
  <w:footnote w:id="91">
    <w:p w14:paraId="6735D500" w14:textId="3B09D446" w:rsidR="001E3995" w:rsidRDefault="001E3995" w:rsidP="001E3995">
      <w:pPr>
        <w:pStyle w:val="FootnoteText"/>
      </w:pPr>
      <w:r w:rsidRPr="001E3995">
        <w:rPr>
          <w:vertAlign w:val="superscript"/>
        </w:rPr>
        <w:footnoteRef/>
      </w:r>
      <w:r w:rsidRPr="001E3995">
        <w:t>Allergan, Inc.</w:t>
      </w:r>
      <w:r w:rsidRPr="001E3995">
        <w:t xml:space="preserve"> </w:t>
      </w:r>
      <w:r w:rsidRPr="001E3995">
        <w:t>v.</w:t>
      </w:r>
      <w:r w:rsidRPr="001E3995">
        <w:t xml:space="preserve"> </w:t>
      </w:r>
      <w:proofErr w:type="spellStart"/>
      <w:r w:rsidRPr="001E3995">
        <w:t>Dermavita</w:t>
      </w:r>
      <w:proofErr w:type="spellEnd"/>
      <w:r w:rsidRPr="001E3995">
        <w:t xml:space="preserve"> LP, 2018 WL 1406913, at *4 (C.D.</w:t>
      </w:r>
      <w:r w:rsidRPr="001E3995">
        <w:t xml:space="preserve"> </w:t>
      </w:r>
      <w:r w:rsidRPr="001E3995">
        <w:t>Cal.</w:t>
      </w:r>
      <w:r w:rsidRPr="001E3995">
        <w:t xml:space="preserve"> </w:t>
      </w:r>
      <w:r w:rsidRPr="001E3995">
        <w:t>Jan.</w:t>
      </w:r>
      <w:r w:rsidRPr="001E3995">
        <w:t xml:space="preserve"> </w:t>
      </w:r>
      <w:r w:rsidRPr="001E3995">
        <w:t>3, 2018) (registration of marks in U.S., or applying to register, not sufficient under Rule 4(k)(2)).</w:t>
      </w:r>
      <w:r w:rsidRPr="001E3995">
        <w:t xml:space="preserve"> </w:t>
      </w:r>
      <w:r w:rsidRPr="001E3995">
        <w:rPr>
          <w:i/>
        </w:rPr>
        <w:t>See</w:t>
      </w:r>
      <w:r w:rsidRPr="001E3995">
        <w:t xml:space="preserve"> Neuromechanical LLC v.</w:t>
      </w:r>
      <w:r w:rsidRPr="001E3995">
        <w:t xml:space="preserve"> </w:t>
      </w:r>
      <w:r w:rsidRPr="001E3995">
        <w:t>Kiro Kids PTY Ltd., 2011 U.S.</w:t>
      </w:r>
      <w:r w:rsidRPr="001E3995">
        <w:t xml:space="preserve"> </w:t>
      </w:r>
      <w:r w:rsidRPr="001E3995">
        <w:t>Dist.</w:t>
      </w:r>
      <w:r w:rsidRPr="001E3995">
        <w:t xml:space="preserve"> </w:t>
      </w:r>
      <w:r w:rsidRPr="001E3995">
        <w:t>LEXIS 12150, at *15–16 (D.</w:t>
      </w:r>
      <w:r w:rsidRPr="001E3995">
        <w:t xml:space="preserve"> </w:t>
      </w:r>
      <w:r w:rsidRPr="001E3995">
        <w:t>Ariz.</w:t>
      </w:r>
      <w:r w:rsidRPr="001E3995">
        <w:t xml:space="preserve"> </w:t>
      </w:r>
      <w:r w:rsidRPr="001E3995">
        <w:t>Jan.</w:t>
      </w:r>
      <w:r w:rsidRPr="001E3995">
        <w:t xml:space="preserve"> </w:t>
      </w:r>
      <w:r w:rsidRPr="001E3995">
        <w:t>31, 2011) (citing Holland Am.</w:t>
      </w:r>
      <w:r w:rsidRPr="001E3995">
        <w:t xml:space="preserve"> </w:t>
      </w:r>
      <w:r w:rsidRPr="001E3995">
        <w:t>Line, Inc.</w:t>
      </w:r>
      <w:r w:rsidRPr="001E3995">
        <w:t xml:space="preserve"> </w:t>
      </w:r>
      <w:r w:rsidRPr="001E3995">
        <w:t>v.</w:t>
      </w:r>
      <w:r w:rsidRPr="001E3995">
        <w:t xml:space="preserve"> </w:t>
      </w:r>
      <w:r w:rsidRPr="001E3995">
        <w:t>Wartsila N.</w:t>
      </w:r>
      <w:r w:rsidRPr="001E3995">
        <w:t xml:space="preserve"> </w:t>
      </w:r>
      <w:r w:rsidRPr="001E3995">
        <w:t>Am., Inc., 485 F.3d 450, 462 (9th Cir.</w:t>
      </w:r>
      <w:r w:rsidRPr="001E3995">
        <w:t xml:space="preserve"> </w:t>
      </w:r>
      <w:r w:rsidRPr="001E3995">
        <w:t>2007));</w:t>
      </w:r>
      <w:r w:rsidRPr="001E3995">
        <w:t xml:space="preserve"> </w:t>
      </w:r>
      <w:r w:rsidRPr="001E3995">
        <w:rPr>
          <w:i/>
        </w:rPr>
        <w:t>cf.</w:t>
      </w:r>
      <w:r w:rsidRPr="001E3995">
        <w:rPr>
          <w:i/>
        </w:rPr>
        <w:t xml:space="preserve"> </w:t>
      </w:r>
      <w:proofErr w:type="spellStart"/>
      <w:r w:rsidRPr="001E3995">
        <w:t>Fraserside</w:t>
      </w:r>
      <w:proofErr w:type="spellEnd"/>
      <w:r w:rsidRPr="001E3995">
        <w:t xml:space="preserve"> IP L.L.C.</w:t>
      </w:r>
      <w:r w:rsidRPr="001E3995">
        <w:t xml:space="preserve"> </w:t>
      </w:r>
      <w:r w:rsidRPr="001E3995">
        <w:t>v.</w:t>
      </w:r>
      <w:r w:rsidRPr="001E3995">
        <w:t xml:space="preserve"> </w:t>
      </w:r>
      <w:r w:rsidRPr="001E3995">
        <w:t>Gamma Entm’t, Inc., 2012 U.S.</w:t>
      </w:r>
      <w:r w:rsidRPr="001E3995">
        <w:t xml:space="preserve"> </w:t>
      </w:r>
      <w:r w:rsidRPr="001E3995">
        <w:t>Dist.</w:t>
      </w:r>
      <w:r w:rsidRPr="001E3995">
        <w:t xml:space="preserve"> </w:t>
      </w:r>
      <w:r w:rsidRPr="001E3995">
        <w:t>LEXIS 48028, at *35–36 (N.D.</w:t>
      </w:r>
      <w:r w:rsidRPr="001E3995">
        <w:t xml:space="preserve"> </w:t>
      </w:r>
      <w:r w:rsidRPr="001E3995">
        <w:t>Iowa Apr.</w:t>
      </w:r>
      <w:r w:rsidRPr="001E3995">
        <w:t xml:space="preserve"> </w:t>
      </w:r>
      <w:r w:rsidRPr="001E3995">
        <w:t xml:space="preserve">5, 2012) (where defendants concede personal jurisdiction in a state other than the forum state, </w:t>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t>.</w:t>
      </w:r>
      <w:r w:rsidRPr="001E3995">
        <w:t xml:space="preserve"> </w:t>
      </w:r>
      <w:r w:rsidRPr="001E3995">
        <w:t>4(k)(2) does not apply).</w:t>
      </w:r>
    </w:p>
  </w:footnote>
  <w:footnote w:id="92">
    <w:p w14:paraId="34D917C3" w14:textId="3417889A" w:rsidR="001E3995" w:rsidRDefault="001E3995" w:rsidP="001E3995">
      <w:pPr>
        <w:pStyle w:val="FootnoteText"/>
      </w:pPr>
      <w:r w:rsidRPr="001E3995">
        <w:rPr>
          <w:rStyle w:val="FootnoteReference"/>
          <w:rFonts w:eastAsiaTheme="majorEastAsia"/>
        </w:rPr>
        <w:footnoteRef/>
      </w:r>
      <w:r w:rsidRPr="001E3995">
        <w:t>RE/MAX, LLC v.</w:t>
      </w:r>
      <w:r w:rsidRPr="001E3995">
        <w:t xml:space="preserve"> </w:t>
      </w:r>
      <w:r w:rsidRPr="001E3995">
        <w:t xml:space="preserve">Shenzhen </w:t>
      </w:r>
      <w:proofErr w:type="spellStart"/>
      <w:r w:rsidRPr="001E3995">
        <w:t>Remax</w:t>
      </w:r>
      <w:proofErr w:type="spellEnd"/>
      <w:r w:rsidRPr="001E3995">
        <w:t xml:space="preserve"> Co., 2019 WL 1081039, at *4 (D.</w:t>
      </w:r>
      <w:r w:rsidRPr="001E3995">
        <w:t xml:space="preserve"> </w:t>
      </w:r>
      <w:r w:rsidRPr="001E3995">
        <w:t>Colo.</w:t>
      </w:r>
      <w:r w:rsidRPr="001E3995">
        <w:t xml:space="preserve"> </w:t>
      </w:r>
      <w:r w:rsidRPr="001E3995">
        <w:t>Jan.</w:t>
      </w:r>
      <w:r w:rsidRPr="001E3995">
        <w:t xml:space="preserve"> </w:t>
      </w:r>
      <w:r w:rsidRPr="001E3995">
        <w:t>18, 2019).</w:t>
      </w:r>
    </w:p>
  </w:footnote>
  <w:footnote w:id="93">
    <w:p w14:paraId="3FDE3327" w14:textId="614F19CC" w:rsidR="001E3995" w:rsidRDefault="001E3995" w:rsidP="001E3995">
      <w:pPr>
        <w:pStyle w:val="FootnoteText"/>
      </w:pPr>
      <w:r w:rsidRPr="001E3995">
        <w:rPr>
          <w:vertAlign w:val="superscript"/>
        </w:rPr>
        <w:footnoteRef/>
      </w:r>
      <w:r w:rsidRPr="001E3995">
        <w:t>326 U.S.</w:t>
      </w:r>
      <w:r w:rsidRPr="001E3995">
        <w:t xml:space="preserve"> </w:t>
      </w:r>
      <w:r w:rsidRPr="001E3995">
        <w:t>310, 316 (1945).</w:t>
      </w:r>
    </w:p>
  </w:footnote>
  <w:footnote w:id="94">
    <w:p w14:paraId="73592733" w14:textId="249E3995" w:rsidR="001E3995" w:rsidRDefault="001E3995" w:rsidP="001E3995">
      <w:pPr>
        <w:pStyle w:val="FootnoteText"/>
      </w:pPr>
      <w:r w:rsidRPr="001E3995">
        <w:rPr>
          <w:vertAlign w:val="superscript"/>
        </w:rPr>
        <w:footnoteRef/>
      </w:r>
      <w:r w:rsidRPr="001E3995">
        <w:t>World-Wide Volkswagen Corp.</w:t>
      </w:r>
      <w:r w:rsidRPr="001E3995">
        <w:t xml:space="preserve"> </w:t>
      </w:r>
      <w:r w:rsidRPr="001E3995">
        <w:t>v.</w:t>
      </w:r>
      <w:r w:rsidRPr="001E3995">
        <w:t xml:space="preserve"> </w:t>
      </w:r>
      <w:r w:rsidRPr="001E3995">
        <w:t>Woodson, 444 U.S.</w:t>
      </w:r>
      <w:r w:rsidRPr="001E3995">
        <w:t xml:space="preserve"> </w:t>
      </w:r>
      <w:r w:rsidRPr="001E3995">
        <w:t>286, 297 (1980).</w:t>
      </w:r>
    </w:p>
  </w:footnote>
  <w:footnote w:id="95">
    <w:p w14:paraId="2092A5DD" w14:textId="4B4121E6" w:rsidR="001E3995" w:rsidRDefault="001E3995" w:rsidP="001E3995">
      <w:pPr>
        <w:pStyle w:val="FootnoteText"/>
      </w:pPr>
      <w:r w:rsidRPr="001E3995">
        <w:rPr>
          <w:vertAlign w:val="superscript"/>
        </w:rPr>
        <w:footnoteRef/>
      </w:r>
      <w:r w:rsidRPr="001E3995">
        <w:rPr>
          <w:i/>
        </w:rPr>
        <w:t>See</w:t>
      </w:r>
      <w:r w:rsidRPr="001E3995">
        <w:t xml:space="preserve"> Asahi Metal Indus.</w:t>
      </w:r>
      <w:r w:rsidRPr="001E3995">
        <w:t xml:space="preserve"> </w:t>
      </w:r>
      <w:r w:rsidRPr="001E3995">
        <w:t>Co.</w:t>
      </w:r>
      <w:r w:rsidRPr="001E3995">
        <w:t xml:space="preserve"> </w:t>
      </w:r>
      <w:r w:rsidRPr="001E3995">
        <w:t>v.</w:t>
      </w:r>
      <w:r w:rsidRPr="001E3995">
        <w:t xml:space="preserve"> </w:t>
      </w:r>
      <w:r w:rsidRPr="001E3995">
        <w:t>Superior Court, 480 U.S.</w:t>
      </w:r>
      <w:r w:rsidRPr="001E3995">
        <w:t xml:space="preserve"> </w:t>
      </w:r>
      <w:r w:rsidRPr="001E3995">
        <w:t>102, 113 (1987) (quoting International Shoe Co.</w:t>
      </w:r>
      <w:r w:rsidRPr="001E3995">
        <w:t xml:space="preserve"> </w:t>
      </w:r>
      <w:r w:rsidRPr="001E3995">
        <w:t>v.</w:t>
      </w:r>
      <w:r w:rsidRPr="001E3995">
        <w:t xml:space="preserve"> </w:t>
      </w:r>
      <w:r w:rsidRPr="001E3995">
        <w:t>Washington, 326 U.S.</w:t>
      </w:r>
      <w:r w:rsidRPr="001E3995">
        <w:t xml:space="preserve"> </w:t>
      </w:r>
      <w:r w:rsidRPr="001E3995">
        <w:t>310, 316 (1945) (quoting Milliken v.</w:t>
      </w:r>
      <w:r w:rsidRPr="001E3995">
        <w:t xml:space="preserve"> </w:t>
      </w:r>
      <w:r w:rsidRPr="001E3995">
        <w:t>Meyer, 311 U.S.</w:t>
      </w:r>
      <w:r w:rsidRPr="001E3995">
        <w:t xml:space="preserve"> </w:t>
      </w:r>
      <w:r w:rsidRPr="001E3995">
        <w:t>457, 463 (1940))).</w:t>
      </w:r>
      <w:r w:rsidRPr="001E3995">
        <w:t xml:space="preserve"> </w:t>
      </w:r>
      <w:r w:rsidRPr="001E3995">
        <w:t>This analysis assumes that the plaintiff seeks to assert specific jurisdiction over the defendant, that is, jurisdiction where the claim arises from or is related to the contacts.</w:t>
      </w:r>
      <w:r w:rsidRPr="001E3995">
        <w:t xml:space="preserve"> </w:t>
      </w:r>
      <w:r w:rsidRPr="001E3995">
        <w:t>If there are sufficient affiliating circumstances with the state, a court may exercise general jurisdiction, i.e., jurisdiction that does not require the claim to be related to the contacts.</w:t>
      </w:r>
      <w:r w:rsidRPr="001E3995">
        <w:t xml:space="preserve"> </w:t>
      </w:r>
      <w:r w:rsidRPr="001E3995">
        <w:t>However, general jurisdiction requires a much greater showing of contacts.</w:t>
      </w:r>
      <w:r w:rsidRPr="001E3995">
        <w:t xml:space="preserve"> </w:t>
      </w:r>
      <w:r w:rsidRPr="001E3995">
        <w:t>Goodyear Dunlop Tires Operations, S.A.</w:t>
      </w:r>
      <w:r w:rsidRPr="001E3995">
        <w:t xml:space="preserve"> </w:t>
      </w:r>
      <w:r w:rsidRPr="001E3995">
        <w:t>v.</w:t>
      </w:r>
      <w:r w:rsidRPr="001E3995">
        <w:t xml:space="preserve"> </w:t>
      </w:r>
      <w:r w:rsidRPr="001E3995">
        <w:t>Brown, 131 S.</w:t>
      </w:r>
      <w:r w:rsidRPr="001E3995">
        <w:t xml:space="preserve"> </w:t>
      </w:r>
      <w:r w:rsidRPr="001E3995">
        <w:t>Ct.</w:t>
      </w:r>
      <w:r w:rsidRPr="001E3995">
        <w:t xml:space="preserve"> </w:t>
      </w:r>
      <w:r w:rsidRPr="001E3995">
        <w:t>2846, 2853–54 (2011) (“For an individual, the paradigm forum for the exercise of general jurisdiction is the individual’s domicile;</w:t>
      </w:r>
      <w:r w:rsidRPr="001E3995">
        <w:t xml:space="preserve"> </w:t>
      </w:r>
      <w:r w:rsidRPr="001E3995">
        <w:t>for a corporation, it is an equivalent place, one in which the corporation is fairly regarded as at home.”).</w:t>
      </w:r>
      <w:r w:rsidRPr="001E3995">
        <w:t xml:space="preserve"> </w:t>
      </w:r>
      <w:r w:rsidRPr="001E3995">
        <w:rPr>
          <w:i/>
        </w:rPr>
        <w:t>See, e.g.</w:t>
      </w:r>
      <w:r w:rsidRPr="001E3995">
        <w:t>, Gator.com Corp.</w:t>
      </w:r>
      <w:r w:rsidRPr="001E3995">
        <w:t xml:space="preserve"> </w:t>
      </w:r>
      <w:r w:rsidRPr="001E3995">
        <w:t>v.</w:t>
      </w:r>
      <w:r w:rsidRPr="001E3995">
        <w:t xml:space="preserve"> </w:t>
      </w:r>
      <w:r w:rsidRPr="001E3995">
        <w:t>L.L.</w:t>
      </w:r>
      <w:r w:rsidRPr="001E3995">
        <w:t xml:space="preserve"> </w:t>
      </w:r>
      <w:r w:rsidRPr="001E3995">
        <w:t>Bean, Inc., 341 F.3d 1072, 1077–78 (9th Cir.</w:t>
      </w:r>
      <w:r w:rsidRPr="001E3995">
        <w:t xml:space="preserve"> </w:t>
      </w:r>
      <w:r w:rsidRPr="001E3995">
        <w:t xml:space="preserve">2003) (requiring “systematic and continuous” contacts and noting that this is a “high standard”), </w:t>
      </w:r>
      <w:r w:rsidRPr="001E3995">
        <w:rPr>
          <w:i/>
        </w:rPr>
        <w:t xml:space="preserve">dismissed on rehearing </w:t>
      </w:r>
      <w:proofErr w:type="spellStart"/>
      <w:r w:rsidRPr="001E3995">
        <w:rPr>
          <w:i/>
        </w:rPr>
        <w:t>en</w:t>
      </w:r>
      <w:proofErr w:type="spellEnd"/>
      <w:r w:rsidRPr="001E3995">
        <w:rPr>
          <w:i/>
        </w:rPr>
        <w:t xml:space="preserve"> banc as moot</w:t>
      </w:r>
      <w:r w:rsidRPr="001E3995">
        <w:t>, 398 F.3d 1125, 73 USPQ2d 1795 (9th Cir.</w:t>
      </w:r>
      <w:r w:rsidRPr="001E3995">
        <w:t xml:space="preserve"> </w:t>
      </w:r>
      <w:r w:rsidRPr="001E3995">
        <w:t>2005);</w:t>
      </w:r>
      <w:r w:rsidRPr="001E3995">
        <w:t xml:space="preserve"> </w:t>
      </w:r>
      <w:r w:rsidRPr="001E3995">
        <w:t>Neogen Corp.</w:t>
      </w:r>
      <w:r w:rsidRPr="001E3995">
        <w:t xml:space="preserve"> </w:t>
      </w:r>
      <w:r w:rsidRPr="001E3995">
        <w:t>v.</w:t>
      </w:r>
      <w:r w:rsidRPr="001E3995">
        <w:t xml:space="preserve"> </w:t>
      </w:r>
      <w:r w:rsidRPr="001E3995">
        <w:t>Neo Gen Screening, Inc., 109 F.</w:t>
      </w:r>
      <w:r w:rsidRPr="001E3995">
        <w:t xml:space="preserve"> </w:t>
      </w:r>
      <w:r w:rsidRPr="001E3995">
        <w:t>Supp.</w:t>
      </w:r>
      <w:r w:rsidRPr="001E3995">
        <w:t xml:space="preserve"> </w:t>
      </w:r>
      <w:r w:rsidRPr="001E3995">
        <w:t>2d 724, 727 (W.D.</w:t>
      </w:r>
      <w:r w:rsidRPr="001E3995">
        <w:t xml:space="preserve"> </w:t>
      </w:r>
      <w:r w:rsidRPr="001E3995">
        <w:t>Mich.</w:t>
      </w:r>
      <w:r w:rsidRPr="001E3995">
        <w:t xml:space="preserve"> </w:t>
      </w:r>
      <w:r w:rsidRPr="001E3995">
        <w:t xml:space="preserve">2000) (general jurisdiction requires “systematic and continuous” contacts between defendant and the forum state), </w:t>
      </w:r>
      <w:proofErr w:type="spellStart"/>
      <w:r w:rsidRPr="001E3995">
        <w:rPr>
          <w:i/>
        </w:rPr>
        <w:t>rev’d</w:t>
      </w:r>
      <w:proofErr w:type="spellEnd"/>
      <w:r w:rsidRPr="001E3995">
        <w:t>, 282 F.3d 883, 61 USPQ2d 1845 (6th Cir.</w:t>
      </w:r>
      <w:r w:rsidRPr="001E3995">
        <w:t xml:space="preserve"> </w:t>
      </w:r>
      <w:r w:rsidRPr="001E3995">
        <w:t>2002) (the court of appeals declined to decide whether general jurisdiction existed after finding specific jurisdiction);</w:t>
      </w:r>
      <w:r w:rsidRPr="001E3995">
        <w:t xml:space="preserve"> </w:t>
      </w:r>
      <w:r w:rsidRPr="001E3995">
        <w:rPr>
          <w:i/>
        </w:rPr>
        <w:t>see also</w:t>
      </w:r>
      <w:r w:rsidRPr="001E3995">
        <w:t xml:space="preserve"> Citigroup, Inc.</w:t>
      </w:r>
      <w:r w:rsidRPr="001E3995">
        <w:t xml:space="preserve"> </w:t>
      </w:r>
      <w:r w:rsidRPr="001E3995">
        <w:t>v.</w:t>
      </w:r>
      <w:r w:rsidRPr="001E3995">
        <w:t xml:space="preserve"> </w:t>
      </w:r>
      <w:r w:rsidRPr="001E3995">
        <w:t>City Holding Co., 97 F.</w:t>
      </w:r>
      <w:r w:rsidRPr="001E3995">
        <w:t xml:space="preserve"> </w:t>
      </w:r>
      <w:r w:rsidRPr="001E3995">
        <w:t>Supp.</w:t>
      </w:r>
      <w:r w:rsidRPr="001E3995">
        <w:t xml:space="preserve"> </w:t>
      </w:r>
      <w:r w:rsidRPr="001E3995">
        <w:t>2d 549 (S.D.N.Y.</w:t>
      </w:r>
      <w:r w:rsidRPr="001E3995">
        <w:t xml:space="preserve"> </w:t>
      </w:r>
      <w:r w:rsidRPr="001E3995">
        <w:t>2000) (discussing general jurisdiction but declining to decide the issue because specific jurisdiction existed).</w:t>
      </w:r>
    </w:p>
  </w:footnote>
  <w:footnote w:id="96">
    <w:p w14:paraId="11C42B5A" w14:textId="329EA641" w:rsidR="001E3995" w:rsidRDefault="001E3995" w:rsidP="001E3995">
      <w:pPr>
        <w:pStyle w:val="FootnoteText"/>
      </w:pPr>
      <w:r w:rsidRPr="001E3995">
        <w:rPr>
          <w:vertAlign w:val="superscript"/>
        </w:rPr>
        <w:footnoteRef/>
      </w:r>
      <w:r w:rsidRPr="001E3995">
        <w:t>465 U.S.</w:t>
      </w:r>
      <w:r w:rsidRPr="001E3995">
        <w:t xml:space="preserve"> </w:t>
      </w:r>
      <w:r w:rsidRPr="001E3995">
        <w:t>783 (1984).</w:t>
      </w:r>
    </w:p>
  </w:footnote>
  <w:footnote w:id="97">
    <w:p w14:paraId="240FDCDA" w14:textId="1CBE427C"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790.</w:t>
      </w:r>
    </w:p>
  </w:footnote>
  <w:footnote w:id="98">
    <w:p w14:paraId="017AE347" w14:textId="5FFCDB55" w:rsidR="001E3995" w:rsidRDefault="001E3995" w:rsidP="001E3995">
      <w:pPr>
        <w:pStyle w:val="FootnoteText"/>
      </w:pPr>
      <w:r w:rsidRPr="001E3995">
        <w:rPr>
          <w:vertAlign w:val="superscript"/>
        </w:rPr>
        <w:footnoteRef/>
      </w:r>
      <w:r w:rsidRPr="001E3995">
        <w:rPr>
          <w:i/>
        </w:rPr>
        <w:t>E.g.</w:t>
      </w:r>
      <w:r w:rsidRPr="001E3995">
        <w:t>, Levi Strauss &amp; Co.</w:t>
      </w:r>
      <w:r w:rsidRPr="001E3995">
        <w:t xml:space="preserve"> </w:t>
      </w:r>
      <w:r w:rsidRPr="001E3995">
        <w:t>v.</w:t>
      </w:r>
      <w:r w:rsidRPr="001E3995">
        <w:t xml:space="preserve"> </w:t>
      </w:r>
      <w:r w:rsidRPr="001E3995">
        <w:t>J.</w:t>
      </w:r>
      <w:r w:rsidRPr="001E3995">
        <w:t xml:space="preserve"> </w:t>
      </w:r>
      <w:r w:rsidRPr="001E3995">
        <w:t>Barbour &amp; Sons Ltd., 129 USPQ2d 1586, 1589–90 (N.D.</w:t>
      </w:r>
      <w:r w:rsidRPr="001E3995">
        <w:t xml:space="preserve"> </w:t>
      </w:r>
      <w:r w:rsidRPr="001E3995">
        <w:t>Cal.</w:t>
      </w:r>
      <w:r w:rsidRPr="001E3995">
        <w:t xml:space="preserve"> </w:t>
      </w:r>
      <w:r w:rsidRPr="001E3995">
        <w:t>2019);</w:t>
      </w:r>
      <w:r w:rsidRPr="001E3995">
        <w:t xml:space="preserve"> </w:t>
      </w:r>
      <w:proofErr w:type="spellStart"/>
      <w:r w:rsidRPr="001E3995">
        <w:t>Fraserside</w:t>
      </w:r>
      <w:proofErr w:type="spellEnd"/>
      <w:r w:rsidRPr="001E3995">
        <w:t xml:space="preserve"> IP, L.L.P.</w:t>
      </w:r>
      <w:r w:rsidRPr="001E3995">
        <w:t xml:space="preserve"> </w:t>
      </w:r>
      <w:r w:rsidRPr="001E3995">
        <w:t>v.</w:t>
      </w:r>
      <w:r w:rsidRPr="001E3995">
        <w:t xml:space="preserve"> </w:t>
      </w:r>
      <w:proofErr w:type="spellStart"/>
      <w:r w:rsidRPr="001E3995">
        <w:t>Netvertising</w:t>
      </w:r>
      <w:proofErr w:type="spellEnd"/>
      <w:r w:rsidRPr="001E3995">
        <w:t>, Ltd., 902 F.</w:t>
      </w:r>
      <w:r w:rsidRPr="001E3995">
        <w:t xml:space="preserve"> </w:t>
      </w:r>
      <w:r w:rsidRPr="001E3995">
        <w:t>Supp.</w:t>
      </w:r>
      <w:r w:rsidRPr="001E3995">
        <w:t xml:space="preserve"> </w:t>
      </w:r>
      <w:r w:rsidRPr="001E3995">
        <w:t>2d 1165, 1174–75 (N.D.</w:t>
      </w:r>
      <w:r w:rsidRPr="001E3995">
        <w:t xml:space="preserve"> </w:t>
      </w:r>
      <w:r w:rsidRPr="001E3995">
        <w:t>Iowa 2012) (infringing activities by foreign defendants on a website not aimed at Iowa any more than any other place;</w:t>
      </w:r>
      <w:r w:rsidRPr="001E3995">
        <w:t xml:space="preserve"> </w:t>
      </w:r>
      <w:r w:rsidRPr="001E3995">
        <w:t>effects test does not supply basis for jurisdiction);</w:t>
      </w:r>
      <w:r w:rsidRPr="001E3995">
        <w:t xml:space="preserve"> </w:t>
      </w:r>
      <w:r w:rsidRPr="001E3995">
        <w:t>Advisors Excel, LLC v.</w:t>
      </w:r>
      <w:r w:rsidRPr="001E3995">
        <w:t xml:space="preserve"> </w:t>
      </w:r>
      <w:r w:rsidRPr="001E3995">
        <w:t>Senior Advisory Grp., LLC, 2011 U.S.</w:t>
      </w:r>
      <w:r w:rsidRPr="001E3995">
        <w:t xml:space="preserve"> </w:t>
      </w:r>
      <w:r w:rsidRPr="001E3995">
        <w:t>Dist.</w:t>
      </w:r>
      <w:r w:rsidRPr="001E3995">
        <w:t xml:space="preserve"> </w:t>
      </w:r>
      <w:r w:rsidRPr="001E3995">
        <w:t>LEXIS 88323, at *23–27 (D.</w:t>
      </w:r>
      <w:r w:rsidRPr="001E3995">
        <w:t xml:space="preserve"> </w:t>
      </w:r>
      <w:r w:rsidRPr="001E3995">
        <w:t>Kan.</w:t>
      </w:r>
      <w:r w:rsidRPr="001E3995">
        <w:t xml:space="preserve"> </w:t>
      </w:r>
      <w:r w:rsidRPr="001E3995">
        <w:t>Aug.</w:t>
      </w:r>
      <w:r w:rsidRPr="001E3995">
        <w:t xml:space="preserve"> </w:t>
      </w:r>
      <w:r w:rsidRPr="001E3995">
        <w:t>10, 2011) (finding a prima facie showing of jurisdiction based on defendant’s conduct after notification of potential infringement);</w:t>
      </w:r>
      <w:r w:rsidRPr="001E3995">
        <w:t xml:space="preserve"> </w:t>
      </w:r>
      <w:proofErr w:type="spellStart"/>
      <w:r w:rsidRPr="001E3995">
        <w:t>Righthaven</w:t>
      </w:r>
      <w:proofErr w:type="spellEnd"/>
      <w:r w:rsidRPr="001E3995">
        <w:t xml:space="preserve"> LLC v.</w:t>
      </w:r>
      <w:r w:rsidRPr="001E3995">
        <w:t xml:space="preserve"> </w:t>
      </w:r>
      <w:r w:rsidRPr="001E3995">
        <w:t>South Coast Partners, Inc., 2011 U.S.</w:t>
      </w:r>
      <w:r w:rsidRPr="001E3995">
        <w:t xml:space="preserve"> </w:t>
      </w:r>
      <w:r w:rsidRPr="001E3995">
        <w:t>Dist.</w:t>
      </w:r>
      <w:r w:rsidRPr="001E3995">
        <w:t xml:space="preserve"> </w:t>
      </w:r>
      <w:r w:rsidRPr="001E3995">
        <w:t>LEXIS 12802, at *6 (D.</w:t>
      </w:r>
      <w:r w:rsidRPr="001E3995">
        <w:t xml:space="preserve"> </w:t>
      </w:r>
      <w:r w:rsidRPr="001E3995">
        <w:t>Nev.</w:t>
      </w:r>
      <w:r w:rsidRPr="001E3995">
        <w:t xml:space="preserve"> </w:t>
      </w:r>
      <w:r w:rsidRPr="001E3995">
        <w:t>Feb.</w:t>
      </w:r>
      <w:r w:rsidRPr="001E3995">
        <w:t xml:space="preserve"> </w:t>
      </w:r>
      <w:r w:rsidRPr="001E3995">
        <w:t>5, 2011) (effects test requires aiming at the forum state);</w:t>
      </w:r>
      <w:r w:rsidRPr="001E3995">
        <w:t xml:space="preserve"> </w:t>
      </w:r>
      <w:proofErr w:type="spellStart"/>
      <w:r w:rsidRPr="001E3995">
        <w:t>NeoDevices</w:t>
      </w:r>
      <w:proofErr w:type="spellEnd"/>
      <w:r w:rsidRPr="001E3995">
        <w:t>, Inc.</w:t>
      </w:r>
      <w:r w:rsidRPr="001E3995">
        <w:t xml:space="preserve"> </w:t>
      </w:r>
      <w:r w:rsidRPr="001E3995">
        <w:t>v.</w:t>
      </w:r>
      <w:r w:rsidRPr="001E3995">
        <w:t xml:space="preserve"> </w:t>
      </w:r>
      <w:proofErr w:type="spellStart"/>
      <w:r w:rsidRPr="001E3995">
        <w:t>NeoMed</w:t>
      </w:r>
      <w:proofErr w:type="spellEnd"/>
      <w:r w:rsidRPr="001E3995">
        <w:t>, Inc., 2009 WL 689881, at *10 (D.N.H.</w:t>
      </w:r>
      <w:r w:rsidRPr="001E3995">
        <w:t xml:space="preserve"> </w:t>
      </w:r>
      <w:r w:rsidRPr="001E3995">
        <w:t>Mar.</w:t>
      </w:r>
      <w:r w:rsidRPr="001E3995">
        <w:t xml:space="preserve"> </w:t>
      </w:r>
      <w:r w:rsidRPr="001E3995">
        <w:t>12, 2009) (no jurisdiction where plaintiff’s location was “fortuitous” and not the focus of defendant’s actions, and where there were no allegations concerning defendant’s communications to the state);</w:t>
      </w:r>
      <w:r w:rsidRPr="001E3995">
        <w:t xml:space="preserve"> </w:t>
      </w:r>
      <w:r w:rsidRPr="001E3995">
        <w:t>SCC Commc’ns Corp.</w:t>
      </w:r>
      <w:r w:rsidRPr="001E3995">
        <w:t xml:space="preserve"> </w:t>
      </w:r>
      <w:r w:rsidRPr="001E3995">
        <w:t>v.</w:t>
      </w:r>
      <w:r w:rsidRPr="001E3995">
        <w:t xml:space="preserve"> </w:t>
      </w:r>
      <w:r w:rsidRPr="001E3995">
        <w:t>Anderson, 195 F.</w:t>
      </w:r>
      <w:r w:rsidRPr="001E3995">
        <w:t xml:space="preserve"> </w:t>
      </w:r>
      <w:r w:rsidRPr="001E3995">
        <w:t>Supp.</w:t>
      </w:r>
      <w:r w:rsidRPr="001E3995">
        <w:t xml:space="preserve"> </w:t>
      </w:r>
      <w:r w:rsidRPr="001E3995">
        <w:t>2d 1257, 1261–63 (D.</w:t>
      </w:r>
      <w:r w:rsidRPr="001E3995">
        <w:t xml:space="preserve"> </w:t>
      </w:r>
      <w:r w:rsidRPr="001E3995">
        <w:t>Colo.</w:t>
      </w:r>
      <w:r w:rsidRPr="001E3995">
        <w:t xml:space="preserve"> </w:t>
      </w:r>
      <w:r w:rsidRPr="001E3995">
        <w:t>2002) (finding no jurisdiction under effects test where defendant registered domain name before plaintiff applied to register the term as a trademark);</w:t>
      </w:r>
      <w:r w:rsidRPr="001E3995">
        <w:t xml:space="preserve"> </w:t>
      </w:r>
      <w:r w:rsidRPr="001E3995">
        <w:t>Estate of Witko v.</w:t>
      </w:r>
      <w:r w:rsidRPr="001E3995">
        <w:t xml:space="preserve"> </w:t>
      </w:r>
      <w:r w:rsidRPr="001E3995">
        <w:t>Hornell Brewing Co., 156 F.</w:t>
      </w:r>
      <w:r w:rsidRPr="001E3995">
        <w:t xml:space="preserve"> </w:t>
      </w:r>
      <w:r w:rsidRPr="001E3995">
        <w:t>Supp.</w:t>
      </w:r>
      <w:r w:rsidRPr="001E3995">
        <w:t xml:space="preserve"> </w:t>
      </w:r>
      <w:r w:rsidRPr="001E3995">
        <w:t>2d 1092, 1097, 59 USPQ2d 1841 (D.S.D.</w:t>
      </w:r>
      <w:r w:rsidRPr="001E3995">
        <w:t xml:space="preserve"> </w:t>
      </w:r>
      <w:r w:rsidRPr="001E3995">
        <w:t>2001) (jurisdiction upheld where use of Crazy Horse as a trademark clearly aimed at South Dakota, where Crazy Horse was buried);</w:t>
      </w:r>
      <w:r w:rsidRPr="001E3995">
        <w:t xml:space="preserve"> </w:t>
      </w:r>
      <w:r w:rsidRPr="001E3995">
        <w:t>Oasis Corp.</w:t>
      </w:r>
      <w:r w:rsidRPr="001E3995">
        <w:t xml:space="preserve"> </w:t>
      </w:r>
      <w:r w:rsidRPr="001E3995">
        <w:t>v.</w:t>
      </w:r>
      <w:r w:rsidRPr="001E3995">
        <w:t xml:space="preserve"> </w:t>
      </w:r>
      <w:r w:rsidRPr="001E3995">
        <w:t>Judd, 132 F.</w:t>
      </w:r>
      <w:r w:rsidRPr="001E3995">
        <w:t xml:space="preserve"> </w:t>
      </w:r>
      <w:r w:rsidRPr="001E3995">
        <w:t>Supp.</w:t>
      </w:r>
      <w:r w:rsidRPr="001E3995">
        <w:t xml:space="preserve"> </w:t>
      </w:r>
      <w:r w:rsidRPr="001E3995">
        <w:t>2d 612, 623 (S.D.</w:t>
      </w:r>
      <w:r w:rsidRPr="001E3995">
        <w:t xml:space="preserve"> </w:t>
      </w:r>
      <w:r w:rsidRPr="001E3995">
        <w:t>Ohio 2001) (jurisdiction not found where no Ohio sales and no evidence that defendant’s actions were uniquely aimed at Ohio);</w:t>
      </w:r>
      <w:r w:rsidRPr="001E3995">
        <w:t xml:space="preserve"> </w:t>
      </w:r>
      <w:r w:rsidRPr="001E3995">
        <w:t>Real Good Toys, Inc.</w:t>
      </w:r>
      <w:r w:rsidRPr="001E3995">
        <w:t xml:space="preserve"> </w:t>
      </w:r>
      <w:r w:rsidRPr="001E3995">
        <w:t>v.</w:t>
      </w:r>
      <w:r w:rsidRPr="001E3995">
        <w:t xml:space="preserve"> </w:t>
      </w:r>
      <w:r w:rsidRPr="001E3995">
        <w:t>XL Mach.</w:t>
      </w:r>
      <w:r w:rsidRPr="001E3995">
        <w:t xml:space="preserve"> </w:t>
      </w:r>
      <w:r w:rsidRPr="001E3995">
        <w:t>Ltd., 163 F.</w:t>
      </w:r>
      <w:r w:rsidRPr="001E3995">
        <w:t xml:space="preserve"> </w:t>
      </w:r>
      <w:r w:rsidRPr="001E3995">
        <w:t>Supp.</w:t>
      </w:r>
      <w:r w:rsidRPr="001E3995">
        <w:t xml:space="preserve"> </w:t>
      </w:r>
      <w:r w:rsidRPr="001E3995">
        <w:t>2d 421, 425 (D.</w:t>
      </w:r>
      <w:r w:rsidRPr="001E3995">
        <w:t xml:space="preserve"> </w:t>
      </w:r>
      <w:r w:rsidRPr="001E3995">
        <w:t>Vt.</w:t>
      </w:r>
      <w:r w:rsidRPr="001E3995">
        <w:t xml:space="preserve"> </w:t>
      </w:r>
      <w:r w:rsidRPr="001E3995">
        <w:t>2001) (jurisdiction upheld where defendant was found to have “knowingly and willfully infringed upon the copyright and trade dress of a Vermont corporation”);</w:t>
      </w:r>
      <w:r w:rsidRPr="001E3995">
        <w:t xml:space="preserve"> </w:t>
      </w:r>
      <w:r w:rsidRPr="001E3995">
        <w:t>Ford Motor Co.</w:t>
      </w:r>
      <w:r w:rsidRPr="001E3995">
        <w:t xml:space="preserve"> </w:t>
      </w:r>
      <w:r w:rsidRPr="001E3995">
        <w:t>v.</w:t>
      </w:r>
      <w:r w:rsidRPr="001E3995">
        <w:t xml:space="preserve"> </w:t>
      </w:r>
      <w:r w:rsidRPr="001E3995">
        <w:t>Great Domains, Inc., 141 F.</w:t>
      </w:r>
      <w:r w:rsidRPr="001E3995">
        <w:t xml:space="preserve"> </w:t>
      </w:r>
      <w:r w:rsidRPr="001E3995">
        <w:t>Supp.</w:t>
      </w:r>
      <w:r w:rsidRPr="001E3995">
        <w:t xml:space="preserve"> </w:t>
      </w:r>
      <w:r w:rsidRPr="001E3995">
        <w:t>2d 763, 772–75 (E.D.</w:t>
      </w:r>
      <w:r w:rsidRPr="001E3995">
        <w:t xml:space="preserve"> </w:t>
      </w:r>
      <w:r w:rsidRPr="001E3995">
        <w:t>Mich.</w:t>
      </w:r>
      <w:r w:rsidRPr="001E3995">
        <w:t xml:space="preserve"> </w:t>
      </w:r>
      <w:r w:rsidRPr="001E3995">
        <w:t xml:space="preserve">2001) (rejecting argument that incorporating a famous name in a trademark creates jurisdiction, but upholding jurisdiction on the facts of the case), </w:t>
      </w:r>
      <w:proofErr w:type="spellStart"/>
      <w:r w:rsidRPr="001E3995">
        <w:rPr>
          <w:i/>
        </w:rPr>
        <w:t>reconsid</w:t>
      </w:r>
      <w:proofErr w:type="spellEnd"/>
      <w:r w:rsidRPr="001E3995">
        <w:rPr>
          <w:i/>
        </w:rPr>
        <w:t>.</w:t>
      </w:r>
      <w:r w:rsidRPr="001E3995">
        <w:rPr>
          <w:i/>
        </w:rPr>
        <w:t xml:space="preserve"> </w:t>
      </w:r>
      <w:r w:rsidRPr="001E3995">
        <w:rPr>
          <w:i/>
        </w:rPr>
        <w:t>granted in part</w:t>
      </w:r>
      <w:r w:rsidRPr="001E3995">
        <w:t>, 177 F.</w:t>
      </w:r>
      <w:r w:rsidRPr="001E3995">
        <w:t xml:space="preserve"> </w:t>
      </w:r>
      <w:r w:rsidRPr="001E3995">
        <w:t>Supp.</w:t>
      </w:r>
      <w:r w:rsidRPr="001E3995">
        <w:t xml:space="preserve"> </w:t>
      </w:r>
      <w:r w:rsidRPr="001E3995">
        <w:t>2d 628, 632, 61 USPQ2d 1718 (E.D.</w:t>
      </w:r>
      <w:r w:rsidRPr="001E3995">
        <w:t xml:space="preserve"> </w:t>
      </w:r>
      <w:r w:rsidRPr="001E3995">
        <w:t>Mich.</w:t>
      </w:r>
      <w:r w:rsidRPr="001E3995">
        <w:t xml:space="preserve"> </w:t>
      </w:r>
      <w:r w:rsidRPr="001E3995">
        <w:t>2001) (intent to injure not required;</w:t>
      </w:r>
      <w:r w:rsidRPr="001E3995">
        <w:t xml:space="preserve"> </w:t>
      </w:r>
      <w:r w:rsidRPr="001E3995">
        <w:t>“express aiming” at the forum state required);</w:t>
      </w:r>
      <w:r w:rsidRPr="001E3995">
        <w:t xml:space="preserve"> </w:t>
      </w:r>
      <w:proofErr w:type="spellStart"/>
      <w:r w:rsidRPr="001E3995">
        <w:t>Cognigen</w:t>
      </w:r>
      <w:proofErr w:type="spellEnd"/>
      <w:r w:rsidRPr="001E3995">
        <w:t xml:space="preserve"> Networks, Inc.</w:t>
      </w:r>
      <w:r w:rsidRPr="001E3995">
        <w:t xml:space="preserve"> </w:t>
      </w:r>
      <w:r w:rsidRPr="001E3995">
        <w:t>v.</w:t>
      </w:r>
      <w:r w:rsidRPr="001E3995">
        <w:t xml:space="preserve"> </w:t>
      </w:r>
      <w:proofErr w:type="spellStart"/>
      <w:r w:rsidRPr="001E3995">
        <w:t>Cognigen</w:t>
      </w:r>
      <w:proofErr w:type="spellEnd"/>
      <w:r w:rsidRPr="001E3995">
        <w:t xml:space="preserve"> Corp., 174 F.</w:t>
      </w:r>
      <w:r w:rsidRPr="001E3995">
        <w:t xml:space="preserve"> </w:t>
      </w:r>
      <w:r w:rsidRPr="001E3995">
        <w:t>Supp.</w:t>
      </w:r>
      <w:r w:rsidRPr="001E3995">
        <w:t xml:space="preserve"> </w:t>
      </w:r>
      <w:r w:rsidRPr="001E3995">
        <w:t>2d 1134, 1139–41 (W.D.</w:t>
      </w:r>
      <w:r w:rsidRPr="001E3995">
        <w:t xml:space="preserve"> </w:t>
      </w:r>
      <w:r w:rsidRPr="001E3995">
        <w:t>Wash.</w:t>
      </w:r>
      <w:r w:rsidRPr="001E3995">
        <w:t xml:space="preserve"> </w:t>
      </w:r>
      <w:r w:rsidRPr="001E3995">
        <w:t>2001) (no jurisdiction based on alleged false assurances of noninfringement;</w:t>
      </w:r>
      <w:r w:rsidRPr="001E3995">
        <w:t xml:space="preserve"> </w:t>
      </w:r>
      <w:r w:rsidRPr="001E3995">
        <w:t>no jurisdiction based only on knowledge of plaintiff’s use of the mark in the forum state);</w:t>
      </w:r>
      <w:r w:rsidRPr="001E3995">
        <w:t xml:space="preserve"> </w:t>
      </w:r>
      <w:r w:rsidRPr="001E3995">
        <w:rPr>
          <w:i/>
        </w:rPr>
        <w:t>see</w:t>
      </w:r>
      <w:r w:rsidRPr="001E3995">
        <w:t xml:space="preserve"> Panavision Int’l, LP v.</w:t>
      </w:r>
      <w:r w:rsidRPr="001E3995">
        <w:t xml:space="preserve"> </w:t>
      </w:r>
      <w:proofErr w:type="spellStart"/>
      <w:r w:rsidRPr="001E3995">
        <w:t>Toeppen</w:t>
      </w:r>
      <w:proofErr w:type="spellEnd"/>
      <w:r w:rsidRPr="001E3995">
        <w:t>, 141 F.3d 1316, 1321, 46 USPQ2d 1511 (9th Cir.</w:t>
      </w:r>
      <w:r w:rsidRPr="001E3995">
        <w:t xml:space="preserve"> </w:t>
      </w:r>
      <w:r w:rsidRPr="001E3995">
        <w:t>1998) (jurisdiction upheld where defendant registered plaintiff’s mark as a domain name, showing that defendant aimed its actions at plaintiff).</w:t>
      </w:r>
    </w:p>
  </w:footnote>
  <w:footnote w:id="99">
    <w:p w14:paraId="77256F02" w14:textId="0211E8F6" w:rsidR="001E3995" w:rsidRPr="001E3995" w:rsidRDefault="001E3995" w:rsidP="001E3995">
      <w:pPr>
        <w:pStyle w:val="FootnoteText"/>
      </w:pPr>
      <w:r w:rsidRPr="001E3995">
        <w:rPr>
          <w:vertAlign w:val="superscript"/>
        </w:rPr>
        <w:footnoteRef/>
      </w:r>
      <w:r w:rsidRPr="001E3995">
        <w:t>571 U.S.</w:t>
      </w:r>
      <w:r w:rsidRPr="001E3995">
        <w:t xml:space="preserve"> </w:t>
      </w:r>
      <w:r w:rsidRPr="001E3995">
        <w:t>277 (2014).</w:t>
      </w:r>
    </w:p>
    <w:p w14:paraId="7220A4A6" w14:textId="77777777" w:rsidR="001E3995" w:rsidRDefault="001E3995" w:rsidP="002010F9">
      <w:pPr>
        <w:pStyle w:val="footnote"/>
      </w:pPr>
    </w:p>
  </w:footnote>
  <w:footnote w:id="100">
    <w:p w14:paraId="14630F61" w14:textId="71BC0862" w:rsidR="001E3995" w:rsidRP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285 (“our ‘minimum contact’ analysis looks to the defendant’s contacts with the forum State itself, not the defendant’s contacts with persons who reside there”</w:t>
      </w:r>
      <w:proofErr w:type="gramStart"/>
      <w:r w:rsidRPr="001E3995">
        <w:t>);</w:t>
      </w:r>
      <w:proofErr w:type="gramEnd"/>
      <w:r w:rsidRPr="001E3995">
        <w:t xml:space="preserve"> </w:t>
      </w:r>
      <w:r w:rsidRPr="001E3995">
        <w:rPr>
          <w:i/>
        </w:rPr>
        <w:t>id</w:t>
      </w:r>
      <w:r w:rsidRPr="001E3995">
        <w:t>.</w:t>
      </w:r>
      <w:r w:rsidRPr="001E3995">
        <w:t xml:space="preserve"> </w:t>
      </w:r>
      <w:r w:rsidRPr="001E3995">
        <w:t>at 286 (“a defendant’s relationship with a plaintiff or third party, standing alone, is an insufficient basis for jurisdiction”);</w:t>
      </w:r>
      <w:r w:rsidRPr="001E3995">
        <w:t xml:space="preserve"> </w:t>
      </w:r>
      <w:r w:rsidRPr="001E3995">
        <w:rPr>
          <w:i/>
        </w:rPr>
        <w:t>id</w:t>
      </w:r>
      <w:r w:rsidRPr="001E3995">
        <w:t>.</w:t>
      </w:r>
      <w:r w:rsidRPr="001E3995">
        <w:t xml:space="preserve"> </w:t>
      </w:r>
      <w:r w:rsidRPr="001E3995">
        <w:t xml:space="preserve">at 289 (“the proper lens [is] whether the </w:t>
      </w:r>
      <w:r w:rsidRPr="001E3995">
        <w:rPr>
          <w:i/>
        </w:rPr>
        <w:t>defendant’s</w:t>
      </w:r>
      <w:r w:rsidRPr="001E3995">
        <w:t xml:space="preserve"> actions connect him to the </w:t>
      </w:r>
      <w:r w:rsidRPr="001E3995">
        <w:rPr>
          <w:i/>
        </w:rPr>
        <w:t>forum</w:t>
      </w:r>
      <w:r w:rsidRPr="001E3995">
        <w:t>”).</w:t>
      </w:r>
    </w:p>
    <w:p w14:paraId="3751B050" w14:textId="77777777" w:rsidR="001E3995" w:rsidRDefault="001E3995" w:rsidP="002010F9">
      <w:pPr>
        <w:pStyle w:val="footnote"/>
      </w:pPr>
    </w:p>
  </w:footnote>
  <w:footnote w:id="101">
    <w:p w14:paraId="684AE25A" w14:textId="559A90D6" w:rsidR="001E3995" w:rsidRPr="00F45304" w:rsidRDefault="001E3995" w:rsidP="001E3995">
      <w:pPr>
        <w:pStyle w:val="FootnoteText"/>
      </w:pPr>
      <w:r w:rsidRPr="001E3995">
        <w:rPr>
          <w:rStyle w:val="FootnoteReference"/>
          <w:rFonts w:eastAsiaTheme="majorEastAsia"/>
        </w:rPr>
        <w:footnoteRef/>
      </w:r>
      <w:r w:rsidRPr="001E3995">
        <w:rPr>
          <w:i/>
        </w:rPr>
        <w:t>See also</w:t>
      </w:r>
      <w:r w:rsidRPr="001E3995">
        <w:t xml:space="preserve"> Snow Sys., Inc.</w:t>
      </w:r>
      <w:r w:rsidRPr="001E3995">
        <w:t xml:space="preserve"> </w:t>
      </w:r>
      <w:r w:rsidRPr="001E3995">
        <w:t>v.</w:t>
      </w:r>
      <w:r w:rsidRPr="001E3995">
        <w:t xml:space="preserve"> </w:t>
      </w:r>
      <w:r w:rsidRPr="001E3995">
        <w:t>Sneller’s Landscaping, LLC, 2019 WL 1317746, at *4 (N.D.</w:t>
      </w:r>
      <w:r w:rsidRPr="001E3995">
        <w:t xml:space="preserve"> </w:t>
      </w:r>
      <w:r w:rsidRPr="001E3995">
        <w:t>Ill.</w:t>
      </w:r>
      <w:r w:rsidRPr="001E3995">
        <w:t xml:space="preserve"> </w:t>
      </w:r>
      <w:r w:rsidRPr="001E3995">
        <w:t>Mar.</w:t>
      </w:r>
      <w:r w:rsidRPr="001E3995">
        <w:t xml:space="preserve"> </w:t>
      </w:r>
      <w:r w:rsidRPr="001E3995">
        <w:t>22, 2019) (“The fact that [defendant] may have known of [plaintiff] and its business and that it could suffer harm in Illinois” does not create jurisdiction in Illinois).</w:t>
      </w:r>
    </w:p>
  </w:footnote>
  <w:footnote w:id="102">
    <w:p w14:paraId="461819C3" w14:textId="3968D38C" w:rsidR="001E3995" w:rsidRDefault="001E3995" w:rsidP="001E3995">
      <w:pPr>
        <w:pStyle w:val="FootnoteText"/>
      </w:pPr>
      <w:r w:rsidRPr="001E3995">
        <w:rPr>
          <w:vertAlign w:val="superscript"/>
        </w:rPr>
        <w:footnoteRef/>
      </w:r>
      <w:r w:rsidRPr="001E3995">
        <w:rPr>
          <w:i/>
        </w:rPr>
        <w:t>See, e.g.</w:t>
      </w:r>
      <w:r w:rsidRPr="001E3995">
        <w:t xml:space="preserve">, </w:t>
      </w:r>
      <w:r w:rsidRPr="001E3995">
        <w:rPr>
          <w:i/>
        </w:rPr>
        <w:t>Neogen Corp.</w:t>
      </w:r>
      <w:r w:rsidRPr="001E3995">
        <w:t>, 282 F.3d at 890;</w:t>
      </w:r>
      <w:r w:rsidRPr="001E3995">
        <w:t xml:space="preserve"> </w:t>
      </w:r>
      <w:r w:rsidRPr="001E3995">
        <w:t>Brach’s Confections, Inc.</w:t>
      </w:r>
      <w:r w:rsidRPr="001E3995">
        <w:t xml:space="preserve"> </w:t>
      </w:r>
      <w:r w:rsidRPr="001E3995">
        <w:t>v.</w:t>
      </w:r>
      <w:r w:rsidRPr="001E3995">
        <w:t xml:space="preserve"> </w:t>
      </w:r>
      <w:r w:rsidRPr="001E3995">
        <w:t>Keller, 2003 U.S.</w:t>
      </w:r>
      <w:r w:rsidRPr="001E3995">
        <w:t xml:space="preserve"> </w:t>
      </w:r>
      <w:r w:rsidRPr="001E3995">
        <w:t>Dist.</w:t>
      </w:r>
      <w:r w:rsidRPr="001E3995">
        <w:t xml:space="preserve"> </w:t>
      </w:r>
      <w:r w:rsidRPr="001E3995">
        <w:t>LEXIS 16817, at *11–12 (N.D.</w:t>
      </w:r>
      <w:r w:rsidRPr="001E3995">
        <w:t xml:space="preserve"> </w:t>
      </w:r>
      <w:r w:rsidRPr="001E3995">
        <w:t>Ill.</w:t>
      </w:r>
      <w:r w:rsidRPr="001E3995">
        <w:t xml:space="preserve"> </w:t>
      </w:r>
      <w:r w:rsidRPr="001E3995">
        <w:t>2003);</w:t>
      </w:r>
      <w:r w:rsidRPr="001E3995">
        <w:t xml:space="preserve"> </w:t>
      </w:r>
      <w:r w:rsidRPr="001E3995">
        <w:rPr>
          <w:i/>
        </w:rPr>
        <w:t>SCC Commc’ns</w:t>
      </w:r>
      <w:r w:rsidRPr="001E3995">
        <w:t>, 195 F.</w:t>
      </w:r>
      <w:r w:rsidRPr="001E3995">
        <w:t xml:space="preserve"> </w:t>
      </w:r>
      <w:r w:rsidRPr="001E3995">
        <w:t>Supp.</w:t>
      </w:r>
      <w:r w:rsidRPr="001E3995">
        <w:t xml:space="preserve"> </w:t>
      </w:r>
      <w:r w:rsidRPr="001E3995">
        <w:t>2d at 1260–61;</w:t>
      </w:r>
      <w:r w:rsidRPr="001E3995">
        <w:t xml:space="preserve"> </w:t>
      </w:r>
      <w:r w:rsidRPr="001E3995">
        <w:t>Enterprise Rent-A-Car Co.</w:t>
      </w:r>
      <w:r w:rsidRPr="001E3995">
        <w:t xml:space="preserve"> </w:t>
      </w:r>
      <w:r w:rsidRPr="001E3995">
        <w:t>v.</w:t>
      </w:r>
      <w:r w:rsidRPr="001E3995">
        <w:t xml:space="preserve"> </w:t>
      </w:r>
      <w:r w:rsidRPr="001E3995">
        <w:t>Stowell, 137 F.</w:t>
      </w:r>
      <w:r w:rsidRPr="001E3995">
        <w:t xml:space="preserve"> </w:t>
      </w:r>
      <w:r w:rsidRPr="001E3995">
        <w:t>Supp.</w:t>
      </w:r>
      <w:r w:rsidRPr="001E3995">
        <w:t xml:space="preserve"> </w:t>
      </w:r>
      <w:r w:rsidRPr="001E3995">
        <w:t>2d 1151, 1156–57 (E.D.</w:t>
      </w:r>
      <w:r w:rsidRPr="001E3995">
        <w:t xml:space="preserve"> </w:t>
      </w:r>
      <w:r w:rsidRPr="001E3995">
        <w:t>Mo.</w:t>
      </w:r>
      <w:r w:rsidRPr="001E3995">
        <w:t xml:space="preserve"> </w:t>
      </w:r>
      <w:r w:rsidRPr="001E3995">
        <w:t>2001).</w:t>
      </w:r>
    </w:p>
  </w:footnote>
  <w:footnote w:id="103">
    <w:p w14:paraId="62FB04D5" w14:textId="038BF2D1" w:rsidR="001E3995" w:rsidRDefault="001E3995" w:rsidP="001E3995">
      <w:pPr>
        <w:pStyle w:val="FootnoteText"/>
      </w:pPr>
      <w:r w:rsidRPr="001E3995">
        <w:rPr>
          <w:vertAlign w:val="superscript"/>
        </w:rPr>
        <w:footnoteRef/>
      </w:r>
      <w:r w:rsidRPr="001E3995">
        <w:rPr>
          <w:i/>
        </w:rPr>
        <w:t>SCC Commc’ns</w:t>
      </w:r>
      <w:r w:rsidRPr="001E3995">
        <w:t>, 195 F.</w:t>
      </w:r>
      <w:r w:rsidRPr="001E3995">
        <w:t xml:space="preserve"> </w:t>
      </w:r>
      <w:r w:rsidRPr="001E3995">
        <w:t>Supp.</w:t>
      </w:r>
      <w:r w:rsidRPr="001E3995">
        <w:t xml:space="preserve"> </w:t>
      </w:r>
      <w:r w:rsidRPr="001E3995">
        <w:t>2d at 1260;</w:t>
      </w:r>
      <w:r w:rsidRPr="001E3995">
        <w:t xml:space="preserve"> </w:t>
      </w:r>
      <w:r w:rsidRPr="001E3995">
        <w:rPr>
          <w:i/>
        </w:rPr>
        <w:t>Enterprise Rent-A Car</w:t>
      </w:r>
      <w:r w:rsidRPr="001E3995">
        <w:t>, 137 F.</w:t>
      </w:r>
      <w:r w:rsidRPr="001E3995">
        <w:t xml:space="preserve"> </w:t>
      </w:r>
      <w:r w:rsidRPr="001E3995">
        <w:t>Supp.</w:t>
      </w:r>
      <w:r w:rsidRPr="001E3995">
        <w:t xml:space="preserve"> </w:t>
      </w:r>
      <w:r w:rsidRPr="001E3995">
        <w:t>2d at 1156–57;</w:t>
      </w:r>
      <w:r w:rsidRPr="001E3995">
        <w:t xml:space="preserve"> </w:t>
      </w:r>
      <w:r w:rsidRPr="001E3995">
        <w:rPr>
          <w:i/>
        </w:rPr>
        <w:t>see</w:t>
      </w:r>
      <w:r w:rsidRPr="001E3995">
        <w:t xml:space="preserve"> </w:t>
      </w:r>
      <w:proofErr w:type="spellStart"/>
      <w:r w:rsidRPr="001E3995">
        <w:t>Bensusan</w:t>
      </w:r>
      <w:proofErr w:type="spellEnd"/>
      <w:r w:rsidRPr="001E3995">
        <w:t xml:space="preserve"> Rest.</w:t>
      </w:r>
      <w:r w:rsidRPr="001E3995">
        <w:t xml:space="preserve"> </w:t>
      </w:r>
      <w:r w:rsidRPr="001E3995">
        <w:t>Corp.</w:t>
      </w:r>
      <w:r w:rsidRPr="001E3995">
        <w:t xml:space="preserve"> </w:t>
      </w:r>
      <w:r w:rsidRPr="001E3995">
        <w:t>v.</w:t>
      </w:r>
      <w:r w:rsidRPr="001E3995">
        <w:t xml:space="preserve"> </w:t>
      </w:r>
      <w:r w:rsidRPr="001E3995">
        <w:t>King, 126 F.3d 25, 27 (2d Cir.</w:t>
      </w:r>
      <w:r w:rsidRPr="001E3995">
        <w:t xml:space="preserve"> </w:t>
      </w:r>
      <w:r w:rsidRPr="001E3995">
        <w:t>1997) (no jurisdiction under New York law);</w:t>
      </w:r>
      <w:r w:rsidRPr="001E3995">
        <w:t xml:space="preserve"> </w:t>
      </w:r>
      <w:r w:rsidRPr="001E3995">
        <w:t>Facebook, Inc.</w:t>
      </w:r>
      <w:r w:rsidRPr="001E3995">
        <w:t xml:space="preserve"> </w:t>
      </w:r>
      <w:r w:rsidRPr="001E3995">
        <w:t>v.</w:t>
      </w:r>
      <w:r w:rsidRPr="001E3995">
        <w:t xml:space="preserve"> </w:t>
      </w:r>
      <w:r w:rsidRPr="001E3995">
        <w:t>Teachbook.com, LLC, 2011 U.S.</w:t>
      </w:r>
      <w:r w:rsidRPr="001E3995">
        <w:t xml:space="preserve"> </w:t>
      </w:r>
      <w:r w:rsidRPr="001E3995">
        <w:t>Dist.</w:t>
      </w:r>
      <w:r w:rsidRPr="001E3995">
        <w:t xml:space="preserve"> </w:t>
      </w:r>
      <w:r w:rsidRPr="001E3995">
        <w:t>LEXIS.</w:t>
      </w:r>
      <w:r w:rsidRPr="001E3995">
        <w:t xml:space="preserve"> </w:t>
      </w:r>
      <w:r w:rsidRPr="001E3995">
        <w:t>48590 (N.D.</w:t>
      </w:r>
      <w:r w:rsidRPr="001E3995">
        <w:t xml:space="preserve"> </w:t>
      </w:r>
      <w:r w:rsidRPr="001E3995">
        <w:t>Cal.</w:t>
      </w:r>
      <w:r w:rsidRPr="001E3995">
        <w:t xml:space="preserve"> </w:t>
      </w:r>
      <w:r w:rsidRPr="001E3995">
        <w:t>May 2, 2011) (finding no jurisdiction).</w:t>
      </w:r>
    </w:p>
  </w:footnote>
  <w:footnote w:id="104">
    <w:p w14:paraId="3B99E4CF" w14:textId="2957EBA1" w:rsidR="001E3995" w:rsidRDefault="001E3995" w:rsidP="001E3995">
      <w:pPr>
        <w:pStyle w:val="FootnoteText"/>
      </w:pPr>
      <w:r w:rsidRPr="001E3995">
        <w:rPr>
          <w:vertAlign w:val="superscript"/>
        </w:rPr>
        <w:footnoteRef/>
      </w:r>
      <w:r w:rsidRPr="001E3995">
        <w:t>Masco Corp.</w:t>
      </w:r>
      <w:r w:rsidRPr="001E3995">
        <w:t xml:space="preserve"> </w:t>
      </w:r>
      <w:r w:rsidRPr="001E3995">
        <w:t>of Ind.</w:t>
      </w:r>
      <w:r w:rsidRPr="001E3995">
        <w:t xml:space="preserve"> </w:t>
      </w:r>
      <w:r w:rsidRPr="001E3995">
        <w:t>v.</w:t>
      </w:r>
      <w:r w:rsidRPr="001E3995">
        <w:t xml:space="preserve"> </w:t>
      </w:r>
      <w:r w:rsidRPr="001E3995">
        <w:t>Delta Imports, LLC, 2012 U.S.</w:t>
      </w:r>
      <w:r w:rsidRPr="001E3995">
        <w:t xml:space="preserve"> </w:t>
      </w:r>
      <w:r w:rsidRPr="001E3995">
        <w:t>Dist.</w:t>
      </w:r>
      <w:r w:rsidRPr="001E3995">
        <w:t xml:space="preserve"> </w:t>
      </w:r>
      <w:r w:rsidRPr="001E3995">
        <w:t>LEXIS 59979, at *7–10 (E.D.</w:t>
      </w:r>
      <w:r w:rsidRPr="001E3995">
        <w:t xml:space="preserve"> </w:t>
      </w:r>
      <w:r w:rsidRPr="001E3995">
        <w:t>Mich.</w:t>
      </w:r>
      <w:r w:rsidRPr="001E3995">
        <w:t xml:space="preserve"> </w:t>
      </w:r>
      <w:r w:rsidRPr="001E3995">
        <w:t>Apr.</w:t>
      </w:r>
      <w:r w:rsidRPr="001E3995">
        <w:t xml:space="preserve"> </w:t>
      </w:r>
      <w:r w:rsidRPr="001E3995">
        <w:t>30, 2012) (sales to Michigan residents sufficient to establish jurisdiction);</w:t>
      </w:r>
      <w:r w:rsidRPr="001E3995">
        <w:t xml:space="preserve"> </w:t>
      </w:r>
      <w:r w:rsidRPr="001E3995">
        <w:t xml:space="preserve">Societe des Bains de Mer et du Cercle des </w:t>
      </w:r>
      <w:proofErr w:type="spellStart"/>
      <w:r w:rsidRPr="001E3995">
        <w:t>Etrangers</w:t>
      </w:r>
      <w:proofErr w:type="spellEnd"/>
      <w:r w:rsidRPr="001E3995">
        <w:t xml:space="preserve"> de Monaco v.</w:t>
      </w:r>
      <w:r w:rsidRPr="001E3995">
        <w:t xml:space="preserve"> </w:t>
      </w:r>
      <w:r w:rsidRPr="001E3995">
        <w:t>MGM Mirage, 90 USPQ2d 1028, 1031–33 (S.D.N.Y.</w:t>
      </w:r>
      <w:r w:rsidRPr="001E3995">
        <w:t xml:space="preserve"> </w:t>
      </w:r>
      <w:r w:rsidRPr="001E3995">
        <w:t>2008) (upholding jurisdiction under New York long-arm statute and due process);</w:t>
      </w:r>
      <w:r w:rsidRPr="001E3995">
        <w:t xml:space="preserve"> </w:t>
      </w:r>
      <w:r w:rsidRPr="001E3995">
        <w:rPr>
          <w:i/>
        </w:rPr>
        <w:t>Brach’s Confections</w:t>
      </w:r>
      <w:r w:rsidRPr="001E3995">
        <w:t>, 2003 U.S.</w:t>
      </w:r>
      <w:r w:rsidRPr="001E3995">
        <w:t xml:space="preserve"> </w:t>
      </w:r>
      <w:r w:rsidRPr="001E3995">
        <w:t>Dist.</w:t>
      </w:r>
      <w:r w:rsidRPr="001E3995">
        <w:t xml:space="preserve"> </w:t>
      </w:r>
      <w:r w:rsidRPr="001E3995">
        <w:t>LEXIS 16817, at *11–12;</w:t>
      </w:r>
      <w:r w:rsidRPr="001E3995">
        <w:t xml:space="preserve"> </w:t>
      </w:r>
      <w:r w:rsidRPr="001E3995">
        <w:rPr>
          <w:i/>
        </w:rPr>
        <w:t>Enterprise</w:t>
      </w:r>
      <w:r w:rsidRPr="001E3995">
        <w:t>, 137 F.</w:t>
      </w:r>
      <w:r w:rsidRPr="001E3995">
        <w:t xml:space="preserve"> </w:t>
      </w:r>
      <w:r w:rsidRPr="001E3995">
        <w:t>Supp.</w:t>
      </w:r>
      <w:r w:rsidRPr="001E3995">
        <w:t xml:space="preserve"> </w:t>
      </w:r>
      <w:r w:rsidRPr="001E3995">
        <w:t>2d at 1156 (citing cases).</w:t>
      </w:r>
    </w:p>
  </w:footnote>
  <w:footnote w:id="105">
    <w:p w14:paraId="79AD9C54" w14:textId="7AADAA62" w:rsidR="001E3995" w:rsidRPr="001E3995" w:rsidRDefault="001E3995" w:rsidP="001E3995">
      <w:pPr>
        <w:pStyle w:val="FootnoteText"/>
      </w:pPr>
      <w:r w:rsidRPr="001E3995">
        <w:rPr>
          <w:vertAlign w:val="superscript"/>
        </w:rPr>
        <w:footnoteRef/>
      </w:r>
      <w:proofErr w:type="spellStart"/>
      <w:r w:rsidRPr="001E3995">
        <w:t>Shippitsa</w:t>
      </w:r>
      <w:proofErr w:type="spellEnd"/>
      <w:r w:rsidRPr="001E3995">
        <w:t xml:space="preserve"> Ltd.</w:t>
      </w:r>
      <w:r w:rsidRPr="001E3995">
        <w:t xml:space="preserve"> </w:t>
      </w:r>
      <w:r w:rsidRPr="001E3995">
        <w:t>v.</w:t>
      </w:r>
      <w:r w:rsidRPr="001E3995">
        <w:t xml:space="preserve"> </w:t>
      </w:r>
      <w:r w:rsidRPr="001E3995">
        <w:t>Slack, 2019 WL 277613, at *5, 2019 BL 19314 (N.D.</w:t>
      </w:r>
      <w:r w:rsidRPr="001E3995">
        <w:t xml:space="preserve"> </w:t>
      </w:r>
      <w:r w:rsidRPr="001E3995">
        <w:t>Tex.</w:t>
      </w:r>
      <w:r w:rsidRPr="001E3995">
        <w:t xml:space="preserve"> </w:t>
      </w:r>
      <w:r w:rsidRPr="001E3995">
        <w:t>Jan.</w:t>
      </w:r>
      <w:r w:rsidRPr="001E3995">
        <w:t xml:space="preserve"> </w:t>
      </w:r>
      <w:r w:rsidRPr="001E3995">
        <w:t>22, 2019) (finding no jurisdiction;</w:t>
      </w:r>
      <w:r w:rsidRPr="001E3995">
        <w:t xml:space="preserve"> </w:t>
      </w:r>
      <w:r w:rsidRPr="001E3995">
        <w:t>the possibility that in-state residents may interact with a website is not sufficient);</w:t>
      </w:r>
      <w:r w:rsidRPr="001E3995">
        <w:t xml:space="preserve"> </w:t>
      </w:r>
      <w:proofErr w:type="spellStart"/>
      <w:r w:rsidRPr="001E3995">
        <w:rPr>
          <w:i/>
        </w:rPr>
        <w:t>Fraserside</w:t>
      </w:r>
      <w:proofErr w:type="spellEnd"/>
      <w:r w:rsidRPr="001E3995">
        <w:rPr>
          <w:i/>
        </w:rPr>
        <w:t xml:space="preserve"> IP</w:t>
      </w:r>
      <w:r w:rsidRPr="001E3995">
        <w:t>, 902 F.</w:t>
      </w:r>
      <w:r w:rsidRPr="001E3995">
        <w:t xml:space="preserve"> </w:t>
      </w:r>
      <w:r w:rsidRPr="001E3995">
        <w:t>Supp.</w:t>
      </w:r>
      <w:r w:rsidRPr="001E3995">
        <w:t xml:space="preserve"> </w:t>
      </w:r>
      <w:r w:rsidRPr="001E3995">
        <w:t>2d at 1177 (finding no jurisdiction);</w:t>
      </w:r>
      <w:r w:rsidRPr="001E3995">
        <w:t xml:space="preserve"> </w:t>
      </w:r>
      <w:r w:rsidRPr="001E3995">
        <w:rPr>
          <w:i/>
        </w:rPr>
        <w:t>Enterprise Rent-A-Car</w:t>
      </w:r>
      <w:r w:rsidRPr="001E3995">
        <w:t>, 137 F.</w:t>
      </w:r>
      <w:r w:rsidRPr="001E3995">
        <w:t xml:space="preserve"> </w:t>
      </w:r>
      <w:r w:rsidRPr="001E3995">
        <w:t>Supp.</w:t>
      </w:r>
      <w:r w:rsidRPr="001E3995">
        <w:t xml:space="preserve"> </w:t>
      </w:r>
      <w:r w:rsidRPr="001E3995">
        <w:t>2d at 1156–58 (finding no jurisdiction and citing cases);</w:t>
      </w:r>
      <w:r w:rsidRPr="001E3995">
        <w:t xml:space="preserve"> </w:t>
      </w:r>
      <w:r w:rsidRPr="001E3995">
        <w:rPr>
          <w:i/>
        </w:rPr>
        <w:t>cf.</w:t>
      </w:r>
      <w:r w:rsidRPr="001E3995">
        <w:rPr>
          <w:i/>
        </w:rPr>
        <w:t xml:space="preserve"> </w:t>
      </w:r>
      <w:r w:rsidRPr="001E3995">
        <w:rPr>
          <w:i/>
        </w:rPr>
        <w:t>Neogen</w:t>
      </w:r>
      <w:r w:rsidRPr="001E3995">
        <w:t>, 282 F.3d at 890–91 (providing passwords for website to Michigan residents “is a close question”;</w:t>
      </w:r>
      <w:r w:rsidRPr="001E3995">
        <w:t xml:space="preserve"> </w:t>
      </w:r>
      <w:r w:rsidRPr="001E3995">
        <w:t>jurisdiction found when one combines passwords with contracts entered into with Michigan residents);</w:t>
      </w:r>
      <w:r w:rsidRPr="001E3995">
        <w:t xml:space="preserve"> </w:t>
      </w:r>
      <w:r w:rsidRPr="001E3995">
        <w:rPr>
          <w:i/>
        </w:rPr>
        <w:t>Advisors Excel</w:t>
      </w:r>
      <w:r w:rsidRPr="001E3995">
        <w:t>, 2011 U.S.</w:t>
      </w:r>
      <w:r w:rsidRPr="001E3995">
        <w:t xml:space="preserve"> </w:t>
      </w:r>
      <w:r w:rsidRPr="001E3995">
        <w:t>Dist.</w:t>
      </w:r>
      <w:r w:rsidRPr="001E3995">
        <w:t xml:space="preserve"> </w:t>
      </w:r>
      <w:r w:rsidRPr="001E3995">
        <w:t>LEXIS 88323, at *25–26 (website alone not sufficient purposeful activity aimed at Kansas, but continued activity after receipt of cease-and-desist letter created prima facie showing of jurisdiction);</w:t>
      </w:r>
      <w:r w:rsidRPr="001E3995">
        <w:t xml:space="preserve"> </w:t>
      </w:r>
      <w:r w:rsidRPr="001E3995">
        <w:t>Swarovski Optik N.</w:t>
      </w:r>
      <w:r w:rsidRPr="001E3995">
        <w:t xml:space="preserve"> </w:t>
      </w:r>
      <w:r w:rsidRPr="001E3995">
        <w:t>Am.</w:t>
      </w:r>
      <w:r w:rsidRPr="001E3995">
        <w:t xml:space="preserve"> </w:t>
      </w:r>
      <w:r w:rsidRPr="001E3995">
        <w:t>Ltd.</w:t>
      </w:r>
      <w:r w:rsidRPr="001E3995">
        <w:t xml:space="preserve"> </w:t>
      </w:r>
      <w:r w:rsidRPr="001E3995">
        <w:t>v.</w:t>
      </w:r>
      <w:r w:rsidRPr="001E3995">
        <w:t xml:space="preserve"> </w:t>
      </w:r>
      <w:r w:rsidRPr="001E3995">
        <w:t>Euro Optics, Inc., 2003 U.S.</w:t>
      </w:r>
      <w:r w:rsidRPr="001E3995">
        <w:t xml:space="preserve"> </w:t>
      </w:r>
      <w:r w:rsidRPr="001E3995">
        <w:t>Dist.</w:t>
      </w:r>
      <w:r w:rsidRPr="001E3995">
        <w:t xml:space="preserve"> </w:t>
      </w:r>
      <w:r w:rsidRPr="001E3995">
        <w:t>LEXIS 14881, at *20–27 (D.R.I.</w:t>
      </w:r>
      <w:r w:rsidRPr="001E3995">
        <w:t xml:space="preserve"> </w:t>
      </w:r>
      <w:r w:rsidRPr="001E3995">
        <w:t>Aug.</w:t>
      </w:r>
      <w:r w:rsidRPr="001E3995">
        <w:t xml:space="preserve"> </w:t>
      </w:r>
      <w:r w:rsidRPr="001E3995">
        <w:t>25, 2003) (potentially interactive website, but no orders from local residents;</w:t>
      </w:r>
      <w:r w:rsidRPr="001E3995">
        <w:t xml:space="preserve"> </w:t>
      </w:r>
      <w:r w:rsidRPr="001E3995">
        <w:t>jurisdiction not found);</w:t>
      </w:r>
      <w:r w:rsidRPr="001E3995">
        <w:t xml:space="preserve"> </w:t>
      </w:r>
      <w:proofErr w:type="spellStart"/>
      <w:r w:rsidRPr="001E3995">
        <w:t>McBee</w:t>
      </w:r>
      <w:proofErr w:type="spellEnd"/>
      <w:r w:rsidRPr="001E3995">
        <w:t xml:space="preserve"> v.</w:t>
      </w:r>
      <w:r w:rsidRPr="001E3995">
        <w:t xml:space="preserve"> </w:t>
      </w:r>
      <w:r w:rsidRPr="001E3995">
        <w:t>Delica Co., 2003 U.S.</w:t>
      </w:r>
      <w:r w:rsidRPr="001E3995">
        <w:t xml:space="preserve"> </w:t>
      </w:r>
      <w:r w:rsidRPr="001E3995">
        <w:t>Dist.</w:t>
      </w:r>
      <w:r w:rsidRPr="001E3995">
        <w:t xml:space="preserve"> </w:t>
      </w:r>
      <w:r w:rsidRPr="001E3995">
        <w:t>LEXIS 6123 (D.</w:t>
      </w:r>
      <w:r w:rsidRPr="001E3995">
        <w:t xml:space="preserve"> </w:t>
      </w:r>
      <w:r w:rsidRPr="001E3995">
        <w:t>Me.</w:t>
      </w:r>
      <w:r w:rsidRPr="001E3995">
        <w:t xml:space="preserve"> </w:t>
      </w:r>
      <w:r w:rsidRPr="001E3995">
        <w:t>Apr.</w:t>
      </w:r>
      <w:r w:rsidRPr="001E3995">
        <w:t xml:space="preserve"> </w:t>
      </w:r>
      <w:r w:rsidRPr="001E3995">
        <w:t>14, 2003) (Japanese company whose Internet site was only somewhat interactive subject to jurisdiction in Maine where residents purchased defendant’s merchandise) (magistrate judge opinion);</w:t>
      </w:r>
      <w:r w:rsidRPr="001E3995">
        <w:t xml:space="preserve"> </w:t>
      </w:r>
      <w:r w:rsidRPr="001E3995">
        <w:t>Mothers Against Drunk Driving v.</w:t>
      </w:r>
      <w:r w:rsidRPr="001E3995">
        <w:t xml:space="preserve"> </w:t>
      </w:r>
      <w:r w:rsidRPr="001E3995">
        <w:t>DAMMAD, Inc., 2003 WL 292162, 2003 BL 2497</w:t>
      </w:r>
    </w:p>
    <w:p w14:paraId="145337A2" w14:textId="77777777" w:rsidR="001E3995" w:rsidRDefault="001E3995" w:rsidP="001E3995">
      <w:pPr>
        <w:pStyle w:val="FootnoteText"/>
      </w:pPr>
      <w:r w:rsidRPr="001E3995">
        <w:t xml:space="preserve"> (N.D.</w:t>
      </w:r>
      <w:r w:rsidRPr="001E3995">
        <w:t xml:space="preserve"> </w:t>
      </w:r>
      <w:r w:rsidRPr="001E3995">
        <w:t>Tex.</w:t>
      </w:r>
      <w:r w:rsidRPr="001E3995">
        <w:t xml:space="preserve"> </w:t>
      </w:r>
      <w:r w:rsidRPr="001E3995">
        <w:t>2003) (jurisdiction not found).</w:t>
      </w:r>
    </w:p>
  </w:footnote>
  <w:footnote w:id="106">
    <w:p w14:paraId="20603609" w14:textId="0D077E77" w:rsidR="001E3995" w:rsidRPr="001E3995" w:rsidRDefault="001E3995" w:rsidP="001E3995">
      <w:pPr>
        <w:pStyle w:val="FootnoteText"/>
      </w:pPr>
      <w:r w:rsidRPr="001E3995">
        <w:rPr>
          <w:vertAlign w:val="superscript"/>
        </w:rPr>
        <w:footnoteRef/>
      </w:r>
      <w:r w:rsidRPr="001E3995">
        <w:t>Ross Univ.</w:t>
      </w:r>
      <w:r w:rsidRPr="001E3995">
        <w:t xml:space="preserve"> </w:t>
      </w:r>
      <w:r w:rsidRPr="001E3995">
        <w:t>Sch.</w:t>
      </w:r>
      <w:r w:rsidRPr="001E3995">
        <w:t xml:space="preserve"> </w:t>
      </w:r>
      <w:r w:rsidRPr="001E3995">
        <w:t>of Med.</w:t>
      </w:r>
      <w:r w:rsidRPr="001E3995">
        <w:t xml:space="preserve"> </w:t>
      </w:r>
      <w:r w:rsidRPr="001E3995">
        <w:t>v.</w:t>
      </w:r>
      <w:r w:rsidRPr="001E3995">
        <w:t xml:space="preserve"> </w:t>
      </w:r>
      <w:r w:rsidRPr="001E3995">
        <w:t>Amini, 2014 U.S.</w:t>
      </w:r>
      <w:r w:rsidRPr="001E3995">
        <w:t xml:space="preserve"> </w:t>
      </w:r>
      <w:r w:rsidRPr="001E3995">
        <w:t>Dist.</w:t>
      </w:r>
      <w:r w:rsidRPr="001E3995">
        <w:t xml:space="preserve"> </w:t>
      </w:r>
      <w:r w:rsidRPr="001E3995">
        <w:t>LEXIS 202, at *9–12 (D.N.J.</w:t>
      </w:r>
      <w:r w:rsidRPr="001E3995">
        <w:t xml:space="preserve"> </w:t>
      </w:r>
      <w:r w:rsidRPr="001E3995">
        <w:t>Jan.</w:t>
      </w:r>
      <w:r w:rsidRPr="001E3995">
        <w:t xml:space="preserve"> </w:t>
      </w:r>
      <w:r w:rsidRPr="001E3995">
        <w:t>2, 2014) (upholding jurisdiction by contractual consent).</w:t>
      </w:r>
    </w:p>
    <w:p w14:paraId="2605CCFD" w14:textId="77777777" w:rsidR="001E3995" w:rsidRDefault="001E3995" w:rsidP="002010F9">
      <w:pPr>
        <w:pStyle w:val="footnote"/>
      </w:pPr>
    </w:p>
  </w:footnote>
  <w:footnote w:id="107">
    <w:p w14:paraId="1E61EB7D" w14:textId="736E7D31" w:rsidR="001E3995" w:rsidRDefault="001E3995" w:rsidP="001E3995">
      <w:pPr>
        <w:pStyle w:val="FootnoteText"/>
      </w:pPr>
      <w:r w:rsidRPr="001E3995">
        <w:rPr>
          <w:vertAlign w:val="superscript"/>
        </w:rPr>
        <w:footnoteRef/>
      </w:r>
      <w:r w:rsidRPr="001E3995">
        <w:t>Northern Light Tech., Inc.</w:t>
      </w:r>
      <w:r w:rsidRPr="001E3995">
        <w:t xml:space="preserve"> </w:t>
      </w:r>
      <w:r w:rsidRPr="001E3995">
        <w:t>v.</w:t>
      </w:r>
      <w:r w:rsidRPr="001E3995">
        <w:t xml:space="preserve"> </w:t>
      </w:r>
      <w:r w:rsidRPr="001E3995">
        <w:t xml:space="preserve">Northern Lights Club, 236 F.3d 57, 63, 57 USPQ2d 1277 (1st Cir.), </w:t>
      </w:r>
      <w:r w:rsidRPr="001E3995">
        <w:rPr>
          <w:i/>
        </w:rPr>
        <w:t>cert.</w:t>
      </w:r>
      <w:r w:rsidRPr="001E3995">
        <w:rPr>
          <w:i/>
        </w:rPr>
        <w:t xml:space="preserve"> </w:t>
      </w:r>
      <w:r w:rsidRPr="001E3995">
        <w:rPr>
          <w:i/>
        </w:rPr>
        <w:t>denied</w:t>
      </w:r>
      <w:r w:rsidRPr="001E3995">
        <w:t>, 533 U.S.</w:t>
      </w:r>
      <w:r w:rsidRPr="001E3995">
        <w:t xml:space="preserve"> </w:t>
      </w:r>
      <w:r w:rsidRPr="001E3995">
        <w:t>911 (2001).</w:t>
      </w:r>
    </w:p>
  </w:footnote>
  <w:footnote w:id="108">
    <w:p w14:paraId="7340611A" w14:textId="03216384"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12(g), (h);</w:t>
      </w:r>
      <w:r w:rsidRPr="001E3995">
        <w:t xml:space="preserve"> </w:t>
      </w:r>
      <w:r w:rsidRPr="001E3995">
        <w:rPr>
          <w:i/>
        </w:rPr>
        <w:t>see</w:t>
      </w:r>
      <w:r w:rsidRPr="001E3995">
        <w:t xml:space="preserve"> Oasis Corp.</w:t>
      </w:r>
      <w:r w:rsidRPr="001E3995">
        <w:t xml:space="preserve"> </w:t>
      </w:r>
      <w:r w:rsidRPr="001E3995">
        <w:t>v.</w:t>
      </w:r>
      <w:r w:rsidRPr="001E3995">
        <w:t xml:space="preserve"> </w:t>
      </w:r>
      <w:r w:rsidRPr="001E3995">
        <w:t>Judd, 132 F.</w:t>
      </w:r>
      <w:r w:rsidRPr="001E3995">
        <w:t xml:space="preserve"> </w:t>
      </w:r>
      <w:r w:rsidRPr="001E3995">
        <w:t>Supp.</w:t>
      </w:r>
      <w:r w:rsidRPr="001E3995">
        <w:t xml:space="preserve"> </w:t>
      </w:r>
      <w:r w:rsidRPr="001E3995">
        <w:t>2d 612, 619–20 (S.D.</w:t>
      </w:r>
      <w:r w:rsidRPr="001E3995">
        <w:t xml:space="preserve"> </w:t>
      </w:r>
      <w:r w:rsidRPr="001E3995">
        <w:t>Ohio 2001);</w:t>
      </w:r>
      <w:r w:rsidRPr="001E3995">
        <w:t xml:space="preserve"> </w:t>
      </w:r>
      <w:r w:rsidRPr="001E3995">
        <w:t>Phat Fashions, LLC v.</w:t>
      </w:r>
      <w:r w:rsidRPr="001E3995">
        <w:t xml:space="preserve"> </w:t>
      </w:r>
      <w:r w:rsidRPr="001E3995">
        <w:t>Phat Game Athletic Apparel, Inc., 2001 WL 1041990, at *3–4 (S.D.N.Y.</w:t>
      </w:r>
      <w:r w:rsidRPr="001E3995">
        <w:t xml:space="preserve"> </w:t>
      </w:r>
      <w:r w:rsidRPr="001E3995">
        <w:t>2001).</w:t>
      </w:r>
    </w:p>
  </w:footnote>
  <w:footnote w:id="109">
    <w:p w14:paraId="0874D3BE" w14:textId="32F36983"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4(d).</w:t>
      </w:r>
      <w:r w:rsidRPr="001E3995">
        <w:t xml:space="preserve"> </w:t>
      </w:r>
      <w:r w:rsidRPr="001E3995">
        <w:t>There is a penalty if the defendant refuses to waive service, and extra time to answer is granted if service is waived.</w:t>
      </w:r>
    </w:p>
  </w:footnote>
  <w:footnote w:id="110">
    <w:p w14:paraId="486016BC" w14:textId="6D5F861A" w:rsidR="001E3995" w:rsidRDefault="001E3995" w:rsidP="001E3995">
      <w:pPr>
        <w:pStyle w:val="FootnoteText"/>
      </w:pPr>
      <w:r w:rsidRPr="001E3995">
        <w:rPr>
          <w:vertAlign w:val="superscript"/>
        </w:rPr>
        <w:footnoteRef/>
      </w:r>
      <w:r w:rsidRPr="001E3995">
        <w:t>Fed.</w:t>
      </w:r>
      <w:r w:rsidRPr="001E3995">
        <w:t xml:space="preserve"> </w:t>
      </w:r>
      <w:r w:rsidRPr="001E3995">
        <w:t>R.</w:t>
      </w:r>
      <w:r w:rsidRPr="001E3995">
        <w:t xml:space="preserve"> </w:t>
      </w:r>
      <w:r w:rsidRPr="001E3995">
        <w:t>Civ.</w:t>
      </w:r>
      <w:r w:rsidRPr="001E3995">
        <w:t xml:space="preserve"> </w:t>
      </w:r>
      <w:r w:rsidRPr="001E3995">
        <w:t>P.</w:t>
      </w:r>
      <w:r w:rsidRPr="001E3995">
        <w:t xml:space="preserve"> </w:t>
      </w:r>
      <w:r w:rsidRPr="001E3995">
        <w:t>4(e)–(</w:t>
      </w:r>
      <w:proofErr w:type="spellStart"/>
      <w:r w:rsidRPr="001E3995">
        <w:t>i</w:t>
      </w:r>
      <w:proofErr w:type="spellEnd"/>
      <w:r w:rsidRPr="001E3995">
        <w:t>).</w:t>
      </w:r>
      <w:r w:rsidRPr="001E3995">
        <w:t xml:space="preserve"> </w:t>
      </w:r>
      <w:r w:rsidRPr="001E3995">
        <w:t>In an unusual case involving unidentifiable foreign defendants, the court permitted service by e-mail and Internet publication.</w:t>
      </w:r>
      <w:r w:rsidRPr="001E3995">
        <w:t xml:space="preserve"> </w:t>
      </w:r>
      <w:r w:rsidRPr="001E3995">
        <w:t>Microsoft Corp.</w:t>
      </w:r>
      <w:r w:rsidRPr="001E3995">
        <w:t xml:space="preserve"> </w:t>
      </w:r>
      <w:r w:rsidRPr="001E3995">
        <w:t>v.</w:t>
      </w:r>
      <w:r w:rsidRPr="001E3995">
        <w:t xml:space="preserve"> </w:t>
      </w:r>
      <w:r w:rsidRPr="001E3995">
        <w:t>John Does 1–21, 25–35, and 37–39, 2012 U.S.</w:t>
      </w:r>
      <w:r w:rsidRPr="001E3995">
        <w:t xml:space="preserve"> </w:t>
      </w:r>
      <w:r w:rsidRPr="001E3995">
        <w:t>Dist.</w:t>
      </w:r>
      <w:r w:rsidRPr="001E3995">
        <w:t xml:space="preserve"> </w:t>
      </w:r>
      <w:r w:rsidRPr="001E3995">
        <w:t>LEXIS 162122, at *2, 7–8 (E.D.N.Y.</w:t>
      </w:r>
      <w:r w:rsidRPr="001E3995">
        <w:t xml:space="preserve"> </w:t>
      </w:r>
      <w:r w:rsidRPr="001E3995">
        <w:t>Nov.</w:t>
      </w:r>
      <w:r w:rsidRPr="001E3995">
        <w:t xml:space="preserve"> </w:t>
      </w:r>
      <w:r w:rsidRPr="001E3995">
        <w:t>8, 2012).</w:t>
      </w:r>
    </w:p>
  </w:footnote>
  <w:footnote w:id="111">
    <w:p w14:paraId="082ED809" w14:textId="6A14BCF1" w:rsidR="001E3995" w:rsidRDefault="001E3995" w:rsidP="001E3995">
      <w:pPr>
        <w:pStyle w:val="FootnoteText"/>
      </w:pPr>
      <w:r w:rsidRPr="001E3995">
        <w:rPr>
          <w:vertAlign w:val="superscript"/>
        </w:rPr>
        <w:footnoteRef/>
      </w:r>
      <w:r w:rsidRPr="001E3995">
        <w:rPr>
          <w:i/>
        </w:rPr>
        <w:t>See</w:t>
      </w:r>
      <w:r w:rsidRPr="001E3995">
        <w:t xml:space="preserve"> Odyssey Med., Inc.</w:t>
      </w:r>
      <w:r w:rsidRPr="001E3995">
        <w:t xml:space="preserve"> </w:t>
      </w:r>
      <w:r w:rsidRPr="001E3995">
        <w:t>v.</w:t>
      </w:r>
      <w:r w:rsidRPr="001E3995">
        <w:t xml:space="preserve"> </w:t>
      </w:r>
      <w:proofErr w:type="spellStart"/>
      <w:r w:rsidRPr="001E3995">
        <w:t>Augen</w:t>
      </w:r>
      <w:proofErr w:type="spellEnd"/>
      <w:r w:rsidRPr="001E3995">
        <w:t xml:space="preserve"> </w:t>
      </w:r>
      <w:proofErr w:type="spellStart"/>
      <w:r w:rsidRPr="001E3995">
        <w:t>Opticos</w:t>
      </w:r>
      <w:proofErr w:type="spellEnd"/>
      <w:r w:rsidRPr="001E3995">
        <w:t>, S.A.</w:t>
      </w:r>
      <w:r w:rsidRPr="001E3995">
        <w:t xml:space="preserve"> </w:t>
      </w:r>
      <w:r w:rsidRPr="001E3995">
        <w:t>de C.V., 2011 U.S.</w:t>
      </w:r>
      <w:r w:rsidRPr="001E3995">
        <w:t xml:space="preserve"> </w:t>
      </w:r>
      <w:r w:rsidRPr="001E3995">
        <w:t>Dist.</w:t>
      </w:r>
      <w:r w:rsidRPr="001E3995">
        <w:t xml:space="preserve"> </w:t>
      </w:r>
      <w:r w:rsidRPr="001E3995">
        <w:t>LEXIS 110358, at *19 n.2 (W.D.</w:t>
      </w:r>
      <w:r w:rsidRPr="001E3995">
        <w:t xml:space="preserve"> </w:t>
      </w:r>
      <w:r w:rsidRPr="001E3995">
        <w:t>Tenn.</w:t>
      </w:r>
      <w:r w:rsidRPr="001E3995">
        <w:t xml:space="preserve"> </w:t>
      </w:r>
      <w:r w:rsidRPr="001E3995">
        <w:t>Sept.</w:t>
      </w:r>
      <w:r w:rsidRPr="001E3995">
        <w:t xml:space="preserve"> </w:t>
      </w:r>
      <w:r w:rsidRPr="001E3995">
        <w:t>26, 2011).</w:t>
      </w:r>
    </w:p>
  </w:footnote>
  <w:footnote w:id="112">
    <w:p w14:paraId="359FE94C" w14:textId="3F23A706"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4(e)(1), (h)(1)(A);</w:t>
      </w:r>
      <w:r w:rsidRPr="001E3995">
        <w:t xml:space="preserve"> </w:t>
      </w:r>
      <w:r w:rsidRPr="001E3995">
        <w:rPr>
          <w:i/>
        </w:rPr>
        <w:t>see</w:t>
      </w:r>
      <w:r w:rsidRPr="001E3995">
        <w:t xml:space="preserve"> Feline Instincts, LLC v.</w:t>
      </w:r>
      <w:r w:rsidRPr="001E3995">
        <w:t xml:space="preserve"> </w:t>
      </w:r>
      <w:r w:rsidRPr="001E3995">
        <w:t>Feline Future Cat Food Co., 2010 U.S.</w:t>
      </w:r>
      <w:r w:rsidRPr="001E3995">
        <w:t xml:space="preserve"> </w:t>
      </w:r>
      <w:r w:rsidRPr="001E3995">
        <w:t>Dist.</w:t>
      </w:r>
      <w:r w:rsidRPr="001E3995">
        <w:t xml:space="preserve"> </w:t>
      </w:r>
      <w:r w:rsidRPr="001E3995">
        <w:t>LEXIS 128532, at *18–20 (N.D.</w:t>
      </w:r>
      <w:r w:rsidRPr="001E3995">
        <w:t xml:space="preserve"> </w:t>
      </w:r>
      <w:r w:rsidRPr="001E3995">
        <w:t>Tex.</w:t>
      </w:r>
      <w:r w:rsidRPr="001E3995">
        <w:t xml:space="preserve"> </w:t>
      </w:r>
      <w:r w:rsidRPr="001E3995">
        <w:t>Dec.</w:t>
      </w:r>
      <w:r w:rsidRPr="001E3995">
        <w:t xml:space="preserve"> </w:t>
      </w:r>
      <w:r w:rsidRPr="001E3995">
        <w:t>6, 2010).</w:t>
      </w:r>
    </w:p>
  </w:footnote>
  <w:footnote w:id="113">
    <w:p w14:paraId="36DF70A4" w14:textId="27889C0C" w:rsidR="001E3995" w:rsidRDefault="001E3995" w:rsidP="001E3995">
      <w:pPr>
        <w:pStyle w:val="FootnoteText"/>
      </w:pPr>
      <w:r w:rsidRPr="001E3995">
        <w:rPr>
          <w:vertAlign w:val="superscript"/>
        </w:rPr>
        <w:footnoteRef/>
      </w:r>
      <w:r w:rsidRPr="001E3995">
        <w:t>Unlike with copyright and patent claims, federal courts do not have exclusive jurisdiction over federal trademark claims.</w:t>
      </w:r>
      <w:r w:rsidRPr="001E3995">
        <w:t xml:space="preserve"> </w:t>
      </w:r>
      <w:r w:rsidRPr="001E3995">
        <w:rPr>
          <w:i/>
        </w:rPr>
        <w:t>See</w:t>
      </w:r>
      <w:r w:rsidRPr="001E3995">
        <w:t xml:space="preserve"> 28 U.S.C.</w:t>
      </w:r>
      <w:r w:rsidRPr="001E3995">
        <w:t xml:space="preserve"> </w:t>
      </w:r>
      <w:r w:rsidRPr="001E3995">
        <w:t>§1338(a) (granting exclusive jurisdiction to federal courts over copyright and patent claims, but only nonexclusive jurisdiction over trademark claims));</w:t>
      </w:r>
      <w:r w:rsidRPr="001E3995">
        <w:t xml:space="preserve"> </w:t>
      </w:r>
      <w:r w:rsidRPr="001E3995">
        <w:t>15 U.S.C.</w:t>
      </w:r>
      <w:r w:rsidRPr="001E3995">
        <w:t xml:space="preserve"> </w:t>
      </w:r>
      <w:r w:rsidRPr="001E3995">
        <w:t xml:space="preserve">§1121(a) (granting jurisdiction to federal courts over Lanham Act </w:t>
      </w:r>
      <w:proofErr w:type="gramStart"/>
      <w:r w:rsidRPr="001E3995">
        <w:t>claims, but</w:t>
      </w:r>
      <w:proofErr w:type="gramEnd"/>
      <w:r w:rsidRPr="001E3995">
        <w:t xml:space="preserve"> not making it exclusive).</w:t>
      </w:r>
      <w:r w:rsidRPr="001E3995">
        <w:t xml:space="preserve"> </w:t>
      </w:r>
      <w:r w:rsidRPr="001E3995">
        <w:rPr>
          <w:i/>
        </w:rPr>
        <w:t xml:space="preserve">See </w:t>
      </w:r>
      <w:r w:rsidRPr="001E3995">
        <w:t>§I, above.</w:t>
      </w:r>
      <w:r w:rsidRPr="001E3995">
        <w:t xml:space="preserve"> </w:t>
      </w:r>
      <w:r w:rsidRPr="001E3995">
        <w:t>State law dilution claims brought in federal court are subject to federal pleading standards.</w:t>
      </w:r>
      <w:r w:rsidRPr="001E3995">
        <w:t xml:space="preserve"> </w:t>
      </w:r>
      <w:r w:rsidRPr="001E3995">
        <w:rPr>
          <w:i/>
        </w:rPr>
        <w:t>See</w:t>
      </w:r>
      <w:r w:rsidRPr="001E3995">
        <w:t xml:space="preserve"> Veracity Research Co.</w:t>
      </w:r>
      <w:r w:rsidRPr="001E3995">
        <w:t xml:space="preserve"> </w:t>
      </w:r>
      <w:r w:rsidRPr="001E3995">
        <w:t>v.</w:t>
      </w:r>
      <w:r w:rsidRPr="001E3995">
        <w:t xml:space="preserve"> </w:t>
      </w:r>
      <w:r w:rsidRPr="001E3995">
        <w:t>Bateman, 2008 U.S.</w:t>
      </w:r>
      <w:r w:rsidRPr="001E3995">
        <w:t xml:space="preserve"> </w:t>
      </w:r>
      <w:r w:rsidRPr="001E3995">
        <w:t>Dist.</w:t>
      </w:r>
      <w:r w:rsidRPr="001E3995">
        <w:t xml:space="preserve"> </w:t>
      </w:r>
      <w:r w:rsidRPr="001E3995">
        <w:t>LEXIS 58403, at *26–27 (N.D.</w:t>
      </w:r>
      <w:r w:rsidRPr="001E3995">
        <w:t xml:space="preserve"> </w:t>
      </w:r>
      <w:r w:rsidRPr="001E3995">
        <w:t>Tex.</w:t>
      </w:r>
      <w:r w:rsidRPr="001E3995">
        <w:t xml:space="preserve"> </w:t>
      </w:r>
      <w:r w:rsidRPr="001E3995">
        <w:t>Aug.</w:t>
      </w:r>
      <w:r w:rsidRPr="001E3995">
        <w:t xml:space="preserve"> </w:t>
      </w:r>
      <w:r w:rsidRPr="001E3995">
        <w:t>1, 2008) (denying a motion to dismiss dilution claim brought under Texas law);</w:t>
      </w:r>
      <w:r w:rsidRPr="001E3995">
        <w:t xml:space="preserve"> </w:t>
      </w:r>
      <w:r w:rsidRPr="001E3995">
        <w:t>Norm Thompson Outfitters, Inc.</w:t>
      </w:r>
      <w:r w:rsidRPr="001E3995">
        <w:t xml:space="preserve"> </w:t>
      </w:r>
      <w:r w:rsidRPr="001E3995">
        <w:t>v.</w:t>
      </w:r>
      <w:r w:rsidRPr="001E3995">
        <w:t xml:space="preserve"> </w:t>
      </w:r>
      <w:proofErr w:type="spellStart"/>
      <w:r w:rsidRPr="001E3995">
        <w:t>Starcrest</w:t>
      </w:r>
      <w:proofErr w:type="spellEnd"/>
      <w:r w:rsidRPr="001E3995">
        <w:t xml:space="preserve"> Prods.</w:t>
      </w:r>
      <w:r w:rsidRPr="001E3995">
        <w:t xml:space="preserve"> </w:t>
      </w:r>
      <w:r w:rsidRPr="001E3995">
        <w:t>of Cal., Inc., 2004 WL 957774, at *3 (D.</w:t>
      </w:r>
      <w:r w:rsidRPr="001E3995">
        <w:t xml:space="preserve"> </w:t>
      </w:r>
      <w:r w:rsidRPr="001E3995">
        <w:t>Or.</w:t>
      </w:r>
      <w:r w:rsidRPr="001E3995">
        <w:t xml:space="preserve"> </w:t>
      </w:r>
      <w:r w:rsidRPr="001E3995">
        <w:t>2004);</w:t>
      </w:r>
      <w:r w:rsidRPr="001E3995">
        <w:t xml:space="preserve"> </w:t>
      </w:r>
      <w:r w:rsidRPr="001E3995">
        <w:rPr>
          <w:i/>
        </w:rPr>
        <w:t>see also</w:t>
      </w:r>
      <w:r w:rsidRPr="001E3995">
        <w:t xml:space="preserve"> Diabetes </w:t>
      </w:r>
      <w:proofErr w:type="spellStart"/>
      <w:r w:rsidRPr="001E3995">
        <w:t>Ctrs</w:t>
      </w:r>
      <w:proofErr w:type="spellEnd"/>
      <w:r w:rsidRPr="001E3995">
        <w:t>.</w:t>
      </w:r>
      <w:r w:rsidRPr="001E3995">
        <w:t xml:space="preserve"> </w:t>
      </w:r>
      <w:r w:rsidRPr="001E3995">
        <w:t>of Am., Inc.</w:t>
      </w:r>
      <w:r w:rsidRPr="001E3995">
        <w:t xml:space="preserve"> </w:t>
      </w:r>
      <w:r w:rsidRPr="001E3995">
        <w:t>v.</w:t>
      </w:r>
      <w:r w:rsidRPr="001E3995">
        <w:t xml:space="preserve"> </w:t>
      </w:r>
      <w:r w:rsidRPr="001E3995">
        <w:t>Health PIA Am., Inc., 2007 U.S.</w:t>
      </w:r>
      <w:r w:rsidRPr="001E3995">
        <w:t xml:space="preserve"> </w:t>
      </w:r>
      <w:r w:rsidRPr="001E3995">
        <w:t>Dist.</w:t>
      </w:r>
      <w:r w:rsidRPr="001E3995">
        <w:t xml:space="preserve"> </w:t>
      </w:r>
      <w:r w:rsidRPr="001E3995">
        <w:t>LEXIS 31477, at *11–12 (S.D.</w:t>
      </w:r>
      <w:r w:rsidRPr="001E3995">
        <w:t xml:space="preserve"> </w:t>
      </w:r>
      <w:r w:rsidRPr="001E3995">
        <w:t>Tex.</w:t>
      </w:r>
      <w:r w:rsidRPr="001E3995">
        <w:t xml:space="preserve"> </w:t>
      </w:r>
      <w:r w:rsidRPr="001E3995">
        <w:t>Apr.</w:t>
      </w:r>
      <w:r w:rsidRPr="001E3995">
        <w:t xml:space="preserve"> </w:t>
      </w:r>
      <w:r w:rsidRPr="001E3995">
        <w:t>30, 2007).</w:t>
      </w:r>
    </w:p>
  </w:footnote>
  <w:footnote w:id="114">
    <w:p w14:paraId="00E045E2" w14:textId="55357D97" w:rsidR="001E3995" w:rsidRDefault="001E3995" w:rsidP="001E3995">
      <w:pPr>
        <w:pStyle w:val="FootnoteText"/>
      </w:pPr>
      <w:r w:rsidRPr="001E3995">
        <w:rPr>
          <w:vertAlign w:val="superscript"/>
        </w:rPr>
        <w:footnoteRef/>
      </w:r>
      <w:r w:rsidRPr="001E3995">
        <w:t>Fed.</w:t>
      </w:r>
      <w:r w:rsidRPr="001E3995">
        <w:t xml:space="preserve"> </w:t>
      </w:r>
      <w:r w:rsidRPr="001E3995">
        <w:t>R.</w:t>
      </w:r>
      <w:r w:rsidRPr="001E3995">
        <w:t xml:space="preserve"> </w:t>
      </w:r>
      <w:r w:rsidRPr="001E3995">
        <w:t>Civ.</w:t>
      </w:r>
      <w:r w:rsidRPr="001E3995">
        <w:t xml:space="preserve"> </w:t>
      </w:r>
      <w:r w:rsidRPr="001E3995">
        <w:t>P.</w:t>
      </w:r>
      <w:r w:rsidRPr="001E3995">
        <w:t xml:space="preserve"> </w:t>
      </w:r>
      <w:r w:rsidRPr="001E3995">
        <w:t>8.</w:t>
      </w:r>
    </w:p>
  </w:footnote>
  <w:footnote w:id="115">
    <w:p w14:paraId="4E1B6E1F" w14:textId="20BE9225" w:rsidR="001E3995" w:rsidRDefault="001E3995" w:rsidP="001E3995">
      <w:pPr>
        <w:pStyle w:val="FootnoteText"/>
      </w:pPr>
      <w:r w:rsidRPr="001E3995">
        <w:rPr>
          <w:vertAlign w:val="superscript"/>
        </w:rPr>
        <w:footnoteRef/>
      </w:r>
      <w:r w:rsidRPr="001E3995">
        <w:t>Ashcroft v.</w:t>
      </w:r>
      <w:r w:rsidRPr="001E3995">
        <w:t xml:space="preserve"> </w:t>
      </w:r>
      <w:r w:rsidRPr="001E3995">
        <w:t>Iqbal, 556 U.S.</w:t>
      </w:r>
      <w:r w:rsidRPr="001E3995">
        <w:t xml:space="preserve"> </w:t>
      </w:r>
      <w:r w:rsidRPr="001E3995">
        <w:t>662, 677–79 (2009);</w:t>
      </w:r>
      <w:r w:rsidRPr="001E3995">
        <w:t xml:space="preserve"> </w:t>
      </w:r>
      <w:r w:rsidRPr="001E3995">
        <w:t>Bell Atl.</w:t>
      </w:r>
      <w:r w:rsidRPr="001E3995">
        <w:t xml:space="preserve"> </w:t>
      </w:r>
      <w:r w:rsidRPr="001E3995">
        <w:t>Corp.</w:t>
      </w:r>
      <w:r w:rsidRPr="001E3995">
        <w:t xml:space="preserve"> </w:t>
      </w:r>
      <w:r w:rsidRPr="001E3995">
        <w:t>v.</w:t>
      </w:r>
      <w:r w:rsidRPr="001E3995">
        <w:t xml:space="preserve"> </w:t>
      </w:r>
      <w:r w:rsidRPr="001E3995">
        <w:t>Twombly, 550 U.S.</w:t>
      </w:r>
      <w:r w:rsidRPr="001E3995">
        <w:t xml:space="preserve"> </w:t>
      </w:r>
      <w:r w:rsidRPr="001E3995">
        <w:t>544, 557 (2007).</w:t>
      </w:r>
    </w:p>
  </w:footnote>
  <w:footnote w:id="116">
    <w:p w14:paraId="68E444F4" w14:textId="3ED7483C" w:rsidR="001E3995" w:rsidRDefault="001E3995" w:rsidP="001E3995">
      <w:pPr>
        <w:pStyle w:val="FootnoteText"/>
      </w:pPr>
      <w:r w:rsidRPr="001E3995">
        <w:rPr>
          <w:vertAlign w:val="superscript"/>
        </w:rPr>
        <w:footnoteRef/>
      </w:r>
      <w:r w:rsidRPr="001E3995">
        <w:rPr>
          <w:i/>
        </w:rPr>
        <w:t>Iqbal</w:t>
      </w:r>
      <w:r w:rsidRPr="001E3995">
        <w:t>, 556 U.S.</w:t>
      </w:r>
      <w:r w:rsidRPr="001E3995">
        <w:t xml:space="preserve"> </w:t>
      </w:r>
      <w:r w:rsidRPr="001E3995">
        <w:t>at 679.</w:t>
      </w:r>
    </w:p>
  </w:footnote>
  <w:footnote w:id="117">
    <w:p w14:paraId="31923FB1" w14:textId="2D0BBA76" w:rsidR="001E3995" w:rsidRP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 xml:space="preserve">(quoting </w:t>
      </w:r>
      <w:r w:rsidRPr="001E3995">
        <w:rPr>
          <w:i/>
        </w:rPr>
        <w:t>Twombly</w:t>
      </w:r>
      <w:r w:rsidRPr="001E3995">
        <w:t>, 550 U.S.</w:t>
      </w:r>
      <w:r w:rsidRPr="001E3995">
        <w:t xml:space="preserve"> </w:t>
      </w:r>
      <w:r w:rsidRPr="001E3995">
        <w:t>at 555).</w:t>
      </w:r>
    </w:p>
    <w:p w14:paraId="52A23A99" w14:textId="77777777" w:rsidR="001E3995" w:rsidRDefault="001E3995" w:rsidP="002010F9">
      <w:pPr>
        <w:pStyle w:val="footnote"/>
      </w:pPr>
    </w:p>
  </w:footnote>
  <w:footnote w:id="118">
    <w:p w14:paraId="1CFCCA21" w14:textId="6B952CEF" w:rsidR="001E3995" w:rsidRPr="001E3995" w:rsidRDefault="001E3995" w:rsidP="001E3995">
      <w:pPr>
        <w:pStyle w:val="FootnoteText"/>
      </w:pPr>
      <w:r w:rsidRPr="001E3995">
        <w:rPr>
          <w:vertAlign w:val="superscript"/>
        </w:rPr>
        <w:footnoteRef/>
      </w:r>
      <w:r w:rsidRPr="001E3995">
        <w:t>Chrome Hearts, LLC v.</w:t>
      </w:r>
      <w:r w:rsidRPr="001E3995">
        <w:t xml:space="preserve"> </w:t>
      </w:r>
      <w:r w:rsidRPr="001E3995">
        <w:t>Alma Shop, 2009 U.S.</w:t>
      </w:r>
      <w:r w:rsidRPr="001E3995">
        <w:t xml:space="preserve"> </w:t>
      </w:r>
      <w:r w:rsidRPr="001E3995">
        <w:t>Dist.</w:t>
      </w:r>
      <w:r w:rsidRPr="001E3995">
        <w:t xml:space="preserve"> </w:t>
      </w:r>
      <w:r w:rsidRPr="001E3995">
        <w:t>LEXIS 26144, at *8–9 (D.</w:t>
      </w:r>
      <w:r w:rsidRPr="001E3995">
        <w:t xml:space="preserve"> </w:t>
      </w:r>
      <w:r w:rsidRPr="001E3995">
        <w:t>Guam Mar.</w:t>
      </w:r>
      <w:r w:rsidRPr="001E3995">
        <w:t xml:space="preserve"> </w:t>
      </w:r>
      <w:r w:rsidRPr="001E3995">
        <w:t>23, 2009);</w:t>
      </w:r>
      <w:r w:rsidRPr="001E3995">
        <w:t xml:space="preserve"> </w:t>
      </w:r>
      <w:proofErr w:type="spellStart"/>
      <w:r w:rsidRPr="001E3995">
        <w:t>Fieldturf</w:t>
      </w:r>
      <w:proofErr w:type="spellEnd"/>
      <w:r w:rsidRPr="001E3995">
        <w:t>, Inc.</w:t>
      </w:r>
      <w:r w:rsidRPr="001E3995">
        <w:t xml:space="preserve"> </w:t>
      </w:r>
      <w:r w:rsidRPr="001E3995">
        <w:t>v.</w:t>
      </w:r>
      <w:r w:rsidRPr="001E3995">
        <w:t xml:space="preserve"> </w:t>
      </w:r>
      <w:proofErr w:type="spellStart"/>
      <w:r w:rsidRPr="001E3995">
        <w:t>Triexe</w:t>
      </w:r>
      <w:proofErr w:type="spellEnd"/>
      <w:r w:rsidRPr="001E3995">
        <w:t xml:space="preserve"> Mgmt.</w:t>
      </w:r>
      <w:r w:rsidRPr="001E3995">
        <w:t xml:space="preserve"> </w:t>
      </w:r>
      <w:r w:rsidRPr="001E3995">
        <w:t>Grp., Inc., 69 USPQ2d 1861, 1862–63 (N.D.</w:t>
      </w:r>
      <w:r w:rsidRPr="001E3995">
        <w:t xml:space="preserve"> </w:t>
      </w:r>
      <w:r w:rsidRPr="001E3995">
        <w:t>Ill.</w:t>
      </w:r>
      <w:r w:rsidRPr="001E3995">
        <w:t xml:space="preserve"> </w:t>
      </w:r>
      <w:r w:rsidRPr="001E3995">
        <w:t>2003) (allegations of use in commerce);</w:t>
      </w:r>
      <w:r w:rsidRPr="001E3995">
        <w:t xml:space="preserve"> </w:t>
      </w:r>
      <w:r w:rsidRPr="001E3995">
        <w:t>Lucent Techs., Inc.</w:t>
      </w:r>
      <w:r w:rsidRPr="001E3995">
        <w:t xml:space="preserve"> </w:t>
      </w:r>
      <w:r w:rsidRPr="001E3995">
        <w:t>v.</w:t>
      </w:r>
      <w:r w:rsidRPr="001E3995">
        <w:t xml:space="preserve"> </w:t>
      </w:r>
      <w:r w:rsidRPr="001E3995">
        <w:t>Johnson, 56 USPQ2d 1637, 1639 (C.D.</w:t>
      </w:r>
      <w:r w:rsidRPr="001E3995">
        <w:t xml:space="preserve"> </w:t>
      </w:r>
      <w:r w:rsidRPr="001E3995">
        <w:t>Cal.</w:t>
      </w:r>
      <w:r w:rsidRPr="001E3995">
        <w:t xml:space="preserve"> </w:t>
      </w:r>
      <w:r w:rsidRPr="001E3995">
        <w:t>2000);</w:t>
      </w:r>
      <w:r w:rsidRPr="001E3995">
        <w:t xml:space="preserve"> </w:t>
      </w:r>
      <w:r w:rsidRPr="001E3995">
        <w:t>GMA Accessories, Inc.</w:t>
      </w:r>
      <w:r w:rsidRPr="001E3995">
        <w:t xml:space="preserve"> </w:t>
      </w:r>
      <w:r w:rsidRPr="001E3995">
        <w:t>v.</w:t>
      </w:r>
      <w:r w:rsidRPr="001E3995">
        <w:t xml:space="preserve"> </w:t>
      </w:r>
      <w:r w:rsidRPr="001E3995">
        <w:t>Idea Nuova, Inc., 157 F.</w:t>
      </w:r>
      <w:r w:rsidRPr="001E3995">
        <w:t xml:space="preserve"> </w:t>
      </w:r>
      <w:r w:rsidRPr="001E3995">
        <w:t>Supp.</w:t>
      </w:r>
      <w:r w:rsidRPr="001E3995">
        <w:t xml:space="preserve"> </w:t>
      </w:r>
      <w:r w:rsidRPr="001E3995">
        <w:t>2d 234, 240–41 (S.D.N.Y.</w:t>
      </w:r>
      <w:r w:rsidRPr="001E3995">
        <w:t xml:space="preserve"> </w:t>
      </w:r>
      <w:r w:rsidRPr="001E3995">
        <w:t>2000);</w:t>
      </w:r>
      <w:r w:rsidRPr="001E3995">
        <w:t xml:space="preserve"> </w:t>
      </w:r>
      <w:r w:rsidRPr="001E3995">
        <w:t>Cairns v.</w:t>
      </w:r>
      <w:r w:rsidRPr="001E3995">
        <w:t xml:space="preserve"> </w:t>
      </w:r>
      <w:r w:rsidRPr="001E3995">
        <w:t>Franklin Mint Co., 24 F.</w:t>
      </w:r>
      <w:r w:rsidRPr="001E3995">
        <w:t xml:space="preserve"> </w:t>
      </w:r>
      <w:r w:rsidRPr="001E3995">
        <w:t>Supp.</w:t>
      </w:r>
      <w:r w:rsidRPr="001E3995">
        <w:t xml:space="preserve"> </w:t>
      </w:r>
      <w:r w:rsidRPr="001E3995">
        <w:t>2d 1013, 1036, 49 USPQ2d 1396 (C.D.</w:t>
      </w:r>
      <w:r w:rsidRPr="001E3995">
        <w:t xml:space="preserve"> </w:t>
      </w:r>
      <w:r w:rsidRPr="001E3995">
        <w:t>Cal.</w:t>
      </w:r>
      <w:r w:rsidRPr="001E3995">
        <w:t xml:space="preserve"> </w:t>
      </w:r>
      <w:r w:rsidRPr="001E3995">
        <w:t>1998);</w:t>
      </w:r>
      <w:r w:rsidRPr="001E3995">
        <w:t xml:space="preserve"> </w:t>
      </w:r>
      <w:r w:rsidRPr="001E3995">
        <w:rPr>
          <w:i/>
        </w:rPr>
        <w:t xml:space="preserve">see also </w:t>
      </w:r>
      <w:r w:rsidRPr="001E3995">
        <w:t>Reed Elsevier, Inc.</w:t>
      </w:r>
      <w:r w:rsidRPr="001E3995">
        <w:t xml:space="preserve"> </w:t>
      </w:r>
      <w:r w:rsidRPr="001E3995">
        <w:t>v.</w:t>
      </w:r>
      <w:r w:rsidRPr="001E3995">
        <w:t xml:space="preserve"> </w:t>
      </w:r>
      <w:r w:rsidRPr="001E3995">
        <w:t>Thelaw.net Corp., 269 F.</w:t>
      </w:r>
      <w:r w:rsidRPr="001E3995">
        <w:t xml:space="preserve"> </w:t>
      </w:r>
      <w:r w:rsidRPr="001E3995">
        <w:t>Supp.</w:t>
      </w:r>
      <w:r w:rsidRPr="001E3995">
        <w:t xml:space="preserve"> </w:t>
      </w:r>
      <w:r w:rsidRPr="001E3995">
        <w:t>2d 942, 952–53 (S.D.</w:t>
      </w:r>
      <w:r w:rsidRPr="001E3995">
        <w:t xml:space="preserve"> </w:t>
      </w:r>
      <w:r w:rsidRPr="001E3995">
        <w:t>Ohio 2003);</w:t>
      </w:r>
      <w:r w:rsidRPr="001E3995">
        <w:t xml:space="preserve"> </w:t>
      </w:r>
      <w:r w:rsidRPr="001E3995">
        <w:t>Rhee Bros., Inc.</w:t>
      </w:r>
      <w:r w:rsidRPr="001E3995">
        <w:t xml:space="preserve"> </w:t>
      </w:r>
      <w:r w:rsidRPr="001E3995">
        <w:t>v.</w:t>
      </w:r>
      <w:r w:rsidRPr="001E3995">
        <w:t xml:space="preserve"> </w:t>
      </w:r>
      <w:r w:rsidRPr="001E3995">
        <w:t>Han Ah Reum Corp., 178 F.</w:t>
      </w:r>
      <w:r w:rsidRPr="001E3995">
        <w:t xml:space="preserve"> </w:t>
      </w:r>
      <w:r w:rsidRPr="001E3995">
        <w:t>Supp.</w:t>
      </w:r>
      <w:r w:rsidRPr="001E3995">
        <w:t xml:space="preserve"> </w:t>
      </w:r>
      <w:r w:rsidRPr="001E3995">
        <w:t>2d 525, 529–31 (D.</w:t>
      </w:r>
      <w:r w:rsidRPr="001E3995">
        <w:t xml:space="preserve"> </w:t>
      </w:r>
      <w:r w:rsidRPr="001E3995">
        <w:t>Md.</w:t>
      </w:r>
      <w:r w:rsidRPr="001E3995">
        <w:t xml:space="preserve"> </w:t>
      </w:r>
      <w:r w:rsidRPr="001E3995">
        <w:t>2001).</w:t>
      </w:r>
      <w:r w:rsidRPr="001E3995">
        <w:t xml:space="preserve"> </w:t>
      </w:r>
      <w:r w:rsidRPr="001E3995">
        <w:t xml:space="preserve">It should be noted that most of these cases were decided before the </w:t>
      </w:r>
      <w:r w:rsidRPr="001E3995">
        <w:rPr>
          <w:i/>
        </w:rPr>
        <w:t>Iqbal</w:t>
      </w:r>
      <w:r w:rsidRPr="001E3995">
        <w:t xml:space="preserve"> and </w:t>
      </w:r>
      <w:r w:rsidRPr="001E3995">
        <w:rPr>
          <w:i/>
        </w:rPr>
        <w:t>Twombly</w:t>
      </w:r>
      <w:r w:rsidRPr="001E3995">
        <w:t xml:space="preserve"> opinions.</w:t>
      </w:r>
      <w:r w:rsidRPr="001E3995">
        <w:t xml:space="preserve"> </w:t>
      </w:r>
      <w:r w:rsidRPr="001E3995">
        <w:t xml:space="preserve">The </w:t>
      </w:r>
      <w:r w:rsidRPr="001E3995">
        <w:rPr>
          <w:i/>
        </w:rPr>
        <w:t>Chrome Hearts</w:t>
      </w:r>
      <w:r w:rsidRPr="001E3995">
        <w:t xml:space="preserve"> court seems to have overlooked the Supreme Court’s </w:t>
      </w:r>
      <w:r w:rsidRPr="001E3995">
        <w:rPr>
          <w:i/>
        </w:rPr>
        <w:t>Twombly</w:t>
      </w:r>
      <w:r w:rsidRPr="001E3995">
        <w:t xml:space="preserve"> opinion;</w:t>
      </w:r>
      <w:r w:rsidRPr="001E3995">
        <w:t xml:space="preserve"> </w:t>
      </w:r>
      <w:r w:rsidRPr="001E3995">
        <w:t xml:space="preserve">the district court cited language from </w:t>
      </w:r>
      <w:r w:rsidRPr="001E3995">
        <w:rPr>
          <w:rStyle w:val="BCasenamefull"/>
        </w:rPr>
        <w:t>Conley v. Gibson</w:t>
      </w:r>
      <w:r w:rsidRPr="001E3995">
        <w:t>, 355 U.S.</w:t>
      </w:r>
      <w:r w:rsidRPr="001E3995">
        <w:t xml:space="preserve"> </w:t>
      </w:r>
      <w:r w:rsidRPr="001E3995">
        <w:t xml:space="preserve">41 (1957), that was disapproved in </w:t>
      </w:r>
      <w:r w:rsidRPr="001E3995">
        <w:rPr>
          <w:i/>
        </w:rPr>
        <w:t>Twombly</w:t>
      </w:r>
      <w:r w:rsidRPr="001E3995">
        <w:t>.</w:t>
      </w:r>
      <w:r w:rsidRPr="001E3995">
        <w:t xml:space="preserve"> </w:t>
      </w:r>
      <w:r w:rsidRPr="001E3995">
        <w:t xml:space="preserve">In </w:t>
      </w:r>
      <w:proofErr w:type="spellStart"/>
      <w:r w:rsidRPr="001E3995">
        <w:rPr>
          <w:rStyle w:val="BCasenamefull"/>
        </w:rPr>
        <w:t>Portionpac</w:t>
      </w:r>
      <w:proofErr w:type="spellEnd"/>
      <w:r w:rsidRPr="001E3995">
        <w:rPr>
          <w:rStyle w:val="BCasenamefull"/>
        </w:rPr>
        <w:t xml:space="preserve"> Chemical Corp. v. Sanitech Systems, Inc</w:t>
      </w:r>
      <w:r w:rsidRPr="001E3995">
        <w:t>., 210 F.</w:t>
      </w:r>
      <w:r w:rsidRPr="001E3995">
        <w:t xml:space="preserve"> </w:t>
      </w:r>
      <w:r w:rsidRPr="001E3995">
        <w:t>Supp.</w:t>
      </w:r>
      <w:r w:rsidRPr="001E3995">
        <w:t xml:space="preserve"> </w:t>
      </w:r>
      <w:r w:rsidRPr="001E3995">
        <w:t>2d 1302 (M.D.</w:t>
      </w:r>
      <w:r w:rsidRPr="001E3995">
        <w:t xml:space="preserve"> </w:t>
      </w:r>
      <w:r w:rsidRPr="001E3995">
        <w:t>Fla.</w:t>
      </w:r>
      <w:r w:rsidRPr="001E3995">
        <w:t xml:space="preserve"> </w:t>
      </w:r>
      <w:r w:rsidRPr="001E3995">
        <w:t>2002), the court denied a motion to dismiss a complaint, finding the allegations of fame, use after the mark became famous, and dilution to be sufficient.</w:t>
      </w:r>
      <w:r w:rsidRPr="001E3995">
        <w:t xml:space="preserve"> </w:t>
      </w:r>
      <w:r w:rsidRPr="001E3995">
        <w:t>Although the court did not give the details of the pleading, it appears that it did not require extensive factual pleading:</w:t>
      </w:r>
      <w:r w:rsidRPr="001E3995">
        <w:t xml:space="preserve"> </w:t>
      </w:r>
      <w:r w:rsidRPr="001E3995">
        <w:t xml:space="preserve">its opinion noted that the plaintiff “has alleged facts that give rise to the inference that its trade dress and mark are famous.” </w:t>
      </w:r>
      <w:r w:rsidRPr="001E3995">
        <w:rPr>
          <w:i/>
        </w:rPr>
        <w:t>Id</w:t>
      </w:r>
      <w:r w:rsidRPr="001E3995">
        <w:t>.</w:t>
      </w:r>
      <w:r w:rsidRPr="001E3995">
        <w:t xml:space="preserve"> </w:t>
      </w:r>
      <w:r w:rsidRPr="001E3995">
        <w:t>at 1310;</w:t>
      </w:r>
      <w:r w:rsidRPr="001E3995">
        <w:t xml:space="preserve"> </w:t>
      </w:r>
      <w:r w:rsidRPr="001E3995">
        <w:rPr>
          <w:i/>
        </w:rPr>
        <w:t>see</w:t>
      </w:r>
      <w:r w:rsidRPr="001E3995">
        <w:t xml:space="preserve"> ACI Int’l, Inc.</w:t>
      </w:r>
      <w:r w:rsidRPr="001E3995">
        <w:t xml:space="preserve"> </w:t>
      </w:r>
      <w:r w:rsidRPr="001E3995">
        <w:t>v.</w:t>
      </w:r>
      <w:r w:rsidRPr="001E3995">
        <w:t xml:space="preserve"> </w:t>
      </w:r>
      <w:r w:rsidRPr="001E3995">
        <w:t>adidas-Salomon AG, 359 F.</w:t>
      </w:r>
      <w:r w:rsidRPr="001E3995">
        <w:t xml:space="preserve"> </w:t>
      </w:r>
      <w:r w:rsidRPr="001E3995">
        <w:t>Supp.</w:t>
      </w:r>
      <w:r w:rsidRPr="001E3995">
        <w:t xml:space="preserve"> </w:t>
      </w:r>
      <w:r w:rsidRPr="001E3995">
        <w:t>2d 918, 922–23 (C.D.</w:t>
      </w:r>
      <w:r w:rsidRPr="001E3995">
        <w:t xml:space="preserve"> </w:t>
      </w:r>
      <w:r w:rsidRPr="001E3995">
        <w:t>Cal.</w:t>
      </w:r>
      <w:r w:rsidRPr="001E3995">
        <w:t xml:space="preserve"> </w:t>
      </w:r>
      <w:r w:rsidRPr="001E3995">
        <w:t>2005) (refusing to dismiss dilution claim;</w:t>
      </w:r>
      <w:r w:rsidRPr="001E3995">
        <w:t xml:space="preserve"> </w:t>
      </w:r>
      <w:r w:rsidRPr="001E3995">
        <w:t>allegations not clearly spelled out in opinion).</w:t>
      </w:r>
      <w:r w:rsidRPr="001E3995">
        <w:t xml:space="preserve"> </w:t>
      </w:r>
      <w:r w:rsidRPr="001E3995">
        <w:t>However, a complete lack of factual allegations as to the elements of a dilution claim will result in dismissal.</w:t>
      </w:r>
      <w:r w:rsidRPr="001E3995">
        <w:t xml:space="preserve"> </w:t>
      </w:r>
      <w:r w:rsidRPr="001E3995">
        <w:t>Hamzik v.</w:t>
      </w:r>
      <w:r w:rsidRPr="001E3995">
        <w:t xml:space="preserve"> </w:t>
      </w:r>
      <w:r w:rsidRPr="001E3995">
        <w:t>Zale Corp./Del., 2007 U.S.</w:t>
      </w:r>
      <w:r w:rsidRPr="001E3995">
        <w:t xml:space="preserve"> </w:t>
      </w:r>
      <w:r w:rsidRPr="001E3995">
        <w:t>Dist.</w:t>
      </w:r>
      <w:r w:rsidRPr="001E3995">
        <w:t xml:space="preserve"> </w:t>
      </w:r>
      <w:r w:rsidRPr="001E3995">
        <w:t>LEXIS 28981, at *15 (N.D.N.Y.</w:t>
      </w:r>
      <w:r w:rsidRPr="001E3995">
        <w:t xml:space="preserve"> </w:t>
      </w:r>
      <w:r w:rsidRPr="001E3995">
        <w:t>Apr.</w:t>
      </w:r>
      <w:r w:rsidRPr="001E3995">
        <w:t xml:space="preserve"> </w:t>
      </w:r>
      <w:r w:rsidRPr="001E3995">
        <w:t>18, 2007).</w:t>
      </w:r>
    </w:p>
    <w:p w14:paraId="28E3091D" w14:textId="28A4D4B4" w:rsidR="001E3995" w:rsidRDefault="001E3995" w:rsidP="001E3995">
      <w:pPr>
        <w:pStyle w:val="FootnoteText"/>
      </w:pPr>
      <w:r w:rsidRPr="001E3995">
        <w:t>Before the TDRA, when there was a requirement of “actual dilution” under the FTDA, courts often required plaintiffs to plead actual dilution.</w:t>
      </w:r>
      <w:r w:rsidRPr="001E3995">
        <w:t xml:space="preserve"> </w:t>
      </w:r>
      <w:r w:rsidRPr="001E3995">
        <w:rPr>
          <w:i/>
        </w:rPr>
        <w:t>E.g</w:t>
      </w:r>
      <w:r w:rsidRPr="001E3995">
        <w:t>., Davis v.</w:t>
      </w:r>
      <w:r w:rsidRPr="001E3995">
        <w:t xml:space="preserve"> </w:t>
      </w:r>
      <w:r w:rsidRPr="001E3995">
        <w:t>Walt Disney Co., 2004 WL 1895234, at *6 (D.</w:t>
      </w:r>
      <w:r w:rsidRPr="001E3995">
        <w:t xml:space="preserve"> </w:t>
      </w:r>
      <w:r w:rsidRPr="001E3995">
        <w:t>Minn.</w:t>
      </w:r>
      <w:r w:rsidRPr="001E3995">
        <w:t xml:space="preserve"> </w:t>
      </w:r>
      <w:r w:rsidRPr="001E3995">
        <w:t>Aug.</w:t>
      </w:r>
      <w:r w:rsidRPr="001E3995">
        <w:t xml:space="preserve"> </w:t>
      </w:r>
      <w:r w:rsidRPr="001E3995">
        <w:t>23, 2004) (the court imposed this requirement for both FTDA and state claims, where the state law was worded the same as the FTDA).</w:t>
      </w:r>
      <w:r w:rsidRPr="001E3995">
        <w:t xml:space="preserve"> </w:t>
      </w:r>
      <w:r w:rsidRPr="001E3995">
        <w:rPr>
          <w:i/>
        </w:rPr>
        <w:t>Contra</w:t>
      </w:r>
      <w:r w:rsidRPr="001E3995">
        <w:t xml:space="preserve"> </w:t>
      </w:r>
      <w:proofErr w:type="spellStart"/>
      <w:r w:rsidRPr="001E3995">
        <w:t>Verilux</w:t>
      </w:r>
      <w:proofErr w:type="spellEnd"/>
      <w:r w:rsidRPr="001E3995">
        <w:t>, Inc.</w:t>
      </w:r>
      <w:r w:rsidRPr="001E3995">
        <w:t xml:space="preserve"> </w:t>
      </w:r>
      <w:r w:rsidRPr="001E3995">
        <w:t>v.</w:t>
      </w:r>
      <w:r w:rsidRPr="001E3995">
        <w:t xml:space="preserve"> </w:t>
      </w:r>
      <w:r w:rsidRPr="001E3995">
        <w:t>Hahn, 2006 WL 1526015, at *3, 2006 BL 104332 (D.</w:t>
      </w:r>
      <w:r w:rsidRPr="001E3995">
        <w:t xml:space="preserve"> </w:t>
      </w:r>
      <w:r w:rsidRPr="001E3995">
        <w:t>Conn.</w:t>
      </w:r>
      <w:r w:rsidRPr="001E3995">
        <w:t xml:space="preserve"> </w:t>
      </w:r>
      <w:r w:rsidRPr="001E3995">
        <w:t>May 31, 2006) (refusing to dismiss even though no specific allegation of fame or actual dilution was made).</w:t>
      </w:r>
      <w:r w:rsidRPr="001E3995">
        <w:t xml:space="preserve"> </w:t>
      </w:r>
      <w:r w:rsidRPr="001E3995">
        <w:t>However, this requirement was not necessarily onerous.</w:t>
      </w:r>
      <w:r w:rsidRPr="001E3995">
        <w:t xml:space="preserve"> </w:t>
      </w:r>
      <w:r w:rsidRPr="001E3995">
        <w:t>Toyota Jidosha Kabushiki Kaisha v.</w:t>
      </w:r>
      <w:r w:rsidRPr="001E3995">
        <w:t xml:space="preserve"> </w:t>
      </w:r>
      <w:r w:rsidRPr="001E3995">
        <w:t>Natural Health Trends Corp., 74 USPQ2d 1475, 1479 (C.D.</w:t>
      </w:r>
      <w:r w:rsidRPr="001E3995">
        <w:t xml:space="preserve"> </w:t>
      </w:r>
      <w:r w:rsidRPr="001E3995">
        <w:t>Cal.</w:t>
      </w:r>
      <w:r w:rsidRPr="001E3995">
        <w:t xml:space="preserve"> </w:t>
      </w:r>
      <w:r w:rsidRPr="001E3995">
        <w:t>2005) (accepting as sufficient allegations that defendant’s uses of its Lexxus mark “blur and tarnish the distinctive qualities of Plaintiffs’ famous mark Lexus”);</w:t>
      </w:r>
      <w:r w:rsidRPr="001E3995">
        <w:t xml:space="preserve"> </w:t>
      </w:r>
      <w:r w:rsidRPr="001E3995">
        <w:t>Mister Softee, Inc.</w:t>
      </w:r>
      <w:r w:rsidRPr="001E3995">
        <w:t xml:space="preserve"> </w:t>
      </w:r>
      <w:r w:rsidRPr="001E3995">
        <w:t>v.</w:t>
      </w:r>
      <w:r w:rsidRPr="001E3995">
        <w:t xml:space="preserve"> </w:t>
      </w:r>
      <w:proofErr w:type="spellStart"/>
      <w:r w:rsidRPr="001E3995">
        <w:t>Marerro</w:t>
      </w:r>
      <w:proofErr w:type="spellEnd"/>
      <w:r w:rsidRPr="001E3995">
        <w:t>, 2004 WL 2368009 (S.D.N.Y.</w:t>
      </w:r>
      <w:r w:rsidRPr="001E3995">
        <w:t xml:space="preserve"> </w:t>
      </w:r>
      <w:r w:rsidRPr="001E3995">
        <w:t>Oct.</w:t>
      </w:r>
      <w:r w:rsidRPr="001E3995">
        <w:t xml:space="preserve"> </w:t>
      </w:r>
      <w:r w:rsidRPr="001E3995">
        <w:t>21, 2004) (denying motion to dismiss where judge stated that the complaint alleged that the mark “has been diluted”) (magistrate judge opinion).</w:t>
      </w:r>
    </w:p>
  </w:footnote>
  <w:footnote w:id="119">
    <w:p w14:paraId="4537CA0C" w14:textId="43B58E06" w:rsidR="001E3995" w:rsidRDefault="001E3995" w:rsidP="001E3995">
      <w:pPr>
        <w:pStyle w:val="FootnoteText"/>
      </w:pPr>
      <w:r w:rsidRPr="001E3995">
        <w:rPr>
          <w:vertAlign w:val="superscript"/>
        </w:rPr>
        <w:footnoteRef/>
      </w:r>
      <w:r w:rsidRPr="001E3995">
        <w:t>Windsor Indus., Inc.</w:t>
      </w:r>
      <w:r w:rsidRPr="001E3995">
        <w:t xml:space="preserve"> </w:t>
      </w:r>
      <w:r w:rsidRPr="001E3995">
        <w:t>v.</w:t>
      </w:r>
      <w:r w:rsidRPr="001E3995">
        <w:t xml:space="preserve"> </w:t>
      </w:r>
      <w:r w:rsidRPr="001E3995">
        <w:t>Pro-Team, Inc., 87 F.</w:t>
      </w:r>
      <w:r w:rsidRPr="001E3995">
        <w:t xml:space="preserve"> </w:t>
      </w:r>
      <w:r w:rsidRPr="001E3995">
        <w:t>Supp.</w:t>
      </w:r>
      <w:r w:rsidRPr="001E3995">
        <w:t xml:space="preserve"> </w:t>
      </w:r>
      <w:r w:rsidRPr="001E3995">
        <w:t>2d 1129, 1130 (D.</w:t>
      </w:r>
      <w:r w:rsidRPr="001E3995">
        <w:t xml:space="preserve"> </w:t>
      </w:r>
      <w:r w:rsidRPr="001E3995">
        <w:t>Colo.</w:t>
      </w:r>
      <w:r w:rsidRPr="001E3995">
        <w:t xml:space="preserve"> </w:t>
      </w:r>
      <w:r w:rsidRPr="001E3995">
        <w:t>2000) (amendment specifically alleging fame cured “the deficiency in the original pleading”);</w:t>
      </w:r>
      <w:r w:rsidRPr="001E3995">
        <w:t xml:space="preserve"> </w:t>
      </w:r>
      <w:r w:rsidRPr="001E3995">
        <w:t>Felix the Cat Prods.</w:t>
      </w:r>
      <w:r w:rsidRPr="001E3995">
        <w:t xml:space="preserve"> </w:t>
      </w:r>
      <w:r w:rsidRPr="001E3995">
        <w:t>Inc.</w:t>
      </w:r>
      <w:r w:rsidRPr="001E3995">
        <w:t xml:space="preserve"> </w:t>
      </w:r>
      <w:r w:rsidRPr="001E3995">
        <w:t>v.</w:t>
      </w:r>
      <w:r w:rsidRPr="001E3995">
        <w:t xml:space="preserve"> </w:t>
      </w:r>
      <w:r w:rsidRPr="001E3995">
        <w:t>New Line Cinema Corp., 54 USPQ2d 1856, 1859 (C.D.</w:t>
      </w:r>
      <w:r w:rsidRPr="001E3995">
        <w:t xml:space="preserve"> </w:t>
      </w:r>
      <w:r w:rsidRPr="001E3995">
        <w:t>Cal.</w:t>
      </w:r>
      <w:r w:rsidRPr="001E3995">
        <w:t xml:space="preserve"> </w:t>
      </w:r>
      <w:r w:rsidRPr="001E3995">
        <w:t>2000) (dismissing dilution claim under California law because the complaint alleged only that the mark was “distinctive,” when more was needed for dilution protection).</w:t>
      </w:r>
    </w:p>
  </w:footnote>
  <w:footnote w:id="120">
    <w:p w14:paraId="125867E4" w14:textId="5680D80E" w:rsidR="001E3995" w:rsidRPr="001E3995" w:rsidRDefault="001E3995" w:rsidP="001E3995">
      <w:pPr>
        <w:pStyle w:val="FootnoteText"/>
      </w:pPr>
      <w:r w:rsidRPr="001E3995">
        <w:rPr>
          <w:vertAlign w:val="superscript"/>
        </w:rPr>
        <w:footnoteRef/>
      </w:r>
      <w:proofErr w:type="spellStart"/>
      <w:r w:rsidRPr="001E3995">
        <w:rPr>
          <w:i/>
        </w:rPr>
        <w:t>Verilux</w:t>
      </w:r>
      <w:proofErr w:type="spellEnd"/>
      <w:r w:rsidRPr="001E3995">
        <w:t>, 2006 WL 1526015, at *3, 2006 BL 104332;</w:t>
      </w:r>
      <w:r w:rsidRPr="001E3995">
        <w:t xml:space="preserve"> </w:t>
      </w:r>
      <w:r w:rsidRPr="001E3995">
        <w:t>Scholastic, Inc.</w:t>
      </w:r>
      <w:r w:rsidRPr="001E3995">
        <w:t xml:space="preserve"> </w:t>
      </w:r>
      <w:r w:rsidRPr="001E3995">
        <w:t>v.</w:t>
      </w:r>
      <w:r w:rsidRPr="001E3995">
        <w:t xml:space="preserve"> </w:t>
      </w:r>
      <w:r w:rsidRPr="001E3995">
        <w:t>Stouffer, 124 F.</w:t>
      </w:r>
      <w:r w:rsidRPr="001E3995">
        <w:t xml:space="preserve"> </w:t>
      </w:r>
      <w:r w:rsidRPr="001E3995">
        <w:t>Supp.</w:t>
      </w:r>
      <w:r w:rsidRPr="001E3995">
        <w:t xml:space="preserve"> </w:t>
      </w:r>
      <w:r w:rsidRPr="001E3995">
        <w:t>2d 836, 849, 57 USPQ2d 1393 (S.D.N.Y.</w:t>
      </w:r>
      <w:r w:rsidRPr="001E3995">
        <w:t xml:space="preserve"> </w:t>
      </w:r>
      <w:r w:rsidRPr="001E3995">
        <w:t>2000) (allegations of distinctiveness and secondary meaning apparently sufficient);</w:t>
      </w:r>
      <w:r w:rsidRPr="001E3995">
        <w:t xml:space="preserve"> </w:t>
      </w:r>
      <w:r w:rsidRPr="001E3995">
        <w:t>Films of Distinction, Inc.</w:t>
      </w:r>
      <w:r w:rsidRPr="001E3995">
        <w:t xml:space="preserve"> </w:t>
      </w:r>
      <w:r w:rsidRPr="001E3995">
        <w:t>v.</w:t>
      </w:r>
      <w:r w:rsidRPr="001E3995">
        <w:t xml:space="preserve"> </w:t>
      </w:r>
      <w:r w:rsidRPr="001E3995">
        <w:t>Allegro Film Prods., Inc., 12 F.</w:t>
      </w:r>
      <w:r w:rsidRPr="001E3995">
        <w:t xml:space="preserve"> </w:t>
      </w:r>
      <w:r w:rsidRPr="001E3995">
        <w:t>Supp.</w:t>
      </w:r>
      <w:r w:rsidRPr="001E3995">
        <w:t xml:space="preserve"> </w:t>
      </w:r>
      <w:r w:rsidRPr="001E3995">
        <w:t>2d 1068, 1079 (C.D.</w:t>
      </w:r>
      <w:r w:rsidRPr="001E3995">
        <w:t xml:space="preserve"> </w:t>
      </w:r>
      <w:r w:rsidRPr="001E3995">
        <w:t>Cal.</w:t>
      </w:r>
      <w:r w:rsidRPr="001E3995">
        <w:t xml:space="preserve"> </w:t>
      </w:r>
      <w:r w:rsidRPr="001E3995">
        <w:t>1998).</w:t>
      </w:r>
    </w:p>
    <w:p w14:paraId="64965358" w14:textId="77777777" w:rsidR="001E3995" w:rsidRDefault="001E3995" w:rsidP="002010F9">
      <w:pPr>
        <w:pStyle w:val="footnote"/>
      </w:pPr>
    </w:p>
  </w:footnote>
  <w:footnote w:id="121">
    <w:p w14:paraId="1DAD023F" w14:textId="454DB00A" w:rsidR="001E3995" w:rsidRDefault="001E3995" w:rsidP="001E3995">
      <w:pPr>
        <w:pStyle w:val="FootnoteText"/>
      </w:pPr>
      <w:r w:rsidRPr="001E3995">
        <w:rPr>
          <w:vertAlign w:val="superscript"/>
        </w:rPr>
        <w:footnoteRef/>
      </w:r>
      <w:r w:rsidRPr="001E3995">
        <w:t>Christopher D.</w:t>
      </w:r>
      <w:r w:rsidRPr="001E3995">
        <w:t xml:space="preserve"> </w:t>
      </w:r>
      <w:r w:rsidRPr="001E3995">
        <w:t>Smithers Found., Inc.</w:t>
      </w:r>
      <w:r w:rsidRPr="001E3995">
        <w:t xml:space="preserve"> </w:t>
      </w:r>
      <w:r w:rsidRPr="001E3995">
        <w:t>v.</w:t>
      </w:r>
      <w:r w:rsidRPr="001E3995">
        <w:t xml:space="preserve"> </w:t>
      </w:r>
      <w:r w:rsidRPr="001E3995">
        <w:t>St.</w:t>
      </w:r>
      <w:r w:rsidRPr="001E3995">
        <w:t xml:space="preserve"> </w:t>
      </w:r>
      <w:r w:rsidRPr="001E3995">
        <w:t>Luke’s-Roosevelt Hosp.</w:t>
      </w:r>
      <w:r w:rsidRPr="001E3995">
        <w:t xml:space="preserve"> </w:t>
      </w:r>
      <w:r w:rsidRPr="001E3995">
        <w:t>Ctr., 2001 WL 761076, at *5–6 (S.D.N.Y.</w:t>
      </w:r>
      <w:r w:rsidRPr="001E3995">
        <w:t xml:space="preserve"> </w:t>
      </w:r>
      <w:r w:rsidRPr="001E3995">
        <w:t>July 6, 2001).</w:t>
      </w:r>
      <w:r w:rsidRPr="001E3995">
        <w:t xml:space="preserve"> </w:t>
      </w:r>
      <w:r w:rsidRPr="001E3995">
        <w:t>The plaintiff later cured this omission, apparently with a general allegation of ownership.</w:t>
      </w:r>
      <w:r w:rsidRPr="001E3995">
        <w:t xml:space="preserve"> </w:t>
      </w:r>
      <w:r w:rsidRPr="001E3995">
        <w:t>2003 WL 115234, at *1 (S.D.N.Y.</w:t>
      </w:r>
      <w:r w:rsidRPr="001E3995">
        <w:t xml:space="preserve"> </w:t>
      </w:r>
      <w:r w:rsidRPr="001E3995">
        <w:t>Jan.</w:t>
      </w:r>
      <w:r w:rsidRPr="001E3995">
        <w:t xml:space="preserve"> </w:t>
      </w:r>
      <w:r w:rsidRPr="001E3995">
        <w:t>13, 2003).</w:t>
      </w:r>
    </w:p>
  </w:footnote>
  <w:footnote w:id="122">
    <w:p w14:paraId="4AD9113E" w14:textId="3D11C8E2" w:rsidR="001E3995" w:rsidRDefault="001E3995" w:rsidP="001E3995">
      <w:pPr>
        <w:pStyle w:val="FootnoteText"/>
      </w:pPr>
      <w:r w:rsidRPr="001E3995">
        <w:rPr>
          <w:vertAlign w:val="superscript"/>
        </w:rPr>
        <w:footnoteRef/>
      </w:r>
      <w:r w:rsidRPr="001E3995">
        <w:t>Vision Ctr.</w:t>
      </w:r>
      <w:r w:rsidRPr="001E3995">
        <w:t xml:space="preserve"> </w:t>
      </w:r>
      <w:r w:rsidRPr="001E3995">
        <w:t>Nw., Inc.</w:t>
      </w:r>
      <w:r w:rsidRPr="001E3995">
        <w:t xml:space="preserve"> </w:t>
      </w:r>
      <w:r w:rsidRPr="001E3995">
        <w:t>v.</w:t>
      </w:r>
      <w:r w:rsidRPr="001E3995">
        <w:t xml:space="preserve"> </w:t>
      </w:r>
      <w:r w:rsidRPr="001E3995">
        <w:t>Vision Value, LLC, 2007 U.S.</w:t>
      </w:r>
      <w:r w:rsidRPr="001E3995">
        <w:t xml:space="preserve"> </w:t>
      </w:r>
      <w:r w:rsidRPr="001E3995">
        <w:t>Dist.</w:t>
      </w:r>
      <w:r w:rsidRPr="001E3995">
        <w:t xml:space="preserve"> </w:t>
      </w:r>
      <w:r w:rsidRPr="001E3995">
        <w:t>LEXIS 52870, at *4–6 (N.D.</w:t>
      </w:r>
      <w:r w:rsidRPr="001E3995">
        <w:t xml:space="preserve"> </w:t>
      </w:r>
      <w:r w:rsidRPr="001E3995">
        <w:t>Ind.</w:t>
      </w:r>
      <w:r w:rsidRPr="001E3995">
        <w:t xml:space="preserve"> </w:t>
      </w:r>
      <w:r w:rsidRPr="001E3995">
        <w:t>July 20, 2007).</w:t>
      </w:r>
    </w:p>
  </w:footnote>
  <w:footnote w:id="123">
    <w:p w14:paraId="4261267C" w14:textId="27ED62AF" w:rsidR="001E3995" w:rsidRDefault="001E3995" w:rsidP="001E3995">
      <w:pPr>
        <w:pStyle w:val="FootnoteText"/>
      </w:pPr>
      <w:r w:rsidRPr="001E3995">
        <w:rPr>
          <w:vertAlign w:val="superscript"/>
        </w:rPr>
        <w:footnoteRef/>
      </w:r>
      <w:r w:rsidRPr="001E3995">
        <w:rPr>
          <w:i/>
        </w:rPr>
        <w:t>E.g.</w:t>
      </w:r>
      <w:r w:rsidRPr="001E3995">
        <w:t xml:space="preserve">, </w:t>
      </w:r>
      <w:proofErr w:type="spellStart"/>
      <w:r w:rsidRPr="001E3995">
        <w:t>Technomarine</w:t>
      </w:r>
      <w:proofErr w:type="spellEnd"/>
      <w:r w:rsidRPr="001E3995">
        <w:t>, SA v.</w:t>
      </w:r>
      <w:r w:rsidRPr="001E3995">
        <w:t xml:space="preserve"> </w:t>
      </w:r>
      <w:r w:rsidRPr="001E3995">
        <w:t>Jacob Time, Inc., 2012 U.S.</w:t>
      </w:r>
      <w:r w:rsidRPr="001E3995">
        <w:t xml:space="preserve"> </w:t>
      </w:r>
      <w:r w:rsidRPr="001E3995">
        <w:t>Dist.</w:t>
      </w:r>
      <w:r w:rsidRPr="001E3995">
        <w:t xml:space="preserve"> </w:t>
      </w:r>
      <w:r w:rsidRPr="001E3995">
        <w:t>LEXIS 90261, at *12–13 (S.D.N.Y.</w:t>
      </w:r>
      <w:r w:rsidRPr="001E3995">
        <w:t xml:space="preserve"> </w:t>
      </w:r>
      <w:r w:rsidRPr="001E3995">
        <w:t>June 22, 2012) (conclusory allegations of fame and dilution insufficient).</w:t>
      </w:r>
    </w:p>
  </w:footnote>
  <w:footnote w:id="124">
    <w:p w14:paraId="4517243B" w14:textId="32AB21C5" w:rsidR="001E3995" w:rsidRPr="001E3995" w:rsidRDefault="001E3995" w:rsidP="001E3995">
      <w:pPr>
        <w:pStyle w:val="FootnoteText"/>
        <w:rPr>
          <w:b/>
        </w:rPr>
      </w:pPr>
      <w:r w:rsidRPr="001E3995">
        <w:rPr>
          <w:vertAlign w:val="superscript"/>
        </w:rPr>
        <w:footnoteRef/>
      </w:r>
      <w:r w:rsidRPr="001E3995">
        <w:t>Ashcroft v.</w:t>
      </w:r>
      <w:r w:rsidRPr="001E3995">
        <w:t xml:space="preserve"> </w:t>
      </w:r>
      <w:r w:rsidRPr="001E3995">
        <w:t>Iqbal, 556 U.S.</w:t>
      </w:r>
      <w:r w:rsidRPr="001E3995">
        <w:t xml:space="preserve"> </w:t>
      </w:r>
      <w:r w:rsidRPr="001E3995">
        <w:t>662, 678-79 (2009).</w:t>
      </w:r>
    </w:p>
    <w:p w14:paraId="4B8C5847" w14:textId="3176EC42" w:rsidR="001E3995" w:rsidRDefault="001E3995" w:rsidP="001E3995">
      <w:pPr>
        <w:pStyle w:val="FootnoteText"/>
      </w:pPr>
    </w:p>
  </w:footnote>
  <w:footnote w:id="125">
    <w:p w14:paraId="78A3BC7E" w14:textId="4D4C8E34" w:rsidR="001E3995" w:rsidRDefault="001E3995" w:rsidP="001E3995">
      <w:pPr>
        <w:pStyle w:val="FootnoteText"/>
      </w:pPr>
      <w:r w:rsidRPr="001E3995">
        <w:rPr>
          <w:vertAlign w:val="superscript"/>
        </w:rPr>
        <w:footnoteRef/>
      </w:r>
      <w:r w:rsidRPr="001E3995">
        <w:t>Rearden, LLC v.</w:t>
      </w:r>
      <w:r w:rsidRPr="001E3995">
        <w:t xml:space="preserve"> </w:t>
      </w:r>
      <w:r w:rsidRPr="001E3995">
        <w:t>Rearden Commerce, Inc., 2007 WL 22200921, at *3 (N.D.</w:t>
      </w:r>
      <w:r w:rsidRPr="001E3995">
        <w:t xml:space="preserve"> </w:t>
      </w:r>
      <w:r w:rsidRPr="001E3995">
        <w:t>Cal.</w:t>
      </w:r>
      <w:r w:rsidRPr="001E3995">
        <w:t xml:space="preserve"> </w:t>
      </w:r>
      <w:r w:rsidRPr="001E3995">
        <w:t>Aug.</w:t>
      </w:r>
      <w:r w:rsidRPr="001E3995">
        <w:t xml:space="preserve"> </w:t>
      </w:r>
      <w:r w:rsidRPr="001E3995">
        <w:t>1, 2007).</w:t>
      </w:r>
      <w:r w:rsidRPr="001E3995">
        <w:t xml:space="preserve"> </w:t>
      </w:r>
      <w:r w:rsidRPr="001E3995">
        <w:t>Although arguably the then-existing California statute permitted marks famous in a niche market to claim dilution protection, the TDRA clearly does not.</w:t>
      </w:r>
      <w:r w:rsidRPr="001E3995">
        <w:t xml:space="preserve"> </w:t>
      </w:r>
      <w:r w:rsidRPr="001E3995">
        <w:t>(California has amended its statute and appears not to permit niche product fame to be sufficient.)</w:t>
      </w:r>
    </w:p>
  </w:footnote>
  <w:footnote w:id="126">
    <w:p w14:paraId="7B7DFA83" w14:textId="433C7954" w:rsidR="001E3995" w:rsidRDefault="001E3995" w:rsidP="001E3995">
      <w:pPr>
        <w:pStyle w:val="FootnoteText"/>
      </w:pPr>
      <w:r w:rsidRPr="001E3995">
        <w:rPr>
          <w:vertAlign w:val="superscript"/>
        </w:rPr>
        <w:footnoteRef/>
      </w:r>
      <w:r w:rsidRPr="001E3995">
        <w:t>Full Sail, Inc.</w:t>
      </w:r>
      <w:r w:rsidRPr="001E3995">
        <w:t xml:space="preserve"> </w:t>
      </w:r>
      <w:r w:rsidRPr="001E3995">
        <w:t>v.</w:t>
      </w:r>
      <w:r w:rsidRPr="001E3995">
        <w:t xml:space="preserve"> </w:t>
      </w:r>
      <w:proofErr w:type="spellStart"/>
      <w:r w:rsidRPr="001E3995">
        <w:t>Dauben</w:t>
      </w:r>
      <w:proofErr w:type="spellEnd"/>
      <w:r w:rsidRPr="001E3995">
        <w:t>, Inc., 2008 U.S.</w:t>
      </w:r>
      <w:r w:rsidRPr="001E3995">
        <w:t xml:space="preserve"> </w:t>
      </w:r>
      <w:r w:rsidRPr="001E3995">
        <w:t>Dist.</w:t>
      </w:r>
      <w:r w:rsidRPr="001E3995">
        <w:t xml:space="preserve"> </w:t>
      </w:r>
      <w:r w:rsidRPr="001E3995">
        <w:t>LEXIS 47278, at *11–12 (N.D.</w:t>
      </w:r>
      <w:r w:rsidRPr="001E3995">
        <w:t xml:space="preserve"> </w:t>
      </w:r>
      <w:r w:rsidRPr="001E3995">
        <w:t>Tex.</w:t>
      </w:r>
      <w:r w:rsidRPr="001E3995">
        <w:t xml:space="preserve"> </w:t>
      </w:r>
      <w:r w:rsidRPr="001E3995">
        <w:t>June 17, 2008).</w:t>
      </w:r>
    </w:p>
  </w:footnote>
  <w:footnote w:id="127">
    <w:p w14:paraId="32D1DC16" w14:textId="58EFA5FF" w:rsidR="001E3995" w:rsidRDefault="001E3995" w:rsidP="001E3995">
      <w:pPr>
        <w:pStyle w:val="FootnoteText"/>
      </w:pPr>
      <w:r w:rsidRPr="001E3995">
        <w:rPr>
          <w:vertAlign w:val="superscript"/>
        </w:rPr>
        <w:footnoteRef/>
      </w:r>
      <w:r w:rsidRPr="001E3995">
        <w:t>Eyal R.D.</w:t>
      </w:r>
      <w:r w:rsidRPr="001E3995">
        <w:t xml:space="preserve"> </w:t>
      </w:r>
      <w:r w:rsidRPr="001E3995">
        <w:t>Corp.</w:t>
      </w:r>
      <w:r w:rsidRPr="001E3995">
        <w:t xml:space="preserve"> </w:t>
      </w:r>
      <w:r w:rsidRPr="001E3995">
        <w:t>v.</w:t>
      </w:r>
      <w:r w:rsidRPr="001E3995">
        <w:t xml:space="preserve"> </w:t>
      </w:r>
      <w:proofErr w:type="spellStart"/>
      <w:r w:rsidRPr="001E3995">
        <w:t>Jewelex</w:t>
      </w:r>
      <w:proofErr w:type="spellEnd"/>
      <w:r w:rsidRPr="001E3995">
        <w:t xml:space="preserve"> N.Y.</w:t>
      </w:r>
      <w:r w:rsidRPr="001E3995">
        <w:t xml:space="preserve"> </w:t>
      </w:r>
      <w:r w:rsidRPr="001E3995">
        <w:t>Ltd., 784 F.</w:t>
      </w:r>
      <w:r w:rsidRPr="001E3995">
        <w:t xml:space="preserve"> </w:t>
      </w:r>
      <w:r w:rsidRPr="001E3995">
        <w:t>Supp.</w:t>
      </w:r>
      <w:r w:rsidRPr="001E3995">
        <w:t xml:space="preserve"> </w:t>
      </w:r>
      <w:r w:rsidRPr="001E3995">
        <w:t>2d 441, 449 (S.D.N.Y.</w:t>
      </w:r>
      <w:r w:rsidRPr="001E3995">
        <w:t xml:space="preserve"> </w:t>
      </w:r>
      <w:r w:rsidRPr="001E3995">
        <w:t>2011) (dismissing dilution claim under New York law).</w:t>
      </w:r>
      <w:r w:rsidRPr="001E3995">
        <w:t xml:space="preserve"> </w:t>
      </w:r>
      <w:r w:rsidRPr="001E3995">
        <w:rPr>
          <w:i/>
        </w:rPr>
        <w:t>Accord</w:t>
      </w:r>
      <w:r w:rsidRPr="001E3995">
        <w:t xml:space="preserve"> Adobe Sys.</w:t>
      </w:r>
      <w:r w:rsidRPr="001E3995">
        <w:t xml:space="preserve"> </w:t>
      </w:r>
      <w:r w:rsidRPr="001E3995">
        <w:t>Inc.</w:t>
      </w:r>
      <w:r w:rsidRPr="001E3995">
        <w:t xml:space="preserve"> </w:t>
      </w:r>
      <w:r w:rsidRPr="001E3995">
        <w:t>v.</w:t>
      </w:r>
      <w:r w:rsidRPr="001E3995">
        <w:t xml:space="preserve"> </w:t>
      </w:r>
      <w:r w:rsidRPr="001E3995">
        <w:t>A &amp; S Elecs., Inc., 2015 WL 13022288, at *6 (N.D.</w:t>
      </w:r>
      <w:r w:rsidRPr="001E3995">
        <w:t xml:space="preserve"> </w:t>
      </w:r>
      <w:r w:rsidRPr="001E3995">
        <w:t>Cal.</w:t>
      </w:r>
      <w:r w:rsidRPr="001E3995">
        <w:t xml:space="preserve"> </w:t>
      </w:r>
      <w:r w:rsidRPr="001E3995">
        <w:t>Aug.</w:t>
      </w:r>
      <w:r w:rsidRPr="001E3995">
        <w:t xml:space="preserve"> </w:t>
      </w:r>
      <w:r w:rsidRPr="001E3995">
        <w:t>19, 2015) (“fact-barren allegation” of dilution dismissed);</w:t>
      </w:r>
      <w:r w:rsidRPr="001E3995">
        <w:t xml:space="preserve"> </w:t>
      </w:r>
      <w:r w:rsidRPr="001E3995">
        <w:t>Eclipse Grp.</w:t>
      </w:r>
      <w:r w:rsidRPr="001E3995">
        <w:t xml:space="preserve"> </w:t>
      </w:r>
      <w:r w:rsidRPr="001E3995">
        <w:t>LLP v.</w:t>
      </w:r>
      <w:r w:rsidRPr="001E3995">
        <w:t xml:space="preserve"> </w:t>
      </w:r>
      <w:r w:rsidRPr="001E3995">
        <w:t>Eclipse IP, LLC, 2014 U.S.</w:t>
      </w:r>
      <w:r w:rsidRPr="001E3995">
        <w:t xml:space="preserve"> </w:t>
      </w:r>
      <w:r w:rsidRPr="001E3995">
        <w:t>Dist.</w:t>
      </w:r>
      <w:r w:rsidRPr="001E3995">
        <w:t xml:space="preserve"> </w:t>
      </w:r>
      <w:r w:rsidRPr="001E3995">
        <w:t>LEXIS 77475, at *10 (S.D.</w:t>
      </w:r>
      <w:r w:rsidRPr="001E3995">
        <w:t xml:space="preserve"> </w:t>
      </w:r>
      <w:r w:rsidRPr="001E3995">
        <w:t>Cal.</w:t>
      </w:r>
      <w:r w:rsidRPr="001E3995">
        <w:t xml:space="preserve"> </w:t>
      </w:r>
      <w:r w:rsidRPr="001E3995">
        <w:t>June 3, 2014) (“conclusory” allegations insufficient);</w:t>
      </w:r>
      <w:r w:rsidRPr="001E3995">
        <w:t xml:space="preserve"> </w:t>
      </w:r>
      <w:r w:rsidRPr="001E3995">
        <w:t>Boarding Sch.</w:t>
      </w:r>
      <w:r w:rsidRPr="001E3995">
        <w:t xml:space="preserve"> </w:t>
      </w:r>
      <w:r w:rsidRPr="001E3995">
        <w:t>Review, LLC v.</w:t>
      </w:r>
      <w:r w:rsidRPr="001E3995">
        <w:t xml:space="preserve"> </w:t>
      </w:r>
      <w:r w:rsidRPr="001E3995">
        <w:t>Delta Career Educ.</w:t>
      </w:r>
      <w:r w:rsidRPr="001E3995">
        <w:t xml:space="preserve"> </w:t>
      </w:r>
      <w:r w:rsidRPr="001E3995">
        <w:t>Corp., 108 USPQ2d 1785, 1792 (S.D.N.Y.</w:t>
      </w:r>
      <w:r w:rsidRPr="001E3995">
        <w:t xml:space="preserve"> </w:t>
      </w:r>
      <w:r w:rsidRPr="001E3995">
        <w:t>2013) (“Defendants’ general allegations that their Marks have ‘fostered wide renown [sic] with the trade and public’ and have ‘great value and secondary meaning among the consuming public’ (see Counterclaims ¶¶ 22, 28, 32) are labels and conclusions not entitled to a presumption of truth”).</w:t>
      </w:r>
    </w:p>
  </w:footnote>
  <w:footnote w:id="128">
    <w:p w14:paraId="2975981D" w14:textId="6BE603EC" w:rsidR="001E3995" w:rsidRDefault="001E3995" w:rsidP="001E3995">
      <w:pPr>
        <w:pStyle w:val="FootnoteText"/>
      </w:pPr>
      <w:r w:rsidRPr="001E3995">
        <w:rPr>
          <w:vertAlign w:val="superscript"/>
        </w:rPr>
        <w:footnoteRef/>
      </w:r>
      <w:r w:rsidRPr="001E3995">
        <w:t>Federal Express Corp.</w:t>
      </w:r>
      <w:r w:rsidRPr="001E3995">
        <w:t xml:space="preserve"> </w:t>
      </w:r>
      <w:r w:rsidRPr="001E3995">
        <w:t>v.</w:t>
      </w:r>
      <w:r w:rsidRPr="001E3995">
        <w:t xml:space="preserve"> </w:t>
      </w:r>
      <w:proofErr w:type="spellStart"/>
      <w:r w:rsidRPr="001E3995">
        <w:t>JetEx</w:t>
      </w:r>
      <w:proofErr w:type="spellEnd"/>
      <w:r w:rsidRPr="001E3995">
        <w:t xml:space="preserve"> Air Express, Inc., 2017 U.S.</w:t>
      </w:r>
      <w:r w:rsidRPr="001E3995">
        <w:t xml:space="preserve"> </w:t>
      </w:r>
      <w:r w:rsidRPr="001E3995">
        <w:t>Dist.</w:t>
      </w:r>
      <w:r w:rsidRPr="001E3995">
        <w:t xml:space="preserve"> </w:t>
      </w:r>
      <w:r w:rsidRPr="001E3995">
        <w:t>LEXIS 11704, at *9–11 (E.D.N.Y.</w:t>
      </w:r>
      <w:r w:rsidRPr="001E3995">
        <w:t xml:space="preserve"> </w:t>
      </w:r>
      <w:r w:rsidRPr="001E3995">
        <w:t>Jan.</w:t>
      </w:r>
      <w:r w:rsidRPr="001E3995">
        <w:t xml:space="preserve"> </w:t>
      </w:r>
      <w:r w:rsidRPr="001E3995">
        <w:t>26, 2017);</w:t>
      </w:r>
      <w:r w:rsidRPr="001E3995">
        <w:t xml:space="preserve"> </w:t>
      </w:r>
      <w:r w:rsidRPr="001E3995">
        <w:t>George Nelson Found.</w:t>
      </w:r>
      <w:r w:rsidRPr="001E3995">
        <w:t xml:space="preserve"> </w:t>
      </w:r>
      <w:r w:rsidRPr="001E3995">
        <w:t>v.</w:t>
      </w:r>
      <w:r w:rsidRPr="001E3995">
        <w:t xml:space="preserve"> </w:t>
      </w:r>
      <w:proofErr w:type="spellStart"/>
      <w:r w:rsidRPr="001E3995">
        <w:t>Modernica</w:t>
      </w:r>
      <w:proofErr w:type="spellEnd"/>
      <w:r w:rsidRPr="001E3995">
        <w:t>, Inc., 12 F.</w:t>
      </w:r>
      <w:r w:rsidRPr="001E3995">
        <w:t xml:space="preserve"> </w:t>
      </w:r>
      <w:r w:rsidRPr="001E3995">
        <w:t>Supp.</w:t>
      </w:r>
      <w:r w:rsidRPr="001E3995">
        <w:t xml:space="preserve"> </w:t>
      </w:r>
      <w:r w:rsidRPr="001E3995">
        <w:t>3d 635, 647–51 (S.D.N.Y.</w:t>
      </w:r>
      <w:r w:rsidRPr="001E3995">
        <w:t xml:space="preserve"> </w:t>
      </w:r>
      <w:r w:rsidRPr="001E3995">
        <w:t>2014);</w:t>
      </w:r>
      <w:r w:rsidRPr="001E3995">
        <w:t xml:space="preserve"> </w:t>
      </w:r>
      <w:r w:rsidRPr="001E3995">
        <w:t>Intel Corp.</w:t>
      </w:r>
      <w:r w:rsidRPr="001E3995">
        <w:t xml:space="preserve"> </w:t>
      </w:r>
      <w:r w:rsidRPr="001E3995">
        <w:t>v.</w:t>
      </w:r>
      <w:r w:rsidRPr="001E3995">
        <w:t xml:space="preserve"> </w:t>
      </w:r>
      <w:r w:rsidRPr="001E3995">
        <w:t>Americas News Intel Publ’g, LLC, 97 USPQ2d 1134, 1139 (N.D.</w:t>
      </w:r>
      <w:r w:rsidRPr="001E3995">
        <w:t xml:space="preserve"> </w:t>
      </w:r>
      <w:r w:rsidRPr="001E3995">
        <w:t>Cal.</w:t>
      </w:r>
      <w:r w:rsidRPr="001E3995">
        <w:t xml:space="preserve"> </w:t>
      </w:r>
      <w:r w:rsidRPr="001E3995">
        <w:t>2010);</w:t>
      </w:r>
      <w:r w:rsidRPr="001E3995">
        <w:t xml:space="preserve"> </w:t>
      </w:r>
      <w:r w:rsidRPr="001E3995">
        <w:rPr>
          <w:i/>
        </w:rPr>
        <w:t xml:space="preserve">see </w:t>
      </w:r>
      <w:r w:rsidRPr="001E3995">
        <w:t>A.C.T.</w:t>
      </w:r>
      <w:r w:rsidRPr="001E3995">
        <w:t xml:space="preserve"> </w:t>
      </w:r>
      <w:r w:rsidRPr="001E3995">
        <w:t>898 Prods., Inc.</w:t>
      </w:r>
      <w:r w:rsidRPr="001E3995">
        <w:t xml:space="preserve"> </w:t>
      </w:r>
      <w:r w:rsidRPr="001E3995">
        <w:t>v.</w:t>
      </w:r>
      <w:r w:rsidRPr="001E3995">
        <w:t xml:space="preserve"> </w:t>
      </w:r>
      <w:r w:rsidRPr="001E3995">
        <w:t>Door to Door Nail Supply, 2015 WL 12791424, at *4 (C.D.</w:t>
      </w:r>
      <w:r w:rsidRPr="001E3995">
        <w:t xml:space="preserve"> </w:t>
      </w:r>
      <w:r w:rsidRPr="001E3995">
        <w:t>Cal.</w:t>
      </w:r>
      <w:r w:rsidRPr="001E3995">
        <w:t xml:space="preserve"> </w:t>
      </w:r>
      <w:r w:rsidRPr="001E3995">
        <w:t>Nov.</w:t>
      </w:r>
      <w:r w:rsidRPr="001E3995">
        <w:t xml:space="preserve"> </w:t>
      </w:r>
      <w:r w:rsidRPr="001E3995">
        <w:t>13, 2015) (upholding allegations that ACT was famous for nail art brushes and had been diluted);</w:t>
      </w:r>
      <w:r w:rsidRPr="001E3995">
        <w:t xml:space="preserve"> </w:t>
      </w:r>
      <w:r w:rsidRPr="001E3995">
        <w:t>Romeo &amp; Juliet Laser Hair Removal, Inc.</w:t>
      </w:r>
      <w:r w:rsidRPr="001E3995">
        <w:t xml:space="preserve"> </w:t>
      </w:r>
      <w:r w:rsidRPr="001E3995">
        <w:t>v.</w:t>
      </w:r>
      <w:r w:rsidRPr="001E3995">
        <w:t xml:space="preserve"> </w:t>
      </w:r>
      <w:r w:rsidRPr="001E3995">
        <w:t>Assara I, LLC, 2014 U.S.</w:t>
      </w:r>
      <w:r w:rsidRPr="001E3995">
        <w:t xml:space="preserve"> </w:t>
      </w:r>
      <w:r w:rsidRPr="001E3995">
        <w:t>Dist.</w:t>
      </w:r>
      <w:r w:rsidRPr="001E3995">
        <w:t xml:space="preserve"> </w:t>
      </w:r>
      <w:r w:rsidRPr="001E3995">
        <w:t>LEXIS 133839, at *8–10 (S.D.N.Y.</w:t>
      </w:r>
      <w:r w:rsidRPr="001E3995">
        <w:t xml:space="preserve"> </w:t>
      </w:r>
      <w:r w:rsidRPr="001E3995">
        <w:t>Sept.</w:t>
      </w:r>
      <w:r w:rsidRPr="001E3995">
        <w:t xml:space="preserve"> </w:t>
      </w:r>
      <w:r w:rsidRPr="001E3995">
        <w:t>23, 2014) (somewhat conclusory allegations of fame and dilution found sufficient);</w:t>
      </w:r>
      <w:r w:rsidRPr="001E3995">
        <w:t xml:space="preserve"> </w:t>
      </w:r>
      <w:r w:rsidRPr="001E3995">
        <w:t>ADT LLC v.</w:t>
      </w:r>
      <w:r w:rsidRPr="001E3995">
        <w:t xml:space="preserve"> </w:t>
      </w:r>
      <w:proofErr w:type="spellStart"/>
      <w:r w:rsidRPr="001E3995">
        <w:t>Teamtronics</w:t>
      </w:r>
      <w:proofErr w:type="spellEnd"/>
      <w:r w:rsidRPr="001E3995">
        <w:t>, Inc., 2015 WL 12866274, at *3, 2015 BL 492230 (S.D.</w:t>
      </w:r>
      <w:r w:rsidRPr="001E3995">
        <w:t xml:space="preserve"> </w:t>
      </w:r>
      <w:r w:rsidRPr="001E3995">
        <w:t>Fla.</w:t>
      </w:r>
      <w:r w:rsidRPr="001E3995">
        <w:t xml:space="preserve"> </w:t>
      </w:r>
      <w:r w:rsidRPr="001E3995">
        <w:t>May 18, 2015) (upholding allegations of dilution);</w:t>
      </w:r>
      <w:r w:rsidRPr="001E3995">
        <w:t xml:space="preserve"> </w:t>
      </w:r>
      <w:r w:rsidRPr="001E3995">
        <w:t>Vulcan Golf, LLC v.</w:t>
      </w:r>
      <w:r w:rsidRPr="001E3995">
        <w:t xml:space="preserve"> </w:t>
      </w:r>
      <w:r w:rsidRPr="001E3995">
        <w:t>Google, Inc., 552 F.</w:t>
      </w:r>
      <w:r w:rsidRPr="001E3995">
        <w:t xml:space="preserve"> </w:t>
      </w:r>
      <w:r w:rsidRPr="001E3995">
        <w:t>Supp.</w:t>
      </w:r>
      <w:r w:rsidRPr="001E3995">
        <w:t xml:space="preserve"> </w:t>
      </w:r>
      <w:r w:rsidRPr="001E3995">
        <w:t>2d 752, 772–73 (N.D.</w:t>
      </w:r>
      <w:r w:rsidRPr="001E3995">
        <w:t xml:space="preserve"> </w:t>
      </w:r>
      <w:r w:rsidRPr="001E3995">
        <w:t>Ill.</w:t>
      </w:r>
      <w:r w:rsidRPr="001E3995">
        <w:t xml:space="preserve"> </w:t>
      </w:r>
      <w:r w:rsidRPr="001E3995">
        <w:t xml:space="preserve">2008) (citing </w:t>
      </w:r>
      <w:r w:rsidRPr="001E3995">
        <w:rPr>
          <w:i/>
        </w:rPr>
        <w:t>Twombly</w:t>
      </w:r>
      <w:r w:rsidRPr="001E3995">
        <w:t xml:space="preserve"> and upholding a complaint that contained additional factual detail regarding fame and dilution by blurring);</w:t>
      </w:r>
      <w:r w:rsidRPr="001E3995">
        <w:t xml:space="preserve"> </w:t>
      </w:r>
      <w:proofErr w:type="spellStart"/>
      <w:r w:rsidRPr="001E3995">
        <w:t>Ritani</w:t>
      </w:r>
      <w:proofErr w:type="spellEnd"/>
      <w:r w:rsidRPr="001E3995">
        <w:t>, LLC v.</w:t>
      </w:r>
      <w:r w:rsidRPr="001E3995">
        <w:t xml:space="preserve"> </w:t>
      </w:r>
      <w:r w:rsidRPr="001E3995">
        <w:t>Aghjayan, 880 F.</w:t>
      </w:r>
      <w:r w:rsidRPr="001E3995">
        <w:t xml:space="preserve"> </w:t>
      </w:r>
      <w:r w:rsidRPr="001E3995">
        <w:t>Supp.</w:t>
      </w:r>
      <w:r w:rsidRPr="001E3995">
        <w:t xml:space="preserve"> </w:t>
      </w:r>
      <w:r w:rsidRPr="001E3995">
        <w:t>2d 425, 449–50 (S.D.N.Y.</w:t>
      </w:r>
      <w:r w:rsidRPr="001E3995">
        <w:t xml:space="preserve"> </w:t>
      </w:r>
      <w:r w:rsidRPr="001E3995">
        <w:t>2012);</w:t>
      </w:r>
      <w:r w:rsidRPr="001E3995">
        <w:t xml:space="preserve"> </w:t>
      </w:r>
      <w:proofErr w:type="spellStart"/>
      <w:r w:rsidRPr="001E3995">
        <w:t>Commscope</w:t>
      </w:r>
      <w:proofErr w:type="spellEnd"/>
      <w:r w:rsidRPr="001E3995">
        <w:t>, Inc.</w:t>
      </w:r>
      <w:r w:rsidRPr="001E3995">
        <w:t xml:space="preserve"> </w:t>
      </w:r>
      <w:r w:rsidRPr="001E3995">
        <w:t>v.</w:t>
      </w:r>
      <w:r w:rsidRPr="001E3995">
        <w:t xml:space="preserve"> </w:t>
      </w:r>
      <w:proofErr w:type="spellStart"/>
      <w:r w:rsidRPr="001E3995">
        <w:t>Commscope</w:t>
      </w:r>
      <w:proofErr w:type="spellEnd"/>
      <w:r w:rsidRPr="001E3995">
        <w:t xml:space="preserve"> (U.S.A.) Int’l Grp.</w:t>
      </w:r>
      <w:r w:rsidRPr="001E3995">
        <w:t xml:space="preserve"> </w:t>
      </w:r>
      <w:r w:rsidRPr="001E3995">
        <w:t>Co., Ltd., 809 F.</w:t>
      </w:r>
      <w:r w:rsidRPr="001E3995">
        <w:t xml:space="preserve"> </w:t>
      </w:r>
      <w:r w:rsidRPr="001E3995">
        <w:t>Supp.</w:t>
      </w:r>
      <w:r w:rsidRPr="001E3995">
        <w:t xml:space="preserve"> </w:t>
      </w:r>
      <w:r w:rsidRPr="001E3995">
        <w:t>2d 33, 39 (N.D.N.Y.</w:t>
      </w:r>
      <w:r w:rsidRPr="001E3995">
        <w:t xml:space="preserve"> </w:t>
      </w:r>
      <w:r w:rsidRPr="001E3995">
        <w:t>2011) (somewhat conclusory dilution claims under New York law held sufficient).</w:t>
      </w:r>
    </w:p>
  </w:footnote>
  <w:footnote w:id="129">
    <w:p w14:paraId="28CB9A06" w14:textId="6CD8FE85" w:rsidR="001E3995" w:rsidRPr="001E3995" w:rsidRDefault="001E3995" w:rsidP="001E3995">
      <w:pPr>
        <w:pStyle w:val="FootnoteText"/>
      </w:pPr>
      <w:r w:rsidRPr="001E3995">
        <w:rPr>
          <w:vertAlign w:val="superscript"/>
        </w:rPr>
        <w:footnoteRef/>
      </w:r>
      <w:r w:rsidRPr="001E3995">
        <w:rPr>
          <w:i/>
        </w:rPr>
        <w:t>See</w:t>
      </w:r>
      <w:r w:rsidRPr="001E3995">
        <w:t>,</w:t>
      </w:r>
      <w:r w:rsidRPr="001E3995">
        <w:rPr>
          <w:i/>
        </w:rPr>
        <w:t xml:space="preserve"> e.g.</w:t>
      </w:r>
      <w:r w:rsidRPr="001E3995">
        <w:t>, Gibson Brands, Inc.</w:t>
      </w:r>
      <w:r w:rsidRPr="001E3995">
        <w:t xml:space="preserve"> </w:t>
      </w:r>
      <w:r w:rsidRPr="001E3995">
        <w:t>v.</w:t>
      </w:r>
      <w:r w:rsidRPr="001E3995">
        <w:t xml:space="preserve"> </w:t>
      </w:r>
      <w:r w:rsidRPr="001E3995">
        <w:t>John Hornby Skewes &amp; Co., 2014 U.S.</w:t>
      </w:r>
      <w:r w:rsidRPr="001E3995">
        <w:t xml:space="preserve"> </w:t>
      </w:r>
      <w:r w:rsidRPr="001E3995">
        <w:t>Dist.</w:t>
      </w:r>
      <w:r w:rsidRPr="001E3995">
        <w:t xml:space="preserve"> </w:t>
      </w:r>
      <w:r w:rsidRPr="001E3995">
        <w:t>LEXIS 150734, at *5–6 (C.D.</w:t>
      </w:r>
      <w:r w:rsidRPr="001E3995">
        <w:t xml:space="preserve"> </w:t>
      </w:r>
      <w:r w:rsidRPr="001E3995">
        <w:t>Cal.</w:t>
      </w:r>
      <w:r w:rsidRPr="001E3995">
        <w:t xml:space="preserve"> </w:t>
      </w:r>
      <w:r w:rsidRPr="001E3995">
        <w:t>Oct.</w:t>
      </w:r>
      <w:r w:rsidRPr="001E3995">
        <w:t xml:space="preserve"> </w:t>
      </w:r>
      <w:r w:rsidRPr="001E3995">
        <w:t>23, 2014).</w:t>
      </w:r>
    </w:p>
    <w:p w14:paraId="25E0B04C" w14:textId="77777777" w:rsidR="001E3995" w:rsidRDefault="001E3995" w:rsidP="002010F9">
      <w:pPr>
        <w:pStyle w:val="footnote"/>
      </w:pPr>
    </w:p>
  </w:footnote>
  <w:footnote w:id="130">
    <w:p w14:paraId="60B219C9" w14:textId="55CB7941" w:rsidR="001E3995" w:rsidRP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9(b).</w:t>
      </w:r>
      <w:r w:rsidRPr="001E3995">
        <w:t xml:space="preserve"> </w:t>
      </w:r>
      <w:r w:rsidRPr="001E3995">
        <w:t>Rule 9(b) states, in relevant part:</w:t>
      </w:r>
    </w:p>
    <w:p w14:paraId="2B942397" w14:textId="7D3612DC" w:rsidR="001E3995" w:rsidRDefault="001E3995" w:rsidP="001E3995">
      <w:pPr>
        <w:pStyle w:val="BQuotelong"/>
      </w:pPr>
      <w:r w:rsidRPr="001E3995">
        <w:t>In all averments of fraud or mistake, the circumstances constituting fraud or mistake shall be stated with particularity.</w:t>
      </w:r>
      <w:r w:rsidRPr="001E3995">
        <w:t xml:space="preserve"> </w:t>
      </w:r>
      <w:r w:rsidRPr="001E3995">
        <w:t>Malice, intent, knowledge, and other condition of mind of a person may be averred generally.</w:t>
      </w:r>
    </w:p>
  </w:footnote>
  <w:footnote w:id="131">
    <w:p w14:paraId="2CA51FBA" w14:textId="5BA92C20" w:rsidR="001E3995" w:rsidRDefault="001E3995" w:rsidP="001E3995">
      <w:pPr>
        <w:pStyle w:val="FootnoteText"/>
      </w:pPr>
      <w:r w:rsidRPr="001E3995">
        <w:rPr>
          <w:vertAlign w:val="superscript"/>
        </w:rPr>
        <w:footnoteRef/>
      </w:r>
      <w:r w:rsidRPr="001E3995">
        <w:rPr>
          <w:i/>
        </w:rPr>
        <w:t>E.g.</w:t>
      </w:r>
      <w:r w:rsidRPr="001E3995">
        <w:t>, John P.</w:t>
      </w:r>
      <w:r w:rsidRPr="001E3995">
        <w:t xml:space="preserve"> </w:t>
      </w:r>
      <w:r w:rsidRPr="001E3995">
        <w:t>Villano, Inc.</w:t>
      </w:r>
      <w:r w:rsidRPr="001E3995">
        <w:t xml:space="preserve"> </w:t>
      </w:r>
      <w:r w:rsidRPr="001E3995">
        <w:t>v.</w:t>
      </w:r>
      <w:r w:rsidRPr="001E3995">
        <w:t xml:space="preserve"> </w:t>
      </w:r>
      <w:r w:rsidRPr="001E3995">
        <w:t>CBS, Inc., 176 F.R.D.</w:t>
      </w:r>
      <w:r w:rsidRPr="001E3995">
        <w:t xml:space="preserve"> </w:t>
      </w:r>
      <w:r w:rsidRPr="001E3995">
        <w:t>130, 131 (S.D.N.Y.</w:t>
      </w:r>
      <w:r w:rsidRPr="001E3995">
        <w:t xml:space="preserve"> </w:t>
      </w:r>
      <w:r w:rsidRPr="001E3995">
        <w:t>1997).</w:t>
      </w:r>
    </w:p>
  </w:footnote>
  <w:footnote w:id="132">
    <w:p w14:paraId="1431CA62" w14:textId="040EB28D" w:rsid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Mills Corp.</w:t>
      </w:r>
      <w:r w:rsidRPr="001E3995">
        <w:t xml:space="preserve"> </w:t>
      </w:r>
      <w:r w:rsidRPr="001E3995">
        <w:t>v.</w:t>
      </w:r>
      <w:r w:rsidRPr="001E3995">
        <w:t xml:space="preserve"> </w:t>
      </w:r>
      <w:r w:rsidRPr="001E3995">
        <w:t>Miller, 1997 WL 280599, at *2 (D.D.C.</w:t>
      </w:r>
      <w:r w:rsidRPr="001E3995">
        <w:t xml:space="preserve"> </w:t>
      </w:r>
      <w:r w:rsidRPr="001E3995">
        <w:t>May 20, 1997).</w:t>
      </w:r>
    </w:p>
  </w:footnote>
  <w:footnote w:id="133">
    <w:p w14:paraId="0E43A71D" w14:textId="71A7C927" w:rsidR="001E3995" w:rsidRDefault="001E3995" w:rsidP="001E3995">
      <w:pPr>
        <w:pStyle w:val="FootnoteText"/>
      </w:pPr>
      <w:r w:rsidRPr="001E3995">
        <w:rPr>
          <w:vertAlign w:val="superscript"/>
        </w:rPr>
        <w:footnoteRef/>
      </w:r>
      <w:r w:rsidRPr="001E3995">
        <w:rPr>
          <w:i/>
        </w:rPr>
        <w:t>Mills</w:t>
      </w:r>
      <w:r w:rsidRPr="001E3995">
        <w:t>, 1997 WL 280599, at *2 (rejecting Rule 9(b) motion in dilution claim);</w:t>
      </w:r>
      <w:r w:rsidRPr="001E3995">
        <w:t xml:space="preserve"> </w:t>
      </w:r>
      <w:r w:rsidRPr="001E3995">
        <w:rPr>
          <w:i/>
        </w:rPr>
        <w:t>Villano</w:t>
      </w:r>
      <w:r w:rsidRPr="001E3995">
        <w:t>, 176 F.R.D.</w:t>
      </w:r>
      <w:r w:rsidRPr="001E3995">
        <w:t xml:space="preserve"> </w:t>
      </w:r>
      <w:r w:rsidRPr="001E3995">
        <w:t>at 131 (same).</w:t>
      </w:r>
      <w:r w:rsidRPr="001E3995">
        <w:t xml:space="preserve"> </w:t>
      </w:r>
      <w:r w:rsidRPr="001E3995">
        <w:rPr>
          <w:i/>
        </w:rPr>
        <w:t>See</w:t>
      </w:r>
      <w:r w:rsidRPr="001E3995">
        <w:t xml:space="preserve"> Lee v.</w:t>
      </w:r>
      <w:r w:rsidRPr="001E3995">
        <w:t xml:space="preserve"> </w:t>
      </w:r>
      <w:r w:rsidRPr="001E3995">
        <w:t>Monroe Cty.</w:t>
      </w:r>
      <w:r w:rsidRPr="001E3995">
        <w:t xml:space="preserve"> </w:t>
      </w:r>
      <w:r w:rsidRPr="001E3995">
        <w:t>Heritage Museum, Inc., 998 F.</w:t>
      </w:r>
      <w:r w:rsidRPr="001E3995">
        <w:t xml:space="preserve"> </w:t>
      </w:r>
      <w:r w:rsidRPr="001E3995">
        <w:t>Supp.</w:t>
      </w:r>
      <w:r w:rsidRPr="001E3995">
        <w:t xml:space="preserve"> </w:t>
      </w:r>
      <w:r w:rsidRPr="001E3995">
        <w:t>2d 1318, 1322 n.2, 109 USPQ2d 1863 (S.D.</w:t>
      </w:r>
      <w:r w:rsidRPr="001E3995">
        <w:t xml:space="preserve"> </w:t>
      </w:r>
      <w:r w:rsidRPr="001E3995">
        <w:t>Ala.</w:t>
      </w:r>
      <w:r w:rsidRPr="001E3995">
        <w:t xml:space="preserve"> </w:t>
      </w:r>
      <w:r w:rsidRPr="001E3995">
        <w:t>2014) (Rule 9(b) not applicable in infringement and dilution case where there was no allegation of fraud);</w:t>
      </w:r>
      <w:r w:rsidRPr="001E3995">
        <w:t xml:space="preserve"> </w:t>
      </w:r>
      <w:r w:rsidRPr="001E3995">
        <w:t>John Wiley &amp; Sons, Inc.</w:t>
      </w:r>
      <w:r w:rsidRPr="001E3995">
        <w:t xml:space="preserve"> </w:t>
      </w:r>
      <w:r w:rsidRPr="001E3995">
        <w:t>v.</w:t>
      </w:r>
      <w:r w:rsidRPr="001E3995">
        <w:t xml:space="preserve"> </w:t>
      </w:r>
      <w:proofErr w:type="spellStart"/>
      <w:r w:rsidRPr="001E3995">
        <w:t>Rivandeneyra</w:t>
      </w:r>
      <w:proofErr w:type="spellEnd"/>
      <w:r w:rsidRPr="001E3995">
        <w:t>, 2013 U.S.</w:t>
      </w:r>
      <w:r w:rsidRPr="001E3995">
        <w:t xml:space="preserve"> </w:t>
      </w:r>
      <w:r w:rsidRPr="001E3995">
        <w:t>Dist.</w:t>
      </w:r>
      <w:r w:rsidRPr="001E3995">
        <w:t xml:space="preserve"> </w:t>
      </w:r>
      <w:r w:rsidRPr="001E3995">
        <w:t>LEXIS 178957, at *7 (D.N.J.</w:t>
      </w:r>
      <w:r w:rsidRPr="001E3995">
        <w:t xml:space="preserve"> </w:t>
      </w:r>
      <w:r w:rsidRPr="001E3995">
        <w:t>Dec.</w:t>
      </w:r>
      <w:r w:rsidRPr="001E3995">
        <w:t xml:space="preserve"> </w:t>
      </w:r>
      <w:r w:rsidRPr="001E3995">
        <w:t>20, 2013) (same</w:t>
      </w:r>
      <w:proofErr w:type="gramStart"/>
      <w:r w:rsidRPr="001E3995">
        <w:t>)..</w:t>
      </w:r>
      <w:proofErr w:type="gramEnd"/>
      <w:r w:rsidRPr="001E3995">
        <w:t xml:space="preserve"> </w:t>
      </w:r>
      <w:r w:rsidRPr="001E3995">
        <w:t>There are two conceivable issues under Rule 9(b) for a dilution claim.</w:t>
      </w:r>
      <w:r w:rsidRPr="001E3995">
        <w:t xml:space="preserve"> </w:t>
      </w:r>
      <w:r w:rsidRPr="001E3995">
        <w:t>One would be whether an allegation of a willful violation under Lanham Act §43(c), 15 U.S.C.</w:t>
      </w:r>
      <w:r w:rsidRPr="001E3995">
        <w:t xml:space="preserve"> </w:t>
      </w:r>
      <w:r w:rsidRPr="001E3995">
        <w:t>§1125(c), which permits an award of damages, should be treated as an allegation of fraud.</w:t>
      </w:r>
      <w:r w:rsidRPr="001E3995">
        <w:t xml:space="preserve"> </w:t>
      </w:r>
      <w:r w:rsidRPr="001E3995">
        <w:t>Another would be a fraudulent procurement of a registration, which would overcome the defense against state dilution claims provided by §43(c)(6).</w:t>
      </w:r>
    </w:p>
  </w:footnote>
  <w:footnote w:id="134">
    <w:p w14:paraId="2D9BC4B8" w14:textId="4CDCD1FB" w:rsidR="001E3995" w:rsidRDefault="001E3995" w:rsidP="001E3995">
      <w:pPr>
        <w:pStyle w:val="FootnoteText"/>
      </w:pPr>
      <w:r w:rsidRPr="001E3995">
        <w:rPr>
          <w:vertAlign w:val="superscript"/>
        </w:rPr>
        <w:footnoteRef/>
      </w:r>
      <w:r w:rsidRPr="001E3995">
        <w:rPr>
          <w:i/>
        </w:rPr>
        <w:t>See</w:t>
      </w:r>
      <w:r w:rsidRPr="001E3995">
        <w:t xml:space="preserve"> HQM, Ltd.</w:t>
      </w:r>
      <w:r w:rsidRPr="001E3995">
        <w:t xml:space="preserve"> </w:t>
      </w:r>
      <w:r w:rsidRPr="001E3995">
        <w:t>v.</w:t>
      </w:r>
      <w:r w:rsidRPr="001E3995">
        <w:t xml:space="preserve"> </w:t>
      </w:r>
      <w:r w:rsidRPr="001E3995">
        <w:t>Hatfield, 71 F.</w:t>
      </w:r>
      <w:r w:rsidRPr="001E3995">
        <w:t xml:space="preserve"> </w:t>
      </w:r>
      <w:r w:rsidRPr="001E3995">
        <w:t>Supp.</w:t>
      </w:r>
      <w:r w:rsidRPr="001E3995">
        <w:t xml:space="preserve"> </w:t>
      </w:r>
      <w:r w:rsidRPr="001E3995">
        <w:t>2d 500, 510 (D.</w:t>
      </w:r>
      <w:r w:rsidRPr="001E3995">
        <w:t xml:space="preserve"> </w:t>
      </w:r>
      <w:r w:rsidRPr="001E3995">
        <w:t>Md.</w:t>
      </w:r>
      <w:r w:rsidRPr="001E3995">
        <w:t xml:space="preserve"> </w:t>
      </w:r>
      <w:r w:rsidRPr="001E3995">
        <w:t>1999) (expressing concern about plaintiff using conclusory allegations of bad faith for discovery purposes).</w:t>
      </w:r>
    </w:p>
  </w:footnote>
  <w:footnote w:id="135">
    <w:p w14:paraId="656DBB22" w14:textId="49C27FF4" w:rsidR="001E3995" w:rsidRDefault="001E3995" w:rsidP="001E3995">
      <w:pPr>
        <w:pStyle w:val="FootnoteText"/>
      </w:pPr>
      <w:r w:rsidRPr="001E3995">
        <w:rPr>
          <w:vertAlign w:val="superscript"/>
        </w:rPr>
        <w:footnoteRef/>
      </w:r>
      <w:proofErr w:type="gramStart"/>
      <w:r w:rsidRPr="001E3995">
        <w:rPr>
          <w:i/>
        </w:rPr>
        <w:t>Id.</w:t>
      </w:r>
      <w:r w:rsidRPr="001E3995">
        <w:t>;</w:t>
      </w:r>
      <w:proofErr w:type="gramEnd"/>
      <w:r w:rsidRPr="001E3995">
        <w:t xml:space="preserve"> </w:t>
      </w:r>
      <w:r w:rsidRPr="001E3995">
        <w:rPr>
          <w:i/>
        </w:rPr>
        <w:t>see also</w:t>
      </w:r>
      <w:r w:rsidRPr="001E3995">
        <w:t xml:space="preserve"> Bell Atl.</w:t>
      </w:r>
      <w:r w:rsidRPr="001E3995">
        <w:t xml:space="preserve"> </w:t>
      </w:r>
      <w:r w:rsidRPr="001E3995">
        <w:t>Corp.</w:t>
      </w:r>
      <w:r w:rsidRPr="001E3995">
        <w:t xml:space="preserve"> </w:t>
      </w:r>
      <w:r w:rsidRPr="001E3995">
        <w:t>v.</w:t>
      </w:r>
      <w:r w:rsidRPr="001E3995">
        <w:t xml:space="preserve"> </w:t>
      </w:r>
      <w:r w:rsidRPr="001E3995">
        <w:t>Twombly, 550 U.S.</w:t>
      </w:r>
      <w:r w:rsidRPr="001E3995">
        <w:t xml:space="preserve"> </w:t>
      </w:r>
      <w:r w:rsidRPr="001E3995">
        <w:t>544, 558 (2007) (“[I]t is one thing to be cautious before dismissing an antitrust complaint in advance of discovery, but quite another to forget that proceeding to antitrust discovery can be expensive.”) (citation omitted).</w:t>
      </w:r>
    </w:p>
  </w:footnote>
  <w:footnote w:id="136">
    <w:p w14:paraId="1AFB58D0" w14:textId="14E2B260" w:rsidR="001E3995" w:rsidRPr="001E3995" w:rsidRDefault="001E3995" w:rsidP="001E3995">
      <w:pPr>
        <w:pStyle w:val="FootnoteText"/>
      </w:pPr>
      <w:r w:rsidRPr="001E3995">
        <w:rPr>
          <w:vertAlign w:val="superscript"/>
        </w:rPr>
        <w:footnoteRef/>
      </w:r>
      <w:r w:rsidRPr="001E3995">
        <w:t>Brian Lichtenberg, LLC v.</w:t>
      </w:r>
      <w:r w:rsidRPr="001E3995">
        <w:t xml:space="preserve"> </w:t>
      </w:r>
      <w:r w:rsidRPr="001E3995">
        <w:t>Alex &amp; Chloe, Inc., 2014 U.S.</w:t>
      </w:r>
      <w:r w:rsidRPr="001E3995">
        <w:t xml:space="preserve"> </w:t>
      </w:r>
      <w:r w:rsidRPr="001E3995">
        <w:t>Dist.</w:t>
      </w:r>
      <w:r w:rsidRPr="001E3995">
        <w:t xml:space="preserve"> </w:t>
      </w:r>
      <w:r w:rsidRPr="001E3995">
        <w:t>LEXIS 52191, at *8 (C.D.</w:t>
      </w:r>
      <w:r w:rsidRPr="001E3995">
        <w:t xml:space="preserve"> </w:t>
      </w:r>
      <w:r w:rsidRPr="001E3995">
        <w:t>Cal.</w:t>
      </w:r>
      <w:r w:rsidRPr="001E3995">
        <w:t xml:space="preserve"> </w:t>
      </w:r>
      <w:r w:rsidRPr="001E3995">
        <w:t>Apr.</w:t>
      </w:r>
      <w:r w:rsidRPr="001E3995">
        <w:t xml:space="preserve"> </w:t>
      </w:r>
      <w:r w:rsidRPr="001E3995">
        <w:t>15, 2014) (upholding pleading of fame that alleged renown “by consumers and in the fashion industry,” suggesting possible niche fame);</w:t>
      </w:r>
      <w:r w:rsidRPr="001E3995">
        <w:t xml:space="preserve"> </w:t>
      </w:r>
      <w:r w:rsidRPr="001E3995">
        <w:t>Russell Rd.</w:t>
      </w:r>
      <w:r w:rsidRPr="001E3995">
        <w:t xml:space="preserve"> </w:t>
      </w:r>
      <w:r w:rsidRPr="001E3995">
        <w:t>Food &amp; Beverage, LLC v.</w:t>
      </w:r>
      <w:r w:rsidRPr="001E3995">
        <w:t xml:space="preserve"> </w:t>
      </w:r>
      <w:r w:rsidRPr="001E3995">
        <w:t>Galam, 2014 WL 537567, at *2, 2014 BL 33996 (D.</w:t>
      </w:r>
      <w:r w:rsidRPr="001E3995">
        <w:t xml:space="preserve"> </w:t>
      </w:r>
      <w:r w:rsidRPr="001E3995">
        <w:t>Nev.</w:t>
      </w:r>
      <w:r w:rsidRPr="001E3995">
        <w:t xml:space="preserve"> </w:t>
      </w:r>
      <w:r w:rsidRPr="001E3995">
        <w:t>Feb.</w:t>
      </w:r>
      <w:r w:rsidRPr="001E3995">
        <w:t xml:space="preserve"> </w:t>
      </w:r>
      <w:r w:rsidRPr="001E3995">
        <w:t>7, 2014) (upholding allegations of fame based on “fame and popularity that have come from being featured in movies and past visits by various celebrities”);</w:t>
      </w:r>
      <w:r w:rsidRPr="001E3995">
        <w:t xml:space="preserve"> </w:t>
      </w:r>
      <w:r w:rsidRPr="001E3995">
        <w:t>Canales v.</w:t>
      </w:r>
      <w:r w:rsidRPr="001E3995">
        <w:t xml:space="preserve"> </w:t>
      </w:r>
      <w:r w:rsidRPr="001E3995">
        <w:t>ALM Media, LLC, 2013 WL 5719476, at *12, 2013 BL 431699 (W.D.</w:t>
      </w:r>
      <w:r w:rsidRPr="001E3995">
        <w:t xml:space="preserve"> </w:t>
      </w:r>
      <w:r w:rsidRPr="001E3995">
        <w:t>Tex.</w:t>
      </w:r>
      <w:r w:rsidRPr="001E3995">
        <w:t xml:space="preserve"> </w:t>
      </w:r>
      <w:r w:rsidRPr="001E3995">
        <w:t>Oct.</w:t>
      </w:r>
      <w:r w:rsidRPr="001E3995">
        <w:t xml:space="preserve"> </w:t>
      </w:r>
      <w:r w:rsidRPr="001E3995">
        <w:t>18, 2013) (magistrate judge opinion) (conceding that “dilution counterclaim is not pled as well as it might have been” but upholding it despite the apparent niche fame, at best, of the mark, and on the assumption that confusion is sufficient to demonstrate dilution);</w:t>
      </w:r>
      <w:r w:rsidRPr="001E3995">
        <w:t xml:space="preserve"> </w:t>
      </w:r>
      <w:r w:rsidRPr="001E3995">
        <w:t>Wyndham Vacation Ownership, Inc.</w:t>
      </w:r>
      <w:r w:rsidRPr="001E3995">
        <w:t xml:space="preserve"> </w:t>
      </w:r>
      <w:r w:rsidRPr="001E3995">
        <w:t>v.</w:t>
      </w:r>
      <w:r w:rsidRPr="001E3995">
        <w:t xml:space="preserve"> </w:t>
      </w:r>
      <w:r w:rsidRPr="001E3995">
        <w:t>Timeshares Direct, Inc., 2013 U.S.</w:t>
      </w:r>
      <w:r w:rsidRPr="001E3995">
        <w:t xml:space="preserve"> </w:t>
      </w:r>
      <w:r w:rsidRPr="001E3995">
        <w:t>Dist.</w:t>
      </w:r>
      <w:r w:rsidRPr="001E3995">
        <w:t xml:space="preserve"> </w:t>
      </w:r>
      <w:r w:rsidRPr="001E3995">
        <w:t>LEXIS 134406, at *8–9 (M.D.</w:t>
      </w:r>
      <w:r w:rsidRPr="001E3995">
        <w:t xml:space="preserve"> </w:t>
      </w:r>
      <w:r w:rsidRPr="001E3995">
        <w:t>Fla.</w:t>
      </w:r>
      <w:r w:rsidRPr="001E3995">
        <w:t xml:space="preserve"> </w:t>
      </w:r>
      <w:r w:rsidRPr="001E3995">
        <w:t>Sept.</w:t>
      </w:r>
      <w:r w:rsidRPr="001E3995">
        <w:t xml:space="preserve"> </w:t>
      </w:r>
      <w:r w:rsidRPr="001E3995">
        <w:t>19, 2013);</w:t>
      </w:r>
      <w:r w:rsidRPr="001E3995">
        <w:t xml:space="preserve"> </w:t>
      </w:r>
      <w:r w:rsidRPr="001E3995">
        <w:t>JL Powell Clothing, L.L.C.</w:t>
      </w:r>
      <w:r w:rsidRPr="001E3995">
        <w:t xml:space="preserve"> </w:t>
      </w:r>
      <w:r w:rsidRPr="001E3995">
        <w:t>v.</w:t>
      </w:r>
      <w:r w:rsidRPr="001E3995">
        <w:t xml:space="preserve"> </w:t>
      </w:r>
      <w:r w:rsidRPr="001E3995">
        <w:t>Powell, 2013 U.S.</w:t>
      </w:r>
      <w:r w:rsidRPr="001E3995">
        <w:t xml:space="preserve"> </w:t>
      </w:r>
      <w:r w:rsidRPr="001E3995">
        <w:t>Dist.</w:t>
      </w:r>
      <w:r w:rsidRPr="001E3995">
        <w:t xml:space="preserve"> </w:t>
      </w:r>
      <w:r w:rsidRPr="001E3995">
        <w:t>LEXIS 112370, at *28–31 (D.</w:t>
      </w:r>
      <w:r w:rsidRPr="001E3995">
        <w:t xml:space="preserve"> </w:t>
      </w:r>
      <w:r w:rsidRPr="001E3995">
        <w:t>Me.</w:t>
      </w:r>
      <w:r w:rsidRPr="001E3995">
        <w:t xml:space="preserve"> </w:t>
      </w:r>
      <w:r w:rsidRPr="001E3995">
        <w:t>Aug.</w:t>
      </w:r>
      <w:r w:rsidRPr="001E3995">
        <w:t xml:space="preserve"> </w:t>
      </w:r>
      <w:r w:rsidRPr="001E3995">
        <w:t>9, 2013);</w:t>
      </w:r>
      <w:r w:rsidRPr="001E3995">
        <w:t xml:space="preserve"> </w:t>
      </w:r>
      <w:r w:rsidRPr="001E3995">
        <w:t>CPC Props.</w:t>
      </w:r>
      <w:r w:rsidRPr="001E3995">
        <w:t xml:space="preserve"> </w:t>
      </w:r>
      <w:r w:rsidRPr="001E3995">
        <w:t>v.</w:t>
      </w:r>
      <w:r w:rsidRPr="001E3995">
        <w:t xml:space="preserve"> </w:t>
      </w:r>
      <w:r w:rsidRPr="001E3995">
        <w:t>Dominic, Inc., 2013 U.S.</w:t>
      </w:r>
      <w:r w:rsidRPr="001E3995">
        <w:t xml:space="preserve"> </w:t>
      </w:r>
      <w:r w:rsidRPr="001E3995">
        <w:t>Dist.</w:t>
      </w:r>
      <w:r w:rsidRPr="001E3995">
        <w:t xml:space="preserve"> </w:t>
      </w:r>
      <w:r w:rsidRPr="001E3995">
        <w:t>LEXIS 118482, at *12–17 (E.D.</w:t>
      </w:r>
      <w:r w:rsidRPr="001E3995">
        <w:t xml:space="preserve"> </w:t>
      </w:r>
      <w:r w:rsidRPr="001E3995">
        <w:t>Pa.</w:t>
      </w:r>
      <w:r w:rsidRPr="001E3995">
        <w:t xml:space="preserve"> </w:t>
      </w:r>
      <w:r w:rsidRPr="001E3995">
        <w:t>Aug.</w:t>
      </w:r>
      <w:r w:rsidRPr="001E3995">
        <w:t xml:space="preserve"> </w:t>
      </w:r>
      <w:r w:rsidRPr="001E3995">
        <w:t>20, 2013) (Pennsylvania law);</w:t>
      </w:r>
      <w:r w:rsidRPr="001E3995">
        <w:t xml:space="preserve"> </w:t>
      </w:r>
      <w:r w:rsidRPr="001E3995">
        <w:t xml:space="preserve">Desmond </w:t>
      </w:r>
      <w:r w:rsidRPr="001E3995">
        <w:rPr>
          <w:i/>
        </w:rPr>
        <w:t>ex rel</w:t>
      </w:r>
      <w:r w:rsidRPr="001E3995">
        <w:t>.</w:t>
      </w:r>
      <w:r w:rsidRPr="001E3995">
        <w:t xml:space="preserve"> </w:t>
      </w:r>
      <w:r w:rsidRPr="001E3995">
        <w:t>Moo &amp; Oink, Inc.</w:t>
      </w:r>
      <w:r w:rsidRPr="001E3995">
        <w:t xml:space="preserve"> </w:t>
      </w:r>
      <w:r w:rsidRPr="001E3995">
        <w:t>v.</w:t>
      </w:r>
      <w:r w:rsidRPr="001E3995">
        <w:t xml:space="preserve"> </w:t>
      </w:r>
      <w:r w:rsidRPr="001E3995">
        <w:t xml:space="preserve">Chicago Boxed Beef </w:t>
      </w:r>
      <w:proofErr w:type="spellStart"/>
      <w:r w:rsidRPr="001E3995">
        <w:t>Distribs</w:t>
      </w:r>
      <w:proofErr w:type="spellEnd"/>
      <w:r w:rsidRPr="001E3995">
        <w:t>., Inc., 921 F.</w:t>
      </w:r>
      <w:r w:rsidRPr="001E3995">
        <w:t xml:space="preserve"> </w:t>
      </w:r>
      <w:r w:rsidRPr="001E3995">
        <w:t>Supp.</w:t>
      </w:r>
      <w:r w:rsidRPr="001E3995">
        <w:t xml:space="preserve"> </w:t>
      </w:r>
      <w:r w:rsidRPr="001E3995">
        <w:t>2d 872, 883–84 (N.D.</w:t>
      </w:r>
      <w:r w:rsidRPr="001E3995">
        <w:t xml:space="preserve"> </w:t>
      </w:r>
      <w:r w:rsidRPr="001E3995">
        <w:t>Ill.</w:t>
      </w:r>
      <w:r w:rsidRPr="001E3995">
        <w:t xml:space="preserve"> </w:t>
      </w:r>
      <w:r w:rsidRPr="001E3995">
        <w:t>2013).</w:t>
      </w:r>
      <w:r w:rsidRPr="001E3995">
        <w:t xml:space="preserve"> </w:t>
      </w:r>
      <w:r w:rsidRPr="001E3995">
        <w:rPr>
          <w:i/>
        </w:rPr>
        <w:t>See also</w:t>
      </w:r>
      <w:r w:rsidRPr="001E3995">
        <w:t xml:space="preserve"> Who </w:t>
      </w:r>
      <w:proofErr w:type="gramStart"/>
      <w:r w:rsidRPr="001E3995">
        <w:t>Dat?,</w:t>
      </w:r>
      <w:proofErr w:type="gramEnd"/>
      <w:r w:rsidRPr="001E3995">
        <w:t xml:space="preserve"> Inc.</w:t>
      </w:r>
      <w:r w:rsidRPr="001E3995">
        <w:t xml:space="preserve"> </w:t>
      </w:r>
      <w:r w:rsidRPr="001E3995">
        <w:t>v.</w:t>
      </w:r>
      <w:r w:rsidRPr="001E3995">
        <w:t xml:space="preserve"> </w:t>
      </w:r>
      <w:r w:rsidRPr="001E3995">
        <w:t>Rouse’s Enters., LLC, 2013 U.S.</w:t>
      </w:r>
      <w:r w:rsidRPr="001E3995">
        <w:t xml:space="preserve"> </w:t>
      </w:r>
      <w:r w:rsidRPr="001E3995">
        <w:t>Dist.</w:t>
      </w:r>
      <w:r w:rsidRPr="001E3995">
        <w:t xml:space="preserve"> </w:t>
      </w:r>
      <w:r w:rsidRPr="001E3995">
        <w:t>LEXIS 84700, at *7–8 (E.D.</w:t>
      </w:r>
      <w:r w:rsidRPr="001E3995">
        <w:t xml:space="preserve"> </w:t>
      </w:r>
      <w:r w:rsidRPr="001E3995">
        <w:t>La.</w:t>
      </w:r>
      <w:r w:rsidRPr="001E3995">
        <w:t xml:space="preserve"> </w:t>
      </w:r>
      <w:r w:rsidRPr="001E3995">
        <w:t>June 17, 2013) (permitting amendment to complaint, court cites confusion in the dilution section and asserts, without specifics, that plaintiff has sufficiently alleged that its mark is “famous”).</w:t>
      </w:r>
    </w:p>
    <w:p w14:paraId="378AEE1E" w14:textId="77777777" w:rsidR="001E3995" w:rsidRDefault="001E3995" w:rsidP="00691A84">
      <w:pPr>
        <w:pStyle w:val="footnote"/>
      </w:pPr>
    </w:p>
  </w:footnote>
  <w:footnote w:id="137">
    <w:p w14:paraId="2E8BF38B" w14:textId="6AA860D2" w:rsidR="001E3995" w:rsidRPr="001E3995" w:rsidRDefault="001E3995" w:rsidP="001E3995">
      <w:pPr>
        <w:pStyle w:val="FootnoteText"/>
      </w:pPr>
      <w:r w:rsidRPr="001E3995">
        <w:rPr>
          <w:vertAlign w:val="superscript"/>
        </w:rPr>
        <w:footnoteRef/>
      </w:r>
      <w:r w:rsidRPr="001E3995">
        <w:rPr>
          <w:i/>
        </w:rPr>
        <w:t>E.g.</w:t>
      </w:r>
      <w:r w:rsidRPr="001E3995">
        <w:t>, Eclipse Grp.</w:t>
      </w:r>
      <w:r w:rsidRPr="001E3995">
        <w:t xml:space="preserve"> </w:t>
      </w:r>
      <w:r w:rsidRPr="001E3995">
        <w:t>LLP v.</w:t>
      </w:r>
      <w:r w:rsidRPr="001E3995">
        <w:t xml:space="preserve"> </w:t>
      </w:r>
      <w:r w:rsidRPr="001E3995">
        <w:t>Eclipse IP, LLC, 2014 U.S.</w:t>
      </w:r>
      <w:r w:rsidRPr="001E3995">
        <w:t xml:space="preserve"> </w:t>
      </w:r>
      <w:r w:rsidRPr="001E3995">
        <w:t>Dist.</w:t>
      </w:r>
      <w:r w:rsidRPr="001E3995">
        <w:t xml:space="preserve"> </w:t>
      </w:r>
      <w:r w:rsidRPr="001E3995">
        <w:t>LEXIS 77475, at *10 (S.D.</w:t>
      </w:r>
      <w:r w:rsidRPr="001E3995">
        <w:t xml:space="preserve"> </w:t>
      </w:r>
      <w:r w:rsidRPr="001E3995">
        <w:t>Cal.</w:t>
      </w:r>
      <w:r w:rsidRPr="001E3995">
        <w:t xml:space="preserve"> </w:t>
      </w:r>
      <w:r w:rsidRPr="001E3995">
        <w:t>June 3, 2014) (“conclusory” allegations insufficient);</w:t>
      </w:r>
      <w:r w:rsidRPr="001E3995">
        <w:t xml:space="preserve"> </w:t>
      </w:r>
      <w:r w:rsidRPr="001E3995">
        <w:t>Mike Vaughn Custom Sports, Inc.</w:t>
      </w:r>
      <w:r w:rsidRPr="001E3995">
        <w:t xml:space="preserve"> </w:t>
      </w:r>
      <w:r w:rsidRPr="001E3995">
        <w:t>v.</w:t>
      </w:r>
      <w:r w:rsidRPr="001E3995">
        <w:t xml:space="preserve"> </w:t>
      </w:r>
      <w:r w:rsidRPr="001E3995">
        <w:t>Piku, 15 F.</w:t>
      </w:r>
      <w:r w:rsidRPr="001E3995">
        <w:t xml:space="preserve"> </w:t>
      </w:r>
      <w:r w:rsidRPr="001E3995">
        <w:t>Supp.</w:t>
      </w:r>
      <w:r w:rsidRPr="001E3995">
        <w:t xml:space="preserve"> </w:t>
      </w:r>
      <w:r w:rsidRPr="001E3995">
        <w:t>3d 735, 747–49 (E.D.</w:t>
      </w:r>
      <w:r w:rsidRPr="001E3995">
        <w:t xml:space="preserve"> </w:t>
      </w:r>
      <w:r w:rsidRPr="001E3995">
        <w:t>Mich.</w:t>
      </w:r>
      <w:r w:rsidRPr="001E3995">
        <w:t xml:space="preserve"> </w:t>
      </w:r>
      <w:r w:rsidRPr="001E3995">
        <w:t>2014) (dismissing trade dress claim);</w:t>
      </w:r>
      <w:r w:rsidRPr="001E3995">
        <w:t xml:space="preserve"> </w:t>
      </w:r>
      <w:r w:rsidRPr="001E3995">
        <w:t>Celebrity Chefs Tour, LLC v.</w:t>
      </w:r>
      <w:r w:rsidRPr="001E3995">
        <w:t xml:space="preserve"> </w:t>
      </w:r>
      <w:r w:rsidRPr="001E3995">
        <w:t>Macy’s, Inc., 16 F.</w:t>
      </w:r>
      <w:r w:rsidRPr="001E3995">
        <w:t xml:space="preserve"> </w:t>
      </w:r>
      <w:r w:rsidRPr="001E3995">
        <w:t>Supp.</w:t>
      </w:r>
      <w:r w:rsidRPr="001E3995">
        <w:t xml:space="preserve"> </w:t>
      </w:r>
      <w:r w:rsidRPr="001E3995">
        <w:t>3d 1123, 1137–38 (S.D.</w:t>
      </w:r>
      <w:r w:rsidRPr="001E3995">
        <w:t xml:space="preserve"> </w:t>
      </w:r>
      <w:r w:rsidRPr="001E3995">
        <w:t>Cal.</w:t>
      </w:r>
      <w:r w:rsidRPr="001E3995">
        <w:t xml:space="preserve"> </w:t>
      </w:r>
      <w:r w:rsidRPr="001E3995">
        <w:t>2014) (dismissing complaint that inadequately pleaded facts supporting claim of a famous mark);</w:t>
      </w:r>
      <w:r w:rsidRPr="001E3995">
        <w:t xml:space="preserve"> </w:t>
      </w:r>
      <w:r w:rsidRPr="001E3995">
        <w:t>Moses v.</w:t>
      </w:r>
      <w:r w:rsidRPr="001E3995">
        <w:t xml:space="preserve"> </w:t>
      </w:r>
      <w:r w:rsidRPr="001E3995">
        <w:t>YouTube, Inc., 2013 U.S.</w:t>
      </w:r>
      <w:r w:rsidRPr="001E3995">
        <w:t xml:space="preserve"> </w:t>
      </w:r>
      <w:r w:rsidRPr="001E3995">
        <w:t>Dist.</w:t>
      </w:r>
      <w:r w:rsidRPr="001E3995">
        <w:t xml:space="preserve"> </w:t>
      </w:r>
      <w:r w:rsidRPr="001E3995">
        <w:t>LEXIS 185014, at *27 (W.D.</w:t>
      </w:r>
      <w:r w:rsidRPr="001E3995">
        <w:t xml:space="preserve"> </w:t>
      </w:r>
      <w:r w:rsidRPr="001E3995">
        <w:t>Tenn.</w:t>
      </w:r>
      <w:r w:rsidRPr="001E3995">
        <w:t xml:space="preserve"> </w:t>
      </w:r>
      <w:r w:rsidRPr="001E3995">
        <w:t>Sept.</w:t>
      </w:r>
      <w:r w:rsidRPr="001E3995">
        <w:t xml:space="preserve"> </w:t>
      </w:r>
      <w:r w:rsidRPr="001E3995">
        <w:t xml:space="preserve">23, 2013) (magistrate judge opinion) (dismissing complaint that “merely states the legal standard without providing underlying factual support”), </w:t>
      </w:r>
      <w:r w:rsidRPr="001E3995">
        <w:rPr>
          <w:i/>
        </w:rPr>
        <w:t>adopted by</w:t>
      </w:r>
      <w:r w:rsidRPr="001E3995">
        <w:t xml:space="preserve"> 2014 U.S.</w:t>
      </w:r>
      <w:r w:rsidRPr="001E3995">
        <w:t xml:space="preserve"> </w:t>
      </w:r>
      <w:r w:rsidRPr="001E3995">
        <w:t>Dist.</w:t>
      </w:r>
      <w:r w:rsidRPr="001E3995">
        <w:t xml:space="preserve"> </w:t>
      </w:r>
      <w:r w:rsidRPr="001E3995">
        <w:t>LEXIS 17029 (W.D.</w:t>
      </w:r>
      <w:r w:rsidRPr="001E3995">
        <w:t xml:space="preserve"> </w:t>
      </w:r>
      <w:r w:rsidRPr="001E3995">
        <w:t>Tenn.</w:t>
      </w:r>
      <w:r w:rsidRPr="001E3995">
        <w:t xml:space="preserve"> </w:t>
      </w:r>
      <w:r w:rsidRPr="001E3995">
        <w:t>Feb.</w:t>
      </w:r>
      <w:r w:rsidRPr="001E3995">
        <w:t xml:space="preserve"> </w:t>
      </w:r>
      <w:r w:rsidRPr="001E3995">
        <w:t>11, 2014);</w:t>
      </w:r>
      <w:r w:rsidRPr="001E3995">
        <w:t xml:space="preserve"> </w:t>
      </w:r>
      <w:r w:rsidRPr="001E3995">
        <w:t>CourtAlert.com, Inc.</w:t>
      </w:r>
      <w:r w:rsidRPr="001E3995">
        <w:t xml:space="preserve"> </w:t>
      </w:r>
      <w:r w:rsidRPr="001E3995">
        <w:t>v.</w:t>
      </w:r>
      <w:r w:rsidRPr="001E3995">
        <w:t xml:space="preserve"> </w:t>
      </w:r>
      <w:r w:rsidRPr="001E3995">
        <w:t>e-Law, LLC, 2013 U.S.</w:t>
      </w:r>
      <w:r w:rsidRPr="001E3995">
        <w:t xml:space="preserve"> </w:t>
      </w:r>
      <w:r w:rsidRPr="001E3995">
        <w:t>Dist.</w:t>
      </w:r>
      <w:r w:rsidRPr="001E3995">
        <w:t xml:space="preserve"> </w:t>
      </w:r>
      <w:r w:rsidRPr="001E3995">
        <w:t>LEXIS 126926, at *19–21 (S.D.N.Y.</w:t>
      </w:r>
      <w:r w:rsidRPr="001E3995">
        <w:t xml:space="preserve"> </w:t>
      </w:r>
      <w:r w:rsidRPr="001E3995">
        <w:t>Aug.</w:t>
      </w:r>
      <w:r w:rsidRPr="001E3995">
        <w:t xml:space="preserve"> </w:t>
      </w:r>
      <w:r w:rsidRPr="001E3995">
        <w:t>26, 2013) (complaint failed to plead facts supporting bare allegation of fame and failed to plead facts supporting allegations of dilution);</w:t>
      </w:r>
      <w:r w:rsidRPr="001E3995">
        <w:t xml:space="preserve"> </w:t>
      </w:r>
      <w:r w:rsidRPr="001E3995">
        <w:t>Newsboys v.</w:t>
      </w:r>
      <w:r w:rsidRPr="001E3995">
        <w:t xml:space="preserve"> </w:t>
      </w:r>
      <w:r w:rsidRPr="001E3995">
        <w:t>Warner Bros.</w:t>
      </w:r>
      <w:r w:rsidRPr="001E3995">
        <w:t xml:space="preserve"> </w:t>
      </w:r>
      <w:r w:rsidRPr="001E3995">
        <w:t>Records, Inc., 2013 U.S.</w:t>
      </w:r>
      <w:r w:rsidRPr="001E3995">
        <w:t xml:space="preserve"> </w:t>
      </w:r>
      <w:r w:rsidRPr="001E3995">
        <w:t>Dist.</w:t>
      </w:r>
      <w:r w:rsidRPr="001E3995">
        <w:t xml:space="preserve"> </w:t>
      </w:r>
      <w:r w:rsidRPr="001E3995">
        <w:t>LEXIS 97695, at *13–14 (M.D.</w:t>
      </w:r>
      <w:r w:rsidRPr="001E3995">
        <w:t xml:space="preserve"> </w:t>
      </w:r>
      <w:r w:rsidRPr="001E3995">
        <w:t>Tenn.</w:t>
      </w:r>
      <w:r w:rsidRPr="001E3995">
        <w:t xml:space="preserve"> </w:t>
      </w:r>
      <w:r w:rsidRPr="001E3995">
        <w:t xml:space="preserve">July 11, 2013) (citing the Supreme Court’s </w:t>
      </w:r>
      <w:r w:rsidRPr="001E3995">
        <w:rPr>
          <w:i/>
        </w:rPr>
        <w:t>Moseley</w:t>
      </w:r>
      <w:r w:rsidRPr="001E3995">
        <w:t xml:space="preserve"> opinion).</w:t>
      </w:r>
      <w:r w:rsidRPr="001E3995">
        <w:t xml:space="preserve"> </w:t>
      </w:r>
      <w:r w:rsidRPr="001E3995">
        <w:t xml:space="preserve">In </w:t>
      </w:r>
      <w:r w:rsidRPr="001E3995">
        <w:rPr>
          <w:rStyle w:val="BCasenamefull"/>
        </w:rPr>
        <w:t>Parts.com, LLC v. Yahoo!, Inc.</w:t>
      </w:r>
      <w:r w:rsidRPr="001E3995">
        <w:t>, 996 F.</w:t>
      </w:r>
      <w:r w:rsidRPr="001E3995">
        <w:t xml:space="preserve"> </w:t>
      </w:r>
      <w:r w:rsidRPr="001E3995">
        <w:t>Supp.</w:t>
      </w:r>
      <w:r w:rsidRPr="001E3995">
        <w:t xml:space="preserve"> </w:t>
      </w:r>
      <w:r w:rsidRPr="001E3995">
        <w:t>2d 933, 940–41, 109 USPQ2d 1410 (S.D.</w:t>
      </w:r>
      <w:r w:rsidRPr="001E3995">
        <w:t xml:space="preserve"> </w:t>
      </w:r>
      <w:r w:rsidRPr="001E3995">
        <w:t>Cal.</w:t>
      </w:r>
      <w:r w:rsidRPr="001E3995">
        <w:t xml:space="preserve"> </w:t>
      </w:r>
      <w:r w:rsidRPr="001E3995">
        <w:t>2013), the court initially dismissed the complaint, after analyzing each fame factor, citing a lack of pleaded facts to support allegations of fame.</w:t>
      </w:r>
      <w:r w:rsidRPr="001E3995">
        <w:t xml:space="preserve"> </w:t>
      </w:r>
      <w:r w:rsidRPr="001E3995">
        <w:t>However, after the plaintiff amended its complaint, adding more specific allegations relating to each of the factors, as well as facts relating to likelihood of dilution, the court upheld the amended complaint against a motion to dismiss.</w:t>
      </w:r>
      <w:r w:rsidRPr="001E3995">
        <w:t xml:space="preserve"> </w:t>
      </w:r>
      <w:r w:rsidRPr="001E3995">
        <w:t>Parts.com, LLC v.</w:t>
      </w:r>
      <w:r w:rsidRPr="001E3995">
        <w:t xml:space="preserve"> </w:t>
      </w:r>
      <w:r w:rsidRPr="001E3995">
        <w:t>Yahoo!, Inc., 2014 U.S.</w:t>
      </w:r>
      <w:r w:rsidRPr="001E3995">
        <w:t xml:space="preserve"> </w:t>
      </w:r>
      <w:r w:rsidRPr="001E3995">
        <w:t>Dist.</w:t>
      </w:r>
      <w:r w:rsidRPr="001E3995">
        <w:t xml:space="preserve"> </w:t>
      </w:r>
      <w:r w:rsidRPr="001E3995">
        <w:t>LEXIS 79090, at *9–12 (S.D.</w:t>
      </w:r>
      <w:r w:rsidRPr="001E3995">
        <w:t xml:space="preserve"> </w:t>
      </w:r>
      <w:r w:rsidRPr="001E3995">
        <w:t>Cal.</w:t>
      </w:r>
      <w:r w:rsidRPr="001E3995">
        <w:t xml:space="preserve"> </w:t>
      </w:r>
      <w:r w:rsidRPr="001E3995">
        <w:t>June 9, 2014).</w:t>
      </w:r>
      <w:r w:rsidRPr="001E3995">
        <w:t xml:space="preserve"> </w:t>
      </w:r>
      <w:r w:rsidRPr="001E3995">
        <w:rPr>
          <w:i/>
        </w:rPr>
        <w:t>See also</w:t>
      </w:r>
      <w:r w:rsidRPr="001E3995">
        <w:t xml:space="preserve"> cases cited in Chapter 8, §III.B.</w:t>
      </w:r>
    </w:p>
    <w:p w14:paraId="4A0AEB72" w14:textId="77777777" w:rsidR="001E3995" w:rsidRDefault="001E3995" w:rsidP="002010F9">
      <w:pPr>
        <w:pStyle w:val="footnote"/>
      </w:pPr>
    </w:p>
  </w:footnote>
  <w:footnote w:id="138">
    <w:p w14:paraId="5535C968" w14:textId="79F797EA" w:rsidR="001E3995" w:rsidRDefault="001E3995" w:rsidP="001E3995">
      <w:pPr>
        <w:pStyle w:val="FootnoteText"/>
      </w:pPr>
      <w:r w:rsidRPr="001E3995">
        <w:rPr>
          <w:vertAlign w:val="superscript"/>
        </w:rPr>
        <w:footnoteRef/>
      </w:r>
      <w:r w:rsidRPr="001E3995">
        <w:rPr>
          <w:i/>
        </w:rPr>
        <w:t>See, e.g.</w:t>
      </w:r>
      <w:r w:rsidRPr="001E3995">
        <w:t xml:space="preserve">, </w:t>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26(c), 37(b).</w:t>
      </w:r>
    </w:p>
  </w:footnote>
  <w:footnote w:id="139">
    <w:p w14:paraId="198B5648" w14:textId="2A8BDC07" w:rsid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rPr>
          <w:smallCaps/>
        </w:rPr>
        <w:t>11.</w:t>
      </w:r>
      <w:r w:rsidRPr="001E3995">
        <w:rPr>
          <w:smallCaps/>
        </w:rPr>
        <w:t xml:space="preserve"> </w:t>
      </w:r>
      <w:r w:rsidRPr="001E3995">
        <w:t>Rule 11 may also be used if a party makes a frivolous motion to dismiss.</w:t>
      </w:r>
      <w:r w:rsidRPr="001E3995">
        <w:t xml:space="preserve"> </w:t>
      </w:r>
      <w:r w:rsidRPr="001E3995">
        <w:rPr>
          <w:i/>
        </w:rPr>
        <w:t>See</w:t>
      </w:r>
      <w:r w:rsidRPr="001E3995">
        <w:t xml:space="preserve"> </w:t>
      </w:r>
      <w:proofErr w:type="spellStart"/>
      <w:r w:rsidRPr="001E3995">
        <w:t>Northface</w:t>
      </w:r>
      <w:proofErr w:type="spellEnd"/>
      <w:r w:rsidRPr="001E3995">
        <w:t xml:space="preserve"> Apparel Corp.</w:t>
      </w:r>
      <w:r w:rsidRPr="001E3995">
        <w:t xml:space="preserve"> </w:t>
      </w:r>
      <w:r w:rsidRPr="001E3995">
        <w:t>v.</w:t>
      </w:r>
      <w:r w:rsidRPr="001E3995">
        <w:t xml:space="preserve"> </w:t>
      </w:r>
      <w:r w:rsidRPr="001E3995">
        <w:t>Williams Pharmacy, Inc., 93 USPQ2d 1774, 1776 (E.D.</w:t>
      </w:r>
      <w:r w:rsidRPr="001E3995">
        <w:t xml:space="preserve"> </w:t>
      </w:r>
      <w:r w:rsidRPr="001E3995">
        <w:t>Mo.</w:t>
      </w:r>
      <w:r w:rsidRPr="001E3995">
        <w:t xml:space="preserve"> </w:t>
      </w:r>
      <w:r w:rsidRPr="001E3995">
        <w:t>2010) (admonishing parties about frivolous motions, although finding defendant’s motion not to be frivolous).</w:t>
      </w:r>
    </w:p>
  </w:footnote>
  <w:footnote w:id="140">
    <w:p w14:paraId="75E3DE6F" w14:textId="7BB1FFDC" w:rsidR="001E3995" w:rsidRPr="001E3995" w:rsidRDefault="001E3995" w:rsidP="001E3995">
      <w:pPr>
        <w:pStyle w:val="FootnoteText"/>
      </w:pPr>
      <w:r w:rsidRPr="001E3995">
        <w:rPr>
          <w:vertAlign w:val="superscript"/>
        </w:rPr>
        <w:footnoteRef/>
      </w:r>
      <w:proofErr w:type="spellStart"/>
      <w:r w:rsidRPr="001E3995">
        <w:t>Tempur</w:t>
      </w:r>
      <w:proofErr w:type="spellEnd"/>
      <w:r w:rsidRPr="001E3995">
        <w:t>-Pedic Int’l, Inc.</w:t>
      </w:r>
      <w:r w:rsidRPr="001E3995">
        <w:t xml:space="preserve"> </w:t>
      </w:r>
      <w:r w:rsidRPr="001E3995">
        <w:t>v.</w:t>
      </w:r>
      <w:r w:rsidRPr="001E3995">
        <w:t xml:space="preserve"> </w:t>
      </w:r>
      <w:r w:rsidRPr="001E3995">
        <w:t>Angel Beds, LLC, 902 F.</w:t>
      </w:r>
      <w:r w:rsidRPr="001E3995">
        <w:t xml:space="preserve"> </w:t>
      </w:r>
      <w:r w:rsidRPr="001E3995">
        <w:t>Supp.</w:t>
      </w:r>
      <w:r w:rsidRPr="001E3995">
        <w:t xml:space="preserve"> </w:t>
      </w:r>
      <w:r w:rsidRPr="001E3995">
        <w:t>2d 958, 970–72 (S.D.</w:t>
      </w:r>
      <w:r w:rsidRPr="001E3995">
        <w:t xml:space="preserve"> </w:t>
      </w:r>
      <w:r w:rsidRPr="001E3995">
        <w:t>Tex.</w:t>
      </w:r>
      <w:r w:rsidRPr="001E3995">
        <w:t xml:space="preserve"> </w:t>
      </w:r>
      <w:r w:rsidRPr="001E3995">
        <w:t>2012).</w:t>
      </w:r>
      <w:r w:rsidRPr="001E3995">
        <w:t xml:space="preserve"> </w:t>
      </w:r>
      <w:r w:rsidRPr="001E3995">
        <w:rPr>
          <w:i/>
        </w:rPr>
        <w:t>See</w:t>
      </w:r>
      <w:r w:rsidRPr="001E3995">
        <w:t xml:space="preserve"> Suede Grp., Inc.</w:t>
      </w:r>
      <w:r w:rsidRPr="001E3995">
        <w:t xml:space="preserve"> </w:t>
      </w:r>
      <w:r w:rsidRPr="001E3995">
        <w:t>v.</w:t>
      </w:r>
      <w:r w:rsidRPr="001E3995">
        <w:t xml:space="preserve"> </w:t>
      </w:r>
      <w:r w:rsidRPr="001E3995">
        <w:t>S Grp.</w:t>
      </w:r>
      <w:r w:rsidRPr="001E3995">
        <w:t xml:space="preserve"> </w:t>
      </w:r>
      <w:r w:rsidRPr="001E3995">
        <w:t>LLC, 2013 U.S.</w:t>
      </w:r>
      <w:r w:rsidRPr="001E3995">
        <w:t xml:space="preserve"> </w:t>
      </w:r>
      <w:r w:rsidRPr="001E3995">
        <w:t>Dist.</w:t>
      </w:r>
      <w:r w:rsidRPr="001E3995">
        <w:t xml:space="preserve"> </w:t>
      </w:r>
      <w:r w:rsidRPr="001E3995">
        <w:t>LEXIS 7006 (D.</w:t>
      </w:r>
      <w:r w:rsidRPr="001E3995">
        <w:t xml:space="preserve"> </w:t>
      </w:r>
      <w:r w:rsidRPr="001E3995">
        <w:t>Kan.</w:t>
      </w:r>
      <w:r w:rsidRPr="001E3995">
        <w:t xml:space="preserve"> </w:t>
      </w:r>
      <w:r w:rsidRPr="001E3995">
        <w:t>Jan.</w:t>
      </w:r>
      <w:r w:rsidRPr="001E3995">
        <w:t xml:space="preserve"> </w:t>
      </w:r>
      <w:r w:rsidRPr="001E3995">
        <w:t>17, 2013) (denying Rule 12(e) motion).</w:t>
      </w:r>
    </w:p>
    <w:p w14:paraId="41D93F16" w14:textId="77777777" w:rsidR="001E3995" w:rsidRDefault="001E3995" w:rsidP="002010F9">
      <w:pPr>
        <w:pStyle w:val="footnote"/>
      </w:pPr>
    </w:p>
  </w:footnote>
  <w:footnote w:id="141">
    <w:p w14:paraId="0991E6C5" w14:textId="76B19367" w:rsidR="001E3995" w:rsidRDefault="001E3995" w:rsidP="001E3995">
      <w:pPr>
        <w:pStyle w:val="FootnoteText"/>
      </w:pPr>
      <w:r w:rsidRPr="001E3995">
        <w:rPr>
          <w:vertAlign w:val="superscript"/>
        </w:rPr>
        <w:footnoteRef/>
      </w:r>
      <w:r w:rsidRPr="001E3995">
        <w:rPr>
          <w:i/>
        </w:rPr>
        <w:t>E.g</w:t>
      </w:r>
      <w:r w:rsidRPr="001E3995">
        <w:t>., Koi Grp., Inc.</w:t>
      </w:r>
      <w:r w:rsidRPr="001E3995">
        <w:t xml:space="preserve"> </w:t>
      </w:r>
      <w:r w:rsidRPr="001E3995">
        <w:t>v.</w:t>
      </w:r>
      <w:r w:rsidRPr="001E3995">
        <w:t xml:space="preserve"> </w:t>
      </w:r>
      <w:r w:rsidRPr="001E3995">
        <w:t>Koka, LLC, 2008 U.S.</w:t>
      </w:r>
      <w:r w:rsidRPr="001E3995">
        <w:t xml:space="preserve"> </w:t>
      </w:r>
      <w:r w:rsidRPr="001E3995">
        <w:t>Dist.</w:t>
      </w:r>
      <w:r w:rsidRPr="001E3995">
        <w:t xml:space="preserve"> </w:t>
      </w:r>
      <w:r w:rsidRPr="001E3995">
        <w:t>LEXIS 100187, at *5–6 (D.</w:t>
      </w:r>
      <w:r w:rsidRPr="001E3995">
        <w:t xml:space="preserve"> </w:t>
      </w:r>
      <w:r w:rsidRPr="001E3995">
        <w:t>Ariz.</w:t>
      </w:r>
      <w:r w:rsidRPr="001E3995">
        <w:t xml:space="preserve"> </w:t>
      </w:r>
      <w:r w:rsidRPr="001E3995">
        <w:t>Nov.</w:t>
      </w:r>
      <w:r w:rsidRPr="001E3995">
        <w:t xml:space="preserve"> </w:t>
      </w:r>
      <w:r w:rsidRPr="001E3995">
        <w:t>24, 2008) (default allows acceptance of allegations except damages, which plaintiff must prove);</w:t>
      </w:r>
      <w:r w:rsidRPr="001E3995">
        <w:t xml:space="preserve"> </w:t>
      </w:r>
      <w:r w:rsidRPr="001E3995">
        <w:t>Ohio Sav.</w:t>
      </w:r>
      <w:r w:rsidRPr="001E3995">
        <w:t xml:space="preserve"> </w:t>
      </w:r>
      <w:r w:rsidRPr="001E3995">
        <w:t>Bank v.</w:t>
      </w:r>
      <w:r w:rsidRPr="001E3995">
        <w:t xml:space="preserve"> </w:t>
      </w:r>
      <w:r w:rsidRPr="001E3995">
        <w:t>Kempa, 2008 U.S.</w:t>
      </w:r>
      <w:r w:rsidRPr="001E3995">
        <w:t xml:space="preserve"> </w:t>
      </w:r>
      <w:r w:rsidRPr="001E3995">
        <w:t>Dist.</w:t>
      </w:r>
      <w:r w:rsidRPr="001E3995">
        <w:t xml:space="preserve"> </w:t>
      </w:r>
      <w:r w:rsidRPr="001E3995">
        <w:t>LEXIS 7056, at *6–7 (M.D.</w:t>
      </w:r>
      <w:r w:rsidRPr="001E3995">
        <w:t xml:space="preserve"> </w:t>
      </w:r>
      <w:r w:rsidRPr="001E3995">
        <w:t>Fla.</w:t>
      </w:r>
      <w:r w:rsidRPr="001E3995">
        <w:t xml:space="preserve"> </w:t>
      </w:r>
      <w:r w:rsidRPr="001E3995">
        <w:t>Jan.</w:t>
      </w:r>
      <w:r w:rsidRPr="001E3995">
        <w:t xml:space="preserve"> </w:t>
      </w:r>
      <w:r w:rsidRPr="001E3995">
        <w:t>31, 2008);</w:t>
      </w:r>
      <w:r w:rsidRPr="001E3995">
        <w:t xml:space="preserve"> </w:t>
      </w:r>
      <w:r w:rsidRPr="001E3995">
        <w:t>Stiefel Labs., Inc.</w:t>
      </w:r>
      <w:r w:rsidRPr="001E3995">
        <w:t xml:space="preserve"> </w:t>
      </w:r>
      <w:r w:rsidRPr="001E3995">
        <w:t>v.</w:t>
      </w:r>
      <w:r w:rsidRPr="001E3995">
        <w:t xml:space="preserve"> </w:t>
      </w:r>
      <w:proofErr w:type="spellStart"/>
      <w:r w:rsidRPr="001E3995">
        <w:t>Galenium</w:t>
      </w:r>
      <w:proofErr w:type="spellEnd"/>
      <w:r w:rsidRPr="001E3995">
        <w:t xml:space="preserve"> USA, LLC, 2006 WL 1548008, 2006 BL 85183 (S.D.</w:t>
      </w:r>
      <w:r w:rsidRPr="001E3995">
        <w:t xml:space="preserve"> </w:t>
      </w:r>
      <w:r w:rsidRPr="001E3995">
        <w:t>Fla.</w:t>
      </w:r>
      <w:r w:rsidRPr="001E3995">
        <w:t xml:space="preserve"> </w:t>
      </w:r>
      <w:r w:rsidRPr="001E3995">
        <w:t>May 2, 2006).</w:t>
      </w:r>
    </w:p>
  </w:footnote>
  <w:footnote w:id="142">
    <w:p w14:paraId="23351D13" w14:textId="51AC1A2D" w:rsidR="001E3995" w:rsidRDefault="001E3995" w:rsidP="001E3995">
      <w:pPr>
        <w:pStyle w:val="FootnoteText"/>
      </w:pPr>
      <w:r w:rsidRPr="001E3995">
        <w:rPr>
          <w:vertAlign w:val="superscript"/>
        </w:rPr>
        <w:footnoteRef/>
      </w:r>
      <w:r w:rsidRPr="001E3995">
        <w:t>Smith v.</w:t>
      </w:r>
      <w:r w:rsidRPr="001E3995">
        <w:t xml:space="preserve"> </w:t>
      </w:r>
      <w:r w:rsidRPr="001E3995">
        <w:t>Wal-Mart Stores, Inc., 475 F.</w:t>
      </w:r>
      <w:r w:rsidRPr="001E3995">
        <w:t xml:space="preserve"> </w:t>
      </w:r>
      <w:r w:rsidRPr="001E3995">
        <w:t>Supp.</w:t>
      </w:r>
      <w:r w:rsidRPr="001E3995">
        <w:t xml:space="preserve"> </w:t>
      </w:r>
      <w:r w:rsidRPr="001E3995">
        <w:t>2d 1318, 1323 (N.D.</w:t>
      </w:r>
      <w:r w:rsidRPr="001E3995">
        <w:t xml:space="preserve"> </w:t>
      </w:r>
      <w:r w:rsidRPr="001E3995">
        <w:t>Ga.</w:t>
      </w:r>
      <w:r w:rsidRPr="001E3995">
        <w:t xml:space="preserve"> </w:t>
      </w:r>
      <w:r w:rsidRPr="001E3995">
        <w:t>2007).</w:t>
      </w:r>
      <w:r w:rsidRPr="001E3995">
        <w:t xml:space="preserve"> </w:t>
      </w:r>
      <w:r w:rsidRPr="001E3995">
        <w:t>The plaintiff sued for a declaratory judgment that its parodies of the Wal-Mart mark did not violate federal or state trademark law.</w:t>
      </w:r>
    </w:p>
  </w:footnote>
  <w:footnote w:id="143">
    <w:p w14:paraId="7DEDA1A5" w14:textId="1570D99F" w:rsid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1324.</w:t>
      </w:r>
    </w:p>
  </w:footnote>
  <w:footnote w:id="144">
    <w:p w14:paraId="7262A52A" w14:textId="6700F679" w:rsidR="001E3995" w:rsidRDefault="001E3995" w:rsidP="001E3995">
      <w:pPr>
        <w:pStyle w:val="FootnoteText"/>
      </w:pPr>
      <w:r w:rsidRPr="001E3995">
        <w:rPr>
          <w:rStyle w:val="FootnoteReference"/>
          <w:rFonts w:eastAsiaTheme="majorEastAsia"/>
        </w:rPr>
        <w:footnoteRef/>
      </w:r>
      <w:r w:rsidRPr="001E3995">
        <w:t>Crocs, Inc.</w:t>
      </w:r>
      <w:r w:rsidRPr="001E3995">
        <w:t xml:space="preserve"> </w:t>
      </w:r>
      <w:r w:rsidRPr="001E3995">
        <w:t>v.</w:t>
      </w:r>
      <w:r w:rsidRPr="001E3995">
        <w:t xml:space="preserve"> </w:t>
      </w:r>
      <w:proofErr w:type="spellStart"/>
      <w:r w:rsidRPr="001E3995">
        <w:t>Joybees</w:t>
      </w:r>
      <w:proofErr w:type="spellEnd"/>
      <w:r w:rsidRPr="001E3995">
        <w:t>, Inc., 2024 WL 2864638, at *1, 2024 BL 199034 (D.</w:t>
      </w:r>
      <w:r w:rsidRPr="001E3995">
        <w:t xml:space="preserve"> </w:t>
      </w:r>
      <w:r w:rsidRPr="001E3995">
        <w:t>Colo.</w:t>
      </w:r>
      <w:r w:rsidRPr="001E3995">
        <w:t xml:space="preserve"> </w:t>
      </w:r>
      <w:r w:rsidRPr="001E3995">
        <w:t>May 8, 2024).</w:t>
      </w:r>
    </w:p>
  </w:footnote>
  <w:footnote w:id="145">
    <w:p w14:paraId="5DA62E06" w14:textId="0112A4CB" w:rsidR="001E3995" w:rsidRDefault="001E3995" w:rsidP="001E3995">
      <w:pPr>
        <w:pStyle w:val="FootnoteText"/>
      </w:pPr>
      <w:r w:rsidRPr="001E3995">
        <w:rPr>
          <w:vertAlign w:val="superscript"/>
        </w:rPr>
        <w:footnoteRef/>
      </w:r>
      <w:r w:rsidRPr="001E3995">
        <w:t>Charles Alan Wright, Arthur R.</w:t>
      </w:r>
      <w:r w:rsidRPr="001E3995">
        <w:t xml:space="preserve"> </w:t>
      </w:r>
      <w:r w:rsidRPr="001E3995">
        <w:t>Miller, Mary K.</w:t>
      </w:r>
      <w:r w:rsidRPr="001E3995">
        <w:t xml:space="preserve"> </w:t>
      </w:r>
      <w:r w:rsidRPr="001E3995">
        <w:t>Kane, Richard L.</w:t>
      </w:r>
      <w:r w:rsidRPr="001E3995">
        <w:t xml:space="preserve"> </w:t>
      </w:r>
      <w:r w:rsidRPr="001E3995">
        <w:t>Marcus, 8B Federal Practice and Procedure §2252 (3d ed.</w:t>
      </w:r>
      <w:r w:rsidRPr="001E3995">
        <w:t xml:space="preserve"> </w:t>
      </w:r>
      <w:r w:rsidRPr="001E3995">
        <w:t xml:space="preserve">2012) (hereafter </w:t>
      </w:r>
      <w:proofErr w:type="gramStart"/>
      <w:r w:rsidRPr="001E3995">
        <w:t>Wright  &amp;</w:t>
      </w:r>
      <w:proofErr w:type="gramEnd"/>
      <w:r w:rsidRPr="001E3995">
        <w:t xml:space="preserve"> Miller).</w:t>
      </w:r>
    </w:p>
  </w:footnote>
  <w:footnote w:id="146">
    <w:p w14:paraId="3D11E08E" w14:textId="25595E56" w:rsidR="001E3995" w:rsidRDefault="001E3995" w:rsidP="001E3995">
      <w:pPr>
        <w:pStyle w:val="FootnoteText"/>
      </w:pPr>
      <w:r w:rsidRPr="001E3995">
        <w:rPr>
          <w:vertAlign w:val="superscript"/>
        </w:rPr>
        <w:footnoteRef/>
      </w:r>
      <w:r w:rsidRPr="001E3995">
        <w:rPr>
          <w:i/>
        </w:rPr>
        <w:t>See</w:t>
      </w:r>
      <w:r w:rsidRPr="001E3995">
        <w:t xml:space="preserve"> Husbands for Rent, Inc.</w:t>
      </w:r>
      <w:r w:rsidRPr="001E3995">
        <w:t xml:space="preserve"> </w:t>
      </w:r>
      <w:r w:rsidRPr="001E3995">
        <w:t>v.</w:t>
      </w:r>
      <w:r w:rsidRPr="001E3995">
        <w:t xml:space="preserve"> </w:t>
      </w:r>
      <w:r w:rsidRPr="001E3995">
        <w:t>Handy Husbands for Rent, Inc., 2006 U.S.</w:t>
      </w:r>
      <w:r w:rsidRPr="001E3995">
        <w:t xml:space="preserve"> </w:t>
      </w:r>
      <w:r w:rsidRPr="001E3995">
        <w:t>Dist.</w:t>
      </w:r>
      <w:r w:rsidRPr="001E3995">
        <w:t xml:space="preserve"> </w:t>
      </w:r>
      <w:r w:rsidRPr="001E3995">
        <w:t>LEXIS 6843, at *1 (N.D.</w:t>
      </w:r>
      <w:r w:rsidRPr="001E3995">
        <w:t xml:space="preserve"> </w:t>
      </w:r>
      <w:r w:rsidRPr="001E3995">
        <w:t>Cal.</w:t>
      </w:r>
      <w:r w:rsidRPr="001E3995">
        <w:t xml:space="preserve"> </w:t>
      </w:r>
      <w:r w:rsidRPr="001E3995">
        <w:t>Feb.</w:t>
      </w:r>
      <w:r w:rsidRPr="001E3995">
        <w:t xml:space="preserve"> </w:t>
      </w:r>
      <w:r w:rsidRPr="001E3995">
        <w:t>23, 2006) (defendant’s failure to respond resulted in court finding infringement and dilution) (magistrate judge opinion).</w:t>
      </w:r>
    </w:p>
  </w:footnote>
  <w:footnote w:id="147">
    <w:p w14:paraId="158C130D" w14:textId="5284C14C" w:rsidR="001E3995" w:rsidRDefault="001E3995" w:rsidP="001E3995">
      <w:pPr>
        <w:pStyle w:val="FootnoteText"/>
      </w:pPr>
      <w:r w:rsidRPr="001E3995">
        <w:rPr>
          <w:vertAlign w:val="superscript"/>
        </w:rPr>
        <w:footnoteRef/>
      </w:r>
      <w:r w:rsidRPr="001E3995">
        <w:rPr>
          <w:i/>
        </w:rPr>
        <w:t>See</w:t>
      </w:r>
      <w:r w:rsidRPr="001E3995">
        <w:t xml:space="preserve"> </w:t>
      </w:r>
      <w:proofErr w:type="spellStart"/>
      <w:r w:rsidRPr="001E3995">
        <w:t>Adventis</w:t>
      </w:r>
      <w:proofErr w:type="spellEnd"/>
      <w:r w:rsidRPr="001E3995">
        <w:t>, Inc.</w:t>
      </w:r>
      <w:r w:rsidRPr="001E3995">
        <w:t xml:space="preserve"> </w:t>
      </w:r>
      <w:r w:rsidRPr="001E3995">
        <w:t>v.</w:t>
      </w:r>
      <w:r w:rsidRPr="001E3995">
        <w:t xml:space="preserve"> </w:t>
      </w:r>
      <w:r w:rsidRPr="001E3995">
        <w:t>Consolidated Prop.</w:t>
      </w:r>
      <w:r w:rsidRPr="001E3995">
        <w:t xml:space="preserve"> </w:t>
      </w:r>
      <w:r w:rsidRPr="001E3995">
        <w:t>Holdings, Inc., 124 F.</w:t>
      </w:r>
      <w:r w:rsidRPr="001E3995">
        <w:t xml:space="preserve"> </w:t>
      </w:r>
      <w:proofErr w:type="spellStart"/>
      <w:r w:rsidRPr="001E3995">
        <w:t>App’x</w:t>
      </w:r>
      <w:proofErr w:type="spellEnd"/>
      <w:r w:rsidRPr="001E3995">
        <w:t>.</w:t>
      </w:r>
      <w:r w:rsidRPr="001E3995">
        <w:t xml:space="preserve"> </w:t>
      </w:r>
      <w:r w:rsidRPr="001E3995">
        <w:t>169, 172–73 (4th Cir.</w:t>
      </w:r>
      <w:r w:rsidRPr="001E3995">
        <w:t xml:space="preserve"> </w:t>
      </w:r>
      <w:r w:rsidRPr="001E3995">
        <w:t>2005) (noting that district courts have discretion as to scope of admissions but cannot disregard them) (unpublished opinion, not citable as precedent);</w:t>
      </w:r>
      <w:r w:rsidRPr="001E3995">
        <w:t xml:space="preserve"> </w:t>
      </w:r>
      <w:r w:rsidRPr="001E3995">
        <w:t>Switchmusic.com, Inc.</w:t>
      </w:r>
      <w:r w:rsidRPr="001E3995">
        <w:t xml:space="preserve"> </w:t>
      </w:r>
      <w:r w:rsidRPr="001E3995">
        <w:t>v.</w:t>
      </w:r>
      <w:r w:rsidRPr="001E3995">
        <w:t xml:space="preserve"> </w:t>
      </w:r>
      <w:r w:rsidRPr="001E3995">
        <w:t>U.S.</w:t>
      </w:r>
      <w:r w:rsidRPr="001E3995">
        <w:t xml:space="preserve"> </w:t>
      </w:r>
      <w:r w:rsidRPr="001E3995">
        <w:t>Music Corp., 416 F.</w:t>
      </w:r>
      <w:r w:rsidRPr="001E3995">
        <w:t xml:space="preserve"> </w:t>
      </w:r>
      <w:r w:rsidRPr="001E3995">
        <w:t>Supp.</w:t>
      </w:r>
      <w:r w:rsidRPr="001E3995">
        <w:t xml:space="preserve"> </w:t>
      </w:r>
      <w:r w:rsidRPr="001E3995">
        <w:t>2d 812, 818 (C.D.</w:t>
      </w:r>
      <w:r w:rsidRPr="001E3995">
        <w:t xml:space="preserve"> </w:t>
      </w:r>
      <w:r w:rsidRPr="001E3995">
        <w:t>Cal.</w:t>
      </w:r>
      <w:r w:rsidRPr="001E3995">
        <w:t xml:space="preserve"> </w:t>
      </w:r>
      <w:r w:rsidRPr="001E3995">
        <w:t>2006) (party that fails to respond to Rule 36 requests cannot attempt to contradict admitted facts in response to summary judgment motion);</w:t>
      </w:r>
      <w:r w:rsidRPr="001E3995">
        <w:t xml:space="preserve"> </w:t>
      </w:r>
      <w:r w:rsidRPr="001E3995">
        <w:t xml:space="preserve">8B </w:t>
      </w:r>
      <w:r w:rsidRPr="001E3995">
        <w:rPr>
          <w:smallCaps/>
        </w:rPr>
        <w:t>Wright &amp; Miller</w:t>
      </w:r>
      <w:r w:rsidRPr="001E3995">
        <w:t xml:space="preserve"> §2264.</w:t>
      </w:r>
    </w:p>
  </w:footnote>
  <w:footnote w:id="148">
    <w:p w14:paraId="504FB944" w14:textId="49F868C2" w:rsidR="001E3995" w:rsidRPr="001E3995" w:rsidRDefault="001E3995" w:rsidP="001E3995">
      <w:pPr>
        <w:pStyle w:val="FootnoteText"/>
      </w:pPr>
      <w:r w:rsidRPr="001E3995">
        <w:rPr>
          <w:vertAlign w:val="superscript"/>
        </w:rPr>
        <w:footnoteRef/>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36(b).</w:t>
      </w:r>
      <w:r w:rsidRPr="001E3995">
        <w:t xml:space="preserve"> </w:t>
      </w:r>
      <w:r w:rsidRPr="001E3995">
        <w:rPr>
          <w:i/>
        </w:rPr>
        <w:t>See</w:t>
      </w:r>
      <w:r w:rsidRPr="001E3995">
        <w:t xml:space="preserve"> River Light v.</w:t>
      </w:r>
      <w:r w:rsidRPr="001E3995">
        <w:t xml:space="preserve"> </w:t>
      </w:r>
      <w:r w:rsidRPr="001E3995">
        <w:t>Lin, 299 F.R.D.</w:t>
      </w:r>
      <w:r w:rsidRPr="001E3995">
        <w:t xml:space="preserve"> </w:t>
      </w:r>
      <w:r w:rsidRPr="001E3995">
        <w:t>61, 63–65 (S.D.N.Y.</w:t>
      </w:r>
      <w:r w:rsidRPr="001E3995">
        <w:t xml:space="preserve"> </w:t>
      </w:r>
      <w:r w:rsidRPr="001E3995">
        <w:t>2014) (allowing defendant to amend admissions made by failure to respond).</w:t>
      </w:r>
    </w:p>
    <w:p w14:paraId="1D833BF3" w14:textId="77777777" w:rsidR="001E3995" w:rsidRDefault="001E3995" w:rsidP="002010F9">
      <w:pPr>
        <w:pStyle w:val="footnote"/>
      </w:pPr>
    </w:p>
  </w:footnote>
  <w:footnote w:id="149">
    <w:p w14:paraId="64982567" w14:textId="0B0D5AA1" w:rsidR="001E3995" w:rsidRDefault="001E3995" w:rsidP="001E3995">
      <w:pPr>
        <w:pStyle w:val="FootnoteText"/>
      </w:pPr>
      <w:r w:rsidRPr="001E3995">
        <w:rPr>
          <w:vertAlign w:val="superscript"/>
        </w:rPr>
        <w:footnoteRef/>
      </w:r>
      <w:r w:rsidRPr="001E3995">
        <w:t>37 C.F.R.</w:t>
      </w:r>
      <w:r w:rsidRPr="001E3995">
        <w:t xml:space="preserve"> </w:t>
      </w:r>
      <w:r w:rsidRPr="001E3995">
        <w:t>§2.116(a).</w:t>
      </w:r>
    </w:p>
  </w:footnote>
  <w:footnote w:id="150">
    <w:p w14:paraId="5B6B9F6E" w14:textId="7A44D8AA" w:rsidR="001E3995" w:rsidRPr="001E3995" w:rsidRDefault="001E3995" w:rsidP="001E3995">
      <w:pPr>
        <w:pStyle w:val="FootnoteText"/>
      </w:pPr>
      <w:r w:rsidRPr="001E3995">
        <w:rPr>
          <w:vertAlign w:val="superscript"/>
        </w:rPr>
        <w:footnoteRef/>
      </w:r>
      <w:r w:rsidRPr="001E3995">
        <w:t>National Football League v.</w:t>
      </w:r>
      <w:r w:rsidRPr="001E3995">
        <w:t xml:space="preserve"> </w:t>
      </w:r>
      <w:r w:rsidRPr="001E3995">
        <w:t>DNH Mgmt., Inc., 85 USPQ2d 1852 (T.T.A.B.</w:t>
      </w:r>
      <w:r w:rsidRPr="001E3995">
        <w:t xml:space="preserve"> </w:t>
      </w:r>
      <w:r w:rsidRPr="001E3995">
        <w:t>2008).</w:t>
      </w:r>
    </w:p>
    <w:p w14:paraId="4AD031AD" w14:textId="77777777" w:rsidR="001E3995" w:rsidRDefault="001E3995" w:rsidP="002010F9">
      <w:pPr>
        <w:pStyle w:val="footnote"/>
      </w:pPr>
    </w:p>
  </w:footnote>
  <w:footnote w:id="151">
    <w:p w14:paraId="6BB6378B" w14:textId="6A7271E7" w:rsidR="001E3995" w:rsidRDefault="001E3995" w:rsidP="001E3995">
      <w:pPr>
        <w:pStyle w:val="FootnoteText"/>
      </w:pPr>
      <w:r w:rsidRPr="001E3995">
        <w:rPr>
          <w:rStyle w:val="FootnoteReference"/>
          <w:rFonts w:eastAsiaTheme="majorEastAsia"/>
        </w:rPr>
        <w:footnoteRef/>
      </w:r>
      <w:r w:rsidRPr="001E3995">
        <w:t>Brooks Sports, Inc.</w:t>
      </w:r>
      <w:r w:rsidRPr="001E3995">
        <w:t xml:space="preserve"> </w:t>
      </w:r>
      <w:r w:rsidRPr="001E3995">
        <w:t>v.</w:t>
      </w:r>
      <w:r w:rsidRPr="001E3995">
        <w:t xml:space="preserve"> </w:t>
      </w:r>
      <w:r w:rsidRPr="001E3995">
        <w:t>Anta (China) Co., 2018 WL7488924 (E.D.</w:t>
      </w:r>
      <w:r w:rsidRPr="001E3995">
        <w:t xml:space="preserve"> </w:t>
      </w:r>
      <w:r w:rsidRPr="001E3995">
        <w:t>Va.</w:t>
      </w:r>
      <w:r w:rsidRPr="001E3995">
        <w:t xml:space="preserve"> </w:t>
      </w:r>
      <w:r w:rsidRPr="001E3995">
        <w:t>Nov.</w:t>
      </w:r>
      <w:r w:rsidRPr="001E3995">
        <w:t xml:space="preserve"> </w:t>
      </w:r>
      <w:r w:rsidRPr="001E3995">
        <w:t>30, 2018).</w:t>
      </w:r>
    </w:p>
  </w:footnote>
  <w:footnote w:id="152">
    <w:p w14:paraId="2638577D" w14:textId="7A127CBC" w:rsidR="001E3995" w:rsidRPr="001E3995" w:rsidRDefault="001E3995" w:rsidP="001E3995">
      <w:pPr>
        <w:pStyle w:val="FootnoteText"/>
      </w:pPr>
      <w:r w:rsidRPr="001E3995">
        <w:rPr>
          <w:vertAlign w:val="superscript"/>
        </w:rPr>
        <w:footnoteRef/>
      </w:r>
      <w:r w:rsidRPr="001E3995">
        <w:t>Deere &amp; Co.</w:t>
      </w:r>
      <w:r w:rsidRPr="001E3995">
        <w:t xml:space="preserve"> </w:t>
      </w:r>
      <w:r w:rsidRPr="001E3995">
        <w:t>v.</w:t>
      </w:r>
      <w:r w:rsidRPr="001E3995">
        <w:t xml:space="preserve"> </w:t>
      </w:r>
      <w:r w:rsidRPr="001E3995">
        <w:t>FIMCO, Inc., 2017 WL 2239943, at *2, 2017 BL 170312 (W.D.</w:t>
      </w:r>
      <w:r w:rsidRPr="001E3995">
        <w:t xml:space="preserve"> </w:t>
      </w:r>
      <w:r w:rsidRPr="001E3995">
        <w:t>Ky.</w:t>
      </w:r>
      <w:r w:rsidRPr="001E3995">
        <w:t xml:space="preserve"> </w:t>
      </w:r>
      <w:r w:rsidRPr="001E3995">
        <w:t>May 22, 2017).</w:t>
      </w:r>
    </w:p>
    <w:p w14:paraId="5A8119C5" w14:textId="77777777" w:rsidR="001E3995" w:rsidRDefault="001E3995" w:rsidP="00691A84">
      <w:pPr>
        <w:pStyle w:val="footnote"/>
      </w:pPr>
    </w:p>
  </w:footnote>
  <w:footnote w:id="153">
    <w:p w14:paraId="7C54A79D" w14:textId="1F9B768C" w:rsidR="001E3995" w:rsidRPr="001E3995" w:rsidRDefault="001E3995" w:rsidP="001E3995">
      <w:pPr>
        <w:pStyle w:val="FootnoteText"/>
      </w:pPr>
      <w:r w:rsidRPr="001E3995">
        <w:rPr>
          <w:vertAlign w:val="superscript"/>
        </w:rPr>
        <w:footnoteRef/>
      </w:r>
      <w:r w:rsidRPr="001E3995">
        <w:rPr>
          <w:i/>
        </w:rPr>
        <w:t>Id.</w:t>
      </w:r>
    </w:p>
    <w:p w14:paraId="56AF2187" w14:textId="77777777" w:rsidR="001E3995" w:rsidRDefault="001E3995" w:rsidP="002010F9">
      <w:pPr>
        <w:pStyle w:val="footnote"/>
      </w:pPr>
    </w:p>
  </w:footnote>
  <w:footnote w:id="154">
    <w:p w14:paraId="07A87D90" w14:textId="61F86D98" w:rsidR="001E3995" w:rsidRPr="001E3995" w:rsidRDefault="001E3995" w:rsidP="001E3995">
      <w:pPr>
        <w:pStyle w:val="FootnoteText"/>
      </w:pPr>
      <w:r w:rsidRPr="001E3995">
        <w:rPr>
          <w:vertAlign w:val="superscript"/>
        </w:rPr>
        <w:footnoteRef/>
      </w:r>
      <w:r w:rsidRPr="001E3995">
        <w:t>Lanham Act §43(c)(2)(A), 15 U.S.C.</w:t>
      </w:r>
      <w:r w:rsidRPr="001E3995">
        <w:t xml:space="preserve"> </w:t>
      </w:r>
      <w:r w:rsidRPr="001E3995">
        <w:t>§1125(c)(2)(A).</w:t>
      </w:r>
    </w:p>
    <w:p w14:paraId="65E5A7F2" w14:textId="77777777" w:rsidR="001E3995" w:rsidRDefault="001E3995" w:rsidP="002010F9">
      <w:pPr>
        <w:pStyle w:val="footnote"/>
      </w:pPr>
    </w:p>
  </w:footnote>
  <w:footnote w:id="155">
    <w:p w14:paraId="31FB597F" w14:textId="6E76F829" w:rsidR="001E3995" w:rsidRPr="001E3995" w:rsidRDefault="001E3995" w:rsidP="001E3995">
      <w:pPr>
        <w:pStyle w:val="FootnoteText"/>
      </w:pPr>
      <w:r w:rsidRPr="001E3995">
        <w:rPr>
          <w:vertAlign w:val="superscript"/>
        </w:rPr>
        <w:footnoteRef/>
      </w:r>
      <w:r w:rsidRPr="001E3995">
        <w:t>739 F.3d 150, 109 USPQ2d 1291 (4th Cir.</w:t>
      </w:r>
      <w:r w:rsidRPr="001E3995">
        <w:t xml:space="preserve"> </w:t>
      </w:r>
      <w:r w:rsidRPr="001E3995">
        <w:t>2014).</w:t>
      </w:r>
    </w:p>
    <w:p w14:paraId="12A53601" w14:textId="77777777" w:rsidR="001E3995" w:rsidRDefault="001E3995" w:rsidP="002010F9">
      <w:pPr>
        <w:pStyle w:val="footnote"/>
      </w:pPr>
    </w:p>
  </w:footnote>
  <w:footnote w:id="156">
    <w:p w14:paraId="14A90DEB" w14:textId="2A1F95B4" w:rsidR="001E3995" w:rsidRP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155.</w:t>
      </w:r>
    </w:p>
    <w:p w14:paraId="34879C48" w14:textId="77777777" w:rsidR="001E3995" w:rsidRDefault="001E3995" w:rsidP="002010F9">
      <w:pPr>
        <w:pStyle w:val="footnote"/>
      </w:pPr>
    </w:p>
  </w:footnote>
  <w:footnote w:id="157">
    <w:p w14:paraId="14F15BFA" w14:textId="4BFE95EB" w:rsidR="001E3995" w:rsidRPr="001E3995" w:rsidRDefault="001E3995" w:rsidP="001E3995">
      <w:pPr>
        <w:pStyle w:val="FootnoteText"/>
      </w:pPr>
      <w:r w:rsidRPr="001E3995">
        <w:rPr>
          <w:vertAlign w:val="superscript"/>
        </w:rPr>
        <w:footnoteRef/>
      </w:r>
      <w:r w:rsidRPr="001E3995">
        <w:t>Starbucks Corp.</w:t>
      </w:r>
      <w:r w:rsidRPr="001E3995">
        <w:t xml:space="preserve"> </w:t>
      </w:r>
      <w:r w:rsidRPr="001E3995">
        <w:t>v.</w:t>
      </w:r>
      <w:r w:rsidRPr="001E3995">
        <w:t xml:space="preserve"> </w:t>
      </w:r>
      <w:r w:rsidRPr="001E3995">
        <w:t>Wolfe’s Borough Coffee, Inc., 736 F.3d 198, 207, 108 USPQ2d 1581 (2d Cir.</w:t>
      </w:r>
      <w:r w:rsidRPr="001E3995">
        <w:t xml:space="preserve"> </w:t>
      </w:r>
      <w:r w:rsidRPr="001E3995">
        <w:t>2013).</w:t>
      </w:r>
    </w:p>
    <w:p w14:paraId="0A6249EF" w14:textId="77777777" w:rsidR="001E3995" w:rsidRDefault="001E3995" w:rsidP="002010F9">
      <w:pPr>
        <w:pStyle w:val="footnote"/>
      </w:pPr>
    </w:p>
  </w:footnote>
  <w:footnote w:id="158">
    <w:p w14:paraId="11C512E7" w14:textId="18BEE0C0" w:rsidR="001E3995" w:rsidRDefault="001E3995" w:rsidP="001E3995">
      <w:pPr>
        <w:pStyle w:val="FootnoteText"/>
      </w:pPr>
      <w:r w:rsidRPr="001E3995">
        <w:rPr>
          <w:vertAlign w:val="superscript"/>
        </w:rPr>
        <w:footnoteRef/>
      </w:r>
      <w:r w:rsidRPr="001E3995">
        <w:rPr>
          <w:i/>
        </w:rPr>
        <w:t>See</w:t>
      </w:r>
      <w:r w:rsidRPr="001E3995">
        <w:t xml:space="preserve"> §</w:t>
      </w:r>
      <w:proofErr w:type="gramStart"/>
      <w:r w:rsidRPr="001E3995">
        <w:t>I.B</w:t>
      </w:r>
      <w:proofErr w:type="gramEnd"/>
      <w:r w:rsidRPr="001E3995">
        <w:t>, above.</w:t>
      </w:r>
      <w:r w:rsidRPr="001E3995">
        <w:t xml:space="preserve"> </w:t>
      </w:r>
      <w:r w:rsidRPr="001E3995">
        <w:t>Supplemental jurisdiction refers to claims brought in federal court that do not have an “independent” source of federal jurisdiction, e.g., federal question or diversity.</w:t>
      </w:r>
      <w:r w:rsidRPr="001E3995">
        <w:t xml:space="preserve"> </w:t>
      </w:r>
      <w:r w:rsidRPr="001E3995">
        <w:t>If a case contains other claims having federal question or diversity jurisdiction, 28 U.S.C.</w:t>
      </w:r>
      <w:r w:rsidRPr="001E3995">
        <w:t xml:space="preserve"> </w:t>
      </w:r>
      <w:r w:rsidRPr="001E3995">
        <w:t>§1367 allows related nonfederal claims to be brought in the same case.</w:t>
      </w:r>
    </w:p>
  </w:footnote>
  <w:footnote w:id="159">
    <w:p w14:paraId="0B7993E4" w14:textId="1D9352A1" w:rsidR="001E3995" w:rsidRDefault="001E3995" w:rsidP="001E3995">
      <w:pPr>
        <w:pStyle w:val="FootnoteText"/>
      </w:pPr>
      <w:r w:rsidRPr="001E3995">
        <w:rPr>
          <w:vertAlign w:val="superscript"/>
        </w:rPr>
        <w:footnoteRef/>
      </w:r>
      <w:r w:rsidRPr="001E3995">
        <w:t>Federal law governs the right to trial by jury in federal court, even as to state-law claims.</w:t>
      </w:r>
      <w:r w:rsidRPr="001E3995">
        <w:t xml:space="preserve"> </w:t>
      </w:r>
      <w:r w:rsidRPr="001E3995">
        <w:rPr>
          <w:i/>
        </w:rPr>
        <w:t>See</w:t>
      </w:r>
      <w:r w:rsidRPr="001E3995">
        <w:t xml:space="preserve"> Simler v.</w:t>
      </w:r>
      <w:r w:rsidRPr="001E3995">
        <w:t xml:space="preserve"> </w:t>
      </w:r>
      <w:r w:rsidRPr="001E3995">
        <w:t>Conner, 372 U.S.</w:t>
      </w:r>
      <w:r w:rsidRPr="001E3995">
        <w:t xml:space="preserve"> </w:t>
      </w:r>
      <w:r w:rsidRPr="001E3995">
        <w:t>221, 222 (1963);</w:t>
      </w:r>
      <w:r w:rsidRPr="001E3995">
        <w:t xml:space="preserve"> </w:t>
      </w:r>
      <w:proofErr w:type="spellStart"/>
      <w:r w:rsidRPr="001E3995">
        <w:t>Empresa</w:t>
      </w:r>
      <w:proofErr w:type="spellEnd"/>
      <w:r w:rsidRPr="001E3995">
        <w:t xml:space="preserve"> Cubana Del Tabaco v.</w:t>
      </w:r>
      <w:r w:rsidRPr="001E3995">
        <w:t xml:space="preserve"> </w:t>
      </w:r>
      <w:proofErr w:type="spellStart"/>
      <w:r w:rsidRPr="001E3995">
        <w:t>Culbro</w:t>
      </w:r>
      <w:proofErr w:type="spellEnd"/>
      <w:r w:rsidRPr="001E3995">
        <w:t xml:space="preserve"> Corp., 123 F.</w:t>
      </w:r>
      <w:r w:rsidRPr="001E3995">
        <w:t xml:space="preserve"> </w:t>
      </w:r>
      <w:r w:rsidRPr="001E3995">
        <w:t>Supp.</w:t>
      </w:r>
      <w:r w:rsidRPr="001E3995">
        <w:t xml:space="preserve"> </w:t>
      </w:r>
      <w:r w:rsidRPr="001E3995">
        <w:t>2d 203, 211 n.5 (S.D.N.Y.</w:t>
      </w:r>
      <w:r w:rsidRPr="001E3995">
        <w:t xml:space="preserve"> </w:t>
      </w:r>
      <w:r w:rsidRPr="001E3995">
        <w:t>2000);</w:t>
      </w:r>
      <w:r w:rsidRPr="001E3995">
        <w:t xml:space="preserve"> </w:t>
      </w:r>
      <w:r w:rsidRPr="001E3995">
        <w:rPr>
          <w:i/>
        </w:rPr>
        <w:t>see also</w:t>
      </w:r>
      <w:r w:rsidRPr="001E3995">
        <w:t xml:space="preserve"> Byrd v.</w:t>
      </w:r>
      <w:r w:rsidRPr="001E3995">
        <w:t xml:space="preserve"> </w:t>
      </w:r>
      <w:r w:rsidRPr="001E3995">
        <w:t>Blue Ridge Rural Elec.</w:t>
      </w:r>
      <w:r w:rsidRPr="001E3995">
        <w:t xml:space="preserve"> </w:t>
      </w:r>
      <w:r w:rsidRPr="001E3995">
        <w:t>Coop., Inc., 356 U.S.</w:t>
      </w:r>
      <w:r w:rsidRPr="001E3995">
        <w:t xml:space="preserve"> </w:t>
      </w:r>
      <w:r w:rsidRPr="001E3995">
        <w:t>525 (1958).</w:t>
      </w:r>
    </w:p>
  </w:footnote>
  <w:footnote w:id="160">
    <w:p w14:paraId="5F6A9542" w14:textId="59D7C6BF" w:rsidR="001E3995" w:rsidRDefault="001E3995" w:rsidP="001E3995">
      <w:pPr>
        <w:pStyle w:val="FootnoteText"/>
      </w:pPr>
      <w:r w:rsidRPr="001E3995">
        <w:rPr>
          <w:vertAlign w:val="superscript"/>
        </w:rPr>
        <w:footnoteRef/>
      </w:r>
      <w:r w:rsidRPr="001E3995">
        <w:rPr>
          <w:i/>
        </w:rPr>
        <w:t>See</w:t>
      </w:r>
      <w:r w:rsidRPr="001E3995">
        <w:t xml:space="preserve"> 9 </w:t>
      </w:r>
      <w:r w:rsidRPr="001E3995">
        <w:rPr>
          <w:smallCaps/>
        </w:rPr>
        <w:t>Wright &amp; Miller</w:t>
      </w:r>
      <w:r w:rsidRPr="001E3995">
        <w:t xml:space="preserve"> §2302 (3d ed.</w:t>
      </w:r>
      <w:r w:rsidRPr="001E3995">
        <w:t xml:space="preserve"> </w:t>
      </w:r>
      <w:r w:rsidRPr="001E3995">
        <w:t>2012).</w:t>
      </w:r>
    </w:p>
  </w:footnote>
  <w:footnote w:id="161">
    <w:p w14:paraId="16648EF7" w14:textId="6303D9D7" w:rsidR="001E3995" w:rsidRDefault="001E3995" w:rsidP="001E3995">
      <w:pPr>
        <w:pStyle w:val="FootnoteText"/>
      </w:pPr>
      <w:r w:rsidRPr="001E3995">
        <w:rPr>
          <w:vertAlign w:val="superscript"/>
        </w:rPr>
        <w:footnoteRef/>
      </w:r>
      <w:r w:rsidRPr="001E3995">
        <w:rPr>
          <w:i/>
        </w:rPr>
        <w:t>See,</w:t>
      </w:r>
      <w:r w:rsidRPr="001E3995">
        <w:t xml:space="preserve"> </w:t>
      </w:r>
      <w:r w:rsidRPr="001E3995">
        <w:rPr>
          <w:i/>
        </w:rPr>
        <w:t>e.g.</w:t>
      </w:r>
      <w:r w:rsidRPr="001E3995">
        <w:t>, Dairy Queen, Inc.</w:t>
      </w:r>
      <w:r w:rsidRPr="001E3995">
        <w:t xml:space="preserve"> </w:t>
      </w:r>
      <w:r w:rsidRPr="001E3995">
        <w:t>v.</w:t>
      </w:r>
      <w:r w:rsidRPr="001E3995">
        <w:t xml:space="preserve"> </w:t>
      </w:r>
      <w:r w:rsidRPr="001E3995">
        <w:t>Wood, 369 U.S.</w:t>
      </w:r>
      <w:r w:rsidRPr="001E3995">
        <w:t xml:space="preserve"> </w:t>
      </w:r>
      <w:r w:rsidRPr="001E3995">
        <w:t>469, 471, 133 USPQ 294 (1962).</w:t>
      </w:r>
    </w:p>
  </w:footnote>
  <w:footnote w:id="162">
    <w:p w14:paraId="38BC6C4B" w14:textId="25C8FA0E" w:rsidR="001E3995" w:rsidRDefault="001E3995" w:rsidP="001E3995">
      <w:pPr>
        <w:pStyle w:val="FootnoteText"/>
      </w:pPr>
      <w:r w:rsidRPr="001E3995">
        <w:rPr>
          <w:vertAlign w:val="superscript"/>
        </w:rPr>
        <w:footnoteRef/>
      </w:r>
      <w:r w:rsidRPr="001E3995">
        <w:rPr>
          <w:i/>
        </w:rPr>
        <w:t>See</w:t>
      </w:r>
      <w:r w:rsidRPr="001E3995">
        <w:t xml:space="preserve"> Chapter 11, §I.A.</w:t>
      </w:r>
    </w:p>
  </w:footnote>
  <w:footnote w:id="163">
    <w:p w14:paraId="54B96B4E" w14:textId="346B1A27" w:rsidR="001E3995" w:rsidRDefault="001E3995" w:rsidP="001E3995">
      <w:pPr>
        <w:pStyle w:val="FootnoteText"/>
      </w:pPr>
      <w:r w:rsidRPr="001E3995">
        <w:rPr>
          <w:vertAlign w:val="superscript"/>
        </w:rPr>
        <w:footnoteRef/>
      </w:r>
      <w:proofErr w:type="spellStart"/>
      <w:r w:rsidRPr="001E3995">
        <w:t>Sanijet</w:t>
      </w:r>
      <w:proofErr w:type="spellEnd"/>
      <w:r w:rsidRPr="001E3995">
        <w:t xml:space="preserve"> Corp.</w:t>
      </w:r>
      <w:r w:rsidRPr="001E3995">
        <w:t xml:space="preserve"> </w:t>
      </w:r>
      <w:r w:rsidRPr="001E3995">
        <w:t>v.</w:t>
      </w:r>
      <w:r w:rsidRPr="001E3995">
        <w:t xml:space="preserve"> </w:t>
      </w:r>
      <w:r w:rsidRPr="001E3995">
        <w:t>Jacuzzi, Inc., 2002-1 Trade Cas.</w:t>
      </w:r>
      <w:r w:rsidRPr="001E3995">
        <w:t xml:space="preserve"> </w:t>
      </w:r>
      <w:r w:rsidRPr="001E3995">
        <w:t>(CCH) ¶73,684, 2002 WL 1398546, at *2 (N.D.</w:t>
      </w:r>
      <w:r w:rsidRPr="001E3995">
        <w:t xml:space="preserve"> </w:t>
      </w:r>
      <w:r w:rsidRPr="001E3995">
        <w:t>Tex.</w:t>
      </w:r>
      <w:r w:rsidRPr="001E3995">
        <w:t xml:space="preserve"> </w:t>
      </w:r>
      <w:r w:rsidRPr="001E3995">
        <w:t>2002).</w:t>
      </w:r>
      <w:r w:rsidRPr="001E3995">
        <w:t xml:space="preserve"> </w:t>
      </w:r>
      <w:r w:rsidRPr="001E3995">
        <w:t>Dilution claims under many state laws are limited to injunctive relief.</w:t>
      </w:r>
      <w:r w:rsidRPr="001E3995">
        <w:t xml:space="preserve"> </w:t>
      </w:r>
      <w:r w:rsidRPr="001E3995">
        <w:rPr>
          <w:i/>
        </w:rPr>
        <w:t>See, e.g.</w:t>
      </w:r>
      <w:r w:rsidRPr="001E3995">
        <w:t xml:space="preserve">, </w:t>
      </w:r>
      <w:r w:rsidRPr="001E3995">
        <w:rPr>
          <w:smallCaps/>
        </w:rPr>
        <w:t>Me.</w:t>
      </w:r>
      <w:r w:rsidRPr="001E3995">
        <w:rPr>
          <w:smallCaps/>
        </w:rPr>
        <w:t xml:space="preserve"> </w:t>
      </w:r>
      <w:r w:rsidRPr="001E3995">
        <w:rPr>
          <w:smallCaps/>
        </w:rPr>
        <w:t>Rev.</w:t>
      </w:r>
      <w:r w:rsidRPr="001E3995">
        <w:rPr>
          <w:smallCaps/>
        </w:rPr>
        <w:t xml:space="preserve"> </w:t>
      </w:r>
      <w:r w:rsidRPr="001E3995">
        <w:rPr>
          <w:smallCaps/>
        </w:rPr>
        <w:t>Stat.</w:t>
      </w:r>
      <w:r w:rsidRPr="001E3995">
        <w:rPr>
          <w:smallCaps/>
        </w:rPr>
        <w:t xml:space="preserve"> </w:t>
      </w:r>
      <w:r w:rsidRPr="001E3995">
        <w:rPr>
          <w:smallCaps/>
        </w:rPr>
        <w:t>Ann.</w:t>
      </w:r>
      <w:r w:rsidRPr="001E3995">
        <w:rPr>
          <w:smallCaps/>
        </w:rPr>
        <w:t xml:space="preserve"> </w:t>
      </w:r>
      <w:r w:rsidRPr="001E3995">
        <w:t>tit.</w:t>
      </w:r>
      <w:r w:rsidRPr="001E3995">
        <w:t xml:space="preserve"> </w:t>
      </w:r>
      <w:r w:rsidRPr="001E3995">
        <w:t>10, §1530 (West 1997);</w:t>
      </w:r>
      <w:r w:rsidRPr="001E3995">
        <w:t xml:space="preserve"> </w:t>
      </w:r>
      <w:r w:rsidRPr="001E3995">
        <w:rPr>
          <w:smallCaps/>
        </w:rPr>
        <w:t>N.Y.</w:t>
      </w:r>
      <w:r w:rsidRPr="001E3995">
        <w:rPr>
          <w:smallCaps/>
        </w:rPr>
        <w:t xml:space="preserve"> </w:t>
      </w:r>
      <w:r w:rsidRPr="001E3995">
        <w:rPr>
          <w:smallCaps/>
        </w:rPr>
        <w:t>Gen.</w:t>
      </w:r>
      <w:r w:rsidRPr="001E3995">
        <w:rPr>
          <w:smallCaps/>
        </w:rPr>
        <w:t xml:space="preserve"> </w:t>
      </w:r>
      <w:r w:rsidRPr="001E3995">
        <w:rPr>
          <w:smallCaps/>
        </w:rPr>
        <w:t>Bus.</w:t>
      </w:r>
      <w:r w:rsidRPr="001E3995">
        <w:rPr>
          <w:smallCaps/>
        </w:rPr>
        <w:t xml:space="preserve"> </w:t>
      </w:r>
      <w:r w:rsidRPr="001E3995">
        <w:rPr>
          <w:smallCaps/>
        </w:rPr>
        <w:t>Law</w:t>
      </w:r>
      <w:r w:rsidRPr="001E3995">
        <w:t xml:space="preserve"> §360-</w:t>
      </w:r>
      <w:r w:rsidRPr="001E3995">
        <w:rPr>
          <w:i/>
        </w:rPr>
        <w:t>l</w:t>
      </w:r>
      <w:r w:rsidRPr="001E3995">
        <w:t xml:space="preserve"> (McKinney Supp.</w:t>
      </w:r>
      <w:r w:rsidRPr="001E3995">
        <w:t xml:space="preserve"> </w:t>
      </w:r>
      <w:r w:rsidRPr="001E3995">
        <w:t>2012).</w:t>
      </w:r>
      <w:r w:rsidRPr="001E3995">
        <w:t xml:space="preserve"> </w:t>
      </w:r>
      <w:r w:rsidRPr="001E3995">
        <w:t>Therefore, a jury trial issue seldom arises with respect to those claims.</w:t>
      </w:r>
      <w:r w:rsidRPr="001E3995">
        <w:t xml:space="preserve"> </w:t>
      </w:r>
      <w:r w:rsidRPr="001E3995">
        <w:t>Under state laws patterned after the 1992, 1996, or 2007 Model State Trademark Bill, damages are a possible remedy.</w:t>
      </w:r>
      <w:r w:rsidRPr="001E3995">
        <w:t xml:space="preserve"> </w:t>
      </w:r>
      <w:r w:rsidRPr="001E3995">
        <w:rPr>
          <w:i/>
        </w:rPr>
        <w:t>See, e.g.</w:t>
      </w:r>
      <w:r w:rsidRPr="001E3995">
        <w:t xml:space="preserve">, </w:t>
      </w:r>
      <w:r w:rsidRPr="001E3995">
        <w:rPr>
          <w:smallCaps/>
        </w:rPr>
        <w:t>Cal.</w:t>
      </w:r>
      <w:r w:rsidRPr="001E3995">
        <w:rPr>
          <w:smallCaps/>
        </w:rPr>
        <w:t xml:space="preserve"> </w:t>
      </w:r>
      <w:r w:rsidRPr="001E3995">
        <w:rPr>
          <w:smallCaps/>
        </w:rPr>
        <w:t>Bus.</w:t>
      </w:r>
      <w:r w:rsidRPr="001E3995">
        <w:rPr>
          <w:smallCaps/>
        </w:rPr>
        <w:t xml:space="preserve"> </w:t>
      </w:r>
      <w:r w:rsidRPr="001E3995">
        <w:rPr>
          <w:smallCaps/>
        </w:rPr>
        <w:t>&amp; Prof.</w:t>
      </w:r>
      <w:r w:rsidRPr="001E3995">
        <w:rPr>
          <w:smallCaps/>
        </w:rPr>
        <w:t xml:space="preserve"> </w:t>
      </w:r>
      <w:r w:rsidRPr="001E3995">
        <w:rPr>
          <w:smallCaps/>
        </w:rPr>
        <w:t>Code</w:t>
      </w:r>
      <w:r w:rsidRPr="001E3995">
        <w:t xml:space="preserve"> §14247(b) (West 2008);</w:t>
      </w:r>
      <w:r w:rsidRPr="001E3995">
        <w:t xml:space="preserve"> </w:t>
      </w:r>
      <w:r w:rsidRPr="001E3995">
        <w:rPr>
          <w:smallCaps/>
        </w:rPr>
        <w:t>Conn.</w:t>
      </w:r>
      <w:r w:rsidRPr="001E3995">
        <w:rPr>
          <w:smallCaps/>
        </w:rPr>
        <w:t xml:space="preserve"> </w:t>
      </w:r>
      <w:r w:rsidRPr="001E3995">
        <w:rPr>
          <w:smallCaps/>
        </w:rPr>
        <w:t>Gen.</w:t>
      </w:r>
      <w:r w:rsidRPr="001E3995">
        <w:rPr>
          <w:smallCaps/>
        </w:rPr>
        <w:t xml:space="preserve"> </w:t>
      </w:r>
      <w:r w:rsidRPr="001E3995">
        <w:rPr>
          <w:smallCaps/>
        </w:rPr>
        <w:t>Stat.</w:t>
      </w:r>
      <w:r w:rsidRPr="001E3995">
        <w:rPr>
          <w:smallCaps/>
        </w:rPr>
        <w:t xml:space="preserve"> </w:t>
      </w:r>
      <w:r w:rsidRPr="001E3995">
        <w:t>§35-11i (West 2005);</w:t>
      </w:r>
      <w:r w:rsidRPr="001E3995">
        <w:t xml:space="preserve"> </w:t>
      </w:r>
      <w:r w:rsidRPr="001E3995">
        <w:t xml:space="preserve">765 </w:t>
      </w:r>
      <w:r w:rsidRPr="001E3995">
        <w:rPr>
          <w:smallCaps/>
        </w:rPr>
        <w:t>Ill.</w:t>
      </w:r>
      <w:r w:rsidRPr="001E3995">
        <w:rPr>
          <w:smallCaps/>
        </w:rPr>
        <w:t xml:space="preserve"> </w:t>
      </w:r>
      <w:r w:rsidRPr="001E3995">
        <w:rPr>
          <w:smallCaps/>
        </w:rPr>
        <w:t>Comp.</w:t>
      </w:r>
      <w:r w:rsidRPr="001E3995">
        <w:rPr>
          <w:smallCaps/>
        </w:rPr>
        <w:t xml:space="preserve"> </w:t>
      </w:r>
      <w:r w:rsidRPr="001E3995">
        <w:rPr>
          <w:smallCaps/>
        </w:rPr>
        <w:t>Stat.</w:t>
      </w:r>
      <w:r w:rsidRPr="001E3995">
        <w:rPr>
          <w:smallCaps/>
        </w:rPr>
        <w:t xml:space="preserve"> </w:t>
      </w:r>
      <w:r w:rsidRPr="001E3995">
        <w:t>1036/65 (West 2009);</w:t>
      </w:r>
      <w:r w:rsidRPr="001E3995">
        <w:t xml:space="preserve"> </w:t>
      </w:r>
      <w:r w:rsidRPr="001E3995">
        <w:rPr>
          <w:smallCaps/>
        </w:rPr>
        <w:t>Tenn.</w:t>
      </w:r>
      <w:r w:rsidRPr="001E3995">
        <w:rPr>
          <w:smallCaps/>
        </w:rPr>
        <w:t xml:space="preserve"> </w:t>
      </w:r>
      <w:r w:rsidRPr="001E3995">
        <w:rPr>
          <w:smallCaps/>
        </w:rPr>
        <w:t>Code Ann.</w:t>
      </w:r>
      <w:r w:rsidRPr="001E3995">
        <w:rPr>
          <w:smallCaps/>
        </w:rPr>
        <w:t xml:space="preserve"> </w:t>
      </w:r>
      <w:r w:rsidRPr="001E3995">
        <w:t>§47-25-513 (LexisNexis 2001).</w:t>
      </w:r>
      <w:r w:rsidRPr="001E3995">
        <w:t xml:space="preserve"> </w:t>
      </w:r>
      <w:r w:rsidRPr="001E3995">
        <w:t>See discussion of Model Bill in Chapter 1, §II.D.</w:t>
      </w:r>
    </w:p>
  </w:footnote>
  <w:footnote w:id="164">
    <w:p w14:paraId="02636A5D" w14:textId="7271FD1A" w:rsidR="001E3995" w:rsidRDefault="001E3995" w:rsidP="001E3995">
      <w:pPr>
        <w:pStyle w:val="FootnoteText"/>
      </w:pPr>
      <w:r w:rsidRPr="001E3995">
        <w:rPr>
          <w:vertAlign w:val="superscript"/>
        </w:rPr>
        <w:footnoteRef/>
      </w:r>
      <w:r w:rsidRPr="001E3995">
        <w:t>Lanham Act §35(a), 15 U.S.C.</w:t>
      </w:r>
      <w:r w:rsidRPr="001E3995">
        <w:t xml:space="preserve"> </w:t>
      </w:r>
      <w:r w:rsidRPr="001E3995">
        <w:t>§1117(a).</w:t>
      </w:r>
    </w:p>
  </w:footnote>
  <w:footnote w:id="165">
    <w:p w14:paraId="3F1FD10D" w14:textId="75BF84F1" w:rsidR="001E3995" w:rsidRDefault="001E3995" w:rsidP="001E3995">
      <w:pPr>
        <w:pStyle w:val="FootnoteText"/>
      </w:pPr>
      <w:r w:rsidRPr="001E3995">
        <w:rPr>
          <w:vertAlign w:val="superscript"/>
        </w:rPr>
        <w:footnoteRef/>
      </w:r>
      <w:r w:rsidRPr="001E3995">
        <w:t>The relevant portion of §35(a)(3) states that “[</w:t>
      </w:r>
      <w:proofErr w:type="spellStart"/>
      <w:r w:rsidRPr="001E3995">
        <w:t>i</w:t>
      </w:r>
      <w:proofErr w:type="spellEnd"/>
      <w:r w:rsidRPr="001E3995">
        <w:t xml:space="preserve">]f the </w:t>
      </w:r>
      <w:r w:rsidRPr="001E3995">
        <w:rPr>
          <w:i/>
        </w:rPr>
        <w:t>court</w:t>
      </w:r>
      <w:r w:rsidRPr="001E3995">
        <w:t xml:space="preserve"> shall find [the requisite circumstances] .</w:t>
      </w:r>
      <w:r w:rsidRPr="001E3995">
        <w:t xml:space="preserve"> </w:t>
      </w:r>
      <w:r w:rsidRPr="001E3995">
        <w:t>. .</w:t>
      </w:r>
      <w:r w:rsidRPr="001E3995">
        <w:t xml:space="preserve"> </w:t>
      </w:r>
      <w:r w:rsidRPr="001E3995">
        <w:t xml:space="preserve">the </w:t>
      </w:r>
      <w:r w:rsidRPr="001E3995">
        <w:rPr>
          <w:i/>
        </w:rPr>
        <w:t>court</w:t>
      </w:r>
      <w:r w:rsidRPr="001E3995">
        <w:t xml:space="preserve"> may in its discretion enter judgment for such sum as the </w:t>
      </w:r>
      <w:r w:rsidRPr="001E3995">
        <w:rPr>
          <w:i/>
        </w:rPr>
        <w:t>court</w:t>
      </w:r>
      <w:r w:rsidRPr="001E3995">
        <w:t xml:space="preserve"> shall find to be just </w:t>
      </w:r>
      <w:proofErr w:type="gramStart"/>
      <w:r w:rsidRPr="001E3995">
        <w:t>.</w:t>
      </w:r>
      <w:r w:rsidRPr="001E3995">
        <w:t xml:space="preserve"> </w:t>
      </w:r>
      <w:r w:rsidRPr="001E3995">
        <w:t>. .</w:t>
      </w:r>
      <w:r w:rsidRPr="001E3995">
        <w:t xml:space="preserve"> </w:t>
      </w:r>
      <w:r w:rsidRPr="001E3995">
        <w:t>.</w:t>
      </w:r>
      <w:proofErr w:type="gramEnd"/>
      <w:r w:rsidRPr="001E3995">
        <w:t xml:space="preserve">” </w:t>
      </w:r>
      <w:r w:rsidRPr="001E3995">
        <w:rPr>
          <w:i/>
        </w:rPr>
        <w:t>Id.</w:t>
      </w:r>
      <w:r w:rsidRPr="001E3995">
        <w:t>, 15 U.S.C.</w:t>
      </w:r>
      <w:r w:rsidRPr="001E3995">
        <w:t xml:space="preserve"> </w:t>
      </w:r>
      <w:r w:rsidRPr="001E3995">
        <w:t>§1117(a)(3) (emphasis added).</w:t>
      </w:r>
    </w:p>
  </w:footnote>
  <w:footnote w:id="166">
    <w:p w14:paraId="743C308D" w14:textId="60A0933A" w:rsidR="001E3995" w:rsidRDefault="001E3995" w:rsidP="001E3995">
      <w:pPr>
        <w:pStyle w:val="FootnoteText"/>
      </w:pPr>
      <w:r w:rsidRPr="001E3995">
        <w:rPr>
          <w:vertAlign w:val="superscript"/>
        </w:rPr>
        <w:footnoteRef/>
      </w:r>
      <w:r w:rsidRPr="001E3995">
        <w:t>Dairy Queen, Inc.</w:t>
      </w:r>
      <w:r w:rsidRPr="001E3995">
        <w:t xml:space="preserve"> </w:t>
      </w:r>
      <w:r w:rsidRPr="001E3995">
        <w:t>v.</w:t>
      </w:r>
      <w:r w:rsidRPr="001E3995">
        <w:t xml:space="preserve"> </w:t>
      </w:r>
      <w:r w:rsidRPr="001E3995">
        <w:t>Wood, 369 U.S.</w:t>
      </w:r>
      <w:r w:rsidRPr="001E3995">
        <w:t xml:space="preserve"> </w:t>
      </w:r>
      <w:r w:rsidRPr="001E3995">
        <w:t>469, 133 USPQ 294 (1962);</w:t>
      </w:r>
      <w:r w:rsidRPr="001E3995">
        <w:t xml:space="preserve"> </w:t>
      </w:r>
      <w:r w:rsidRPr="001E3995">
        <w:t>Beacon Theatres, Inc.</w:t>
      </w:r>
      <w:r w:rsidRPr="001E3995">
        <w:t xml:space="preserve"> </w:t>
      </w:r>
      <w:r w:rsidRPr="001E3995">
        <w:t>v.</w:t>
      </w:r>
      <w:r w:rsidRPr="001E3995">
        <w:t xml:space="preserve"> </w:t>
      </w:r>
      <w:r w:rsidRPr="001E3995">
        <w:t>Westover, 359 U.S.</w:t>
      </w:r>
      <w:r w:rsidRPr="001E3995">
        <w:t xml:space="preserve"> </w:t>
      </w:r>
      <w:r w:rsidRPr="001E3995">
        <w:t>500 (1959).</w:t>
      </w:r>
    </w:p>
  </w:footnote>
  <w:footnote w:id="167">
    <w:p w14:paraId="0E477280" w14:textId="0CC535E4" w:rsidR="001E3995" w:rsidRDefault="001E3995" w:rsidP="001E3995">
      <w:pPr>
        <w:pStyle w:val="FootnoteText"/>
      </w:pPr>
      <w:r w:rsidRPr="001E3995">
        <w:rPr>
          <w:vertAlign w:val="superscript"/>
        </w:rPr>
        <w:footnoteRef/>
      </w:r>
      <w:r w:rsidRPr="001E3995">
        <w:t>359 U.S.</w:t>
      </w:r>
      <w:r w:rsidRPr="001E3995">
        <w:t xml:space="preserve"> </w:t>
      </w:r>
      <w:r w:rsidRPr="001E3995">
        <w:t>500 (1959).</w:t>
      </w:r>
    </w:p>
  </w:footnote>
  <w:footnote w:id="168">
    <w:p w14:paraId="34866EF6" w14:textId="4F5C1580"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506–08.</w:t>
      </w:r>
    </w:p>
  </w:footnote>
  <w:footnote w:id="169">
    <w:p w14:paraId="17C8FBB7" w14:textId="21B8C5BC" w:rsidR="001E3995" w:rsidRDefault="001E3995" w:rsidP="001E3995">
      <w:pPr>
        <w:pStyle w:val="FootnoteText"/>
      </w:pPr>
      <w:r w:rsidRPr="001E3995">
        <w:rPr>
          <w:vertAlign w:val="superscript"/>
        </w:rPr>
        <w:footnoteRef/>
      </w:r>
      <w:r w:rsidRPr="001E3995">
        <w:t>369 U.S.</w:t>
      </w:r>
      <w:r w:rsidRPr="001E3995">
        <w:t xml:space="preserve"> </w:t>
      </w:r>
      <w:r w:rsidRPr="001E3995">
        <w:t>469, 133 USPQ 294 (1962).</w:t>
      </w:r>
    </w:p>
  </w:footnote>
  <w:footnote w:id="170">
    <w:p w14:paraId="17291C3C" w14:textId="1AB1A465"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477–78.</w:t>
      </w:r>
    </w:p>
  </w:footnote>
  <w:footnote w:id="171">
    <w:p w14:paraId="03115939" w14:textId="2BFC88D0"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479.</w:t>
      </w:r>
    </w:p>
  </w:footnote>
  <w:footnote w:id="172">
    <w:p w14:paraId="6D75865C" w14:textId="12197067" w:rsidR="001E3995" w:rsidRDefault="001E3995" w:rsidP="001E3995">
      <w:pPr>
        <w:pStyle w:val="FootnoteText"/>
      </w:pPr>
      <w:r w:rsidRPr="001E3995">
        <w:rPr>
          <w:vertAlign w:val="superscript"/>
        </w:rPr>
        <w:footnoteRef/>
      </w:r>
      <w:r w:rsidRPr="001E3995">
        <w:rPr>
          <w:i/>
        </w:rPr>
        <w:t>E.g.</w:t>
      </w:r>
      <w:r w:rsidRPr="001E3995">
        <w:t>, Daisy Grp., Ltd.</w:t>
      </w:r>
      <w:r w:rsidRPr="001E3995">
        <w:t xml:space="preserve"> </w:t>
      </w:r>
      <w:r w:rsidRPr="001E3995">
        <w:t>v.</w:t>
      </w:r>
      <w:r w:rsidRPr="001E3995">
        <w:t xml:space="preserve"> </w:t>
      </w:r>
      <w:r w:rsidRPr="001E3995">
        <w:t>Newport News, Inc., 999 F.</w:t>
      </w:r>
      <w:r w:rsidRPr="001E3995">
        <w:t xml:space="preserve"> </w:t>
      </w:r>
      <w:r w:rsidRPr="001E3995">
        <w:t>Supp.</w:t>
      </w:r>
      <w:r w:rsidRPr="001E3995">
        <w:t xml:space="preserve"> </w:t>
      </w:r>
      <w:r w:rsidRPr="001E3995">
        <w:t>548, 550–52, 46 USPQ2d 1856 (S.D.N.Y.</w:t>
      </w:r>
      <w:r w:rsidRPr="001E3995">
        <w:t xml:space="preserve"> </w:t>
      </w:r>
      <w:r w:rsidRPr="001E3995">
        <w:t>1998);</w:t>
      </w:r>
      <w:r w:rsidRPr="001E3995">
        <w:t xml:space="preserve"> </w:t>
      </w:r>
      <w:r w:rsidRPr="001E3995">
        <w:t>Alcan Int’l, Ltd.</w:t>
      </w:r>
      <w:r w:rsidRPr="001E3995">
        <w:t xml:space="preserve"> </w:t>
      </w:r>
      <w:r w:rsidRPr="001E3995">
        <w:t>v.</w:t>
      </w:r>
      <w:r w:rsidRPr="001E3995">
        <w:t xml:space="preserve"> </w:t>
      </w:r>
      <w:r w:rsidRPr="001E3995">
        <w:t>S.A.</w:t>
      </w:r>
      <w:r w:rsidRPr="001E3995">
        <w:t xml:space="preserve"> </w:t>
      </w:r>
      <w:r w:rsidRPr="001E3995">
        <w:t>Day Mfg.</w:t>
      </w:r>
      <w:r w:rsidRPr="001E3995">
        <w:t xml:space="preserve"> </w:t>
      </w:r>
      <w:r w:rsidRPr="001E3995">
        <w:t>Co., 179 F.R.D.</w:t>
      </w:r>
      <w:r w:rsidRPr="001E3995">
        <w:t xml:space="preserve"> </w:t>
      </w:r>
      <w:r w:rsidRPr="001E3995">
        <w:t>398, 400–401, 48 USPQ2d 1151 (W.D.N.Y.</w:t>
      </w:r>
      <w:r w:rsidRPr="001E3995">
        <w:t xml:space="preserve"> </w:t>
      </w:r>
      <w:r w:rsidRPr="001E3995">
        <w:t>1998);</w:t>
      </w:r>
      <w:r w:rsidRPr="001E3995">
        <w:t xml:space="preserve"> </w:t>
      </w:r>
      <w:r w:rsidRPr="001E3995">
        <w:t>Ideal World Mktg., Inc.</w:t>
      </w:r>
      <w:r w:rsidRPr="001E3995">
        <w:t xml:space="preserve"> </w:t>
      </w:r>
      <w:r w:rsidRPr="001E3995">
        <w:t>v.</w:t>
      </w:r>
      <w:r w:rsidRPr="001E3995">
        <w:t xml:space="preserve"> </w:t>
      </w:r>
      <w:r w:rsidRPr="001E3995">
        <w:t>Duracell, Inc., 997 F.</w:t>
      </w:r>
      <w:r w:rsidRPr="001E3995">
        <w:t xml:space="preserve"> </w:t>
      </w:r>
      <w:r w:rsidRPr="001E3995">
        <w:t>Supp.</w:t>
      </w:r>
      <w:r w:rsidRPr="001E3995">
        <w:t xml:space="preserve"> </w:t>
      </w:r>
      <w:r w:rsidRPr="001E3995">
        <w:t>334, 337–39, 46 USPQ2d 1838 (E.D.N.Y.</w:t>
      </w:r>
      <w:r w:rsidRPr="001E3995">
        <w:t xml:space="preserve"> </w:t>
      </w:r>
      <w:r w:rsidRPr="001E3995">
        <w:t>1998);</w:t>
      </w:r>
      <w:r w:rsidRPr="001E3995">
        <w:t xml:space="preserve"> </w:t>
      </w:r>
      <w:r w:rsidRPr="001E3995">
        <w:t>Oxford Indus., Inc.</w:t>
      </w:r>
      <w:r w:rsidRPr="001E3995">
        <w:t xml:space="preserve"> </w:t>
      </w:r>
      <w:r w:rsidRPr="001E3995">
        <w:t>v.</w:t>
      </w:r>
      <w:r w:rsidRPr="001E3995">
        <w:t xml:space="preserve"> </w:t>
      </w:r>
      <w:r w:rsidRPr="001E3995">
        <w:t>Hartmarx Corp., 15 USPQ2d 1648, 1649 (N.D.</w:t>
      </w:r>
      <w:r w:rsidRPr="001E3995">
        <w:t xml:space="preserve"> </w:t>
      </w:r>
      <w:r w:rsidRPr="001E3995">
        <w:t>Ill.</w:t>
      </w:r>
      <w:r w:rsidRPr="001E3995">
        <w:t xml:space="preserve"> </w:t>
      </w:r>
      <w:r w:rsidRPr="001E3995">
        <w:t>1990) (jury trial granted on claim for profits by infringement).</w:t>
      </w:r>
    </w:p>
  </w:footnote>
  <w:footnote w:id="173">
    <w:p w14:paraId="4DC31FD8" w14:textId="2F6A095F" w:rsidR="001E3995" w:rsidRDefault="001E3995" w:rsidP="001E3995">
      <w:pPr>
        <w:pStyle w:val="FootnoteText"/>
      </w:pPr>
      <w:r w:rsidRPr="001E3995">
        <w:rPr>
          <w:vertAlign w:val="superscript"/>
        </w:rPr>
        <w:footnoteRef/>
      </w:r>
      <w:r w:rsidRPr="001E3995">
        <w:t>Van Leeuwen Ice Cream LLC v.</w:t>
      </w:r>
      <w:r w:rsidRPr="001E3995">
        <w:t xml:space="preserve"> </w:t>
      </w:r>
      <w:r w:rsidRPr="001E3995">
        <w:t>Rebel Creamery LLC, 2024 BL 80542, at *2–3 (E.D.N.Y.</w:t>
      </w:r>
      <w:r w:rsidRPr="001E3995">
        <w:t xml:space="preserve"> </w:t>
      </w:r>
      <w:r w:rsidRPr="001E3995">
        <w:t>Mar.</w:t>
      </w:r>
      <w:r w:rsidRPr="001E3995">
        <w:t xml:space="preserve"> </w:t>
      </w:r>
      <w:r w:rsidRPr="001E3995">
        <w:t xml:space="preserve">11, 2024), </w:t>
      </w:r>
      <w:r w:rsidRPr="001E3995">
        <w:rPr>
          <w:i/>
        </w:rPr>
        <w:t xml:space="preserve">citing </w:t>
      </w:r>
      <w:r w:rsidRPr="001E3995">
        <w:t>Gucci Am., Inc.</w:t>
      </w:r>
      <w:r w:rsidRPr="001E3995">
        <w:t xml:space="preserve"> </w:t>
      </w:r>
      <w:r w:rsidRPr="001E3995">
        <w:t>v.</w:t>
      </w:r>
      <w:r w:rsidRPr="001E3995">
        <w:t xml:space="preserve"> </w:t>
      </w:r>
      <w:proofErr w:type="spellStart"/>
      <w:r w:rsidRPr="001E3995">
        <w:t>Weixing</w:t>
      </w:r>
      <w:proofErr w:type="spellEnd"/>
      <w:r w:rsidRPr="001E3995">
        <w:t xml:space="preserve"> Li</w:t>
      </w:r>
      <w:r w:rsidRPr="001E3995">
        <w:rPr>
          <w:i/>
        </w:rPr>
        <w:t xml:space="preserve">, </w:t>
      </w:r>
      <w:r w:rsidRPr="001E3995">
        <w:t>768 F.3d 122, 132–33 (2d Cir.</w:t>
      </w:r>
      <w:r w:rsidRPr="001E3995">
        <w:t xml:space="preserve"> </w:t>
      </w:r>
      <w:r w:rsidRPr="001E3995">
        <w:t>2014);</w:t>
      </w:r>
      <w:r w:rsidRPr="001E3995">
        <w:t xml:space="preserve"> </w:t>
      </w:r>
      <w:r w:rsidRPr="001E3995">
        <w:t>RVC Floor Décor, Ltd.</w:t>
      </w:r>
      <w:r w:rsidRPr="001E3995">
        <w:t xml:space="preserve"> </w:t>
      </w:r>
      <w:r w:rsidRPr="001E3995">
        <w:t>v.</w:t>
      </w:r>
      <w:r w:rsidRPr="001E3995">
        <w:t xml:space="preserve"> </w:t>
      </w:r>
      <w:r w:rsidRPr="001E3995">
        <w:t>Floor &amp; Décor Outlets of Am., Inc., 2023 BL 141376, at *7 (E.D.N.Y.</w:t>
      </w:r>
      <w:r w:rsidRPr="001E3995">
        <w:t xml:space="preserve"> </w:t>
      </w:r>
      <w:r w:rsidRPr="001E3995">
        <w:t>Apr.</w:t>
      </w:r>
      <w:r w:rsidRPr="001E3995">
        <w:t xml:space="preserve"> </w:t>
      </w:r>
      <w:r w:rsidRPr="001E3995">
        <w:t>26, 2023);</w:t>
      </w:r>
      <w:r w:rsidRPr="001E3995">
        <w:t xml:space="preserve"> </w:t>
      </w:r>
      <w:r w:rsidRPr="001E3995">
        <w:t>G.A.</w:t>
      </w:r>
      <w:r w:rsidRPr="001E3995">
        <w:t xml:space="preserve"> </w:t>
      </w:r>
      <w:proofErr w:type="spellStart"/>
      <w:r w:rsidRPr="001E3995">
        <w:t>Modefine</w:t>
      </w:r>
      <w:proofErr w:type="spellEnd"/>
      <w:r w:rsidRPr="001E3995">
        <w:t xml:space="preserve"> S.A.</w:t>
      </w:r>
      <w:r w:rsidRPr="001E3995">
        <w:t xml:space="preserve"> </w:t>
      </w:r>
      <w:r w:rsidRPr="001E3995">
        <w:t>v.</w:t>
      </w:r>
      <w:r w:rsidRPr="001E3995">
        <w:t xml:space="preserve"> </w:t>
      </w:r>
      <w:r w:rsidRPr="001E3995">
        <w:t>Burlington Coat Factory Warehouse Corp., 88 F.</w:t>
      </w:r>
      <w:r w:rsidRPr="001E3995">
        <w:t xml:space="preserve"> </w:t>
      </w:r>
      <w:r w:rsidRPr="001E3995">
        <w:t>Supp.</w:t>
      </w:r>
      <w:r w:rsidRPr="001E3995">
        <w:t xml:space="preserve"> </w:t>
      </w:r>
      <w:r w:rsidRPr="001E3995">
        <w:t>44, 45–46, 35 USPQ2d 1797 (S.D.N.Y.</w:t>
      </w:r>
      <w:r w:rsidRPr="001E3995">
        <w:t xml:space="preserve"> </w:t>
      </w:r>
      <w:r w:rsidRPr="001E3995">
        <w:t>1995);</w:t>
      </w:r>
      <w:r w:rsidRPr="001E3995">
        <w:t xml:space="preserve"> </w:t>
      </w:r>
      <w:r w:rsidRPr="001E3995">
        <w:t>American Cyanamid Co.</w:t>
      </w:r>
      <w:r w:rsidRPr="001E3995">
        <w:t xml:space="preserve"> </w:t>
      </w:r>
      <w:r w:rsidRPr="001E3995">
        <w:t>v.</w:t>
      </w:r>
      <w:r w:rsidRPr="001E3995">
        <w:t xml:space="preserve"> </w:t>
      </w:r>
      <w:r w:rsidRPr="001E3995">
        <w:t>Sterling Drug, Inc., 649 F.</w:t>
      </w:r>
      <w:r w:rsidRPr="001E3995">
        <w:t xml:space="preserve"> </w:t>
      </w:r>
      <w:r w:rsidRPr="001E3995">
        <w:t>Supp.</w:t>
      </w:r>
      <w:r w:rsidRPr="001E3995">
        <w:t xml:space="preserve"> </w:t>
      </w:r>
      <w:r w:rsidRPr="001E3995">
        <w:t>784, 787–89 (D.N.J.</w:t>
      </w:r>
      <w:r w:rsidRPr="001E3995">
        <w:t xml:space="preserve"> </w:t>
      </w:r>
      <w:r w:rsidRPr="001E3995">
        <w:t>1986);</w:t>
      </w:r>
      <w:r w:rsidRPr="001E3995">
        <w:t xml:space="preserve"> </w:t>
      </w:r>
      <w:r w:rsidRPr="001E3995">
        <w:t>American Soc’y for the Prevention of Cruelty to Animals v.</w:t>
      </w:r>
      <w:r w:rsidRPr="001E3995">
        <w:t xml:space="preserve"> </w:t>
      </w:r>
      <w:r w:rsidRPr="001E3995">
        <w:t>Alexanian, 1995 WL 580276, at *1 (S.D.N.Y.</w:t>
      </w:r>
      <w:r w:rsidRPr="001E3995">
        <w:t xml:space="preserve"> </w:t>
      </w:r>
      <w:r w:rsidRPr="001E3995">
        <w:t>Oct.</w:t>
      </w:r>
      <w:r w:rsidRPr="001E3995">
        <w:t xml:space="preserve"> </w:t>
      </w:r>
      <w:r w:rsidRPr="001E3995">
        <w:t>3, 1995).</w:t>
      </w:r>
    </w:p>
  </w:footnote>
  <w:footnote w:id="174">
    <w:p w14:paraId="0F411822" w14:textId="1062EB1E" w:rsidR="001E3995" w:rsidRDefault="001E3995" w:rsidP="001E3995">
      <w:pPr>
        <w:pStyle w:val="FootnoteText"/>
      </w:pPr>
      <w:r w:rsidRPr="001E3995">
        <w:rPr>
          <w:vertAlign w:val="superscript"/>
        </w:rPr>
        <w:footnoteRef/>
      </w:r>
      <w:r w:rsidRPr="001E3995">
        <w:t>523 U.S.</w:t>
      </w:r>
      <w:r w:rsidRPr="001E3995">
        <w:t xml:space="preserve"> </w:t>
      </w:r>
      <w:r w:rsidRPr="001E3995">
        <w:t>340, 46 USPQ2d 1161 (1998).</w:t>
      </w:r>
    </w:p>
  </w:footnote>
  <w:footnote w:id="175">
    <w:p w14:paraId="50F54FB7" w14:textId="6DE9FBC3" w:rsidR="001E3995" w:rsidRDefault="001E3995" w:rsidP="001E3995">
      <w:pPr>
        <w:pStyle w:val="FootnoteText"/>
      </w:pPr>
      <w:r w:rsidRPr="001E3995">
        <w:rPr>
          <w:vertAlign w:val="superscript"/>
        </w:rPr>
        <w:footnoteRef/>
      </w:r>
      <w:r w:rsidRPr="001E3995">
        <w:t>17 U.S.C.</w:t>
      </w:r>
      <w:r w:rsidRPr="001E3995">
        <w:t xml:space="preserve"> </w:t>
      </w:r>
      <w:r w:rsidRPr="001E3995">
        <w:t>§504(c).</w:t>
      </w:r>
    </w:p>
  </w:footnote>
  <w:footnote w:id="176">
    <w:p w14:paraId="40F45081" w14:textId="7FCD7CC8" w:rsidR="001E3995" w:rsidRDefault="001E3995" w:rsidP="001E3995">
      <w:pPr>
        <w:pStyle w:val="FootnoteText"/>
      </w:pPr>
      <w:r w:rsidRPr="001E3995">
        <w:rPr>
          <w:vertAlign w:val="superscript"/>
        </w:rPr>
        <w:footnoteRef/>
      </w:r>
      <w:r w:rsidRPr="001E3995">
        <w:t>Section 504(c)(1) provides for statutory damages of between $500 and $20,000, “as the court considers just.” Section 504(c)(2) allows an increase or decrease in the §504(c)(1) amount based on a finding (or lack) of willfulness by “the court in its discretion.”</w:t>
      </w:r>
    </w:p>
  </w:footnote>
  <w:footnote w:id="177">
    <w:p w14:paraId="408194D1" w14:textId="11F65ECD" w:rsidR="001E3995" w:rsidRDefault="001E3995" w:rsidP="001E3995">
      <w:pPr>
        <w:pStyle w:val="FootnoteText"/>
      </w:pPr>
      <w:r w:rsidRPr="001E3995">
        <w:rPr>
          <w:vertAlign w:val="superscript"/>
        </w:rPr>
        <w:footnoteRef/>
      </w:r>
      <w:r w:rsidRPr="001E3995">
        <w:rPr>
          <w:i/>
        </w:rPr>
        <w:t>Feltner</w:t>
      </w:r>
      <w:r w:rsidRPr="001E3995">
        <w:t>, 523 U.S.</w:t>
      </w:r>
      <w:r w:rsidRPr="001E3995">
        <w:t xml:space="preserve"> </w:t>
      </w:r>
      <w:r w:rsidRPr="001E3995">
        <w:t>at 345–47.</w:t>
      </w:r>
    </w:p>
  </w:footnote>
  <w:footnote w:id="178">
    <w:p w14:paraId="431CE819" w14:textId="339F976B"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348–51.</w:t>
      </w:r>
    </w:p>
  </w:footnote>
  <w:footnote w:id="179">
    <w:p w14:paraId="60643FAA" w14:textId="0C80BF83"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351–52.</w:t>
      </w:r>
    </w:p>
  </w:footnote>
  <w:footnote w:id="180">
    <w:p w14:paraId="43574AEC" w14:textId="423FBDAF"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352.</w:t>
      </w:r>
    </w:p>
  </w:footnote>
  <w:footnote w:id="181">
    <w:p w14:paraId="66D304E3" w14:textId="62979B23" w:rsidR="001E3995" w:rsidRDefault="001E3995" w:rsidP="001E3995">
      <w:pPr>
        <w:pStyle w:val="FootnoteText"/>
      </w:pPr>
      <w:r w:rsidRPr="001E3995">
        <w:rPr>
          <w:vertAlign w:val="superscript"/>
        </w:rPr>
        <w:footnoteRef/>
      </w:r>
      <w:r w:rsidRPr="001E3995">
        <w:rPr>
          <w:i/>
        </w:rPr>
        <w:t>E.g.</w:t>
      </w:r>
      <w:r w:rsidRPr="001E3995">
        <w:t>, Eastman Photographic Materials Co.</w:t>
      </w:r>
      <w:r w:rsidRPr="001E3995">
        <w:t xml:space="preserve"> </w:t>
      </w:r>
      <w:r w:rsidRPr="001E3995">
        <w:t>v.</w:t>
      </w:r>
      <w:r w:rsidRPr="001E3995">
        <w:t xml:space="preserve"> </w:t>
      </w:r>
      <w:r w:rsidRPr="001E3995">
        <w:t>John Griffith’s Cycle Corp., 15 R.P.C.</w:t>
      </w:r>
      <w:r w:rsidRPr="001E3995">
        <w:t xml:space="preserve"> </w:t>
      </w:r>
      <w:r w:rsidRPr="001E3995">
        <w:t>105 (1898) (Great Britain);</w:t>
      </w:r>
      <w:r w:rsidRPr="001E3995">
        <w:t xml:space="preserve"> </w:t>
      </w:r>
      <w:r w:rsidRPr="001E3995">
        <w:t>Yale Elec.</w:t>
      </w:r>
      <w:r w:rsidRPr="001E3995">
        <w:t xml:space="preserve"> </w:t>
      </w:r>
      <w:r w:rsidRPr="001E3995">
        <w:t>Corp.</w:t>
      </w:r>
      <w:r w:rsidRPr="001E3995">
        <w:t xml:space="preserve"> </w:t>
      </w:r>
      <w:r w:rsidRPr="001E3995">
        <w:t>v.</w:t>
      </w:r>
      <w:r w:rsidRPr="001E3995">
        <w:t xml:space="preserve"> </w:t>
      </w:r>
      <w:r w:rsidRPr="001E3995">
        <w:t>Robertson, 26 F.2d 972, 974 (2d Cir.</w:t>
      </w:r>
      <w:r w:rsidRPr="001E3995">
        <w:t xml:space="preserve"> </w:t>
      </w:r>
      <w:r w:rsidRPr="001E3995">
        <w:t>1928);</w:t>
      </w:r>
      <w:r w:rsidRPr="001E3995">
        <w:t xml:space="preserve"> </w:t>
      </w:r>
      <w:r w:rsidRPr="001E3995">
        <w:t>Tiffany &amp; Co.</w:t>
      </w:r>
      <w:r w:rsidRPr="001E3995">
        <w:t xml:space="preserve"> </w:t>
      </w:r>
      <w:r w:rsidRPr="001E3995">
        <w:t>v.</w:t>
      </w:r>
      <w:r w:rsidRPr="001E3995">
        <w:t xml:space="preserve"> </w:t>
      </w:r>
      <w:r w:rsidRPr="001E3995">
        <w:t>Tiffany Prods., Inc., 264 N.Y.S.</w:t>
      </w:r>
      <w:r w:rsidRPr="001E3995">
        <w:t xml:space="preserve"> </w:t>
      </w:r>
      <w:r w:rsidRPr="001E3995">
        <w:t>459 (N.Y.</w:t>
      </w:r>
      <w:r w:rsidRPr="001E3995">
        <w:t xml:space="preserve"> </w:t>
      </w:r>
      <w:r w:rsidRPr="001E3995">
        <w:t>Sup.</w:t>
      </w:r>
      <w:r w:rsidRPr="001E3995">
        <w:t xml:space="preserve"> </w:t>
      </w:r>
      <w:r w:rsidRPr="001E3995">
        <w:t>Ct.</w:t>
      </w:r>
      <w:r w:rsidRPr="001E3995">
        <w:t xml:space="preserve"> </w:t>
      </w:r>
      <w:r w:rsidRPr="001E3995">
        <w:t>N.Y.</w:t>
      </w:r>
      <w:r w:rsidRPr="001E3995">
        <w:t xml:space="preserve"> </w:t>
      </w:r>
      <w:proofErr w:type="spellStart"/>
      <w:r w:rsidRPr="001E3995">
        <w:t>Cty</w:t>
      </w:r>
      <w:proofErr w:type="spellEnd"/>
      <w:r w:rsidRPr="001E3995">
        <w:t xml:space="preserve">.), </w:t>
      </w:r>
      <w:r w:rsidRPr="001E3995">
        <w:rPr>
          <w:i/>
        </w:rPr>
        <w:t>aff’d</w:t>
      </w:r>
      <w:r w:rsidRPr="001E3995">
        <w:t>, 260 N.Y.S.</w:t>
      </w:r>
      <w:r w:rsidRPr="001E3995">
        <w:t xml:space="preserve"> </w:t>
      </w:r>
      <w:r w:rsidRPr="001E3995">
        <w:t>821 (App.</w:t>
      </w:r>
      <w:r w:rsidRPr="001E3995">
        <w:t xml:space="preserve"> </w:t>
      </w:r>
      <w:r w:rsidRPr="001E3995">
        <w:t>Div.</w:t>
      </w:r>
      <w:r w:rsidRPr="001E3995">
        <w:t xml:space="preserve"> </w:t>
      </w:r>
      <w:r w:rsidRPr="001E3995">
        <w:t>1st Dept.</w:t>
      </w:r>
      <w:r w:rsidRPr="001E3995">
        <w:t xml:space="preserve"> </w:t>
      </w:r>
      <w:r w:rsidRPr="001E3995">
        <w:t xml:space="preserve">1932), </w:t>
      </w:r>
      <w:r w:rsidRPr="001E3995">
        <w:rPr>
          <w:i/>
        </w:rPr>
        <w:t>aff’d</w:t>
      </w:r>
      <w:r w:rsidRPr="001E3995">
        <w:t>, 262 N.Y.</w:t>
      </w:r>
      <w:r w:rsidRPr="001E3995">
        <w:t xml:space="preserve"> </w:t>
      </w:r>
      <w:r w:rsidRPr="001E3995">
        <w:t>482, 188 N.E.</w:t>
      </w:r>
      <w:r w:rsidRPr="001E3995">
        <w:t xml:space="preserve"> </w:t>
      </w:r>
      <w:r w:rsidRPr="001E3995">
        <w:t>30 (1933).</w:t>
      </w:r>
    </w:p>
  </w:footnote>
  <w:footnote w:id="182">
    <w:p w14:paraId="53964CAA" w14:textId="6D278440" w:rsidR="001E3995" w:rsidRDefault="001E3995" w:rsidP="001E3995">
      <w:pPr>
        <w:pStyle w:val="FootnoteText"/>
      </w:pPr>
      <w:r w:rsidRPr="001E3995">
        <w:rPr>
          <w:vertAlign w:val="superscript"/>
        </w:rPr>
        <w:footnoteRef/>
      </w:r>
      <w:r w:rsidRPr="001E3995">
        <w:rPr>
          <w:i/>
        </w:rPr>
        <w:t>See</w:t>
      </w:r>
      <w:r w:rsidRPr="001E3995">
        <w:t xml:space="preserve"> Libbey Glass, Inc.</w:t>
      </w:r>
      <w:r w:rsidRPr="001E3995">
        <w:t xml:space="preserve"> </w:t>
      </w:r>
      <w:r w:rsidRPr="001E3995">
        <w:t>v.</w:t>
      </w:r>
      <w:r w:rsidRPr="001E3995">
        <w:t xml:space="preserve"> </w:t>
      </w:r>
      <w:r w:rsidRPr="001E3995">
        <w:t>Oneida, Ltd., 61 F.</w:t>
      </w:r>
      <w:r w:rsidRPr="001E3995">
        <w:t xml:space="preserve"> </w:t>
      </w:r>
      <w:r w:rsidRPr="001E3995">
        <w:t>Supp.</w:t>
      </w:r>
      <w:r w:rsidRPr="001E3995">
        <w:t xml:space="preserve"> </w:t>
      </w:r>
      <w:r w:rsidRPr="001E3995">
        <w:t>2d 700, 1999 WL 684180, at *3 (N.D.</w:t>
      </w:r>
      <w:r w:rsidRPr="001E3995">
        <w:t xml:space="preserve"> </w:t>
      </w:r>
      <w:r w:rsidRPr="001E3995">
        <w:t>Ohio July 12, 1999).</w:t>
      </w:r>
    </w:p>
  </w:footnote>
  <w:footnote w:id="183">
    <w:p w14:paraId="733E18DE" w14:textId="79D29BD7" w:rsidR="001E3995" w:rsidRDefault="001E3995" w:rsidP="001E3995">
      <w:pPr>
        <w:pStyle w:val="FootnoteText"/>
      </w:pPr>
      <w:r w:rsidRPr="001E3995">
        <w:rPr>
          <w:vertAlign w:val="superscript"/>
        </w:rPr>
        <w:footnoteRef/>
      </w:r>
      <w:proofErr w:type="spellStart"/>
      <w:r w:rsidRPr="001E3995">
        <w:t>Empresa</w:t>
      </w:r>
      <w:proofErr w:type="spellEnd"/>
      <w:r w:rsidRPr="001E3995">
        <w:t xml:space="preserve"> Cubana del Tabaco v.</w:t>
      </w:r>
      <w:r w:rsidRPr="001E3995">
        <w:t xml:space="preserve"> </w:t>
      </w:r>
      <w:proofErr w:type="spellStart"/>
      <w:r w:rsidRPr="001E3995">
        <w:t>Culbro</w:t>
      </w:r>
      <w:proofErr w:type="spellEnd"/>
      <w:r w:rsidRPr="001E3995">
        <w:t xml:space="preserve"> Corp., 123 F.</w:t>
      </w:r>
      <w:r w:rsidRPr="001E3995">
        <w:t xml:space="preserve"> </w:t>
      </w:r>
      <w:r w:rsidRPr="001E3995">
        <w:t>Supp.</w:t>
      </w:r>
      <w:r w:rsidRPr="001E3995">
        <w:t xml:space="preserve"> </w:t>
      </w:r>
      <w:r w:rsidRPr="001E3995">
        <w:t>2d 203 (S.D.N.Y.</w:t>
      </w:r>
      <w:r w:rsidRPr="001E3995">
        <w:t xml:space="preserve"> </w:t>
      </w:r>
      <w:r w:rsidRPr="001E3995">
        <w:t>2000);</w:t>
      </w:r>
      <w:r w:rsidRPr="001E3995">
        <w:t xml:space="preserve"> </w:t>
      </w:r>
      <w:r w:rsidRPr="001E3995">
        <w:t>Ringling Bros.-Barnum &amp; Bailey Combined Shows, Inc.</w:t>
      </w:r>
      <w:r w:rsidRPr="001E3995">
        <w:t xml:space="preserve"> </w:t>
      </w:r>
      <w:r w:rsidRPr="001E3995">
        <w:t>v.</w:t>
      </w:r>
      <w:r w:rsidRPr="001E3995">
        <w:t xml:space="preserve"> </w:t>
      </w:r>
      <w:r w:rsidRPr="001E3995">
        <w:t>Utah Div.</w:t>
      </w:r>
      <w:r w:rsidRPr="001E3995">
        <w:t xml:space="preserve"> </w:t>
      </w:r>
      <w:r w:rsidRPr="001E3995">
        <w:t>of Travel Dev., 955 F.</w:t>
      </w:r>
      <w:r w:rsidRPr="001E3995">
        <w:t xml:space="preserve"> </w:t>
      </w:r>
      <w:r w:rsidRPr="001E3995">
        <w:t>Supp.</w:t>
      </w:r>
      <w:r w:rsidRPr="001E3995">
        <w:t xml:space="preserve"> </w:t>
      </w:r>
      <w:r w:rsidRPr="001E3995">
        <w:t>605, 42 USPQ2d 1161 (E.D.</w:t>
      </w:r>
      <w:r w:rsidRPr="001E3995">
        <w:t xml:space="preserve"> </w:t>
      </w:r>
      <w:r w:rsidRPr="001E3995">
        <w:t>Va.</w:t>
      </w:r>
      <w:r w:rsidRPr="001E3995">
        <w:t xml:space="preserve"> </w:t>
      </w:r>
      <w:r w:rsidRPr="001E3995">
        <w:t xml:space="preserve">1997), </w:t>
      </w:r>
      <w:r w:rsidRPr="001E3995">
        <w:rPr>
          <w:i/>
        </w:rPr>
        <w:t>aff’d</w:t>
      </w:r>
      <w:r w:rsidRPr="001E3995">
        <w:t xml:space="preserve">, 170 F.3d 449, 50 USPQ2d 1065 (4th Cir.), </w:t>
      </w:r>
      <w:r w:rsidRPr="001E3995">
        <w:rPr>
          <w:i/>
        </w:rPr>
        <w:t>cert.</w:t>
      </w:r>
      <w:r w:rsidRPr="001E3995">
        <w:rPr>
          <w:i/>
        </w:rPr>
        <w:t xml:space="preserve"> </w:t>
      </w:r>
      <w:r w:rsidRPr="001E3995">
        <w:rPr>
          <w:i/>
        </w:rPr>
        <w:t>denied</w:t>
      </w:r>
      <w:r w:rsidRPr="001E3995">
        <w:t>, 528 U.S.</w:t>
      </w:r>
      <w:r w:rsidRPr="001E3995">
        <w:t xml:space="preserve"> </w:t>
      </w:r>
      <w:r w:rsidRPr="001E3995">
        <w:t>923 (1999);</w:t>
      </w:r>
      <w:r w:rsidRPr="001E3995">
        <w:t xml:space="preserve"> </w:t>
      </w:r>
      <w:r w:rsidRPr="001E3995">
        <w:rPr>
          <w:i/>
        </w:rPr>
        <w:t>Libbey Glass</w:t>
      </w:r>
      <w:r w:rsidRPr="001E3995">
        <w:t>, 1999 WL 684180, at *3.</w:t>
      </w:r>
      <w:r w:rsidRPr="001E3995">
        <w:t xml:space="preserve"> </w:t>
      </w:r>
      <w:r w:rsidRPr="001E3995">
        <w:t>These cases also included ordinary trademark infringement claims and various state-law claims.</w:t>
      </w:r>
      <w:r w:rsidRPr="001E3995">
        <w:t xml:space="preserve"> </w:t>
      </w:r>
      <w:r w:rsidRPr="001E3995">
        <w:t xml:space="preserve">In </w:t>
      </w:r>
      <w:r w:rsidRPr="001E3995">
        <w:rPr>
          <w:i/>
        </w:rPr>
        <w:t>Ringling</w:t>
      </w:r>
      <w:r w:rsidRPr="001E3995">
        <w:t xml:space="preserve">, the trademark infringement claims </w:t>
      </w:r>
      <w:proofErr w:type="gramStart"/>
      <w:r w:rsidRPr="001E3995">
        <w:t>actually were</w:t>
      </w:r>
      <w:proofErr w:type="gramEnd"/>
      <w:r w:rsidRPr="001E3995">
        <w:t xml:space="preserve"> the focus of the discussion.</w:t>
      </w:r>
    </w:p>
  </w:footnote>
  <w:footnote w:id="184">
    <w:p w14:paraId="7343087D" w14:textId="1FB184D6" w:rsidR="001E3995" w:rsidRDefault="001E3995" w:rsidP="001E3995">
      <w:pPr>
        <w:pStyle w:val="FootnoteText"/>
      </w:pPr>
      <w:r w:rsidRPr="001E3995">
        <w:rPr>
          <w:vertAlign w:val="superscript"/>
        </w:rPr>
        <w:footnoteRef/>
      </w:r>
      <w:r w:rsidRPr="001E3995">
        <w:t xml:space="preserve">968 F.2d 1532, 23 USPQ2d 1351 (2d Cir.), </w:t>
      </w:r>
      <w:r w:rsidRPr="001E3995">
        <w:rPr>
          <w:i/>
        </w:rPr>
        <w:t>cert.</w:t>
      </w:r>
      <w:r w:rsidRPr="001E3995">
        <w:rPr>
          <w:i/>
        </w:rPr>
        <w:t xml:space="preserve"> </w:t>
      </w:r>
      <w:r w:rsidRPr="001E3995">
        <w:rPr>
          <w:i/>
        </w:rPr>
        <w:t>denied</w:t>
      </w:r>
      <w:r w:rsidRPr="001E3995">
        <w:t>, 506 U.S.</w:t>
      </w:r>
      <w:r w:rsidRPr="001E3995">
        <w:t xml:space="preserve"> </w:t>
      </w:r>
      <w:r w:rsidRPr="001E3995">
        <w:t>991 (1992).</w:t>
      </w:r>
    </w:p>
  </w:footnote>
  <w:footnote w:id="185">
    <w:p w14:paraId="0CD4723E" w14:textId="0BD72223" w:rsidR="001E3995" w:rsidRDefault="001E3995" w:rsidP="001E3995">
      <w:pPr>
        <w:pStyle w:val="FootnoteText"/>
      </w:pPr>
      <w:r w:rsidRPr="001E3995">
        <w:rPr>
          <w:vertAlign w:val="superscript"/>
        </w:rPr>
        <w:footnoteRef/>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208 (distinguishing cases holding remedy of accounting to be legal on grounds that they awarded profits as a substitute for damages).</w:t>
      </w:r>
      <w:r w:rsidRPr="001E3995">
        <w:t xml:space="preserve"> </w:t>
      </w:r>
      <w:r w:rsidRPr="001E3995">
        <w:t>In other cases, courts have concluded that disgorgement of profits in a trademark case is an equitable remedy.</w:t>
      </w:r>
      <w:r w:rsidRPr="001E3995">
        <w:t xml:space="preserve"> </w:t>
      </w:r>
      <w:r w:rsidRPr="001E3995">
        <w:rPr>
          <w:i/>
        </w:rPr>
        <w:t>E.g.</w:t>
      </w:r>
      <w:r w:rsidRPr="001E3995">
        <w:t>, SPSS, Inc.</w:t>
      </w:r>
      <w:r w:rsidRPr="001E3995">
        <w:t xml:space="preserve"> </w:t>
      </w:r>
      <w:r w:rsidRPr="001E3995">
        <w:t>v.</w:t>
      </w:r>
      <w:r w:rsidRPr="001E3995">
        <w:t xml:space="preserve"> </w:t>
      </w:r>
      <w:r w:rsidRPr="001E3995">
        <w:t>Nie, 2009 WL 2579232, at *3, 2009 BL 176757 (N.D.</w:t>
      </w:r>
      <w:r w:rsidRPr="001E3995">
        <w:t xml:space="preserve"> </w:t>
      </w:r>
      <w:r w:rsidRPr="001E3995">
        <w:t>Ill.</w:t>
      </w:r>
      <w:r w:rsidRPr="001E3995">
        <w:t xml:space="preserve"> </w:t>
      </w:r>
      <w:r w:rsidRPr="001E3995">
        <w:t>Aug.</w:t>
      </w:r>
      <w:r w:rsidRPr="001E3995">
        <w:t xml:space="preserve"> </w:t>
      </w:r>
      <w:r w:rsidRPr="001E3995">
        <w:t>19, 2009);</w:t>
      </w:r>
      <w:r w:rsidRPr="001E3995">
        <w:t xml:space="preserve"> </w:t>
      </w:r>
      <w:r w:rsidRPr="001E3995">
        <w:t>Juicy Couture, Inc.</w:t>
      </w:r>
      <w:r w:rsidRPr="001E3995">
        <w:t xml:space="preserve"> </w:t>
      </w:r>
      <w:r w:rsidRPr="001E3995">
        <w:t>v.</w:t>
      </w:r>
      <w:r w:rsidRPr="001E3995">
        <w:t xml:space="preserve"> </w:t>
      </w:r>
      <w:r w:rsidRPr="001E3995">
        <w:t>L’Oréal USA, Inc., 2006 WL 559675, at *1, 2006 BL 31782 (S.D.N.Y.</w:t>
      </w:r>
      <w:r w:rsidRPr="001E3995">
        <w:t xml:space="preserve"> </w:t>
      </w:r>
      <w:r w:rsidRPr="001E3995">
        <w:t>Mar.</w:t>
      </w:r>
      <w:r w:rsidRPr="001E3995">
        <w:t xml:space="preserve"> </w:t>
      </w:r>
      <w:r w:rsidRPr="001E3995">
        <w:t>7, 2006).</w:t>
      </w:r>
      <w:r w:rsidRPr="001E3995">
        <w:t xml:space="preserve"> </w:t>
      </w:r>
      <w:r w:rsidRPr="001E3995">
        <w:rPr>
          <w:i/>
        </w:rPr>
        <w:t>See generally</w:t>
      </w:r>
      <w:r w:rsidRPr="001E3995">
        <w:t xml:space="preserve"> Mark A.</w:t>
      </w:r>
      <w:r w:rsidRPr="001E3995">
        <w:t xml:space="preserve"> </w:t>
      </w:r>
      <w:r w:rsidRPr="001E3995">
        <w:t xml:space="preserve">Thurmond, </w:t>
      </w:r>
      <w:r w:rsidRPr="001E3995">
        <w:rPr>
          <w:i/>
        </w:rPr>
        <w:t>Ending the Seventh Amendment Confusion:</w:t>
      </w:r>
      <w:r w:rsidRPr="001E3995">
        <w:rPr>
          <w:i/>
        </w:rPr>
        <w:t xml:space="preserve"> </w:t>
      </w:r>
      <w:r w:rsidRPr="001E3995">
        <w:rPr>
          <w:i/>
        </w:rPr>
        <w:t>A Critical Analysis of the Right to a Jury Trial in Trademark Cases</w:t>
      </w:r>
      <w:r w:rsidRPr="001E3995">
        <w:t xml:space="preserve">, 11 </w:t>
      </w:r>
      <w:r w:rsidRPr="001E3995">
        <w:rPr>
          <w:smallCaps/>
        </w:rPr>
        <w:t>Tex.</w:t>
      </w:r>
      <w:r w:rsidRPr="001E3995">
        <w:rPr>
          <w:smallCaps/>
        </w:rPr>
        <w:t xml:space="preserve"> </w:t>
      </w:r>
      <w:proofErr w:type="spellStart"/>
      <w:r w:rsidRPr="001E3995">
        <w:rPr>
          <w:smallCaps/>
        </w:rPr>
        <w:t>Intell</w:t>
      </w:r>
      <w:proofErr w:type="spellEnd"/>
      <w:r w:rsidRPr="001E3995">
        <w:rPr>
          <w:smallCaps/>
        </w:rPr>
        <w:t>.</w:t>
      </w:r>
      <w:r w:rsidRPr="001E3995">
        <w:rPr>
          <w:smallCaps/>
        </w:rPr>
        <w:t xml:space="preserve"> </w:t>
      </w:r>
      <w:r w:rsidRPr="001E3995">
        <w:rPr>
          <w:smallCaps/>
        </w:rPr>
        <w:t>Prop.</w:t>
      </w:r>
      <w:r w:rsidRPr="001E3995">
        <w:rPr>
          <w:smallCaps/>
        </w:rPr>
        <w:t xml:space="preserve"> </w:t>
      </w:r>
      <w:r w:rsidRPr="001E3995">
        <w:rPr>
          <w:smallCaps/>
        </w:rPr>
        <w:t>L.J</w:t>
      </w:r>
      <w:r w:rsidRPr="001E3995">
        <w:t>.</w:t>
      </w:r>
      <w:r w:rsidRPr="001E3995">
        <w:t xml:space="preserve"> </w:t>
      </w:r>
      <w:r w:rsidRPr="001E3995">
        <w:t>1 (2002) (concluding that jury trial is not always mandated).</w:t>
      </w:r>
    </w:p>
  </w:footnote>
  <w:footnote w:id="186">
    <w:p w14:paraId="357E7A73" w14:textId="7BDCD014" w:rsidR="001E3995" w:rsidRDefault="001E3995" w:rsidP="001E3995">
      <w:pPr>
        <w:pStyle w:val="FootnoteText"/>
      </w:pPr>
      <w:r w:rsidRPr="001E3995">
        <w:rPr>
          <w:vertAlign w:val="superscript"/>
        </w:rPr>
        <w:footnoteRef/>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207.</w:t>
      </w:r>
      <w:r w:rsidRPr="001E3995">
        <w:t xml:space="preserve"> </w:t>
      </w:r>
      <w:r w:rsidRPr="001E3995">
        <w:t>Although both parties sold cigars, the U.S.</w:t>
      </w:r>
      <w:r w:rsidRPr="001E3995">
        <w:t xml:space="preserve"> </w:t>
      </w:r>
      <w:r w:rsidRPr="001E3995">
        <w:t>trade embargo of Cuban goods precluded the plaintiff, a governmental entity in Cuba, from selling goods in this country.</w:t>
      </w:r>
      <w:r w:rsidRPr="001E3995">
        <w:t xml:space="preserve"> </w:t>
      </w:r>
      <w:r w:rsidRPr="001E3995">
        <w:rPr>
          <w:i/>
        </w:rPr>
        <w:t>Id.</w:t>
      </w:r>
    </w:p>
  </w:footnote>
  <w:footnote w:id="187">
    <w:p w14:paraId="46733C06" w14:textId="61278C78"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208–09.</w:t>
      </w:r>
    </w:p>
  </w:footnote>
  <w:footnote w:id="188">
    <w:p w14:paraId="386B12AA" w14:textId="4544C583"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209–10.</w:t>
      </w:r>
      <w:r w:rsidRPr="001E3995">
        <w:t xml:space="preserve"> </w:t>
      </w:r>
      <w:r w:rsidRPr="001E3995">
        <w:t>Presumably, the court believed that the same analysis of disgorgement of profits held true under the FTDA.</w:t>
      </w:r>
      <w:r w:rsidRPr="001E3995">
        <w:t xml:space="preserve"> </w:t>
      </w:r>
      <w:r w:rsidRPr="001E3995">
        <w:t>This is logical, since the FTDA uses the same damages section as ordinary infringement claims under the Lanham Act.</w:t>
      </w:r>
    </w:p>
  </w:footnote>
  <w:footnote w:id="189">
    <w:p w14:paraId="202D81F3" w14:textId="6E4AAAB9" w:rsidR="001E3995" w:rsidRDefault="001E3995" w:rsidP="001E3995">
      <w:pPr>
        <w:pStyle w:val="FootnoteText"/>
      </w:pPr>
      <w:r w:rsidRPr="001E3995">
        <w:rPr>
          <w:vertAlign w:val="superscript"/>
        </w:rPr>
        <w:footnoteRef/>
      </w:r>
      <w:r w:rsidRPr="001E3995">
        <w:t>Ringling Bros.-Barnum &amp; Bailey Combined Shows, Inc.</w:t>
      </w:r>
      <w:r w:rsidRPr="001E3995">
        <w:t xml:space="preserve"> </w:t>
      </w:r>
      <w:r w:rsidRPr="001E3995">
        <w:t>v.</w:t>
      </w:r>
      <w:r w:rsidRPr="001E3995">
        <w:t xml:space="preserve"> </w:t>
      </w:r>
      <w:r w:rsidRPr="001E3995">
        <w:t>Utah Div.</w:t>
      </w:r>
      <w:r w:rsidRPr="001E3995">
        <w:t xml:space="preserve"> </w:t>
      </w:r>
      <w:r w:rsidRPr="001E3995">
        <w:t>of Travel Dev., 955</w:t>
      </w:r>
      <w:r w:rsidRPr="001E3995">
        <w:br/>
        <w:t>F.</w:t>
      </w:r>
      <w:r w:rsidRPr="001E3995">
        <w:t xml:space="preserve"> </w:t>
      </w:r>
      <w:r w:rsidRPr="001E3995">
        <w:t>Supp.</w:t>
      </w:r>
      <w:r w:rsidRPr="001E3995">
        <w:t xml:space="preserve"> </w:t>
      </w:r>
      <w:r w:rsidRPr="001E3995">
        <w:t>598, 603–04, 42 USPQ2d 1161 (E.D.</w:t>
      </w:r>
      <w:r w:rsidRPr="001E3995">
        <w:t xml:space="preserve"> </w:t>
      </w:r>
      <w:r w:rsidRPr="001E3995">
        <w:t>Va.</w:t>
      </w:r>
      <w:r w:rsidRPr="001E3995">
        <w:t xml:space="preserve"> </w:t>
      </w:r>
      <w:r w:rsidRPr="001E3995">
        <w:t xml:space="preserve">1997), </w:t>
      </w:r>
      <w:r w:rsidRPr="001E3995">
        <w:rPr>
          <w:i/>
        </w:rPr>
        <w:t>aff’d</w:t>
      </w:r>
      <w:r w:rsidRPr="001E3995">
        <w:t xml:space="preserve">, 170 F.3d 449, 50 USPQ2d 1065 (4th Cir.), </w:t>
      </w:r>
      <w:r w:rsidRPr="001E3995">
        <w:rPr>
          <w:i/>
        </w:rPr>
        <w:t>cert.</w:t>
      </w:r>
      <w:r w:rsidRPr="001E3995">
        <w:rPr>
          <w:i/>
        </w:rPr>
        <w:t xml:space="preserve"> </w:t>
      </w:r>
      <w:r w:rsidRPr="001E3995">
        <w:rPr>
          <w:i/>
        </w:rPr>
        <w:t>denied</w:t>
      </w:r>
      <w:r w:rsidRPr="001E3995">
        <w:t>, 528 U.S.</w:t>
      </w:r>
      <w:r w:rsidRPr="001E3995">
        <w:t xml:space="preserve"> </w:t>
      </w:r>
      <w:r w:rsidRPr="001E3995">
        <w:t>923 (1999).</w:t>
      </w:r>
    </w:p>
  </w:footnote>
  <w:footnote w:id="190">
    <w:p w14:paraId="621D2436" w14:textId="4184612F"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601–03.</w:t>
      </w:r>
    </w:p>
  </w:footnote>
  <w:footnote w:id="191">
    <w:p w14:paraId="092B2AD6" w14:textId="0E912A29"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602.</w:t>
      </w:r>
    </w:p>
  </w:footnote>
  <w:footnote w:id="192">
    <w:p w14:paraId="22E04CBF" w14:textId="720B1173"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605 &amp; n.20.</w:t>
      </w:r>
    </w:p>
  </w:footnote>
  <w:footnote w:id="193">
    <w:p w14:paraId="42B4065D" w14:textId="19E4C303" w:rsidR="001E3995" w:rsidRDefault="001E3995" w:rsidP="001E3995">
      <w:pPr>
        <w:pStyle w:val="FootnoteText"/>
      </w:pPr>
      <w:r w:rsidRPr="001E3995">
        <w:rPr>
          <w:vertAlign w:val="superscript"/>
        </w:rPr>
        <w:footnoteRef/>
      </w:r>
      <w:r w:rsidRPr="001E3995">
        <w:t>1999 WL 684180 (N.D.</w:t>
      </w:r>
      <w:r w:rsidRPr="001E3995">
        <w:t xml:space="preserve"> </w:t>
      </w:r>
      <w:r w:rsidRPr="001E3995">
        <w:t>Ohio July 12, 1999).</w:t>
      </w:r>
    </w:p>
  </w:footnote>
  <w:footnote w:id="194">
    <w:p w14:paraId="51A7BA0F" w14:textId="2DA96F93"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*3.</w:t>
      </w:r>
      <w:r w:rsidRPr="001E3995">
        <w:t xml:space="preserve"> </w:t>
      </w:r>
      <w:r w:rsidRPr="001E3995">
        <w:t xml:space="preserve">This case apparently also involved other damages claims that would involve a right to jury trial and, under </w:t>
      </w:r>
      <w:r w:rsidRPr="001E3995">
        <w:rPr>
          <w:rStyle w:val="BCasenamefull"/>
        </w:rPr>
        <w:t>Dairy Queen v. Wood</w:t>
      </w:r>
      <w:r w:rsidRPr="001E3995">
        <w:t>, would require a jury trial of those claims first.</w:t>
      </w:r>
    </w:p>
  </w:footnote>
  <w:footnote w:id="195">
    <w:p w14:paraId="18DFA627" w14:textId="582A2B8C" w:rsidR="001E3995" w:rsidRDefault="001E3995" w:rsidP="001E3995">
      <w:pPr>
        <w:pStyle w:val="FootnoteText"/>
      </w:pPr>
      <w:r w:rsidRPr="001E3995">
        <w:rPr>
          <w:vertAlign w:val="superscript"/>
        </w:rPr>
        <w:footnoteRef/>
      </w:r>
      <w:r w:rsidRPr="001E3995">
        <w:rPr>
          <w:i/>
        </w:rPr>
        <w:t>Id</w:t>
      </w:r>
      <w:r w:rsidRPr="001E3995">
        <w:t>.</w:t>
      </w:r>
    </w:p>
  </w:footnote>
  <w:footnote w:id="196">
    <w:p w14:paraId="7A778184" w14:textId="3184176F" w:rsidR="001E3995" w:rsidRPr="001E3995" w:rsidRDefault="001E3995" w:rsidP="001E3995">
      <w:pPr>
        <w:pStyle w:val="FootnoteText"/>
      </w:pPr>
      <w:r w:rsidRPr="001E3995">
        <w:rPr>
          <w:vertAlign w:val="superscript"/>
        </w:rPr>
        <w:footnoteRef/>
      </w:r>
      <w:r w:rsidRPr="001E3995">
        <w:t>Petrella v.</w:t>
      </w:r>
      <w:r w:rsidRPr="001E3995">
        <w:t xml:space="preserve"> </w:t>
      </w:r>
      <w:r w:rsidRPr="001E3995">
        <w:t>Metro-Goldwyn-Mayer, Inc., 572 U.S.</w:t>
      </w:r>
      <w:r w:rsidRPr="001E3995">
        <w:t xml:space="preserve"> </w:t>
      </w:r>
      <w:r w:rsidRPr="001E3995">
        <w:t>663, 668 n.1, 110 USPQ2d 1605 (2014).</w:t>
      </w:r>
      <w:r w:rsidRPr="001E3995">
        <w:t xml:space="preserve"> </w:t>
      </w:r>
      <w:r w:rsidRPr="001E3995">
        <w:t>The issue in the case was whether laches could bar a claim for damages brought within the statute of limitations;</w:t>
      </w:r>
      <w:r w:rsidRPr="001E3995">
        <w:t xml:space="preserve"> </w:t>
      </w:r>
      <w:r w:rsidRPr="001E3995">
        <w:t>the Court held that laches did not apply.</w:t>
      </w:r>
    </w:p>
    <w:p w14:paraId="55B092F2" w14:textId="77777777" w:rsidR="001E3995" w:rsidRDefault="001E3995" w:rsidP="002010F9">
      <w:pPr>
        <w:pStyle w:val="footnote"/>
      </w:pPr>
    </w:p>
  </w:footnote>
  <w:footnote w:id="197">
    <w:p w14:paraId="2DC59C1D" w14:textId="50A1E2FF" w:rsidR="001E3995" w:rsidRPr="001E3995" w:rsidRDefault="001E3995" w:rsidP="001E3995">
      <w:pPr>
        <w:pStyle w:val="FootnoteText"/>
      </w:pPr>
      <w:r w:rsidRPr="001E3995">
        <w:rPr>
          <w:vertAlign w:val="superscript"/>
        </w:rPr>
        <w:footnoteRef/>
      </w:r>
      <w:r w:rsidRPr="001E3995">
        <w:t>Fifty-Six Hope Road Music, Ltd.</w:t>
      </w:r>
      <w:r w:rsidRPr="001E3995">
        <w:t xml:space="preserve"> </w:t>
      </w:r>
      <w:r w:rsidRPr="001E3995">
        <w:t>v.</w:t>
      </w:r>
      <w:r w:rsidRPr="001E3995">
        <w:t xml:space="preserve"> </w:t>
      </w:r>
      <w:r w:rsidRPr="001E3995">
        <w:t>A.V.E.L.A., Inc., 778 F.3d 1059, 1066, 1074–76, 113 USPQ2d 1883 (9th Cir.</w:t>
      </w:r>
      <w:r w:rsidRPr="001E3995">
        <w:t xml:space="preserve"> </w:t>
      </w:r>
      <w:r w:rsidRPr="001E3995">
        <w:t>2015).</w:t>
      </w:r>
    </w:p>
    <w:p w14:paraId="1102C799" w14:textId="77777777" w:rsidR="001E3995" w:rsidRDefault="001E3995" w:rsidP="002010F9">
      <w:pPr>
        <w:pStyle w:val="footnote"/>
      </w:pPr>
    </w:p>
  </w:footnote>
  <w:footnote w:id="198">
    <w:p w14:paraId="0F2EB2A9" w14:textId="31E77EC5" w:rsidR="001E3995" w:rsidRPr="001E3995" w:rsidRDefault="001E3995" w:rsidP="001E3995">
      <w:pPr>
        <w:pStyle w:val="FootnoteText"/>
      </w:pPr>
      <w:r w:rsidRPr="001E3995">
        <w:rPr>
          <w:vertAlign w:val="superscript"/>
        </w:rPr>
        <w:footnoteRef/>
      </w:r>
      <w:r w:rsidRPr="001E3995">
        <w:t>118 F.</w:t>
      </w:r>
      <w:r w:rsidRPr="001E3995">
        <w:t xml:space="preserve"> </w:t>
      </w:r>
      <w:r w:rsidRPr="001E3995">
        <w:t>Supp.</w:t>
      </w:r>
      <w:r w:rsidRPr="001E3995">
        <w:t xml:space="preserve"> </w:t>
      </w:r>
      <w:r w:rsidRPr="001E3995">
        <w:t>3d 1056 (N.D.</w:t>
      </w:r>
      <w:r w:rsidRPr="001E3995">
        <w:t xml:space="preserve"> </w:t>
      </w:r>
      <w:r w:rsidRPr="001E3995">
        <w:t>Ill.</w:t>
      </w:r>
      <w:r w:rsidRPr="001E3995">
        <w:t xml:space="preserve"> </w:t>
      </w:r>
      <w:r w:rsidRPr="001E3995">
        <w:t>2015).</w:t>
      </w:r>
    </w:p>
    <w:p w14:paraId="0D88BC43" w14:textId="77777777" w:rsidR="001E3995" w:rsidRPr="00190DEA" w:rsidRDefault="001E3995" w:rsidP="002010F9">
      <w:pPr>
        <w:pStyle w:val="footnote"/>
        <w:rPr>
          <w:lang w:val="sv-SE"/>
        </w:rPr>
      </w:pPr>
    </w:p>
  </w:footnote>
  <w:footnote w:id="199">
    <w:p w14:paraId="5C8A2D02" w14:textId="64D58F32" w:rsidR="001E3995" w:rsidRPr="001E3995" w:rsidRDefault="001E3995" w:rsidP="001E3995">
      <w:pPr>
        <w:pStyle w:val="FootnoteText"/>
      </w:pPr>
      <w:r w:rsidRPr="001E3995">
        <w:rPr>
          <w:vertAlign w:val="superscript"/>
        </w:rPr>
        <w:footnoteRef/>
      </w:r>
      <w:r w:rsidRPr="001E3995">
        <w:rPr>
          <w:i/>
        </w:rPr>
        <w:t>Id</w:t>
      </w:r>
      <w:r w:rsidRPr="001E3995">
        <w:t>.</w:t>
      </w:r>
      <w:r w:rsidRPr="001E3995">
        <w:t xml:space="preserve"> </w:t>
      </w:r>
      <w:r w:rsidRPr="001E3995">
        <w:t>at 1060–67.</w:t>
      </w:r>
    </w:p>
    <w:p w14:paraId="3BED99F1" w14:textId="77777777" w:rsidR="001E3995" w:rsidRDefault="001E3995" w:rsidP="002010F9">
      <w:pPr>
        <w:pStyle w:val="footnote"/>
      </w:pPr>
    </w:p>
  </w:footnote>
  <w:footnote w:id="200">
    <w:p w14:paraId="0C8783C7" w14:textId="7AF55C78" w:rsidR="001E3995" w:rsidRDefault="001E3995" w:rsidP="001E3995">
      <w:pPr>
        <w:pStyle w:val="FootnoteText"/>
      </w:pPr>
      <w:r w:rsidRPr="001E3995">
        <w:rPr>
          <w:vertAlign w:val="superscript"/>
        </w:rPr>
        <w:footnoteRef/>
      </w:r>
      <w:r w:rsidRPr="001E3995">
        <w:t>Dairy Queen, Inc.</w:t>
      </w:r>
      <w:r w:rsidRPr="001E3995">
        <w:t xml:space="preserve"> </w:t>
      </w:r>
      <w:r w:rsidRPr="001E3995">
        <w:t>v.</w:t>
      </w:r>
      <w:r w:rsidRPr="001E3995">
        <w:t xml:space="preserve"> </w:t>
      </w:r>
      <w:r w:rsidRPr="001E3995">
        <w:t>Wood, 369 U.S.</w:t>
      </w:r>
      <w:r w:rsidRPr="001E3995">
        <w:t xml:space="preserve"> </w:t>
      </w:r>
      <w:r w:rsidRPr="001E3995">
        <w:t>469, 480 n.20, 133 USPQ 294 (1962).</w:t>
      </w:r>
    </w:p>
  </w:footnote>
  <w:footnote w:id="201">
    <w:p w14:paraId="56A64011" w14:textId="6C998941" w:rsidR="001E3995" w:rsidRDefault="001E3995" w:rsidP="001E3995">
      <w:pPr>
        <w:pStyle w:val="FootnoteText"/>
      </w:pPr>
      <w:r w:rsidRPr="001E3995">
        <w:rPr>
          <w:vertAlign w:val="superscript"/>
        </w:rPr>
        <w:footnoteRef/>
      </w:r>
      <w:r w:rsidRPr="001E3995">
        <w:rPr>
          <w:i/>
        </w:rPr>
        <w:t>E.g.</w:t>
      </w:r>
      <w:r w:rsidRPr="001E3995">
        <w:t xml:space="preserve">, </w:t>
      </w:r>
      <w:r w:rsidRPr="001E3995">
        <w:rPr>
          <w:i/>
        </w:rPr>
        <w:t>Black &amp; Decker Corp.</w:t>
      </w:r>
      <w:r w:rsidRPr="001E3995">
        <w:t>, 118 F.</w:t>
      </w:r>
      <w:r w:rsidRPr="001E3995">
        <w:t xml:space="preserve"> </w:t>
      </w:r>
      <w:r w:rsidRPr="001E3995">
        <w:t>Supp.</w:t>
      </w:r>
      <w:r w:rsidRPr="001E3995">
        <w:t xml:space="preserve"> </w:t>
      </w:r>
      <w:r w:rsidRPr="001E3995">
        <w:t>3d at 1067 n.17;</w:t>
      </w:r>
      <w:r w:rsidRPr="001E3995">
        <w:t xml:space="preserve"> </w:t>
      </w:r>
      <w:r w:rsidRPr="001E3995">
        <w:t>Levi Strauss &amp; Co.</w:t>
      </w:r>
      <w:r w:rsidRPr="001E3995">
        <w:t xml:space="preserve"> </w:t>
      </w:r>
      <w:r w:rsidRPr="001E3995">
        <w:t>v.</w:t>
      </w:r>
      <w:r w:rsidRPr="001E3995">
        <w:t xml:space="preserve"> </w:t>
      </w:r>
      <w:r w:rsidRPr="001E3995">
        <w:t>Abercrombie &amp; Fitch Trading Co., 2009 U.S.</w:t>
      </w:r>
      <w:r w:rsidRPr="001E3995">
        <w:t xml:space="preserve"> </w:t>
      </w:r>
      <w:r w:rsidRPr="001E3995">
        <w:t>Dist.</w:t>
      </w:r>
      <w:r w:rsidRPr="001E3995">
        <w:t xml:space="preserve"> </w:t>
      </w:r>
      <w:r w:rsidRPr="001E3995">
        <w:t>LEXIS 33923, at *18–26 (N.D.</w:t>
      </w:r>
      <w:r w:rsidRPr="001E3995">
        <w:t xml:space="preserve"> </w:t>
      </w:r>
      <w:r w:rsidRPr="001E3995">
        <w:t>Cal.</w:t>
      </w:r>
      <w:r w:rsidRPr="001E3995">
        <w:t xml:space="preserve"> </w:t>
      </w:r>
      <w:r w:rsidRPr="001E3995">
        <w:t>Apr.</w:t>
      </w:r>
      <w:r w:rsidRPr="001E3995">
        <w:t xml:space="preserve"> </w:t>
      </w:r>
      <w:r w:rsidRPr="001E3995">
        <w:t xml:space="preserve">22, 2009) (discussing results reached by advisory jury), </w:t>
      </w:r>
      <w:proofErr w:type="spellStart"/>
      <w:r w:rsidRPr="001E3995">
        <w:rPr>
          <w:i/>
        </w:rPr>
        <w:t>rev’d</w:t>
      </w:r>
      <w:proofErr w:type="spellEnd"/>
      <w:r w:rsidRPr="001E3995">
        <w:rPr>
          <w:i/>
        </w:rPr>
        <w:t xml:space="preserve"> on other grounds</w:t>
      </w:r>
      <w:r w:rsidRPr="001E3995">
        <w:t>, 633 F.3d 1158, 97 USPQ2d 1947 (9th Cir.</w:t>
      </w:r>
      <w:r w:rsidRPr="001E3995">
        <w:t xml:space="preserve"> </w:t>
      </w:r>
      <w:r w:rsidRPr="001E3995">
        <w:t>2011) (the Ninth Circuit did not discuss the propriety of an advisory jury).</w:t>
      </w:r>
      <w:r w:rsidRPr="001E3995">
        <w:t xml:space="preserve"> </w:t>
      </w:r>
      <w:r w:rsidRPr="001E3995">
        <w:rPr>
          <w:i/>
        </w:rPr>
        <w:t>See</w:t>
      </w:r>
      <w:r w:rsidRPr="001E3995">
        <w:t xml:space="preserve"> Sturgis Motorcycle Rally, Inc.</w:t>
      </w:r>
      <w:r w:rsidRPr="001E3995">
        <w:t xml:space="preserve"> </w:t>
      </w:r>
      <w:r w:rsidRPr="001E3995">
        <w:t>v.</w:t>
      </w:r>
      <w:r w:rsidRPr="001E3995">
        <w:t xml:space="preserve"> </w:t>
      </w:r>
      <w:r w:rsidRPr="001E3995">
        <w:t>Rushmore Photo &amp; Gifts, Inc., 2016 WL 589865, at *2–3 (D.S.D.</w:t>
      </w:r>
      <w:r w:rsidRPr="001E3995">
        <w:t xml:space="preserve"> </w:t>
      </w:r>
      <w:r w:rsidRPr="001E3995">
        <w:t>Feb.</w:t>
      </w:r>
      <w:r w:rsidRPr="001E3995">
        <w:t xml:space="preserve"> </w:t>
      </w:r>
      <w:r w:rsidRPr="001E3995">
        <w:t xml:space="preserve">11, 2016) (using jury findings to issue preliminary injunction prior to ruling on post-trial motions and permanent injunction </w:t>
      </w:r>
      <w:proofErr w:type="gramStart"/>
      <w:r w:rsidRPr="001E3995">
        <w:t>motion</w:t>
      </w:r>
      <w:proofErr w:type="gramEnd"/>
      <w:r w:rsidRPr="001E3995">
        <w:t>).</w:t>
      </w:r>
    </w:p>
  </w:footnote>
  <w:footnote w:id="202">
    <w:p w14:paraId="7CD5F260" w14:textId="574555A1" w:rsidR="001E3995" w:rsidRPr="001E3995" w:rsidRDefault="001E3995" w:rsidP="001E3995">
      <w:pPr>
        <w:pStyle w:val="FootnoteText"/>
      </w:pPr>
      <w:r w:rsidRPr="001E3995">
        <w:rPr>
          <w:vertAlign w:val="superscript"/>
        </w:rPr>
        <w:footnoteRef/>
      </w:r>
      <w:r w:rsidRPr="001E3995">
        <w:t>For a discussion of this and other issues involved in jury trials in dilution cases, see generally David S.</w:t>
      </w:r>
      <w:r w:rsidRPr="001E3995">
        <w:t xml:space="preserve"> </w:t>
      </w:r>
      <w:proofErr w:type="spellStart"/>
      <w:r w:rsidRPr="001E3995">
        <w:t>Welkowitz</w:t>
      </w:r>
      <w:proofErr w:type="spellEnd"/>
      <w:r w:rsidRPr="001E3995">
        <w:t xml:space="preserve">, </w:t>
      </w:r>
      <w:r w:rsidRPr="001E3995">
        <w:rPr>
          <w:i/>
        </w:rPr>
        <w:t>Who Should Decide?</w:t>
      </w:r>
      <w:r w:rsidRPr="001E3995">
        <w:rPr>
          <w:i/>
        </w:rPr>
        <w:t xml:space="preserve"> </w:t>
      </w:r>
      <w:r w:rsidRPr="001E3995">
        <w:rPr>
          <w:i/>
        </w:rPr>
        <w:t>Judges and Juries in Trademark Dilution Actions</w:t>
      </w:r>
      <w:r w:rsidRPr="001E3995">
        <w:t xml:space="preserve">, 63 </w:t>
      </w:r>
      <w:r w:rsidRPr="001E3995">
        <w:rPr>
          <w:smallCaps/>
        </w:rPr>
        <w:t>Mercer L.</w:t>
      </w:r>
      <w:r w:rsidRPr="001E3995">
        <w:rPr>
          <w:smallCaps/>
        </w:rPr>
        <w:t xml:space="preserve"> </w:t>
      </w:r>
      <w:r w:rsidRPr="001E3995">
        <w:rPr>
          <w:smallCaps/>
        </w:rPr>
        <w:t>Rev</w:t>
      </w:r>
      <w:r w:rsidRPr="001E3995">
        <w:t>.</w:t>
      </w:r>
      <w:r w:rsidRPr="001E3995">
        <w:t xml:space="preserve"> </w:t>
      </w:r>
      <w:r w:rsidRPr="001E3995">
        <w:t>429 (2012).</w:t>
      </w:r>
    </w:p>
    <w:p w14:paraId="36C050F9" w14:textId="77777777" w:rsidR="001E3995" w:rsidRDefault="001E3995" w:rsidP="002010F9">
      <w:pPr>
        <w:pStyle w:val="footnote"/>
      </w:pPr>
    </w:p>
  </w:footnote>
  <w:footnote w:id="203">
    <w:p w14:paraId="073C1A24" w14:textId="2792C8A5" w:rsidR="001E3995" w:rsidRDefault="001E3995" w:rsidP="001E3995">
      <w:pPr>
        <w:pStyle w:val="FootnoteText"/>
      </w:pPr>
      <w:r w:rsidRPr="001E3995">
        <w:rPr>
          <w:vertAlign w:val="superscript"/>
        </w:rPr>
        <w:footnoteRef/>
      </w:r>
      <w:r w:rsidRPr="001E3995">
        <w:rPr>
          <w:i/>
        </w:rPr>
        <w:t>See</w:t>
      </w:r>
      <w:r w:rsidRPr="001E3995">
        <w:t xml:space="preserve"> Chapter 11, §I.</w:t>
      </w:r>
    </w:p>
  </w:footnote>
  <w:footnote w:id="204">
    <w:p w14:paraId="4B3DC838" w14:textId="330E9EE4" w:rsidR="001E3995" w:rsidRDefault="001E3995" w:rsidP="001E3995">
      <w:pPr>
        <w:pStyle w:val="FootnoteText"/>
      </w:pPr>
      <w:r w:rsidRPr="001E3995">
        <w:rPr>
          <w:vertAlign w:val="superscript"/>
        </w:rPr>
        <w:footnoteRef/>
      </w:r>
      <w:r w:rsidRPr="001E3995">
        <w:t>Ringling Bros.-Barnum &amp; Bailey Combined Shows, Inc.</w:t>
      </w:r>
      <w:r w:rsidRPr="001E3995">
        <w:t xml:space="preserve"> </w:t>
      </w:r>
      <w:r w:rsidRPr="001E3995">
        <w:t>v.</w:t>
      </w:r>
      <w:r w:rsidRPr="001E3995">
        <w:t xml:space="preserve"> </w:t>
      </w:r>
      <w:r w:rsidRPr="001E3995">
        <w:t>Utah Div.</w:t>
      </w:r>
      <w:r w:rsidRPr="001E3995">
        <w:t xml:space="preserve"> </w:t>
      </w:r>
      <w:r w:rsidRPr="001E3995">
        <w:t>of Travel Dev., 955 F.</w:t>
      </w:r>
      <w:r w:rsidRPr="001E3995">
        <w:t xml:space="preserve"> </w:t>
      </w:r>
      <w:r w:rsidRPr="001E3995">
        <w:t>Supp.</w:t>
      </w:r>
      <w:r w:rsidRPr="001E3995">
        <w:t xml:space="preserve"> </w:t>
      </w:r>
      <w:r w:rsidRPr="001E3995">
        <w:t>598, 603, 42 USPQ 1161 (E.D.</w:t>
      </w:r>
      <w:r w:rsidRPr="001E3995">
        <w:t xml:space="preserve"> </w:t>
      </w:r>
      <w:r w:rsidRPr="001E3995">
        <w:t>Va.</w:t>
      </w:r>
      <w:r w:rsidRPr="001E3995">
        <w:t xml:space="preserve"> </w:t>
      </w:r>
      <w:r w:rsidRPr="001E3995">
        <w:t xml:space="preserve">1997), </w:t>
      </w:r>
      <w:r w:rsidRPr="001E3995">
        <w:rPr>
          <w:i/>
        </w:rPr>
        <w:t>aff’d</w:t>
      </w:r>
      <w:r w:rsidRPr="001E3995">
        <w:t xml:space="preserve">, 170 F.3d 449, 465, 50 USPQ2d 1065 (4th Cir.), </w:t>
      </w:r>
      <w:r w:rsidRPr="001E3995">
        <w:rPr>
          <w:i/>
        </w:rPr>
        <w:t>cert.</w:t>
      </w:r>
      <w:r w:rsidRPr="001E3995">
        <w:rPr>
          <w:i/>
        </w:rPr>
        <w:t xml:space="preserve"> </w:t>
      </w:r>
      <w:r w:rsidRPr="001E3995">
        <w:rPr>
          <w:i/>
        </w:rPr>
        <w:t>denied</w:t>
      </w:r>
      <w:r w:rsidRPr="001E3995">
        <w:t>, 528 U.S.</w:t>
      </w:r>
      <w:r w:rsidRPr="001E3995">
        <w:t xml:space="preserve"> </w:t>
      </w:r>
      <w:r w:rsidRPr="001E3995">
        <w:t>923 (1999).</w:t>
      </w:r>
    </w:p>
  </w:footnote>
  <w:footnote w:id="205">
    <w:p w14:paraId="51D24B61" w14:textId="150945C9" w:rsidR="001E3995" w:rsidRPr="001E3995" w:rsidRDefault="001E3995" w:rsidP="001E3995">
      <w:pPr>
        <w:pStyle w:val="FootnoteText"/>
      </w:pPr>
      <w:r w:rsidRPr="001E3995">
        <w:rPr>
          <w:vertAlign w:val="superscript"/>
        </w:rPr>
        <w:footnoteRef/>
      </w:r>
      <w:r w:rsidRPr="001E3995">
        <w:t>Overbeck Corp.</w:t>
      </w:r>
      <w:r w:rsidRPr="001E3995">
        <w:t xml:space="preserve"> </w:t>
      </w:r>
      <w:r w:rsidRPr="001E3995">
        <w:t>v.</w:t>
      </w:r>
      <w:r w:rsidRPr="001E3995">
        <w:t xml:space="preserve"> </w:t>
      </w:r>
      <w:r w:rsidRPr="001E3995">
        <w:t>Overbeck GmbH, 2007 U.S.</w:t>
      </w:r>
      <w:r w:rsidRPr="001E3995">
        <w:t xml:space="preserve"> </w:t>
      </w:r>
      <w:r w:rsidRPr="001E3995">
        <w:t>Dist.</w:t>
      </w:r>
      <w:r w:rsidRPr="001E3995">
        <w:t xml:space="preserve"> </w:t>
      </w:r>
      <w:r w:rsidRPr="001E3995">
        <w:t>LEXIS 23740, at *9–12 (E.D.N.Y.</w:t>
      </w:r>
      <w:r w:rsidRPr="001E3995">
        <w:t xml:space="preserve"> </w:t>
      </w:r>
      <w:r w:rsidRPr="001E3995">
        <w:t>Mar.</w:t>
      </w:r>
      <w:r w:rsidRPr="001E3995">
        <w:t xml:space="preserve"> </w:t>
      </w:r>
      <w:r w:rsidRPr="001E3995">
        <w:t>30, 2007).</w:t>
      </w:r>
    </w:p>
    <w:p w14:paraId="0BA2AE85" w14:textId="77777777" w:rsidR="001E3995" w:rsidRDefault="001E3995" w:rsidP="002010F9">
      <w:pPr>
        <w:pStyle w:val="footnote"/>
      </w:pPr>
    </w:p>
  </w:footnote>
  <w:footnote w:id="206">
    <w:p w14:paraId="698A060A" w14:textId="36B12DCA" w:rsidR="001E3995" w:rsidRDefault="001E3995" w:rsidP="001E3995">
      <w:pPr>
        <w:pStyle w:val="FootnoteText"/>
      </w:pPr>
      <w:r w:rsidRPr="001E3995">
        <w:rPr>
          <w:vertAlign w:val="superscript"/>
        </w:rPr>
        <w:footnoteRef/>
      </w:r>
      <w:r w:rsidRPr="001E3995">
        <w:t>955 F.</w:t>
      </w:r>
      <w:r w:rsidRPr="001E3995">
        <w:t xml:space="preserve"> </w:t>
      </w:r>
      <w:r w:rsidRPr="001E3995">
        <w:t>Supp.</w:t>
      </w:r>
      <w:r w:rsidRPr="001E3995">
        <w:t xml:space="preserve"> </w:t>
      </w:r>
      <w:r w:rsidRPr="001E3995">
        <w:t>598, 42 USPQ2d 1161 (E.D.</w:t>
      </w:r>
      <w:r w:rsidRPr="001E3995">
        <w:t xml:space="preserve"> </w:t>
      </w:r>
      <w:r w:rsidRPr="001E3995">
        <w:t>Va.</w:t>
      </w:r>
      <w:r w:rsidRPr="001E3995">
        <w:t xml:space="preserve"> </w:t>
      </w:r>
      <w:r w:rsidRPr="001E3995">
        <w:t xml:space="preserve">1997), </w:t>
      </w:r>
      <w:r w:rsidRPr="001E3995">
        <w:rPr>
          <w:i/>
        </w:rPr>
        <w:t>aff’d</w:t>
      </w:r>
      <w:r w:rsidRPr="001E3995">
        <w:t xml:space="preserve">, 170 F.3d 449, 465–66, 50 USPQ2d 1065 (4th Cir.), </w:t>
      </w:r>
      <w:r w:rsidRPr="001E3995">
        <w:rPr>
          <w:i/>
        </w:rPr>
        <w:t>cert.</w:t>
      </w:r>
      <w:r w:rsidRPr="001E3995">
        <w:rPr>
          <w:i/>
        </w:rPr>
        <w:t xml:space="preserve"> </w:t>
      </w:r>
      <w:r w:rsidRPr="001E3995">
        <w:rPr>
          <w:i/>
        </w:rPr>
        <w:t>denied</w:t>
      </w:r>
      <w:r w:rsidRPr="001E3995">
        <w:t>, 528 U.S.</w:t>
      </w:r>
      <w:r w:rsidRPr="001E3995">
        <w:t xml:space="preserve"> </w:t>
      </w:r>
      <w:r w:rsidRPr="001E3995">
        <w:t>923 (1999).</w:t>
      </w:r>
    </w:p>
  </w:footnote>
  <w:footnote w:id="207">
    <w:p w14:paraId="4AC838BC" w14:textId="3044F02F"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603–05.</w:t>
      </w:r>
      <w:r w:rsidRPr="001E3995">
        <w:t xml:space="preserve"> </w:t>
      </w:r>
      <w:r w:rsidRPr="001E3995">
        <w:t>The Fourth Circuit upheld the district court’s grant of summary judgment on the issue of willful intent and its decision to deny a jury trial.</w:t>
      </w:r>
      <w:r w:rsidRPr="001E3995">
        <w:t xml:space="preserve"> </w:t>
      </w:r>
      <w:r w:rsidRPr="001E3995">
        <w:t>170 F.3d at 465–66;</w:t>
      </w:r>
      <w:r w:rsidRPr="001E3995">
        <w:t xml:space="preserve"> </w:t>
      </w:r>
      <w:r w:rsidRPr="001E3995">
        <w:rPr>
          <w:i/>
        </w:rPr>
        <w:t>accord</w:t>
      </w:r>
      <w:r w:rsidRPr="001E3995">
        <w:t xml:space="preserve"> </w:t>
      </w:r>
      <w:proofErr w:type="spellStart"/>
      <w:r w:rsidRPr="001E3995">
        <w:t>Empresa</w:t>
      </w:r>
      <w:proofErr w:type="spellEnd"/>
      <w:r w:rsidRPr="001E3995">
        <w:t xml:space="preserve"> Cubana Del Tabaco v.</w:t>
      </w:r>
      <w:r w:rsidRPr="001E3995">
        <w:t xml:space="preserve"> </w:t>
      </w:r>
      <w:proofErr w:type="spellStart"/>
      <w:r w:rsidRPr="001E3995">
        <w:t>Culbro</w:t>
      </w:r>
      <w:proofErr w:type="spellEnd"/>
      <w:r w:rsidRPr="001E3995">
        <w:t xml:space="preserve"> Corp., 123 F.</w:t>
      </w:r>
      <w:r w:rsidRPr="001E3995">
        <w:t xml:space="preserve"> </w:t>
      </w:r>
      <w:r w:rsidRPr="001E3995">
        <w:t>Supp.</w:t>
      </w:r>
      <w:r w:rsidRPr="001E3995">
        <w:t xml:space="preserve"> </w:t>
      </w:r>
      <w:r w:rsidRPr="001E3995">
        <w:t>2d 203, 209–10 (S.D.N.Y.</w:t>
      </w:r>
      <w:r w:rsidRPr="001E3995">
        <w:t xml:space="preserve"> </w:t>
      </w:r>
      <w:r w:rsidRPr="001E3995">
        <w:t>2000).</w:t>
      </w:r>
    </w:p>
  </w:footnote>
  <w:footnote w:id="208">
    <w:p w14:paraId="67F5121B" w14:textId="410DC11E" w:rsidR="001E3995" w:rsidRDefault="001E3995" w:rsidP="001E3995">
      <w:pPr>
        <w:pStyle w:val="FootnoteText"/>
      </w:pPr>
      <w:r w:rsidRPr="001E3995">
        <w:rPr>
          <w:vertAlign w:val="superscript"/>
        </w:rPr>
        <w:footnoteRef/>
      </w:r>
      <w:r w:rsidRPr="001E3995">
        <w:t>Toyota Motor Sales, U.S.A., Inc.</w:t>
      </w:r>
      <w:r w:rsidRPr="001E3995">
        <w:t xml:space="preserve"> </w:t>
      </w:r>
      <w:r w:rsidRPr="001E3995">
        <w:t>v.</w:t>
      </w:r>
      <w:r w:rsidRPr="001E3995">
        <w:t xml:space="preserve"> </w:t>
      </w:r>
      <w:r w:rsidRPr="001E3995">
        <w:t>Tabari, 610 F.3d 1171, 1183, 95 USPQ2d 1702 (9th Cir.</w:t>
      </w:r>
      <w:r w:rsidRPr="001E3995">
        <w:t xml:space="preserve"> </w:t>
      </w:r>
      <w:r w:rsidRPr="001E3995">
        <w:t>2010).</w:t>
      </w:r>
      <w:r w:rsidRPr="001E3995">
        <w:t xml:space="preserve"> </w:t>
      </w:r>
      <w:r w:rsidRPr="001E3995">
        <w:t xml:space="preserve">If a request for injunction is joined with a request for damages, then </w:t>
      </w:r>
      <w:r w:rsidRPr="001E3995">
        <w:rPr>
          <w:rStyle w:val="BCasenamefull"/>
        </w:rPr>
        <w:t>Beacon Theatres, Inc. v. Westover</w:t>
      </w:r>
      <w:r w:rsidRPr="001E3995">
        <w:t>, 359 U.S.</w:t>
      </w:r>
      <w:r w:rsidRPr="001E3995">
        <w:t xml:space="preserve"> </w:t>
      </w:r>
      <w:r w:rsidRPr="001E3995">
        <w:t>500 (1959), probably requires a jury trial.</w:t>
      </w:r>
      <w:r w:rsidRPr="001E3995">
        <w:t xml:space="preserve"> </w:t>
      </w:r>
      <w:r w:rsidRPr="001E3995">
        <w:rPr>
          <w:i/>
        </w:rPr>
        <w:t>See Tabari</w:t>
      </w:r>
      <w:r w:rsidRPr="001E3995">
        <w:t>, 610 F.3d at 1184 (if plaintiff’s claims for injunctive relief overlap factually with defendants’ counterclaims for damages, right to jury trial attaches).</w:t>
      </w:r>
      <w:r w:rsidRPr="001E3995">
        <w:t xml:space="preserve"> </w:t>
      </w:r>
      <w:r w:rsidRPr="001E3995">
        <w:t xml:space="preserve">This assumes, however, that a right to a </w:t>
      </w:r>
      <w:proofErr w:type="gramStart"/>
      <w:r w:rsidRPr="001E3995">
        <w:t>jury trial attaches</w:t>
      </w:r>
      <w:proofErr w:type="gramEnd"/>
      <w:r w:rsidRPr="001E3995">
        <w:t xml:space="preserve"> to </w:t>
      </w:r>
      <w:proofErr w:type="gramStart"/>
      <w:r w:rsidRPr="001E3995">
        <w:t>a damages</w:t>
      </w:r>
      <w:proofErr w:type="gramEnd"/>
      <w:r w:rsidRPr="001E3995">
        <w:t xml:space="preserve"> claim under the TDRA, which is uncertain.</w:t>
      </w:r>
      <w:r w:rsidRPr="001E3995">
        <w:t xml:space="preserve"> </w:t>
      </w:r>
      <w:r w:rsidRPr="001E3995">
        <w:rPr>
          <w:i/>
        </w:rPr>
        <w:t>See</w:t>
      </w:r>
      <w:r w:rsidRPr="001E3995">
        <w:t xml:space="preserve"> discussion in §VI.A, above.</w:t>
      </w:r>
    </w:p>
  </w:footnote>
  <w:footnote w:id="209">
    <w:p w14:paraId="226B8BDC" w14:textId="2E4260D1" w:rsidR="001E3995" w:rsidRDefault="001E3995" w:rsidP="001E3995">
      <w:pPr>
        <w:pStyle w:val="FootnoteText"/>
      </w:pPr>
      <w:r w:rsidRPr="001E3995">
        <w:rPr>
          <w:vertAlign w:val="superscript"/>
        </w:rPr>
        <w:footnoteRef/>
      </w:r>
      <w:r w:rsidRPr="001E3995">
        <w:t>15 U.S.C.</w:t>
      </w:r>
      <w:r w:rsidRPr="001E3995">
        <w:t xml:space="preserve"> </w:t>
      </w:r>
      <w:r w:rsidRPr="001E3995">
        <w:t>§1118.</w:t>
      </w:r>
    </w:p>
  </w:footnote>
  <w:footnote w:id="210">
    <w:p w14:paraId="53610B63" w14:textId="47B683E6"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§1117(a).</w:t>
      </w:r>
      <w:r w:rsidRPr="001E3995">
        <w:t xml:space="preserve"> </w:t>
      </w:r>
      <w:r w:rsidRPr="001E3995">
        <w:t>Attorneys’ fees are available only in “exceptional cases.”</w:t>
      </w:r>
    </w:p>
  </w:footnote>
  <w:footnote w:id="211">
    <w:p w14:paraId="2EAE117C" w14:textId="1ED7669E" w:rsidR="001E3995" w:rsidRDefault="001E3995" w:rsidP="001E3995">
      <w:pPr>
        <w:pStyle w:val="FootnoteText"/>
      </w:pPr>
      <w:r w:rsidRPr="001E3995">
        <w:rPr>
          <w:vertAlign w:val="superscript"/>
        </w:rPr>
        <w:footnoteRef/>
      </w:r>
      <w:r w:rsidRPr="001E3995">
        <w:t>Ringling Bros.-Barnum &amp; Bailey Combined Shows, Inc.</w:t>
      </w:r>
      <w:r w:rsidRPr="001E3995">
        <w:t xml:space="preserve"> </w:t>
      </w:r>
      <w:r w:rsidRPr="001E3995">
        <w:t>v.</w:t>
      </w:r>
      <w:r w:rsidRPr="001E3995">
        <w:t xml:space="preserve"> </w:t>
      </w:r>
      <w:r w:rsidRPr="001E3995">
        <w:t>Utah Div.</w:t>
      </w:r>
      <w:r w:rsidRPr="001E3995">
        <w:t xml:space="preserve"> </w:t>
      </w:r>
      <w:r w:rsidRPr="001E3995">
        <w:t>of Travel Dev., 955 F.</w:t>
      </w:r>
      <w:r w:rsidRPr="001E3995">
        <w:t xml:space="preserve"> </w:t>
      </w:r>
      <w:r w:rsidRPr="001E3995">
        <w:t>Supp.</w:t>
      </w:r>
      <w:r w:rsidRPr="001E3995">
        <w:t xml:space="preserve"> </w:t>
      </w:r>
      <w:r w:rsidRPr="001E3995">
        <w:t>598, 605 &amp; n.20, 42 USPQ2d 1161 (E.D.</w:t>
      </w:r>
      <w:r w:rsidRPr="001E3995">
        <w:t xml:space="preserve"> </w:t>
      </w:r>
      <w:r w:rsidRPr="001E3995">
        <w:t>Va.</w:t>
      </w:r>
      <w:r w:rsidRPr="001E3995">
        <w:t xml:space="preserve"> </w:t>
      </w:r>
      <w:r w:rsidRPr="001E3995">
        <w:t xml:space="preserve">1997), </w:t>
      </w:r>
      <w:r w:rsidRPr="001E3995">
        <w:rPr>
          <w:i/>
        </w:rPr>
        <w:t>aff’d on other grounds</w:t>
      </w:r>
      <w:r w:rsidRPr="001E3995">
        <w:t xml:space="preserve">, 170 F.3d 449, 50 USPQ2d 1065 (4th Cir.), </w:t>
      </w:r>
      <w:r w:rsidRPr="001E3995">
        <w:rPr>
          <w:i/>
        </w:rPr>
        <w:t>cert.</w:t>
      </w:r>
      <w:r w:rsidRPr="001E3995">
        <w:rPr>
          <w:i/>
        </w:rPr>
        <w:t xml:space="preserve"> </w:t>
      </w:r>
      <w:r w:rsidRPr="001E3995">
        <w:rPr>
          <w:i/>
        </w:rPr>
        <w:t>denied</w:t>
      </w:r>
      <w:r w:rsidRPr="001E3995">
        <w:t>, 528 U.S.</w:t>
      </w:r>
      <w:r w:rsidRPr="001E3995">
        <w:t xml:space="preserve"> </w:t>
      </w:r>
      <w:r w:rsidRPr="001E3995">
        <w:t>923 (1999);</w:t>
      </w:r>
      <w:r w:rsidRPr="001E3995">
        <w:t xml:space="preserve"> </w:t>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211.</w:t>
      </w:r>
    </w:p>
  </w:footnote>
  <w:footnote w:id="212">
    <w:p w14:paraId="1602DEF0" w14:textId="36B3264C" w:rsidR="001E3995" w:rsidRDefault="001E3995" w:rsidP="001E3995">
      <w:pPr>
        <w:pStyle w:val="FootnoteText"/>
      </w:pPr>
      <w:r w:rsidRPr="001E3995">
        <w:rPr>
          <w:vertAlign w:val="superscript"/>
        </w:rPr>
        <w:footnoteRef/>
      </w:r>
      <w:r w:rsidRPr="001E3995">
        <w:rPr>
          <w:i/>
        </w:rPr>
        <w:t>Ringling</w:t>
      </w:r>
      <w:r w:rsidRPr="001E3995">
        <w:t>, 955 F.</w:t>
      </w:r>
      <w:r w:rsidRPr="001E3995">
        <w:t xml:space="preserve"> </w:t>
      </w:r>
      <w:r w:rsidRPr="001E3995">
        <w:t>Supp.</w:t>
      </w:r>
      <w:r w:rsidRPr="001E3995">
        <w:t xml:space="preserve"> </w:t>
      </w:r>
      <w:r w:rsidRPr="001E3995">
        <w:t>at 605;</w:t>
      </w:r>
      <w:r w:rsidRPr="001E3995">
        <w:t xml:space="preserve"> </w:t>
      </w:r>
      <w:r w:rsidRPr="001E3995">
        <w:rPr>
          <w:i/>
        </w:rPr>
        <w:t xml:space="preserve">see also </w:t>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211 (S.D.N.Y.</w:t>
      </w:r>
      <w:r w:rsidRPr="001E3995">
        <w:t xml:space="preserve"> </w:t>
      </w:r>
      <w:r w:rsidRPr="001E3995">
        <w:t>2000) (historically, attorneys’ fees do not trigger right to jury trial);</w:t>
      </w:r>
      <w:r w:rsidRPr="001E3995">
        <w:t xml:space="preserve"> </w:t>
      </w:r>
      <w:r w:rsidRPr="001E3995">
        <w:t>American Soc’y for the Prevention of Cruelty to Animals v.</w:t>
      </w:r>
      <w:r w:rsidRPr="001E3995">
        <w:t xml:space="preserve"> </w:t>
      </w:r>
      <w:r w:rsidRPr="001E3995">
        <w:t>Alexanian, 1995 WL 580276 (S.D.N.Y.</w:t>
      </w:r>
      <w:r w:rsidRPr="001E3995">
        <w:t xml:space="preserve"> </w:t>
      </w:r>
      <w:r w:rsidRPr="001E3995">
        <w:t>Oct.</w:t>
      </w:r>
      <w:r w:rsidRPr="001E3995">
        <w:t xml:space="preserve"> </w:t>
      </w:r>
      <w:r w:rsidRPr="001E3995">
        <w:t>3, 1995) (costs and attorneys’ fees are equitable).</w:t>
      </w:r>
    </w:p>
  </w:footnote>
  <w:footnote w:id="213">
    <w:p w14:paraId="72E3EB90" w14:textId="19F2F52E" w:rsidR="001E3995" w:rsidRDefault="001E3995" w:rsidP="001E3995">
      <w:pPr>
        <w:pStyle w:val="FootnoteText"/>
      </w:pPr>
      <w:r w:rsidRPr="001E3995">
        <w:rPr>
          <w:vertAlign w:val="superscript"/>
        </w:rPr>
        <w:footnoteRef/>
      </w:r>
      <w:proofErr w:type="spellStart"/>
      <w:r w:rsidRPr="001E3995">
        <w:t>Sanijet</w:t>
      </w:r>
      <w:proofErr w:type="spellEnd"/>
      <w:r w:rsidRPr="001E3995">
        <w:t xml:space="preserve"> Corp.</w:t>
      </w:r>
      <w:r w:rsidRPr="001E3995">
        <w:t xml:space="preserve"> </w:t>
      </w:r>
      <w:r w:rsidRPr="001E3995">
        <w:t>v.</w:t>
      </w:r>
      <w:r w:rsidRPr="001E3995">
        <w:t xml:space="preserve"> </w:t>
      </w:r>
      <w:r w:rsidRPr="001E3995">
        <w:t>Jacuzzi, Inc., 2002-1 Trade Cas.</w:t>
      </w:r>
      <w:r w:rsidRPr="001E3995">
        <w:t xml:space="preserve"> </w:t>
      </w:r>
      <w:r w:rsidRPr="001E3995">
        <w:t>(CCH) ¶73,684, 2002 WL 1398546, at *2 (N.D.</w:t>
      </w:r>
      <w:r w:rsidRPr="001E3995">
        <w:t xml:space="preserve"> </w:t>
      </w:r>
      <w:r w:rsidRPr="001E3995">
        <w:t>Tex.</w:t>
      </w:r>
      <w:r w:rsidRPr="001E3995">
        <w:t xml:space="preserve"> </w:t>
      </w:r>
      <w:r w:rsidRPr="001E3995">
        <w:t>Feb.</w:t>
      </w:r>
      <w:r w:rsidRPr="001E3995">
        <w:t xml:space="preserve"> </w:t>
      </w:r>
      <w:r w:rsidRPr="001E3995">
        <w:t>14, 2002);</w:t>
      </w:r>
      <w:r w:rsidRPr="001E3995">
        <w:t xml:space="preserve"> </w:t>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211 (historically, attorneys’ fees do not trigger right to jury trial);</w:t>
      </w:r>
      <w:r w:rsidRPr="001E3995">
        <w:t xml:space="preserve"> </w:t>
      </w:r>
      <w:r w:rsidRPr="001E3995">
        <w:rPr>
          <w:i/>
        </w:rPr>
        <w:t>see</w:t>
      </w:r>
      <w:r w:rsidRPr="001E3995">
        <w:t xml:space="preserve"> Nikon, Inc.</w:t>
      </w:r>
      <w:r w:rsidRPr="001E3995">
        <w:t xml:space="preserve"> </w:t>
      </w:r>
      <w:r w:rsidRPr="001E3995">
        <w:t>v.</w:t>
      </w:r>
      <w:r w:rsidRPr="001E3995">
        <w:t xml:space="preserve"> </w:t>
      </w:r>
      <w:r w:rsidRPr="001E3995">
        <w:t>Ikon Corp., 803 F.</w:t>
      </w:r>
      <w:r w:rsidRPr="001E3995">
        <w:t xml:space="preserve"> </w:t>
      </w:r>
      <w:r w:rsidRPr="001E3995">
        <w:t>Supp.</w:t>
      </w:r>
      <w:r w:rsidRPr="001E3995">
        <w:t xml:space="preserve"> </w:t>
      </w:r>
      <w:r w:rsidRPr="001E3995">
        <w:t>910, 928 (S.D.N.Y.</w:t>
      </w:r>
      <w:r w:rsidRPr="001E3995">
        <w:t xml:space="preserve"> </w:t>
      </w:r>
      <w:r w:rsidRPr="001E3995">
        <w:t>1992);</w:t>
      </w:r>
      <w:r w:rsidRPr="001E3995">
        <w:t xml:space="preserve"> </w:t>
      </w:r>
      <w:r w:rsidRPr="001E3995">
        <w:rPr>
          <w:i/>
        </w:rPr>
        <w:t>cf.</w:t>
      </w:r>
      <w:r w:rsidRPr="001E3995">
        <w:rPr>
          <w:i/>
        </w:rPr>
        <w:t xml:space="preserve"> </w:t>
      </w:r>
      <w:r w:rsidRPr="001E3995">
        <w:rPr>
          <w:smallCaps/>
        </w:rPr>
        <w:t>Fed.</w:t>
      </w:r>
      <w:r w:rsidRPr="001E3995">
        <w:rPr>
          <w:smallCaps/>
        </w:rPr>
        <w:t xml:space="preserve"> </w:t>
      </w:r>
      <w:r w:rsidRPr="001E3995">
        <w:rPr>
          <w:smallCaps/>
        </w:rPr>
        <w:t>R.</w:t>
      </w:r>
      <w:r w:rsidRPr="001E3995">
        <w:rPr>
          <w:smallCaps/>
        </w:rPr>
        <w:t xml:space="preserve"> </w:t>
      </w:r>
      <w:r w:rsidRPr="001E3995">
        <w:rPr>
          <w:smallCaps/>
        </w:rPr>
        <w:t>Civ.</w:t>
      </w:r>
      <w:r w:rsidRPr="001E3995">
        <w:rPr>
          <w:smallCaps/>
        </w:rPr>
        <w:t xml:space="preserve"> </w:t>
      </w:r>
      <w:r w:rsidRPr="001E3995">
        <w:rPr>
          <w:smallCaps/>
        </w:rPr>
        <w:t>P.</w:t>
      </w:r>
      <w:r w:rsidRPr="001E3995">
        <w:rPr>
          <w:smallCaps/>
        </w:rPr>
        <w:t xml:space="preserve"> </w:t>
      </w:r>
      <w:r w:rsidRPr="001E3995">
        <w:t>11(c) (judge may award attorneys’ fees as sanction).</w:t>
      </w:r>
    </w:p>
  </w:footnote>
  <w:footnote w:id="214">
    <w:p w14:paraId="0D9CA2D9" w14:textId="3B3957C8" w:rsidR="001E3995" w:rsidRDefault="001E3995" w:rsidP="001E3995">
      <w:pPr>
        <w:pStyle w:val="FootnoteText"/>
      </w:pPr>
      <w:r w:rsidRPr="001E3995">
        <w:rPr>
          <w:vertAlign w:val="superscript"/>
        </w:rPr>
        <w:footnoteRef/>
      </w:r>
      <w:r w:rsidRPr="001E3995">
        <w:rPr>
          <w:i/>
        </w:rPr>
        <w:t>Ringling</w:t>
      </w:r>
      <w:r w:rsidRPr="001E3995">
        <w:t>, 955 F.</w:t>
      </w:r>
      <w:r w:rsidRPr="001E3995">
        <w:t xml:space="preserve"> </w:t>
      </w:r>
      <w:r w:rsidRPr="001E3995">
        <w:t>Supp.</w:t>
      </w:r>
      <w:r w:rsidRPr="001E3995">
        <w:t xml:space="preserve"> </w:t>
      </w:r>
      <w:r w:rsidRPr="001E3995">
        <w:t>at 605;</w:t>
      </w:r>
      <w:r w:rsidRPr="001E3995">
        <w:t xml:space="preserve"> </w:t>
      </w:r>
      <w:r w:rsidRPr="001E3995">
        <w:rPr>
          <w:i/>
        </w:rPr>
        <w:t xml:space="preserve">see </w:t>
      </w:r>
      <w:proofErr w:type="spellStart"/>
      <w:r w:rsidRPr="001E3995">
        <w:rPr>
          <w:i/>
        </w:rPr>
        <w:t>Empresa</w:t>
      </w:r>
      <w:proofErr w:type="spellEnd"/>
      <w:r w:rsidRPr="001E3995">
        <w:t>, 123 F.</w:t>
      </w:r>
      <w:r w:rsidRPr="001E3995">
        <w:t xml:space="preserve"> </w:t>
      </w:r>
      <w:r w:rsidRPr="001E3995">
        <w:t>Supp.</w:t>
      </w:r>
      <w:r w:rsidRPr="001E3995">
        <w:t xml:space="preserve"> </w:t>
      </w:r>
      <w:r w:rsidRPr="001E3995">
        <w:t>2d at 210;</w:t>
      </w:r>
      <w:r w:rsidRPr="001E3995">
        <w:t xml:space="preserve"> </w:t>
      </w:r>
      <w:r w:rsidRPr="001E3995">
        <w:rPr>
          <w:i/>
        </w:rPr>
        <w:t>Alexanian</w:t>
      </w:r>
      <w:r w:rsidRPr="001E3995">
        <w:t>, 1995 WL 580276, at *1.</w:t>
      </w:r>
    </w:p>
  </w:footnote>
  <w:footnote w:id="215">
    <w:p w14:paraId="62418F5E" w14:textId="69F0DDB6" w:rsidR="001E3995" w:rsidRPr="00190DEA" w:rsidRDefault="001E3995" w:rsidP="001E3995">
      <w:pPr>
        <w:pStyle w:val="FootnoteText"/>
        <w:rPr>
          <w:lang w:val="fr-FR"/>
        </w:rPr>
      </w:pPr>
      <w:r w:rsidRPr="001E3995">
        <w:rPr>
          <w:vertAlign w:val="superscript"/>
        </w:rPr>
        <w:footnoteRef/>
      </w:r>
      <w:r w:rsidRPr="001E3995">
        <w:t>9 U.S.C.</w:t>
      </w:r>
      <w:r w:rsidRPr="001E3995">
        <w:t xml:space="preserve"> </w:t>
      </w:r>
      <w:r w:rsidRPr="001E3995">
        <w:t>§1 et seq.</w:t>
      </w:r>
    </w:p>
  </w:footnote>
  <w:footnote w:id="216">
    <w:p w14:paraId="32665333" w14:textId="21E967CE" w:rsidR="001E3995" w:rsidRPr="00190DEA" w:rsidRDefault="001E3995" w:rsidP="001E3995">
      <w:pPr>
        <w:pStyle w:val="FootnoteText"/>
        <w:rPr>
          <w:lang w:val="fr-FR"/>
        </w:rPr>
      </w:pPr>
      <w:r w:rsidRPr="001E3995">
        <w:rPr>
          <w:vertAlign w:val="superscript"/>
        </w:rPr>
        <w:footnoteRef/>
      </w:r>
      <w:r w:rsidRPr="001E3995">
        <w:rPr>
          <w:i/>
        </w:rPr>
        <w:t>Id.</w:t>
      </w:r>
      <w:r w:rsidRPr="001E3995">
        <w:rPr>
          <w:i/>
        </w:rPr>
        <w:t xml:space="preserve"> </w:t>
      </w:r>
      <w:r w:rsidRPr="001E3995">
        <w:t>§2.</w:t>
      </w:r>
    </w:p>
  </w:footnote>
  <w:footnote w:id="217">
    <w:p w14:paraId="20F1E9FE" w14:textId="5B0D7B47" w:rsidR="001E3995" w:rsidRPr="00190DEA" w:rsidRDefault="001E3995" w:rsidP="001E3995">
      <w:pPr>
        <w:pStyle w:val="FootnoteText"/>
        <w:rPr>
          <w:lang w:val="fr-FR"/>
        </w:rPr>
      </w:pPr>
      <w:r w:rsidRPr="001E3995">
        <w:rPr>
          <w:vertAlign w:val="superscript"/>
        </w:rPr>
        <w:footnoteRef/>
      </w:r>
      <w:r w:rsidRPr="001E3995">
        <w:t>104 F.</w:t>
      </w:r>
      <w:r w:rsidRPr="001E3995">
        <w:t xml:space="preserve"> </w:t>
      </w:r>
      <w:r w:rsidRPr="001E3995">
        <w:t>Supp.</w:t>
      </w:r>
      <w:r w:rsidRPr="001E3995">
        <w:t xml:space="preserve"> </w:t>
      </w:r>
      <w:r w:rsidRPr="001E3995">
        <w:t>2d 198 (S.D.N.Y.</w:t>
      </w:r>
      <w:r w:rsidRPr="001E3995">
        <w:t xml:space="preserve"> </w:t>
      </w:r>
      <w:r w:rsidRPr="001E3995">
        <w:t>2000).</w:t>
      </w:r>
    </w:p>
  </w:footnote>
  <w:footnote w:id="218">
    <w:p w14:paraId="2929B5D5" w14:textId="123FFCA4"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202.</w:t>
      </w:r>
    </w:p>
  </w:footnote>
  <w:footnote w:id="219">
    <w:p w14:paraId="2F2F404C" w14:textId="3BCBD8E6"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205–06.</w:t>
      </w:r>
    </w:p>
  </w:footnote>
  <w:footnote w:id="220">
    <w:p w14:paraId="52BB7B26" w14:textId="164CC7AC"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206.</w:t>
      </w:r>
    </w:p>
  </w:footnote>
  <w:footnote w:id="221">
    <w:p w14:paraId="5C578C83" w14:textId="3D866315" w:rsidR="001E3995" w:rsidRDefault="001E3995" w:rsidP="001E3995">
      <w:pPr>
        <w:pStyle w:val="FootnoteText"/>
      </w:pPr>
      <w:r w:rsidRPr="001E3995">
        <w:rPr>
          <w:vertAlign w:val="superscript"/>
        </w:rPr>
        <w:footnoteRef/>
      </w:r>
      <w:r w:rsidRPr="001E3995">
        <w:t>1998 WL 903635 (N.D.N.Y.</w:t>
      </w:r>
      <w:r w:rsidRPr="001E3995">
        <w:t xml:space="preserve"> </w:t>
      </w:r>
      <w:r w:rsidRPr="001E3995">
        <w:t>1998).</w:t>
      </w:r>
    </w:p>
  </w:footnote>
  <w:footnote w:id="222">
    <w:p w14:paraId="5B95E745" w14:textId="5BD5BAB0"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at *3–4.</w:t>
      </w:r>
      <w:r w:rsidRPr="001E3995">
        <w:t xml:space="preserve"> </w:t>
      </w:r>
      <w:r w:rsidRPr="001E3995">
        <w:rPr>
          <w:i/>
        </w:rPr>
        <w:t>But see</w:t>
      </w:r>
      <w:r w:rsidRPr="001E3995">
        <w:t xml:space="preserve"> </w:t>
      </w:r>
      <w:proofErr w:type="spellStart"/>
      <w:r w:rsidRPr="001E3995">
        <w:t>Lurzer</w:t>
      </w:r>
      <w:proofErr w:type="spellEnd"/>
      <w:r w:rsidRPr="001E3995">
        <w:t xml:space="preserve"> GMBH v.</w:t>
      </w:r>
      <w:r w:rsidRPr="001E3995">
        <w:t xml:space="preserve"> </w:t>
      </w:r>
      <w:r w:rsidRPr="001E3995">
        <w:t>American Showcase, Inc., 77 F.</w:t>
      </w:r>
      <w:r w:rsidRPr="001E3995">
        <w:t xml:space="preserve"> </w:t>
      </w:r>
      <w:r w:rsidRPr="001E3995">
        <w:t>Supp.</w:t>
      </w:r>
      <w:r w:rsidRPr="001E3995">
        <w:t xml:space="preserve"> </w:t>
      </w:r>
      <w:r w:rsidRPr="001E3995">
        <w:t>2d 370, 375 (S.D.N.Y.</w:t>
      </w:r>
      <w:r w:rsidRPr="001E3995">
        <w:t xml:space="preserve"> </w:t>
      </w:r>
      <w:r w:rsidRPr="001E3995">
        <w:t>1997) (where it was clear that no agreement existed to have trademark disputes covered by an otherwise broad arbitration clause, stay pending arbitration was denied).</w:t>
      </w:r>
    </w:p>
  </w:footnote>
  <w:footnote w:id="223">
    <w:p w14:paraId="3A24F66E" w14:textId="6BE3A053" w:rsidR="001E3995" w:rsidRDefault="001E3995" w:rsidP="001E3995">
      <w:pPr>
        <w:pStyle w:val="FootnoteText"/>
      </w:pPr>
      <w:r w:rsidRPr="001E3995">
        <w:rPr>
          <w:vertAlign w:val="superscript"/>
        </w:rPr>
        <w:footnoteRef/>
      </w:r>
      <w:r w:rsidRPr="001E3995">
        <w:t>2001 WL 1343628 (N.D.</w:t>
      </w:r>
      <w:r w:rsidRPr="001E3995">
        <w:t xml:space="preserve"> </w:t>
      </w:r>
      <w:r w:rsidRPr="001E3995">
        <w:t>Tex.</w:t>
      </w:r>
      <w:r w:rsidRPr="001E3995">
        <w:t xml:space="preserve"> </w:t>
      </w:r>
      <w:r w:rsidRPr="001E3995">
        <w:t>Oct.</w:t>
      </w:r>
      <w:r w:rsidRPr="001E3995">
        <w:t xml:space="preserve"> </w:t>
      </w:r>
      <w:r w:rsidRPr="001E3995">
        <w:t>29, 2001).</w:t>
      </w:r>
    </w:p>
  </w:footnote>
  <w:footnote w:id="224">
    <w:p w14:paraId="4A1218EF" w14:textId="3167DDE9"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*1</w:t>
      </w:r>
    </w:p>
  </w:footnote>
  <w:footnote w:id="225">
    <w:p w14:paraId="7063FBD0" w14:textId="78B903AA"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*3.</w:t>
      </w:r>
    </w:p>
  </w:footnote>
  <w:footnote w:id="226">
    <w:p w14:paraId="3754DEC3" w14:textId="6CCE90A8"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*4.</w:t>
      </w:r>
    </w:p>
  </w:footnote>
  <w:footnote w:id="227">
    <w:p w14:paraId="1FD1382B" w14:textId="017D3469" w:rsidR="001E3995" w:rsidRDefault="001E3995" w:rsidP="001E3995">
      <w:pPr>
        <w:pStyle w:val="FootnoteText"/>
      </w:pPr>
      <w:r w:rsidRPr="001E3995">
        <w:rPr>
          <w:vertAlign w:val="superscript"/>
        </w:rPr>
        <w:footnoteRef/>
      </w:r>
      <w:r w:rsidRPr="001E3995">
        <w:t>81 Cal.</w:t>
      </w:r>
      <w:r w:rsidRPr="001E3995">
        <w:t xml:space="preserve"> </w:t>
      </w:r>
      <w:r w:rsidRPr="001E3995">
        <w:t>Rptr.2d 773 (Cal.</w:t>
      </w:r>
      <w:r w:rsidRPr="001E3995">
        <w:t xml:space="preserve"> </w:t>
      </w:r>
      <w:r w:rsidRPr="001E3995">
        <w:t>App.</w:t>
      </w:r>
      <w:r w:rsidRPr="001E3995">
        <w:t xml:space="preserve"> </w:t>
      </w:r>
      <w:r w:rsidRPr="001E3995">
        <w:t xml:space="preserve">1999), </w:t>
      </w:r>
      <w:r w:rsidRPr="001E3995">
        <w:rPr>
          <w:i/>
        </w:rPr>
        <w:t>review granted</w:t>
      </w:r>
      <w:r w:rsidRPr="001E3995">
        <w:t xml:space="preserve">, 975 P.2d 28 (1999), </w:t>
      </w:r>
      <w:r w:rsidRPr="001E3995">
        <w:rPr>
          <w:i/>
        </w:rPr>
        <w:t>vacated and remanded</w:t>
      </w:r>
      <w:r w:rsidRPr="001E3995">
        <w:t>, 994 P.2d 341 (Cal.</w:t>
      </w:r>
      <w:r w:rsidRPr="001E3995">
        <w:t xml:space="preserve"> </w:t>
      </w:r>
      <w:r w:rsidRPr="001E3995">
        <w:t>2000).</w:t>
      </w:r>
      <w:r w:rsidRPr="001E3995">
        <w:t xml:space="preserve"> </w:t>
      </w:r>
      <w:r w:rsidRPr="001E3995">
        <w:t>This case was granted review by the California Supreme Court;</w:t>
      </w:r>
      <w:r w:rsidRPr="001E3995">
        <w:t xml:space="preserve"> </w:t>
      </w:r>
      <w:r w:rsidRPr="001E3995">
        <w:t xml:space="preserve">therefore, the opinion has been </w:t>
      </w:r>
      <w:proofErr w:type="spellStart"/>
      <w:r w:rsidRPr="001E3995">
        <w:t>depublished</w:t>
      </w:r>
      <w:proofErr w:type="spellEnd"/>
      <w:r w:rsidRPr="001E3995">
        <w:t xml:space="preserve"> and cannot be cited as precedent.</w:t>
      </w:r>
      <w:r w:rsidRPr="001E3995">
        <w:t xml:space="preserve"> </w:t>
      </w:r>
      <w:r w:rsidRPr="001E3995">
        <w:t xml:space="preserve">The Supreme Court later vacated the Court of Appeal decision and remanded for consideration </w:t>
      </w:r>
      <w:proofErr w:type="gramStart"/>
      <w:r w:rsidRPr="001E3995">
        <w:t>in light of</w:t>
      </w:r>
      <w:proofErr w:type="gramEnd"/>
      <w:r w:rsidRPr="001E3995">
        <w:t xml:space="preserve"> a subsequent case, on February 16, 2000.</w:t>
      </w:r>
      <w:r w:rsidRPr="001E3995">
        <w:t xml:space="preserve"> </w:t>
      </w:r>
      <w:r w:rsidRPr="001E3995">
        <w:t>Although the Court of Appeal opinion cannot be cited as precedent, it is included in this discussion because of the issues it raises and the benefit it may give to those interested in this issue.</w:t>
      </w:r>
      <w:r w:rsidRPr="001E3995">
        <w:t xml:space="preserve"> </w:t>
      </w:r>
      <w:r w:rsidRPr="001E3995">
        <w:t>The Court of Appeal subsequently issued an opinion that did not address this issue.</w:t>
      </w:r>
      <w:r w:rsidRPr="001E3995">
        <w:t xml:space="preserve"> </w:t>
      </w:r>
      <w:r w:rsidRPr="001E3995">
        <w:t>113 Cal.</w:t>
      </w:r>
      <w:r w:rsidRPr="001E3995">
        <w:t xml:space="preserve"> </w:t>
      </w:r>
      <w:r w:rsidRPr="001E3995">
        <w:t>Rptr.2d 255 (Cal.</w:t>
      </w:r>
      <w:r w:rsidRPr="001E3995">
        <w:t xml:space="preserve"> </w:t>
      </w:r>
      <w:r w:rsidRPr="001E3995">
        <w:t>App.</w:t>
      </w:r>
      <w:r w:rsidRPr="001E3995">
        <w:t xml:space="preserve"> </w:t>
      </w:r>
      <w:r w:rsidRPr="001E3995">
        <w:t>2001).</w:t>
      </w:r>
    </w:p>
  </w:footnote>
  <w:footnote w:id="228">
    <w:p w14:paraId="27572F29" w14:textId="087FCCFB" w:rsidR="001E3995" w:rsidRDefault="001E3995" w:rsidP="001E3995">
      <w:pPr>
        <w:pStyle w:val="FootnoteText"/>
      </w:pPr>
      <w:r w:rsidRPr="001E3995">
        <w:rPr>
          <w:vertAlign w:val="superscript"/>
        </w:rPr>
        <w:footnoteRef/>
      </w:r>
      <w:r w:rsidRPr="001E3995">
        <w:t>81 Cal.</w:t>
      </w:r>
      <w:r w:rsidRPr="001E3995">
        <w:t xml:space="preserve"> </w:t>
      </w:r>
      <w:r w:rsidRPr="001E3995">
        <w:t>Rptr.2d at 775.</w:t>
      </w:r>
    </w:p>
  </w:footnote>
  <w:footnote w:id="229">
    <w:p w14:paraId="688C6E5E" w14:textId="3B50495B" w:rsidR="001E3995" w:rsidRDefault="001E3995" w:rsidP="001E3995">
      <w:pPr>
        <w:pStyle w:val="FootnoteText"/>
      </w:pPr>
      <w:r w:rsidRPr="001E3995">
        <w:rPr>
          <w:vertAlign w:val="superscript"/>
        </w:rPr>
        <w:footnoteRef/>
      </w:r>
      <w:r w:rsidRPr="001E3995">
        <w:rPr>
          <w:i/>
        </w:rPr>
        <w:t>Id</w:t>
      </w:r>
      <w:r w:rsidRPr="001E3995">
        <w:t>.</w:t>
      </w:r>
    </w:p>
  </w:footnote>
  <w:footnote w:id="230">
    <w:p w14:paraId="7EBA15E7" w14:textId="121AFE28" w:rsidR="001E3995" w:rsidRDefault="001E3995" w:rsidP="001E3995">
      <w:pPr>
        <w:pStyle w:val="FootnoteText"/>
      </w:pPr>
      <w:r w:rsidRPr="001E3995">
        <w:rPr>
          <w:vertAlign w:val="superscript"/>
        </w:rPr>
        <w:footnoteRef/>
      </w:r>
      <w:r w:rsidRPr="001E3995">
        <w:t xml:space="preserve">The dilution claims were based on allegations that permitting other teams to use marks </w:t>
      </w:r>
      <w:proofErr w:type="gramStart"/>
      <w:r w:rsidRPr="001E3995">
        <w:t>similar to</w:t>
      </w:r>
      <w:proofErr w:type="gramEnd"/>
      <w:r w:rsidRPr="001E3995">
        <w:t xml:space="preserve"> the Raiders’ pirate design (with a shield, a man with an eye patch, and crossed swords) diluted the mark, and that similar permission for teams to use uniforms with colors </w:t>
      </w:r>
      <w:proofErr w:type="gramStart"/>
      <w:r w:rsidRPr="001E3995">
        <w:t>similar to</w:t>
      </w:r>
      <w:proofErr w:type="gramEnd"/>
      <w:r w:rsidRPr="001E3995">
        <w:t xml:space="preserve"> the Raiders’ uniforms diluted the trade dress.</w:t>
      </w:r>
      <w:r w:rsidRPr="001E3995">
        <w:t xml:space="preserve"> </w:t>
      </w:r>
      <w:r w:rsidRPr="001E3995">
        <w:rPr>
          <w:i/>
        </w:rPr>
        <w:t>Id.</w:t>
      </w:r>
      <w:r w:rsidRPr="001E3995">
        <w:rPr>
          <w:i/>
        </w:rPr>
        <w:t xml:space="preserve"> </w:t>
      </w:r>
      <w:r w:rsidRPr="001E3995">
        <w:t>at 776.</w:t>
      </w:r>
      <w:r w:rsidRPr="001E3995">
        <w:t xml:space="preserve"> </w:t>
      </w:r>
      <w:r w:rsidRPr="001E3995">
        <w:t>It has been held that uniforms can act like a trademark.</w:t>
      </w:r>
      <w:r w:rsidRPr="001E3995">
        <w:t xml:space="preserve"> </w:t>
      </w:r>
      <w:r w:rsidRPr="001E3995">
        <w:t>Dallas Cowboy Cheerleaders, Inc.</w:t>
      </w:r>
      <w:r w:rsidRPr="001E3995">
        <w:t xml:space="preserve"> </w:t>
      </w:r>
      <w:r w:rsidRPr="001E3995">
        <w:t>v.</w:t>
      </w:r>
      <w:r w:rsidRPr="001E3995">
        <w:t xml:space="preserve"> </w:t>
      </w:r>
      <w:r w:rsidRPr="001E3995">
        <w:t>Pussycat Cinema, Ltd., 604 F.2d 200, 203–04, 203 USPQ 161 (2d Cir.</w:t>
      </w:r>
      <w:r w:rsidRPr="001E3995">
        <w:t xml:space="preserve"> </w:t>
      </w:r>
      <w:r w:rsidRPr="001E3995">
        <w:t>1979).</w:t>
      </w:r>
    </w:p>
  </w:footnote>
  <w:footnote w:id="231">
    <w:p w14:paraId="363997C0" w14:textId="3094F828" w:rsidR="001E3995" w:rsidRDefault="001E3995" w:rsidP="001E3995">
      <w:pPr>
        <w:pStyle w:val="FootnoteText"/>
      </w:pPr>
      <w:r w:rsidRPr="001E3995">
        <w:rPr>
          <w:vertAlign w:val="superscript"/>
        </w:rPr>
        <w:footnoteRef/>
      </w:r>
      <w:r w:rsidRPr="001E3995">
        <w:rPr>
          <w:i/>
        </w:rPr>
        <w:t>See</w:t>
      </w:r>
      <w:r w:rsidRPr="001E3995">
        <w:t xml:space="preserve"> 81 Cal.</w:t>
      </w:r>
      <w:r w:rsidRPr="001E3995">
        <w:t xml:space="preserve"> </w:t>
      </w:r>
      <w:r w:rsidRPr="001E3995">
        <w:t>Rptr.2d at 777.</w:t>
      </w:r>
    </w:p>
  </w:footnote>
  <w:footnote w:id="232">
    <w:p w14:paraId="01DA057F" w14:textId="66007A1B" w:rsidR="001E3995" w:rsidRDefault="001E3995" w:rsidP="001E3995">
      <w:pPr>
        <w:pStyle w:val="FootnoteText"/>
      </w:pPr>
      <w:r w:rsidRPr="001E3995">
        <w:rPr>
          <w:vertAlign w:val="superscript"/>
        </w:rPr>
        <w:footnoteRef/>
      </w:r>
      <w:r w:rsidRPr="001E3995">
        <w:rPr>
          <w:i/>
        </w:rPr>
        <w:t>See</w:t>
      </w:r>
      <w:r w:rsidRPr="001E3995">
        <w:t xml:space="preserve"> </w:t>
      </w:r>
      <w:r w:rsidRPr="001E3995">
        <w:rPr>
          <w:smallCaps/>
        </w:rPr>
        <w:t>Cal.</w:t>
      </w:r>
      <w:r w:rsidRPr="001E3995">
        <w:rPr>
          <w:smallCaps/>
        </w:rPr>
        <w:t xml:space="preserve"> </w:t>
      </w:r>
      <w:r w:rsidRPr="001E3995">
        <w:rPr>
          <w:smallCaps/>
        </w:rPr>
        <w:t>Bus.</w:t>
      </w:r>
      <w:r w:rsidRPr="001E3995">
        <w:rPr>
          <w:smallCaps/>
        </w:rPr>
        <w:t xml:space="preserve"> </w:t>
      </w:r>
      <w:r w:rsidRPr="001E3995">
        <w:rPr>
          <w:smallCaps/>
        </w:rPr>
        <w:t>&amp; Prof.</w:t>
      </w:r>
      <w:r w:rsidRPr="001E3995">
        <w:rPr>
          <w:smallCaps/>
        </w:rPr>
        <w:t xml:space="preserve"> </w:t>
      </w:r>
      <w:r w:rsidRPr="001E3995">
        <w:rPr>
          <w:smallCaps/>
        </w:rPr>
        <w:t>Code</w:t>
      </w:r>
      <w:r w:rsidRPr="001E3995">
        <w:t xml:space="preserve"> §14330 (West 1987 &amp; Supp.</w:t>
      </w:r>
      <w:r w:rsidRPr="001E3995">
        <w:t xml:space="preserve"> </w:t>
      </w:r>
      <w:r w:rsidRPr="001E3995">
        <w:t>2002).</w:t>
      </w:r>
      <w:r w:rsidRPr="001E3995">
        <w:t xml:space="preserve"> </w:t>
      </w:r>
      <w:r w:rsidRPr="001E3995">
        <w:t>That statute has since been replaced by one that permits damage awards as well as injunctions.</w:t>
      </w:r>
      <w:r w:rsidRPr="001E3995">
        <w:t xml:space="preserve"> </w:t>
      </w:r>
      <w:r w:rsidRPr="001E3995">
        <w:rPr>
          <w:smallCaps/>
        </w:rPr>
        <w:t>Cal.</w:t>
      </w:r>
      <w:r w:rsidRPr="001E3995">
        <w:rPr>
          <w:smallCaps/>
        </w:rPr>
        <w:t xml:space="preserve"> </w:t>
      </w:r>
      <w:r w:rsidRPr="001E3995">
        <w:rPr>
          <w:smallCaps/>
        </w:rPr>
        <w:t>Bus.</w:t>
      </w:r>
      <w:r w:rsidRPr="001E3995">
        <w:rPr>
          <w:smallCaps/>
        </w:rPr>
        <w:t xml:space="preserve"> </w:t>
      </w:r>
      <w:r w:rsidRPr="001E3995">
        <w:rPr>
          <w:smallCaps/>
        </w:rPr>
        <w:t>&amp; Prof.</w:t>
      </w:r>
      <w:r w:rsidRPr="001E3995">
        <w:rPr>
          <w:smallCaps/>
        </w:rPr>
        <w:t xml:space="preserve"> </w:t>
      </w:r>
      <w:r w:rsidRPr="001E3995">
        <w:rPr>
          <w:smallCaps/>
        </w:rPr>
        <w:t>Code</w:t>
      </w:r>
      <w:r w:rsidRPr="001E3995">
        <w:t xml:space="preserve"> §14247 (West 2008).</w:t>
      </w:r>
    </w:p>
  </w:footnote>
  <w:footnote w:id="233">
    <w:p w14:paraId="40B259B3" w14:textId="5374EC81" w:rsidR="001E3995" w:rsidRDefault="001E3995" w:rsidP="001E3995">
      <w:pPr>
        <w:pStyle w:val="FootnoteText"/>
      </w:pPr>
      <w:r w:rsidRPr="001E3995">
        <w:rPr>
          <w:vertAlign w:val="superscript"/>
        </w:rPr>
        <w:footnoteRef/>
      </w:r>
      <w:r w:rsidRPr="001E3995">
        <w:t>81 Cal.</w:t>
      </w:r>
      <w:r w:rsidRPr="001E3995">
        <w:t xml:space="preserve"> </w:t>
      </w:r>
      <w:r w:rsidRPr="001E3995">
        <w:t>Rptr.2d at 778–79.</w:t>
      </w:r>
    </w:p>
  </w:footnote>
  <w:footnote w:id="234">
    <w:p w14:paraId="7C9520DB" w14:textId="15DFEF92" w:rsidR="001E3995" w:rsidRDefault="001E3995" w:rsidP="001E3995">
      <w:pPr>
        <w:pStyle w:val="FootnoteText"/>
      </w:pPr>
      <w:r w:rsidRPr="001E3995">
        <w:rPr>
          <w:vertAlign w:val="superscript"/>
        </w:rPr>
        <w:footnoteRef/>
      </w:r>
      <w:r w:rsidRPr="001E3995">
        <w:t>21 Cal.</w:t>
      </w:r>
      <w:r w:rsidRPr="001E3995">
        <w:t xml:space="preserve"> </w:t>
      </w:r>
      <w:r w:rsidRPr="001E3995">
        <w:t>4th 1066, 988 P.2d 67 (1999).</w:t>
      </w:r>
    </w:p>
  </w:footnote>
  <w:footnote w:id="235">
    <w:p w14:paraId="312EA5F9" w14:textId="3B593A32" w:rsidR="001E3995" w:rsidRPr="00190DEA" w:rsidRDefault="001E3995" w:rsidP="001E3995">
      <w:pPr>
        <w:pStyle w:val="FootnoteText"/>
        <w:rPr>
          <w:lang w:val="da-DK"/>
        </w:rPr>
      </w:pPr>
      <w:r w:rsidRPr="001E3995">
        <w:rPr>
          <w:vertAlign w:val="superscript"/>
        </w:rPr>
        <w:footnoteRef/>
      </w:r>
      <w:r w:rsidRPr="001E3995">
        <w:rPr>
          <w:smallCaps/>
        </w:rPr>
        <w:t>Cal.</w:t>
      </w:r>
      <w:r w:rsidRPr="001E3995">
        <w:rPr>
          <w:smallCaps/>
        </w:rPr>
        <w:t xml:space="preserve"> </w:t>
      </w:r>
      <w:r w:rsidRPr="001E3995">
        <w:rPr>
          <w:smallCaps/>
        </w:rPr>
        <w:t>Civ.</w:t>
      </w:r>
      <w:r w:rsidRPr="001E3995">
        <w:rPr>
          <w:smallCaps/>
        </w:rPr>
        <w:t xml:space="preserve"> </w:t>
      </w:r>
      <w:r w:rsidRPr="001E3995">
        <w:rPr>
          <w:smallCaps/>
        </w:rPr>
        <w:t>Code</w:t>
      </w:r>
      <w:r w:rsidRPr="001E3995">
        <w:t xml:space="preserve"> §1750 et seq.</w:t>
      </w:r>
      <w:r w:rsidRPr="001E3995">
        <w:t xml:space="preserve"> </w:t>
      </w:r>
      <w:r w:rsidRPr="001E3995">
        <w:t>(West 1998).</w:t>
      </w:r>
    </w:p>
  </w:footnote>
  <w:footnote w:id="236">
    <w:p w14:paraId="37123991" w14:textId="69FD8874" w:rsidR="001E3995" w:rsidRPr="00190DEA" w:rsidRDefault="001E3995" w:rsidP="001E3995">
      <w:pPr>
        <w:pStyle w:val="FootnoteText"/>
        <w:rPr>
          <w:lang w:val="da-DK"/>
        </w:rPr>
      </w:pPr>
      <w:r w:rsidRPr="001E3995">
        <w:rPr>
          <w:vertAlign w:val="superscript"/>
        </w:rPr>
        <w:footnoteRef/>
      </w:r>
      <w:r w:rsidRPr="001E3995">
        <w:t>988 P.2d at 71.</w:t>
      </w:r>
    </w:p>
  </w:footnote>
  <w:footnote w:id="237">
    <w:p w14:paraId="626DE2A7" w14:textId="65EF9439"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76–78, 79–81.</w:t>
      </w:r>
    </w:p>
  </w:footnote>
  <w:footnote w:id="238">
    <w:p w14:paraId="6100917C" w14:textId="3316440C" w:rsidR="001E3995" w:rsidRPr="00190DEA" w:rsidRDefault="001E3995" w:rsidP="001E3995">
      <w:pPr>
        <w:pStyle w:val="FootnoteText"/>
        <w:rPr>
          <w:lang w:val="da-DK"/>
        </w:rPr>
      </w:pPr>
      <w:r w:rsidRPr="001E3995">
        <w:rPr>
          <w:vertAlign w:val="superscript"/>
        </w:rPr>
        <w:footnoteRef/>
      </w:r>
      <w:r w:rsidRPr="001E3995">
        <w:rPr>
          <w:i/>
        </w:rPr>
        <w:t>Id.</w:t>
      </w:r>
      <w:r w:rsidRPr="001E3995">
        <w:rPr>
          <w:i/>
        </w:rPr>
        <w:t xml:space="preserve"> </w:t>
      </w:r>
      <w:r w:rsidRPr="001E3995">
        <w:t>at 76.</w:t>
      </w:r>
    </w:p>
  </w:footnote>
  <w:footnote w:id="239">
    <w:p w14:paraId="1C330EB5" w14:textId="783D4511" w:rsidR="001E3995" w:rsidRDefault="001E3995" w:rsidP="001E3995">
      <w:pPr>
        <w:pStyle w:val="FootnoteText"/>
      </w:pPr>
      <w:r w:rsidRPr="001E3995">
        <w:rPr>
          <w:vertAlign w:val="superscript"/>
        </w:rPr>
        <w:footnoteRef/>
      </w:r>
      <w:r w:rsidRPr="001E3995">
        <w:rPr>
          <w:i/>
        </w:rPr>
        <w:t>Id.</w:t>
      </w:r>
      <w:r w:rsidRPr="001E3995">
        <w:rPr>
          <w:i/>
        </w:rPr>
        <w:t xml:space="preserve"> </w:t>
      </w:r>
      <w:r w:rsidRPr="001E3995">
        <w:t>(emphasis added).</w:t>
      </w:r>
    </w:p>
  </w:footnote>
  <w:footnote w:id="240">
    <w:p w14:paraId="0B2E6C2B" w14:textId="738DEBD6" w:rsidR="001E3995" w:rsidRDefault="001E3995" w:rsidP="001E3995">
      <w:pPr>
        <w:pStyle w:val="FootnoteText"/>
      </w:pPr>
      <w:r w:rsidRPr="001E3995">
        <w:rPr>
          <w:vertAlign w:val="superscript"/>
        </w:rPr>
        <w:footnoteRef/>
      </w:r>
      <w:r w:rsidRPr="001E3995">
        <w:t>Indeed, if the claim is for trade-dress dilution of a product design, an injunction prevents a potential competitor from entering the market at all, which surely affects the public at large.</w:t>
      </w:r>
    </w:p>
  </w:footnote>
  <w:footnote w:id="241">
    <w:p w14:paraId="7520C137" w14:textId="691A6894" w:rsidR="001E3995" w:rsidRDefault="001E3995" w:rsidP="001E3995">
      <w:pPr>
        <w:pStyle w:val="FootnoteText"/>
      </w:pPr>
      <w:r w:rsidRPr="001E3995">
        <w:rPr>
          <w:vertAlign w:val="superscript"/>
        </w:rPr>
        <w:footnoteRef/>
      </w:r>
      <w:r w:rsidRPr="001E3995">
        <w:t>California has since amended its statute to conform to the 2007 Model Bill.</w:t>
      </w:r>
      <w:r w:rsidRPr="001E3995">
        <w:t xml:space="preserve"> </w:t>
      </w:r>
      <w:r w:rsidRPr="001E3995">
        <w:rPr>
          <w:smallCaps/>
        </w:rPr>
        <w:t>Cal.</w:t>
      </w:r>
      <w:r w:rsidRPr="001E3995">
        <w:rPr>
          <w:smallCaps/>
        </w:rPr>
        <w:t xml:space="preserve"> </w:t>
      </w:r>
      <w:r w:rsidRPr="001E3995">
        <w:rPr>
          <w:smallCaps/>
        </w:rPr>
        <w:t>Bus.</w:t>
      </w:r>
      <w:r w:rsidRPr="001E3995">
        <w:rPr>
          <w:smallCaps/>
        </w:rPr>
        <w:t xml:space="preserve"> </w:t>
      </w:r>
      <w:r w:rsidRPr="001E3995">
        <w:rPr>
          <w:smallCaps/>
        </w:rPr>
        <w:t>&amp; Prof.</w:t>
      </w:r>
      <w:r w:rsidRPr="001E3995">
        <w:rPr>
          <w:smallCaps/>
        </w:rPr>
        <w:t xml:space="preserve"> </w:t>
      </w:r>
      <w:r w:rsidRPr="001E3995">
        <w:rPr>
          <w:smallCaps/>
        </w:rPr>
        <w:t>Code</w:t>
      </w:r>
      <w:r w:rsidRPr="001E3995">
        <w:t xml:space="preserve"> §14202(k)–(m), 14247 (West 2008).</w:t>
      </w:r>
      <w:r w:rsidRPr="001E3995">
        <w:t xml:space="preserve"> </w:t>
      </w:r>
      <w:r w:rsidRPr="001E3995">
        <w:t>See discussion of the Model Bill in Chapter 1, §II.D.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B9CF" w14:textId="77777777" w:rsidR="001E3995" w:rsidRPr="001E3995" w:rsidRDefault="001E3995" w:rsidP="001E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13D0" w14:textId="77777777" w:rsidR="001E3995" w:rsidRPr="001E3995" w:rsidRDefault="001E3995" w:rsidP="001E3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BB42" w14:textId="77777777" w:rsidR="001E3995" w:rsidRPr="001E3995" w:rsidRDefault="001E3995" w:rsidP="001E3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89"/>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99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0989"/>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B6A"/>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A3B"/>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1E43"/>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81B"/>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CA1E43"/>
    <w:pPr>
      <w:widowControl w:val="0"/>
      <w:spacing w:before="0" w:after="0"/>
      <w:ind w:firstLine="360"/>
    </w:pPr>
    <w:rPr>
      <w:kern w:val="0"/>
      <w:lang w:bidi="ar-SA"/>
    </w:rPr>
  </w:style>
  <w:style w:type="paragraph" w:customStyle="1" w:styleId="footnote">
    <w:name w:val="footnote"/>
    <w:basedOn w:val="text"/>
    <w:autoRedefine/>
    <w:uiPriority w:val="99"/>
    <w:qFormat/>
    <w:rsid w:val="00CA1E43"/>
    <w:rPr>
      <w:sz w:val="20"/>
    </w:rPr>
  </w:style>
  <w:style w:type="paragraph" w:customStyle="1" w:styleId="blockquote">
    <w:name w:val="block quote"/>
    <w:basedOn w:val="Normal"/>
    <w:autoRedefine/>
    <w:qFormat/>
    <w:rsid w:val="00CA1E43"/>
    <w:pPr>
      <w:spacing w:before="120"/>
      <w:ind w:left="720"/>
    </w:pPr>
    <w:rPr>
      <w:kern w:val="0"/>
      <w:sz w:val="20"/>
      <w:lang w:bidi="ar-SA"/>
    </w:rPr>
  </w:style>
  <w:style w:type="paragraph" w:customStyle="1" w:styleId="footnoteflush">
    <w:name w:val="footnote flush"/>
    <w:basedOn w:val="Normal"/>
    <w:uiPriority w:val="99"/>
    <w:rsid w:val="00CA1E43"/>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CA1E43"/>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CA1E43"/>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CA1E43"/>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CA1E43"/>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CA1E43"/>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CA1E43"/>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qFormat/>
    <w:rsid w:val="00CA1E43"/>
    <w:pPr>
      <w:ind w:firstLine="0"/>
    </w:pPr>
  </w:style>
  <w:style w:type="paragraph" w:customStyle="1" w:styleId="blockquotewparaindent">
    <w:name w:val="block quote w/para indent"/>
    <w:basedOn w:val="Normal"/>
    <w:autoRedefine/>
    <w:uiPriority w:val="99"/>
    <w:qFormat/>
    <w:rsid w:val="00CA1E43"/>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CA1E43"/>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CA1E43"/>
    <w:pPr>
      <w:widowControl w:val="0"/>
      <w:spacing w:after="240"/>
      <w:ind w:left="720"/>
    </w:pPr>
    <w:rPr>
      <w:kern w:val="0"/>
      <w:sz w:val="20"/>
      <w:lang w:bidi="ar-SA"/>
    </w:rPr>
  </w:style>
  <w:style w:type="paragraph" w:customStyle="1" w:styleId="bulletend">
    <w:name w:val="bullet end"/>
    <w:basedOn w:val="Normal"/>
    <w:autoRedefine/>
    <w:uiPriority w:val="99"/>
    <w:rsid w:val="00CA1E43"/>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CA1E43"/>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CA1E43"/>
    <w:pPr>
      <w:ind w:firstLine="360"/>
    </w:pPr>
  </w:style>
  <w:style w:type="paragraph" w:customStyle="1" w:styleId="block-p--">
    <w:name w:val="block-p/-/-"/>
    <w:basedOn w:val="blockquoteparaindent-"/>
    <w:autoRedefine/>
    <w:uiPriority w:val="99"/>
    <w:rsid w:val="00CA1E43"/>
    <w:pPr>
      <w:spacing w:after="0"/>
    </w:pPr>
  </w:style>
  <w:style w:type="paragraph" w:customStyle="1" w:styleId="footnoteparaindent">
    <w:name w:val="footnote para indent"/>
    <w:basedOn w:val="Normal"/>
    <w:autoRedefine/>
    <w:uiPriority w:val="99"/>
    <w:rsid w:val="00CA1E43"/>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CA1E43"/>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CA1E43"/>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CA1E43"/>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CA1E43"/>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CA1E43"/>
    <w:pPr>
      <w:spacing w:before="120" w:after="0"/>
      <w:ind w:left="1440"/>
    </w:pPr>
    <w:rPr>
      <w:rFonts w:cstheme="minorBidi"/>
      <w:kern w:val="0"/>
      <w:sz w:val="20"/>
      <w:szCs w:val="22"/>
      <w:lang w:bidi="ar-SA"/>
    </w:rPr>
  </w:style>
  <w:style w:type="paragraph" w:customStyle="1" w:styleId="toc10">
    <w:name w:val="toc1"/>
    <w:basedOn w:val="text"/>
    <w:autoRedefine/>
    <w:uiPriority w:val="99"/>
    <w:rsid w:val="00CA1E43"/>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CA1E43"/>
    <w:pPr>
      <w:tabs>
        <w:tab w:val="clear" w:pos="480"/>
        <w:tab w:val="clear" w:pos="600"/>
        <w:tab w:val="left" w:pos="960"/>
      </w:tabs>
      <w:ind w:left="960" w:hanging="360"/>
    </w:pPr>
  </w:style>
  <w:style w:type="paragraph" w:customStyle="1" w:styleId="toc40">
    <w:name w:val="toc4"/>
    <w:basedOn w:val="Normal"/>
    <w:autoRedefine/>
    <w:uiPriority w:val="99"/>
    <w:rsid w:val="00CA1E43"/>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CA1E43"/>
    <w:pPr>
      <w:tabs>
        <w:tab w:val="clear" w:pos="960"/>
        <w:tab w:val="left" w:pos="1380"/>
        <w:tab w:val="left" w:pos="8900"/>
      </w:tabs>
      <w:ind w:left="1380" w:hanging="420"/>
    </w:pPr>
  </w:style>
  <w:style w:type="paragraph" w:customStyle="1" w:styleId="toc5">
    <w:name w:val="toc5"/>
    <w:basedOn w:val="toc40"/>
    <w:autoRedefine/>
    <w:uiPriority w:val="99"/>
    <w:rsid w:val="00CA1E43"/>
    <w:pPr>
      <w:tabs>
        <w:tab w:val="clear" w:pos="1680"/>
        <w:tab w:val="right" w:pos="2040"/>
        <w:tab w:val="left" w:pos="2160"/>
      </w:tabs>
      <w:ind w:left="2160" w:hanging="480"/>
    </w:pPr>
  </w:style>
  <w:style w:type="paragraph" w:customStyle="1" w:styleId="toc7">
    <w:name w:val="toc7"/>
    <w:basedOn w:val="Normal"/>
    <w:autoRedefine/>
    <w:uiPriority w:val="99"/>
    <w:rsid w:val="00CA1E43"/>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CA1E43"/>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CA1E43"/>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CA1E43"/>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CA1E43"/>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CA1E43"/>
    <w:pPr>
      <w:spacing w:before="0" w:after="240"/>
    </w:pPr>
  </w:style>
  <w:style w:type="paragraph" w:customStyle="1" w:styleId="block3rdindent">
    <w:name w:val="block 3rd indent"/>
    <w:basedOn w:val="Normal"/>
    <w:autoRedefine/>
    <w:qFormat/>
    <w:rsid w:val="00CA1E43"/>
    <w:pPr>
      <w:widowControl w:val="0"/>
      <w:spacing w:before="0"/>
      <w:ind w:left="2160"/>
    </w:pPr>
    <w:rPr>
      <w:kern w:val="0"/>
      <w:sz w:val="20"/>
      <w:lang w:bidi="ar-SA"/>
    </w:rPr>
  </w:style>
  <w:style w:type="paragraph" w:customStyle="1" w:styleId="numberlistplstart">
    <w:name w:val="number list pl start"/>
    <w:basedOn w:val="Normal"/>
    <w:autoRedefine/>
    <w:uiPriority w:val="99"/>
    <w:rsid w:val="00CA1E43"/>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CA1E43"/>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CA1E43"/>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CA1E43"/>
    <w:pPr>
      <w:tabs>
        <w:tab w:val="clear" w:pos="740"/>
        <w:tab w:val="left" w:pos="360"/>
      </w:tabs>
      <w:spacing w:before="0"/>
      <w:ind w:left="360"/>
    </w:pPr>
  </w:style>
  <w:style w:type="paragraph" w:customStyle="1" w:styleId="1stLevelHeadII">
    <w:name w:val="1st Level Head II."/>
    <w:basedOn w:val="Normal"/>
    <w:autoRedefine/>
    <w:uiPriority w:val="99"/>
    <w:rsid w:val="00CA1E43"/>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CA1E43"/>
    <w:pPr>
      <w:keepNext/>
      <w:widowControl w:val="0"/>
      <w:tabs>
        <w:tab w:val="left" w:pos="360"/>
      </w:tabs>
      <w:suppressAutoHyphens/>
      <w:autoSpaceDE w:val="0"/>
      <w:autoSpaceDN w:val="0"/>
      <w:adjustRightInd w:val="0"/>
      <w:spacing w:before="360" w:after="24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CA1E43"/>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CA1E43"/>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CA1E43"/>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CA1E43"/>
    <w:pPr>
      <w:spacing w:before="0"/>
    </w:pPr>
  </w:style>
  <w:style w:type="paragraph" w:customStyle="1" w:styleId="2ndlevelheadnospace">
    <w:name w:val="2nd level head no space"/>
    <w:basedOn w:val="2ndlevelheadA"/>
    <w:uiPriority w:val="99"/>
    <w:rsid w:val="00CA1E43"/>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CA1E43"/>
    <w:pPr>
      <w:tabs>
        <w:tab w:val="clear" w:pos="840"/>
        <w:tab w:val="left" w:pos="480"/>
      </w:tabs>
      <w:spacing w:before="0"/>
    </w:pPr>
  </w:style>
  <w:style w:type="paragraph" w:customStyle="1" w:styleId="4thlevelheadnospace">
    <w:name w:val="4th level head no space"/>
    <w:basedOn w:val="4thlevelheada"/>
    <w:uiPriority w:val="99"/>
    <w:rsid w:val="00CA1E43"/>
    <w:pPr>
      <w:spacing w:before="0"/>
      <w:ind w:left="701"/>
    </w:pPr>
    <w:rPr>
      <w:szCs w:val="24"/>
    </w:rPr>
  </w:style>
  <w:style w:type="paragraph" w:customStyle="1" w:styleId="bulletlist">
    <w:name w:val="bullet list"/>
    <w:basedOn w:val="Normal"/>
    <w:qFormat/>
    <w:rsid w:val="00CA1E43"/>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CA1E43"/>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CA1E43"/>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CA1E43"/>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CA1E43"/>
    <w:pPr>
      <w:spacing w:before="120"/>
      <w:ind w:firstLine="439"/>
      <w:jc w:val="both"/>
    </w:pPr>
  </w:style>
  <w:style w:type="paragraph" w:customStyle="1" w:styleId="5thlevelhead1">
    <w:name w:val="5th level head (1)"/>
    <w:basedOn w:val="Normal"/>
    <w:autoRedefine/>
    <w:uiPriority w:val="99"/>
    <w:rsid w:val="00CA1E43"/>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CA1E43"/>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CA1E43"/>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CA1E43"/>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CA1E43"/>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CA1E43"/>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CA1E43"/>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CA1E43"/>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CA1E43"/>
    <w:pPr>
      <w:spacing w:before="0"/>
    </w:pPr>
    <w:rPr>
      <w:rFonts w:cs="ITC New Baskerville Std"/>
    </w:rPr>
  </w:style>
  <w:style w:type="paragraph" w:customStyle="1" w:styleId="2ndLevelHeadA0">
    <w:name w:val="2nd Level Head A."/>
    <w:basedOn w:val="Normal"/>
    <w:autoRedefine/>
    <w:uiPriority w:val="99"/>
    <w:rsid w:val="00CA1E43"/>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CA1E43"/>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CA1E43"/>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CA1E43"/>
    <w:pPr>
      <w:ind w:firstLine="240"/>
    </w:pPr>
  </w:style>
  <w:style w:type="paragraph" w:customStyle="1" w:styleId="bulletliststart">
    <w:name w:val="bullet list start"/>
    <w:basedOn w:val="Normal"/>
    <w:autoRedefine/>
    <w:uiPriority w:val="99"/>
    <w:qFormat/>
    <w:rsid w:val="00CA1E43"/>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CA1E43"/>
    <w:pPr>
      <w:spacing w:after="240"/>
    </w:pPr>
  </w:style>
  <w:style w:type="paragraph" w:customStyle="1" w:styleId="1stLevelHeadI">
    <w:name w:val="1st Level Head I."/>
    <w:basedOn w:val="Normal"/>
    <w:autoRedefine/>
    <w:uiPriority w:val="99"/>
    <w:rsid w:val="00CA1E43"/>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CA1E43"/>
    <w:pPr>
      <w:spacing w:before="0" w:after="120" w:line="240" w:lineRule="atLeast"/>
    </w:pPr>
    <w:rPr>
      <w:rFonts w:cs="Times New Roman"/>
      <w:bCs w:val="0"/>
    </w:rPr>
  </w:style>
  <w:style w:type="paragraph" w:customStyle="1" w:styleId="4thHeadfrom3">
    <w:name w:val="4th Head from 3"/>
    <w:basedOn w:val="4thLevelHeada0"/>
    <w:autoRedefine/>
    <w:uiPriority w:val="99"/>
    <w:rsid w:val="00CA1E43"/>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CA1E43"/>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CA1E43"/>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CA1E43"/>
    <w:pPr>
      <w:tabs>
        <w:tab w:val="clear" w:pos="800"/>
        <w:tab w:val="left" w:pos="1240"/>
      </w:tabs>
      <w:spacing w:before="120"/>
      <w:ind w:left="1240"/>
    </w:pPr>
  </w:style>
  <w:style w:type="paragraph" w:customStyle="1" w:styleId="5thHeadfrom4">
    <w:name w:val="5th Head from 4"/>
    <w:basedOn w:val="5thLevelHead"/>
    <w:autoRedefine/>
    <w:uiPriority w:val="99"/>
    <w:rsid w:val="00CA1E43"/>
    <w:pPr>
      <w:spacing w:before="0"/>
    </w:pPr>
  </w:style>
  <w:style w:type="paragraph" w:customStyle="1" w:styleId="4thLevela">
    <w:name w:val="4th Level a."/>
    <w:basedOn w:val="Normal"/>
    <w:autoRedefine/>
    <w:uiPriority w:val="99"/>
    <w:rsid w:val="00CA1E43"/>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CA1E43"/>
    <w:pPr>
      <w:spacing w:before="0" w:after="180" w:line="250" w:lineRule="atLeast"/>
    </w:pPr>
    <w:rPr>
      <w:rFonts w:cs="Times LT Std"/>
      <w:szCs w:val="23"/>
    </w:rPr>
  </w:style>
  <w:style w:type="paragraph" w:customStyle="1" w:styleId="numberliststart0">
    <w:name w:val="number list start"/>
    <w:basedOn w:val="Normal"/>
    <w:autoRedefine/>
    <w:qFormat/>
    <w:rsid w:val="00CA1E43"/>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CA1E43"/>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CA1E43"/>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CA1E43"/>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CA1E43"/>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CA1E43"/>
    <w:pPr>
      <w:widowControl w:val="0"/>
      <w:spacing w:after="240"/>
      <w:ind w:left="720"/>
    </w:pPr>
    <w:rPr>
      <w:kern w:val="0"/>
      <w:sz w:val="20"/>
      <w:lang w:bidi="ar-SA"/>
    </w:rPr>
  </w:style>
  <w:style w:type="paragraph" w:customStyle="1" w:styleId="Level21">
    <w:name w:val="Level 2 / 1"/>
    <w:basedOn w:val="Normal"/>
    <w:autoRedefine/>
    <w:uiPriority w:val="99"/>
    <w:rsid w:val="00CA1E43"/>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CA1E43"/>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CA1E43"/>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CA1E43"/>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CA1E43"/>
    <w:pPr>
      <w:spacing w:before="0"/>
    </w:pPr>
  </w:style>
  <w:style w:type="paragraph" w:customStyle="1" w:styleId="Blockquotenospacebelow">
    <w:name w:val="Block quote (no space below)"/>
    <w:basedOn w:val="Blockquote0"/>
    <w:autoRedefine/>
    <w:uiPriority w:val="99"/>
    <w:rsid w:val="00CA1E43"/>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CA1E43"/>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CA1E43"/>
    <w:pPr>
      <w:tabs>
        <w:tab w:val="clear" w:pos="840"/>
        <w:tab w:val="left" w:pos="480"/>
      </w:tabs>
      <w:spacing w:before="0" w:after="240"/>
      <w:ind w:left="960" w:hanging="480"/>
    </w:pPr>
  </w:style>
  <w:style w:type="paragraph" w:customStyle="1" w:styleId="Numberlist0">
    <w:name w:val="Number list"/>
    <w:basedOn w:val="Numberliststop"/>
    <w:autoRedefine/>
    <w:qFormat/>
    <w:rsid w:val="00CA1E43"/>
    <w:pPr>
      <w:spacing w:after="0"/>
    </w:pPr>
  </w:style>
  <w:style w:type="paragraph" w:customStyle="1" w:styleId="Level43">
    <w:name w:val="Level 4/3"/>
    <w:basedOn w:val="Level4Heada"/>
    <w:autoRedefine/>
    <w:uiPriority w:val="99"/>
    <w:rsid w:val="00CA1E43"/>
    <w:pPr>
      <w:spacing w:before="0"/>
    </w:pPr>
  </w:style>
  <w:style w:type="paragraph" w:customStyle="1" w:styleId="Level5Head1">
    <w:name w:val="Level 5 Head (1)"/>
    <w:basedOn w:val="Level43"/>
    <w:autoRedefine/>
    <w:uiPriority w:val="99"/>
    <w:rsid w:val="00CA1E43"/>
    <w:pPr>
      <w:spacing w:before="240" w:line="240" w:lineRule="auto"/>
      <w:ind w:left="919" w:hanging="480"/>
    </w:pPr>
  </w:style>
  <w:style w:type="paragraph" w:customStyle="1" w:styleId="Level3Head">
    <w:name w:val="Level 3 Head"/>
    <w:basedOn w:val="text"/>
    <w:autoRedefine/>
    <w:qFormat/>
    <w:rsid w:val="00CA1E43"/>
  </w:style>
  <w:style w:type="paragraph" w:customStyle="1" w:styleId="bullet-dash">
    <w:name w:val="bullet-dash"/>
    <w:basedOn w:val="Normal"/>
    <w:autoRedefine/>
    <w:qFormat/>
    <w:rsid w:val="00CA1E43"/>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CA1E43"/>
    <w:pPr>
      <w:ind w:left="1440"/>
    </w:pPr>
  </w:style>
  <w:style w:type="paragraph" w:customStyle="1" w:styleId="2ndLevelheadfrom1">
    <w:name w:val="2nd Level head_from 1"/>
    <w:basedOn w:val="2ndLevelHeadA0"/>
    <w:autoRedefine/>
    <w:uiPriority w:val="99"/>
    <w:rsid w:val="00CA1E43"/>
    <w:pPr>
      <w:spacing w:before="0" w:line="240" w:lineRule="atLeast"/>
    </w:pPr>
    <w:rPr>
      <w:rFonts w:cs="Times LT Std"/>
      <w:iCs w:val="0"/>
      <w:szCs w:val="22"/>
    </w:rPr>
  </w:style>
  <w:style w:type="paragraph" w:customStyle="1" w:styleId="1stlevelheadI0">
    <w:name w:val="1st level head I."/>
    <w:basedOn w:val="Normal"/>
    <w:autoRedefine/>
    <w:uiPriority w:val="99"/>
    <w:rsid w:val="00CA1E43"/>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CA1E43"/>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CA1E43"/>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CA1E43"/>
    <w:pPr>
      <w:ind w:left="1200"/>
    </w:pPr>
  </w:style>
  <w:style w:type="paragraph" w:customStyle="1" w:styleId="chapternumber">
    <w:name w:val="chapter number"/>
    <w:basedOn w:val="Normal"/>
    <w:uiPriority w:val="99"/>
    <w:rsid w:val="00CA1E43"/>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CA1E43"/>
    <w:pPr>
      <w:widowControl w:val="0"/>
      <w:suppressAutoHyphens/>
      <w:autoSpaceDE w:val="0"/>
      <w:autoSpaceDN w:val="0"/>
      <w:adjustRightInd w:val="0"/>
      <w:spacing w:before="0" w:after="24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blockquote-6pt">
    <w:name w:val="block quote -/+ 6 pt"/>
    <w:basedOn w:val="Blockquoteflush"/>
    <w:uiPriority w:val="99"/>
    <w:rsid w:val="00CA1E43"/>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quote2indenthang">
    <w:name w:val="block quote 2 indent hang"/>
    <w:basedOn w:val="Normal"/>
    <w:uiPriority w:val="99"/>
    <w:rsid w:val="00CA1E43"/>
    <w:pPr>
      <w:widowControl w:val="0"/>
      <w:autoSpaceDE w:val="0"/>
      <w:autoSpaceDN w:val="0"/>
      <w:adjustRightInd w:val="0"/>
      <w:spacing w:before="0" w:after="0" w:line="200" w:lineRule="atLeast"/>
      <w:ind w:left="1320" w:hanging="440"/>
      <w:jc w:val="both"/>
      <w:textAlignment w:val="center"/>
    </w:pPr>
    <w:rPr>
      <w:rFonts w:ascii="ITC New Baskerville Std" w:eastAsiaTheme="minorEastAsia" w:hAnsi="ITC New Baskerville Std" w:cs="ITC New Baskerville Std"/>
      <w:color w:val="000000"/>
      <w:spacing w:val="1"/>
      <w:kern w:val="0"/>
      <w:sz w:val="20"/>
      <w:szCs w:val="20"/>
      <w:lang w:bidi="ar-SA"/>
    </w:rPr>
  </w:style>
  <w:style w:type="paragraph" w:customStyle="1" w:styleId="3rdlevelhead1i">
    <w:name w:val="3rd level head 1._i"/>
    <w:basedOn w:val="Normal"/>
    <w:autoRedefine/>
    <w:uiPriority w:val="99"/>
    <w:qFormat/>
    <w:rsid w:val="00CA1E43"/>
    <w:pPr>
      <w:tabs>
        <w:tab w:val="left" w:pos="360"/>
      </w:tabs>
      <w:spacing w:after="240"/>
      <w:ind w:left="360" w:hanging="360"/>
    </w:pPr>
    <w:rPr>
      <w:rFonts w:eastAsiaTheme="minorEastAsia"/>
      <w:b/>
      <w:i/>
      <w:kern w:val="0"/>
      <w:szCs w:val="22"/>
      <w:lang w:bidi="ar-SA"/>
    </w:rPr>
  </w:style>
  <w:style w:type="paragraph" w:customStyle="1" w:styleId="1stlevelheadIr">
    <w:name w:val="1st level head I._r"/>
    <w:basedOn w:val="Normal"/>
    <w:autoRedefine/>
    <w:uiPriority w:val="99"/>
    <w:qFormat/>
    <w:rsid w:val="00CA1E43"/>
    <w:pPr>
      <w:spacing w:before="360" w:after="360"/>
      <w:ind w:firstLine="720"/>
      <w:jc w:val="center"/>
    </w:pPr>
    <w:rPr>
      <w:rFonts w:eastAsiaTheme="minorEastAsia" w:cstheme="minorBidi"/>
      <w:b/>
      <w:smallCaps/>
      <w:kern w:val="0"/>
      <w:szCs w:val="22"/>
      <w:lang w:bidi="ar-SA"/>
    </w:rPr>
  </w:style>
  <w:style w:type="paragraph" w:customStyle="1" w:styleId="ChapterNum">
    <w:name w:val="ChapterNum"/>
    <w:basedOn w:val="Normal"/>
    <w:link w:val="ChapterNumChar"/>
    <w:rsid w:val="00CA1E43"/>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CA1E43"/>
    <w:rPr>
      <w:rFonts w:eastAsia="Times New Roman"/>
      <w:kern w:val="0"/>
      <w:sz w:val="56"/>
      <w:szCs w:val="56"/>
      <w:lang w:bidi="ar-SA"/>
    </w:rPr>
  </w:style>
  <w:style w:type="character" w:styleId="UnresolvedMention">
    <w:name w:val="Unresolved Mention"/>
    <w:basedOn w:val="DefaultParagraphFont"/>
    <w:uiPriority w:val="99"/>
    <w:semiHidden/>
    <w:unhideWhenUsed/>
    <w:rsid w:val="00CA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D0E63C-C649-40E0-BBD7-D227E6740947}"/>
      </w:docPartPr>
      <w:docPartBody>
        <w:p w:rsidR="00155A7D" w:rsidRDefault="00155A7D">
          <w:r w:rsidRPr="002F6D09">
            <w:rPr>
              <w:rStyle w:val="PlaceholderText"/>
            </w:rPr>
            <w:t>Click or tap here to enter text.</w:t>
          </w:r>
        </w:p>
      </w:docPartBody>
    </w:docPart>
    <w:docPart>
      <w:docPartPr>
        <w:name w:val="DAB0D1862DF34BD598C2B84B09C27088"/>
        <w:category>
          <w:name w:val="General"/>
          <w:gallery w:val="placeholder"/>
        </w:category>
        <w:types>
          <w:type w:val="bbPlcHdr"/>
        </w:types>
        <w:behaviors>
          <w:behavior w:val="content"/>
        </w:behaviors>
        <w:guid w:val="{396DC74C-EB46-475F-9E6F-3D2017C41B26}"/>
      </w:docPartPr>
      <w:docPartBody>
        <w:p w:rsidR="00155A7D" w:rsidRDefault="00155A7D">
          <w:r w:rsidRPr="002F6D09">
            <w:rPr>
              <w:rStyle w:val="PlaceholderText"/>
            </w:rPr>
            <w:t>Unit.Start</w:t>
          </w:r>
        </w:p>
      </w:docPartBody>
    </w:docPart>
    <w:docPart>
      <w:docPartPr>
        <w:name w:val="F4C284432ACA42ACA5E38FCD4310CC46"/>
        <w:category>
          <w:name w:val="General"/>
          <w:gallery w:val="placeholder"/>
        </w:category>
        <w:types>
          <w:type w:val="bbPlcHdr"/>
        </w:types>
        <w:behaviors>
          <w:behavior w:val="content"/>
        </w:behaviors>
        <w:guid w:val="{047E2FC6-C26D-43FE-86D1-7697BBC58E11}"/>
      </w:docPartPr>
      <w:docPartBody>
        <w:p w:rsidR="00155A7D" w:rsidRDefault="00155A7D">
          <w:r w:rsidRPr="002F6D09">
            <w:rPr>
              <w:rStyle w:val="PlaceholderText"/>
            </w:rPr>
            <w:t>Document</w:t>
          </w:r>
        </w:p>
      </w:docPartBody>
    </w:docPart>
    <w:docPart>
      <w:docPartPr>
        <w:name w:val="55EA102FCB554C2BB668FEE9061AF0BD"/>
        <w:category>
          <w:name w:val="General"/>
          <w:gallery w:val="placeholder"/>
        </w:category>
        <w:types>
          <w:type w:val="bbPlcHdr"/>
        </w:types>
        <w:behaviors>
          <w:behavior w:val="content"/>
        </w:behaviors>
        <w:guid w:val="{5B297E39-17E3-4F96-A637-C5CD09A0EC42}"/>
      </w:docPartPr>
      <w:docPartBody>
        <w:p w:rsidR="00155A7D" w:rsidRDefault="00155A7D">
          <w:r w:rsidRPr="002F6D09">
            <w:rPr>
              <w:rStyle w:val="PlaceholderText"/>
            </w:rPr>
            <w:t>enter text</w:t>
          </w:r>
        </w:p>
      </w:docPartBody>
    </w:docPart>
    <w:docPart>
      <w:docPartPr>
        <w:name w:val="2F9140BF72DF4EF6B7AA041D37D7A145"/>
        <w:category>
          <w:name w:val="General"/>
          <w:gallery w:val="placeholder"/>
        </w:category>
        <w:types>
          <w:type w:val="bbPlcHdr"/>
        </w:types>
        <w:behaviors>
          <w:behavior w:val="content"/>
        </w:behaviors>
        <w:guid w:val="{00D58E27-4F1A-4133-8812-B806C92EF9F8}"/>
      </w:docPartPr>
      <w:docPartBody>
        <w:p w:rsidR="00155A7D" w:rsidRDefault="00155A7D">
          <w:r w:rsidRPr="002F6D09">
            <w:rPr>
              <w:rStyle w:val="PlaceholderText"/>
            </w:rPr>
            <w:t>enter text</w:t>
          </w:r>
        </w:p>
      </w:docPartBody>
    </w:docPart>
    <w:docPart>
      <w:docPartPr>
        <w:name w:val="0368ECCAD7624AC28AF39FB8E9555871"/>
        <w:category>
          <w:name w:val="General"/>
          <w:gallery w:val="placeholder"/>
        </w:category>
        <w:types>
          <w:type w:val="bbPlcHdr"/>
        </w:types>
        <w:behaviors>
          <w:behavior w:val="content"/>
        </w:behaviors>
        <w:guid w:val="{0CD1792C-235D-45CE-ADD4-88AB8F42D323}"/>
      </w:docPartPr>
      <w:docPartBody>
        <w:p w:rsidR="00155A7D" w:rsidRDefault="00155A7D">
          <w:r w:rsidRPr="002F6D09">
            <w:rPr>
              <w:rStyle w:val="PlaceholderText"/>
            </w:rPr>
            <w:t>enter REQUIRED text</w:t>
          </w:r>
        </w:p>
      </w:docPartBody>
    </w:docPart>
    <w:docPart>
      <w:docPartPr>
        <w:name w:val="2A936AB09D5E4B16A1EE81603E61B91F"/>
        <w:category>
          <w:name w:val="General"/>
          <w:gallery w:val="placeholder"/>
        </w:category>
        <w:types>
          <w:type w:val="bbPlcHdr"/>
        </w:types>
        <w:behaviors>
          <w:behavior w:val="content"/>
        </w:behaviors>
        <w:guid w:val="{07E84038-F1D8-4097-88E0-FB4EB83F92BF}"/>
      </w:docPartPr>
      <w:docPartBody>
        <w:p w:rsidR="00155A7D" w:rsidRDefault="00155A7D">
          <w:r w:rsidRPr="002F6D09">
            <w:rPr>
              <w:rStyle w:val="PlaceholderText"/>
            </w:rPr>
            <w:t>enter REQUIRED text</w:t>
          </w:r>
        </w:p>
      </w:docPartBody>
    </w:docPart>
    <w:docPart>
      <w:docPartPr>
        <w:name w:val="19D1F4D0AAB34B74ADF3F84EC7520080"/>
        <w:category>
          <w:name w:val="General"/>
          <w:gallery w:val="placeholder"/>
        </w:category>
        <w:types>
          <w:type w:val="bbPlcHdr"/>
        </w:types>
        <w:behaviors>
          <w:behavior w:val="content"/>
        </w:behaviors>
        <w:guid w:val="{15929988-C5A1-4EC4-937F-DA6BC1B9E092}"/>
      </w:docPartPr>
      <w:docPartBody>
        <w:p w:rsidR="00155A7D" w:rsidRDefault="00155A7D">
          <w:r w:rsidRPr="002F6D09">
            <w:rPr>
              <w:rStyle w:val="PlaceholderText"/>
            </w:rPr>
            <w:t>enter text</w:t>
          </w:r>
        </w:p>
      </w:docPartBody>
    </w:docPart>
    <w:docPart>
      <w:docPartPr>
        <w:name w:val="D5CF071E2FE64E1DBBFFEE3242245000"/>
        <w:category>
          <w:name w:val="General"/>
          <w:gallery w:val="placeholder"/>
        </w:category>
        <w:types>
          <w:type w:val="bbPlcHdr"/>
        </w:types>
        <w:behaviors>
          <w:behavior w:val="content"/>
        </w:behaviors>
        <w:guid w:val="{2588E130-CD44-49FC-BE17-1250F3F87090}"/>
      </w:docPartPr>
      <w:docPartBody>
        <w:p w:rsidR="00155A7D" w:rsidRDefault="00155A7D">
          <w:r w:rsidRPr="002F6D09">
            <w:rPr>
              <w:rStyle w:val="PlaceholderText"/>
            </w:rPr>
            <w:t>enter text</w:t>
          </w:r>
        </w:p>
      </w:docPartBody>
    </w:docPart>
    <w:docPart>
      <w:docPartPr>
        <w:name w:val="49838FD77B0F4615B2FBD00A2A95ED78"/>
        <w:category>
          <w:name w:val="General"/>
          <w:gallery w:val="placeholder"/>
        </w:category>
        <w:types>
          <w:type w:val="bbPlcHdr"/>
        </w:types>
        <w:behaviors>
          <w:behavior w:val="content"/>
        </w:behaviors>
        <w:guid w:val="{61B26C2D-36EE-4278-B504-F8A564C80A3B}"/>
      </w:docPartPr>
      <w:docPartBody>
        <w:p w:rsidR="00155A7D" w:rsidRDefault="00155A7D">
          <w:r w:rsidRPr="002F6D09">
            <w:rPr>
              <w:rStyle w:val="PlaceholderText"/>
            </w:rPr>
            <w:t>enter text</w:t>
          </w:r>
        </w:p>
      </w:docPartBody>
    </w:docPart>
    <w:docPart>
      <w:docPartPr>
        <w:name w:val="C00A5065FBE144239BD69B13D7DF0712"/>
        <w:category>
          <w:name w:val="General"/>
          <w:gallery w:val="placeholder"/>
        </w:category>
        <w:types>
          <w:type w:val="bbPlcHdr"/>
        </w:types>
        <w:behaviors>
          <w:behavior w:val="content"/>
        </w:behaviors>
        <w:guid w:val="{0D25AF98-EB92-441D-B348-52168BC708C9}"/>
      </w:docPartPr>
      <w:docPartBody>
        <w:p w:rsidR="00155A7D" w:rsidRDefault="00155A7D">
          <w:r w:rsidRPr="002F6D09">
            <w:rPr>
              <w:rStyle w:val="PlaceholderText"/>
            </w:rPr>
            <w:t>enter text</w:t>
          </w:r>
        </w:p>
      </w:docPartBody>
    </w:docPart>
    <w:docPart>
      <w:docPartPr>
        <w:name w:val="F55F76163C9A4CE9BB000507D18ED5B2"/>
        <w:category>
          <w:name w:val="General"/>
          <w:gallery w:val="placeholder"/>
        </w:category>
        <w:types>
          <w:type w:val="bbPlcHdr"/>
        </w:types>
        <w:behaviors>
          <w:behavior w:val="content"/>
        </w:behaviors>
        <w:guid w:val="{7729661C-3828-42A0-A4BB-7C04D0C01028}"/>
      </w:docPartPr>
      <w:docPartBody>
        <w:p w:rsidR="00155A7D" w:rsidRDefault="00155A7D">
          <w:r w:rsidRPr="002F6D09">
            <w:rPr>
              <w:rStyle w:val="PlaceholderText"/>
            </w:rPr>
            <w:t>enter text</w:t>
          </w:r>
        </w:p>
      </w:docPartBody>
    </w:docPart>
    <w:docPart>
      <w:docPartPr>
        <w:name w:val="C62F2E3A56274F3EA24843992C02CAFF"/>
        <w:category>
          <w:name w:val="General"/>
          <w:gallery w:val="placeholder"/>
        </w:category>
        <w:types>
          <w:type w:val="bbPlcHdr"/>
        </w:types>
        <w:behaviors>
          <w:behavior w:val="content"/>
        </w:behaviors>
        <w:guid w:val="{32AEDA43-B7E8-48A6-8F85-612146192678}"/>
      </w:docPartPr>
      <w:docPartBody>
        <w:p w:rsidR="00155A7D" w:rsidRDefault="00155A7D">
          <w:r w:rsidRPr="002F6D09">
            <w:rPr>
              <w:rStyle w:val="PlaceholderText"/>
            </w:rPr>
            <w:t>enter text</w:t>
          </w:r>
        </w:p>
      </w:docPartBody>
    </w:docPart>
    <w:docPart>
      <w:docPartPr>
        <w:name w:val="C2742BDC6DDB40EFB0E9D8E1DA333C3D"/>
        <w:category>
          <w:name w:val="General"/>
          <w:gallery w:val="placeholder"/>
        </w:category>
        <w:types>
          <w:type w:val="bbPlcHdr"/>
        </w:types>
        <w:behaviors>
          <w:behavior w:val="content"/>
        </w:behaviors>
        <w:guid w:val="{635D8D7D-9DAB-4794-BDE6-3219ECE5A89B}"/>
      </w:docPartPr>
      <w:docPartBody>
        <w:p w:rsidR="00155A7D" w:rsidRDefault="00155A7D">
          <w:r w:rsidRPr="002F6D09">
            <w:rPr>
              <w:rStyle w:val="PlaceholderText"/>
            </w:rPr>
            <w:t>enter text</w:t>
          </w:r>
        </w:p>
      </w:docPartBody>
    </w:docPart>
    <w:docPart>
      <w:docPartPr>
        <w:name w:val="913632D9D7EC4658BF59671E1C5F64B6"/>
        <w:category>
          <w:name w:val="General"/>
          <w:gallery w:val="placeholder"/>
        </w:category>
        <w:types>
          <w:type w:val="bbPlcHdr"/>
        </w:types>
        <w:behaviors>
          <w:behavior w:val="content"/>
        </w:behaviors>
        <w:guid w:val="{191FC8E0-3B1D-4958-897B-2A3B83F3A747}"/>
      </w:docPartPr>
      <w:docPartBody>
        <w:p w:rsidR="00155A7D" w:rsidRDefault="00155A7D">
          <w:r w:rsidRPr="002F6D09">
            <w:rPr>
              <w:rStyle w:val="PlaceholderText"/>
            </w:rPr>
            <w:t>enter text</w:t>
          </w:r>
        </w:p>
      </w:docPartBody>
    </w:docPart>
    <w:docPart>
      <w:docPartPr>
        <w:name w:val="8D33750A091E4213A0347AF999281825"/>
        <w:category>
          <w:name w:val="General"/>
          <w:gallery w:val="placeholder"/>
        </w:category>
        <w:types>
          <w:type w:val="bbPlcHdr"/>
        </w:types>
        <w:behaviors>
          <w:behavior w:val="content"/>
        </w:behaviors>
        <w:guid w:val="{FB010783-3FCC-45CC-B00F-B489ED8D9C42}"/>
      </w:docPartPr>
      <w:docPartBody>
        <w:p w:rsidR="00155A7D" w:rsidRDefault="00155A7D">
          <w:r w:rsidRPr="002F6D09">
            <w:rPr>
              <w:rStyle w:val="PlaceholderText"/>
            </w:rPr>
            <w:t>choose an item (REQUIRED)</w:t>
          </w:r>
        </w:p>
      </w:docPartBody>
    </w:docPart>
    <w:docPart>
      <w:docPartPr>
        <w:name w:val="7149297C09C7475A88A07C734C877205"/>
        <w:category>
          <w:name w:val="General"/>
          <w:gallery w:val="placeholder"/>
        </w:category>
        <w:types>
          <w:type w:val="bbPlcHdr"/>
        </w:types>
        <w:behaviors>
          <w:behavior w:val="content"/>
        </w:behaviors>
        <w:guid w:val="{649F755D-7B47-474D-9D7F-AEDF2B4C2A81}"/>
      </w:docPartPr>
      <w:docPartBody>
        <w:p w:rsidR="00155A7D" w:rsidRDefault="00155A7D">
          <w:r w:rsidRPr="002F6D09">
            <w:rPr>
              <w:rStyle w:val="PlaceholderText"/>
            </w:rPr>
            <w:t>enter text</w:t>
          </w:r>
        </w:p>
      </w:docPartBody>
    </w:docPart>
    <w:docPart>
      <w:docPartPr>
        <w:name w:val="D8E466B0E2794844A22C7E8E73A17AF0"/>
        <w:category>
          <w:name w:val="General"/>
          <w:gallery w:val="placeholder"/>
        </w:category>
        <w:types>
          <w:type w:val="bbPlcHdr"/>
        </w:types>
        <w:behaviors>
          <w:behavior w:val="content"/>
        </w:behaviors>
        <w:guid w:val="{48F27C21-38B0-4A6D-B6A4-1487FBF791E7}"/>
      </w:docPartPr>
      <w:docPartBody>
        <w:p w:rsidR="00155A7D" w:rsidRDefault="00155A7D">
          <w:r w:rsidRPr="002F6D09">
            <w:rPr>
              <w:rStyle w:val="PlaceholderText"/>
            </w:rPr>
            <w:t>enter text</w:t>
          </w:r>
        </w:p>
      </w:docPartBody>
    </w:docPart>
    <w:docPart>
      <w:docPartPr>
        <w:name w:val="0C0B75E9757442F0882A73B2602CBD02"/>
        <w:category>
          <w:name w:val="General"/>
          <w:gallery w:val="placeholder"/>
        </w:category>
        <w:types>
          <w:type w:val="bbPlcHdr"/>
        </w:types>
        <w:behaviors>
          <w:behavior w:val="content"/>
        </w:behaviors>
        <w:guid w:val="{F8F06902-EA92-4332-8005-F9CD868A52DC}"/>
      </w:docPartPr>
      <w:docPartBody>
        <w:p w:rsidR="00155A7D" w:rsidRDefault="00155A7D">
          <w:r w:rsidRPr="002F6D09">
            <w:rPr>
              <w:rStyle w:val="PlaceholderText"/>
            </w:rPr>
            <w:t>enter REQUIRED text</w:t>
          </w:r>
        </w:p>
      </w:docPartBody>
    </w:docPart>
    <w:docPart>
      <w:docPartPr>
        <w:name w:val="ECFA4AFA44AE4049B8452047E23EA710"/>
        <w:category>
          <w:name w:val="General"/>
          <w:gallery w:val="placeholder"/>
        </w:category>
        <w:types>
          <w:type w:val="bbPlcHdr"/>
        </w:types>
        <w:behaviors>
          <w:behavior w:val="content"/>
        </w:behaviors>
        <w:guid w:val="{F429FAC0-698D-4987-A2B8-21227FAADCD7}"/>
      </w:docPartPr>
      <w:docPartBody>
        <w:p w:rsidR="00155A7D" w:rsidRDefault="00155A7D">
          <w:r w:rsidRPr="002F6D0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7D"/>
    <w:rsid w:val="00155A7D"/>
    <w:rsid w:val="004278B5"/>
    <w:rsid w:val="00BA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A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subpart.name="enter text" unit.code="main0012" unit.name="Chapter 12. Issues of Practice and Procedure" folio="563" class.code="A" class.name="Book Body" bna.id.prefix="12" pdm.name="Chap12" part.num="2" part.name="Part II. Federal Dilution Law" publication.name="Trademark Dilution - Federal, State, and International Law, Second Edition" acct.code="TD2M20" date="2025-09-25"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26</Pages>
  <Words>8864</Words>
  <Characters>47111</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2025-09-25T20:51:00Z</dcterms:created>
  <dcterms:modified xsi:type="dcterms:W3CDTF">2025-10-01T00:33:00Z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