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F0E" w14:textId="77777777" w:rsidR="00197C1B" w:rsidRPr="00197C1B" w:rsidRDefault="001F603E" w:rsidP="00CC219E">
      <w:pPr>
        <w:pStyle w:val="BDocStart"/>
      </w:pPr>
      <w:sdt>
        <w:sdtPr>
          <w:tag w:val="unit.start.head"/>
          <w:id w:val="-483236974"/>
          <w:lock w:val="sdtLocked"/>
          <w:placeholder>
            <w:docPart w:val="362996EF4AC94C17B2AD0B13B8DEF749"/>
          </w:placeholder>
          <w15:appearance w15:val="hidden"/>
        </w:sdtPr>
        <w:sdtEndPr/>
        <w:sdtContent>
          <w:r w:rsidR="00CC219E">
            <w:t>Unit.Start</w:t>
          </w:r>
        </w:sdtContent>
      </w:sdt>
    </w:p>
    <w:sdt>
      <w:sdtPr>
        <w:rPr>
          <w:rStyle w:val="BContentControl"/>
        </w:rPr>
        <w:alias w:val="unit.start"/>
        <w:tag w:val="Unit1"/>
        <w:id w:val="897017100"/>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2E5DCC69" w14:textId="3F81B0CE" w:rsidR="00197C1B" w:rsidRPr="00197C1B" w:rsidRDefault="001F603E" w:rsidP="00CC219E">
          <w:pPr>
            <w:pStyle w:val="BNormal"/>
          </w:pPr>
          <w:sdt>
            <w:sdtPr>
              <w:rPr>
                <w:rStyle w:val="BContentControl"/>
              </w:rPr>
              <w:alias w:val="acct.code"/>
              <w:tag w:val="acct.code"/>
              <w:id w:val="-378321275"/>
              <w:lock w:val="sdtLocked"/>
              <w:placeholder>
                <w:docPart w:val="0ECD60E98AC2432C8966F4A9616BA5CB"/>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CC219E">
                <w:rPr>
                  <w:rStyle w:val="BContentControl"/>
                </w:rPr>
                <w:t>TD2M20</w:t>
              </w:r>
            </w:sdtContent>
          </w:sdt>
          <w:sdt>
            <w:sdtPr>
              <w:rPr>
                <w:rStyle w:val="BContentControl"/>
              </w:rPr>
              <w:alias w:val="bna.id.prefix"/>
              <w:tag w:val="bna.id.prefix"/>
              <w:id w:val="-618450283"/>
              <w:lock w:val="sdtLocked"/>
              <w:placeholder>
                <w:docPart w:val="F37BF2DA68134BFEB7A29D5CE5ED81B7"/>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CC219E">
                <w:rPr>
                  <w:rStyle w:val="BContentControl"/>
                </w:rPr>
                <w:t>11</w:t>
              </w:r>
            </w:sdtContent>
          </w:sdt>
          <w:r w:rsidR="00CC219E" w:rsidRPr="00CC219E">
            <w:rPr>
              <w:rStyle w:val="BContentControl"/>
            </w:rPr>
            <w:t xml:space="preserve"> </w:t>
          </w:r>
          <w:sdt>
            <w:sdtPr>
              <w:rPr>
                <w:rStyle w:val="BContentControl"/>
              </w:rPr>
              <w:alias w:val="class.code*"/>
              <w:tag w:val="class.code"/>
              <w:id w:val="1058207053"/>
              <w:lock w:val="sdtLocked"/>
              <w:placeholder>
                <w:docPart w:val="DCBB88FA437546698A36EBA6225E6C5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CC219E">
                <w:rPr>
                  <w:rStyle w:val="BContentControl"/>
                </w:rPr>
                <w:t>A</w:t>
              </w:r>
            </w:sdtContent>
          </w:sdt>
          <w:r w:rsidR="00CC219E" w:rsidRPr="00CC219E">
            <w:rPr>
              <w:rStyle w:val="BContentControl"/>
            </w:rPr>
            <w:t xml:space="preserve"> </w:t>
          </w:r>
          <w:sdt>
            <w:sdtPr>
              <w:rPr>
                <w:rStyle w:val="BContentControl"/>
              </w:rPr>
              <w:alias w:val="class.name*"/>
              <w:tag w:val="class.name"/>
              <w:id w:val="1391153804"/>
              <w:lock w:val="sdtLocked"/>
              <w:placeholder>
                <w:docPart w:val="FFC0B58D318340E58F85BDE553A9708E"/>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CC219E">
                <w:rPr>
                  <w:rStyle w:val="BContentControl"/>
                </w:rPr>
                <w:t>Book Body</w:t>
              </w:r>
            </w:sdtContent>
          </w:sdt>
          <w:r w:rsidR="00CC219E" w:rsidRPr="00CC219E">
            <w:rPr>
              <w:rStyle w:val="BContentControl"/>
            </w:rPr>
            <w:t xml:space="preserve"> </w:t>
          </w:r>
          <w:sdt>
            <w:sdtPr>
              <w:rPr>
                <w:rStyle w:val="BContentControl"/>
              </w:rPr>
              <w:alias w:val="copyright.owner"/>
              <w:tag w:val="copyright.owner"/>
              <w:id w:val="-1875377424"/>
              <w:lock w:val="sdtLocked"/>
              <w:placeholder>
                <w:docPart w:val="17FAEF52130A4C6EAFBA233D91854CC6"/>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CC219E" w:rsidRPr="00CC219E">
                <w:rPr>
                  <w:rStyle w:val="BContentControl"/>
                </w:rPr>
                <w:t>enter text</w:t>
              </w:r>
            </w:sdtContent>
          </w:sdt>
          <w:r w:rsidR="00CC219E" w:rsidRPr="00CC219E">
            <w:rPr>
              <w:rStyle w:val="BContentControl"/>
            </w:rPr>
            <w:t xml:space="preserve"> </w:t>
          </w:r>
          <w:sdt>
            <w:sdtPr>
              <w:rPr>
                <w:rStyle w:val="BContentControl"/>
              </w:rPr>
              <w:alias w:val="date"/>
              <w:tag w:val="date"/>
              <w:id w:val="1777756371"/>
              <w:lock w:val="sdtLocked"/>
              <w:placeholder>
                <w:docPart w:val="92DDC19AC4B941BC9880B6538C2D3CB7"/>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CC219E">
                <w:rPr>
                  <w:rStyle w:val="BContentControl"/>
                </w:rPr>
                <w:t>2025-09-25</w:t>
              </w:r>
            </w:sdtContent>
          </w:sdt>
          <w:r w:rsidR="00CC219E" w:rsidRPr="00CC219E">
            <w:rPr>
              <w:rStyle w:val="BContentControl"/>
            </w:rPr>
            <w:t xml:space="preserve"> </w:t>
          </w:r>
          <w:sdt>
            <w:sdtPr>
              <w:rPr>
                <w:rStyle w:val="BContentControl"/>
              </w:rPr>
              <w:alias w:val="folio"/>
              <w:tag w:val="folio"/>
              <w:id w:val="1819138839"/>
              <w:lock w:val="sdtLocked"/>
              <w:placeholder>
                <w:docPart w:val="1CAA4AB951B64DC58CB02E3FFAAFA6A0"/>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CC219E">
                <w:rPr>
                  <w:rStyle w:val="BContentControl"/>
                </w:rPr>
                <w:t>537</w:t>
              </w:r>
            </w:sdtContent>
          </w:sdt>
          <w:r w:rsidR="00CC219E" w:rsidRPr="00CC219E">
            <w:rPr>
              <w:rStyle w:val="BContentControl"/>
            </w:rPr>
            <w:t xml:space="preserve"> </w:t>
          </w:r>
          <w:sdt>
            <w:sdtPr>
              <w:rPr>
                <w:rStyle w:val="BContentControl"/>
              </w:rPr>
              <w:alias w:val="part.name"/>
              <w:tag w:val="part.name"/>
              <w:id w:val="405740106"/>
              <w:lock w:val="sdtLocked"/>
              <w:placeholder>
                <w:docPart w:val="EB8245532B804ED5A459E8BF5EFA5A79"/>
              </w:placeholder>
              <w:dataBinding w:prefixMappings="xmlns:ns0='http://www.bna.com/gateway/unit.start' " w:xpath="/ns0:document[1]/ns0:unit.start[1]/@part.name" w:storeItemID="{B04FCA99-13B0-422B-ADC9-9491644FA79D}"/>
              <w15:appearance w15:val="tags"/>
              <w:text/>
            </w:sdtPr>
            <w:sdtContent>
              <w:r w:rsidR="00197C1B" w:rsidRPr="00197C1B">
                <w:rPr>
                  <w:rStyle w:val="BContentControl"/>
                </w:rPr>
                <w:t>Part II.</w:t>
              </w:r>
              <w:r w:rsidR="00197C1B" w:rsidRPr="00197C1B">
                <w:rPr>
                  <w:rStyle w:val="BContentControl"/>
                </w:rPr>
                <w:t xml:space="preserve"> </w:t>
              </w:r>
              <w:r w:rsidR="00197C1B" w:rsidRPr="00197C1B">
                <w:rPr>
                  <w:rStyle w:val="BContentControl"/>
                </w:rPr>
                <w:t>Federal Dilution Law</w:t>
              </w:r>
            </w:sdtContent>
          </w:sdt>
          <w:r w:rsidR="00CC219E" w:rsidRPr="00CC219E">
            <w:rPr>
              <w:rStyle w:val="BContentControl"/>
            </w:rPr>
            <w:t xml:space="preserve"> </w:t>
          </w:r>
          <w:sdt>
            <w:sdtPr>
              <w:rPr>
                <w:rStyle w:val="BContentControl"/>
              </w:rPr>
              <w:alias w:val="part.num"/>
              <w:tag w:val="part.num"/>
              <w:id w:val="367880089"/>
              <w:lock w:val="sdtLocked"/>
              <w:placeholder>
                <w:docPart w:val="F16D8B8E85BD41ECAFC179B373C9C4A4"/>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CC219E">
                <w:rPr>
                  <w:rStyle w:val="BContentControl"/>
                </w:rPr>
                <w:t>2</w:t>
              </w:r>
            </w:sdtContent>
          </w:sdt>
          <w:r w:rsidR="00CC219E" w:rsidRPr="00CC219E">
            <w:rPr>
              <w:rStyle w:val="BContentControl"/>
            </w:rPr>
            <w:t xml:space="preserve"> </w:t>
          </w:r>
          <w:sdt>
            <w:sdtPr>
              <w:rPr>
                <w:rStyle w:val="BContentControl"/>
              </w:rPr>
              <w:alias w:val="subpart.name"/>
              <w:tag w:val="subpart.name"/>
              <w:id w:val="-1533567799"/>
              <w:lock w:val="sdtLocked"/>
              <w:placeholder>
                <w:docPart w:val="75086AC55A934080A2D3EACFB743E6D0"/>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CC219E" w:rsidRPr="00CC219E">
                <w:rPr>
                  <w:rStyle w:val="BContentControl"/>
                </w:rPr>
                <w:t>enter text</w:t>
              </w:r>
            </w:sdtContent>
          </w:sdt>
          <w:r w:rsidR="00CC219E" w:rsidRPr="00CC219E">
            <w:rPr>
              <w:rStyle w:val="BContentControl"/>
            </w:rPr>
            <w:t xml:space="preserve"> </w:t>
          </w:r>
          <w:sdt>
            <w:sdtPr>
              <w:rPr>
                <w:rStyle w:val="BContentControl"/>
              </w:rPr>
              <w:alias w:val="pdm.name"/>
              <w:tag w:val="pdm.name"/>
              <w:id w:val="1887597334"/>
              <w:lock w:val="sdtLocked"/>
              <w:placeholder>
                <w:docPart w:val="F24548F6FFD2443EBC0D3AA07B468F98"/>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CC219E">
                <w:rPr>
                  <w:rStyle w:val="BContentControl"/>
                </w:rPr>
                <w:t>Chap11</w:t>
              </w:r>
            </w:sdtContent>
          </w:sdt>
          <w:r w:rsidR="00CC219E" w:rsidRPr="00CC219E">
            <w:rPr>
              <w:rStyle w:val="BContentControl"/>
            </w:rPr>
            <w:t xml:space="preserve"> </w:t>
          </w:r>
          <w:sdt>
            <w:sdtPr>
              <w:rPr>
                <w:rStyle w:val="BContentControl"/>
              </w:rPr>
              <w:alias w:val="publication.name"/>
              <w:tag w:val="publication.name"/>
              <w:id w:val="-1455858736"/>
              <w:lock w:val="sdtLocked"/>
              <w:placeholder>
                <w:docPart w:val="9D326FDC4B1049119B84C692069EF6E9"/>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CC219E">
                <w:rPr>
                  <w:rStyle w:val="BContentControl"/>
                </w:rPr>
                <w:t>Trademark Dilution - Federal, State, and International Law, Second Edition</w:t>
              </w:r>
            </w:sdtContent>
          </w:sdt>
          <w:r w:rsidR="00CC219E" w:rsidRPr="00CC219E">
            <w:rPr>
              <w:rStyle w:val="BContentControl"/>
            </w:rPr>
            <w:t xml:space="preserve"> </w:t>
          </w:r>
          <w:sdt>
            <w:sdtPr>
              <w:rPr>
                <w:rStyle w:val="BContentControl"/>
              </w:rPr>
              <w:alias w:val="service.code*"/>
              <w:tag w:val="mUnit1"/>
              <w:id w:val="68858508"/>
              <w:lock w:val="sdtLocked"/>
              <w:placeholder>
                <w:docPart w:val="3BF4188352D242BA94A07ED9E45B3A26"/>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CC219E">
                <w:rPr>
                  <w:rStyle w:val="BContentControl"/>
                </w:rPr>
                <w:t>td-book</w:t>
              </w:r>
            </w:sdtContent>
          </w:sdt>
          <w:r w:rsidR="00CC219E" w:rsidRPr="00CC219E">
            <w:rPr>
              <w:rStyle w:val="BContentControl"/>
            </w:rPr>
            <w:t xml:space="preserve"> </w:t>
          </w:r>
          <w:sdt>
            <w:sdtPr>
              <w:rPr>
                <w:rStyle w:val="BContentControl"/>
              </w:rPr>
              <w:alias w:val="supplement"/>
              <w:tag w:val="supplement"/>
              <w:id w:val="1256779086"/>
              <w:lock w:val="sdtLocked"/>
              <w:placeholder>
                <w:docPart w:val="F9A721003E444D66A81CA275D5CAD0E5"/>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CC219E">
                <w:rPr>
                  <w:rStyle w:val="BContentControl"/>
                </w:rPr>
                <w:t>0</w:t>
              </w:r>
            </w:sdtContent>
          </w:sdt>
          <w:r w:rsidR="00CC219E" w:rsidRPr="00CC219E">
            <w:rPr>
              <w:rStyle w:val="BContentControl"/>
            </w:rPr>
            <w:t xml:space="preserve"> </w:t>
          </w:r>
          <w:sdt>
            <w:sdtPr>
              <w:rPr>
                <w:rStyle w:val="BContentControl"/>
              </w:rPr>
              <w:alias w:val="unit.code"/>
              <w:tag w:val="unit.code"/>
              <w:id w:val="1338882873"/>
              <w:lock w:val="sdtLocked"/>
              <w:placeholder>
                <w:docPart w:val="4B37DEF5969845178C4A5239590D34D4"/>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CC219E">
                <w:rPr>
                  <w:rStyle w:val="BContentControl"/>
                </w:rPr>
                <w:t>main0011</w:t>
              </w:r>
            </w:sdtContent>
          </w:sdt>
          <w:r w:rsidR="00CC219E" w:rsidRPr="00CC219E">
            <w:rPr>
              <w:rStyle w:val="BContentControl"/>
            </w:rPr>
            <w:t xml:space="preserve"> </w:t>
          </w:r>
          <w:sdt>
            <w:sdtPr>
              <w:rPr>
                <w:rStyle w:val="BContentControl"/>
              </w:rPr>
              <w:alias w:val="unit.name*"/>
              <w:tag w:val="unit.name"/>
              <w:id w:val="50585758"/>
              <w:lock w:val="sdtLocked"/>
              <w:placeholder>
                <w:docPart w:val="337F7E8EF245445AAA21A0FF53A88AF3"/>
              </w:placeholder>
              <w:dataBinding w:prefixMappings="xmlns:ns0='http://www.bna.com/gateway/unit.start' " w:xpath="/ns0:document[1]/ns0:unit.start[1]/@unit.name" w:storeItemID="{B04FCA99-13B0-422B-ADC9-9491644FA79D}"/>
              <w15:appearance w15:val="tags"/>
              <w:text/>
            </w:sdtPr>
            <w:sdtContent>
              <w:r w:rsidR="00197C1B" w:rsidRPr="00197C1B">
                <w:rPr>
                  <w:rStyle w:val="BContentControl"/>
                </w:rPr>
                <w:t>Chapter 11.</w:t>
              </w:r>
              <w:r w:rsidR="00197C1B" w:rsidRPr="00197C1B">
                <w:rPr>
                  <w:rStyle w:val="BContentControl"/>
                </w:rPr>
                <w:t xml:space="preserve"> </w:t>
              </w:r>
              <w:r w:rsidR="00197C1B" w:rsidRPr="00197C1B">
                <w:rPr>
                  <w:rStyle w:val="BContentControl"/>
                </w:rPr>
                <w:t>Remedies for Federal Dilution Act Violations</w:t>
              </w:r>
            </w:sdtContent>
          </w:sdt>
          <w:r w:rsidR="00CC219E" w:rsidRPr="00CC219E">
            <w:rPr>
              <w:rStyle w:val="BContentControl"/>
            </w:rPr>
            <w:t xml:space="preserve"> </w:t>
          </w:r>
          <w:sdt>
            <w:sdtPr>
              <w:rPr>
                <w:rStyle w:val="BContentControl"/>
              </w:rPr>
              <w:alias w:val="volume.num"/>
              <w:tag w:val="volume.num"/>
              <w:id w:val="48732132"/>
              <w:lock w:val="sdtLocked"/>
              <w:placeholder>
                <w:docPart w:val="6F543EC74336483C831AE075A19FCC6E"/>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CC219E">
                <w:rPr>
                  <w:rStyle w:val="BContentControl"/>
                </w:rPr>
                <w:t>1</w:t>
              </w:r>
            </w:sdtContent>
          </w:sdt>
        </w:p>
        <w:bookmarkEnd w:id="0" w:displacedByCustomXml="next"/>
      </w:sdtContent>
    </w:sdt>
    <w:p w14:paraId="2C69C60A" w14:textId="77777777" w:rsidR="00197C1B" w:rsidRPr="00197C1B" w:rsidRDefault="001F603E" w:rsidP="00CC219E">
      <w:pPr>
        <w:pStyle w:val="BDocStart"/>
      </w:pPr>
      <w:sdt>
        <w:sdtPr>
          <w:tag w:val="DocStart"/>
          <w:id w:val="-951625118"/>
          <w:lock w:val="sdtLocked"/>
          <w:placeholder>
            <w:docPart w:val="0F06A0993F8449A4B850C9B1921DDBD2"/>
          </w:placeholder>
          <w15:appearance w15:val="hidden"/>
        </w:sdtPr>
        <w:sdtEndPr/>
        <w:sdtContent>
          <w:r w:rsidR="00CC219E">
            <w:t>Document</w:t>
          </w:r>
        </w:sdtContent>
      </w:sdt>
    </w:p>
    <w:p w14:paraId="3E9257FA" w14:textId="708DC711" w:rsidR="00197C1B" w:rsidRPr="00197C1B" w:rsidRDefault="00905652" w:rsidP="00197C1B">
      <w:pPr>
        <w:pStyle w:val="BChapterName"/>
      </w:pPr>
      <w:r w:rsidRPr="00197C1B">
        <w:t>Chapter 11</w:t>
      </w:r>
      <w:r w:rsidR="00197C1B" w:rsidRPr="00197C1B">
        <w:t>.</w:t>
      </w:r>
      <w:r w:rsidR="00197C1B" w:rsidRPr="00197C1B">
        <w:t xml:space="preserve"> </w:t>
      </w:r>
      <w:r w:rsidR="00197C1B" w:rsidRPr="00197C1B">
        <w:t>R</w:t>
      </w:r>
      <w:r w:rsidRPr="00197C1B">
        <w:t>emedies for Federal Dilution Act Violations</w:t>
      </w:r>
    </w:p>
    <w:p w14:paraId="08B380F7" w14:textId="714C63C1" w:rsidR="00197C1B" w:rsidRPr="00197C1B" w:rsidRDefault="00197C1B" w:rsidP="00197C1B">
      <w:pPr>
        <w:pStyle w:val="BNormal"/>
      </w:pPr>
      <w:r w:rsidRPr="00197C1B">
        <w:rPr>
          <w:i/>
        </w:rPr>
        <w:t>This chapter is current through May 2025.</w:t>
      </w:r>
    </w:p>
    <w:p w14:paraId="399B8238" w14:textId="62F0EF85" w:rsidR="00197C1B" w:rsidRPr="00197C1B" w:rsidRDefault="00905652" w:rsidP="00197C1B">
      <w:pPr>
        <w:pStyle w:val="BNormal"/>
      </w:pPr>
      <w:hyperlink r:id="rId13" w:history="1">
        <w:r w:rsidR="00197C1B" w:rsidRPr="00197C1B">
          <w:rPr>
            <w:rStyle w:val="Hyperlink"/>
          </w:rPr>
          <w:t>David Welkowitz</w:t>
        </w:r>
      </w:hyperlink>
      <w:r w:rsidR="00197C1B" w:rsidRPr="00197C1B">
        <w:rPr>
          <w:rFonts w:eastAsiaTheme="majorEastAsia"/>
          <w:vertAlign w:val="superscript"/>
        </w:rPr>
        <w:footnoteReference w:id="1"/>
      </w:r>
      <w:r w:rsidR="00B14B89">
        <w:br/>
      </w:r>
      <w:r w:rsidR="00197C1B" w:rsidRPr="00197C1B">
        <w:rPr>
          <w:i/>
        </w:rPr>
        <w:t>Whittier Law School</w:t>
      </w:r>
    </w:p>
    <w:p w14:paraId="1D639F2B" w14:textId="0A06F53B" w:rsidR="00197C1B" w:rsidRPr="00197C1B" w:rsidRDefault="00905652" w:rsidP="00197C1B">
      <w:pPr>
        <w:pStyle w:val="BNormal"/>
      </w:pPr>
      <w:r w:rsidRPr="00197C1B">
        <w:t>Disclaimer</w:t>
      </w:r>
      <w:r w:rsidR="00197C1B" w:rsidRPr="00197C1B">
        <w:t>:</w:t>
      </w:r>
      <w:r w:rsidR="00197C1B" w:rsidRPr="00197C1B">
        <w:t xml:space="preserve"> </w:t>
      </w:r>
      <w:r w:rsidR="00197C1B" w:rsidRPr="00197C1B">
        <w:t>T</w:t>
      </w:r>
      <w:r w:rsidRPr="00197C1B">
        <w:t>he opinions expressed here are solely those of the author and should not be construed as representing the opinions, directly or indirectly, of the U.S</w:t>
      </w:r>
      <w:r w:rsidR="00197C1B" w:rsidRPr="00197C1B">
        <w:t>.</w:t>
      </w:r>
      <w:r w:rsidR="00197C1B" w:rsidRPr="00197C1B">
        <w:t xml:space="preserve"> </w:t>
      </w:r>
      <w:r w:rsidR="00197C1B" w:rsidRPr="00197C1B">
        <w:t>C</w:t>
      </w:r>
      <w:r w:rsidRPr="00197C1B">
        <w:t>opyright Office.</w:t>
      </w:r>
    </w:p>
    <w:p w14:paraId="20D2E586" w14:textId="5D3AF7A1" w:rsidR="00197C1B" w:rsidRPr="00197C1B" w:rsidRDefault="00B14B89" w:rsidP="00197C1B">
      <w:pPr>
        <w:pStyle w:val="BHead1"/>
      </w:pPr>
      <w:r>
        <w:t>11.</w:t>
      </w:r>
      <w:r w:rsidR="00197C1B" w:rsidRPr="00B14B89">
        <w:rPr>
          <w:rStyle w:val="BBNAidChar"/>
          <w:rFonts w:eastAsiaTheme="majorEastAsia"/>
        </w:rPr>
        <w:t>I</w:t>
      </w:r>
      <w:r w:rsidR="00197C1B" w:rsidRPr="00197C1B">
        <w:t>.</w:t>
      </w:r>
      <w:r>
        <w:t xml:space="preserve">  </w:t>
      </w:r>
      <w:r w:rsidR="00197C1B" w:rsidRPr="00197C1B">
        <w:t>Injunctions as the Usual Remedy</w:t>
      </w:r>
    </w:p>
    <w:p w14:paraId="7D6D0333" w14:textId="28A65E00" w:rsidR="00197C1B" w:rsidRPr="00197C1B" w:rsidRDefault="00905652" w:rsidP="00197C1B">
      <w:pPr>
        <w:pStyle w:val="BNormal"/>
      </w:pPr>
      <w:r w:rsidRPr="00197C1B">
        <w:t>The very first sentence of Section 43(c) of the Lanham Act relates the usual remedy for trademark dilution under the Trademark Dilution Revision Act (TDRA)</w:t>
      </w:r>
      <w:r w:rsidR="00197C1B" w:rsidRPr="00197C1B">
        <w:t>.</w:t>
      </w:r>
      <w:r w:rsidR="00197C1B" w:rsidRPr="00197C1B">
        <w:t xml:space="preserve"> </w:t>
      </w:r>
      <w:r w:rsidR="00197C1B" w:rsidRPr="00197C1B">
        <w:t>I</w:t>
      </w:r>
      <w:r w:rsidRPr="00197C1B">
        <w:t>t states that “[s]ubject to the principles of equity, the owner of a famous mark shall be entitled</w:t>
      </w:r>
      <w:r w:rsidR="00197C1B" w:rsidRPr="00197C1B">
        <w:t xml:space="preserve"> </w:t>
      </w:r>
      <w:r w:rsidRPr="00197C1B">
        <w:t>…</w:t>
      </w:r>
      <w:r w:rsidR="00197C1B" w:rsidRPr="00197C1B">
        <w:t xml:space="preserve"> </w:t>
      </w:r>
      <w:r w:rsidRPr="00197C1B">
        <w:t xml:space="preserve">to an </w:t>
      </w:r>
      <w:r w:rsidR="00197C1B" w:rsidRPr="00197C1B">
        <w:rPr>
          <w:i/>
        </w:rPr>
        <w:t>injunction</w:t>
      </w:r>
      <w:r w:rsidR="00197C1B" w:rsidRPr="00197C1B">
        <w:t>.</w:t>
      </w:r>
      <w:r w:rsidR="00197C1B" w:rsidRPr="00197C1B">
        <w:t xml:space="preserve"> </w:t>
      </w:r>
      <w:r w:rsidR="00197C1B" w:rsidRPr="00197C1B">
        <w:t>…</w:t>
      </w:r>
      <w:r w:rsidR="00197C1B" w:rsidRPr="00197C1B">
        <w:t xml:space="preserve"> </w:t>
      </w:r>
      <w:r w:rsidRPr="00197C1B">
        <w:t>”</w:t>
      </w:r>
      <w:r w:rsidR="00197C1B" w:rsidRPr="00197C1B">
        <w:rPr>
          <w:vertAlign w:val="superscript"/>
        </w:rPr>
        <w:footnoteReference w:id="2"/>
      </w:r>
      <w:r w:rsidRPr="00197C1B">
        <w:t xml:space="preserve"> Moreover, Section 43(c)(5) begins by stating that the famous mark owner “shall be entitled to </w:t>
      </w:r>
      <w:r w:rsidR="00197C1B" w:rsidRPr="00197C1B">
        <w:rPr>
          <w:i/>
        </w:rPr>
        <w:t>injunctive</w:t>
      </w:r>
      <w:r w:rsidRPr="00197C1B">
        <w:t xml:space="preserve"> relief” for violations of Section 43(c).</w:t>
      </w:r>
      <w:r w:rsidR="00197C1B" w:rsidRPr="00197C1B">
        <w:rPr>
          <w:vertAlign w:val="superscript"/>
        </w:rPr>
        <w:footnoteReference w:id="3"/>
      </w:r>
      <w:r w:rsidRPr="00197C1B">
        <w:t xml:space="preserve"> It goes on to state that other remedies are available </w:t>
      </w:r>
      <w:r w:rsidR="00197C1B" w:rsidRPr="00197C1B">
        <w:rPr>
          <w:i/>
        </w:rPr>
        <w:t>if</w:t>
      </w:r>
      <w:r w:rsidRPr="00197C1B">
        <w:t xml:space="preserve"> willful intent to trade on the reputation of or to harm the reputation of the famous mark is shown.</w:t>
      </w:r>
      <w:r w:rsidR="00197C1B" w:rsidRPr="00197C1B">
        <w:rPr>
          <w:vertAlign w:val="superscript"/>
        </w:rPr>
        <w:footnoteReference w:id="4"/>
      </w:r>
      <w:r w:rsidRPr="00197C1B">
        <w:t xml:space="preserve"> No such requirement exists for injunctive relief</w:t>
      </w:r>
      <w:r w:rsidR="00197C1B" w:rsidRPr="00197C1B">
        <w:t>.</w:t>
      </w:r>
      <w:r w:rsidR="00197C1B" w:rsidRPr="00197C1B">
        <w:t xml:space="preserve"> </w:t>
      </w:r>
      <w:r w:rsidR="00197C1B" w:rsidRPr="00197C1B">
        <w:t>T</w:t>
      </w:r>
      <w:r w:rsidRPr="00197C1B">
        <w:t>his statutory language makes clear that, as with state laws, injunctions are the normal remedy for trademark dilution.</w:t>
      </w:r>
      <w:r w:rsidR="00197C1B" w:rsidRPr="00197C1B">
        <w:rPr>
          <w:vertAlign w:val="superscript"/>
        </w:rPr>
        <w:footnoteReference w:id="5"/>
      </w:r>
    </w:p>
    <w:p w14:paraId="35CBBB4D" w14:textId="15C037F4" w:rsidR="00197C1B" w:rsidRPr="00197C1B" w:rsidRDefault="00905652" w:rsidP="00197C1B">
      <w:pPr>
        <w:pStyle w:val="BNormal"/>
      </w:pPr>
      <w:r w:rsidRPr="00197C1B">
        <w:lastRenderedPageBreak/>
        <w:t>That an injunction was intended to be the usual remedy is also apparent from the legislative history of this section</w:t>
      </w:r>
      <w:r w:rsidR="00197C1B" w:rsidRPr="00197C1B">
        <w:t>.</w:t>
      </w:r>
      <w:r w:rsidR="00197C1B" w:rsidRPr="00197C1B">
        <w:t xml:space="preserve"> </w:t>
      </w:r>
      <w:r w:rsidR="00197C1B" w:rsidRPr="00197C1B">
        <w:t>T</w:t>
      </w:r>
      <w:r w:rsidRPr="00197C1B">
        <w:t>he 1987 USTA Review Commission Report, which proposed a federal dilution statute, stated that “[t]he basic remedy afforded [by the proposal] is an injunction.”</w:t>
      </w:r>
      <w:r w:rsidR="00197C1B" w:rsidRPr="00197C1B">
        <w:rPr>
          <w:vertAlign w:val="superscript"/>
        </w:rPr>
        <w:footnoteReference w:id="6"/>
      </w:r>
    </w:p>
    <w:p w14:paraId="3B1DF9FD" w14:textId="77777777" w:rsidR="00197C1B" w:rsidRPr="00197C1B" w:rsidRDefault="00905652" w:rsidP="00197C1B">
      <w:pPr>
        <w:pStyle w:val="BNormal"/>
      </w:pPr>
      <w:r w:rsidRPr="00197C1B">
        <w:t>The 1995 report of the House Judiciary Committee on the bill that became the FTDA made a similar observation:</w:t>
      </w:r>
    </w:p>
    <w:p w14:paraId="5568EC43" w14:textId="23B627CA" w:rsidR="00197C1B" w:rsidRPr="00197C1B" w:rsidRDefault="00905652" w:rsidP="00197C1B">
      <w:pPr>
        <w:pStyle w:val="BQuotelong"/>
      </w:pPr>
      <w:r w:rsidRPr="00197C1B">
        <w:t>With respect to relief, a new Section 43(c)(2) [now Section 43(c)(5)] of the Lanham Act would provide that, normally, the owner of a famous mark will only be entitled to injunctive relief upon a finding of liability.</w:t>
      </w:r>
      <w:r w:rsidR="00197C1B" w:rsidRPr="00197C1B">
        <w:rPr>
          <w:vertAlign w:val="superscript"/>
        </w:rPr>
        <w:footnoteReference w:id="7"/>
      </w:r>
    </w:p>
    <w:p w14:paraId="71867A21" w14:textId="5A75D119" w:rsidR="00197C1B" w:rsidRPr="00197C1B" w:rsidRDefault="00905652" w:rsidP="00197C1B">
      <w:pPr>
        <w:pStyle w:val="BNormal"/>
      </w:pPr>
      <w:r w:rsidRPr="00197C1B">
        <w:t>On the floor of the House, Representative Moorhead, the bill’s principal sponsor, indicated the same.</w:t>
      </w:r>
      <w:r w:rsidR="00197C1B" w:rsidRPr="00197C1B">
        <w:rPr>
          <w:vertAlign w:val="superscript"/>
        </w:rPr>
        <w:footnoteReference w:id="8"/>
      </w:r>
    </w:p>
    <w:p w14:paraId="0BC5369F" w14:textId="42EC06E7" w:rsidR="00197C1B" w:rsidRPr="00197C1B" w:rsidRDefault="00905652" w:rsidP="00197C1B">
      <w:pPr>
        <w:pStyle w:val="BNormal"/>
      </w:pPr>
      <w:r w:rsidRPr="00197C1B">
        <w:t>This limitation is not surprising</w:t>
      </w:r>
      <w:r w:rsidR="00197C1B" w:rsidRPr="00197C1B">
        <w:t>.</w:t>
      </w:r>
      <w:r w:rsidR="00197C1B" w:rsidRPr="00197C1B">
        <w:t xml:space="preserve"> </w:t>
      </w:r>
      <w:r w:rsidR="00197C1B" w:rsidRPr="00197C1B">
        <w:t>I</w:t>
      </w:r>
      <w:r w:rsidRPr="00197C1B">
        <w:t>t would be difficult, probably even speculative, to calculate damages resulting from dilution in most cases</w:t>
      </w:r>
      <w:r w:rsidR="00197C1B" w:rsidRPr="00197C1B">
        <w:t>.</w:t>
      </w:r>
      <w:r w:rsidR="00197C1B" w:rsidRPr="00197C1B">
        <w:t xml:space="preserve"> </w:t>
      </w:r>
      <w:r w:rsidR="00197C1B" w:rsidRPr="00197C1B">
        <w:t>T</w:t>
      </w:r>
      <w:r w:rsidRPr="00197C1B">
        <w:t>he typical dilution case was expected to involve noncompeting goods</w:t>
      </w:r>
      <w:r w:rsidR="00197C1B" w:rsidRPr="00197C1B">
        <w:t>;</w:t>
      </w:r>
      <w:r w:rsidR="00197C1B" w:rsidRPr="00197C1B">
        <w:t xml:space="preserve"> </w:t>
      </w:r>
      <w:r w:rsidR="00197C1B" w:rsidRPr="00197C1B">
        <w:t>t</w:t>
      </w:r>
      <w:r w:rsidRPr="00197C1B">
        <w:t>hus, the loss of sales would not be an appropriate measure</w:t>
      </w:r>
      <w:r w:rsidR="00197C1B" w:rsidRPr="00197C1B">
        <w:t>.</w:t>
      </w:r>
      <w:r w:rsidR="00197C1B" w:rsidRPr="00197C1B">
        <w:t xml:space="preserve"> </w:t>
      </w:r>
      <w:r w:rsidR="00197C1B" w:rsidRPr="00197C1B">
        <w:t>O</w:t>
      </w:r>
      <w:r w:rsidRPr="00197C1B">
        <w:t>ne witness at the congressional hearings on the proposed FTDA even asserted that “there is no rational commercial motive to [intentionally] dilute a mark simply to lessen its distinctive capacity.”</w:t>
      </w:r>
      <w:r w:rsidR="00197C1B" w:rsidRPr="00197C1B">
        <w:rPr>
          <w:vertAlign w:val="superscript"/>
        </w:rPr>
        <w:footnoteReference w:id="9"/>
      </w:r>
      <w:r w:rsidRPr="00197C1B">
        <w:t xml:space="preserve"> He further noted that by diluting the famous mark, the second user loses the continued ability to capitalize on the goodwill of the famous mark.</w:t>
      </w:r>
      <w:r w:rsidR="00197C1B" w:rsidRPr="00197C1B">
        <w:rPr>
          <w:vertAlign w:val="superscript"/>
        </w:rPr>
        <w:footnoteReference w:id="10"/>
      </w:r>
      <w:r w:rsidRPr="00197C1B">
        <w:t xml:space="preserve"> In any event, in the absence of confusion, it is unlikely that even a competitor could demonstrate a loss of business</w:t>
      </w:r>
      <w:r w:rsidR="00197C1B" w:rsidRPr="00197C1B">
        <w:t>.</w:t>
      </w:r>
      <w:r w:rsidR="00197C1B" w:rsidRPr="00197C1B">
        <w:t xml:space="preserve"> </w:t>
      </w:r>
      <w:r w:rsidR="00197C1B" w:rsidRPr="00197C1B">
        <w:t>M</w:t>
      </w:r>
      <w:r w:rsidRPr="00197C1B">
        <w:t>oreover, measuring the damage to the marketing value of the trademark would be a formidable task</w:t>
      </w:r>
      <w:r w:rsidR="00197C1B" w:rsidRPr="00197C1B">
        <w:t>.</w:t>
      </w:r>
      <w:r w:rsidR="00197C1B" w:rsidRPr="00197C1B">
        <w:t xml:space="preserve"> </w:t>
      </w:r>
      <w:r w:rsidR="00197C1B" w:rsidRPr="00197C1B">
        <w:t>F</w:t>
      </w:r>
      <w:r w:rsidRPr="00197C1B">
        <w:t>inally, Congress may have been concerned about overprotecting trademarks by giving damage remedies in the absence of a showing of confusion or egregious conduct.</w:t>
      </w:r>
      <w:r w:rsidR="00197C1B" w:rsidRPr="00197C1B">
        <w:rPr>
          <w:vertAlign w:val="superscript"/>
        </w:rPr>
        <w:footnoteReference w:id="11"/>
      </w:r>
      <w:r w:rsidRPr="00197C1B">
        <w:t xml:space="preserve"> Thus, in the ordinary dilution case, a plaintiff will be limited to injunctive relief.</w:t>
      </w:r>
      <w:r w:rsidR="00197C1B" w:rsidRPr="00197C1B">
        <w:rPr>
          <w:vertAlign w:val="superscript"/>
        </w:rPr>
        <w:footnoteReference w:id="12"/>
      </w:r>
    </w:p>
    <w:p w14:paraId="05CC734F" w14:textId="38A846AE" w:rsidR="00197C1B" w:rsidRPr="00197C1B" w:rsidRDefault="00905652" w:rsidP="00197C1B">
      <w:pPr>
        <w:pStyle w:val="BNormal"/>
      </w:pPr>
      <w:r w:rsidRPr="00197C1B">
        <w:t>On the other hand, the availability of injunctive relief under the TDRA gives plaintiffs a significant enhancement over state-law remedies</w:t>
      </w:r>
      <w:r w:rsidR="00197C1B" w:rsidRPr="00197C1B">
        <w:t>.</w:t>
      </w:r>
      <w:r w:rsidR="00197C1B" w:rsidRPr="00197C1B">
        <w:t xml:space="preserve"> </w:t>
      </w:r>
      <w:r w:rsidR="00197C1B" w:rsidRPr="00197C1B">
        <w:t>N</w:t>
      </w:r>
      <w:r w:rsidRPr="00197C1B">
        <w:t>ot all states have antidilution statutes</w:t>
      </w:r>
      <w:r w:rsidR="00197C1B" w:rsidRPr="00197C1B">
        <w:t>.</w:t>
      </w:r>
      <w:r w:rsidR="00197C1B" w:rsidRPr="00197C1B">
        <w:t xml:space="preserve"> </w:t>
      </w:r>
      <w:r w:rsidR="00197C1B" w:rsidRPr="00197C1B">
        <w:t>A</w:t>
      </w:r>
      <w:r w:rsidRPr="00197C1B">
        <w:t>nd even where they exist, a number of courts have been reluctant to issue injunctions that operated beyond the forum state.</w:t>
      </w:r>
      <w:r w:rsidR="00197C1B" w:rsidRPr="00197C1B">
        <w:rPr>
          <w:vertAlign w:val="superscript"/>
        </w:rPr>
        <w:footnoteReference w:id="13"/>
      </w:r>
      <w:r w:rsidRPr="00197C1B">
        <w:t xml:space="preserve"> The legislative </w:t>
      </w:r>
      <w:r w:rsidRPr="00197C1B">
        <w:lastRenderedPageBreak/>
        <w:t>history of the original FTDA referred to the “patch-quilt” array of state laws on dilution.</w:t>
      </w:r>
      <w:r w:rsidR="00197C1B" w:rsidRPr="00197C1B">
        <w:rPr>
          <w:vertAlign w:val="superscript"/>
        </w:rPr>
        <w:footnoteReference w:id="14"/>
      </w:r>
      <w:r w:rsidRPr="00197C1B">
        <w:t xml:space="preserve"> The existence of a federal cause of action allows federal courts to issue nationwide injunctions against dilution.</w:t>
      </w:r>
      <w:r w:rsidR="00197C1B" w:rsidRPr="00197C1B">
        <w:rPr>
          <w:vertAlign w:val="superscript"/>
        </w:rPr>
        <w:footnoteReference w:id="15"/>
      </w:r>
    </w:p>
    <w:p w14:paraId="6190EC68" w14:textId="1170F26E" w:rsidR="00197C1B" w:rsidRPr="00197C1B" w:rsidRDefault="00905652" w:rsidP="00197C1B">
      <w:pPr>
        <w:pStyle w:val="BNormal"/>
      </w:pPr>
      <w:r w:rsidRPr="00197C1B">
        <w:t xml:space="preserve">The availability of </w:t>
      </w:r>
      <w:r w:rsidR="00197C1B" w:rsidRPr="00197C1B">
        <w:rPr>
          <w:i/>
        </w:rPr>
        <w:t>international</w:t>
      </w:r>
      <w:r w:rsidRPr="00197C1B">
        <w:t xml:space="preserve"> injunctive relief for dilution under the Lanham Act is more complicated</w:t>
      </w:r>
      <w:r w:rsidR="00197C1B" w:rsidRPr="00197C1B">
        <w:t>.</w:t>
      </w:r>
      <w:r w:rsidR="00197C1B" w:rsidRPr="00197C1B">
        <w:t xml:space="preserve"> </w:t>
      </w:r>
      <w:r w:rsidR="00197C1B" w:rsidRPr="00197C1B">
        <w:t>A</w:t>
      </w:r>
      <w:r w:rsidRPr="00197C1B">
        <w:t>lthough cases have held that the Lanham Act can be applied extraterritorially, it is subject to various constraints</w:t>
      </w:r>
      <w:r w:rsidR="00197C1B" w:rsidRPr="00197C1B">
        <w:t>.</w:t>
      </w:r>
      <w:r w:rsidR="00197C1B" w:rsidRPr="00197C1B">
        <w:t xml:space="preserve"> </w:t>
      </w:r>
      <w:r w:rsidR="00197C1B" w:rsidRPr="00197C1B">
        <w:t>T</w:t>
      </w:r>
      <w:r w:rsidRPr="00197C1B">
        <w:t xml:space="preserve">hus, in </w:t>
      </w:r>
      <w:r w:rsidR="00197C1B" w:rsidRPr="00197C1B">
        <w:rPr>
          <w:rStyle w:val="BCasenamefull"/>
        </w:rPr>
        <w:t>Blumenthal Distributing, Inc. v. Herman Miller, Inc.</w:t>
      </w:r>
      <w:r w:rsidRPr="00197C1B">
        <w:t>,</w:t>
      </w:r>
      <w:r w:rsidR="00197C1B" w:rsidRPr="00197C1B">
        <w:rPr>
          <w:vertAlign w:val="superscript"/>
        </w:rPr>
        <w:footnoteReference w:id="16"/>
      </w:r>
      <w:r w:rsidRPr="00197C1B">
        <w:t xml:space="preserve"> the court refused to grant an injunction barring production of the offending products (office chairs) worldwide</w:t>
      </w:r>
      <w:r w:rsidR="00197C1B" w:rsidRPr="00197C1B">
        <w:t>.</w:t>
      </w:r>
      <w:r w:rsidR="00197C1B" w:rsidRPr="00197C1B">
        <w:t xml:space="preserve"> </w:t>
      </w:r>
      <w:r w:rsidR="00197C1B" w:rsidRPr="00197C1B">
        <w:t>T</w:t>
      </w:r>
      <w:r w:rsidRPr="00197C1B">
        <w:t>he court quoted from a Ninth Circuit case listing the relevant factors to consider:</w:t>
      </w:r>
    </w:p>
    <w:p w14:paraId="5E67B159" w14:textId="1E214607" w:rsidR="00197C1B" w:rsidRPr="00197C1B" w:rsidRDefault="00905652" w:rsidP="00197C1B">
      <w:pPr>
        <w:pStyle w:val="BQuotelong"/>
      </w:pPr>
      <w:r w:rsidRPr="00197C1B">
        <w:t>first, there must be some effect on American foreign commerce</w:t>
      </w:r>
      <w:r w:rsidR="00197C1B" w:rsidRPr="00197C1B">
        <w:t>;</w:t>
      </w:r>
      <w:r w:rsidR="00197C1B" w:rsidRPr="00197C1B">
        <w:t xml:space="preserve"> </w:t>
      </w:r>
      <w:r w:rsidR="00197C1B" w:rsidRPr="00197C1B">
        <w:t>s</w:t>
      </w:r>
      <w:r w:rsidRPr="00197C1B">
        <w:t>econd, the effect must be sufficiently great to present a cognizable injury to plaintiffs under the federal statute</w:t>
      </w:r>
      <w:r w:rsidR="00197C1B" w:rsidRPr="00197C1B">
        <w:t>;</w:t>
      </w:r>
      <w:r w:rsidR="00197C1B" w:rsidRPr="00197C1B">
        <w:t xml:space="preserve"> </w:t>
      </w:r>
      <w:r w:rsidR="00197C1B" w:rsidRPr="00197C1B">
        <w:t>a</w:t>
      </w:r>
      <w:r w:rsidRPr="00197C1B">
        <w:t>nd third, the interests of and links to American foreign commerce must be sufficiently strong in relation to those of other nations to justify an assertion of extraterritorial authority.</w:t>
      </w:r>
      <w:r w:rsidR="00197C1B" w:rsidRPr="00197C1B">
        <w:rPr>
          <w:vertAlign w:val="superscript"/>
        </w:rPr>
        <w:footnoteReference w:id="17"/>
      </w:r>
    </w:p>
    <w:p w14:paraId="16010DCD" w14:textId="3372860B" w:rsidR="00197C1B" w:rsidRPr="00197C1B" w:rsidRDefault="00905652" w:rsidP="00197C1B">
      <w:pPr>
        <w:pStyle w:val="BNormal"/>
      </w:pPr>
      <w:r w:rsidRPr="00197C1B">
        <w:t>Ultimately, although the court found some effect on U.S</w:t>
      </w:r>
      <w:r w:rsidR="00197C1B" w:rsidRPr="00197C1B">
        <w:t>.</w:t>
      </w:r>
      <w:r w:rsidR="00197C1B" w:rsidRPr="00197C1B">
        <w:t xml:space="preserve"> </w:t>
      </w:r>
      <w:r w:rsidR="00197C1B" w:rsidRPr="00197C1B">
        <w:t>c</w:t>
      </w:r>
      <w:r w:rsidRPr="00197C1B">
        <w:t>ommerce, the effect in other countries as to Herman Miller was largely unsupported (except in Canada), and the interests of American foreign commerce were not sufficiently affected to justify a worldwide injunction.</w:t>
      </w:r>
      <w:r w:rsidR="00197C1B" w:rsidRPr="00197C1B">
        <w:rPr>
          <w:vertAlign w:val="superscript"/>
        </w:rPr>
        <w:footnoteReference w:id="18"/>
      </w:r>
      <w:r w:rsidRPr="00197C1B">
        <w:t xml:space="preserve"> However, the court did enjoin sales in Canada.</w:t>
      </w:r>
      <w:r w:rsidR="00197C1B" w:rsidRPr="00197C1B">
        <w:rPr>
          <w:vertAlign w:val="superscript"/>
        </w:rPr>
        <w:footnoteReference w:id="19"/>
      </w:r>
    </w:p>
    <w:p w14:paraId="181432E8" w14:textId="3A3AC536" w:rsidR="00197C1B" w:rsidRPr="00197C1B" w:rsidRDefault="00B14B89" w:rsidP="00197C1B">
      <w:pPr>
        <w:pStyle w:val="BHead2"/>
      </w:pPr>
      <w:r>
        <w:t>11.I.</w:t>
      </w:r>
      <w:r w:rsidR="00197C1B" w:rsidRPr="00B14B89">
        <w:rPr>
          <w:rStyle w:val="BBNAidChar"/>
          <w:rFonts w:eastAsiaTheme="majorEastAsia"/>
        </w:rPr>
        <w:t>A</w:t>
      </w:r>
      <w:r w:rsidR="00197C1B" w:rsidRPr="00197C1B">
        <w:t>.</w:t>
      </w:r>
      <w:r>
        <w:t> </w:t>
      </w:r>
      <w:r w:rsidR="00197C1B" w:rsidRPr="00197C1B">
        <w:tab/>
        <w:t>Equitable Considerations for Issuing an Injunction:</w:t>
      </w:r>
      <w:r w:rsidR="00197C1B" w:rsidRPr="00197C1B">
        <w:t xml:space="preserve"> </w:t>
      </w:r>
      <w:r w:rsidR="00197C1B" w:rsidRPr="00197C1B">
        <w:t>Irreparable Harm and Balance of Hardships</w:t>
      </w:r>
    </w:p>
    <w:p w14:paraId="20ABA314" w14:textId="11415214" w:rsidR="00197C1B" w:rsidRPr="00197C1B" w:rsidRDefault="00905652" w:rsidP="00197C1B">
      <w:pPr>
        <w:pStyle w:val="BNormal"/>
      </w:pPr>
      <w:r w:rsidRPr="00197C1B">
        <w:t>Section 43(c)(1) specifically provides that the issuance of an injunction is “subject to the principles of equity.”</w:t>
      </w:r>
      <w:r w:rsidR="00197C1B" w:rsidRPr="00197C1B">
        <w:rPr>
          <w:vertAlign w:val="superscript"/>
        </w:rPr>
        <w:footnoteReference w:id="20"/>
      </w:r>
      <w:r w:rsidRPr="00197C1B">
        <w:t xml:space="preserve"> Thus, in dilution actions, just as in ordinary infringement actions, courts will examine whether the plaintiff has demonstrated irreparable harm and whether the balance of hardships to the two parties favors the issuance of an injunction.</w:t>
      </w:r>
      <w:r w:rsidR="00197C1B" w:rsidRPr="00197C1B">
        <w:rPr>
          <w:vertAlign w:val="superscript"/>
        </w:rPr>
        <w:footnoteReference w:id="21"/>
      </w:r>
      <w:r w:rsidRPr="00197C1B">
        <w:t xml:space="preserve"> These factors are relevant both for preliminary and permanent injunctive relief.</w:t>
      </w:r>
      <w:r w:rsidR="00197C1B" w:rsidRPr="00197C1B">
        <w:rPr>
          <w:vertAlign w:val="superscript"/>
        </w:rPr>
        <w:footnoteReference w:id="22"/>
      </w:r>
    </w:p>
    <w:p w14:paraId="3FF5891A" w14:textId="406E1740" w:rsidR="00197C1B" w:rsidRPr="00197C1B" w:rsidRDefault="00905652" w:rsidP="00197C1B">
      <w:pPr>
        <w:pStyle w:val="BNormal"/>
      </w:pPr>
      <w:r w:rsidRPr="00197C1B">
        <w:lastRenderedPageBreak/>
        <w:t>Numerous cases have held—just as with infringement cases—that a showing of dilution (or likelihood of dilution)</w:t>
      </w:r>
      <w:r w:rsidR="00197C1B" w:rsidRPr="00197C1B">
        <w:rPr>
          <w:vertAlign w:val="superscript"/>
        </w:rPr>
        <w:footnoteReference w:id="23"/>
      </w:r>
      <w:r w:rsidRPr="00197C1B">
        <w:t xml:space="preserve"> is sufficient to demonstrate irreparable harm.</w:t>
      </w:r>
      <w:r w:rsidR="00197C1B" w:rsidRPr="00197C1B">
        <w:rPr>
          <w:vertAlign w:val="superscript"/>
        </w:rPr>
        <w:footnoteReference w:id="24"/>
      </w:r>
      <w:r w:rsidRPr="00197C1B">
        <w:t xml:space="preserve"> Some courts have required a greater showing of harm for a preliminary injunction where it essentially will give final relief that would be difficult to undo after a trial.</w:t>
      </w:r>
      <w:r w:rsidR="00197C1B" w:rsidRPr="00197C1B">
        <w:rPr>
          <w:vertAlign w:val="superscript"/>
        </w:rPr>
        <w:footnoteReference w:id="25"/>
      </w:r>
      <w:r w:rsidRPr="00197C1B">
        <w:t xml:space="preserve"> Prior to a statutory amendment in 2020, categorical rules for injunctions, particularly those creating a presumption of irreparable harm upon a finding of infringement or dilution, risked running afoul of the Supreme Court’s decision in </w:t>
      </w:r>
      <w:r w:rsidR="00197C1B" w:rsidRPr="00197C1B">
        <w:rPr>
          <w:i/>
        </w:rPr>
        <w:t>eBay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MercExchange, LLC</w:t>
      </w:r>
      <w:r w:rsidRPr="00197C1B">
        <w:t>,</w:t>
      </w:r>
      <w:r w:rsidR="00197C1B" w:rsidRPr="00197C1B">
        <w:rPr>
          <w:vertAlign w:val="superscript"/>
        </w:rPr>
        <w:footnoteReference w:id="26"/>
      </w:r>
      <w:r w:rsidRPr="00197C1B">
        <w:t xml:space="preserve"> in which the Court rejected categorical rules granting permanent injunctive relief in patent cases</w:t>
      </w:r>
      <w:r w:rsidR="00197C1B" w:rsidRPr="00197C1B">
        <w:t>.</w:t>
      </w:r>
      <w:r w:rsidR="00197C1B" w:rsidRPr="00197C1B">
        <w:t xml:space="preserve"> </w:t>
      </w:r>
      <w:r w:rsidR="00197C1B" w:rsidRPr="00197C1B">
        <w:t>B</w:t>
      </w:r>
      <w:r w:rsidRPr="00197C1B">
        <w:t>ecause there is no principled reason why categorical rules would be any more acceptable in a trademark case than in a patent case,</w:t>
      </w:r>
      <w:r w:rsidR="00197C1B" w:rsidRPr="00197C1B">
        <w:rPr>
          <w:vertAlign w:val="superscript"/>
        </w:rPr>
        <w:footnoteReference w:id="27"/>
      </w:r>
      <w:r w:rsidRPr="00197C1B">
        <w:t xml:space="preserve"> and, as noted already, injunctions in dilution cases are expressly made “subject to the principles of equity.”</w:t>
      </w:r>
      <w:r w:rsidR="00197C1B" w:rsidRPr="00197C1B">
        <w:rPr>
          <w:vertAlign w:val="superscript"/>
        </w:rPr>
        <w:footnoteReference w:id="28"/>
      </w:r>
      <w:r w:rsidRPr="00197C1B">
        <w:t xml:space="preserve"> it appeared that such presumptions could not be justified</w:t>
      </w:r>
      <w:r w:rsidR="00197C1B" w:rsidRPr="00197C1B">
        <w:t>.</w:t>
      </w:r>
      <w:r w:rsidR="00197C1B" w:rsidRPr="00197C1B">
        <w:t xml:space="preserve"> </w:t>
      </w:r>
      <w:r w:rsidR="00197C1B" w:rsidRPr="00197C1B">
        <w:t>I</w:t>
      </w:r>
      <w:r w:rsidRPr="00197C1B">
        <w:t xml:space="preserve">n fact, several courts applied </w:t>
      </w:r>
      <w:r w:rsidR="00197C1B" w:rsidRPr="00197C1B">
        <w:rPr>
          <w:i/>
        </w:rPr>
        <w:t>eBay</w:t>
      </w:r>
      <w:r w:rsidRPr="00197C1B">
        <w:t xml:space="preserve"> in dilution cases.</w:t>
      </w:r>
      <w:r w:rsidR="00197C1B" w:rsidRPr="00197C1B">
        <w:rPr>
          <w:vertAlign w:val="superscript"/>
        </w:rPr>
        <w:footnoteReference w:id="29"/>
      </w:r>
      <w:r w:rsidR="00197C1B" w:rsidRPr="00197C1B">
        <w:t xml:space="preserve"> </w:t>
      </w:r>
      <w:r w:rsidRPr="00197C1B">
        <w:t>However, in late 2020, Congress passed the Trademark Modernization Act, amending section 34 of the Lanham Act, which provides for injunctive relief.</w:t>
      </w:r>
      <w:r w:rsidR="00197C1B" w:rsidRPr="00197C1B">
        <w:rPr>
          <w:vertAlign w:val="superscript"/>
        </w:rPr>
        <w:footnoteReference w:id="30"/>
      </w:r>
      <w:r w:rsidR="00197C1B" w:rsidRPr="00197C1B">
        <w:t xml:space="preserve"> </w:t>
      </w:r>
      <w:r w:rsidRPr="00197C1B">
        <w:t>The amendment added the following language:</w:t>
      </w:r>
    </w:p>
    <w:p w14:paraId="1EA61686" w14:textId="6FE3BEBF" w:rsidR="00197C1B" w:rsidRPr="00197C1B" w:rsidRDefault="00905652" w:rsidP="00197C1B">
      <w:pPr>
        <w:pStyle w:val="BQuotelong"/>
      </w:pPr>
      <w:r w:rsidRPr="00197C1B">
        <w:t>A plaintiff seeking any such injunction shall be entitled to a rebuttable presumption of irreparable harm upon a finding of a violation identified in this subsection in the case of a motion for a permanent injunction or upon a finding of likelihood of success on the merits for a violation identified in this subsection in the case of a motion for a preliminary injunction or temporary restraining order.</w:t>
      </w:r>
    </w:p>
    <w:p w14:paraId="712A8655" w14:textId="398A919F" w:rsidR="00197C1B" w:rsidRPr="00197C1B" w:rsidRDefault="00905652" w:rsidP="00197C1B">
      <w:pPr>
        <w:pStyle w:val="BNormal"/>
      </w:pPr>
      <w:r w:rsidRPr="00197C1B">
        <w:lastRenderedPageBreak/>
        <w:t>Thus, it is clear that a presumption of irreparable harm is not only allowable, but mandated, on a finding of dilution.</w:t>
      </w:r>
      <w:r w:rsidR="00197C1B" w:rsidRPr="00197C1B">
        <w:rPr>
          <w:vertAlign w:val="superscript"/>
        </w:rPr>
        <w:footnoteReference w:id="31"/>
      </w:r>
      <w:r w:rsidR="00197C1B" w:rsidRPr="00197C1B">
        <w:t xml:space="preserve"> </w:t>
      </w:r>
      <w:r w:rsidRPr="00197C1B">
        <w:t>Although the presumption clearly is rebuttable, it is less clear whether the presumption merely shifts the burden of production, or the burden of persuasion.</w:t>
      </w:r>
    </w:p>
    <w:p w14:paraId="7C61B20C" w14:textId="175AC444" w:rsidR="00197C1B" w:rsidRPr="00197C1B" w:rsidRDefault="00905652" w:rsidP="00197C1B">
      <w:pPr>
        <w:pStyle w:val="BNormal"/>
      </w:pPr>
      <w:r w:rsidRPr="00197C1B">
        <w:t xml:space="preserve">Although largely dealing with the issue of confusion, the Ninth Circuit, in </w:t>
      </w:r>
      <w:r w:rsidR="00197C1B" w:rsidRPr="00197C1B">
        <w:rPr>
          <w:rStyle w:val="BCasenamefull"/>
        </w:rPr>
        <w:t>adidas America, Inc. v. Skechers USA, Inc.</w:t>
      </w:r>
      <w:r w:rsidRPr="00197C1B">
        <w:t>,</w:t>
      </w:r>
      <w:r w:rsidR="00197C1B" w:rsidRPr="00197C1B">
        <w:rPr>
          <w:vertAlign w:val="superscript"/>
        </w:rPr>
        <w:footnoteReference w:id="32"/>
      </w:r>
      <w:r w:rsidRPr="00197C1B">
        <w:t xml:space="preserve"> reversed a preliminary injunction in a confusion and dilution case on the grounds that adidas did not provide evidence of harm to its reputation and goodwill.</w:t>
      </w:r>
      <w:r w:rsidR="00197C1B" w:rsidRPr="00197C1B">
        <w:rPr>
          <w:vertAlign w:val="superscript"/>
        </w:rPr>
        <w:footnoteReference w:id="33"/>
      </w:r>
    </w:p>
    <w:p w14:paraId="39D21982" w14:textId="5A7ECAAA" w:rsidR="00197C1B" w:rsidRPr="00197C1B" w:rsidRDefault="00905652" w:rsidP="00197C1B">
      <w:pPr>
        <w:pStyle w:val="BNormal"/>
      </w:pPr>
      <w:r w:rsidRPr="00197C1B">
        <w:t xml:space="preserve">While it deferred the issue of </w:t>
      </w:r>
      <w:r w:rsidR="00197C1B" w:rsidRPr="00197C1B">
        <w:rPr>
          <w:i/>
        </w:rPr>
        <w:t>eBay</w:t>
      </w:r>
      <w:r w:rsidRPr="00197C1B">
        <w:t>, the Eighth Circuit found that plaintiff’s failure to seek preliminary injunctive relief precluded its reliance on any presumption of irreparable harm, demonstrating the equitable considerations that relate to injunctions.</w:t>
      </w:r>
      <w:r w:rsidR="00197C1B" w:rsidRPr="00197C1B">
        <w:rPr>
          <w:vertAlign w:val="superscript"/>
        </w:rPr>
        <w:footnoteReference w:id="34"/>
      </w:r>
      <w:r w:rsidR="00197C1B" w:rsidRPr="00197C1B">
        <w:t xml:space="preserve"> </w:t>
      </w:r>
      <w:r w:rsidRPr="00197C1B">
        <w:t>It is unclear whether the new statutory mandate precludes use of such equitable principles.</w:t>
      </w:r>
    </w:p>
    <w:p w14:paraId="6D7D6CD6" w14:textId="71AAD313" w:rsidR="00197C1B" w:rsidRPr="00197C1B" w:rsidRDefault="00905652" w:rsidP="00197C1B">
      <w:pPr>
        <w:pStyle w:val="BNormal"/>
      </w:pPr>
      <w:r w:rsidRPr="00197C1B">
        <w:t>Although a court may consider the financial hardship to the defendant if an injunction is issued, the existence of such hardship will not preclude injunctive relief</w:t>
      </w:r>
      <w:r w:rsidR="00197C1B" w:rsidRPr="00197C1B">
        <w:t>.</w:t>
      </w:r>
      <w:r w:rsidR="00197C1B" w:rsidRPr="00197C1B">
        <w:t xml:space="preserve"> </w:t>
      </w:r>
      <w:r w:rsidR="00197C1B" w:rsidRPr="00197C1B">
        <w:t>W</w:t>
      </w:r>
      <w:r w:rsidRPr="00197C1B">
        <w:t>here the courts believe relief is necessary to protect the plaintiff’s interests, they will issue injunctions</w:t>
      </w:r>
      <w:r w:rsidR="00197C1B" w:rsidRPr="00197C1B">
        <w:t>.</w:t>
      </w:r>
      <w:r w:rsidR="00197C1B" w:rsidRPr="00197C1B">
        <w:t xml:space="preserve"> </w:t>
      </w:r>
      <w:r w:rsidR="00197C1B" w:rsidRPr="00197C1B">
        <w:t>T</w:t>
      </w:r>
      <w:r w:rsidRPr="00197C1B">
        <w:t xml:space="preserve">hus, in </w:t>
      </w:r>
      <w:r w:rsidR="00197C1B" w:rsidRPr="00197C1B">
        <w:rPr>
          <w:i/>
        </w:rPr>
        <w:t>McNeil Consumer Brands,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U</w:t>
      </w:r>
      <w:r w:rsidRPr="00197C1B">
        <w:t>.</w:t>
      </w:r>
      <w:r w:rsidR="00197C1B" w:rsidRPr="00197C1B">
        <w:rPr>
          <w:i/>
        </w:rPr>
        <w:t>S</w:t>
      </w:r>
      <w:r w:rsidR="00197C1B" w:rsidRPr="00197C1B">
        <w:t>.</w:t>
      </w:r>
      <w:r w:rsidR="00197C1B" w:rsidRPr="00197C1B">
        <w:t xml:space="preserve"> </w:t>
      </w:r>
      <w:r w:rsidR="00197C1B" w:rsidRPr="00197C1B">
        <w:rPr>
          <w:i/>
        </w:rPr>
        <w:t>Dentek Corp</w:t>
      </w:r>
      <w:r w:rsidRPr="00197C1B">
        <w:t>.,</w:t>
      </w:r>
      <w:r w:rsidR="00197C1B" w:rsidRPr="00197C1B">
        <w:rPr>
          <w:vertAlign w:val="superscript"/>
        </w:rPr>
        <w:footnoteReference w:id="35"/>
      </w:r>
      <w:r w:rsidRPr="00197C1B">
        <w:t xml:space="preserve"> the court enjoined the defendant’s use of Tempanol on its pain reliever, despite the defendant’s assertion that it would suffer serious financial harm from the injunction.</w:t>
      </w:r>
      <w:r w:rsidR="00197C1B" w:rsidRPr="00197C1B">
        <w:rPr>
          <w:vertAlign w:val="superscript"/>
        </w:rPr>
        <w:footnoteReference w:id="36"/>
      </w:r>
    </w:p>
    <w:p w14:paraId="4AAEA3BD" w14:textId="00EFB26B" w:rsidR="00197C1B" w:rsidRPr="00197C1B" w:rsidRDefault="00905652" w:rsidP="00197C1B">
      <w:pPr>
        <w:pStyle w:val="BNormal"/>
      </w:pPr>
      <w:r w:rsidRPr="00197C1B">
        <w:t>On the other hand, it has been held, in an infringement context, that a trial court must consider First Amendment concerns when issuing an injunction.</w:t>
      </w:r>
      <w:r w:rsidR="00197C1B" w:rsidRPr="00197C1B">
        <w:rPr>
          <w:vertAlign w:val="superscript"/>
        </w:rPr>
        <w:footnoteReference w:id="37"/>
      </w:r>
    </w:p>
    <w:p w14:paraId="7CBEE227" w14:textId="7BAC8DC4" w:rsidR="00197C1B" w:rsidRPr="00197C1B" w:rsidRDefault="00B14B89" w:rsidP="00197C1B">
      <w:pPr>
        <w:pStyle w:val="BHead2"/>
      </w:pPr>
      <w:r>
        <w:t>11.I.</w:t>
      </w:r>
      <w:r w:rsidR="00197C1B" w:rsidRPr="00B14B89">
        <w:rPr>
          <w:rStyle w:val="BBNAidChar"/>
          <w:rFonts w:eastAsiaTheme="majorEastAsia"/>
        </w:rPr>
        <w:t>B</w:t>
      </w:r>
      <w:r w:rsidR="00197C1B" w:rsidRPr="00197C1B">
        <w:t>.</w:t>
      </w:r>
      <w:r>
        <w:t> </w:t>
      </w:r>
      <w:r w:rsidR="00197C1B" w:rsidRPr="00197C1B">
        <w:tab/>
        <w:t>Preliminary Injunctive Relief:</w:t>
      </w:r>
      <w:r w:rsidR="00197C1B" w:rsidRPr="00197C1B">
        <w:t xml:space="preserve"> </w:t>
      </w:r>
      <w:r w:rsidR="00197C1B" w:rsidRPr="00197C1B">
        <w:t>Special Considerations</w:t>
      </w:r>
    </w:p>
    <w:p w14:paraId="3FDDBBB3" w14:textId="217F44CF" w:rsidR="00197C1B" w:rsidRPr="00197C1B" w:rsidRDefault="00905652" w:rsidP="00197C1B">
      <w:pPr>
        <w:pStyle w:val="BNormal"/>
      </w:pPr>
      <w:r w:rsidRPr="00197C1B">
        <w:t>It is clear that preliminary injunctive relief is available for TDRA plaintiffs</w:t>
      </w:r>
      <w:r w:rsidR="00197C1B" w:rsidRPr="00197C1B">
        <w:t>.</w:t>
      </w:r>
      <w:r w:rsidR="00197C1B" w:rsidRPr="00197C1B">
        <w:t xml:space="preserve"> </w:t>
      </w:r>
      <w:r w:rsidR="00197C1B" w:rsidRPr="00197C1B">
        <w:t>L</w:t>
      </w:r>
      <w:r w:rsidRPr="00197C1B">
        <w:t>ess clear, however, is the standard for awarding such relief</w:t>
      </w:r>
      <w:r w:rsidR="00197C1B" w:rsidRPr="00197C1B">
        <w:t>.</w:t>
      </w:r>
      <w:r w:rsidR="00197C1B" w:rsidRPr="00197C1B">
        <w:t xml:space="preserve"> </w:t>
      </w:r>
      <w:r w:rsidR="00197C1B" w:rsidRPr="00197C1B">
        <w:t>T</w:t>
      </w:r>
      <w:r w:rsidRPr="00197C1B">
        <w:t>his issue is not unique to dilution claims</w:t>
      </w:r>
      <w:r w:rsidR="00197C1B" w:rsidRPr="00197C1B">
        <w:t>;</w:t>
      </w:r>
      <w:r w:rsidR="00197C1B" w:rsidRPr="00197C1B">
        <w:t xml:space="preserve"> </w:t>
      </w:r>
      <w:r w:rsidR="00197C1B" w:rsidRPr="00197C1B">
        <w:t>i</w:t>
      </w:r>
      <w:r w:rsidRPr="00197C1B">
        <w:t>t is a function of the wording of the general standard used by the various circuits.</w:t>
      </w:r>
    </w:p>
    <w:p w14:paraId="3968E3C5" w14:textId="7C9F9821" w:rsidR="00197C1B" w:rsidRPr="00197C1B" w:rsidRDefault="00905652" w:rsidP="00197C1B">
      <w:pPr>
        <w:pStyle w:val="BNormal"/>
      </w:pPr>
      <w:r w:rsidRPr="00197C1B">
        <w:t>The basic standard is simply stated</w:t>
      </w:r>
      <w:r w:rsidR="00197C1B" w:rsidRPr="00197C1B">
        <w:t>.</w:t>
      </w:r>
      <w:r w:rsidR="00197C1B" w:rsidRPr="00197C1B">
        <w:t xml:space="preserve"> </w:t>
      </w:r>
      <w:r w:rsidR="00197C1B" w:rsidRPr="00197C1B">
        <w:t>T</w:t>
      </w:r>
      <w:r w:rsidRPr="00197C1B">
        <w:t>he plaintiff must show a likelihood of success (or “probable” success) on the merits and must show that irreparable harm is likely to result if the relief is not granted.</w:t>
      </w:r>
      <w:r w:rsidR="00197C1B" w:rsidRPr="00197C1B">
        <w:rPr>
          <w:vertAlign w:val="superscript"/>
        </w:rPr>
        <w:footnoteReference w:id="38"/>
      </w:r>
      <w:r w:rsidRPr="00197C1B">
        <w:t xml:space="preserve"> However, many </w:t>
      </w:r>
      <w:r w:rsidRPr="00197C1B">
        <w:lastRenderedPageBreak/>
        <w:t>circuits also permit the grant of preliminary relief on an alternative basis, which is phrased in several different ways</w:t>
      </w:r>
      <w:r w:rsidR="00197C1B" w:rsidRPr="00197C1B">
        <w:t>.</w:t>
      </w:r>
      <w:r w:rsidR="00197C1B" w:rsidRPr="00197C1B">
        <w:t xml:space="preserve"> </w:t>
      </w:r>
      <w:r w:rsidR="00197C1B" w:rsidRPr="00197C1B">
        <w:t>I</w:t>
      </w:r>
      <w:r w:rsidRPr="00197C1B">
        <w:t>n the Second and Ninth Circuits, an alternative basis is a demonstration of “serious questions going to the merits and that the balance of hardships tips sharply in [the plaintiff’s] favor.”</w:t>
      </w:r>
      <w:r w:rsidR="00197C1B" w:rsidRPr="00197C1B">
        <w:rPr>
          <w:vertAlign w:val="superscript"/>
        </w:rPr>
        <w:footnoteReference w:id="39"/>
      </w:r>
      <w:r w:rsidRPr="00197C1B">
        <w:t xml:space="preserve"> The Seventh Circuit appears to employ a more complicated balancing test that considers the likelihood of success, adequacy of legal remedies, irreparable harm, balance of hardships to the parties, and the public interest.</w:t>
      </w:r>
      <w:r w:rsidR="00197C1B" w:rsidRPr="00197C1B">
        <w:rPr>
          <w:vertAlign w:val="superscript"/>
        </w:rPr>
        <w:footnoteReference w:id="40"/>
      </w:r>
      <w:r w:rsidRPr="00197C1B">
        <w:t xml:space="preserve"> These factors are “assess[ed]</w:t>
      </w:r>
      <w:r w:rsidR="00197C1B" w:rsidRPr="00197C1B">
        <w:t xml:space="preserve"> </w:t>
      </w:r>
      <w:r w:rsidRPr="00197C1B">
        <w:t>…</w:t>
      </w:r>
      <w:r w:rsidR="00197C1B" w:rsidRPr="00197C1B">
        <w:t xml:space="preserve"> </w:t>
      </w:r>
      <w:r w:rsidRPr="00197C1B">
        <w:t>on a sliding scale</w:t>
      </w:r>
      <w:r w:rsidR="00197C1B" w:rsidRPr="00197C1B">
        <w:t>.</w:t>
      </w:r>
      <w:r w:rsidR="00197C1B" w:rsidRPr="00197C1B">
        <w:t xml:space="preserve"> </w:t>
      </w:r>
      <w:r w:rsidR="00197C1B" w:rsidRPr="00197C1B">
        <w:t>T</w:t>
      </w:r>
      <w:r w:rsidRPr="00197C1B">
        <w:t>he greater the movant’s likelihood of succeeding on the merits, the less the balance of harms need be in his favor.”</w:t>
      </w:r>
      <w:r w:rsidR="00197C1B" w:rsidRPr="00197C1B">
        <w:rPr>
          <w:vertAlign w:val="superscript"/>
        </w:rPr>
        <w:footnoteReference w:id="41"/>
      </w:r>
      <w:r w:rsidRPr="00197C1B">
        <w:t xml:space="preserve"> The alternative standards are somewhat more subjective, because it is not clear how to weigh the factors</w:t>
      </w:r>
      <w:r w:rsidR="00197C1B" w:rsidRPr="00197C1B">
        <w:t>.</w:t>
      </w:r>
      <w:r w:rsidR="00197C1B" w:rsidRPr="00197C1B">
        <w:t xml:space="preserve"> </w:t>
      </w:r>
      <w:r w:rsidR="00197C1B" w:rsidRPr="00197C1B">
        <w:t>N</w:t>
      </w:r>
      <w:r w:rsidRPr="00197C1B">
        <w:t>evertheless, the differences appear not to result in large discrepancies in the results reached by various courts.</w:t>
      </w:r>
      <w:r w:rsidR="00197C1B" w:rsidRPr="00197C1B">
        <w:rPr>
          <w:vertAlign w:val="superscript"/>
        </w:rPr>
        <w:footnoteReference w:id="42"/>
      </w:r>
    </w:p>
    <w:p w14:paraId="21D1795F" w14:textId="4FAF4AA7" w:rsidR="00197C1B" w:rsidRPr="00197C1B" w:rsidRDefault="00905652" w:rsidP="00197C1B">
      <w:pPr>
        <w:pStyle w:val="BNormal"/>
      </w:pPr>
      <w:r w:rsidRPr="00197C1B">
        <w:t xml:space="preserve">The Second Circuit, in </w:t>
      </w:r>
      <w:r w:rsidR="00197C1B" w:rsidRPr="00197C1B">
        <w:rPr>
          <w:i/>
        </w:rPr>
        <w:t>Federal Express Corp</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Federal Espresso, Inc</w:t>
      </w:r>
      <w:r w:rsidRPr="00197C1B">
        <w:t>.,</w:t>
      </w:r>
      <w:r w:rsidR="00197C1B" w:rsidRPr="00197C1B">
        <w:rPr>
          <w:vertAlign w:val="superscript"/>
        </w:rPr>
        <w:footnoteReference w:id="43"/>
      </w:r>
      <w:r w:rsidRPr="00197C1B">
        <w:t xml:space="preserve"> provided some interesting additional factors to consider in the preliminary injunction context</w:t>
      </w:r>
      <w:r w:rsidR="00197C1B" w:rsidRPr="00197C1B">
        <w:t>.</w:t>
      </w:r>
      <w:r w:rsidR="00197C1B" w:rsidRPr="00197C1B">
        <w:t xml:space="preserve"> </w:t>
      </w:r>
      <w:r w:rsidR="00197C1B" w:rsidRPr="00197C1B">
        <w:t>T</w:t>
      </w:r>
      <w:r w:rsidRPr="00197C1B">
        <w:t>he district court had denied preliminary relief, finding no likelihood of dilution</w:t>
      </w:r>
      <w:r w:rsidR="00197C1B" w:rsidRPr="00197C1B">
        <w:t>.</w:t>
      </w:r>
      <w:r w:rsidR="00197C1B" w:rsidRPr="00197C1B">
        <w:t xml:space="preserve"> </w:t>
      </w:r>
      <w:r w:rsidR="00197C1B" w:rsidRPr="00197C1B">
        <w:t>O</w:t>
      </w:r>
      <w:r w:rsidRPr="00197C1B">
        <w:t>n appeal, the Second Circuit appeared somewhat skeptical of the district court’s analysis,</w:t>
      </w:r>
      <w:r w:rsidR="00197C1B" w:rsidRPr="00197C1B">
        <w:rPr>
          <w:vertAlign w:val="superscript"/>
        </w:rPr>
        <w:footnoteReference w:id="44"/>
      </w:r>
      <w:r w:rsidRPr="00197C1B">
        <w:t xml:space="preserve"> but still upheld its denial of relief</w:t>
      </w:r>
      <w:r w:rsidR="00197C1B" w:rsidRPr="00197C1B">
        <w:t>.</w:t>
      </w:r>
      <w:r w:rsidR="00197C1B" w:rsidRPr="00197C1B">
        <w:t xml:space="preserve"> </w:t>
      </w:r>
      <w:r w:rsidR="00197C1B" w:rsidRPr="00197C1B">
        <w:t>I</w:t>
      </w:r>
      <w:r w:rsidRPr="00197C1B">
        <w:t>n doing so, the court stated that a trial court should consider how rapidly a defendant’s use will erode the famous mark when determining whether to issue a preliminary injunction.</w:t>
      </w:r>
      <w:r w:rsidR="00197C1B" w:rsidRPr="00197C1B">
        <w:rPr>
          <w:vertAlign w:val="superscript"/>
        </w:rPr>
        <w:footnoteReference w:id="45"/>
      </w:r>
      <w:r w:rsidRPr="00197C1B">
        <w:t xml:space="preserve"> Where dilution is not imminent, a court may deny relief.</w:t>
      </w:r>
      <w:r w:rsidR="00197C1B" w:rsidRPr="00197C1B">
        <w:rPr>
          <w:vertAlign w:val="superscript"/>
        </w:rPr>
        <w:footnoteReference w:id="46"/>
      </w:r>
      <w:r w:rsidRPr="00197C1B">
        <w:t xml:space="preserve"> As a second factor, the court looked at how much effort the mark owner was making to move the proceedings along</w:t>
      </w:r>
      <w:r w:rsidR="00197C1B" w:rsidRPr="00197C1B">
        <w:t>.</w:t>
      </w:r>
      <w:r w:rsidR="00197C1B" w:rsidRPr="00197C1B">
        <w:t xml:space="preserve"> </w:t>
      </w:r>
      <w:r w:rsidR="00197C1B" w:rsidRPr="00197C1B">
        <w:t>I</w:t>
      </w:r>
      <w:r w:rsidRPr="00197C1B">
        <w:t xml:space="preserve">n </w:t>
      </w:r>
      <w:r w:rsidR="00197C1B" w:rsidRPr="00197C1B">
        <w:rPr>
          <w:i/>
        </w:rPr>
        <w:t>Federal Express</w:t>
      </w:r>
      <w:r w:rsidRPr="00197C1B">
        <w:t xml:space="preserve">, the court </w:t>
      </w:r>
      <w:r w:rsidRPr="00197C1B">
        <w:lastRenderedPageBreak/>
        <w:t>noted that the plaintiff showed no special urgency to move the process, giving additional reason to deny preliminary relief.</w:t>
      </w:r>
      <w:r w:rsidR="00197C1B" w:rsidRPr="00197C1B">
        <w:rPr>
          <w:vertAlign w:val="superscript"/>
        </w:rPr>
        <w:footnoteReference w:id="47"/>
      </w:r>
    </w:p>
    <w:p w14:paraId="4F224AD5" w14:textId="6CD705D8" w:rsidR="00197C1B" w:rsidRPr="00197C1B" w:rsidRDefault="00905652" w:rsidP="00197C1B">
      <w:pPr>
        <w:pStyle w:val="BNormal"/>
      </w:pPr>
      <w:r w:rsidRPr="00197C1B">
        <w:t xml:space="preserve">Until recently, it was unclear whether the Supreme Court’s decision in </w:t>
      </w:r>
      <w:r w:rsidR="00197C1B" w:rsidRPr="00197C1B">
        <w:rPr>
          <w:i/>
        </w:rPr>
        <w:t>eBay,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MercExchange, LLC</w:t>
      </w:r>
      <w:r w:rsidRPr="00197C1B">
        <w:t>,</w:t>
      </w:r>
      <w:r w:rsidR="00197C1B" w:rsidRPr="00197C1B">
        <w:rPr>
          <w:vertAlign w:val="superscript"/>
        </w:rPr>
        <w:footnoteReference w:id="48"/>
      </w:r>
      <w:r w:rsidRPr="00197C1B">
        <w:t xml:space="preserve"> in which the Court rejected categorical rules granting permanent injunctive relief in patent cases, would apply to preliminary injunctions in trademark cases</w:t>
      </w:r>
      <w:r w:rsidR="00197C1B" w:rsidRPr="00197C1B">
        <w:t>.</w:t>
      </w:r>
      <w:r w:rsidR="00197C1B" w:rsidRPr="00197C1B">
        <w:t xml:space="preserve"> </w:t>
      </w:r>
      <w:r w:rsidR="00197C1B" w:rsidRPr="00197C1B">
        <w:t>T</w:t>
      </w:r>
      <w:r w:rsidRPr="00197C1B">
        <w:t>hat decision called into question whether a court may presume irreparable harm from a likelihood of success on the merits.</w:t>
      </w:r>
      <w:r w:rsidR="00197C1B" w:rsidRPr="00197C1B">
        <w:rPr>
          <w:vertAlign w:val="superscript"/>
        </w:rPr>
        <w:footnoteReference w:id="49"/>
      </w:r>
      <w:r w:rsidR="00197C1B" w:rsidRPr="00197C1B">
        <w:t xml:space="preserve"> </w:t>
      </w:r>
      <w:r w:rsidRPr="00197C1B">
        <w:t>However, in December 2020, Congress amended 28 U.S.C</w:t>
      </w:r>
      <w:r w:rsidR="00197C1B" w:rsidRPr="00197C1B">
        <w:t>.</w:t>
      </w:r>
      <w:r w:rsidR="00197C1B" w:rsidRPr="00197C1B">
        <w:t xml:space="preserve"> </w:t>
      </w:r>
      <w:r w:rsidR="00197C1B" w:rsidRPr="00197C1B">
        <w:t>§</w:t>
      </w:r>
      <w:r w:rsidRPr="00197C1B">
        <w:t xml:space="preserve"> 1116, making it clear that courts “shall” presume irreparable harm from a finding of likelihood of success on the merits on a motion for a preliminary injunction.</w:t>
      </w:r>
    </w:p>
    <w:p w14:paraId="3B3E756C" w14:textId="25C7A0A6" w:rsidR="00197C1B" w:rsidRPr="00197C1B" w:rsidRDefault="00B14B89" w:rsidP="00197C1B">
      <w:pPr>
        <w:pStyle w:val="BHead2"/>
      </w:pPr>
      <w:r>
        <w:t>11.I.</w:t>
      </w:r>
      <w:r w:rsidR="00197C1B" w:rsidRPr="00B14B89">
        <w:rPr>
          <w:rStyle w:val="BBNAidChar"/>
          <w:rFonts w:eastAsiaTheme="majorEastAsia"/>
        </w:rPr>
        <w:t>C</w:t>
      </w:r>
      <w:r w:rsidR="00197C1B" w:rsidRPr="00197C1B">
        <w:t>.</w:t>
      </w:r>
      <w:r>
        <w:t> </w:t>
      </w:r>
      <w:r w:rsidR="00197C1B" w:rsidRPr="00197C1B">
        <w:tab/>
        <w:t>First Amendment Considerations in the Issuance of an Injunction</w:t>
      </w:r>
    </w:p>
    <w:p w14:paraId="56CAE013" w14:textId="1008293B" w:rsidR="00197C1B" w:rsidRPr="00197C1B" w:rsidRDefault="00905652" w:rsidP="00197C1B">
      <w:pPr>
        <w:pStyle w:val="BNormal"/>
      </w:pPr>
      <w:r w:rsidRPr="00197C1B">
        <w:t>The use of the First Amendment as a possible defense to a dilution claim has been discussed in previous chapters.</w:t>
      </w:r>
      <w:r w:rsidR="00197C1B" w:rsidRPr="00197C1B">
        <w:rPr>
          <w:vertAlign w:val="superscript"/>
        </w:rPr>
        <w:footnoteReference w:id="50"/>
      </w:r>
      <w:r w:rsidRPr="00197C1B">
        <w:t xml:space="preserve"> Even where it is determined that the First Amendment does not provide a complete defense to liability, it can circumscribe, and perhaps even preclude, the </w:t>
      </w:r>
      <w:r w:rsidR="00197C1B" w:rsidRPr="00197C1B">
        <w:rPr>
          <w:i/>
        </w:rPr>
        <w:t>remedy</w:t>
      </w:r>
      <w:r w:rsidRPr="00197C1B">
        <w:t xml:space="preserve"> for violations of the TDRA.</w:t>
      </w:r>
    </w:p>
    <w:p w14:paraId="7C33A22F" w14:textId="766AD14D" w:rsidR="00197C1B" w:rsidRPr="00197C1B" w:rsidRDefault="00B14B89" w:rsidP="00197C1B">
      <w:pPr>
        <w:pStyle w:val="BHead3"/>
      </w:pPr>
      <w:r>
        <w:t>11.I.C.</w:t>
      </w:r>
      <w:r w:rsidR="00197C1B" w:rsidRPr="00B14B89">
        <w:rPr>
          <w:rStyle w:val="BBNAidChar"/>
          <w:rFonts w:eastAsiaTheme="majorEastAsia"/>
        </w:rPr>
        <w:t>1</w:t>
      </w:r>
      <w:r w:rsidR="00197C1B" w:rsidRPr="00197C1B">
        <w:t>.</w:t>
      </w:r>
      <w:r>
        <w:t> </w:t>
      </w:r>
      <w:r w:rsidR="00197C1B" w:rsidRPr="00197C1B">
        <w:tab/>
        <w:t>Dilution Injunctions as Prior Restraint</w:t>
      </w:r>
    </w:p>
    <w:p w14:paraId="42E5B786" w14:textId="59234431" w:rsidR="00197C1B" w:rsidRPr="00197C1B" w:rsidRDefault="00905652" w:rsidP="00197C1B">
      <w:pPr>
        <w:pStyle w:val="BNormal"/>
      </w:pPr>
      <w:r w:rsidRPr="00197C1B">
        <w:t>It may be argued that issuing an injunction in many dilution cases results in an unconstitutional prior restraint on the dissemination of speech</w:t>
      </w:r>
      <w:r w:rsidR="00197C1B" w:rsidRPr="00197C1B">
        <w:t>.</w:t>
      </w:r>
      <w:r w:rsidR="00197C1B" w:rsidRPr="00197C1B">
        <w:t xml:space="preserve"> </w:t>
      </w:r>
      <w:r w:rsidR="00197C1B" w:rsidRPr="00197C1B">
        <w:t>T</w:t>
      </w:r>
      <w:r w:rsidRPr="00197C1B">
        <w:t>he argument is strongest when the targets are parodies that are found to tarnish a famous mark</w:t>
      </w:r>
      <w:r w:rsidR="00197C1B" w:rsidRPr="00197C1B">
        <w:t>.</w:t>
      </w:r>
      <w:r w:rsidR="00197C1B" w:rsidRPr="00197C1B">
        <w:t xml:space="preserve"> </w:t>
      </w:r>
      <w:r w:rsidR="00197C1B" w:rsidRPr="00197C1B">
        <w:t>I</w:t>
      </w:r>
      <w:r w:rsidRPr="00197C1B">
        <w:t>n such cases, it is evident that an injunction broadly precludes dissemination of material based on its content</w:t>
      </w:r>
      <w:r w:rsidR="00197C1B" w:rsidRPr="00197C1B">
        <w:t>.</w:t>
      </w:r>
      <w:r w:rsidR="00197C1B" w:rsidRPr="00197C1B">
        <w:t xml:space="preserve"> </w:t>
      </w:r>
      <w:r w:rsidR="00197C1B" w:rsidRPr="00197C1B">
        <w:t>O</w:t>
      </w:r>
      <w:r w:rsidRPr="00197C1B">
        <w:t xml:space="preserve">utside of the intellectual property context, prior-restraint arguments focus largely on </w:t>
      </w:r>
      <w:r w:rsidR="00197C1B" w:rsidRPr="00197C1B">
        <w:rPr>
          <w:i/>
        </w:rPr>
        <w:t>preliminary</w:t>
      </w:r>
      <w:r w:rsidRPr="00197C1B">
        <w:t xml:space="preserve"> injunctions</w:t>
      </w:r>
      <w:r w:rsidR="00197C1B" w:rsidRPr="00197C1B">
        <w:t>;</w:t>
      </w:r>
      <w:r w:rsidR="00197C1B" w:rsidRPr="00197C1B">
        <w:t xml:space="preserve"> </w:t>
      </w:r>
      <w:r w:rsidR="00197C1B" w:rsidRPr="00197C1B">
        <w:t>t</w:t>
      </w:r>
      <w:r w:rsidRPr="00197C1B">
        <w:t>he belief is that injunctions restricting speech should not issue on a preliminary finding that is based only on a “likelihood” of success or, in many cases, a finding that a “serious question going to the merits” exists.</w:t>
      </w:r>
    </w:p>
    <w:p w14:paraId="00A0C7F8" w14:textId="792D6ABB" w:rsidR="00197C1B" w:rsidRPr="00197C1B" w:rsidRDefault="00905652" w:rsidP="00197C1B">
      <w:pPr>
        <w:pStyle w:val="BNormal"/>
      </w:pPr>
      <w:r w:rsidRPr="00197C1B">
        <w:lastRenderedPageBreak/>
        <w:t>A permanent injunction may be treated differently because it will be based on a definitive finding that the activity in question is not protected by the First Amendment.</w:t>
      </w:r>
      <w:r w:rsidR="00197C1B" w:rsidRPr="00197C1B">
        <w:rPr>
          <w:vertAlign w:val="superscript"/>
        </w:rPr>
        <w:footnoteReference w:id="51"/>
      </w:r>
      <w:r w:rsidRPr="00197C1B">
        <w:t xml:space="preserve"> Prior-restraint arguments have been notably unsuccessful in intellectual property cases.</w:t>
      </w:r>
      <w:r w:rsidR="00197C1B" w:rsidRPr="00197C1B">
        <w:rPr>
          <w:vertAlign w:val="superscript"/>
        </w:rPr>
        <w:footnoteReference w:id="52"/>
      </w:r>
      <w:r w:rsidRPr="00197C1B">
        <w:t xml:space="preserve"> Courts also have asserted that an injunction does not interfere with the underlying message, but only restricts the manner in which the message is communicated.</w:t>
      </w:r>
      <w:r w:rsidR="00197C1B" w:rsidRPr="00197C1B">
        <w:rPr>
          <w:vertAlign w:val="superscript"/>
        </w:rPr>
        <w:footnoteReference w:id="53"/>
      </w:r>
      <w:r w:rsidRPr="00197C1B">
        <w:t xml:space="preserve"> Thus, it may be asserted that the availability of alternative means of communication avoids any constitutional problem.</w:t>
      </w:r>
      <w:r w:rsidR="00197C1B" w:rsidRPr="00197C1B">
        <w:rPr>
          <w:vertAlign w:val="superscript"/>
        </w:rPr>
        <w:footnoteReference w:id="54"/>
      </w:r>
      <w:r w:rsidRPr="00197C1B">
        <w:t xml:space="preserve"> However, in one case that bucked the trend, the California Court of Appeal held that an injunction against the posting of alleged trade secrets on the Internet would be an unconstitutional prior restraint.</w:t>
      </w:r>
      <w:r w:rsidR="00197C1B" w:rsidRPr="00197C1B">
        <w:rPr>
          <w:vertAlign w:val="superscript"/>
        </w:rPr>
        <w:footnoteReference w:id="55"/>
      </w:r>
      <w:r w:rsidRPr="00197C1B">
        <w:t xml:space="preserve"> The court noted that in contrast to copyright cases where injunctions were issued frequently, the California trade secrets statute contained no “fair use” exclusions to exempt protected speech from liability.</w:t>
      </w:r>
      <w:r w:rsidR="00197C1B" w:rsidRPr="00197C1B">
        <w:rPr>
          <w:vertAlign w:val="superscript"/>
        </w:rPr>
        <w:footnoteReference w:id="56"/>
      </w:r>
      <w:r w:rsidRPr="00197C1B">
        <w:t xml:space="preserve"> The court also limited its effect to the preliminary injunction context, finding it unclear whether a permanent injunction would be a prior restraint.</w:t>
      </w:r>
      <w:r w:rsidR="00197C1B" w:rsidRPr="00197C1B">
        <w:rPr>
          <w:vertAlign w:val="superscript"/>
        </w:rPr>
        <w:footnoteReference w:id="57"/>
      </w:r>
      <w:r w:rsidRPr="00197C1B">
        <w:t xml:space="preserve"> The case was reversed and remanded on appeal, whereupon the Court of Appeal again issued an injunction, again suggesting free speech problems.</w:t>
      </w:r>
      <w:r w:rsidR="00197C1B" w:rsidRPr="00197C1B">
        <w:rPr>
          <w:vertAlign w:val="superscript"/>
        </w:rPr>
        <w:footnoteReference w:id="58"/>
      </w:r>
      <w:r w:rsidRPr="00197C1B">
        <w:t xml:space="preserve"> The noncommercial use exclusion of Section 43(c)(3)(C) of the Lanham Act, as well as the fair use exclusion of Section 43(c)(3)(A), could be deemed to serve the “fair use” purpose</w:t>
      </w:r>
      <w:r w:rsidR="00197C1B" w:rsidRPr="00197C1B">
        <w:t>.</w:t>
      </w:r>
      <w:r w:rsidR="00197C1B" w:rsidRPr="00197C1B">
        <w:t xml:space="preserve"> </w:t>
      </w:r>
      <w:r w:rsidR="00197C1B" w:rsidRPr="00197C1B">
        <w:t>I</w:t>
      </w:r>
      <w:r w:rsidRPr="00197C1B">
        <w:t>n that case, the California court’s analysis would not preclude the issuance of an injunction.</w:t>
      </w:r>
    </w:p>
    <w:p w14:paraId="3155A871" w14:textId="7AEC5E5F" w:rsidR="00197C1B" w:rsidRPr="00197C1B" w:rsidRDefault="00B14B89" w:rsidP="00197C1B">
      <w:pPr>
        <w:pStyle w:val="BHead3"/>
      </w:pPr>
      <w:r>
        <w:t>11.I.C.</w:t>
      </w:r>
      <w:r w:rsidR="00197C1B" w:rsidRPr="00B14B89">
        <w:rPr>
          <w:rStyle w:val="BBNAidChar"/>
          <w:rFonts w:eastAsiaTheme="majorEastAsia"/>
        </w:rPr>
        <w:t>2</w:t>
      </w:r>
      <w:r w:rsidR="00197C1B" w:rsidRPr="00197C1B">
        <w:t>.</w:t>
      </w:r>
      <w:r>
        <w:t> </w:t>
      </w:r>
      <w:r w:rsidR="00197C1B" w:rsidRPr="00197C1B">
        <w:tab/>
        <w:t>Other First Amendment Considerations</w:t>
      </w:r>
    </w:p>
    <w:p w14:paraId="022A1DFB" w14:textId="6E1059E7" w:rsidR="00197C1B" w:rsidRPr="00197C1B" w:rsidRDefault="00905652" w:rsidP="00197C1B">
      <w:pPr>
        <w:pStyle w:val="BNormal"/>
      </w:pPr>
      <w:r w:rsidRPr="00197C1B">
        <w:t>Even if injunctive relief is not barred as a prior restraint, First Amendment considerations can restrict the breadth of injunctive relief</w:t>
      </w:r>
      <w:r w:rsidR="00197C1B" w:rsidRPr="00197C1B">
        <w:t>.</w:t>
      </w:r>
      <w:r w:rsidR="00197C1B" w:rsidRPr="00197C1B">
        <w:t xml:space="preserve"> </w:t>
      </w:r>
      <w:r w:rsidR="00197C1B" w:rsidRPr="00197C1B">
        <w:t>T</w:t>
      </w:r>
      <w:r w:rsidRPr="00197C1B">
        <w:t xml:space="preserve">his is illustrated in </w:t>
      </w:r>
      <w:r w:rsidR="00197C1B" w:rsidRPr="00197C1B">
        <w:rPr>
          <w:i/>
        </w:rPr>
        <w:t>Westchester Media v</w:t>
      </w:r>
      <w:r w:rsidR="00197C1B" w:rsidRPr="00197C1B">
        <w:t>.</w:t>
      </w:r>
      <w:r w:rsidR="00197C1B" w:rsidRPr="00197C1B">
        <w:t xml:space="preserve"> </w:t>
      </w:r>
      <w:r w:rsidR="00197C1B" w:rsidRPr="00197C1B">
        <w:rPr>
          <w:i/>
        </w:rPr>
        <w:t>PRL USA Holdings, Inc</w:t>
      </w:r>
      <w:r w:rsidRPr="00197C1B">
        <w:t>.</w:t>
      </w:r>
      <w:r w:rsidR="00197C1B" w:rsidRPr="00197C1B">
        <w:rPr>
          <w:vertAlign w:val="superscript"/>
        </w:rPr>
        <w:footnoteReference w:id="59"/>
      </w:r>
      <w:r w:rsidRPr="00197C1B">
        <w:t xml:space="preserve"> Westchester purchased the publisher of a magazine entitled </w:t>
      </w:r>
      <w:r w:rsidR="00197C1B" w:rsidRPr="00197C1B">
        <w:rPr>
          <w:i/>
        </w:rPr>
        <w:t>Polo</w:t>
      </w:r>
      <w:r w:rsidRPr="00197C1B">
        <w:t>, which was devoted primarily to the sport of polo and became the official magazine of the United States Polo Association.</w:t>
      </w:r>
      <w:r w:rsidR="00197C1B" w:rsidRPr="00197C1B">
        <w:rPr>
          <w:vertAlign w:val="superscript"/>
        </w:rPr>
        <w:footnoteReference w:id="60"/>
      </w:r>
      <w:r w:rsidRPr="00197C1B">
        <w:t xml:space="preserve"> The new owner altered the magazine’s content, focusing more on “lifestyle” activities targeted at upscale readers.</w:t>
      </w:r>
      <w:r w:rsidR="00197C1B" w:rsidRPr="00197C1B">
        <w:rPr>
          <w:vertAlign w:val="superscript"/>
        </w:rPr>
        <w:footnoteReference w:id="61"/>
      </w:r>
      <w:r w:rsidRPr="00197C1B">
        <w:t xml:space="preserve"> PRL Holdings, owner of the Polo mark used by the various enterprises associated with Ralph Lauren, sued for trademark infringement and </w:t>
      </w:r>
      <w:r w:rsidRPr="00197C1B">
        <w:lastRenderedPageBreak/>
        <w:t>dilution</w:t>
      </w:r>
      <w:r w:rsidR="00197C1B" w:rsidRPr="00197C1B">
        <w:t>.</w:t>
      </w:r>
      <w:r w:rsidR="00197C1B" w:rsidRPr="00197C1B">
        <w:t xml:space="preserve"> </w:t>
      </w:r>
      <w:r w:rsidR="00197C1B" w:rsidRPr="00197C1B">
        <w:t>T</w:t>
      </w:r>
      <w:r w:rsidRPr="00197C1B">
        <w:t xml:space="preserve">he district court found a likelihood of confusion between the </w:t>
      </w:r>
      <w:r w:rsidR="00197C1B" w:rsidRPr="00197C1B">
        <w:rPr>
          <w:i/>
        </w:rPr>
        <w:t>Polo</w:t>
      </w:r>
      <w:r w:rsidRPr="00197C1B">
        <w:t xml:space="preserve"> magazine title and the Polo mark, a finding upheld by the court of appeals.</w:t>
      </w:r>
      <w:r w:rsidR="00197C1B" w:rsidRPr="00197C1B">
        <w:rPr>
          <w:vertAlign w:val="superscript"/>
        </w:rPr>
        <w:footnoteReference w:id="62"/>
      </w:r>
      <w:r w:rsidRPr="00197C1B">
        <w:t xml:space="preserve"> Despite the finding of infringement, and even though First Amendment considerations had been weighed in the determination of liability,</w:t>
      </w:r>
      <w:r w:rsidR="00197C1B" w:rsidRPr="00197C1B">
        <w:rPr>
          <w:vertAlign w:val="superscript"/>
        </w:rPr>
        <w:footnoteReference w:id="63"/>
      </w:r>
      <w:r w:rsidRPr="00197C1B">
        <w:t xml:space="preserve"> the circuit court required that the remedy also reflect consideration of First Amendment concerns.</w:t>
      </w:r>
      <w:r w:rsidR="00197C1B" w:rsidRPr="00197C1B">
        <w:rPr>
          <w:vertAlign w:val="superscript"/>
        </w:rPr>
        <w:footnoteReference w:id="64"/>
      </w:r>
      <w:r w:rsidRPr="00197C1B">
        <w:t xml:space="preserve"> Thus, the court found the injunction, which broadly prohibited the use of the </w:t>
      </w:r>
      <w:r w:rsidR="00197C1B" w:rsidRPr="00197C1B">
        <w:rPr>
          <w:i/>
        </w:rPr>
        <w:t>Polo</w:t>
      </w:r>
      <w:r w:rsidRPr="00197C1B">
        <w:t xml:space="preserve"> title for a “lifestyle” magazine, to be overbroad, and remanded for consideration of alternatives such as the use of disclaimers.</w:t>
      </w:r>
      <w:r w:rsidR="00197C1B" w:rsidRPr="00197C1B">
        <w:rPr>
          <w:vertAlign w:val="superscript"/>
        </w:rPr>
        <w:footnoteReference w:id="65"/>
      </w:r>
      <w:r w:rsidRPr="00197C1B">
        <w:t xml:space="preserve"> The court rejected an argument that the availability of alternative titles under which Westchester could publish the same content sufficed to assuage First Amendment concerns.</w:t>
      </w:r>
      <w:r w:rsidR="00197C1B" w:rsidRPr="00197C1B">
        <w:rPr>
          <w:vertAlign w:val="superscript"/>
        </w:rPr>
        <w:footnoteReference w:id="66"/>
      </w:r>
      <w:r w:rsidRPr="00197C1B">
        <w:t xml:space="preserve"> It also rejected the argument that the title was purely “commercial speech,” and thus entitled to less First Amendment protection.</w:t>
      </w:r>
      <w:r w:rsidR="00197C1B" w:rsidRPr="00197C1B">
        <w:rPr>
          <w:vertAlign w:val="superscript"/>
        </w:rPr>
        <w:footnoteReference w:id="67"/>
      </w:r>
    </w:p>
    <w:p w14:paraId="61D2798D" w14:textId="0B9822CE" w:rsidR="00197C1B" w:rsidRPr="00197C1B" w:rsidRDefault="00905652" w:rsidP="00197C1B">
      <w:pPr>
        <w:pStyle w:val="BNormal"/>
      </w:pPr>
      <w:r w:rsidRPr="00197C1B">
        <w:t xml:space="preserve">First Amendment concerns are introduced at two points in the </w:t>
      </w:r>
      <w:r w:rsidR="00197C1B" w:rsidRPr="00197C1B">
        <w:rPr>
          <w:i/>
        </w:rPr>
        <w:t>Westchester</w:t>
      </w:r>
      <w:r w:rsidRPr="00197C1B">
        <w:t xml:space="preserve"> analysis—the existence of liability </w:t>
      </w:r>
      <w:r w:rsidR="00197C1B" w:rsidRPr="00197C1B">
        <w:rPr>
          <w:i/>
        </w:rPr>
        <w:t>and</w:t>
      </w:r>
      <w:r w:rsidRPr="00197C1B">
        <w:t xml:space="preserve"> the breadth of any available remedies</w:t>
      </w:r>
      <w:r w:rsidR="00197C1B" w:rsidRPr="00197C1B">
        <w:t>.</w:t>
      </w:r>
      <w:r w:rsidR="00197C1B" w:rsidRPr="00197C1B">
        <w:t xml:space="preserve"> </w:t>
      </w:r>
      <w:r w:rsidR="00197C1B" w:rsidRPr="00197C1B">
        <w:t>I</w:t>
      </w:r>
      <w:r w:rsidRPr="00197C1B">
        <w:t>f adopted by other courts, it would limit the remedies available in many dilution claims, both tarnishment claims in general and claims relating to titles.</w:t>
      </w:r>
      <w:r w:rsidR="00197C1B" w:rsidRPr="00197C1B">
        <w:rPr>
          <w:vertAlign w:val="superscript"/>
        </w:rPr>
        <w:footnoteReference w:id="68"/>
      </w:r>
      <w:r w:rsidRPr="00197C1B">
        <w:t xml:space="preserve"> Although the suggested alternative in </w:t>
      </w:r>
      <w:r w:rsidR="00197C1B" w:rsidRPr="00197C1B">
        <w:rPr>
          <w:i/>
        </w:rPr>
        <w:t>Westchester</w:t>
      </w:r>
      <w:r w:rsidRPr="00197C1B">
        <w:t>, a disclaimer, probably would be ineffective in dilution claims, the fact that an antidilution injunction would not be aimed at combating public confusion should circumscribe the availability of such a remedy.</w:t>
      </w:r>
    </w:p>
    <w:p w14:paraId="515D6BDB" w14:textId="58ED55D3" w:rsidR="00197C1B" w:rsidRPr="00197C1B" w:rsidRDefault="00B14B89" w:rsidP="00197C1B">
      <w:pPr>
        <w:pStyle w:val="BHead2"/>
      </w:pPr>
      <w:r>
        <w:t>11.I.</w:t>
      </w:r>
      <w:r w:rsidR="00197C1B" w:rsidRPr="00B14B89">
        <w:rPr>
          <w:rStyle w:val="BBNAidChar"/>
          <w:rFonts w:eastAsiaTheme="majorEastAsia"/>
        </w:rPr>
        <w:t>D</w:t>
      </w:r>
      <w:r w:rsidR="00197C1B" w:rsidRPr="00197C1B">
        <w:t>.</w:t>
      </w:r>
      <w:r>
        <w:t> </w:t>
      </w:r>
      <w:r w:rsidR="00197C1B" w:rsidRPr="00197C1B">
        <w:tab/>
        <w:t>Injunctions Ordering Domain Name Transfer</w:t>
      </w:r>
    </w:p>
    <w:p w14:paraId="4ED4CC7C" w14:textId="2C1C69D2" w:rsidR="00197C1B" w:rsidRPr="00197C1B" w:rsidRDefault="00905652" w:rsidP="00197C1B">
      <w:pPr>
        <w:pStyle w:val="BNormal"/>
      </w:pPr>
      <w:r w:rsidRPr="00197C1B">
        <w:t>As noted earlier in this text,</w:t>
      </w:r>
      <w:r w:rsidR="00197C1B" w:rsidRPr="00197C1B">
        <w:rPr>
          <w:vertAlign w:val="superscript"/>
        </w:rPr>
        <w:footnoteReference w:id="69"/>
      </w:r>
      <w:r w:rsidRPr="00197C1B">
        <w:t xml:space="preserve"> the FTDA and TDRA have been used in a number of cases where the defendant registered an Internet domain name that was claimed to have diluted a famous mark</w:t>
      </w:r>
      <w:r w:rsidR="00197C1B" w:rsidRPr="00197C1B">
        <w:t>.</w:t>
      </w:r>
      <w:r w:rsidR="00197C1B" w:rsidRPr="00197C1B">
        <w:t xml:space="preserve"> </w:t>
      </w:r>
      <w:r w:rsidR="00197C1B" w:rsidRPr="00197C1B">
        <w:t>I</w:t>
      </w:r>
      <w:r w:rsidRPr="00197C1B">
        <w:t>n many instances, an injunction prohibiting the defendant’s use of the offending domain name suffices to protect the mark owner</w:t>
      </w:r>
      <w:r w:rsidR="00197C1B" w:rsidRPr="00197C1B">
        <w:t>.</w:t>
      </w:r>
      <w:r w:rsidR="00197C1B" w:rsidRPr="00197C1B">
        <w:t xml:space="preserve"> </w:t>
      </w:r>
      <w:r w:rsidR="00197C1B" w:rsidRPr="00197C1B">
        <w:t>H</w:t>
      </w:r>
      <w:r w:rsidRPr="00197C1B">
        <w:t>owever, mark owners frequently will desire a transfer of the domain name as well</w:t>
      </w:r>
      <w:r w:rsidR="00197C1B" w:rsidRPr="00197C1B">
        <w:t>.</w:t>
      </w:r>
      <w:r w:rsidR="00197C1B" w:rsidRPr="00197C1B">
        <w:t xml:space="preserve"> </w:t>
      </w:r>
      <w:r w:rsidR="00197C1B" w:rsidRPr="00197C1B">
        <w:t>S</w:t>
      </w:r>
      <w:r w:rsidRPr="00197C1B">
        <w:t>ome courts have granted this remedy.</w:t>
      </w:r>
      <w:r w:rsidR="00197C1B" w:rsidRPr="00197C1B">
        <w:rPr>
          <w:vertAlign w:val="superscript"/>
        </w:rPr>
        <w:footnoteReference w:id="70"/>
      </w:r>
      <w:r w:rsidRPr="00197C1B">
        <w:t xml:space="preserve"> However, the Fourth Circuit cast doubt on the availability of that remedy under the FTDA in </w:t>
      </w:r>
      <w:r w:rsidR="00197C1B" w:rsidRPr="00197C1B">
        <w:rPr>
          <w:i/>
        </w:rPr>
        <w:t>Porsche Cars North America,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Porsche</w:t>
      </w:r>
      <w:r w:rsidRPr="00197C1B">
        <w:t>.</w:t>
      </w:r>
      <w:r w:rsidR="00197C1B" w:rsidRPr="00197C1B">
        <w:rPr>
          <w:i/>
        </w:rPr>
        <w:t>net</w:t>
      </w:r>
      <w:r w:rsidRPr="00197C1B">
        <w:t>.</w:t>
      </w:r>
      <w:r w:rsidR="00197C1B" w:rsidRPr="00197C1B">
        <w:rPr>
          <w:vertAlign w:val="superscript"/>
        </w:rPr>
        <w:footnoteReference w:id="71"/>
      </w:r>
      <w:r w:rsidRPr="00197C1B">
        <w:t xml:space="preserve"> The plaintiff attempted to assert an </w:t>
      </w:r>
      <w:r w:rsidR="00197C1B" w:rsidRPr="00197C1B">
        <w:rPr>
          <w:i/>
        </w:rPr>
        <w:t>in rem</w:t>
      </w:r>
      <w:r w:rsidRPr="00197C1B">
        <w:t xml:space="preserve"> action under the FTDA, using 28 U.S.C</w:t>
      </w:r>
      <w:r w:rsidR="00197C1B" w:rsidRPr="00197C1B">
        <w:t>.</w:t>
      </w:r>
      <w:r w:rsidR="00197C1B" w:rsidRPr="00197C1B">
        <w:t xml:space="preserve"> </w:t>
      </w:r>
      <w:r w:rsidR="00197C1B" w:rsidRPr="00197C1B">
        <w:t>§</w:t>
      </w:r>
      <w:r w:rsidRPr="00197C1B">
        <w:t>1655 as the basis for such jurisdiction.</w:t>
      </w:r>
      <w:r w:rsidR="00197C1B" w:rsidRPr="00197C1B">
        <w:rPr>
          <w:vertAlign w:val="superscript"/>
        </w:rPr>
        <w:footnoteReference w:id="72"/>
      </w:r>
      <w:r w:rsidRPr="00197C1B">
        <w:t xml:space="preserve"> The Fourth Circuit refused to permit such an </w:t>
      </w:r>
      <w:r w:rsidR="00197C1B" w:rsidRPr="00197C1B">
        <w:rPr>
          <w:i/>
        </w:rPr>
        <w:t>in rem</w:t>
      </w:r>
      <w:r w:rsidRPr="00197C1B">
        <w:t xml:space="preserve"> action.</w:t>
      </w:r>
      <w:r w:rsidR="00197C1B" w:rsidRPr="00197C1B">
        <w:rPr>
          <w:vertAlign w:val="superscript"/>
        </w:rPr>
        <w:footnoteReference w:id="73"/>
      </w:r>
      <w:r w:rsidRPr="00197C1B">
        <w:t xml:space="preserve"> In its discussion, the court noted that although the FTDA specifically allows injunctions against the </w:t>
      </w:r>
      <w:r w:rsidR="00197C1B" w:rsidRPr="00197C1B">
        <w:rPr>
          <w:i/>
        </w:rPr>
        <w:t>use</w:t>
      </w:r>
      <w:r w:rsidRPr="00197C1B">
        <w:t xml:space="preserve"> of an offending domain name or other offending uses (as well as damages and other relief in limited circumstances), it does not provide for a transfer to the plaintiff of the </w:t>
      </w:r>
      <w:r w:rsidR="00197C1B" w:rsidRPr="00197C1B">
        <w:rPr>
          <w:i/>
        </w:rPr>
        <w:t>possession</w:t>
      </w:r>
      <w:r w:rsidRPr="00197C1B">
        <w:t xml:space="preserve"> of the offending items.</w:t>
      </w:r>
      <w:r w:rsidR="00197C1B" w:rsidRPr="00197C1B">
        <w:rPr>
          <w:vertAlign w:val="superscript"/>
        </w:rPr>
        <w:footnoteReference w:id="74"/>
      </w:r>
      <w:r w:rsidRPr="00197C1B">
        <w:t xml:space="preserve"> </w:t>
      </w:r>
      <w:r w:rsidRPr="00197C1B">
        <w:lastRenderedPageBreak/>
        <w:t>However, as the court also noted, the Anticybersquatting Consumer Protection Act (ACPA) now provides such a remedy for claims falling within that statute.</w:t>
      </w:r>
      <w:r w:rsidR="00197C1B" w:rsidRPr="00197C1B">
        <w:rPr>
          <w:vertAlign w:val="superscript"/>
        </w:rPr>
        <w:footnoteReference w:id="75"/>
      </w:r>
    </w:p>
    <w:p w14:paraId="76FA4591" w14:textId="24026E79" w:rsidR="00197C1B" w:rsidRPr="00197C1B" w:rsidRDefault="00B14B89" w:rsidP="00197C1B">
      <w:pPr>
        <w:pStyle w:val="BHead1"/>
      </w:pPr>
      <w:r>
        <w:t>11.</w:t>
      </w:r>
      <w:r w:rsidR="00197C1B" w:rsidRPr="00B14B89">
        <w:rPr>
          <w:rStyle w:val="BBNAidChar"/>
          <w:rFonts w:eastAsiaTheme="majorEastAsia"/>
        </w:rPr>
        <w:t>II</w:t>
      </w:r>
      <w:r w:rsidR="00197C1B" w:rsidRPr="00197C1B">
        <w:t>.</w:t>
      </w:r>
      <w:r>
        <w:t xml:space="preserve">  </w:t>
      </w:r>
      <w:r w:rsidR="00197C1B" w:rsidRPr="00197C1B">
        <w:t>Disclaimer as a Remedy</w:t>
      </w:r>
    </w:p>
    <w:p w14:paraId="21E1343B" w14:textId="63DAF16B" w:rsidR="00197C1B" w:rsidRPr="00197C1B" w:rsidRDefault="00905652" w:rsidP="00197C1B">
      <w:pPr>
        <w:pStyle w:val="BNormal"/>
      </w:pPr>
      <w:r w:rsidRPr="00197C1B">
        <w:t>A disclaimer ordinarily would not be an appropriate remedy for dilution</w:t>
      </w:r>
      <w:r w:rsidR="00197C1B" w:rsidRPr="00197C1B">
        <w:t>.</w:t>
      </w:r>
      <w:r w:rsidR="00197C1B" w:rsidRPr="00197C1B">
        <w:t xml:space="preserve"> </w:t>
      </w:r>
      <w:r w:rsidR="00197C1B" w:rsidRPr="00197C1B">
        <w:t>A</w:t>
      </w:r>
      <w:r w:rsidRPr="00197C1B">
        <w:t>lthough a disclaimer may, in a proper case, dispel confusion by notifying the consumer of the lack of association, this would not prevent dilution, which does not depend on confusion</w:t>
      </w:r>
      <w:r w:rsidR="00197C1B" w:rsidRPr="00197C1B">
        <w:t>.</w:t>
      </w:r>
      <w:r w:rsidR="00197C1B" w:rsidRPr="00197C1B">
        <w:t xml:space="preserve"> </w:t>
      </w:r>
      <w:r w:rsidR="00197C1B" w:rsidRPr="00197C1B">
        <w:t>I</w:t>
      </w:r>
      <w:r w:rsidRPr="00197C1B">
        <w:t>n fact, it could exacerbate the problem by confirming the existence of another source using a substantially similar mark, thus solidifying the loss of uniqueness in the mind of the consumer.</w:t>
      </w:r>
      <w:r w:rsidR="00197C1B" w:rsidRPr="00197C1B">
        <w:rPr>
          <w:vertAlign w:val="superscript"/>
        </w:rPr>
        <w:footnoteReference w:id="76"/>
      </w:r>
    </w:p>
    <w:p w14:paraId="6D42EC0C" w14:textId="0C54E43D" w:rsidR="00197C1B" w:rsidRPr="00197C1B" w:rsidRDefault="00B14B89" w:rsidP="00197C1B">
      <w:pPr>
        <w:pStyle w:val="BHead1"/>
      </w:pPr>
      <w:r>
        <w:t>11.</w:t>
      </w:r>
      <w:r w:rsidR="00197C1B" w:rsidRPr="00B14B89">
        <w:rPr>
          <w:rStyle w:val="BBNAidChar"/>
          <w:rFonts w:eastAsiaTheme="majorEastAsia"/>
        </w:rPr>
        <w:t>III</w:t>
      </w:r>
      <w:r w:rsidR="00197C1B" w:rsidRPr="00197C1B">
        <w:t>.</w:t>
      </w:r>
      <w:r>
        <w:t xml:space="preserve">  </w:t>
      </w:r>
      <w:r w:rsidR="00197C1B" w:rsidRPr="00197C1B">
        <w:t>Damages and Other Non-injunctive Remedies</w:t>
      </w:r>
    </w:p>
    <w:p w14:paraId="45C37BF5" w14:textId="1CE032EC" w:rsidR="00197C1B" w:rsidRPr="00197C1B" w:rsidRDefault="00905652" w:rsidP="00197C1B">
      <w:pPr>
        <w:pStyle w:val="BNormal"/>
      </w:pPr>
      <w:r w:rsidRPr="00197C1B">
        <w:t>Although the presumptive remedy under the TDRA is an injunction, it is not the exclusive remedy</w:t>
      </w:r>
      <w:r w:rsidR="00197C1B" w:rsidRPr="00197C1B">
        <w:t>.</w:t>
      </w:r>
      <w:r w:rsidR="00197C1B" w:rsidRPr="00197C1B">
        <w:t xml:space="preserve"> </w:t>
      </w:r>
      <w:r w:rsidR="00197C1B" w:rsidRPr="00197C1B">
        <w:t>S</w:t>
      </w:r>
      <w:r w:rsidRPr="00197C1B">
        <w:t>ection 43(c)(5) of the Lanham Act permits non-injunctive remedies as follows:</w:t>
      </w:r>
    </w:p>
    <w:p w14:paraId="35A809D5" w14:textId="27205FDF" w:rsidR="00197C1B" w:rsidRPr="00197C1B" w:rsidRDefault="00905652" w:rsidP="00197C1B">
      <w:pPr>
        <w:pStyle w:val="BQuotelong"/>
      </w:pPr>
      <w:r w:rsidRPr="00197C1B">
        <w:t>(5) Additional remedies</w:t>
      </w:r>
      <w:r w:rsidR="00197C1B" w:rsidRPr="00197C1B">
        <w:t>.</w:t>
      </w:r>
      <w:r w:rsidR="00197C1B" w:rsidRPr="00197C1B">
        <w:t xml:space="preserve"> </w:t>
      </w:r>
      <w:r w:rsidR="00197C1B" w:rsidRPr="00197C1B">
        <w:t>I</w:t>
      </w:r>
      <w:r w:rsidRPr="00197C1B">
        <w:t>n an action brought under this subsection, the owner of the famous mark shall be entitled to injunctive relief as set forth in section 34 [15 U.S.C</w:t>
      </w:r>
      <w:r w:rsidR="00197C1B" w:rsidRPr="00197C1B">
        <w:t>.</w:t>
      </w:r>
      <w:r w:rsidR="00197C1B" w:rsidRPr="00197C1B">
        <w:t xml:space="preserve"> </w:t>
      </w:r>
      <w:r w:rsidR="00197C1B" w:rsidRPr="00197C1B">
        <w:t>§</w:t>
      </w:r>
      <w:r w:rsidRPr="00197C1B">
        <w:t>1116] of this title</w:t>
      </w:r>
      <w:r w:rsidR="00197C1B" w:rsidRPr="00197C1B">
        <w:t>.</w:t>
      </w:r>
      <w:r w:rsidR="00197C1B" w:rsidRPr="00197C1B">
        <w:t xml:space="preserve"> </w:t>
      </w:r>
      <w:r w:rsidR="00197C1B" w:rsidRPr="00197C1B">
        <w:t>T</w:t>
      </w:r>
      <w:r w:rsidRPr="00197C1B">
        <w:t>he owner of the famous mark shall also be entitled to the remedies set forth in sections 35(a) [15 U.S.C</w:t>
      </w:r>
      <w:r w:rsidR="00197C1B" w:rsidRPr="00197C1B">
        <w:t>.</w:t>
      </w:r>
      <w:r w:rsidR="00197C1B" w:rsidRPr="00197C1B">
        <w:t xml:space="preserve"> </w:t>
      </w:r>
      <w:r w:rsidR="00197C1B" w:rsidRPr="00197C1B">
        <w:t>§</w:t>
      </w:r>
      <w:r w:rsidRPr="00197C1B">
        <w:t>1117(a)] and 36 [15 U.S.C</w:t>
      </w:r>
      <w:r w:rsidR="00197C1B" w:rsidRPr="00197C1B">
        <w:t>.</w:t>
      </w:r>
      <w:r w:rsidR="00197C1B" w:rsidRPr="00197C1B">
        <w:t xml:space="preserve"> </w:t>
      </w:r>
      <w:r w:rsidR="00197C1B" w:rsidRPr="00197C1B">
        <w:t>§</w:t>
      </w:r>
      <w:r w:rsidRPr="00197C1B">
        <w:t>1118] of this title, subject to the discretion of the court and the principles of equity if—</w:t>
      </w:r>
    </w:p>
    <w:p w14:paraId="01E6892A" w14:textId="200AB306" w:rsidR="00197C1B" w:rsidRPr="00197C1B" w:rsidRDefault="00905652" w:rsidP="00197C1B">
      <w:pPr>
        <w:pStyle w:val="BQuotelong"/>
      </w:pPr>
      <w:r w:rsidRPr="00197C1B">
        <w:t> </w:t>
      </w:r>
      <w:r w:rsidRPr="00197C1B">
        <w:t> </w:t>
      </w:r>
      <w:r w:rsidRPr="00197C1B">
        <w:t>(A) the mark or trade name that is likely to cause dilution by blurring or dilution by tarnishment was first used in commerce by the person against whom the injunction is sought after [October 6, 2006</w:t>
      </w:r>
      <w:r w:rsidR="00197C1B" w:rsidRPr="00197C1B">
        <w:rPr>
          <w:vertAlign w:val="superscript"/>
        </w:rPr>
        <w:footnoteReference w:id="77"/>
      </w:r>
      <w:r w:rsidRPr="00197C1B">
        <w:t>]</w:t>
      </w:r>
      <w:r w:rsidR="00197C1B" w:rsidRPr="00197C1B">
        <w:t>;</w:t>
      </w:r>
      <w:r w:rsidR="00197C1B" w:rsidRPr="00197C1B">
        <w:t xml:space="preserve"> </w:t>
      </w:r>
      <w:r w:rsidR="00197C1B" w:rsidRPr="00197C1B">
        <w:t>a</w:t>
      </w:r>
      <w:r w:rsidRPr="00197C1B">
        <w:t>nd</w:t>
      </w:r>
    </w:p>
    <w:p w14:paraId="29D021A6" w14:textId="5582ABD2" w:rsidR="00197C1B" w:rsidRPr="00197C1B" w:rsidRDefault="00905652" w:rsidP="00197C1B">
      <w:pPr>
        <w:pStyle w:val="BQuotelong"/>
      </w:pPr>
      <w:r w:rsidRPr="00197C1B">
        <w:t> </w:t>
      </w:r>
      <w:r w:rsidRPr="00197C1B">
        <w:t> </w:t>
      </w:r>
      <w:r w:rsidRPr="00197C1B">
        <w:t>(B) in a claim arising under this subsection—</w:t>
      </w:r>
    </w:p>
    <w:p w14:paraId="281356BA" w14:textId="11066B70" w:rsidR="00197C1B" w:rsidRPr="00197C1B" w:rsidRDefault="00905652" w:rsidP="00197C1B">
      <w:pPr>
        <w:pStyle w:val="BQuotelong"/>
      </w:pPr>
      <w:r w:rsidRPr="00197C1B">
        <w:t> </w:t>
      </w:r>
      <w:r w:rsidRPr="00197C1B">
        <w:t> </w:t>
      </w:r>
      <w:r w:rsidRPr="00197C1B">
        <w:t> </w:t>
      </w:r>
      <w:r w:rsidRPr="00197C1B">
        <w:t> </w:t>
      </w:r>
      <w:r w:rsidRPr="00197C1B">
        <w:t>(i) by reason of dilution by blurring, the person against whom the injunction is sought willfully intended to trade on the recognition of the famous mark</w:t>
      </w:r>
      <w:r w:rsidR="00197C1B" w:rsidRPr="00197C1B">
        <w:t>;</w:t>
      </w:r>
      <w:r w:rsidR="00197C1B" w:rsidRPr="00197C1B">
        <w:t xml:space="preserve"> </w:t>
      </w:r>
      <w:r w:rsidR="00197C1B" w:rsidRPr="00197C1B">
        <w:t>o</w:t>
      </w:r>
      <w:r w:rsidRPr="00197C1B">
        <w:t>r</w:t>
      </w:r>
    </w:p>
    <w:p w14:paraId="675D0EAE" w14:textId="3E545A7D" w:rsidR="00197C1B" w:rsidRPr="00197C1B" w:rsidRDefault="00905652" w:rsidP="00197C1B">
      <w:pPr>
        <w:pStyle w:val="BQuotelong"/>
      </w:pPr>
      <w:r w:rsidRPr="00197C1B">
        <w:t> </w:t>
      </w:r>
      <w:r w:rsidRPr="00197C1B">
        <w:t> </w:t>
      </w:r>
      <w:r w:rsidRPr="00197C1B">
        <w:t> </w:t>
      </w:r>
      <w:r w:rsidRPr="00197C1B">
        <w:t> </w:t>
      </w:r>
      <w:r w:rsidRPr="00197C1B">
        <w:t>(ii) by reason of dilution by tarnishment, the person against whom the injunction is sought willfully intended to harm the reputation of the famous mark.</w:t>
      </w:r>
    </w:p>
    <w:p w14:paraId="0E189C3D" w14:textId="1D745B53" w:rsidR="00197C1B" w:rsidRPr="00197C1B" w:rsidRDefault="00905652" w:rsidP="00197C1B">
      <w:pPr>
        <w:pStyle w:val="BNormal"/>
      </w:pPr>
      <w:r w:rsidRPr="00197C1B">
        <w:t>Thus, the statute permits an award of relief other than an injunction—damages, in particular—but only in certain cases, and “subject to the discretion of the court.” The statute requires a relatively high degree of fault—intentional conduct—before it will allow these additional remedies.</w:t>
      </w:r>
      <w:r w:rsidR="00197C1B" w:rsidRPr="00197C1B">
        <w:rPr>
          <w:vertAlign w:val="superscript"/>
        </w:rPr>
        <w:footnoteReference w:id="78"/>
      </w:r>
    </w:p>
    <w:p w14:paraId="5323375D" w14:textId="36385330" w:rsidR="00197C1B" w:rsidRPr="00197C1B" w:rsidRDefault="00905652" w:rsidP="00197C1B">
      <w:pPr>
        <w:pStyle w:val="BNormal"/>
      </w:pPr>
      <w:r w:rsidRPr="00197C1B">
        <w:t>If the requisite showing of intent is made, a number of remedies become available</w:t>
      </w:r>
      <w:r w:rsidR="00197C1B" w:rsidRPr="00197C1B">
        <w:t>.</w:t>
      </w:r>
      <w:r w:rsidR="00197C1B" w:rsidRPr="00197C1B">
        <w:t xml:space="preserve"> </w:t>
      </w:r>
      <w:r w:rsidR="00197C1B" w:rsidRPr="00197C1B">
        <w:t>S</w:t>
      </w:r>
      <w:r w:rsidRPr="00197C1B">
        <w:t>ection 43(c)(5) incorporates the remedies of Sections 35(a) and 36 of the Lanham Act</w:t>
      </w:r>
      <w:r w:rsidR="00197C1B" w:rsidRPr="00197C1B">
        <w:t>.</w:t>
      </w:r>
      <w:r w:rsidR="00197C1B" w:rsidRPr="00197C1B">
        <w:t xml:space="preserve"> </w:t>
      </w:r>
      <w:r w:rsidR="00197C1B" w:rsidRPr="00197C1B">
        <w:t>S</w:t>
      </w:r>
      <w:r w:rsidRPr="00197C1B">
        <w:t>ection 35(a) lists three categories of available damage remedies</w:t>
      </w:r>
      <w:r w:rsidR="00197C1B" w:rsidRPr="00197C1B">
        <w:t>:</w:t>
      </w:r>
      <w:r w:rsidR="00197C1B" w:rsidRPr="00197C1B">
        <w:t xml:space="preserve"> </w:t>
      </w:r>
      <w:r w:rsidR="00197C1B" w:rsidRPr="00197C1B">
        <w:t>“</w:t>
      </w:r>
      <w:r w:rsidRPr="00197C1B">
        <w:t>(1) defendant’s profits, (2) any damages sustained by the plaintiff, and (3) the costs of the action.”</w:t>
      </w:r>
      <w:r w:rsidR="00197C1B" w:rsidRPr="00197C1B">
        <w:rPr>
          <w:vertAlign w:val="superscript"/>
        </w:rPr>
        <w:footnoteReference w:id="79"/>
      </w:r>
      <w:r w:rsidRPr="00197C1B">
        <w:t xml:space="preserve"> In addition, “the court may enter judgment</w:t>
      </w:r>
      <w:r w:rsidR="00197C1B" w:rsidRPr="00197C1B">
        <w:t xml:space="preserve"> </w:t>
      </w:r>
      <w:r w:rsidRPr="00197C1B">
        <w:t>…</w:t>
      </w:r>
      <w:r w:rsidR="00197C1B" w:rsidRPr="00197C1B">
        <w:t xml:space="preserve"> </w:t>
      </w:r>
      <w:r w:rsidRPr="00197C1B">
        <w:t xml:space="preserve">for any sum above the amount found as </w:t>
      </w:r>
      <w:r w:rsidRPr="00197C1B">
        <w:lastRenderedPageBreak/>
        <w:t>actual damages, not exceeding three times such amount.”</w:t>
      </w:r>
      <w:r w:rsidR="00197C1B" w:rsidRPr="00197C1B">
        <w:rPr>
          <w:vertAlign w:val="superscript"/>
        </w:rPr>
        <w:footnoteReference w:id="80"/>
      </w:r>
      <w:r w:rsidRPr="00197C1B">
        <w:t xml:space="preserve"> And the court may adjust any award of profits up or down by any sum it deems just.</w:t>
      </w:r>
      <w:r w:rsidR="00197C1B" w:rsidRPr="00197C1B">
        <w:rPr>
          <w:vertAlign w:val="superscript"/>
        </w:rPr>
        <w:footnoteReference w:id="81"/>
      </w:r>
      <w:r w:rsidRPr="00197C1B">
        <w:t xml:space="preserve"> Finally, “in exceptional cases,” attorney’s fees may be awarded to the prevailing party.</w:t>
      </w:r>
      <w:r w:rsidR="00197C1B" w:rsidRPr="00197C1B">
        <w:rPr>
          <w:vertAlign w:val="superscript"/>
        </w:rPr>
        <w:footnoteReference w:id="82"/>
      </w:r>
    </w:p>
    <w:p w14:paraId="40A015A3" w14:textId="068B1FE3" w:rsidR="00197C1B" w:rsidRPr="00197C1B" w:rsidRDefault="00905652" w:rsidP="00197C1B">
      <w:pPr>
        <w:pStyle w:val="BNormal"/>
      </w:pPr>
      <w:r w:rsidRPr="00197C1B">
        <w:t>There is, however, an important caveat to the recovery of damages</w:t>
      </w:r>
      <w:r w:rsidR="00197C1B" w:rsidRPr="00197C1B">
        <w:t>.</w:t>
      </w:r>
      <w:r w:rsidR="00197C1B" w:rsidRPr="00197C1B">
        <w:t xml:space="preserve"> </w:t>
      </w:r>
      <w:r w:rsidR="00197C1B" w:rsidRPr="00197C1B">
        <w:t>S</w:t>
      </w:r>
      <w:r w:rsidRPr="00197C1B">
        <w:t>ection 29 of the Lanham Act provides that if a registrant fails to give notice of registration by displaying a registration mark (an R in a circle) or words signifying the mark is registered with the goods or services, then “in any suit for infringement under this Act by such a registrant failing to give such notice of registration, no profits and no damages shall be recovered under the provisions of this Act unless the defendant had actual notice of the registration.”</w:t>
      </w:r>
      <w:r w:rsidR="00197C1B" w:rsidRPr="00197C1B">
        <w:rPr>
          <w:vertAlign w:val="superscript"/>
        </w:rPr>
        <w:footnoteReference w:id="83"/>
      </w:r>
      <w:r w:rsidRPr="00197C1B">
        <w:t xml:space="preserve"> Furthermore, Section 35(a), under which damages for dilution would be sought, makes its provisions “subject to section[] 29.”</w:t>
      </w:r>
      <w:r w:rsidR="00197C1B" w:rsidRPr="00197C1B">
        <w:rPr>
          <w:vertAlign w:val="superscript"/>
        </w:rPr>
        <w:footnoteReference w:id="84"/>
      </w:r>
      <w:r w:rsidRPr="00197C1B">
        <w:t xml:space="preserve"> It has been held that, under this provision, a failure to display a registration precludes the recovery of any damages for dilution, unless the defendant had actual notice of the registration.</w:t>
      </w:r>
      <w:r w:rsidR="00197C1B" w:rsidRPr="00197C1B">
        <w:rPr>
          <w:vertAlign w:val="superscript"/>
        </w:rPr>
        <w:footnoteReference w:id="85"/>
      </w:r>
    </w:p>
    <w:p w14:paraId="48EE17F6" w14:textId="44C07EA1" w:rsidR="00197C1B" w:rsidRPr="00197C1B" w:rsidRDefault="00905652" w:rsidP="00197C1B">
      <w:pPr>
        <w:pStyle w:val="BNormal"/>
      </w:pPr>
      <w:r w:rsidRPr="00197C1B">
        <w:t>Section 36 provides for the destruction of infringing articles, thus insuring that the offending materials will be taken off the market.</w:t>
      </w:r>
      <w:r w:rsidR="00197C1B" w:rsidRPr="00197C1B">
        <w:rPr>
          <w:vertAlign w:val="superscript"/>
        </w:rPr>
        <w:footnoteReference w:id="86"/>
      </w:r>
      <w:r w:rsidRPr="00197C1B">
        <w:t xml:space="preserve"> </w:t>
      </w:r>
    </w:p>
    <w:p w14:paraId="4C53B0A1" w14:textId="6B56D8A7" w:rsidR="00197C1B" w:rsidRPr="00197C1B" w:rsidRDefault="00905652" w:rsidP="00197C1B">
      <w:pPr>
        <w:pStyle w:val="BNormal"/>
      </w:pPr>
      <w:r w:rsidRPr="00197C1B">
        <w:t>As noted earlier in this chapter,</w:t>
      </w:r>
      <w:r w:rsidR="00197C1B" w:rsidRPr="00197C1B">
        <w:rPr>
          <w:vertAlign w:val="superscript"/>
        </w:rPr>
        <w:footnoteReference w:id="87"/>
      </w:r>
      <w:r w:rsidRPr="00197C1B">
        <w:t xml:space="preserve"> it will be difficult for a plaintiff in a dilution action to prove consequential damages from dilution.</w:t>
      </w:r>
      <w:r w:rsidR="00197C1B" w:rsidRPr="00197C1B">
        <w:rPr>
          <w:vertAlign w:val="superscript"/>
        </w:rPr>
        <w:footnoteReference w:id="88"/>
      </w:r>
      <w:r w:rsidRPr="00197C1B">
        <w:t xml:space="preserve"> In the absence of confusion, it may involve excessive speculation to trace sales losses to the defendant’s actions, even if the defendant is a competitor</w:t>
      </w:r>
      <w:r w:rsidR="00197C1B" w:rsidRPr="00197C1B">
        <w:t>.</w:t>
      </w:r>
      <w:r w:rsidR="00197C1B" w:rsidRPr="00197C1B">
        <w:t xml:space="preserve"> </w:t>
      </w:r>
      <w:r w:rsidR="00197C1B" w:rsidRPr="00197C1B">
        <w:t>I</w:t>
      </w:r>
      <w:r w:rsidRPr="00197C1B">
        <w:t>f, as will often be the case, the parties do not compete, then showing damages will be even more difficult</w:t>
      </w:r>
      <w:r w:rsidR="00197C1B" w:rsidRPr="00197C1B">
        <w:t>.</w:t>
      </w:r>
      <w:r w:rsidR="00197C1B" w:rsidRPr="00197C1B">
        <w:t xml:space="preserve"> </w:t>
      </w:r>
      <w:r w:rsidR="00197C1B" w:rsidRPr="00197C1B">
        <w:t>T</w:t>
      </w:r>
      <w:r w:rsidRPr="00197C1B">
        <w:t>herefore, one would expect that plaintiffs frequently will seek the defendant’s profits as the measure of damages.</w:t>
      </w:r>
    </w:p>
    <w:p w14:paraId="7BDEE376" w14:textId="600E518A" w:rsidR="00197C1B" w:rsidRPr="00197C1B" w:rsidRDefault="00905652" w:rsidP="00197C1B">
      <w:pPr>
        <w:pStyle w:val="BNormal"/>
      </w:pPr>
      <w:r w:rsidRPr="00197C1B">
        <w:t>In trademark infringement cases,</w:t>
      </w:r>
      <w:r w:rsidR="00197C1B" w:rsidRPr="00197C1B">
        <w:rPr>
          <w:vertAlign w:val="superscript"/>
        </w:rPr>
        <w:footnoteReference w:id="89"/>
      </w:r>
      <w:r w:rsidRPr="00197C1B">
        <w:t xml:space="preserve"> many courts had predicated an award of the defendant’s profits on some added factor such as willful or bad faith conduct on the defendant’s part.</w:t>
      </w:r>
      <w:r w:rsidR="00197C1B" w:rsidRPr="00197C1B">
        <w:rPr>
          <w:vertAlign w:val="superscript"/>
        </w:rPr>
        <w:footnoteReference w:id="90"/>
      </w:r>
      <w:r w:rsidRPr="00197C1B">
        <w:t xml:space="preserve"> However, the Supreme Court held, in </w:t>
      </w:r>
      <w:r w:rsidR="00197C1B" w:rsidRPr="00197C1B">
        <w:rPr>
          <w:rStyle w:val="BCasenamefull"/>
        </w:rPr>
        <w:t>Romag Fasteners, Inc. v. Fossil, Inc.</w:t>
      </w:r>
      <w:r w:rsidR="00197C1B" w:rsidRPr="00197C1B">
        <w:rPr>
          <w:vertAlign w:val="superscript"/>
        </w:rPr>
        <w:footnoteReference w:id="91"/>
      </w:r>
      <w:r w:rsidRPr="00197C1B">
        <w:t xml:space="preserve"> that willfulness was not a general prerequisite under the Lanham Act to </w:t>
      </w:r>
      <w:r w:rsidRPr="00197C1B">
        <w:lastRenderedPageBreak/>
        <w:t>the recovery of profits.</w:t>
      </w:r>
      <w:r w:rsidR="00197C1B" w:rsidRPr="00197C1B">
        <w:rPr>
          <w:vertAlign w:val="superscript"/>
        </w:rPr>
        <w:footnoteReference w:id="92"/>
      </w:r>
      <w:r w:rsidRPr="00197C1B">
        <w:t>On the other hand, Section 43(c)(5) requires willful conduct for any award of damages, which would include profits</w:t>
      </w:r>
      <w:r w:rsidR="00197C1B" w:rsidRPr="00197C1B">
        <w:t>.</w:t>
      </w:r>
      <w:r w:rsidR="00197C1B" w:rsidRPr="00197C1B">
        <w:t xml:space="preserve"> </w:t>
      </w:r>
      <w:r w:rsidR="00197C1B" w:rsidRPr="00197C1B">
        <w:t>M</w:t>
      </w:r>
      <w:r w:rsidRPr="00197C1B">
        <w:t>oreover, Section 43(c)(5) provides that any award for such willful conduct is “subject to the discretion of the court and the principles of equity.”</w:t>
      </w:r>
      <w:r w:rsidR="00197C1B" w:rsidRPr="00197C1B">
        <w:rPr>
          <w:vertAlign w:val="superscript"/>
        </w:rPr>
        <w:footnoteReference w:id="93"/>
      </w:r>
      <w:r w:rsidRPr="00197C1B">
        <w:t xml:space="preserve"> Even upon a showing of willful conduct, then, there is no guarantee that there will be any award of damages, or other noninjunctive relief.</w:t>
      </w:r>
    </w:p>
    <w:p w14:paraId="25BD95CC" w14:textId="69AAA2E5" w:rsidR="00197C1B" w:rsidRPr="00197C1B" w:rsidRDefault="00905652" w:rsidP="00197C1B">
      <w:pPr>
        <w:pStyle w:val="BNormal"/>
      </w:pPr>
      <w:r w:rsidRPr="00197C1B">
        <w:t>Section 43(c)(5) is an amended version of the original FTDA provision (which was numbered Section 43(c)(2))</w:t>
      </w:r>
      <w:r w:rsidR="00197C1B" w:rsidRPr="00197C1B">
        <w:t>.</w:t>
      </w:r>
      <w:r w:rsidR="00197C1B" w:rsidRPr="00197C1B">
        <w:t xml:space="preserve"> </w:t>
      </w:r>
      <w:r w:rsidR="00197C1B" w:rsidRPr="00197C1B">
        <w:t>A</w:t>
      </w:r>
      <w:r w:rsidRPr="00197C1B">
        <w:t>lthough the broad outlines of both provisions are similar (both require willful intent, for example), there are some differences in wording</w:t>
      </w:r>
      <w:r w:rsidR="00197C1B" w:rsidRPr="00197C1B">
        <w:t>.</w:t>
      </w:r>
      <w:r w:rsidR="00197C1B" w:rsidRPr="00197C1B">
        <w:t xml:space="preserve"> </w:t>
      </w:r>
      <w:r w:rsidR="00197C1B" w:rsidRPr="00197C1B">
        <w:t>F</w:t>
      </w:r>
      <w:r w:rsidRPr="00197C1B">
        <w:t>ormer Section</w:t>
      </w:r>
      <w:r w:rsidR="00197C1B">
        <w:t xml:space="preserve"> </w:t>
      </w:r>
      <w:r w:rsidRPr="00197C1B">
        <w:t>43(c)(2) read as follows:</w:t>
      </w:r>
    </w:p>
    <w:p w14:paraId="2E2A49AB" w14:textId="45204D18" w:rsidR="00197C1B" w:rsidRPr="00197C1B" w:rsidRDefault="00905652" w:rsidP="00197C1B">
      <w:pPr>
        <w:pStyle w:val="BQuotelong"/>
      </w:pPr>
      <w:r w:rsidRPr="00197C1B">
        <w:t>(2) In an action brought under this subsection, the owner of the famous mark shall be entitled only to injunctive relief unless the person against whom the injunction is sought willfully intended to trade on the owner’s reputation or to cause dilution of the famous mark</w:t>
      </w:r>
      <w:r w:rsidR="00197C1B" w:rsidRPr="00197C1B">
        <w:t>.</w:t>
      </w:r>
      <w:r w:rsidR="00197C1B" w:rsidRPr="00197C1B">
        <w:t xml:space="preserve"> </w:t>
      </w:r>
      <w:r w:rsidR="00197C1B" w:rsidRPr="00197C1B">
        <w:t>I</w:t>
      </w:r>
      <w:r w:rsidRPr="00197C1B">
        <w:t>f such willful intent is proven, the owner of the famous mark shall also be entitled to the remedies set forth in sections 1117(a) and 1118 of this title, subject to the discretion of the court and the principles of equity.</w:t>
      </w:r>
    </w:p>
    <w:p w14:paraId="1A8AC871" w14:textId="01281ECB" w:rsidR="00197C1B" w:rsidRPr="00197C1B" w:rsidRDefault="00905652" w:rsidP="00197C1B">
      <w:pPr>
        <w:pStyle w:val="BNormal"/>
      </w:pPr>
      <w:r w:rsidRPr="00197C1B">
        <w:t>Although the differences between the former and current sections are not enormous, the TDRA’s wording could limit the circumstances under which damages and other relief may be awarded</w:t>
      </w:r>
      <w:r w:rsidR="00197C1B" w:rsidRPr="00197C1B">
        <w:t>.</w:t>
      </w:r>
      <w:r w:rsidR="00197C1B" w:rsidRPr="00197C1B">
        <w:t xml:space="preserve"> </w:t>
      </w:r>
      <w:r w:rsidR="00197C1B" w:rsidRPr="00197C1B">
        <w:t>T</w:t>
      </w:r>
      <w:r w:rsidRPr="00197C1B">
        <w:t>he original section did not distinguish between blurring and tarnishment when delimiting the circumstances under which damages could be awarded</w:t>
      </w:r>
      <w:r w:rsidR="00197C1B" w:rsidRPr="00197C1B">
        <w:t>.</w:t>
      </w:r>
      <w:r w:rsidR="00197C1B" w:rsidRPr="00197C1B">
        <w:t xml:space="preserve"> </w:t>
      </w:r>
      <w:r w:rsidR="00197C1B" w:rsidRPr="00197C1B">
        <w:t>T</w:t>
      </w:r>
      <w:r w:rsidRPr="00197C1B">
        <w:t>hus, upon a showing of willful intent to trade on the famous mark’s reputation or to cause dilution of the famous mark, whether by blurring or tarnishment, damages could have been awarded under former Section 43(c)(2)</w:t>
      </w:r>
      <w:r w:rsidR="00197C1B" w:rsidRPr="00197C1B">
        <w:t>.</w:t>
      </w:r>
      <w:r w:rsidR="00197C1B" w:rsidRPr="00197C1B">
        <w:t xml:space="preserve"> </w:t>
      </w:r>
      <w:r w:rsidR="00197C1B" w:rsidRPr="00197C1B">
        <w:t>H</w:t>
      </w:r>
      <w:r w:rsidRPr="00197C1B">
        <w:t>owever, the TDRA’s Section 43(c)(5) separates blurring from tarnishment for purposes of establishing the prerequisites for damages</w:t>
      </w:r>
      <w:r w:rsidR="00197C1B" w:rsidRPr="00197C1B">
        <w:t>.</w:t>
      </w:r>
      <w:r w:rsidR="00197C1B" w:rsidRPr="00197C1B">
        <w:t xml:space="preserve"> </w:t>
      </w:r>
      <w:r w:rsidR="00197C1B" w:rsidRPr="00197C1B">
        <w:t>F</w:t>
      </w:r>
      <w:r w:rsidRPr="00197C1B">
        <w:t>or dilution by blurring, damages may be awarded upon a showing of intent to trade on the famous mark’s reputation</w:t>
      </w:r>
      <w:r w:rsidR="00197C1B" w:rsidRPr="00197C1B">
        <w:t>.</w:t>
      </w:r>
      <w:r w:rsidR="00197C1B" w:rsidRPr="00197C1B">
        <w:t xml:space="preserve"> </w:t>
      </w:r>
      <w:r w:rsidR="00197C1B" w:rsidRPr="00197C1B">
        <w:t>F</w:t>
      </w:r>
      <w:r w:rsidRPr="00197C1B">
        <w:t xml:space="preserve">or dilution by tarnishment, damages may be awarded </w:t>
      </w:r>
      <w:r w:rsidR="00197C1B" w:rsidRPr="00197C1B">
        <w:rPr>
          <w:i/>
        </w:rPr>
        <w:t>only</w:t>
      </w:r>
      <w:r w:rsidRPr="00197C1B">
        <w:t xml:space="preserve"> upon a showing of intent to </w:t>
      </w:r>
      <w:r w:rsidR="00197C1B" w:rsidRPr="00197C1B">
        <w:rPr>
          <w:i/>
        </w:rPr>
        <w:t>harm the reputation</w:t>
      </w:r>
      <w:r w:rsidRPr="00197C1B">
        <w:t xml:space="preserve"> of the famous mark</w:t>
      </w:r>
      <w:r w:rsidR="00197C1B" w:rsidRPr="00197C1B">
        <w:t>.</w:t>
      </w:r>
      <w:r w:rsidR="00197C1B" w:rsidRPr="00197C1B">
        <w:t xml:space="preserve"> </w:t>
      </w:r>
      <w:r w:rsidR="00197C1B" w:rsidRPr="00197C1B">
        <w:t>I</w:t>
      </w:r>
      <w:r w:rsidRPr="00197C1B">
        <w:t>t will not be sufficient to show an intent to trade on the reputation (as might occur with a parody or satire) in a tarnishment case.</w:t>
      </w:r>
    </w:p>
    <w:p w14:paraId="602567FD" w14:textId="6F2569D6" w:rsidR="00197C1B" w:rsidRPr="00197C1B" w:rsidRDefault="00905652" w:rsidP="00197C1B">
      <w:pPr>
        <w:pStyle w:val="BNormal"/>
      </w:pPr>
      <w:r w:rsidRPr="00197C1B">
        <w:t>In addition, a mere generalized intent to cause dilution of the famous mark will no longer be sufficient cause to award damages in either a blurring or a tarnishment case</w:t>
      </w:r>
      <w:r w:rsidR="00197C1B" w:rsidRPr="00197C1B">
        <w:t>.</w:t>
      </w:r>
      <w:r w:rsidR="00197C1B" w:rsidRPr="00197C1B">
        <w:t xml:space="preserve"> </w:t>
      </w:r>
      <w:r w:rsidR="00197C1B" w:rsidRPr="00197C1B">
        <w:t>T</w:t>
      </w:r>
      <w:r w:rsidRPr="00197C1B">
        <w:t>his would be particularly limiting in tarnishment cases, where it may be difficult to show an intent to harm the mark’s reputation, as opposed to an intent either to trade on its reputation or to cause it to be diluted in some other way</w:t>
      </w:r>
      <w:r w:rsidR="00197C1B" w:rsidRPr="00197C1B">
        <w:t>.</w:t>
      </w:r>
      <w:r w:rsidR="00197C1B" w:rsidRPr="00197C1B">
        <w:t xml:space="preserve"> </w:t>
      </w:r>
      <w:r w:rsidR="00197C1B" w:rsidRPr="00197C1B">
        <w:t>I</w:t>
      </w:r>
      <w:r w:rsidRPr="00197C1B">
        <w:t>f genericide is a permissible subcategory of dilution by blurring (which is not at all clear), then this provision could eliminate damages as a remedy because genericide could involve an intent to dilute the mark, but not necessarily to harm its reputation or trade on its reputation.</w:t>
      </w:r>
    </w:p>
    <w:p w14:paraId="7B4572C7" w14:textId="7B3208E4" w:rsidR="00197C1B" w:rsidRPr="00197C1B" w:rsidRDefault="00905652" w:rsidP="00197C1B">
      <w:pPr>
        <w:pStyle w:val="BNormal"/>
      </w:pPr>
      <w:r w:rsidRPr="00197C1B">
        <w:t xml:space="preserve">Finally, Section 43(c)(5)(A) limits damages under this section to situations in which the diluting use </w:t>
      </w:r>
      <w:r w:rsidR="00197C1B" w:rsidRPr="00197C1B">
        <w:rPr>
          <w:i/>
        </w:rPr>
        <w:t>begins after October 6, 2006</w:t>
      </w:r>
      <w:r w:rsidRPr="00197C1B">
        <w:t>.</w:t>
      </w:r>
      <w:r w:rsidR="00197C1B" w:rsidRPr="00197C1B">
        <w:rPr>
          <w:vertAlign w:val="superscript"/>
        </w:rPr>
        <w:footnoteReference w:id="94"/>
      </w:r>
      <w:r w:rsidRPr="00197C1B">
        <w:t xml:space="preserve"> The effect of this section is not entirely clear</w:t>
      </w:r>
      <w:r w:rsidR="00197C1B" w:rsidRPr="00197C1B">
        <w:t>.</w:t>
      </w:r>
      <w:r w:rsidR="00197C1B" w:rsidRPr="00197C1B">
        <w:t xml:space="preserve"> </w:t>
      </w:r>
      <w:r w:rsidR="00197C1B" w:rsidRPr="00197C1B">
        <w:t>A</w:t>
      </w:r>
      <w:r w:rsidRPr="00197C1B">
        <w:t xml:space="preserve"> “plain language” reading might eliminate the possibility of damages altogether for cases where the first diluting use occurred before October 6</w:t>
      </w:r>
      <w:r w:rsidR="00197C1B" w:rsidRPr="00197C1B">
        <w:t>.</w:t>
      </w:r>
      <w:r w:rsidR="00197C1B" w:rsidRPr="00197C1B">
        <w:t xml:space="preserve"> </w:t>
      </w:r>
      <w:r w:rsidR="00197C1B" w:rsidRPr="00197C1B">
        <w:t>H</w:t>
      </w:r>
      <w:r w:rsidRPr="00197C1B">
        <w:t>owever, the cases interpreting this Section have held that plaintiffs will have to satisfy the prior FTDA section, including its mandate that one show actual dilution, in order to recover damages.</w:t>
      </w:r>
      <w:r w:rsidR="00197C1B" w:rsidRPr="00197C1B">
        <w:rPr>
          <w:vertAlign w:val="superscript"/>
        </w:rPr>
        <w:footnoteReference w:id="95"/>
      </w:r>
    </w:p>
    <w:p w14:paraId="70BBAF31" w14:textId="36D16FA3" w:rsidR="00197C1B" w:rsidRPr="00197C1B" w:rsidRDefault="00905652" w:rsidP="00197C1B">
      <w:pPr>
        <w:pStyle w:val="BNormal"/>
      </w:pPr>
      <w:r w:rsidRPr="00197C1B">
        <w:lastRenderedPageBreak/>
        <w:t>It has also been held that damages were recoverable where the “character” of defendant’s diluting use changed significantly after October 6 (or more specifically, at the beginning of 2007).</w:t>
      </w:r>
      <w:r w:rsidR="00197C1B" w:rsidRPr="00197C1B">
        <w:rPr>
          <w:vertAlign w:val="superscript"/>
        </w:rPr>
        <w:footnoteReference w:id="96"/>
      </w:r>
    </w:p>
    <w:p w14:paraId="1A837D86" w14:textId="66A34CE4" w:rsidR="00197C1B" w:rsidRPr="00197C1B" w:rsidRDefault="00905652" w:rsidP="00197C1B">
      <w:pPr>
        <w:pStyle w:val="BNormal"/>
      </w:pPr>
      <w:r w:rsidRPr="00197C1B">
        <w:t>Because the new wording keeps the “willful intent” standard, the discussion of the prior provision and case law decided before the TDRA should continue to be relevant, as long as one keeps in mind the limitations present in Section 43(c)(5).</w:t>
      </w:r>
      <w:r w:rsidR="00197C1B" w:rsidRPr="00197C1B">
        <w:rPr>
          <w:vertAlign w:val="superscript"/>
        </w:rPr>
        <w:footnoteReference w:id="97"/>
      </w:r>
    </w:p>
    <w:p w14:paraId="4D44B7C5" w14:textId="2FC4A831" w:rsidR="00197C1B" w:rsidRPr="00197C1B" w:rsidRDefault="00B14B89" w:rsidP="00197C1B">
      <w:pPr>
        <w:pStyle w:val="BHead2"/>
      </w:pPr>
      <w:r>
        <w:t>11.III.</w:t>
      </w:r>
      <w:r w:rsidR="00197C1B" w:rsidRPr="00B14B89">
        <w:rPr>
          <w:rStyle w:val="BBNAidChar"/>
          <w:rFonts w:eastAsiaTheme="majorEastAsia"/>
        </w:rPr>
        <w:t>A</w:t>
      </w:r>
      <w:r w:rsidR="00197C1B" w:rsidRPr="00197C1B">
        <w:t>.</w:t>
      </w:r>
      <w:r>
        <w:t> </w:t>
      </w:r>
      <w:r w:rsidR="00197C1B" w:rsidRPr="00197C1B">
        <w:tab/>
        <w:t>Defining “Willful Intent”:</w:t>
      </w:r>
      <w:r w:rsidR="00197C1B" w:rsidRPr="00197C1B">
        <w:t xml:space="preserve"> </w:t>
      </w:r>
      <w:r w:rsidR="00197C1B" w:rsidRPr="00197C1B">
        <w:t>General Principles</w:t>
      </w:r>
    </w:p>
    <w:p w14:paraId="11FF7189" w14:textId="0EC013BF" w:rsidR="00197C1B" w:rsidRPr="00197C1B" w:rsidRDefault="00905652" w:rsidP="00197C1B">
      <w:pPr>
        <w:pStyle w:val="BNormal"/>
      </w:pPr>
      <w:r w:rsidRPr="00197C1B">
        <w:t>The predicate for damages under Section 43(c)(5) is that the second user “willfully intended” to trade on the owner’s reputation or cause dilution of the famous mark</w:t>
      </w:r>
      <w:r w:rsidR="00197C1B" w:rsidRPr="00197C1B">
        <w:t>.</w:t>
      </w:r>
      <w:r w:rsidR="00197C1B" w:rsidRPr="00197C1B">
        <w:t xml:space="preserve"> </w:t>
      </w:r>
      <w:r w:rsidR="00197C1B" w:rsidRPr="00197C1B">
        <w:t>T</w:t>
      </w:r>
      <w:r w:rsidRPr="00197C1B">
        <w:t>he parameters of such willful intent are unclear</w:t>
      </w:r>
      <w:r w:rsidR="00197C1B" w:rsidRPr="00197C1B">
        <w:t>.</w:t>
      </w:r>
      <w:r w:rsidR="00197C1B" w:rsidRPr="00197C1B">
        <w:t xml:space="preserve"> </w:t>
      </w:r>
      <w:r w:rsidR="00197C1B" w:rsidRPr="00197C1B">
        <w:t>T</w:t>
      </w:r>
      <w:r w:rsidRPr="00197C1B">
        <w:t>o begin with, the phrase “willfully intended” is an awkward one</w:t>
      </w:r>
      <w:r w:rsidR="00197C1B" w:rsidRPr="00197C1B">
        <w:t>.</w:t>
      </w:r>
      <w:r w:rsidR="00197C1B" w:rsidRPr="00197C1B">
        <w:t xml:space="preserve"> </w:t>
      </w:r>
      <w:r w:rsidR="00197C1B" w:rsidRPr="00197C1B">
        <w:t>N</w:t>
      </w:r>
      <w:r w:rsidRPr="00197C1B">
        <w:t>ormally, one would understand “willful” as referring to some kind of intentional conduct</w:t>
      </w:r>
      <w:r w:rsidR="00197C1B" w:rsidRPr="00197C1B">
        <w:t>.</w:t>
      </w:r>
      <w:r w:rsidR="00197C1B" w:rsidRPr="00197C1B">
        <w:t xml:space="preserve"> </w:t>
      </w:r>
      <w:r w:rsidR="00197C1B" w:rsidRPr="00197C1B">
        <w:t>T</w:t>
      </w:r>
      <w:r w:rsidRPr="00197C1B">
        <w:t>hat would make the meaning of the phrase redundant, as in “intentionally intended.” Thus, it is not clear what added force the term “willfully” brings to the statute</w:t>
      </w:r>
      <w:r w:rsidR="00197C1B" w:rsidRPr="00197C1B">
        <w:t>.</w:t>
      </w:r>
      <w:r w:rsidR="00197C1B" w:rsidRPr="00197C1B">
        <w:t xml:space="preserve"> </w:t>
      </w:r>
      <w:r w:rsidR="00197C1B" w:rsidRPr="00197C1B">
        <w:t>M</w:t>
      </w:r>
      <w:r w:rsidRPr="00197C1B">
        <w:t>ost likely, Congress wished to emphasize that only the most severe cases were eligible for damage awards.</w:t>
      </w:r>
    </w:p>
    <w:p w14:paraId="6ACAD75C" w14:textId="3C11E301" w:rsidR="00197C1B" w:rsidRPr="00197C1B" w:rsidRDefault="00905652" w:rsidP="00197C1B">
      <w:pPr>
        <w:pStyle w:val="BNormal"/>
      </w:pPr>
      <w:r w:rsidRPr="00197C1B">
        <w:t>Apart from this linguistic problem, the word “willful” itself does not carry a unique meaning</w:t>
      </w:r>
      <w:r w:rsidR="00197C1B" w:rsidRPr="00197C1B">
        <w:t>.</w:t>
      </w:r>
      <w:r w:rsidR="00197C1B" w:rsidRPr="00197C1B">
        <w:t xml:space="preserve"> </w:t>
      </w:r>
      <w:r w:rsidR="00197C1B" w:rsidRPr="00197C1B">
        <w:t>A</w:t>
      </w:r>
      <w:r w:rsidRPr="00197C1B">
        <w:t>ssuming that the statute requires some intentional or deliberate conduct, precisely what conduct and what mental status does it describe</w:t>
      </w:r>
      <w:r w:rsidR="00197C1B" w:rsidRPr="00197C1B">
        <w:t>?</w:t>
      </w:r>
      <w:r w:rsidR="00197C1B" w:rsidRPr="00197C1B">
        <w:t xml:space="preserve"> </w:t>
      </w:r>
      <w:r w:rsidR="00197C1B" w:rsidRPr="00197C1B">
        <w:t>I</w:t>
      </w:r>
      <w:r w:rsidRPr="00197C1B">
        <w:t>n particular, does it require the second user to know or intend that its conduct violates the law?</w:t>
      </w:r>
      <w:r w:rsidR="00197C1B" w:rsidRPr="00197C1B">
        <w:rPr>
          <w:vertAlign w:val="superscript"/>
        </w:rPr>
        <w:footnoteReference w:id="98"/>
      </w:r>
      <w:r w:rsidRPr="00197C1B">
        <w:t xml:space="preserve"> Probably not</w:t>
      </w:r>
      <w:r w:rsidR="00197C1B" w:rsidRPr="00197C1B">
        <w:t>.</w:t>
      </w:r>
      <w:r w:rsidR="00197C1B" w:rsidRPr="00197C1B">
        <w:t xml:space="preserve"> </w:t>
      </w:r>
      <w:r w:rsidR="00197C1B" w:rsidRPr="00197C1B">
        <w:t>A</w:t>
      </w:r>
      <w:r w:rsidRPr="00197C1B">
        <w:t>lternatively, does it simply require that the second user intended the act that the court finds causes dilution?</w:t>
      </w:r>
      <w:r w:rsidR="00197C1B" w:rsidRPr="00197C1B">
        <w:rPr>
          <w:vertAlign w:val="superscript"/>
        </w:rPr>
        <w:footnoteReference w:id="99"/>
      </w:r>
      <w:r w:rsidRPr="00197C1B">
        <w:t xml:space="preserve"> Here, the answer is more clearly no</w:t>
      </w:r>
      <w:r w:rsidR="00197C1B" w:rsidRPr="00197C1B">
        <w:t>.</w:t>
      </w:r>
      <w:r w:rsidR="00197C1B" w:rsidRPr="00197C1B">
        <w:t xml:space="preserve"> </w:t>
      </w:r>
      <w:r w:rsidR="00197C1B" w:rsidRPr="00197C1B">
        <w:t>I</w:t>
      </w:r>
      <w:r w:rsidRPr="00197C1B">
        <w:t>f it were otherwise, all dilution cases, save those rare cases where the defendant did not intend to make use of the mark, would warrant damages</w:t>
      </w:r>
      <w:r w:rsidR="00197C1B" w:rsidRPr="00197C1B">
        <w:t>.</w:t>
      </w:r>
      <w:r w:rsidR="00197C1B" w:rsidRPr="00197C1B">
        <w:t xml:space="preserve"> </w:t>
      </w:r>
      <w:r w:rsidR="00197C1B" w:rsidRPr="00197C1B">
        <w:t>M</w:t>
      </w:r>
      <w:r w:rsidRPr="00197C1B">
        <w:t>oreover, Congress clearly regarded only two circumstances as warranting damages</w:t>
      </w:r>
      <w:r w:rsidR="00197C1B" w:rsidRPr="00197C1B">
        <w:t>:</w:t>
      </w:r>
      <w:r w:rsidR="00197C1B" w:rsidRPr="00197C1B">
        <w:t xml:space="preserve"> </w:t>
      </w:r>
      <w:r w:rsidR="00197C1B" w:rsidRPr="00197C1B">
        <w:t>w</w:t>
      </w:r>
      <w:r w:rsidRPr="00197C1B">
        <w:t>here the defendant intended to harm the value of the mark (by causing dilution), and where the defendant wanted (“willfully intended”) to trade on the mark owner’s reputation</w:t>
      </w:r>
      <w:r w:rsidR="00197C1B" w:rsidRPr="00197C1B">
        <w:t>.</w:t>
      </w:r>
      <w:r w:rsidR="00197C1B" w:rsidRPr="00197C1B">
        <w:t xml:space="preserve"> </w:t>
      </w:r>
      <w:r w:rsidR="00197C1B" w:rsidRPr="00197C1B">
        <w:t>I</w:t>
      </w:r>
      <w:r w:rsidRPr="00197C1B">
        <w:t>n several trademark infringement cases, courts have stated that willfulness for purposes of awarding attorney’s fees involves more than simply a voluntary or even intentional act</w:t>
      </w:r>
      <w:r w:rsidR="00197C1B" w:rsidRPr="00197C1B">
        <w:t>;</w:t>
      </w:r>
      <w:r w:rsidR="00197C1B" w:rsidRPr="00197C1B">
        <w:t xml:space="preserve"> </w:t>
      </w:r>
      <w:r w:rsidR="00197C1B" w:rsidRPr="00197C1B">
        <w:t>i</w:t>
      </w:r>
      <w:r w:rsidRPr="00197C1B">
        <w:t>t requires some measure of “bad faith.”</w:t>
      </w:r>
      <w:r w:rsidR="00197C1B" w:rsidRPr="00197C1B">
        <w:rPr>
          <w:vertAlign w:val="superscript"/>
        </w:rPr>
        <w:footnoteReference w:id="100"/>
      </w:r>
      <w:r w:rsidRPr="00197C1B">
        <w:t xml:space="preserve"> Given the distinction drawn in both the FTDA and TDRA between conduct warranting an injunction and conduct warranting damages, at least as high a standard should apply to willful intent.</w:t>
      </w:r>
    </w:p>
    <w:p w14:paraId="6E88D8E7" w14:textId="2881A239" w:rsidR="00197C1B" w:rsidRPr="00197C1B" w:rsidRDefault="00905652" w:rsidP="00197C1B">
      <w:pPr>
        <w:pStyle w:val="BNormal"/>
      </w:pPr>
      <w:r w:rsidRPr="00197C1B">
        <w:lastRenderedPageBreak/>
        <w:t>Even after ascertaining the proper level of fault, one is left with an awkward statutory construction problem</w:t>
      </w:r>
      <w:r w:rsidR="00197C1B" w:rsidRPr="00197C1B">
        <w:t>.</w:t>
      </w:r>
      <w:r w:rsidR="00197C1B" w:rsidRPr="00197C1B">
        <w:t xml:space="preserve"> </w:t>
      </w:r>
      <w:r w:rsidR="00197C1B" w:rsidRPr="00197C1B">
        <w:t>T</w:t>
      </w:r>
      <w:r w:rsidRPr="00197C1B">
        <w:t>he statute alters the circumstances that lead to damages depending on the type of dilution involved</w:t>
      </w:r>
      <w:r w:rsidR="00197C1B" w:rsidRPr="00197C1B">
        <w:t>.</w:t>
      </w:r>
      <w:r w:rsidR="00197C1B" w:rsidRPr="00197C1B">
        <w:t xml:space="preserve"> </w:t>
      </w:r>
      <w:r w:rsidR="00197C1B" w:rsidRPr="00197C1B">
        <w:t>I</w:t>
      </w:r>
      <w:r w:rsidRPr="00197C1B">
        <w:t>f the case involves dilution by blurring, then the offender must willfully trade on the reputation of the famous mark for the plaintiff to recover damages.</w:t>
      </w:r>
      <w:r w:rsidR="00197C1B" w:rsidRPr="00197C1B">
        <w:rPr>
          <w:vertAlign w:val="superscript"/>
        </w:rPr>
        <w:footnoteReference w:id="101"/>
      </w:r>
      <w:r w:rsidRPr="00197C1B">
        <w:t xml:space="preserve"> If the case involves dilution by tarnishment, then the offender must have intended to harm the reputation of the mark in order for damages to be recovered.</w:t>
      </w:r>
      <w:r w:rsidR="00197C1B" w:rsidRPr="00197C1B">
        <w:rPr>
          <w:vertAlign w:val="superscript"/>
        </w:rPr>
        <w:footnoteReference w:id="102"/>
      </w:r>
      <w:r w:rsidRPr="00197C1B">
        <w:t xml:space="preserve"> Intentionally harming the mark’s reputation would be unusual</w:t>
      </w:r>
      <w:r w:rsidR="00197C1B" w:rsidRPr="00197C1B">
        <w:t>.</w:t>
      </w:r>
      <w:r w:rsidR="00197C1B" w:rsidRPr="00197C1B">
        <w:t xml:space="preserve"> </w:t>
      </w:r>
      <w:r w:rsidR="00197C1B" w:rsidRPr="00197C1B">
        <w:t>I</w:t>
      </w:r>
      <w:r w:rsidRPr="00197C1B">
        <w:t>f one wants to take some untoward advantage of a famous mark, one does not wish the mark to become less well known as a source identifier</w:t>
      </w:r>
      <w:r w:rsidR="00197C1B" w:rsidRPr="00197C1B">
        <w:t>.</w:t>
      </w:r>
      <w:r w:rsidR="00197C1B" w:rsidRPr="00197C1B">
        <w:t xml:space="preserve"> </w:t>
      </w:r>
      <w:r w:rsidR="00197C1B" w:rsidRPr="00197C1B">
        <w:t>T</w:t>
      </w:r>
      <w:r w:rsidRPr="00197C1B">
        <w:t>hat usually would defeat the second user’s purpose, which, in a tarnishment case, probably would be to use the mark as a foil.</w:t>
      </w:r>
      <w:r w:rsidR="00197C1B" w:rsidRPr="00197C1B">
        <w:rPr>
          <w:vertAlign w:val="superscript"/>
        </w:rPr>
        <w:footnoteReference w:id="103"/>
      </w:r>
      <w:r w:rsidRPr="00197C1B">
        <w:t xml:space="preserve"> Only in the situation where one would like to make the mark generic would this conduct make any sense,</w:t>
      </w:r>
      <w:r w:rsidR="00197C1B" w:rsidRPr="00197C1B">
        <w:rPr>
          <w:vertAlign w:val="superscript"/>
        </w:rPr>
        <w:footnoteReference w:id="104"/>
      </w:r>
      <w:r w:rsidRPr="00197C1B">
        <w:t xml:space="preserve"> and that would be a very unusual case</w:t>
      </w:r>
      <w:r w:rsidR="00197C1B" w:rsidRPr="00197C1B">
        <w:t>.</w:t>
      </w:r>
      <w:r w:rsidR="00197C1B" w:rsidRPr="00197C1B">
        <w:t xml:space="preserve"> </w:t>
      </w:r>
      <w:r w:rsidR="00197C1B" w:rsidRPr="00197C1B">
        <w:t>P</w:t>
      </w:r>
      <w:r w:rsidRPr="00197C1B">
        <w:t>erhaps there are some cases in which a defendant truly wants to besmirch the reputation of the owner of a famous mark (perhaps for political reasons), but those instances are undoubtedly very unusual and many would never reach this stage—liability would be shielded by one of the exclusions discussed in Chapter 10.</w:t>
      </w:r>
    </w:p>
    <w:p w14:paraId="06372674" w14:textId="548FDD6E" w:rsidR="00197C1B" w:rsidRPr="00197C1B" w:rsidRDefault="00905652" w:rsidP="00197C1B">
      <w:pPr>
        <w:pStyle w:val="BNormal"/>
      </w:pPr>
      <w:r w:rsidRPr="00197C1B">
        <w:t>The concept of taking advantage of another’s reputation is more comprehensible</w:t>
      </w:r>
      <w:r w:rsidR="00197C1B" w:rsidRPr="00197C1B">
        <w:t>.</w:t>
      </w:r>
      <w:r w:rsidR="00197C1B" w:rsidRPr="00197C1B">
        <w:t xml:space="preserve"> </w:t>
      </w:r>
      <w:r w:rsidR="00197C1B" w:rsidRPr="00197C1B">
        <w:t>A</w:t>
      </w:r>
      <w:r w:rsidRPr="00197C1B">
        <w:t xml:space="preserve"> television manufacturer who used the name Kodak for its products might be an example</w:t>
      </w:r>
      <w:r w:rsidR="00197C1B" w:rsidRPr="00197C1B">
        <w:t>.</w:t>
      </w:r>
      <w:r w:rsidR="00197C1B" w:rsidRPr="00197C1B">
        <w:t xml:space="preserve"> </w:t>
      </w:r>
      <w:r w:rsidR="00197C1B" w:rsidRPr="00197C1B">
        <w:t>H</w:t>
      </w:r>
      <w:r w:rsidRPr="00197C1B">
        <w:t>owever, in a blurring context one would expect that the primary benefit of such action would be from confusion rather than dilution</w:t>
      </w:r>
      <w:r w:rsidR="00197C1B" w:rsidRPr="00197C1B">
        <w:t>.</w:t>
      </w:r>
      <w:r w:rsidR="00197C1B" w:rsidRPr="00197C1B">
        <w:t xml:space="preserve"> </w:t>
      </w:r>
      <w:r w:rsidR="00197C1B" w:rsidRPr="00197C1B">
        <w:t>T</w:t>
      </w:r>
      <w:r w:rsidRPr="00197C1B">
        <w:t>he second user normally would want consumers to believe that some association exists between the famous mark owner and the second user, so that the good feelings that consumers have about the famous mark would be transferred to the goods of the second user</w:t>
      </w:r>
      <w:r w:rsidR="00197C1B" w:rsidRPr="00197C1B">
        <w:t>.</w:t>
      </w:r>
      <w:r w:rsidR="00197C1B" w:rsidRPr="00197C1B">
        <w:t xml:space="preserve"> </w:t>
      </w:r>
      <w:r w:rsidR="00197C1B" w:rsidRPr="00197C1B">
        <w:t>I</w:t>
      </w:r>
      <w:r w:rsidRPr="00197C1B">
        <w:t>f consumers are not confused, then there is little value to the action, except perhaps for consumers who purchase the product as a gag or a curiosity</w:t>
      </w:r>
      <w:r w:rsidR="00197C1B" w:rsidRPr="00197C1B">
        <w:t>.</w:t>
      </w:r>
      <w:r w:rsidR="00197C1B" w:rsidRPr="00197C1B">
        <w:t xml:space="preserve"> </w:t>
      </w:r>
      <w:r w:rsidR="00197C1B" w:rsidRPr="00197C1B">
        <w:t>I</w:t>
      </w:r>
      <w:r w:rsidRPr="00197C1B">
        <w:t>f consumers are confused, then damages are available anyway, even without showing willful intent.</w:t>
      </w:r>
    </w:p>
    <w:p w14:paraId="6059C13F" w14:textId="2A113807" w:rsidR="00197C1B" w:rsidRPr="00197C1B" w:rsidRDefault="00905652" w:rsidP="00197C1B">
      <w:pPr>
        <w:pStyle w:val="BNormal"/>
      </w:pPr>
      <w:r w:rsidRPr="00197C1B">
        <w:t>Tarnishment cases might be the major category of cases logically fitting willful intent</w:t>
      </w:r>
      <w:r w:rsidR="00197C1B" w:rsidRPr="00197C1B">
        <w:t>.</w:t>
      </w:r>
      <w:r w:rsidR="00197C1B" w:rsidRPr="00197C1B">
        <w:t xml:space="preserve"> </w:t>
      </w:r>
      <w:r w:rsidR="00197C1B" w:rsidRPr="00197C1B">
        <w:t>B</w:t>
      </w:r>
      <w:r w:rsidRPr="00197C1B">
        <w:t>ut those cases usually would be parodies, or perhaps comparative advertisements, most of which are excluded from liability under Section 43(c)(3)</w:t>
      </w:r>
      <w:r w:rsidR="00197C1B" w:rsidRPr="00197C1B">
        <w:t>.</w:t>
      </w:r>
      <w:r w:rsidR="00197C1B" w:rsidRPr="00197C1B">
        <w:t xml:space="preserve"> </w:t>
      </w:r>
      <w:r w:rsidR="00197C1B" w:rsidRPr="00197C1B">
        <w:t>C</w:t>
      </w:r>
      <w:r w:rsidRPr="00197C1B">
        <w:t>ases involving sexually oriented Internet websites using a famous mark may comprise the most common nonexcluded candidates for this category</w:t>
      </w:r>
      <w:r w:rsidR="00197C1B" w:rsidRPr="00197C1B">
        <w:t>.</w:t>
      </w:r>
      <w:r w:rsidR="00197C1B" w:rsidRPr="00197C1B">
        <w:t xml:space="preserve"> </w:t>
      </w:r>
      <w:r w:rsidR="00197C1B" w:rsidRPr="00197C1B">
        <w:t>E</w:t>
      </w:r>
      <w:r w:rsidRPr="00197C1B">
        <w:t>ven here, the defendant’s interest is more in taking advantage of the famous mark’s reputation, rather than actually harming the reputation</w:t>
      </w:r>
      <w:r w:rsidR="00197C1B" w:rsidRPr="00197C1B">
        <w:t>.</w:t>
      </w:r>
      <w:r w:rsidR="00197C1B" w:rsidRPr="00197C1B">
        <w:t xml:space="preserve"> </w:t>
      </w:r>
      <w:r w:rsidR="00197C1B" w:rsidRPr="00197C1B">
        <w:t>B</w:t>
      </w:r>
      <w:r w:rsidRPr="00197C1B">
        <w:t>ut regardless of a defendant’s motive, this seems to be a lot of effort for relatively little gain</w:t>
      </w:r>
      <w:r w:rsidR="00197C1B" w:rsidRPr="00197C1B">
        <w:t>.</w:t>
      </w:r>
      <w:r w:rsidR="00197C1B" w:rsidRPr="00197C1B">
        <w:t xml:space="preserve"> </w:t>
      </w:r>
      <w:r w:rsidR="00197C1B" w:rsidRPr="00197C1B">
        <w:t>C</w:t>
      </w:r>
      <w:r w:rsidRPr="00197C1B">
        <w:t>ourts should be careful to stick to the limitations in tarnishment cases and not impose damages for undifferentiated “willful” conduct.</w:t>
      </w:r>
      <w:r w:rsidR="00197C1B" w:rsidRPr="00197C1B">
        <w:rPr>
          <w:vertAlign w:val="superscript"/>
        </w:rPr>
        <w:footnoteReference w:id="105"/>
      </w:r>
    </w:p>
    <w:p w14:paraId="054DF2C5" w14:textId="267523D6" w:rsidR="00197C1B" w:rsidRPr="00197C1B" w:rsidRDefault="00B14B89" w:rsidP="00197C1B">
      <w:pPr>
        <w:pStyle w:val="BHead2"/>
      </w:pPr>
      <w:r>
        <w:t>11.III.</w:t>
      </w:r>
      <w:r w:rsidR="00197C1B" w:rsidRPr="00B14B89">
        <w:rPr>
          <w:rStyle w:val="BBNAidChar"/>
          <w:rFonts w:eastAsiaTheme="majorEastAsia"/>
        </w:rPr>
        <w:t>B</w:t>
      </w:r>
      <w:r w:rsidR="00197C1B" w:rsidRPr="00197C1B">
        <w:t>.</w:t>
      </w:r>
      <w:r>
        <w:t> </w:t>
      </w:r>
      <w:r w:rsidR="00197C1B" w:rsidRPr="00197C1B">
        <w:tab/>
        <w:t>Defining “Willful Intent”:</w:t>
      </w:r>
      <w:r w:rsidR="00197C1B" w:rsidRPr="00197C1B">
        <w:t xml:space="preserve"> </w:t>
      </w:r>
      <w:r w:rsidR="00197C1B" w:rsidRPr="00197C1B">
        <w:t>The Courts’ Experience Under the FTDA and TDRA</w:t>
      </w:r>
    </w:p>
    <w:p w14:paraId="100FAA17" w14:textId="79C2501D" w:rsidR="00197C1B" w:rsidRPr="00197C1B" w:rsidRDefault="00905652" w:rsidP="00197C1B">
      <w:pPr>
        <w:pStyle w:val="BNormal"/>
      </w:pPr>
      <w:r w:rsidRPr="00197C1B">
        <w:lastRenderedPageBreak/>
        <w:t>As one might expect, a relatively small number of fully litigated cases have awarded damages under the FTDA and TDRA.</w:t>
      </w:r>
      <w:r w:rsidR="00197C1B" w:rsidRPr="00197C1B">
        <w:rPr>
          <w:vertAlign w:val="superscript"/>
        </w:rPr>
        <w:footnoteReference w:id="106"/>
      </w:r>
      <w:r w:rsidRPr="00197C1B">
        <w:t xml:space="preserve"> Nevertheless, these cases give us some indication of the circumstances under which willful intent is found.</w:t>
      </w:r>
    </w:p>
    <w:p w14:paraId="57FAAC30" w14:textId="794FD75D" w:rsidR="00197C1B" w:rsidRPr="00197C1B" w:rsidRDefault="00905652" w:rsidP="00197C1B">
      <w:pPr>
        <w:pStyle w:val="BNormal"/>
      </w:pPr>
      <w:r w:rsidRPr="00197C1B">
        <w:t>One category of willful conduct involves the violation of an injunction</w:t>
      </w:r>
      <w:r w:rsidR="00197C1B" w:rsidRPr="00197C1B">
        <w:t>.</w:t>
      </w:r>
      <w:r w:rsidR="00197C1B" w:rsidRPr="00197C1B">
        <w:t xml:space="preserve"> </w:t>
      </w:r>
      <w:r w:rsidR="00197C1B" w:rsidRPr="00197C1B">
        <w:t>F</w:t>
      </w:r>
      <w:r w:rsidRPr="00197C1B">
        <w:t xml:space="preserve">or example, in </w:t>
      </w:r>
      <w:r w:rsidR="00197C1B" w:rsidRPr="00197C1B">
        <w:rPr>
          <w:i/>
        </w:rPr>
        <w:t>Polo Ralph Lauren L</w:t>
      </w:r>
      <w:r w:rsidRPr="00197C1B">
        <w:t>.</w:t>
      </w:r>
      <w:r w:rsidR="00197C1B" w:rsidRPr="00197C1B">
        <w:rPr>
          <w:i/>
        </w:rPr>
        <w:t>P</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Schuman</w:t>
      </w:r>
      <w:r w:rsidRPr="00197C1B">
        <w:t>,</w:t>
      </w:r>
      <w:r w:rsidR="00197C1B" w:rsidRPr="00197C1B">
        <w:rPr>
          <w:vertAlign w:val="superscript"/>
        </w:rPr>
        <w:footnoteReference w:id="107"/>
      </w:r>
      <w:r w:rsidRPr="00197C1B">
        <w:t xml:space="preserve"> the plaintiff claimed that the defendant’s “adult entertainment establishment” called The Polo Club diluted (by tarnishment) the plaintiff’s Polo mark</w:t>
      </w:r>
      <w:r w:rsidR="00197C1B" w:rsidRPr="00197C1B">
        <w:t>.</w:t>
      </w:r>
      <w:r w:rsidR="00197C1B" w:rsidRPr="00197C1B">
        <w:t xml:space="preserve"> </w:t>
      </w:r>
      <w:r w:rsidR="00197C1B" w:rsidRPr="00197C1B">
        <w:t>T</w:t>
      </w:r>
      <w:r w:rsidRPr="00197C1B">
        <w:t>he trial court entered a preliminary injunction, enjoining the use of The Polo Club by the defendant.</w:t>
      </w:r>
      <w:r w:rsidR="00197C1B" w:rsidRPr="00197C1B">
        <w:rPr>
          <w:vertAlign w:val="superscript"/>
        </w:rPr>
        <w:footnoteReference w:id="108"/>
      </w:r>
      <w:r w:rsidRPr="00197C1B">
        <w:t xml:space="preserve"> The defendant then began using the name Polo Executive Retreat for his business.</w:t>
      </w:r>
      <w:r w:rsidR="00197C1B" w:rsidRPr="00197C1B">
        <w:rPr>
          <w:vertAlign w:val="superscript"/>
        </w:rPr>
        <w:footnoteReference w:id="109"/>
      </w:r>
      <w:r w:rsidRPr="00197C1B">
        <w:t xml:space="preserve"> After a trial, the court found the new name to be diluting and the dilution to be willful</w:t>
      </w:r>
      <w:r w:rsidR="00197C1B" w:rsidRPr="00197C1B">
        <w:t>.</w:t>
      </w:r>
      <w:r w:rsidR="00197C1B" w:rsidRPr="00197C1B">
        <w:t xml:space="preserve"> </w:t>
      </w:r>
      <w:r w:rsidR="00197C1B" w:rsidRPr="00197C1B">
        <w:t>A</w:t>
      </w:r>
      <w:r w:rsidRPr="00197C1B">
        <w:t>s the court stated, “a defendant who has been enjoined from acts that dilute a trademark has a heavier burden than one not so enjoined from engaging in like activity.”</w:t>
      </w:r>
      <w:r w:rsidR="00197C1B" w:rsidRPr="00197C1B">
        <w:rPr>
          <w:vertAlign w:val="superscript"/>
        </w:rPr>
        <w:footnoteReference w:id="110"/>
      </w:r>
      <w:r w:rsidRPr="00197C1B">
        <w:t xml:space="preserve"> Such a defendant must “‘keep a safe distance away from the dividing line between violation of and compliance with the injunction.’”</w:t>
      </w:r>
      <w:r w:rsidR="00197C1B" w:rsidRPr="00197C1B">
        <w:rPr>
          <w:vertAlign w:val="superscript"/>
        </w:rPr>
        <w:footnoteReference w:id="111"/>
      </w:r>
      <w:r w:rsidRPr="00197C1B">
        <w:t xml:space="preserve"> The court awarded an accounting of the defendant’s profits and attorney’s fees to the plaintiff.</w:t>
      </w:r>
      <w:r w:rsidR="00197C1B" w:rsidRPr="00197C1B">
        <w:rPr>
          <w:vertAlign w:val="superscript"/>
        </w:rPr>
        <w:footnoteReference w:id="112"/>
      </w:r>
    </w:p>
    <w:p w14:paraId="66412445" w14:textId="480ED075" w:rsidR="00197C1B" w:rsidRPr="00197C1B" w:rsidRDefault="00905652" w:rsidP="00197C1B">
      <w:pPr>
        <w:pStyle w:val="BNormal"/>
      </w:pPr>
      <w:r w:rsidRPr="00197C1B">
        <w:t xml:space="preserve">In </w:t>
      </w:r>
      <w:r w:rsidR="00197C1B" w:rsidRPr="00197C1B">
        <w:rPr>
          <w:i/>
        </w:rPr>
        <w:t>Rolex Watch U</w:t>
      </w:r>
      <w:r w:rsidRPr="00197C1B">
        <w:t>.</w:t>
      </w:r>
      <w:r w:rsidR="00197C1B" w:rsidRPr="00197C1B">
        <w:rPr>
          <w:i/>
        </w:rPr>
        <w:t>S</w:t>
      </w:r>
      <w:r w:rsidRPr="00197C1B">
        <w:t>.</w:t>
      </w:r>
      <w:r w:rsidR="00197C1B" w:rsidRPr="00197C1B">
        <w:rPr>
          <w:i/>
        </w:rPr>
        <w:t>A</w:t>
      </w:r>
      <w:r w:rsidRPr="00197C1B">
        <w:t>.</w:t>
      </w:r>
      <w:r w:rsidR="00197C1B" w:rsidRPr="00197C1B">
        <w:rPr>
          <w:i/>
        </w:rPr>
        <w:t>,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Crowley</w:t>
      </w:r>
      <w:r w:rsidRPr="00197C1B">
        <w:t>,</w:t>
      </w:r>
      <w:r w:rsidR="00197C1B" w:rsidRPr="00197C1B">
        <w:rPr>
          <w:vertAlign w:val="superscript"/>
        </w:rPr>
        <w:footnoteReference w:id="113"/>
      </w:r>
      <w:r w:rsidRPr="00197C1B">
        <w:t xml:space="preserve"> the defendants were accused of selling reconditioned Rolex watches without disclosing that they had been repaired without Rolex parts.</w:t>
      </w:r>
      <w:r w:rsidR="00197C1B" w:rsidRPr="00197C1B">
        <w:rPr>
          <w:vertAlign w:val="superscript"/>
        </w:rPr>
        <w:footnoteReference w:id="114"/>
      </w:r>
      <w:r w:rsidRPr="00197C1B">
        <w:t xml:space="preserve"> The defendants consented to an injunction</w:t>
      </w:r>
      <w:r w:rsidR="00197C1B" w:rsidRPr="00197C1B">
        <w:t>.</w:t>
      </w:r>
      <w:r w:rsidR="00197C1B" w:rsidRPr="00197C1B">
        <w:t xml:space="preserve"> </w:t>
      </w:r>
      <w:r w:rsidR="00197C1B" w:rsidRPr="00197C1B">
        <w:t>S</w:t>
      </w:r>
      <w:r w:rsidRPr="00197C1B">
        <w:t>ubsequently, the defendants were found to have violated the injunction—which related to both infringement and dilution—and were held in contempt.</w:t>
      </w:r>
      <w:r w:rsidR="00197C1B" w:rsidRPr="00197C1B">
        <w:rPr>
          <w:vertAlign w:val="superscript"/>
        </w:rPr>
        <w:footnoteReference w:id="115"/>
      </w:r>
      <w:r w:rsidRPr="00197C1B">
        <w:t xml:space="preserve"> The Sixth Circuit upheld the contempt citation and the trial court’s award of attorney’s fees,</w:t>
      </w:r>
      <w:r w:rsidR="00197C1B" w:rsidRPr="00197C1B">
        <w:rPr>
          <w:vertAlign w:val="superscript"/>
        </w:rPr>
        <w:footnoteReference w:id="116"/>
      </w:r>
      <w:r w:rsidRPr="00197C1B">
        <w:t xml:space="preserve"> and affirmed the trial court’s finding that the contempt was willful.</w:t>
      </w:r>
      <w:r w:rsidR="00197C1B" w:rsidRPr="00197C1B">
        <w:rPr>
          <w:vertAlign w:val="superscript"/>
        </w:rPr>
        <w:footnoteReference w:id="117"/>
      </w:r>
      <w:r w:rsidRPr="00197C1B">
        <w:t xml:space="preserve"> Notably, the court upheld a sanction of $15,000 for the contempt, described as a “compensatory sanction.”</w:t>
      </w:r>
      <w:r w:rsidR="00197C1B" w:rsidRPr="00197C1B">
        <w:rPr>
          <w:vertAlign w:val="superscript"/>
        </w:rPr>
        <w:footnoteReference w:id="118"/>
      </w:r>
    </w:p>
    <w:p w14:paraId="23BCA431" w14:textId="110CF576" w:rsidR="00197C1B" w:rsidRPr="00197C1B" w:rsidRDefault="00905652" w:rsidP="00197C1B">
      <w:pPr>
        <w:pStyle w:val="BNormal"/>
      </w:pPr>
      <w:r w:rsidRPr="00197C1B">
        <w:t xml:space="preserve">In </w:t>
      </w:r>
      <w:r w:rsidR="00197C1B" w:rsidRPr="00197C1B">
        <w:rPr>
          <w:i/>
        </w:rPr>
        <w:t>Fendi Adele S</w:t>
      </w:r>
      <w:r w:rsidRPr="00197C1B">
        <w:t>.</w:t>
      </w:r>
      <w:r w:rsidR="00197C1B" w:rsidRPr="00197C1B">
        <w:rPr>
          <w:i/>
        </w:rPr>
        <w:t>r</w:t>
      </w:r>
      <w:r w:rsidRPr="00197C1B">
        <w:t>.</w:t>
      </w:r>
      <w:r w:rsidR="00197C1B" w:rsidRPr="00197C1B">
        <w:rPr>
          <w:i/>
        </w:rPr>
        <w:t>l</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Burlington Coat Factory Warehouse Corp</w:t>
      </w:r>
      <w:r w:rsidRPr="00197C1B">
        <w:t>.,</w:t>
      </w:r>
      <w:r w:rsidR="00197C1B" w:rsidRPr="00197C1B">
        <w:rPr>
          <w:vertAlign w:val="superscript"/>
        </w:rPr>
        <w:footnoteReference w:id="119"/>
      </w:r>
      <w:r w:rsidRPr="00197C1B">
        <w:t xml:space="preserve"> the court cited the fact that Burlington had been subject to a prior injunction that limited its ability to purchase Fendi branded goods from third parties, but did not truly implement the requirements of the injunction.</w:t>
      </w:r>
      <w:r w:rsidR="00197C1B" w:rsidRPr="00197C1B">
        <w:rPr>
          <w:vertAlign w:val="superscript"/>
        </w:rPr>
        <w:footnoteReference w:id="120"/>
      </w:r>
    </w:p>
    <w:p w14:paraId="1ECA0F15" w14:textId="4FBA1673" w:rsidR="00197C1B" w:rsidRPr="00197C1B" w:rsidRDefault="00905652" w:rsidP="00197C1B">
      <w:pPr>
        <w:pStyle w:val="BNormal"/>
      </w:pPr>
      <w:r w:rsidRPr="00197C1B">
        <w:t xml:space="preserve">Another example is </w:t>
      </w:r>
      <w:r w:rsidR="00197C1B" w:rsidRPr="00197C1B">
        <w:rPr>
          <w:i/>
        </w:rPr>
        <w:t>Oddzon Products,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Diana Dolls Fashions, Inc</w:t>
      </w:r>
      <w:r w:rsidRPr="00197C1B">
        <w:t>.</w:t>
      </w:r>
      <w:r w:rsidR="00197C1B" w:rsidRPr="00197C1B">
        <w:rPr>
          <w:vertAlign w:val="superscript"/>
        </w:rPr>
        <w:footnoteReference w:id="121"/>
      </w:r>
      <w:r w:rsidRPr="00197C1B">
        <w:t xml:space="preserve"> The defendants consented to a judgment against their use of the mark Kooshies after six months.</w:t>
      </w:r>
      <w:r w:rsidR="00197C1B" w:rsidRPr="00197C1B">
        <w:rPr>
          <w:vertAlign w:val="superscript"/>
        </w:rPr>
        <w:footnoteReference w:id="122"/>
      </w:r>
      <w:r w:rsidRPr="00197C1B">
        <w:t xml:space="preserve"> Then, in late 1996, the plaintiffs moved to </w:t>
      </w:r>
      <w:r w:rsidRPr="00197C1B">
        <w:lastRenderedPageBreak/>
        <w:t>hold the defendant in contempt</w:t>
      </w:r>
      <w:r w:rsidR="00197C1B" w:rsidRPr="00197C1B">
        <w:t>.</w:t>
      </w:r>
      <w:r w:rsidR="00197C1B" w:rsidRPr="00197C1B">
        <w:t xml:space="preserve"> </w:t>
      </w:r>
      <w:r w:rsidR="00197C1B" w:rsidRPr="00197C1B">
        <w:t>A</w:t>
      </w:r>
      <w:r w:rsidRPr="00197C1B">
        <w:t>fter determining that the defendant had violated the injunction, the court found this action to be both a “willful infringement” and a “willful dilution” of the plaintiff’s marks.</w:t>
      </w:r>
      <w:r w:rsidR="00197C1B" w:rsidRPr="00197C1B">
        <w:rPr>
          <w:vertAlign w:val="superscript"/>
        </w:rPr>
        <w:footnoteReference w:id="123"/>
      </w:r>
    </w:p>
    <w:p w14:paraId="584810DF" w14:textId="30FC0708" w:rsidR="00197C1B" w:rsidRPr="00197C1B" w:rsidRDefault="00905652" w:rsidP="00197C1B">
      <w:pPr>
        <w:pStyle w:val="BNormal"/>
      </w:pPr>
      <w:r w:rsidRPr="00197C1B">
        <w:t>In effect, the court regards the violation of an injunction as a substitute for demonstrating the defendant’s intent to trade on or harm the plaintiff’s reputation in these cases</w:t>
      </w:r>
      <w:r w:rsidR="00197C1B" w:rsidRPr="00197C1B">
        <w:t>.</w:t>
      </w:r>
      <w:r w:rsidR="00197C1B" w:rsidRPr="00197C1B">
        <w:t xml:space="preserve"> </w:t>
      </w:r>
      <w:r w:rsidR="00197C1B" w:rsidRPr="00197C1B">
        <w:t>H</w:t>
      </w:r>
      <w:r w:rsidRPr="00197C1B">
        <w:t>owever, most of these cases occurred under the FTDA, when all that was needed was a willful intent to cause dilution of any sort</w:t>
      </w:r>
      <w:r w:rsidR="00197C1B" w:rsidRPr="00197C1B">
        <w:t>.</w:t>
      </w:r>
      <w:r w:rsidR="00197C1B" w:rsidRPr="00197C1B">
        <w:t xml:space="preserve"> </w:t>
      </w:r>
      <w:r w:rsidR="00197C1B" w:rsidRPr="00197C1B">
        <w:t>U</w:t>
      </w:r>
      <w:r w:rsidRPr="00197C1B">
        <w:t>nder the TDRA, it may be reasonable to assume that a deliberate violation of an injunction equates to an intent to trade on the famous mark’s reputation (for blurring)</w:t>
      </w:r>
      <w:r w:rsidR="00197C1B" w:rsidRPr="00197C1B">
        <w:t>.</w:t>
      </w:r>
      <w:r w:rsidR="00197C1B" w:rsidRPr="00197C1B">
        <w:t xml:space="preserve"> </w:t>
      </w:r>
      <w:r w:rsidR="00197C1B" w:rsidRPr="00197C1B">
        <w:t>B</w:t>
      </w:r>
      <w:r w:rsidRPr="00197C1B">
        <w:t xml:space="preserve">ut it does not necessarily follow that such flouting of injunctions means the defendant intends to </w:t>
      </w:r>
      <w:r w:rsidR="00197C1B" w:rsidRPr="00197C1B">
        <w:rPr>
          <w:i/>
        </w:rPr>
        <w:t>harm</w:t>
      </w:r>
      <w:r w:rsidRPr="00197C1B">
        <w:t xml:space="preserve"> the mark’s reputation.</w:t>
      </w:r>
    </w:p>
    <w:p w14:paraId="4EF42FCC" w14:textId="77777777" w:rsidR="00197C1B" w:rsidRPr="00197C1B" w:rsidRDefault="00905652" w:rsidP="00197C1B">
      <w:pPr>
        <w:pStyle w:val="BNormal"/>
      </w:pPr>
      <w:r w:rsidRPr="00197C1B">
        <w:t>Cases not involving violations of injunctions do not follow well-defined patterns.</w:t>
      </w:r>
    </w:p>
    <w:p w14:paraId="402B4EA0" w14:textId="6BD0EC0E" w:rsidR="00197C1B" w:rsidRPr="00197C1B" w:rsidRDefault="00905652" w:rsidP="00197C1B">
      <w:pPr>
        <w:pStyle w:val="BNormal"/>
      </w:pPr>
      <w:r w:rsidRPr="00197C1B">
        <w:t>Willfulness may be defined as having knowledge of infringement (or dilution) or recklessly disregarding the existence of infringement (or dilution).</w:t>
      </w:r>
      <w:r w:rsidR="00197C1B" w:rsidRPr="00197C1B">
        <w:rPr>
          <w:vertAlign w:val="superscript"/>
        </w:rPr>
        <w:footnoteReference w:id="124"/>
      </w:r>
      <w:r w:rsidRPr="00197C1B">
        <w:t xml:space="preserve"> However, applying this standard in actual cases is more difficult than stating it.</w:t>
      </w:r>
    </w:p>
    <w:p w14:paraId="78B1DA79" w14:textId="23926BA0" w:rsidR="00197C1B" w:rsidRPr="00197C1B" w:rsidRDefault="00905652" w:rsidP="00197C1B">
      <w:pPr>
        <w:pStyle w:val="BNormal"/>
      </w:pPr>
      <w:r w:rsidRPr="00197C1B">
        <w:t xml:space="preserve">In </w:t>
      </w:r>
      <w:r w:rsidR="00197C1B" w:rsidRPr="00197C1B">
        <w:rPr>
          <w:i/>
        </w:rPr>
        <w:t>Mattel,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Jcom, Inc</w:t>
      </w:r>
      <w:r w:rsidRPr="00197C1B">
        <w:t>.,</w:t>
      </w:r>
      <w:r w:rsidR="00197C1B" w:rsidRPr="00197C1B">
        <w:rPr>
          <w:vertAlign w:val="superscript"/>
        </w:rPr>
        <w:footnoteReference w:id="125"/>
      </w:r>
      <w:r w:rsidRPr="00197C1B">
        <w:t xml:space="preserve"> the defendant set up an Internet website called “Barbie’s Playhouse.” The site offered sexually explicit audio and video for a fee.</w:t>
      </w:r>
      <w:r w:rsidR="00197C1B" w:rsidRPr="00197C1B">
        <w:rPr>
          <w:vertAlign w:val="superscript"/>
        </w:rPr>
        <w:footnoteReference w:id="126"/>
      </w:r>
      <w:r w:rsidRPr="00197C1B">
        <w:t xml:space="preserve"> The court cited several facts in finding the defendant to have willfully intended to trade on the reputation of Mattel’s Barbie mark</w:t>
      </w:r>
      <w:r w:rsidR="00197C1B" w:rsidRPr="00197C1B">
        <w:t>.</w:t>
      </w:r>
      <w:r w:rsidR="00197C1B" w:rsidRPr="00197C1B">
        <w:t xml:space="preserve"> </w:t>
      </w:r>
      <w:r w:rsidR="00197C1B" w:rsidRPr="00197C1B">
        <w:t>T</w:t>
      </w:r>
      <w:r w:rsidRPr="00197C1B">
        <w:t>he font used on the site was virtually identical to that used for advertising and packaging Barbie dolls.</w:t>
      </w:r>
      <w:r w:rsidR="00197C1B" w:rsidRPr="00197C1B">
        <w:rPr>
          <w:vertAlign w:val="superscript"/>
        </w:rPr>
        <w:footnoteReference w:id="127"/>
      </w:r>
      <w:r w:rsidRPr="00197C1B">
        <w:t xml:space="preserve"> The term “playhouse” indicated a desire to link the name Barbie with a toy doll.</w:t>
      </w:r>
      <w:r w:rsidR="00197C1B" w:rsidRPr="00197C1B">
        <w:rPr>
          <w:vertAlign w:val="superscript"/>
        </w:rPr>
        <w:footnoteReference w:id="128"/>
      </w:r>
      <w:r w:rsidRPr="00197C1B">
        <w:t xml:space="preserve"> The colors of pink and purple used on the website were virtually the same as those used by Mattel to package Barbie dolls.</w:t>
      </w:r>
      <w:r w:rsidR="00197C1B" w:rsidRPr="00197C1B">
        <w:rPr>
          <w:vertAlign w:val="superscript"/>
        </w:rPr>
        <w:footnoteReference w:id="129"/>
      </w:r>
      <w:r w:rsidRPr="00197C1B">
        <w:t xml:space="preserve"> Thus, the court awarded the defendant’s profits and attorney’s fees to the plaintiff.</w:t>
      </w:r>
      <w:r w:rsidR="00197C1B" w:rsidRPr="00197C1B">
        <w:rPr>
          <w:vertAlign w:val="superscript"/>
        </w:rPr>
        <w:footnoteReference w:id="130"/>
      </w:r>
    </w:p>
    <w:p w14:paraId="17CFCBC5" w14:textId="4AEC2CA7" w:rsidR="00197C1B" w:rsidRPr="00197C1B" w:rsidRDefault="00197C1B" w:rsidP="00197C1B">
      <w:pPr>
        <w:pStyle w:val="BNormal"/>
      </w:pPr>
      <w:r w:rsidRPr="00197C1B">
        <w:rPr>
          <w:i/>
        </w:rPr>
        <w:t>New York State Society of Certified Public Accountants v</w:t>
      </w:r>
      <w:r w:rsidRPr="00197C1B">
        <w:t>.</w:t>
      </w:r>
      <w:r w:rsidRPr="00197C1B">
        <w:t xml:space="preserve"> </w:t>
      </w:r>
      <w:r w:rsidRPr="00197C1B">
        <w:rPr>
          <w:i/>
        </w:rPr>
        <w:t>Eric Louis Associates, Inc</w:t>
      </w:r>
      <w:r w:rsidR="00905652" w:rsidRPr="00197C1B">
        <w:t>.</w:t>
      </w:r>
      <w:r w:rsidRPr="00197C1B">
        <w:rPr>
          <w:vertAlign w:val="superscript"/>
        </w:rPr>
        <w:footnoteReference w:id="131"/>
      </w:r>
      <w:r w:rsidR="00905652" w:rsidRPr="00197C1B">
        <w:t xml:space="preserve"> is another case with a finding of willful intent</w:t>
      </w:r>
      <w:r w:rsidRPr="00197C1B">
        <w:t>.</w:t>
      </w:r>
      <w:r w:rsidRPr="00197C1B">
        <w:t xml:space="preserve"> </w:t>
      </w:r>
      <w:r w:rsidRPr="00197C1B">
        <w:t>H</w:t>
      </w:r>
      <w:r w:rsidR="00905652" w:rsidRPr="00197C1B">
        <w:t>ere, the court</w:t>
      </w:r>
      <w:r>
        <w:t xml:space="preserve"> </w:t>
      </w:r>
      <w:r w:rsidR="00905652" w:rsidRPr="00197C1B">
        <w:t>stated:</w:t>
      </w:r>
    </w:p>
    <w:p w14:paraId="4E5C2A1B" w14:textId="22790FAC" w:rsidR="00197C1B" w:rsidRPr="00197C1B" w:rsidRDefault="00905652" w:rsidP="00197C1B">
      <w:pPr>
        <w:pStyle w:val="BQuotelong"/>
      </w:pPr>
      <w:r w:rsidRPr="00197C1B">
        <w:t xml:space="preserve">In determining whether a defendant’s infringing or diluting conduct was carried out in bad faith, courts can rely on the considerable jurisprudence that has been developed applying the “good faith” prong of the </w:t>
      </w:r>
      <w:r w:rsidR="00197C1B" w:rsidRPr="00197C1B">
        <w:rPr>
          <w:i/>
        </w:rPr>
        <w:t>Polaroid</w:t>
      </w:r>
      <w:r w:rsidRPr="00197C1B">
        <w:t xml:space="preserve"> test.</w:t>
      </w:r>
      <w:r w:rsidR="00197C1B" w:rsidRPr="00197C1B">
        <w:rPr>
          <w:vertAlign w:val="superscript"/>
        </w:rPr>
        <w:footnoteReference w:id="132"/>
      </w:r>
    </w:p>
    <w:p w14:paraId="5BC52488" w14:textId="0362104A" w:rsidR="00197C1B" w:rsidRPr="00197C1B" w:rsidRDefault="00905652" w:rsidP="00197C1B">
      <w:pPr>
        <w:pStyle w:val="BNormal"/>
      </w:pPr>
      <w:r w:rsidRPr="00197C1B">
        <w:t>The court cited possible factors on both sides of the issue</w:t>
      </w:r>
      <w:r w:rsidR="00197C1B" w:rsidRPr="00197C1B">
        <w:t>.</w:t>
      </w:r>
      <w:r w:rsidR="00197C1B" w:rsidRPr="00197C1B">
        <w:t xml:space="preserve"> </w:t>
      </w:r>
      <w:r w:rsidR="00197C1B" w:rsidRPr="00197C1B">
        <w:t>I</w:t>
      </w:r>
      <w:r w:rsidRPr="00197C1B">
        <w:t>f a defendant relied on legal advice and a trademark search, that would count against a finding of bad faith.</w:t>
      </w:r>
      <w:r w:rsidR="00197C1B" w:rsidRPr="00197C1B">
        <w:rPr>
          <w:vertAlign w:val="superscript"/>
        </w:rPr>
        <w:footnoteReference w:id="133"/>
      </w:r>
      <w:r w:rsidRPr="00197C1B">
        <w:t xml:space="preserve"> If a defendant was aware of the plaintiff’s mark, and “proffered no credible innocent explanation” for using the mark, that would weigh in favor of a finding of bad </w:t>
      </w:r>
      <w:r w:rsidRPr="00197C1B">
        <w:lastRenderedPageBreak/>
        <w:t>faith.</w:t>
      </w:r>
      <w:r w:rsidR="00197C1B" w:rsidRPr="00197C1B">
        <w:rPr>
          <w:vertAlign w:val="superscript"/>
        </w:rPr>
        <w:footnoteReference w:id="134"/>
      </w:r>
      <w:r w:rsidRPr="00197C1B">
        <w:t xml:space="preserve"> However, this latter factor may be misplaced in many dilution cases, given the requirements of Section 43(c)(5)</w:t>
      </w:r>
      <w:r w:rsidR="00197C1B" w:rsidRPr="00197C1B">
        <w:t>.</w:t>
      </w:r>
      <w:r w:rsidR="00197C1B" w:rsidRPr="00197C1B">
        <w:t xml:space="preserve"> </w:t>
      </w:r>
      <w:r w:rsidR="00197C1B" w:rsidRPr="00197C1B">
        <w:t>T</w:t>
      </w:r>
      <w:r w:rsidRPr="00197C1B">
        <w:t>hat section requires a showing of intent to trade on the famous mark’s reputation or intent to harm the reputation of the mark</w:t>
      </w:r>
      <w:r w:rsidR="00197C1B" w:rsidRPr="00197C1B">
        <w:t>.</w:t>
      </w:r>
      <w:r w:rsidR="00197C1B" w:rsidRPr="00197C1B">
        <w:t xml:space="preserve"> </w:t>
      </w:r>
      <w:r w:rsidR="00197C1B" w:rsidRPr="00197C1B">
        <w:t>I</w:t>
      </w:r>
      <w:r w:rsidRPr="00197C1B">
        <w:t>ntentionally copying, without more, may not be as emblematic of bad faith—or intent to trade on another’s reputation—where the parties do not compete and no confusion is found to have resulted</w:t>
      </w:r>
      <w:r w:rsidR="00197C1B" w:rsidRPr="00197C1B">
        <w:t>.</w:t>
      </w:r>
      <w:r w:rsidR="00197C1B" w:rsidRPr="00197C1B">
        <w:t xml:space="preserve"> </w:t>
      </w:r>
      <w:r w:rsidR="00197C1B" w:rsidRPr="00197C1B">
        <w:t>O</w:t>
      </w:r>
      <w:r w:rsidRPr="00197C1B">
        <w:t xml:space="preserve">n the other hand, if, as in the </w:t>
      </w:r>
      <w:r w:rsidR="00197C1B" w:rsidRPr="00197C1B">
        <w:rPr>
          <w:i/>
        </w:rPr>
        <w:t>Eric Louis</w:t>
      </w:r>
      <w:r w:rsidRPr="00197C1B">
        <w:t xml:space="preserve"> case, the parties compete, an inference of trading on the reputation of the famous mark may be more reasonable in many cases</w:t>
      </w:r>
      <w:r w:rsidR="00197C1B" w:rsidRPr="00197C1B">
        <w:t>.</w:t>
      </w:r>
      <w:r w:rsidR="00197C1B" w:rsidRPr="00197C1B">
        <w:t xml:space="preserve"> </w:t>
      </w:r>
      <w:r w:rsidR="00197C1B" w:rsidRPr="00197C1B">
        <w:t>I</w:t>
      </w:r>
      <w:r w:rsidRPr="00197C1B">
        <w:t>n any event, the court assumed that the defendant’s initial registration of the plaintiff’s mark as the name of a website could have been a misguided but good faith misunderstanding of his rights.</w:t>
      </w:r>
      <w:r w:rsidR="00197C1B" w:rsidRPr="00197C1B">
        <w:rPr>
          <w:vertAlign w:val="superscript"/>
        </w:rPr>
        <w:footnoteReference w:id="135"/>
      </w:r>
      <w:r w:rsidRPr="00197C1B">
        <w:t xml:space="preserve"> However, once the plaintiff sent the defendant a cease-and-desist letter and the defendant continued to assert, without consulting counsel, the right to sell the domain name, he had crossed the line into bad faith conduct.</w:t>
      </w:r>
      <w:r w:rsidR="00197C1B" w:rsidRPr="00197C1B">
        <w:rPr>
          <w:vertAlign w:val="superscript"/>
        </w:rPr>
        <w:footnoteReference w:id="136"/>
      </w:r>
    </w:p>
    <w:p w14:paraId="12EB2DE4" w14:textId="2E9925F6" w:rsidR="00197C1B" w:rsidRPr="00197C1B" w:rsidRDefault="00905652" w:rsidP="00197C1B">
      <w:pPr>
        <w:pStyle w:val="BNormal"/>
      </w:pPr>
      <w:r w:rsidRPr="00197C1B">
        <w:t xml:space="preserve">The issue of willful intent was discussed fairly extensively in </w:t>
      </w:r>
      <w:r w:rsidR="00197C1B" w:rsidRPr="00197C1B">
        <w:rPr>
          <w:i/>
        </w:rPr>
        <w:t>adidas-America,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Payless Shoesource, Inc</w:t>
      </w:r>
      <w:r w:rsidRPr="00197C1B">
        <w:t>.,</w:t>
      </w:r>
      <w:r w:rsidR="00197C1B" w:rsidRPr="00197C1B">
        <w:rPr>
          <w:vertAlign w:val="superscript"/>
        </w:rPr>
        <w:footnoteReference w:id="137"/>
      </w:r>
      <w:r w:rsidRPr="00197C1B">
        <w:t xml:space="preserve"> especially with regard to advice of counsel</w:t>
      </w:r>
      <w:r w:rsidR="00197C1B" w:rsidRPr="00197C1B">
        <w:t>.</w:t>
      </w:r>
      <w:r w:rsidR="00197C1B" w:rsidRPr="00197C1B">
        <w:t xml:space="preserve"> </w:t>
      </w:r>
      <w:r w:rsidR="00197C1B" w:rsidRPr="00197C1B">
        <w:t>T</w:t>
      </w:r>
      <w:r w:rsidRPr="00197C1B">
        <w:t>he court first found that the defendant’s employees’ statements created an issue of fact as to willfulness—they referred to the defendant’s shoes as “inspired by” the plaintiff’s shoes and as “knockoffs.”</w:t>
      </w:r>
      <w:r w:rsidR="00197C1B" w:rsidRPr="00197C1B">
        <w:rPr>
          <w:vertAlign w:val="superscript"/>
        </w:rPr>
        <w:footnoteReference w:id="138"/>
      </w:r>
      <w:r w:rsidRPr="00197C1B">
        <w:t xml:space="preserve"> Regarding advice of counsel, the court began by stating that “advice of counsel negates a finding of willfulness unless the advice is ignored or is found to be incompetent.”</w:t>
      </w:r>
      <w:r w:rsidR="00197C1B" w:rsidRPr="00197C1B">
        <w:rPr>
          <w:vertAlign w:val="superscript"/>
        </w:rPr>
        <w:footnoteReference w:id="139"/>
      </w:r>
      <w:r w:rsidRPr="00197C1B">
        <w:t xml:space="preserve"> However, the court found several potential flaws in the defendant’s advice-of-counsel defense</w:t>
      </w:r>
      <w:r w:rsidR="00197C1B" w:rsidRPr="00197C1B">
        <w:t>.</w:t>
      </w:r>
      <w:r w:rsidR="00197C1B" w:rsidRPr="00197C1B">
        <w:t xml:space="preserve"> </w:t>
      </w:r>
      <w:r w:rsidR="00197C1B" w:rsidRPr="00197C1B">
        <w:t>I</w:t>
      </w:r>
      <w:r w:rsidRPr="00197C1B">
        <w:t xml:space="preserve">t found that the plaintiff may not have given counsel access to all of the relevant information, including all of the potential shoe styles to be used, that counsel may not have considered all of the relevant legal standards in coming to its conclusions, that the defendant appeared to have asked for counsel’s advice </w:t>
      </w:r>
      <w:r w:rsidR="00197C1B" w:rsidRPr="00197C1B">
        <w:rPr>
          <w:i/>
        </w:rPr>
        <w:t>after</w:t>
      </w:r>
      <w:r w:rsidRPr="00197C1B">
        <w:t xml:space="preserve"> it was sued, and that the written opinions that the defendant obtained from counsel were very conclusory, with little indication of how the conclusions were reached.</w:t>
      </w:r>
      <w:r w:rsidR="00197C1B" w:rsidRPr="00197C1B">
        <w:rPr>
          <w:vertAlign w:val="superscript"/>
        </w:rPr>
        <w:footnoteReference w:id="140"/>
      </w:r>
      <w:r w:rsidRPr="00197C1B">
        <w:t xml:space="preserve"> Thus, it refused to rule that the defendant’s conduct was not willful.</w:t>
      </w:r>
    </w:p>
    <w:p w14:paraId="6019F700" w14:textId="4452237C" w:rsidR="00197C1B" w:rsidRPr="00197C1B" w:rsidRDefault="00905652" w:rsidP="00197C1B">
      <w:pPr>
        <w:pStyle w:val="BNormal"/>
      </w:pPr>
      <w:r w:rsidRPr="00197C1B">
        <w:t xml:space="preserve">In </w:t>
      </w:r>
      <w:r w:rsidR="00197C1B" w:rsidRPr="00197C1B">
        <w:rPr>
          <w:rStyle w:val="BCasenamefull"/>
        </w:rPr>
        <w:t>Blumenthal Distributing, Inc. v. Herman Miller, Inc.</w:t>
      </w:r>
      <w:r w:rsidRPr="00197C1B">
        <w:t>,</w:t>
      </w:r>
      <w:r w:rsidR="00197C1B" w:rsidRPr="00197C1B">
        <w:rPr>
          <w:vertAlign w:val="superscript"/>
        </w:rPr>
        <w:footnoteReference w:id="141"/>
      </w:r>
      <w:r w:rsidRPr="00197C1B">
        <w:t xml:space="preserve"> the court upheld the jury’s determination that Blumenthal willfully intended to trade on the reputation of the shape and style of Herman Miller’s EAMES office chair.</w:t>
      </w:r>
      <w:r w:rsidR="00197C1B" w:rsidRPr="00197C1B">
        <w:rPr>
          <w:vertAlign w:val="superscript"/>
        </w:rPr>
        <w:footnoteReference w:id="142"/>
      </w:r>
      <w:r w:rsidRPr="00197C1B">
        <w:t xml:space="preserve"> The court referred largely to its finding that there was sufficient evidence of willful </w:t>
      </w:r>
      <w:r w:rsidR="00197C1B" w:rsidRPr="00197C1B">
        <w:rPr>
          <w:i/>
        </w:rPr>
        <w:t>infringement</w:t>
      </w:r>
      <w:r w:rsidRPr="00197C1B">
        <w:t xml:space="preserve"> to support its finding of sufficient evidence to support a finding of willful dilution.</w:t>
      </w:r>
      <w:r w:rsidR="00197C1B" w:rsidRPr="00197C1B">
        <w:rPr>
          <w:vertAlign w:val="superscript"/>
        </w:rPr>
        <w:footnoteReference w:id="143"/>
      </w:r>
      <w:r w:rsidRPr="00197C1B">
        <w:t xml:space="preserve"> The evidence cited by the court was that two major sellers, OfficeMax and Costco, refused to carry the Blumenthal chair, citing fears of infringement, and that some Blumenthal employees referred internally to their chair as a “knockoff” of the Herman Miller chair.</w:t>
      </w:r>
      <w:r w:rsidR="00197C1B" w:rsidRPr="00197C1B">
        <w:rPr>
          <w:vertAlign w:val="superscript"/>
        </w:rPr>
        <w:footnoteReference w:id="144"/>
      </w:r>
      <w:r w:rsidRPr="00197C1B">
        <w:t xml:space="preserve"> (It is also worth noting that, due to issues of spoliation of evidence, the court gave the </w:t>
      </w:r>
      <w:r w:rsidRPr="00197C1B">
        <w:lastRenderedPageBreak/>
        <w:t>jury an instruction that it could make certain adverse inferences against Blumenthal</w:t>
      </w:r>
      <w:r w:rsidR="00197C1B" w:rsidRPr="00197C1B">
        <w:t>.</w:t>
      </w:r>
      <w:r w:rsidR="00197C1B" w:rsidRPr="00197C1B">
        <w:t xml:space="preserve"> </w:t>
      </w:r>
      <w:r w:rsidR="00197C1B" w:rsidRPr="00197C1B">
        <w:t>W</w:t>
      </w:r>
      <w:r w:rsidRPr="00197C1B">
        <w:t>hether that affected the jury’s deliberations about willful intent to trade on Herman Miller’s reputation is difficult to assess.</w:t>
      </w:r>
      <w:r w:rsidR="00197C1B" w:rsidRPr="00197C1B">
        <w:rPr>
          <w:vertAlign w:val="superscript"/>
        </w:rPr>
        <w:footnoteReference w:id="145"/>
      </w:r>
      <w:r w:rsidRPr="00197C1B">
        <w:t>)</w:t>
      </w:r>
    </w:p>
    <w:p w14:paraId="422A527D" w14:textId="2B18AFDD" w:rsidR="00197C1B" w:rsidRPr="00197C1B" w:rsidRDefault="00905652" w:rsidP="00197C1B">
      <w:pPr>
        <w:pStyle w:val="BNormal"/>
      </w:pPr>
      <w:r w:rsidRPr="00197C1B">
        <w:t xml:space="preserve">In </w:t>
      </w:r>
      <w:r w:rsidR="00197C1B" w:rsidRPr="00197C1B">
        <w:rPr>
          <w:i/>
        </w:rPr>
        <w:t>Apple,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Samsung Electronics Co</w:t>
      </w:r>
      <w:r w:rsidRPr="00197C1B">
        <w:t>.,</w:t>
      </w:r>
      <w:r w:rsidR="00197C1B" w:rsidRPr="00197C1B">
        <w:rPr>
          <w:vertAlign w:val="superscript"/>
        </w:rPr>
        <w:footnoteReference w:id="146"/>
      </w:r>
      <w:r w:rsidRPr="00197C1B">
        <w:t xml:space="preserve"> the court upheld a jury’s finding that Samsung willfully intended to trade on the reputation of Apple’s iPhone trade dress</w:t>
      </w:r>
      <w:r w:rsidR="00197C1B" w:rsidRPr="00197C1B">
        <w:t>.</w:t>
      </w:r>
      <w:r w:rsidR="00197C1B" w:rsidRPr="00197C1B">
        <w:t xml:space="preserve"> </w:t>
      </w:r>
      <w:r w:rsidR="00197C1B" w:rsidRPr="00197C1B">
        <w:t>T</w:t>
      </w:r>
      <w:r w:rsidRPr="00197C1B">
        <w:t>he court cited evidence that Samsung considered the iPhone to be “revolutionary” and that it sought to copy the look of the iPhone as sufficient to support the jury’s verdict.</w:t>
      </w:r>
      <w:r w:rsidR="00197C1B" w:rsidRPr="00197C1B">
        <w:rPr>
          <w:vertAlign w:val="superscript"/>
        </w:rPr>
        <w:footnoteReference w:id="147"/>
      </w:r>
    </w:p>
    <w:p w14:paraId="074C3696" w14:textId="6DF1BBC3" w:rsidR="00197C1B" w:rsidRPr="00197C1B" w:rsidRDefault="00905652" w:rsidP="00197C1B">
      <w:pPr>
        <w:pStyle w:val="BNormal"/>
      </w:pPr>
      <w:r w:rsidRPr="00197C1B">
        <w:t>[Author Note</w:t>
      </w:r>
      <w:r w:rsidR="00197C1B" w:rsidRPr="00197C1B">
        <w:t>:</w:t>
      </w:r>
      <w:r w:rsidR="00197C1B" w:rsidRPr="00197C1B">
        <w:t xml:space="preserve"> </w:t>
      </w:r>
      <w:r w:rsidR="00197C1B" w:rsidRPr="00197C1B">
        <w:t>A</w:t>
      </w:r>
      <w:r w:rsidRPr="00197C1B">
        <w:t>s discussed in Section III.A, above, the concept of “willful intent” in the TDRA is a tricky one</w:t>
      </w:r>
      <w:r w:rsidR="00197C1B" w:rsidRPr="00197C1B">
        <w:t>.</w:t>
      </w:r>
      <w:r w:rsidR="00197C1B" w:rsidRPr="00197C1B">
        <w:t xml:space="preserve"> </w:t>
      </w:r>
      <w:r w:rsidR="00197C1B" w:rsidRPr="00197C1B">
        <w:t>T</w:t>
      </w:r>
      <w:r w:rsidRPr="00197C1B">
        <w:t xml:space="preserve">he </w:t>
      </w:r>
      <w:r w:rsidR="00197C1B" w:rsidRPr="00197C1B">
        <w:rPr>
          <w:rStyle w:val="BCasenamefull"/>
        </w:rPr>
        <w:t>Apple v. Samsun</w:t>
      </w:r>
      <w:r w:rsidRPr="00197C1B">
        <w:t>g litigation illustrates the problem</w:t>
      </w:r>
      <w:r w:rsidR="00197C1B" w:rsidRPr="00197C1B">
        <w:t>.</w:t>
      </w:r>
      <w:r w:rsidR="00197C1B" w:rsidRPr="00197C1B">
        <w:t xml:space="preserve"> </w:t>
      </w:r>
      <w:r w:rsidR="00197C1B" w:rsidRPr="00197C1B">
        <w:t>T</w:t>
      </w:r>
      <w:r w:rsidRPr="00197C1B">
        <w:t>he district court apparently upheld the jury’s damage verdict on the grounds that there was sufficient evidence to support a finding that Samsung intentionally copied the iPhone trade dress</w:t>
      </w:r>
      <w:r w:rsidR="00197C1B" w:rsidRPr="00197C1B">
        <w:t>.</w:t>
      </w:r>
      <w:r w:rsidR="00197C1B" w:rsidRPr="00197C1B">
        <w:t xml:space="preserve"> </w:t>
      </w:r>
      <w:r w:rsidR="00197C1B" w:rsidRPr="00197C1B">
        <w:t>H</w:t>
      </w:r>
      <w:r w:rsidRPr="00197C1B">
        <w:t>owever, even putting aside the possible distinction between “intent” and “willful intent,” there is a problem with the court’s analysis</w:t>
      </w:r>
      <w:r w:rsidR="00197C1B" w:rsidRPr="00197C1B">
        <w:t>.</w:t>
      </w:r>
      <w:r w:rsidR="00197C1B" w:rsidRPr="00197C1B">
        <w:t xml:space="preserve"> </w:t>
      </w:r>
      <w:r w:rsidR="00197C1B" w:rsidRPr="00197C1B">
        <w:t>I</w:t>
      </w:r>
      <w:r w:rsidRPr="00197C1B">
        <w:t>n order to justify an award of damages, the TDRA requires a showing that the defendant “willfully intended to trade on the recognition of the famous mark.” Intent to copy alone does not necessarily mean that one intends to trade on the reputation of the famous mark</w:t>
      </w:r>
      <w:r w:rsidR="00197C1B" w:rsidRPr="00197C1B">
        <w:t>.</w:t>
      </w:r>
      <w:r w:rsidR="00197C1B" w:rsidRPr="00197C1B">
        <w:t xml:space="preserve"> </w:t>
      </w:r>
      <w:r w:rsidR="00197C1B" w:rsidRPr="00197C1B">
        <w:t>T</w:t>
      </w:r>
      <w:r w:rsidRPr="00197C1B">
        <w:t>he court should have examined whether the evidence supported a finding that the reason Samsung copied Apple’s trade dress was to take advantage of Apple’s reputation, or whether it was simply because the design of the iPhone was a particularly aesthetically pleasing one that would attract consumers</w:t>
      </w:r>
      <w:r w:rsidR="00197C1B" w:rsidRPr="00197C1B">
        <w:t>.</w:t>
      </w:r>
      <w:r w:rsidR="00197C1B" w:rsidRPr="00197C1B">
        <w:t xml:space="preserve"> </w:t>
      </w:r>
      <w:r w:rsidR="00197C1B" w:rsidRPr="00197C1B">
        <w:t>(</w:t>
      </w:r>
      <w:r w:rsidRPr="00197C1B">
        <w:t>This might have made it functional, but that is an issue that is beyond the scope of this comment</w:t>
      </w:r>
      <w:r w:rsidR="00197C1B" w:rsidRPr="00197C1B">
        <w:t>.</w:t>
      </w:r>
      <w:r w:rsidR="00197C1B" w:rsidRPr="00197C1B">
        <w:t xml:space="preserve"> </w:t>
      </w:r>
      <w:r w:rsidR="00197C1B" w:rsidRPr="00197C1B">
        <w:rPr>
          <w:i/>
        </w:rPr>
        <w:t>See</w:t>
      </w:r>
      <w:r w:rsidRPr="00197C1B">
        <w:t xml:space="preserve"> Chapter 9, §VI.C.1.) Perhaps the “revolutionary” aspect of the design convinced the court that Samsung’s intent was to trade on Apple’s reputation, but it would have been helpful if that had been made clear</w:t>
      </w:r>
      <w:r w:rsidR="00197C1B" w:rsidRPr="00197C1B">
        <w:t>.</w:t>
      </w:r>
      <w:r w:rsidR="00197C1B" w:rsidRPr="00197C1B">
        <w:t xml:space="preserve"> </w:t>
      </w:r>
      <w:r w:rsidR="00197C1B" w:rsidRPr="00197C1B">
        <w:t>B</w:t>
      </w:r>
      <w:r w:rsidRPr="00197C1B">
        <w:t xml:space="preserve">ut then there is the issue of “intent” and “willful intent.” Unfortunately, nothing in the court’s opinion makes any distinction between intentionally trading on Apple’s reputation and </w:t>
      </w:r>
      <w:r w:rsidR="00197C1B" w:rsidRPr="00197C1B">
        <w:rPr>
          <w:i/>
        </w:rPr>
        <w:t>willfully</w:t>
      </w:r>
      <w:r w:rsidRPr="00197C1B">
        <w:t xml:space="preserve"> intending to do so</w:t>
      </w:r>
      <w:r w:rsidR="00197C1B" w:rsidRPr="00197C1B">
        <w:t>.</w:t>
      </w:r>
      <w:r w:rsidR="00197C1B" w:rsidRPr="00197C1B">
        <w:t xml:space="preserve"> </w:t>
      </w:r>
      <w:r w:rsidR="00197C1B" w:rsidRPr="00197C1B">
        <w:t>I</w:t>
      </w:r>
      <w:r w:rsidRPr="00197C1B">
        <w:t xml:space="preserve">n its jury instructions relating to willful </w:t>
      </w:r>
      <w:r w:rsidR="00197C1B" w:rsidRPr="00197C1B">
        <w:rPr>
          <w:i/>
        </w:rPr>
        <w:t>patent</w:t>
      </w:r>
      <w:r w:rsidRPr="00197C1B">
        <w:t xml:space="preserve"> infringement, the court instructed the jury that it had to find either actual knowledge that Samsung’s actions violated patent law or reckless disregard of whether they violated the law—and the showing had to be by clear and convincing evidence (Jury Instruction No</w:t>
      </w:r>
      <w:r w:rsidR="00197C1B" w:rsidRPr="00197C1B">
        <w:t>.</w:t>
      </w:r>
      <w:r w:rsidR="00197C1B" w:rsidRPr="00197C1B">
        <w:t xml:space="preserve"> </w:t>
      </w:r>
      <w:r w:rsidR="00197C1B" w:rsidRPr="00197C1B">
        <w:t>5</w:t>
      </w:r>
      <w:r w:rsidRPr="00197C1B">
        <w:t>9)</w:t>
      </w:r>
      <w:r w:rsidR="00197C1B" w:rsidRPr="00197C1B">
        <w:t>.</w:t>
      </w:r>
      <w:r w:rsidR="00197C1B" w:rsidRPr="00197C1B">
        <w:t xml:space="preserve"> </w:t>
      </w:r>
      <w:r w:rsidR="00197C1B" w:rsidRPr="00197C1B">
        <w:t>H</w:t>
      </w:r>
      <w:r w:rsidRPr="00197C1B">
        <w:t>owever, when instructing the jury about damages for trade dress dilution, the court only told the jury that it must find (by a preponderance of evidence) that Samsung’s actions were “willful” (Jury Instruction No</w:t>
      </w:r>
      <w:r w:rsidR="00197C1B" w:rsidRPr="00197C1B">
        <w:t>.</w:t>
      </w:r>
      <w:r w:rsidR="00197C1B" w:rsidRPr="00197C1B">
        <w:t xml:space="preserve"> </w:t>
      </w:r>
      <w:r w:rsidR="00197C1B" w:rsidRPr="00197C1B">
        <w:t>7</w:t>
      </w:r>
      <w:r w:rsidRPr="00197C1B">
        <w:t>1).</w:t>
      </w:r>
      <w:r w:rsidR="00197C1B" w:rsidRPr="00197C1B">
        <w:rPr>
          <w:vertAlign w:val="superscript"/>
        </w:rPr>
        <w:footnoteReference w:id="148"/>
      </w:r>
    </w:p>
    <w:p w14:paraId="79E2A92D" w14:textId="0ACBFEFC" w:rsidR="00197C1B" w:rsidRPr="00197C1B" w:rsidRDefault="00905652" w:rsidP="00197C1B">
      <w:pPr>
        <w:pStyle w:val="BNormal"/>
      </w:pPr>
      <w:r w:rsidRPr="00197C1B">
        <w:t>Unlike the instruction relating to willful patent infringement, there was no attempt to clarify the meaning of “willful.” Moreover, the omission of the statutory requirement that there be a willful intent to trade on Apple’s reputation, while perhaps not something that would have changed the jury’s verdict, is of concern, in that it indicates a lack of attention to the specific requirements of the statute</w:t>
      </w:r>
      <w:r w:rsidR="00197C1B" w:rsidRPr="00197C1B">
        <w:t>.</w:t>
      </w:r>
      <w:r w:rsidR="00197C1B" w:rsidRPr="00197C1B">
        <w:t xml:space="preserve"> </w:t>
      </w:r>
      <w:r w:rsidR="00197C1B" w:rsidRPr="00197C1B">
        <w:t>M</w:t>
      </w:r>
      <w:r w:rsidRPr="00197C1B">
        <w:t>ost likely the lack of appellate guidance in this area made the court (and the lawyers for each side) hesitant to give additional instruction</w:t>
      </w:r>
      <w:r w:rsidR="00197C1B" w:rsidRPr="00197C1B">
        <w:t>.</w:t>
      </w:r>
      <w:r w:rsidR="00197C1B" w:rsidRPr="00197C1B">
        <w:t xml:space="preserve"> </w:t>
      </w:r>
      <w:r w:rsidR="00197C1B" w:rsidRPr="00197C1B">
        <w:t>A</w:t>
      </w:r>
      <w:r w:rsidRPr="00197C1B">
        <w:t xml:space="preserve">lthough the case was appealed to the Federal Circuit (which has exclusive jurisdiction over appeals of the </w:t>
      </w:r>
      <w:r w:rsidRPr="00197C1B">
        <w:lastRenderedPageBreak/>
        <w:t>patent claims in the litigation), that court reversed the trade dress judgment on the grounds that the trade dress was functional, and did not address the dilution claims.</w:t>
      </w:r>
      <w:r w:rsidR="00197C1B" w:rsidRPr="00197C1B">
        <w:rPr>
          <w:vertAlign w:val="superscript"/>
        </w:rPr>
        <w:footnoteReference w:id="149"/>
      </w:r>
      <w:r w:rsidRPr="00197C1B">
        <w:t>]</w:t>
      </w:r>
    </w:p>
    <w:p w14:paraId="7CAB9317" w14:textId="2FA83347" w:rsidR="00197C1B" w:rsidRPr="00197C1B" w:rsidRDefault="00905652" w:rsidP="00197C1B">
      <w:pPr>
        <w:pStyle w:val="BNormal"/>
      </w:pPr>
      <w:r w:rsidRPr="00197C1B">
        <w:t>However, the mere fact that the second user knew of the famous mark when the second user began its use is not sufficient to demonstrate willful intent.</w:t>
      </w:r>
      <w:r w:rsidR="00197C1B" w:rsidRPr="00197C1B">
        <w:rPr>
          <w:vertAlign w:val="superscript"/>
        </w:rPr>
        <w:footnoteReference w:id="150"/>
      </w:r>
      <w:r w:rsidRPr="00197C1B">
        <w:t xml:space="preserve"> Moreover, courts must guard against the facile assumption that bad faith for purposes of infringement automatically satisfies the “willful intent” requirement</w:t>
      </w:r>
      <w:r w:rsidR="00197C1B" w:rsidRPr="00197C1B">
        <w:t>.</w:t>
      </w:r>
      <w:r w:rsidR="00197C1B" w:rsidRPr="00197C1B">
        <w:t xml:space="preserve"> </w:t>
      </w:r>
      <w:r w:rsidR="00197C1B" w:rsidRPr="00197C1B">
        <w:t>A</w:t>
      </w:r>
      <w:r w:rsidRPr="00197C1B">
        <w:t>lthough some forms of intentional infringement may also satisfy the requirements of Section 43(c)(5), not all will do so.</w:t>
      </w:r>
      <w:r w:rsidR="00197C1B" w:rsidRPr="00197C1B">
        <w:rPr>
          <w:vertAlign w:val="superscript"/>
        </w:rPr>
        <w:footnoteReference w:id="151"/>
      </w:r>
    </w:p>
    <w:p w14:paraId="1E2ADEC4" w14:textId="1FA0B6A5" w:rsidR="00197C1B" w:rsidRPr="00197C1B" w:rsidRDefault="00905652" w:rsidP="00197C1B">
      <w:pPr>
        <w:pStyle w:val="BNormal"/>
      </w:pPr>
      <w:r w:rsidRPr="00197C1B">
        <w:t>When dilution claims are joined with claims for infringement, courts may not be as careful to delineate specific grounds for damages under the TDRA, as opposed to awards for infringement or other violations.</w:t>
      </w:r>
      <w:r w:rsidR="00197C1B" w:rsidRPr="00197C1B">
        <w:rPr>
          <w:vertAlign w:val="superscript"/>
        </w:rPr>
        <w:footnoteReference w:id="152"/>
      </w:r>
      <w:r w:rsidRPr="00197C1B">
        <w:t xml:space="preserve"> In </w:t>
      </w:r>
      <w:r w:rsidR="00197C1B" w:rsidRPr="00197C1B">
        <w:rPr>
          <w:i/>
        </w:rPr>
        <w:t>Mirage Resorts,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Stirpe</w:t>
      </w:r>
      <w:r w:rsidRPr="00197C1B">
        <w:t>,</w:t>
      </w:r>
      <w:r w:rsidR="00197C1B" w:rsidRPr="00197C1B">
        <w:rPr>
          <w:vertAlign w:val="superscript"/>
        </w:rPr>
        <w:footnoteReference w:id="153"/>
      </w:r>
      <w:r w:rsidRPr="00197C1B">
        <w:t xml:space="preserve"> the court found that the defendant’s registration of numerous domain names containing the names of well-known Las Vegas hotels constituted both trademark infringement and dilution.</w:t>
      </w:r>
      <w:r w:rsidR="00197C1B" w:rsidRPr="00197C1B">
        <w:rPr>
          <w:vertAlign w:val="superscript"/>
        </w:rPr>
        <w:footnoteReference w:id="154"/>
      </w:r>
      <w:r w:rsidRPr="00197C1B">
        <w:t xml:space="preserve"> Noting that the defendant had refused to comply with an existing injunction to transfer the domain name, the court found the defendant’s actions to be “boldly willful,”</w:t>
      </w:r>
      <w:r w:rsidR="00197C1B" w:rsidRPr="00197C1B">
        <w:rPr>
          <w:vertAlign w:val="superscript"/>
        </w:rPr>
        <w:footnoteReference w:id="155"/>
      </w:r>
      <w:r w:rsidRPr="00197C1B">
        <w:t xml:space="preserve"> and awarded the plaintiff damages of $500 per domain name.</w:t>
      </w:r>
      <w:r w:rsidR="00197C1B" w:rsidRPr="00197C1B">
        <w:rPr>
          <w:vertAlign w:val="superscript"/>
        </w:rPr>
        <w:footnoteReference w:id="156"/>
      </w:r>
      <w:r w:rsidRPr="00197C1B">
        <w:t xml:space="preserve"> Although violation of an injunction may be ground for finding the requisite intent under the TDRA, the presence of the infringement claim meant that the court did not need to discuss this issue in any detail before awarding damages</w:t>
      </w:r>
      <w:r w:rsidR="00197C1B" w:rsidRPr="00197C1B">
        <w:t>.</w:t>
      </w:r>
      <w:r w:rsidR="00197C1B" w:rsidRPr="00197C1B">
        <w:t xml:space="preserve"> </w:t>
      </w:r>
      <w:r w:rsidR="00197C1B" w:rsidRPr="00197C1B">
        <w:t>U</w:t>
      </w:r>
      <w:r w:rsidRPr="00197C1B">
        <w:t>nfortunately, this makes it more difficult to provide guidance for future cases that do not include infringement.</w:t>
      </w:r>
    </w:p>
    <w:p w14:paraId="347525A9" w14:textId="0185D2AB" w:rsidR="00197C1B" w:rsidRPr="00197C1B" w:rsidRDefault="00905652" w:rsidP="00197C1B">
      <w:pPr>
        <w:pStyle w:val="BNormal"/>
      </w:pPr>
      <w:r w:rsidRPr="00197C1B">
        <w:t>At least one court erroneously assumed that any situation in which damages could be awarded for infringement also permits damages for dilution.</w:t>
      </w:r>
      <w:r w:rsidR="00197C1B" w:rsidRPr="00197C1B">
        <w:rPr>
          <w:vertAlign w:val="superscript"/>
        </w:rPr>
        <w:footnoteReference w:id="157"/>
      </w:r>
      <w:r w:rsidRPr="00197C1B">
        <w:t xml:space="preserve"> This is clearly not what the statute says</w:t>
      </w:r>
      <w:r w:rsidR="00197C1B" w:rsidRPr="00197C1B">
        <w:t>.</w:t>
      </w:r>
      <w:r w:rsidR="00197C1B" w:rsidRPr="00197C1B">
        <w:t xml:space="preserve"> </w:t>
      </w:r>
      <w:r w:rsidR="00197C1B" w:rsidRPr="00197C1B">
        <w:t>D</w:t>
      </w:r>
      <w:r w:rsidRPr="00197C1B">
        <w:t>amages may be awarded for unintentional infringement, but an award of damages for dilution requires willful intent</w:t>
      </w:r>
      <w:r w:rsidR="00197C1B" w:rsidRPr="00197C1B">
        <w:t>.</w:t>
      </w:r>
      <w:r w:rsidR="00197C1B" w:rsidRPr="00197C1B">
        <w:t xml:space="preserve"> </w:t>
      </w:r>
      <w:r w:rsidR="00197C1B" w:rsidRPr="00197C1B">
        <w:t>I</w:t>
      </w:r>
      <w:r w:rsidRPr="00197C1B">
        <w:t>n another case, a court awarded treble damages and attorney’s fees in a suit involving both infringement and dilution claims, without separating the two claims for purposes of the damages discussion.</w:t>
      </w:r>
      <w:r w:rsidR="00197C1B" w:rsidRPr="00197C1B">
        <w:rPr>
          <w:vertAlign w:val="superscript"/>
        </w:rPr>
        <w:footnoteReference w:id="158"/>
      </w:r>
    </w:p>
    <w:p w14:paraId="7F28EF09" w14:textId="065D0897" w:rsidR="00197C1B" w:rsidRPr="00197C1B" w:rsidRDefault="00905652" w:rsidP="00197C1B">
      <w:pPr>
        <w:pStyle w:val="BNormal"/>
      </w:pPr>
      <w:r w:rsidRPr="00197C1B">
        <w:lastRenderedPageBreak/>
        <w:t>In another case, a district court, though recognizing the willfulness requirement, upheld a damage award made by a jury without any indication that there was evidence of willful intent to trade on the reputation of the mark or to cause dilution.</w:t>
      </w:r>
      <w:r w:rsidR="00197C1B" w:rsidRPr="00197C1B">
        <w:rPr>
          <w:vertAlign w:val="superscript"/>
        </w:rPr>
        <w:footnoteReference w:id="159"/>
      </w:r>
      <w:r w:rsidRPr="00197C1B">
        <w:t xml:space="preserve"> Although the defendant may not have raised that issue, the lack of any discussion is unfortunate.</w:t>
      </w:r>
    </w:p>
    <w:p w14:paraId="2BB89F58" w14:textId="7ADCCF4F" w:rsidR="00197C1B" w:rsidRPr="00197C1B" w:rsidRDefault="00905652" w:rsidP="00197C1B">
      <w:pPr>
        <w:pStyle w:val="BNormal"/>
      </w:pPr>
      <w:r w:rsidRPr="00197C1B">
        <w:t>In still another case, the court denied summary judgment on the issue of willfulness, based on defendant’s knowledge of plaintiff’s claims as to its trademarks, its knowledge that an agreement between the parties had been terminated, and the fact that defendant continued to sell products with plaintiff’s trademarks as much as three months after the termination.</w:t>
      </w:r>
      <w:r w:rsidR="00197C1B" w:rsidRPr="00197C1B">
        <w:rPr>
          <w:vertAlign w:val="superscript"/>
        </w:rPr>
        <w:footnoteReference w:id="160"/>
      </w:r>
      <w:r w:rsidRPr="00197C1B">
        <w:t xml:space="preserve"> However, there was no discussion about whether defendant intended to trade on the mark’s reputation or harm its reputation.</w:t>
      </w:r>
    </w:p>
    <w:p w14:paraId="12F8C241" w14:textId="11D5CBCA" w:rsidR="00197C1B" w:rsidRPr="00197C1B" w:rsidRDefault="00905652" w:rsidP="00197C1B">
      <w:pPr>
        <w:pStyle w:val="BNormal"/>
      </w:pPr>
      <w:r w:rsidRPr="00197C1B">
        <w:t>Damages may not be awarded on speculation</w:t>
      </w:r>
      <w:r w:rsidR="00197C1B" w:rsidRPr="00197C1B">
        <w:t>.</w:t>
      </w:r>
      <w:r w:rsidR="00197C1B" w:rsidRPr="00197C1B">
        <w:t xml:space="preserve"> </w:t>
      </w:r>
      <w:r w:rsidR="00197C1B" w:rsidRPr="00197C1B">
        <w:t>W</w:t>
      </w:r>
      <w:r w:rsidRPr="00197C1B">
        <w:t>here there is insufficient evidence to show damages or lost profits, then damages should not be awarded.</w:t>
      </w:r>
      <w:r w:rsidR="00197C1B" w:rsidRPr="00197C1B">
        <w:rPr>
          <w:vertAlign w:val="superscript"/>
        </w:rPr>
        <w:footnoteReference w:id="161"/>
      </w:r>
    </w:p>
    <w:p w14:paraId="01AE9267" w14:textId="76EC9FE1" w:rsidR="00197C1B" w:rsidRPr="00197C1B" w:rsidRDefault="00B14B89" w:rsidP="00197C1B">
      <w:pPr>
        <w:pStyle w:val="BHead2"/>
      </w:pPr>
      <w:r>
        <w:t>11.III.</w:t>
      </w:r>
      <w:r w:rsidR="00197C1B" w:rsidRPr="00B14B89">
        <w:rPr>
          <w:rStyle w:val="BBNAidChar"/>
          <w:rFonts w:eastAsiaTheme="majorEastAsia"/>
        </w:rPr>
        <w:t>C</w:t>
      </w:r>
      <w:r w:rsidR="00197C1B" w:rsidRPr="00197C1B">
        <w:t>.</w:t>
      </w:r>
      <w:r>
        <w:t> </w:t>
      </w:r>
      <w:r w:rsidR="00197C1B" w:rsidRPr="00197C1B">
        <w:tab/>
        <w:t>Punitive Damages Not Available Under the Lanham Act</w:t>
      </w:r>
    </w:p>
    <w:p w14:paraId="6A66985B" w14:textId="738BA185" w:rsidR="00197C1B" w:rsidRPr="00197C1B" w:rsidRDefault="00905652" w:rsidP="00197C1B">
      <w:pPr>
        <w:pStyle w:val="BNormal"/>
      </w:pPr>
      <w:r w:rsidRPr="00197C1B">
        <w:t>Although Section 35(a) permits an enhancement of damages, it provides that any such enhancements “shall constitute compensation and not a penalty.” There are no other general provisions that would provide for damages in the nature of a penalty</w:t>
      </w:r>
      <w:r w:rsidR="00197C1B" w:rsidRPr="00197C1B">
        <w:t>.</w:t>
      </w:r>
      <w:r w:rsidR="00197C1B" w:rsidRPr="00197C1B">
        <w:t xml:space="preserve"> </w:t>
      </w:r>
      <w:r w:rsidR="00197C1B" w:rsidRPr="00197C1B">
        <w:t>T</w:t>
      </w:r>
      <w:r w:rsidRPr="00197C1B">
        <w:t xml:space="preserve">hus, courts have held that punitive damages are </w:t>
      </w:r>
      <w:r w:rsidR="00197C1B" w:rsidRPr="00197C1B">
        <w:rPr>
          <w:i/>
        </w:rPr>
        <w:t>not</w:t>
      </w:r>
      <w:r w:rsidRPr="00197C1B">
        <w:t xml:space="preserve"> available for Lanham Act claims, including dilution claims.</w:t>
      </w:r>
      <w:r w:rsidR="00197C1B" w:rsidRPr="00197C1B">
        <w:rPr>
          <w:vertAlign w:val="superscript"/>
        </w:rPr>
        <w:footnoteReference w:id="162"/>
      </w:r>
      <w:r w:rsidRPr="00197C1B">
        <w:t xml:space="preserve"> However, Section 35(a) does permit a court to enhance the damages if it finds the given amount to be inadequate.</w:t>
      </w:r>
      <w:r w:rsidR="00197C1B" w:rsidRPr="00197C1B">
        <w:rPr>
          <w:vertAlign w:val="superscript"/>
        </w:rPr>
        <w:footnoteReference w:id="163"/>
      </w:r>
      <w:r w:rsidRPr="00197C1B">
        <w:t xml:space="preserve"> Obviously, the line between enhancement and penalty is a fine one</w:t>
      </w:r>
      <w:r w:rsidR="00197C1B" w:rsidRPr="00197C1B">
        <w:t>.</w:t>
      </w:r>
      <w:r w:rsidR="00197C1B" w:rsidRPr="00197C1B">
        <w:t xml:space="preserve"> </w:t>
      </w:r>
      <w:r w:rsidR="00197C1B" w:rsidRPr="00197C1B">
        <w:t>I</w:t>
      </w:r>
      <w:r w:rsidRPr="00197C1B">
        <w:t>f the case includes supplemental state claims, punitive damages could be awarded for violations of state law, under the circumstances provided by that law.</w:t>
      </w:r>
      <w:r w:rsidR="00197C1B" w:rsidRPr="00197C1B">
        <w:rPr>
          <w:vertAlign w:val="superscript"/>
        </w:rPr>
        <w:footnoteReference w:id="164"/>
      </w:r>
    </w:p>
    <w:p w14:paraId="471ED3DD" w14:textId="6EBE8474" w:rsidR="00197C1B" w:rsidRPr="00197C1B" w:rsidRDefault="00B14B89" w:rsidP="00197C1B">
      <w:pPr>
        <w:pStyle w:val="BHead2"/>
      </w:pPr>
      <w:r>
        <w:lastRenderedPageBreak/>
        <w:t>11.III.</w:t>
      </w:r>
      <w:r w:rsidR="00197C1B" w:rsidRPr="00B14B89">
        <w:rPr>
          <w:rStyle w:val="BBNAidChar"/>
          <w:rFonts w:eastAsiaTheme="majorEastAsia"/>
        </w:rPr>
        <w:t>D</w:t>
      </w:r>
      <w:r w:rsidR="00197C1B" w:rsidRPr="00197C1B">
        <w:t>.</w:t>
      </w:r>
      <w:r>
        <w:t> </w:t>
      </w:r>
      <w:r w:rsidR="00197C1B" w:rsidRPr="00197C1B">
        <w:tab/>
        <w:t>Awards of Damages for Nondilution Claims Joined With Dilution Claims</w:t>
      </w:r>
    </w:p>
    <w:p w14:paraId="1E493DA5" w14:textId="52C37A85" w:rsidR="00197C1B" w:rsidRPr="00197C1B" w:rsidRDefault="00905652" w:rsidP="00197C1B">
      <w:pPr>
        <w:pStyle w:val="BNormal"/>
      </w:pPr>
      <w:r w:rsidRPr="00197C1B">
        <w:t>When dilution claims are joined with other trademark claims, damages may be awarded for those other claims even if damages are not awarded under the TDRA</w:t>
      </w:r>
      <w:r w:rsidR="00197C1B" w:rsidRPr="00197C1B">
        <w:t>.</w:t>
      </w:r>
      <w:r w:rsidR="00197C1B" w:rsidRPr="00197C1B">
        <w:t xml:space="preserve"> </w:t>
      </w:r>
      <w:r w:rsidR="00197C1B" w:rsidRPr="00197C1B">
        <w:t>O</w:t>
      </w:r>
      <w:r w:rsidRPr="00197C1B">
        <w:t>ne common alternative to dilution is the Anticybersquatting Consumer Protection Act (ACPA), which can be used to protect famous or distinctive trademarks from bad faith registrations of Internet domain names that infringe or dilute those marks</w:t>
      </w:r>
      <w:r w:rsidR="00197C1B" w:rsidRPr="00197C1B">
        <w:t>.</w:t>
      </w:r>
      <w:r w:rsidR="00197C1B" w:rsidRPr="00197C1B">
        <w:t xml:space="preserve"> </w:t>
      </w:r>
      <w:r w:rsidR="00197C1B" w:rsidRPr="00197C1B">
        <w:t>U</w:t>
      </w:r>
      <w:r w:rsidRPr="00197C1B">
        <w:t>nder Section 35(a) of the Lanham Act, violations of the ACPA are compensable in the same manner as other Lanham Act violations</w:t>
      </w:r>
      <w:r w:rsidR="00197C1B" w:rsidRPr="00197C1B">
        <w:t>.</w:t>
      </w:r>
      <w:r w:rsidR="00197C1B" w:rsidRPr="00197C1B">
        <w:t xml:space="preserve"> </w:t>
      </w:r>
      <w:r w:rsidR="00197C1B" w:rsidRPr="00197C1B">
        <w:t>H</w:t>
      </w:r>
      <w:r w:rsidRPr="00197C1B">
        <w:t>owever, ACPA violations may also be remedied under Section 35(d)</w:t>
      </w:r>
      <w:r w:rsidR="00197C1B" w:rsidRPr="00197C1B">
        <w:t>.</w:t>
      </w:r>
      <w:r w:rsidR="00197C1B" w:rsidRPr="00197C1B">
        <w:t xml:space="preserve"> </w:t>
      </w:r>
      <w:r w:rsidR="00197C1B" w:rsidRPr="00197C1B">
        <w:t>T</w:t>
      </w:r>
      <w:r w:rsidRPr="00197C1B">
        <w:t>hat section permits a successful plaintiff to elect statutory damages in lieu of actual damages and/or profits</w:t>
      </w:r>
      <w:r w:rsidR="00197C1B" w:rsidRPr="00197C1B">
        <w:t>.</w:t>
      </w:r>
      <w:r w:rsidR="00197C1B" w:rsidRPr="00197C1B">
        <w:t xml:space="preserve"> </w:t>
      </w:r>
      <w:r w:rsidR="00197C1B" w:rsidRPr="00197C1B">
        <w:t>T</w:t>
      </w:r>
      <w:r w:rsidRPr="00197C1B">
        <w:t>he statutory damages will range from $1,000 to $100,000 per domain name “as the court considers just.”</w:t>
      </w:r>
      <w:r w:rsidR="00197C1B" w:rsidRPr="00197C1B">
        <w:rPr>
          <w:vertAlign w:val="superscript"/>
        </w:rPr>
        <w:footnoteReference w:id="165"/>
      </w:r>
      <w:r w:rsidRPr="00197C1B">
        <w:t xml:space="preserve"> In a number of cases, courts have awarded damages for ACPA violations where dilution violations also have been found.</w:t>
      </w:r>
      <w:r w:rsidR="00197C1B" w:rsidRPr="00197C1B">
        <w:rPr>
          <w:vertAlign w:val="superscript"/>
        </w:rPr>
        <w:footnoteReference w:id="166"/>
      </w:r>
      <w:r w:rsidRPr="00197C1B">
        <w:t xml:space="preserve"> Naturally, a court also may award damages for any state-law claims that have been joined with TDRA claims</w:t>
      </w:r>
      <w:r w:rsidR="00197C1B" w:rsidRPr="00197C1B">
        <w:t>.</w:t>
      </w:r>
      <w:r w:rsidR="00197C1B" w:rsidRPr="00197C1B">
        <w:t xml:space="preserve"> </w:t>
      </w:r>
      <w:r w:rsidR="00197C1B" w:rsidRPr="00197C1B">
        <w:t>T</w:t>
      </w:r>
      <w:r w:rsidRPr="00197C1B">
        <w:t>hus, even where the requirements for damages under the TDRA have not been met, successful plaintiffs may still be able to recover damages</w:t>
      </w:r>
      <w:r w:rsidR="00197C1B" w:rsidRPr="00197C1B">
        <w:t>.</w:t>
      </w:r>
      <w:r w:rsidR="00197C1B" w:rsidRPr="00197C1B">
        <w:t xml:space="preserve"> </w:t>
      </w:r>
      <w:r w:rsidR="00197C1B" w:rsidRPr="00197C1B">
        <w:t>H</w:t>
      </w:r>
      <w:r w:rsidRPr="00197C1B">
        <w:t>owever, the easier availability of damages for other trademark claims can lead to some lack of guidance concerning the proper basis for awarding damages under the TDRA.</w:t>
      </w:r>
    </w:p>
    <w:p w14:paraId="62731848" w14:textId="304026D2" w:rsidR="00197C1B" w:rsidRPr="00197C1B" w:rsidRDefault="00905652" w:rsidP="00197C1B">
      <w:pPr>
        <w:pStyle w:val="BNormal"/>
      </w:pPr>
      <w:r w:rsidRPr="00197C1B">
        <w:t>Another possible situation is the joinder of patent infringement claims with dilution claims</w:t>
      </w:r>
      <w:r w:rsidR="00197C1B" w:rsidRPr="00197C1B">
        <w:t>.</w:t>
      </w:r>
      <w:r w:rsidR="00197C1B" w:rsidRPr="00197C1B">
        <w:t xml:space="preserve"> </w:t>
      </w:r>
      <w:r w:rsidR="00197C1B" w:rsidRPr="00197C1B">
        <w:t>T</w:t>
      </w:r>
      <w:r w:rsidRPr="00197C1B">
        <w:t xml:space="preserve">his occurred in </w:t>
      </w:r>
      <w:r w:rsidR="00197C1B" w:rsidRPr="00197C1B">
        <w:rPr>
          <w:rStyle w:val="BCasenamefull"/>
        </w:rPr>
        <w:t>Apple, Inc. v. Samsung Electronics Co.,</w:t>
      </w:r>
      <w:r w:rsidR="00197C1B" w:rsidRPr="00197C1B">
        <w:rPr>
          <w:vertAlign w:val="superscript"/>
        </w:rPr>
        <w:footnoteReference w:id="167"/>
      </w:r>
      <w:r w:rsidRPr="00197C1B">
        <w:t xml:space="preserve"> where a jury awarded Apple hundreds of millions of dollars in damages for both patent infringement and trade dress dilution</w:t>
      </w:r>
      <w:r w:rsidR="00197C1B" w:rsidRPr="00197C1B">
        <w:t>.</w:t>
      </w:r>
      <w:r w:rsidR="00197C1B" w:rsidRPr="00197C1B">
        <w:t xml:space="preserve"> </w:t>
      </w:r>
      <w:r w:rsidR="00197C1B" w:rsidRPr="00197C1B">
        <w:t>H</w:t>
      </w:r>
      <w:r w:rsidRPr="00197C1B">
        <w:t>owever, when Apple requested that the court enhance the damages for dilution, pursuant to Section 35(a) of the Lanham Act, the court refused, in part because Apple could not separate losses due to patent infringement (where no enhancement was permitted) from dilution.</w:t>
      </w:r>
      <w:r w:rsidR="00197C1B" w:rsidRPr="00197C1B">
        <w:rPr>
          <w:vertAlign w:val="superscript"/>
        </w:rPr>
        <w:footnoteReference w:id="168"/>
      </w:r>
    </w:p>
    <w:p w14:paraId="7B96FC35" w14:textId="1DEC50F3" w:rsidR="00197C1B" w:rsidRPr="00197C1B" w:rsidRDefault="00B14B89" w:rsidP="00197C1B">
      <w:pPr>
        <w:pStyle w:val="BHead2"/>
      </w:pPr>
      <w:r>
        <w:t>11.III.</w:t>
      </w:r>
      <w:r w:rsidR="00197C1B" w:rsidRPr="00B14B89">
        <w:rPr>
          <w:rStyle w:val="BBNAidChar"/>
          <w:rFonts w:eastAsiaTheme="majorEastAsia"/>
        </w:rPr>
        <w:t>E</w:t>
      </w:r>
      <w:r w:rsidR="00197C1B" w:rsidRPr="00197C1B">
        <w:t>.</w:t>
      </w:r>
      <w:r>
        <w:t> </w:t>
      </w:r>
      <w:r w:rsidR="00197C1B" w:rsidRPr="00197C1B">
        <w:tab/>
        <w:t>Notice as a Prerequisite for Damages</w:t>
      </w:r>
    </w:p>
    <w:p w14:paraId="3DA00F9E" w14:textId="56F6D860" w:rsidR="00197C1B" w:rsidRPr="00197C1B" w:rsidRDefault="00905652" w:rsidP="00197C1B">
      <w:pPr>
        <w:pStyle w:val="BNormal"/>
      </w:pPr>
      <w:r w:rsidRPr="00197C1B">
        <w:t>Under Section 29 of the Lanham Act, the owner of a registered mark that does not indicate that its mark is registered (with the ®) cannot recover damages unless the defendant is shown to have had actual notice of the registration.</w:t>
      </w:r>
      <w:r w:rsidR="00197C1B" w:rsidRPr="00197C1B">
        <w:rPr>
          <w:vertAlign w:val="superscript"/>
        </w:rPr>
        <w:footnoteReference w:id="169"/>
      </w:r>
      <w:r w:rsidRPr="00197C1B">
        <w:t xml:space="preserve"> However, there is no notice requirement for the recovery of damages if the mark is not registered</w:t>
      </w:r>
      <w:r w:rsidR="00197C1B" w:rsidRPr="00197C1B">
        <w:t>.</w:t>
      </w:r>
      <w:r w:rsidR="00197C1B" w:rsidRPr="00197C1B">
        <w:t xml:space="preserve"> </w:t>
      </w:r>
      <w:r w:rsidR="00197C1B" w:rsidRPr="00197C1B">
        <w:t>T</w:t>
      </w:r>
      <w:r w:rsidRPr="00197C1B">
        <w:t xml:space="preserve">he irony of this dichotomy was illustrated in </w:t>
      </w:r>
      <w:r w:rsidR="00197C1B" w:rsidRPr="00197C1B">
        <w:rPr>
          <w:i/>
        </w:rPr>
        <w:t>Apple,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Samsung Electronics Co</w:t>
      </w:r>
      <w:r w:rsidRPr="00197C1B">
        <w:t>.</w:t>
      </w:r>
      <w:r w:rsidR="00197C1B" w:rsidRPr="00197C1B">
        <w:rPr>
          <w:vertAlign w:val="superscript"/>
        </w:rPr>
        <w:footnoteReference w:id="170"/>
      </w:r>
      <w:r w:rsidRPr="00197C1B">
        <w:t xml:space="preserve"> A jury awarded Apple damages for patent infringement, trade dress infringement, and dilution</w:t>
      </w:r>
      <w:r w:rsidR="00197C1B" w:rsidRPr="00197C1B">
        <w:t>.</w:t>
      </w:r>
      <w:r w:rsidR="00197C1B" w:rsidRPr="00197C1B">
        <w:t xml:space="preserve"> </w:t>
      </w:r>
      <w:r w:rsidR="00197C1B" w:rsidRPr="00197C1B">
        <w:t>H</w:t>
      </w:r>
      <w:r w:rsidRPr="00197C1B">
        <w:t>owever, some of the trade dress was registered, while other trade dress was not</w:t>
      </w:r>
      <w:r w:rsidR="00197C1B" w:rsidRPr="00197C1B">
        <w:t>.</w:t>
      </w:r>
      <w:r w:rsidR="00197C1B" w:rsidRPr="00197C1B">
        <w:t xml:space="preserve"> </w:t>
      </w:r>
      <w:r w:rsidR="00197C1B" w:rsidRPr="00197C1B">
        <w:t>T</w:t>
      </w:r>
      <w:r w:rsidRPr="00197C1B">
        <w:t xml:space="preserve">hus, the court’s discussion of the propriety of the </w:t>
      </w:r>
      <w:r w:rsidRPr="00197C1B">
        <w:lastRenderedPageBreak/>
        <w:t>award had to bifurcate the trade dress claims, according to whether they were registered, in order to comply with Section 29.</w:t>
      </w:r>
      <w:r w:rsidR="00197C1B" w:rsidRPr="00197C1B">
        <w:rPr>
          <w:vertAlign w:val="superscript"/>
        </w:rPr>
        <w:footnoteReference w:id="171"/>
      </w:r>
    </w:p>
    <w:p w14:paraId="64900985" w14:textId="0DEA4908" w:rsidR="00197C1B" w:rsidRPr="00197C1B" w:rsidRDefault="00B14B89" w:rsidP="00197C1B">
      <w:pPr>
        <w:pStyle w:val="BHead2"/>
      </w:pPr>
      <w:r>
        <w:t>11.III.</w:t>
      </w:r>
      <w:r w:rsidR="00197C1B" w:rsidRPr="00B14B89">
        <w:rPr>
          <w:rStyle w:val="BBNAidChar"/>
          <w:rFonts w:eastAsiaTheme="majorEastAsia"/>
        </w:rPr>
        <w:t>F</w:t>
      </w:r>
      <w:r w:rsidR="00197C1B" w:rsidRPr="00197C1B">
        <w:t>.</w:t>
      </w:r>
      <w:r>
        <w:t> </w:t>
      </w:r>
      <w:r w:rsidR="00197C1B" w:rsidRPr="00197C1B">
        <w:tab/>
        <w:t>Measuring Damages in Dilution Cases</w:t>
      </w:r>
    </w:p>
    <w:p w14:paraId="5A7F93DE" w14:textId="2ED0F042" w:rsidR="00197C1B" w:rsidRPr="00197C1B" w:rsidRDefault="00905652" w:rsidP="00197C1B">
      <w:pPr>
        <w:pStyle w:val="BNormal"/>
      </w:pPr>
      <w:r w:rsidRPr="00197C1B">
        <w:t>Even if willful intent is shown, the plaintiff must demonstrate losses attributable to the dilution in order to recover</w:t>
      </w:r>
      <w:r w:rsidR="00197C1B" w:rsidRPr="00197C1B">
        <w:t>.</w:t>
      </w:r>
      <w:r w:rsidR="00197C1B" w:rsidRPr="00197C1B">
        <w:t xml:space="preserve"> </w:t>
      </w:r>
      <w:r w:rsidR="00197C1B" w:rsidRPr="00197C1B">
        <w:t>I</w:t>
      </w:r>
      <w:r w:rsidRPr="00197C1B">
        <w:t xml:space="preserve">n </w:t>
      </w:r>
      <w:r w:rsidR="00197C1B" w:rsidRPr="00197C1B">
        <w:rPr>
          <w:rStyle w:val="BCasenamefull"/>
        </w:rPr>
        <w:t>Blumenthal Distributing, Inc. v. Herman Miller, Inc.</w:t>
      </w:r>
      <w:r w:rsidRPr="00197C1B">
        <w:t>,</w:t>
      </w:r>
      <w:r w:rsidR="00197C1B" w:rsidRPr="00197C1B">
        <w:rPr>
          <w:vertAlign w:val="superscript"/>
        </w:rPr>
        <w:footnoteReference w:id="172"/>
      </w:r>
      <w:r w:rsidRPr="00197C1B">
        <w:t xml:space="preserve"> the court remitted a jury verdict of $5.1 million as unsupported by the evidence</w:t>
      </w:r>
      <w:r w:rsidR="00197C1B" w:rsidRPr="00197C1B">
        <w:t>.</w:t>
      </w:r>
      <w:r w:rsidR="00197C1B" w:rsidRPr="00197C1B">
        <w:t xml:space="preserve"> </w:t>
      </w:r>
      <w:r w:rsidR="00197C1B" w:rsidRPr="00197C1B">
        <w:t>H</w:t>
      </w:r>
      <w:r w:rsidRPr="00197C1B">
        <w:t>erman Miller sought (and evidently received from the jury) its marketing costs as the measure of damages.</w:t>
      </w:r>
      <w:r w:rsidR="00197C1B" w:rsidRPr="00197C1B">
        <w:rPr>
          <w:vertAlign w:val="superscript"/>
        </w:rPr>
        <w:footnoteReference w:id="173"/>
      </w:r>
      <w:r w:rsidRPr="00197C1B">
        <w:t xml:space="preserve"> However, the court, while acknowledging the relevance of such costs, stated that marketing costs “are neither a per se measure of dilution caused by infringement nor a proxy for that amount.”</w:t>
      </w:r>
      <w:r w:rsidR="00197C1B" w:rsidRPr="00197C1B">
        <w:rPr>
          <w:vertAlign w:val="superscript"/>
        </w:rPr>
        <w:footnoteReference w:id="174"/>
      </w:r>
      <w:r w:rsidRPr="00197C1B">
        <w:t xml:space="preserve"> The court also noted that the award exceeded Blumenthal’s profits from selling the offending chairs.</w:t>
      </w:r>
      <w:r w:rsidR="00197C1B" w:rsidRPr="00197C1B">
        <w:rPr>
          <w:vertAlign w:val="superscript"/>
        </w:rPr>
        <w:footnoteReference w:id="175"/>
      </w:r>
      <w:r w:rsidRPr="00197C1B">
        <w:t xml:space="preserve"> Nevertheless, it allowed Herman Miller to accept an award of $3 million or face a new trial on damages.</w:t>
      </w:r>
      <w:r w:rsidR="00197C1B" w:rsidRPr="00197C1B">
        <w:rPr>
          <w:vertAlign w:val="superscript"/>
        </w:rPr>
        <w:footnoteReference w:id="176"/>
      </w:r>
      <w:r w:rsidRPr="00197C1B">
        <w:t xml:space="preserve"> There is a curious aspect to the measurement of damages in this case</w:t>
      </w:r>
      <w:r w:rsidR="00197C1B" w:rsidRPr="00197C1B">
        <w:t>.</w:t>
      </w:r>
      <w:r w:rsidR="00197C1B" w:rsidRPr="00197C1B">
        <w:t xml:space="preserve"> </w:t>
      </w:r>
      <w:r w:rsidR="00197C1B" w:rsidRPr="00197C1B">
        <w:t>T</w:t>
      </w:r>
      <w:r w:rsidRPr="00197C1B">
        <w:t>he jury instructions—quoted by the court—pointed to damage to Herman Miller’s goodwill and/or reputation as the proper measure of damages.</w:t>
      </w:r>
      <w:r w:rsidR="00197C1B" w:rsidRPr="00197C1B">
        <w:rPr>
          <w:vertAlign w:val="superscript"/>
        </w:rPr>
        <w:footnoteReference w:id="177"/>
      </w:r>
      <w:r w:rsidRPr="00197C1B">
        <w:t xml:space="preserve"> However, damages for harm to reputation are specifically limited in the statute to dilution by tarnishment</w:t>
      </w:r>
      <w:r w:rsidR="00197C1B" w:rsidRPr="00197C1B">
        <w:t>;</w:t>
      </w:r>
      <w:r w:rsidR="00197C1B" w:rsidRPr="00197C1B">
        <w:t xml:space="preserve"> </w:t>
      </w:r>
      <w:r w:rsidR="00197C1B" w:rsidRPr="00197C1B">
        <w:t>d</w:t>
      </w:r>
      <w:r w:rsidRPr="00197C1B">
        <w:t>ilution by blurring requires willful intent to “trade on the recognition of the famous mark.”</w:t>
      </w:r>
      <w:r w:rsidR="00197C1B" w:rsidRPr="00197C1B">
        <w:rPr>
          <w:vertAlign w:val="superscript"/>
        </w:rPr>
        <w:footnoteReference w:id="178"/>
      </w:r>
      <w:r w:rsidRPr="00197C1B">
        <w:t xml:space="preserve"> There was no indication in the case that Herman Miller sued for tarnishment, rather than blurring, and the jury instructions only dealt with dilution by blurring</w:t>
      </w:r>
      <w:r w:rsidR="00197C1B" w:rsidRPr="00197C1B">
        <w:t>.</w:t>
      </w:r>
      <w:r w:rsidR="00197C1B" w:rsidRPr="00197C1B">
        <w:t xml:space="preserve"> </w:t>
      </w:r>
      <w:r w:rsidR="00197C1B" w:rsidRPr="00197C1B">
        <w:t>H</w:t>
      </w:r>
      <w:r w:rsidRPr="00197C1B">
        <w:t>owever, it appears that some of the chairs in question may have been sold prior to the effective date of the TDRA.</w:t>
      </w:r>
    </w:p>
    <w:p w14:paraId="3FD4A943" w14:textId="2BEDC24C" w:rsidR="00197C1B" w:rsidRPr="00197C1B" w:rsidRDefault="00905652" w:rsidP="00197C1B">
      <w:pPr>
        <w:pStyle w:val="BNormal"/>
      </w:pPr>
      <w:r w:rsidRPr="00197C1B">
        <w:t>There was a specific jury instruction relating to this issue (telling jurors that for items sold prior to October 2, 2006, they had to find actual dilution, not just likelihood of dilution).</w:t>
      </w:r>
      <w:r w:rsidR="00197C1B" w:rsidRPr="00197C1B">
        <w:rPr>
          <w:vertAlign w:val="superscript"/>
        </w:rPr>
        <w:footnoteReference w:id="179"/>
      </w:r>
      <w:r w:rsidRPr="00197C1B">
        <w:t xml:space="preserve"> It is possible that the damages reflected </w:t>
      </w:r>
      <w:r w:rsidRPr="00197C1B">
        <w:lastRenderedPageBreak/>
        <w:t>pre-TDRA language, which did not distinguish between blurring and tarnishment</w:t>
      </w:r>
      <w:r w:rsidR="00197C1B" w:rsidRPr="00197C1B">
        <w:t>.</w:t>
      </w:r>
      <w:r w:rsidR="00197C1B" w:rsidRPr="00197C1B">
        <w:t xml:space="preserve"> </w:t>
      </w:r>
      <w:r w:rsidR="00197C1B" w:rsidRPr="00197C1B">
        <w:t>B</w:t>
      </w:r>
      <w:r w:rsidRPr="00197C1B">
        <w:t>ut the court’s failure to address that issue is unfortunate.</w:t>
      </w:r>
    </w:p>
    <w:p w14:paraId="1D2E05B0" w14:textId="700067B5" w:rsidR="00197C1B" w:rsidRPr="00197C1B" w:rsidRDefault="00B14B89" w:rsidP="00197C1B">
      <w:pPr>
        <w:pStyle w:val="BHead2"/>
      </w:pPr>
      <w:r>
        <w:t>11.III.</w:t>
      </w:r>
      <w:r w:rsidR="00197C1B" w:rsidRPr="00B14B89">
        <w:rPr>
          <w:rStyle w:val="BBNAidChar"/>
          <w:rFonts w:eastAsiaTheme="majorEastAsia"/>
        </w:rPr>
        <w:t>G</w:t>
      </w:r>
      <w:r w:rsidR="00197C1B" w:rsidRPr="00197C1B">
        <w:t>.</w:t>
      </w:r>
      <w:r>
        <w:t> </w:t>
      </w:r>
      <w:r w:rsidR="00197C1B" w:rsidRPr="00197C1B">
        <w:tab/>
        <w:t>Prejudgment Interest</w:t>
      </w:r>
    </w:p>
    <w:p w14:paraId="62806A70" w14:textId="63DBDAA0" w:rsidR="00197C1B" w:rsidRPr="00197C1B" w:rsidRDefault="00905652" w:rsidP="00197C1B">
      <w:pPr>
        <w:pStyle w:val="BNormal"/>
      </w:pPr>
      <w:r w:rsidRPr="00197C1B">
        <w:t>If damages are awarded to a plaintiff, it is natural that the plaintiff will want prejudgment interest in an effort to make itself completely whole</w:t>
      </w:r>
      <w:r w:rsidR="00197C1B" w:rsidRPr="00197C1B">
        <w:t>.</w:t>
      </w:r>
      <w:r w:rsidR="00197C1B" w:rsidRPr="00197C1B">
        <w:t xml:space="preserve"> </w:t>
      </w:r>
      <w:r w:rsidR="00197C1B" w:rsidRPr="00197C1B">
        <w:t>H</w:t>
      </w:r>
      <w:r w:rsidRPr="00197C1B">
        <w:t>owever, the availability of prejudgment interest in a dilution case is unclear</w:t>
      </w:r>
      <w:r w:rsidR="00197C1B" w:rsidRPr="00197C1B">
        <w:t>.</w:t>
      </w:r>
      <w:r w:rsidR="00197C1B" w:rsidRPr="00197C1B">
        <w:t xml:space="preserve"> </w:t>
      </w:r>
      <w:r w:rsidR="00197C1B" w:rsidRPr="00197C1B">
        <w:t>I</w:t>
      </w:r>
      <w:r w:rsidRPr="00197C1B">
        <w:t xml:space="preserve">n </w:t>
      </w:r>
      <w:r w:rsidR="00197C1B" w:rsidRPr="00197C1B">
        <w:rPr>
          <w:i/>
        </w:rPr>
        <w:t>Apple, Inc</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Samsung Electronics Co.</w:t>
      </w:r>
      <w:r w:rsidRPr="00197C1B">
        <w:t>,</w:t>
      </w:r>
      <w:r w:rsidR="00197C1B" w:rsidRPr="00197C1B">
        <w:rPr>
          <w:vertAlign w:val="superscript"/>
        </w:rPr>
        <w:footnoteReference w:id="180"/>
      </w:r>
      <w:r w:rsidRPr="00197C1B">
        <w:t xml:space="preserve"> a case that involved both patent infringement and trade dress dilution, the court noted that the Ninth Circuit’s precedents on the availability of prejudgment interest in Lanham Act cases were somewhat contradictory.</w:t>
      </w:r>
      <w:r w:rsidR="00197C1B" w:rsidRPr="00197C1B">
        <w:rPr>
          <w:vertAlign w:val="superscript"/>
        </w:rPr>
        <w:footnoteReference w:id="181"/>
      </w:r>
      <w:r w:rsidRPr="00197C1B">
        <w:t xml:space="preserve"> However, because of the overlap between the patent infringement and dilution claims, the court found it unnecessary to resolve the issue.</w:t>
      </w:r>
      <w:r w:rsidR="00197C1B" w:rsidRPr="00197C1B">
        <w:rPr>
          <w:vertAlign w:val="superscript"/>
        </w:rPr>
        <w:footnoteReference w:id="182"/>
      </w:r>
    </w:p>
    <w:p w14:paraId="54F6AE9E" w14:textId="5A97869C" w:rsidR="00197C1B" w:rsidRPr="00197C1B" w:rsidRDefault="00B14B89" w:rsidP="00197C1B">
      <w:pPr>
        <w:pStyle w:val="BHead1"/>
      </w:pPr>
      <w:r>
        <w:t>11.</w:t>
      </w:r>
      <w:r w:rsidR="00197C1B" w:rsidRPr="00B14B89">
        <w:rPr>
          <w:rStyle w:val="BBNAidChar"/>
          <w:rFonts w:eastAsiaTheme="majorEastAsia"/>
        </w:rPr>
        <w:t>IV</w:t>
      </w:r>
      <w:r w:rsidR="00197C1B" w:rsidRPr="00197C1B">
        <w:t>.</w:t>
      </w:r>
      <w:r>
        <w:t xml:space="preserve">  </w:t>
      </w:r>
      <w:r w:rsidR="00197C1B" w:rsidRPr="00197C1B">
        <w:t>Attorney’s Fees, Costs, and Expert Witness Fees</w:t>
      </w:r>
    </w:p>
    <w:p w14:paraId="66EDDD8B" w14:textId="0213F241" w:rsidR="00197C1B" w:rsidRPr="00197C1B" w:rsidRDefault="00B14B89" w:rsidP="00197C1B">
      <w:pPr>
        <w:pStyle w:val="BHead2"/>
      </w:pPr>
      <w:r>
        <w:t>11.IV.</w:t>
      </w:r>
      <w:r w:rsidR="00197C1B" w:rsidRPr="00B14B89">
        <w:rPr>
          <w:rStyle w:val="BBNAidChar"/>
          <w:rFonts w:eastAsiaTheme="majorEastAsia"/>
        </w:rPr>
        <w:t>A</w:t>
      </w:r>
      <w:r w:rsidR="00197C1B" w:rsidRPr="00197C1B">
        <w:t>.</w:t>
      </w:r>
      <w:r>
        <w:t> </w:t>
      </w:r>
      <w:r w:rsidR="00197C1B" w:rsidRPr="00197C1B">
        <w:tab/>
        <w:t>Attorney’s Fees</w:t>
      </w:r>
    </w:p>
    <w:p w14:paraId="3FC0D86E" w14:textId="5EA9FF5C" w:rsidR="00197C1B" w:rsidRPr="00197C1B" w:rsidRDefault="00905652" w:rsidP="00197C1B">
      <w:pPr>
        <w:pStyle w:val="BNormal"/>
      </w:pPr>
      <w:r w:rsidRPr="00197C1B">
        <w:t>In addition to damages, Section 35(a) of the Lanham Act provides for an award of attorney’s fees “in exceptional cases.”</w:t>
      </w:r>
      <w:r w:rsidR="00197C1B" w:rsidRPr="00197C1B">
        <w:rPr>
          <w:vertAlign w:val="superscript"/>
        </w:rPr>
        <w:footnoteReference w:id="183"/>
      </w:r>
      <w:r w:rsidRPr="00197C1B">
        <w:t xml:space="preserve"> A further limitation on attorney’s fee awards is implicit in Section 43(c)(5)</w:t>
      </w:r>
      <w:r w:rsidR="00197C1B" w:rsidRPr="00197C1B">
        <w:t>.</w:t>
      </w:r>
      <w:r w:rsidR="00197C1B" w:rsidRPr="00197C1B">
        <w:t xml:space="preserve"> </w:t>
      </w:r>
      <w:r w:rsidR="00197C1B" w:rsidRPr="00197C1B">
        <w:t>T</w:t>
      </w:r>
      <w:r w:rsidRPr="00197C1B">
        <w:t>hat section provides that only injunctions may be issued unless the requisite “willful intent” is shown</w:t>
      </w:r>
      <w:r w:rsidR="00197C1B" w:rsidRPr="00197C1B">
        <w:t>.</w:t>
      </w:r>
      <w:r w:rsidR="00197C1B" w:rsidRPr="00197C1B">
        <w:t xml:space="preserve"> </w:t>
      </w:r>
      <w:r w:rsidR="00197C1B" w:rsidRPr="00197C1B">
        <w:t>I</w:t>
      </w:r>
      <w:r w:rsidRPr="00197C1B">
        <w:t>f, and only if, that intent is shown, then the famous mark owner can avail itself of the remedies in Section 35(a), which includes attorney’s fees</w:t>
      </w:r>
      <w:r w:rsidR="00197C1B" w:rsidRPr="00197C1B">
        <w:t>.</w:t>
      </w:r>
      <w:r w:rsidR="00197C1B" w:rsidRPr="00197C1B">
        <w:t xml:space="preserve"> </w:t>
      </w:r>
      <w:r w:rsidR="00197C1B" w:rsidRPr="00197C1B">
        <w:t>T</w:t>
      </w:r>
      <w:r w:rsidRPr="00197C1B">
        <w:t>hus, an award of attorney’s fees can be made only where willful intent is demonstrated.</w:t>
      </w:r>
      <w:r w:rsidR="00197C1B" w:rsidRPr="00197C1B">
        <w:rPr>
          <w:vertAlign w:val="superscript"/>
        </w:rPr>
        <w:footnoteReference w:id="184"/>
      </w:r>
      <w:r w:rsidRPr="00197C1B">
        <w:t xml:space="preserve"> On the other hand, the court may deem a case “exceptional” even if no damages are awarded.</w:t>
      </w:r>
      <w:r w:rsidR="00197C1B" w:rsidRPr="00197C1B">
        <w:rPr>
          <w:vertAlign w:val="superscript"/>
        </w:rPr>
        <w:footnoteReference w:id="185"/>
      </w:r>
    </w:p>
    <w:p w14:paraId="43E9B9DE" w14:textId="74650EFA" w:rsidR="00197C1B" w:rsidRPr="00197C1B" w:rsidRDefault="00905652" w:rsidP="00197C1B">
      <w:pPr>
        <w:pStyle w:val="BNormal"/>
      </w:pPr>
      <w:r w:rsidRPr="00197C1B">
        <w:t>Exceptional cases generally are those where some kind of “bad faith, fraud, malice or knowing infringement” is shown.</w:t>
      </w:r>
      <w:r w:rsidR="00197C1B" w:rsidRPr="00197C1B">
        <w:rPr>
          <w:vertAlign w:val="superscript"/>
        </w:rPr>
        <w:footnoteReference w:id="186"/>
      </w:r>
      <w:r w:rsidRPr="00197C1B">
        <w:t xml:space="preserve"> Because damages for TDRA violations are available only on a showing of willful conduct, courts </w:t>
      </w:r>
      <w:r w:rsidRPr="00197C1B">
        <w:lastRenderedPageBreak/>
        <w:t>may deem this to be sufficient to satisfy the requirements for an exceptional case</w:t>
      </w:r>
      <w:r w:rsidR="00197C1B" w:rsidRPr="00197C1B">
        <w:t>.</w:t>
      </w:r>
      <w:r w:rsidR="00197C1B" w:rsidRPr="00197C1B">
        <w:t xml:space="preserve"> </w:t>
      </w:r>
      <w:r w:rsidR="00197C1B" w:rsidRPr="00197C1B">
        <w:t>I</w:t>
      </w:r>
      <w:r w:rsidRPr="00197C1B">
        <w:t>n several instances, courts have awarded attorney’s fees without clearly separating the issue of willful intent from the issue of an exceptional case.</w:t>
      </w:r>
      <w:r w:rsidR="00197C1B" w:rsidRPr="00197C1B">
        <w:rPr>
          <w:vertAlign w:val="superscript"/>
        </w:rPr>
        <w:footnoteReference w:id="187"/>
      </w:r>
      <w:r w:rsidRPr="00197C1B">
        <w:t xml:space="preserve"> Care should be taken, however, not to automatically equate a finding of willful intent with an “exceptional” case.</w:t>
      </w:r>
      <w:r w:rsidR="00197C1B" w:rsidRPr="00197C1B">
        <w:rPr>
          <w:vertAlign w:val="superscript"/>
        </w:rPr>
        <w:footnoteReference w:id="188"/>
      </w:r>
      <w:r w:rsidRPr="00197C1B">
        <w:t xml:space="preserve"> Particularly in tarnishment cases, courts may be willing to find an intent to harm another’s reputation</w:t>
      </w:r>
      <w:r w:rsidR="00197C1B" w:rsidRPr="00197C1B">
        <w:t>.</w:t>
      </w:r>
      <w:r w:rsidR="00197C1B" w:rsidRPr="00197C1B">
        <w:t xml:space="preserve"> </w:t>
      </w:r>
      <w:r w:rsidR="00197C1B" w:rsidRPr="00197C1B">
        <w:t>Y</w:t>
      </w:r>
      <w:r w:rsidRPr="00197C1B">
        <w:t>et this may not make the case “exceptional.”</w:t>
      </w:r>
      <w:r w:rsidR="00197C1B" w:rsidRPr="00197C1B">
        <w:rPr>
          <w:vertAlign w:val="superscript"/>
        </w:rPr>
        <w:footnoteReference w:id="189"/>
      </w:r>
      <w:r w:rsidRPr="00197C1B">
        <w:t xml:space="preserve"> Moreover, a refusal to stop an offending use when sent a cease-and-desist letter is not necessarily evidence of bad faith, if the recipient has a good-faith reason to believe he or she has a right to continue the use.</w:t>
      </w:r>
      <w:r w:rsidR="00197C1B" w:rsidRPr="00197C1B">
        <w:rPr>
          <w:vertAlign w:val="superscript"/>
        </w:rPr>
        <w:footnoteReference w:id="190"/>
      </w:r>
    </w:p>
    <w:p w14:paraId="020DACAA" w14:textId="3AB66821" w:rsidR="00197C1B" w:rsidRPr="00197C1B" w:rsidRDefault="00905652" w:rsidP="00197C1B">
      <w:pPr>
        <w:pStyle w:val="BNormal"/>
      </w:pPr>
      <w:r w:rsidRPr="00197C1B">
        <w:t xml:space="preserve">In </w:t>
      </w:r>
      <w:r w:rsidR="00197C1B" w:rsidRPr="00197C1B">
        <w:rPr>
          <w:rStyle w:val="BCasenamefull"/>
        </w:rPr>
        <w:t>Apple Inc. v. Samsung Electronics Co.</w:t>
      </w:r>
      <w:r w:rsidRPr="00197C1B">
        <w:t>,</w:t>
      </w:r>
      <w:r w:rsidR="00197C1B" w:rsidRPr="00197C1B">
        <w:rPr>
          <w:vertAlign w:val="superscript"/>
        </w:rPr>
        <w:footnoteReference w:id="191"/>
      </w:r>
      <w:r w:rsidRPr="00197C1B">
        <w:t xml:space="preserve"> the court denied attorneys’ fees to Apple in spite of a jury verdict that specifically found Samsung to have willfully diluted Apple’s trade dress</w:t>
      </w:r>
      <w:r w:rsidR="00197C1B" w:rsidRPr="00197C1B">
        <w:t>.</w:t>
      </w:r>
      <w:r w:rsidR="00197C1B" w:rsidRPr="00197C1B">
        <w:t xml:space="preserve"> </w:t>
      </w:r>
      <w:r w:rsidR="00197C1B" w:rsidRPr="00197C1B">
        <w:t>T</w:t>
      </w:r>
      <w:r w:rsidRPr="00197C1B">
        <w:t>he court stated that the fact that Samsung had raised reasonable defenses counted against the finding of an exceptional case.</w:t>
      </w:r>
      <w:r w:rsidR="00197C1B" w:rsidRPr="00197C1B">
        <w:rPr>
          <w:vertAlign w:val="superscript"/>
        </w:rPr>
        <w:footnoteReference w:id="192"/>
      </w:r>
    </w:p>
    <w:p w14:paraId="2A2F41EC" w14:textId="02C58F8F" w:rsidR="00197C1B" w:rsidRPr="00197C1B" w:rsidRDefault="00905652" w:rsidP="00197C1B">
      <w:pPr>
        <w:pStyle w:val="BNormal"/>
      </w:pPr>
      <w:r w:rsidRPr="00197C1B">
        <w:t xml:space="preserve">In 2014, the Supreme Court addressed the issue of an “exceptional case” under the patent laws in </w:t>
      </w:r>
      <w:r w:rsidR="00197C1B" w:rsidRPr="00197C1B">
        <w:rPr>
          <w:rStyle w:val="BCasenamefull"/>
        </w:rPr>
        <w:t>Octane Fitness LLC v. ICON Health &amp; Fitness, Inc.</w:t>
      </w:r>
      <w:r w:rsidR="00197C1B" w:rsidRPr="00197C1B">
        <w:rPr>
          <w:vertAlign w:val="superscript"/>
        </w:rPr>
        <w:footnoteReference w:id="193"/>
      </w:r>
      <w:r w:rsidRPr="00197C1B">
        <w:t xml:space="preserve"> The Court held that “an ‘exceptional’ case is simply one that stands out from others with respect to the substantive strength of a party’s litigating position (considering both </w:t>
      </w:r>
      <w:r w:rsidRPr="00197C1B">
        <w:lastRenderedPageBreak/>
        <w:t>the governing law and the facts of the case) or the unreasonable manner in which the case was litigated.”</w:t>
      </w:r>
      <w:r w:rsidR="00197C1B" w:rsidRPr="00197C1B">
        <w:rPr>
          <w:vertAlign w:val="superscript"/>
        </w:rPr>
        <w:footnoteReference w:id="194"/>
      </w:r>
      <w:r w:rsidRPr="00197C1B">
        <w:t xml:space="preserve"> It is not yet clear whether applying this standard in trademark cases would be a significant change from existing practice</w:t>
      </w:r>
      <w:r w:rsidR="00197C1B" w:rsidRPr="00197C1B">
        <w:t>;</w:t>
      </w:r>
      <w:r w:rsidR="00197C1B" w:rsidRPr="00197C1B">
        <w:t xml:space="preserve"> </w:t>
      </w:r>
      <w:r w:rsidR="00197C1B" w:rsidRPr="00197C1B">
        <w:t>i</w:t>
      </w:r>
      <w:r w:rsidRPr="00197C1B">
        <w:t>n patent cases the Federal Circuit had applied a very high bar to recovery—litigation misconduct or an objectively baseless claim brought in bad faith.</w:t>
      </w:r>
      <w:r w:rsidR="00197C1B" w:rsidRPr="00197C1B">
        <w:rPr>
          <w:vertAlign w:val="superscript"/>
        </w:rPr>
        <w:footnoteReference w:id="195"/>
      </w:r>
      <w:r w:rsidRPr="00197C1B">
        <w:t xml:space="preserve"> That is a higher standard than is applied in a typical trademark case.</w:t>
      </w:r>
      <w:r w:rsidR="00197C1B" w:rsidRPr="00197C1B">
        <w:rPr>
          <w:vertAlign w:val="superscript"/>
        </w:rPr>
        <w:footnoteReference w:id="196"/>
      </w:r>
    </w:p>
    <w:p w14:paraId="23864CFC" w14:textId="4FDCC245" w:rsidR="00197C1B" w:rsidRPr="00197C1B" w:rsidRDefault="00905652" w:rsidP="00197C1B">
      <w:pPr>
        <w:pStyle w:val="BNormal"/>
      </w:pPr>
      <w:r w:rsidRPr="00197C1B">
        <w:t>Even if the case is found to be exceptional, it has been held that the court retains discretion to decline to award attorney’s fees.</w:t>
      </w:r>
      <w:r w:rsidR="00197C1B" w:rsidRPr="00197C1B">
        <w:rPr>
          <w:vertAlign w:val="superscript"/>
        </w:rPr>
        <w:footnoteReference w:id="197"/>
      </w:r>
    </w:p>
    <w:p w14:paraId="39C59167" w14:textId="7751307B" w:rsidR="00197C1B" w:rsidRPr="00197C1B" w:rsidRDefault="00905652" w:rsidP="00197C1B">
      <w:pPr>
        <w:pStyle w:val="BNormal"/>
      </w:pPr>
      <w:r w:rsidRPr="00197C1B">
        <w:t>Section 35(a) permits attorney’s fees to be awarded to “the prevailing party.” If the plaintiff is successful on only some of its claims,</w:t>
      </w:r>
      <w:r w:rsidR="00197C1B" w:rsidRPr="00197C1B">
        <w:rPr>
          <w:vertAlign w:val="superscript"/>
        </w:rPr>
        <w:footnoteReference w:id="198"/>
      </w:r>
      <w:r w:rsidRPr="00197C1B">
        <w:t xml:space="preserve"> it should be awarded fees only for the successful claims.</w:t>
      </w:r>
      <w:r w:rsidR="00197C1B" w:rsidRPr="00197C1B">
        <w:rPr>
          <w:vertAlign w:val="superscript"/>
        </w:rPr>
        <w:footnoteReference w:id="199"/>
      </w:r>
      <w:r w:rsidRPr="00197C1B">
        <w:t xml:space="preserve"> When requesting fee awards, attorneys should itemize carefully, separating work by different attorneys and assistants, and delineating the tasks performed</w:t>
      </w:r>
      <w:r w:rsidR="00197C1B" w:rsidRPr="00197C1B">
        <w:t>.</w:t>
      </w:r>
      <w:r w:rsidR="00197C1B" w:rsidRPr="00197C1B">
        <w:t xml:space="preserve"> </w:t>
      </w:r>
      <w:r w:rsidR="00197C1B" w:rsidRPr="00197C1B">
        <w:t>O</w:t>
      </w:r>
      <w:r w:rsidRPr="00197C1B">
        <w:t>therwise, the court cannot evaluate the reasonableness of the request.</w:t>
      </w:r>
      <w:r w:rsidR="00197C1B" w:rsidRPr="00197C1B">
        <w:rPr>
          <w:vertAlign w:val="superscript"/>
        </w:rPr>
        <w:footnoteReference w:id="200"/>
      </w:r>
      <w:r w:rsidRPr="00197C1B">
        <w:t xml:space="preserve"> The calculation of attorney’s fees is left to the sound discretion of the court and may be adjusted as to hours and rate to arrive at a “reasonable” fee.</w:t>
      </w:r>
      <w:r w:rsidR="00197C1B" w:rsidRPr="00197C1B">
        <w:rPr>
          <w:vertAlign w:val="superscript"/>
        </w:rPr>
        <w:footnoteReference w:id="201"/>
      </w:r>
      <w:r w:rsidRPr="00197C1B">
        <w:t xml:space="preserve"> Where there are multiple parties on the losing side, the court may impose joint and several liability for the attorney’s fees, depending on the circumstances of the case.</w:t>
      </w:r>
      <w:r w:rsidR="00197C1B" w:rsidRPr="00197C1B">
        <w:rPr>
          <w:vertAlign w:val="superscript"/>
        </w:rPr>
        <w:footnoteReference w:id="202"/>
      </w:r>
    </w:p>
    <w:p w14:paraId="0D569F8D" w14:textId="723A3D17" w:rsidR="00197C1B" w:rsidRPr="00197C1B" w:rsidRDefault="00905652" w:rsidP="00197C1B">
      <w:pPr>
        <w:pStyle w:val="BNormal"/>
      </w:pPr>
      <w:r w:rsidRPr="00197C1B">
        <w:lastRenderedPageBreak/>
        <w:t>Defendants also may be awarded attorney’s fees</w:t>
      </w:r>
      <w:r w:rsidR="00197C1B" w:rsidRPr="00197C1B">
        <w:t>.</w:t>
      </w:r>
      <w:r w:rsidR="00197C1B" w:rsidRPr="00197C1B">
        <w:t xml:space="preserve"> </w:t>
      </w:r>
      <w:r w:rsidR="00197C1B" w:rsidRPr="00197C1B">
        <w:t>H</w:t>
      </w:r>
      <w:r w:rsidRPr="00197C1B">
        <w:t>owever, the circuits have not agreed on a uniform standard for awarding attorney’s fees to defendants.</w:t>
      </w:r>
      <w:r w:rsidR="00197C1B" w:rsidRPr="00197C1B">
        <w:rPr>
          <w:vertAlign w:val="superscript"/>
        </w:rPr>
        <w:footnoteReference w:id="203"/>
      </w:r>
      <w:r w:rsidRPr="00197C1B">
        <w:t xml:space="preserve"> In </w:t>
      </w:r>
      <w:r w:rsidR="00197C1B" w:rsidRPr="00197C1B">
        <w:rPr>
          <w:i/>
        </w:rPr>
        <w:t>National Distillers Products Co</w:t>
      </w:r>
      <w:r w:rsidR="00197C1B" w:rsidRPr="00197C1B">
        <w:t>.</w:t>
      </w:r>
      <w:r w:rsidR="00197C1B" w:rsidRPr="00197C1B">
        <w:t xml:space="preserve"> </w:t>
      </w:r>
      <w:r w:rsidR="00197C1B" w:rsidRPr="00197C1B">
        <w:rPr>
          <w:i/>
        </w:rPr>
        <w:t>v</w:t>
      </w:r>
      <w:r w:rsidR="00197C1B" w:rsidRPr="00197C1B">
        <w:t>.</w:t>
      </w:r>
      <w:r w:rsidR="00197C1B" w:rsidRPr="00197C1B">
        <w:t xml:space="preserve"> </w:t>
      </w:r>
      <w:r w:rsidR="00197C1B" w:rsidRPr="00197C1B">
        <w:rPr>
          <w:i/>
        </w:rPr>
        <w:t>Refreshment Brands, Inc</w:t>
      </w:r>
      <w:r w:rsidRPr="00197C1B">
        <w:t>.,</w:t>
      </w:r>
      <w:r w:rsidR="00197C1B" w:rsidRPr="00197C1B">
        <w:rPr>
          <w:vertAlign w:val="superscript"/>
        </w:rPr>
        <w:footnoteReference w:id="204"/>
      </w:r>
      <w:r w:rsidRPr="00197C1B">
        <w:t xml:space="preserve"> the court awarded attorney’s fees to a defendant in a trademark litigation, primarily based on the dilution claims</w:t>
      </w:r>
      <w:r w:rsidR="00197C1B" w:rsidRPr="00197C1B">
        <w:t>.</w:t>
      </w:r>
      <w:r w:rsidR="00197C1B" w:rsidRPr="00197C1B">
        <w:t xml:space="preserve"> </w:t>
      </w:r>
      <w:r w:rsidR="00197C1B" w:rsidRPr="00197C1B">
        <w:t>I</w:t>
      </w:r>
      <w:r w:rsidRPr="00197C1B">
        <w:t>n this case, the court found that the dilution claims (there were claims brought under the FTDA and New York’s dilution statute) were brought in bad faith because the plaintiff’s attorney should have known that the plaintiff’s mark (Teton Glacier, used for a “vodka cooler”) was neither famous, as required by the FTDA, nor sufficiently distinctive under the New York statute.</w:t>
      </w:r>
      <w:r w:rsidR="00197C1B" w:rsidRPr="00197C1B">
        <w:rPr>
          <w:vertAlign w:val="superscript"/>
        </w:rPr>
        <w:footnoteReference w:id="205"/>
      </w:r>
      <w:r w:rsidRPr="00197C1B">
        <w:t xml:space="preserve"> The court did not cite any authority for awarding attorney’s fees on the state claim</w:t>
      </w:r>
      <w:r w:rsidR="00197C1B" w:rsidRPr="00197C1B">
        <w:t>;</w:t>
      </w:r>
      <w:r w:rsidR="00197C1B" w:rsidRPr="00197C1B">
        <w:t xml:space="preserve"> </w:t>
      </w:r>
      <w:r w:rsidR="00197C1B" w:rsidRPr="00197C1B">
        <w:t>S</w:t>
      </w:r>
      <w:r w:rsidRPr="00197C1B">
        <w:t>ection 35(a) of the Lanham Act authorizes awards only for claims under that statute.</w:t>
      </w:r>
    </w:p>
    <w:p w14:paraId="089787FB" w14:textId="0EDC7BF7" w:rsidR="00197C1B" w:rsidRPr="00197C1B" w:rsidRDefault="00905652" w:rsidP="00197C1B">
      <w:pPr>
        <w:pStyle w:val="BNormal"/>
      </w:pPr>
      <w:r w:rsidRPr="00197C1B">
        <w:t xml:space="preserve">Similarly, in </w:t>
      </w:r>
      <w:r w:rsidR="00197C1B" w:rsidRPr="00197C1B">
        <w:rPr>
          <w:i/>
        </w:rPr>
        <w:t>Cairns v</w:t>
      </w:r>
      <w:r w:rsidR="00197C1B" w:rsidRPr="00197C1B">
        <w:t>.</w:t>
      </w:r>
      <w:r w:rsidR="00197C1B" w:rsidRPr="00197C1B">
        <w:t xml:space="preserve"> </w:t>
      </w:r>
      <w:r w:rsidR="00197C1B" w:rsidRPr="00197C1B">
        <w:rPr>
          <w:i/>
        </w:rPr>
        <w:t>Franklin Mint Co</w:t>
      </w:r>
      <w:r w:rsidRPr="00197C1B">
        <w:t>.,</w:t>
      </w:r>
      <w:r w:rsidR="00197C1B" w:rsidRPr="00197C1B">
        <w:rPr>
          <w:vertAlign w:val="superscript"/>
        </w:rPr>
        <w:footnoteReference w:id="206"/>
      </w:r>
      <w:r w:rsidRPr="00197C1B">
        <w:t xml:space="preserve"> the Ninth Circuit upheld an award of attorney’s fees to a defendant on a dilution claim (as well as on other claims)</w:t>
      </w:r>
      <w:r w:rsidR="00197C1B" w:rsidRPr="00197C1B">
        <w:t>.</w:t>
      </w:r>
      <w:r w:rsidR="00197C1B" w:rsidRPr="00197C1B">
        <w:t xml:space="preserve"> </w:t>
      </w:r>
      <w:r w:rsidR="00197C1B" w:rsidRPr="00197C1B">
        <w:t>T</w:t>
      </w:r>
      <w:r w:rsidRPr="00197C1B">
        <w:t>he district court characterized the dilution claim as made in bad faith because the claim that Diana, Princess of Wales, signified charitable services rather than the individual was “just short of frivolous,” a finding the Ninth Circuit found was not an abuse of discretion.</w:t>
      </w:r>
      <w:r w:rsidR="00197C1B" w:rsidRPr="00197C1B">
        <w:rPr>
          <w:vertAlign w:val="superscript"/>
        </w:rPr>
        <w:footnoteReference w:id="207"/>
      </w:r>
      <w:r w:rsidRPr="00197C1B">
        <w:t xml:space="preserve"> However, as another court noted, the mere fact that a dilution claim was dismissed on a summary judgment motion does not mean that the claim was frivolous or that the case is an “exceptional” one.</w:t>
      </w:r>
      <w:r w:rsidR="00197C1B" w:rsidRPr="00197C1B">
        <w:rPr>
          <w:vertAlign w:val="superscript"/>
        </w:rPr>
        <w:footnoteReference w:id="208"/>
      </w:r>
    </w:p>
    <w:p w14:paraId="4A27FD1E" w14:textId="3B8C5D4A" w:rsidR="00197C1B" w:rsidRPr="00197C1B" w:rsidRDefault="00905652" w:rsidP="00197C1B">
      <w:pPr>
        <w:pStyle w:val="BNormal"/>
      </w:pPr>
      <w:r w:rsidRPr="00197C1B">
        <w:lastRenderedPageBreak/>
        <w:t xml:space="preserve">An interesting imposition of attorney’s fees occurred in </w:t>
      </w:r>
      <w:r w:rsidR="00197C1B" w:rsidRPr="00197C1B">
        <w:rPr>
          <w:rStyle w:val="BCasenamefull"/>
        </w:rPr>
        <w:t>Trader Joe’s Company v. Trader Joe’s United</w:t>
      </w:r>
      <w:r w:rsidRPr="00197C1B">
        <w:t>.</w:t>
      </w:r>
      <w:r w:rsidR="00197C1B" w:rsidRPr="00197C1B">
        <w:rPr>
          <w:vertAlign w:val="superscript"/>
        </w:rPr>
        <w:footnoteReference w:id="209"/>
      </w:r>
      <w:r w:rsidR="00197C1B" w:rsidRPr="00197C1B">
        <w:t xml:space="preserve"> </w:t>
      </w:r>
      <w:r w:rsidRPr="00197C1B">
        <w:t>Grocery retailer Trader Joe’s brought a trademark suit against a union attempting to organize its workers, claiming that various pieces of merchandise sold by the union in connection with this organizing activity infringed Trader Joe’s trademarks</w:t>
      </w:r>
      <w:r w:rsidR="00197C1B" w:rsidRPr="00197C1B">
        <w:t>.</w:t>
      </w:r>
      <w:r w:rsidR="00197C1B" w:rsidRPr="00197C1B">
        <w:t xml:space="preserve"> </w:t>
      </w:r>
      <w:r w:rsidR="00197C1B" w:rsidRPr="00197C1B">
        <w:t>A</w:t>
      </w:r>
      <w:r w:rsidRPr="00197C1B">
        <w:t>fter dismissing the complaint, which included claims for infringement and dilution, the court considered the union’s request for attorney’s fees</w:t>
      </w:r>
      <w:r w:rsidR="00197C1B" w:rsidRPr="00197C1B">
        <w:t>.</w:t>
      </w:r>
      <w:r w:rsidR="00197C1B" w:rsidRPr="00197C1B">
        <w:t xml:space="preserve"> </w:t>
      </w:r>
      <w:r w:rsidR="00197C1B" w:rsidRPr="00197C1B">
        <w:t>T</w:t>
      </w:r>
      <w:r w:rsidRPr="00197C1B">
        <w:t>he court first noted that it had dismissed the infringement and dilution claims on a motion to dismiss, indicating their weakness.</w:t>
      </w:r>
      <w:r w:rsidR="00197C1B" w:rsidRPr="00197C1B">
        <w:rPr>
          <w:vertAlign w:val="superscript"/>
        </w:rPr>
        <w:footnoteReference w:id="210"/>
      </w:r>
      <w:r w:rsidR="00197C1B" w:rsidRPr="00197C1B">
        <w:t xml:space="preserve"> </w:t>
      </w:r>
      <w:r w:rsidRPr="00197C1B">
        <w:t>Second, the court noted that the dispute came in the context of a labor dispute and that “[r]ecognizing the extensive and ongoing legal battles over the Union’s organizing efforts at multiple stores, Trader Joe’s claim that it was genuinely concerned about the dilution of its brand resulting from these trivial campaign mugs and buttons cannot be taken seriously.”</w:t>
      </w:r>
      <w:r w:rsidR="00197C1B" w:rsidRPr="00197C1B">
        <w:rPr>
          <w:vertAlign w:val="superscript"/>
        </w:rPr>
        <w:footnoteReference w:id="211"/>
      </w:r>
      <w:r w:rsidR="00197C1B" w:rsidRPr="00197C1B">
        <w:t xml:space="preserve"> </w:t>
      </w:r>
      <w:r w:rsidRPr="00197C1B">
        <w:t>Finally, the court cited related policy concerns favoring an attorney’s fees award</w:t>
      </w:r>
      <w:r w:rsidR="00197C1B" w:rsidRPr="00197C1B">
        <w:t>:</w:t>
      </w:r>
      <w:r w:rsidR="00197C1B" w:rsidRPr="00197C1B">
        <w:t xml:space="preserve"> </w:t>
      </w:r>
      <w:r w:rsidR="00197C1B" w:rsidRPr="00197C1B">
        <w:t>“</w:t>
      </w:r>
      <w:r w:rsidRPr="00197C1B">
        <w:t>this request for fees presents squarely the need for deterrence—a policy consideration that the law allows in this context</w:t>
      </w:r>
      <w:r w:rsidR="00197C1B" w:rsidRPr="00197C1B">
        <w:t>.</w:t>
      </w:r>
      <w:r w:rsidR="00197C1B" w:rsidRPr="00197C1B">
        <w:t xml:space="preserve"> </w:t>
      </w:r>
      <w:r w:rsidR="00197C1B" w:rsidRPr="00197C1B">
        <w:rPr>
          <w:i/>
        </w:rPr>
        <w:t>See</w:t>
      </w:r>
      <w:r w:rsidRPr="00197C1B">
        <w:t xml:space="preserve"> SunEarth, Inc., 839 F.3d at 1181</w:t>
      </w:r>
      <w:r w:rsidR="00197C1B" w:rsidRPr="00197C1B">
        <w:t>.</w:t>
      </w:r>
      <w:r w:rsidR="00197C1B" w:rsidRPr="00197C1B">
        <w:t xml:space="preserve"> </w:t>
      </w:r>
      <w:r w:rsidR="00197C1B" w:rsidRPr="00197C1B">
        <w:t>A</w:t>
      </w:r>
      <w:r w:rsidRPr="00197C1B">
        <w:t>s the Court recognized in its Dismissal Order, suits against unions arising out of labor disputes have a significant chilling effect and other collateral impacts on union members</w:t>
      </w:r>
      <w:r w:rsidR="00197C1B" w:rsidRPr="00197C1B">
        <w:t>.</w:t>
      </w:r>
      <w:r w:rsidR="00197C1B" w:rsidRPr="00197C1B">
        <w:t xml:space="preserve"> </w:t>
      </w:r>
      <w:r w:rsidR="00197C1B" w:rsidRPr="00197C1B">
        <w:t>D</w:t>
      </w:r>
      <w:r w:rsidRPr="00197C1B">
        <w:t>ismissal Order at 7</w:t>
      </w:r>
      <w:r w:rsidR="00197C1B" w:rsidRPr="00197C1B">
        <w:t>.</w:t>
      </w:r>
      <w:r w:rsidR="00197C1B" w:rsidRPr="00197C1B">
        <w:t xml:space="preserve"> </w:t>
      </w:r>
      <w:r w:rsidR="00197C1B" w:rsidRPr="00197C1B">
        <w:t>E</w:t>
      </w:r>
      <w:r w:rsidRPr="00197C1B">
        <w:t>mployers should be discouraged from bringing meritless claims against unions they are challenging at the ballot box.”</w:t>
      </w:r>
      <w:r w:rsidR="00197C1B" w:rsidRPr="00197C1B">
        <w:rPr>
          <w:vertAlign w:val="superscript"/>
        </w:rPr>
        <w:footnoteReference w:id="212"/>
      </w:r>
      <w:r w:rsidR="00197C1B" w:rsidRPr="00197C1B">
        <w:t xml:space="preserve"> </w:t>
      </w:r>
      <w:r w:rsidRPr="00197C1B">
        <w:t>The court then awarded the union $112, 622.12.</w:t>
      </w:r>
      <w:r w:rsidR="00197C1B" w:rsidRPr="00197C1B">
        <w:rPr>
          <w:vertAlign w:val="superscript"/>
        </w:rPr>
        <w:footnoteReference w:id="213"/>
      </w:r>
    </w:p>
    <w:p w14:paraId="08A01FB6" w14:textId="12E3C052" w:rsidR="00197C1B" w:rsidRPr="00197C1B" w:rsidRDefault="00905652" w:rsidP="00197C1B">
      <w:pPr>
        <w:pStyle w:val="BNormal"/>
      </w:pPr>
      <w:r w:rsidRPr="00197C1B">
        <w:t xml:space="preserve">There is some question whether a plaintiff’s voluntary dismissal of a complaint </w:t>
      </w:r>
      <w:r w:rsidR="00197C1B" w:rsidRPr="00197C1B">
        <w:rPr>
          <w:i/>
        </w:rPr>
        <w:t>with prejudice</w:t>
      </w:r>
      <w:r w:rsidRPr="00197C1B">
        <w:t xml:space="preserve"> makes the defendant a prevailing party within the meaning of the statute</w:t>
      </w:r>
      <w:r w:rsidR="00197C1B" w:rsidRPr="00197C1B">
        <w:t>.</w:t>
      </w:r>
      <w:r w:rsidR="00197C1B" w:rsidRPr="00197C1B">
        <w:t xml:space="preserve"> </w:t>
      </w:r>
      <w:r w:rsidR="00197C1B" w:rsidRPr="00197C1B">
        <w:t>A</w:t>
      </w:r>
      <w:r w:rsidRPr="00197C1B">
        <w:t xml:space="preserve"> dismissal does not, by itself, address the merits, although a dismissal with prejudice does preclude a second suit</w:t>
      </w:r>
      <w:r w:rsidR="00197C1B" w:rsidRPr="00197C1B">
        <w:t>.</w:t>
      </w:r>
      <w:r w:rsidR="00197C1B" w:rsidRPr="00197C1B">
        <w:t xml:space="preserve"> </w:t>
      </w:r>
      <w:r w:rsidR="00197C1B" w:rsidRPr="00197C1B">
        <w:t>O</w:t>
      </w:r>
      <w:r w:rsidRPr="00197C1B">
        <w:t>ne district court held that such a dismissal does make the defendant a prevailing party, citing Ninth Circuit precedent interpreting the Copyright Act’s attorneys’ fees provision.</w:t>
      </w:r>
      <w:r w:rsidR="00197C1B" w:rsidRPr="00197C1B">
        <w:rPr>
          <w:vertAlign w:val="superscript"/>
        </w:rPr>
        <w:footnoteReference w:id="214"/>
      </w:r>
    </w:p>
    <w:p w14:paraId="059660C2" w14:textId="13F3CF10" w:rsidR="00197C1B" w:rsidRPr="00197C1B" w:rsidRDefault="00905652" w:rsidP="00197C1B">
      <w:pPr>
        <w:pStyle w:val="BNormal"/>
      </w:pPr>
      <w:r w:rsidRPr="00197C1B">
        <w:t>The party requesting attorneys’ fees must provide appropriate evidence of the hours spent and the requested hourly fees</w:t>
      </w:r>
      <w:r w:rsidR="00197C1B" w:rsidRPr="00197C1B">
        <w:t>.</w:t>
      </w:r>
      <w:r w:rsidR="00197C1B" w:rsidRPr="00197C1B">
        <w:t xml:space="preserve"> </w:t>
      </w:r>
      <w:r w:rsidR="00197C1B" w:rsidRPr="00197C1B">
        <w:t>C</w:t>
      </w:r>
      <w:r w:rsidRPr="00197C1B">
        <w:t>ourts often use a “lodestar” calculation, in which they attempt to determine how many hours were reasonably spent and what a reasonable hourly rate in that geographic area would be.</w:t>
      </w:r>
      <w:r w:rsidR="00197C1B" w:rsidRPr="00197C1B">
        <w:rPr>
          <w:vertAlign w:val="superscript"/>
        </w:rPr>
        <w:footnoteReference w:id="215"/>
      </w:r>
      <w:r w:rsidRPr="00197C1B">
        <w:t xml:space="preserve"> The court is not bound by the requesting party’s statement of its hours, nor is it bound by that party’s statement of reasonable rates.</w:t>
      </w:r>
      <w:r w:rsidR="00197C1B" w:rsidRPr="00197C1B">
        <w:rPr>
          <w:vertAlign w:val="superscript"/>
        </w:rPr>
        <w:footnoteReference w:id="216"/>
      </w:r>
    </w:p>
    <w:p w14:paraId="31F8480D" w14:textId="2F3052C5" w:rsidR="00197C1B" w:rsidRPr="00197C1B" w:rsidRDefault="00905652" w:rsidP="00197C1B">
      <w:pPr>
        <w:pStyle w:val="BNormal"/>
      </w:pPr>
      <w:r w:rsidRPr="00197C1B">
        <w:t>It should be noted that the Lanham Act is not the sole basis for attorneys’ fees</w:t>
      </w:r>
      <w:r w:rsidR="00197C1B" w:rsidRPr="00197C1B">
        <w:t>.</w:t>
      </w:r>
      <w:r w:rsidR="00197C1B" w:rsidRPr="00197C1B">
        <w:t xml:space="preserve"> </w:t>
      </w:r>
      <w:r w:rsidR="00197C1B" w:rsidRPr="00197C1B">
        <w:t>A</w:t>
      </w:r>
      <w:r w:rsidRPr="00197C1B">
        <w:t xml:space="preserve"> court may impose attorneys’ fees under 28 U.S.C</w:t>
      </w:r>
      <w:r w:rsidR="00197C1B" w:rsidRPr="00197C1B">
        <w:t>.</w:t>
      </w:r>
      <w:r w:rsidR="00197C1B" w:rsidRPr="00197C1B">
        <w:t xml:space="preserve"> </w:t>
      </w:r>
      <w:r w:rsidR="00197C1B" w:rsidRPr="00197C1B">
        <w:t>§</w:t>
      </w:r>
      <w:r w:rsidRPr="00197C1B">
        <w:t>1927 where the plaintiff continues to pursue a meritless claim.</w:t>
      </w:r>
      <w:r w:rsidR="00197C1B" w:rsidRPr="00197C1B">
        <w:rPr>
          <w:vertAlign w:val="superscript"/>
        </w:rPr>
        <w:footnoteReference w:id="217"/>
      </w:r>
    </w:p>
    <w:p w14:paraId="2E999264" w14:textId="52416A73" w:rsidR="00197C1B" w:rsidRPr="00197C1B" w:rsidRDefault="00B14B89" w:rsidP="00197C1B">
      <w:pPr>
        <w:pStyle w:val="BHead2"/>
      </w:pPr>
      <w:r>
        <w:t>11.IV.</w:t>
      </w:r>
      <w:r w:rsidR="00197C1B" w:rsidRPr="00B14B89">
        <w:rPr>
          <w:rStyle w:val="BBNAidChar"/>
          <w:rFonts w:eastAsiaTheme="majorEastAsia"/>
        </w:rPr>
        <w:t>B</w:t>
      </w:r>
      <w:r w:rsidR="00197C1B" w:rsidRPr="00197C1B">
        <w:t>.</w:t>
      </w:r>
      <w:r>
        <w:t> </w:t>
      </w:r>
      <w:r w:rsidR="00197C1B" w:rsidRPr="00197C1B">
        <w:tab/>
        <w:t>Expert Witness Fees and Costs</w:t>
      </w:r>
    </w:p>
    <w:p w14:paraId="622C88E6" w14:textId="5E800BAA" w:rsidR="00197C1B" w:rsidRPr="00197C1B" w:rsidRDefault="00905652" w:rsidP="00197C1B">
      <w:pPr>
        <w:pStyle w:val="BNormal"/>
      </w:pPr>
      <w:r w:rsidRPr="00197C1B">
        <w:lastRenderedPageBreak/>
        <w:t>Costs are normally awarded to the “prevailing party” in a federal litigation.</w:t>
      </w:r>
      <w:r w:rsidR="00197C1B" w:rsidRPr="00197C1B">
        <w:rPr>
          <w:vertAlign w:val="superscript"/>
        </w:rPr>
        <w:footnoteReference w:id="218"/>
      </w:r>
      <w:r w:rsidRPr="00197C1B">
        <w:t xml:space="preserve"> However, when the results are mixed—i.e., a party succeeds on some issues, but fails on others—a court may not deem either party to be a “prevailing” party and may require the parties to pay their own costs.</w:t>
      </w:r>
      <w:r w:rsidR="00197C1B" w:rsidRPr="00197C1B">
        <w:rPr>
          <w:vertAlign w:val="superscript"/>
        </w:rPr>
        <w:footnoteReference w:id="219"/>
      </w:r>
    </w:p>
    <w:p w14:paraId="72B07B52" w14:textId="6F044D0C" w:rsidR="00197C1B" w:rsidRPr="00197C1B" w:rsidRDefault="00905652" w:rsidP="00197C1B">
      <w:pPr>
        <w:pStyle w:val="BNormal"/>
      </w:pPr>
      <w:r w:rsidRPr="00197C1B">
        <w:t>Nothing in the Lanham Act specifically permits the award of expert witness fees</w:t>
      </w:r>
      <w:r w:rsidR="00197C1B" w:rsidRPr="00197C1B">
        <w:t>.</w:t>
      </w:r>
      <w:r w:rsidR="00197C1B" w:rsidRPr="00197C1B">
        <w:t xml:space="preserve"> </w:t>
      </w:r>
      <w:r w:rsidR="00197C1B" w:rsidRPr="00197C1B">
        <w:t>S</w:t>
      </w:r>
      <w:r w:rsidRPr="00197C1B">
        <w:t>uch fees are not normally recoverable as costs by a prevailing party.</w:t>
      </w:r>
      <w:r w:rsidR="00197C1B" w:rsidRPr="00197C1B">
        <w:rPr>
          <w:vertAlign w:val="superscript"/>
        </w:rPr>
        <w:footnoteReference w:id="220"/>
      </w:r>
      <w:r w:rsidRPr="00197C1B">
        <w:t xml:space="preserve"> However, at least one circuit permits such an award in an infringement case where “‘the expert’s testimony is indispensable to determination of the case.’”</w:t>
      </w:r>
      <w:r w:rsidR="00197C1B" w:rsidRPr="00197C1B">
        <w:rPr>
          <w:vertAlign w:val="superscript"/>
        </w:rPr>
        <w:footnoteReference w:id="221"/>
      </w:r>
      <w:r w:rsidRPr="00197C1B">
        <w:t xml:space="preserve"> In some cases, a survey expert could be indispensable to a finding of dilution</w:t>
      </w:r>
      <w:r w:rsidR="00197C1B" w:rsidRPr="00197C1B">
        <w:t>;</w:t>
      </w:r>
      <w:r w:rsidR="00197C1B" w:rsidRPr="00197C1B">
        <w:t xml:space="preserve"> </w:t>
      </w:r>
      <w:r w:rsidR="00197C1B" w:rsidRPr="00197C1B">
        <w:t>h</w:t>
      </w:r>
      <w:r w:rsidRPr="00197C1B">
        <w:t>owever, it is unlikely that an expert would be essential to the determination of willful intent.</w:t>
      </w:r>
    </w:p>
    <w:p w14:paraId="400A1D57" w14:textId="618CD411" w:rsidR="00494245" w:rsidRPr="00197C1B" w:rsidRDefault="00494245" w:rsidP="00197C1B">
      <w:pPr>
        <w:pStyle w:val="BNormal"/>
      </w:pPr>
    </w:p>
    <w:sectPr w:rsidR="00494245" w:rsidRPr="00197C1B"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F321" w14:textId="77777777" w:rsidR="00CC219E" w:rsidRDefault="00CC219E" w:rsidP="002A47A4">
      <w:r>
        <w:separator/>
      </w:r>
    </w:p>
    <w:p w14:paraId="6FB6E7BE" w14:textId="77777777" w:rsidR="00CC219E" w:rsidRDefault="00CC219E"/>
    <w:p w14:paraId="56E54B0C" w14:textId="77777777" w:rsidR="00CC219E" w:rsidRDefault="00CC219E"/>
  </w:endnote>
  <w:endnote w:type="continuationSeparator" w:id="0">
    <w:p w14:paraId="17CCF506" w14:textId="77777777" w:rsidR="00CC219E" w:rsidRDefault="00CC219E" w:rsidP="002A47A4">
      <w:r>
        <w:continuationSeparator/>
      </w:r>
    </w:p>
    <w:p w14:paraId="2CE0A67F" w14:textId="77777777" w:rsidR="00CC219E" w:rsidRDefault="00CC219E"/>
    <w:p w14:paraId="41601C45" w14:textId="77777777" w:rsidR="00CC219E" w:rsidRDefault="00CC2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765" w14:textId="77777777" w:rsidR="00197C1B" w:rsidRPr="00197C1B" w:rsidRDefault="00197C1B" w:rsidP="0019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6C75" w14:textId="77777777" w:rsidR="00197C1B" w:rsidRPr="00197C1B" w:rsidRDefault="00197C1B" w:rsidP="00197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B9B3" w14:textId="77777777" w:rsidR="00197C1B" w:rsidRPr="00197C1B" w:rsidRDefault="00197C1B" w:rsidP="0019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A937" w14:textId="77777777" w:rsidR="00CC219E" w:rsidRDefault="00CC219E" w:rsidP="002A47A4">
      <w:r>
        <w:separator/>
      </w:r>
    </w:p>
    <w:p w14:paraId="321073FB" w14:textId="77777777" w:rsidR="00CC219E" w:rsidRDefault="00CC219E"/>
    <w:p w14:paraId="3C3E3C3A" w14:textId="77777777" w:rsidR="00CC219E" w:rsidRDefault="00CC219E"/>
  </w:footnote>
  <w:footnote w:type="continuationSeparator" w:id="0">
    <w:p w14:paraId="245DC036" w14:textId="77777777" w:rsidR="00CC219E" w:rsidRDefault="00CC219E" w:rsidP="002A47A4">
      <w:r>
        <w:continuationSeparator/>
      </w:r>
    </w:p>
    <w:p w14:paraId="3BA39CDA" w14:textId="77777777" w:rsidR="00CC219E" w:rsidRDefault="00CC219E"/>
    <w:p w14:paraId="0EC52ABE" w14:textId="77777777" w:rsidR="00CC219E" w:rsidRDefault="00CC219E"/>
  </w:footnote>
  <w:footnote w:id="1">
    <w:p w14:paraId="78B3E396" w14:textId="1103441A" w:rsidR="00197C1B" w:rsidRPr="00197C1B" w:rsidRDefault="00197C1B" w:rsidP="00197C1B">
      <w:pPr>
        <w:pStyle w:val="FootnoteText"/>
      </w:pPr>
      <w:r w:rsidRPr="00197C1B">
        <w:rPr>
          <w:rStyle w:val="FootnoteReference"/>
        </w:rPr>
        <w:footnoteRef/>
      </w:r>
      <w:r w:rsidRPr="00197C1B">
        <w:t>David Welkowitz is a Professor of Law Emeritus at Whittier Law School in Costa Mesa, California.</w:t>
      </w:r>
      <w:r w:rsidRPr="00197C1B">
        <w:t xml:space="preserve"> </w:t>
      </w:r>
      <w:r w:rsidRPr="00197C1B">
        <w:t>He has taught trademark law, international intellectual property law courses, and civil procedure, among other subjects.</w:t>
      </w:r>
      <w:r w:rsidRPr="00197C1B">
        <w:t xml:space="preserve"> </w:t>
      </w:r>
      <w:r w:rsidRPr="00197C1B">
        <w:t>He was a member of the Whittier faculty from 1983 to 2018.</w:t>
      </w:r>
      <w:r w:rsidRPr="00197C1B">
        <w:t xml:space="preserve"> </w:t>
      </w:r>
      <w:r w:rsidRPr="00197C1B">
        <w:t>From 2019 to 2024 he served as an attorney with the U.S.</w:t>
      </w:r>
      <w:r w:rsidRPr="00197C1B">
        <w:t xml:space="preserve"> </w:t>
      </w:r>
      <w:r w:rsidRPr="00197C1B">
        <w:t>Copyright Office in Washington, D.C.</w:t>
      </w:r>
      <w:r w:rsidRPr="00197C1B">
        <w:t xml:space="preserve"> </w:t>
      </w:r>
      <w:r w:rsidRPr="00197C1B">
        <w:t>Prior to that time, he practiced law in New York City.</w:t>
      </w:r>
    </w:p>
    <w:p w14:paraId="282EF2D2" w14:textId="77777777" w:rsidR="00197C1B" w:rsidRDefault="00197C1B" w:rsidP="00197C1B">
      <w:pPr>
        <w:pStyle w:val="FootnoteText"/>
      </w:pPr>
      <w:r w:rsidRPr="00197C1B">
        <w:t>Mr.</w:t>
      </w:r>
      <w:r w:rsidRPr="00197C1B">
        <w:t xml:space="preserve"> </w:t>
      </w:r>
      <w:r w:rsidRPr="00197C1B">
        <w:t>Welkowitz is the author of numerous articles on trademark law and other topics, and he is the co-author of a casebook on celebrity rights.</w:t>
      </w:r>
      <w:r w:rsidRPr="00197C1B">
        <w:t xml:space="preserve"> </w:t>
      </w:r>
      <w:r w:rsidRPr="00197C1B">
        <w:t>He has also written several lessons in computer-assisted learning, which are used by law students in the areas of civil procedure and trademark law.</w:t>
      </w:r>
      <w:r w:rsidRPr="00197C1B">
        <w:t xml:space="preserve"> </w:t>
      </w:r>
      <w:r w:rsidRPr="00197C1B">
        <w:t>Professor Welkowitz received his J.D.</w:t>
      </w:r>
      <w:r w:rsidRPr="00197C1B">
        <w:t xml:space="preserve"> </w:t>
      </w:r>
      <w:r w:rsidRPr="00197C1B">
        <w:t>degree in 1978 from New York University Law School, where he was a member of the Law Review.</w:t>
      </w:r>
      <w:r w:rsidRPr="00197C1B">
        <w:t xml:space="preserve"> </w:t>
      </w:r>
      <w:r w:rsidRPr="00197C1B">
        <w:t>He received an A.B.</w:t>
      </w:r>
      <w:r w:rsidRPr="00197C1B">
        <w:t xml:space="preserve"> </w:t>
      </w:r>
      <w:r w:rsidRPr="00197C1B">
        <w:t>degree in 1975 from Princeton University.</w:t>
      </w:r>
      <w:r w:rsidRPr="00197C1B">
        <w:t xml:space="preserve"> </w:t>
      </w:r>
      <w:r w:rsidRPr="00197C1B">
        <w:t>He is a member of the New York and District of Columbia bars, and is admitted to practice before the federal courts in the Southern and Eastern Districts of New York and the Court of Appeals for the Second Circuit.</w:t>
      </w:r>
    </w:p>
  </w:footnote>
  <w:footnote w:id="2">
    <w:p w14:paraId="6D470AD5" w14:textId="5570CE7F" w:rsidR="00197C1B" w:rsidRPr="0019374F" w:rsidRDefault="00197C1B" w:rsidP="00197C1B">
      <w:pPr>
        <w:pStyle w:val="FootnoteText"/>
      </w:pPr>
      <w:r w:rsidRPr="00197C1B">
        <w:rPr>
          <w:vertAlign w:val="superscript"/>
        </w:rPr>
        <w:footnoteRef/>
      </w:r>
      <w:r w:rsidRPr="00197C1B">
        <w:t>Lanham Act §43(c)(1), 15 U.S.C.</w:t>
      </w:r>
      <w:r w:rsidRPr="00197C1B">
        <w:t xml:space="preserve"> </w:t>
      </w:r>
      <w:r w:rsidRPr="00197C1B">
        <w:t>§1125(c)(1) (emphasis added).</w:t>
      </w:r>
      <w:r w:rsidRPr="00197C1B">
        <w:t xml:space="preserve"> </w:t>
      </w:r>
      <w:r w:rsidRPr="00197C1B">
        <w:t>This wording, which comes from the Trademark Dilution Revision Act of 2006, represents a slight, but immaterial, change from the wording of the original FTDA.</w:t>
      </w:r>
    </w:p>
  </w:footnote>
  <w:footnote w:id="3">
    <w:p w14:paraId="5A598F54" w14:textId="4B3C1CA9"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§43(c)(5), 15 U.S.C.</w:t>
      </w:r>
      <w:r w:rsidRPr="00197C1B">
        <w:t xml:space="preserve"> </w:t>
      </w:r>
      <w:r w:rsidRPr="00197C1B">
        <w:t>§1125(c)(5) (emphasis added).</w:t>
      </w:r>
    </w:p>
  </w:footnote>
  <w:footnote w:id="4">
    <w:p w14:paraId="3CAA7505" w14:textId="5C245E54" w:rsidR="00197C1B" w:rsidRPr="0019374F" w:rsidRDefault="00197C1B" w:rsidP="00197C1B">
      <w:pPr>
        <w:pStyle w:val="FootnoteText"/>
      </w:pPr>
      <w:r w:rsidRPr="00197C1B">
        <w:rPr>
          <w:vertAlign w:val="superscript"/>
        </w:rPr>
        <w:footnoteRef/>
      </w:r>
      <w:r w:rsidRPr="00197C1B">
        <w:rPr>
          <w:i/>
        </w:rPr>
        <w:t>Id</w:t>
      </w:r>
      <w:r w:rsidRPr="00197C1B">
        <w:t>.</w:t>
      </w:r>
    </w:p>
  </w:footnote>
  <w:footnote w:id="5">
    <w:p w14:paraId="1B3B95E2" w14:textId="6841E520" w:rsidR="00197C1B" w:rsidRPr="0019374F" w:rsidRDefault="00197C1B" w:rsidP="00197C1B">
      <w:pPr>
        <w:pStyle w:val="FootnoteText"/>
      </w:pPr>
      <w:r w:rsidRPr="00197C1B">
        <w:rPr>
          <w:vertAlign w:val="superscript"/>
        </w:rPr>
        <w:footnoteRef/>
      </w:r>
      <w:r w:rsidRPr="00197C1B">
        <w:t>Remedies under state law are discussed in Chapter 5.</w:t>
      </w:r>
    </w:p>
  </w:footnote>
  <w:footnote w:id="6">
    <w:p w14:paraId="0A2F5958" w14:textId="28DED0AF" w:rsidR="00197C1B" w:rsidRPr="0019374F" w:rsidRDefault="00197C1B" w:rsidP="00197C1B">
      <w:pPr>
        <w:pStyle w:val="FootnoteText"/>
      </w:pPr>
      <w:r w:rsidRPr="00197C1B">
        <w:rPr>
          <w:vertAlign w:val="superscript"/>
        </w:rPr>
        <w:footnoteRef/>
      </w:r>
      <w:r w:rsidRPr="00197C1B">
        <w:t xml:space="preserve">The United States Trademark Association Trademark Review Commission Report and Recommendations to USTA President and Board of Directors, 77 </w:t>
      </w:r>
      <w:r w:rsidRPr="00197C1B">
        <w:rPr>
          <w:smallCaps/>
        </w:rPr>
        <w:t>Trademark Rep.</w:t>
      </w:r>
      <w:r w:rsidRPr="00197C1B">
        <w:rPr>
          <w:smallCaps/>
        </w:rPr>
        <w:t xml:space="preserve"> </w:t>
      </w:r>
      <w:r w:rsidRPr="00197C1B">
        <w:t>375, 461 (1987).</w:t>
      </w:r>
    </w:p>
  </w:footnote>
  <w:footnote w:id="7">
    <w:p w14:paraId="06AD483D" w14:textId="7A439BAC" w:rsidR="00197C1B" w:rsidRPr="0019374F" w:rsidRDefault="00197C1B" w:rsidP="00197C1B">
      <w:pPr>
        <w:pStyle w:val="FootnoteText"/>
      </w:pPr>
      <w:r w:rsidRPr="00197C1B">
        <w:rPr>
          <w:vertAlign w:val="superscript"/>
        </w:rPr>
        <w:footnoteRef/>
      </w:r>
      <w:r w:rsidRPr="00197C1B">
        <w:t>H.R.</w:t>
      </w:r>
      <w:r w:rsidRPr="00197C1B">
        <w:t xml:space="preserve"> </w:t>
      </w:r>
      <w:r w:rsidRPr="00197C1B">
        <w:t>Rep.</w:t>
      </w:r>
      <w:r w:rsidRPr="00197C1B">
        <w:t xml:space="preserve"> </w:t>
      </w:r>
      <w:r w:rsidRPr="00197C1B">
        <w:t>No.</w:t>
      </w:r>
      <w:r w:rsidRPr="00197C1B">
        <w:t xml:space="preserve"> </w:t>
      </w:r>
      <w:r w:rsidRPr="00197C1B">
        <w:t xml:space="preserve">104-374, at 7 (1995), </w:t>
      </w:r>
      <w:r w:rsidRPr="00197C1B">
        <w:rPr>
          <w:i/>
        </w:rPr>
        <w:t>reprinted in</w:t>
      </w:r>
      <w:r w:rsidRPr="00197C1B">
        <w:t xml:space="preserve"> 1995 U.S.C.C.A.N.</w:t>
      </w:r>
      <w:r w:rsidRPr="00197C1B">
        <w:t xml:space="preserve"> </w:t>
      </w:r>
      <w:r w:rsidRPr="00197C1B">
        <w:t>1029.</w:t>
      </w:r>
    </w:p>
  </w:footnote>
  <w:footnote w:id="8">
    <w:p w14:paraId="74E3986D" w14:textId="06F89328" w:rsidR="00197C1B" w:rsidRPr="0019374F" w:rsidRDefault="00197C1B" w:rsidP="00197C1B">
      <w:pPr>
        <w:pStyle w:val="FootnoteText"/>
      </w:pPr>
      <w:r w:rsidRPr="00197C1B">
        <w:rPr>
          <w:vertAlign w:val="superscript"/>
        </w:rPr>
        <w:footnoteRef/>
      </w:r>
      <w:r w:rsidRPr="00197C1B">
        <w:t xml:space="preserve">141 </w:t>
      </w:r>
      <w:r w:rsidRPr="00197C1B">
        <w:rPr>
          <w:smallCaps/>
        </w:rPr>
        <w:t>Cong.</w:t>
      </w:r>
      <w:r w:rsidRPr="00197C1B">
        <w:rPr>
          <w:smallCaps/>
        </w:rPr>
        <w:t xml:space="preserve"> </w:t>
      </w:r>
      <w:r w:rsidRPr="00197C1B">
        <w:rPr>
          <w:smallCaps/>
        </w:rPr>
        <w:t>Rec.</w:t>
      </w:r>
      <w:r w:rsidRPr="00197C1B">
        <w:rPr>
          <w:smallCaps/>
        </w:rPr>
        <w:t xml:space="preserve"> </w:t>
      </w:r>
      <w:r w:rsidRPr="00197C1B">
        <w:t>H14,317-01 (1995) (“with respect to remedies, the bill limits the relief a court could award to an injunction unless the wrongdoer willfully intended to trade on the trademark owner’s reputation or to cause dilution”).</w:t>
      </w:r>
    </w:p>
  </w:footnote>
  <w:footnote w:id="9">
    <w:p w14:paraId="5E1FF9AE" w14:textId="2C59C235" w:rsidR="00197C1B" w:rsidRPr="0019374F" w:rsidRDefault="00197C1B" w:rsidP="00197C1B">
      <w:pPr>
        <w:pStyle w:val="FootnoteText"/>
      </w:pPr>
      <w:r w:rsidRPr="00197C1B">
        <w:rPr>
          <w:vertAlign w:val="superscript"/>
        </w:rPr>
        <w:footnoteRef/>
      </w:r>
      <w:r w:rsidRPr="00197C1B">
        <w:t>Statement of Jonathan E.</w:t>
      </w:r>
      <w:r w:rsidRPr="00197C1B">
        <w:t xml:space="preserve"> </w:t>
      </w:r>
      <w:r w:rsidRPr="00197C1B">
        <w:t>Moskin of Pennie &amp; Edmonds Before the House Comm.</w:t>
      </w:r>
      <w:r w:rsidRPr="00197C1B">
        <w:t xml:space="preserve"> </w:t>
      </w:r>
      <w:r w:rsidRPr="00197C1B">
        <w:t>on the Judiciary, 1995 WL 437437[7] (July 19, 1995).</w:t>
      </w:r>
    </w:p>
  </w:footnote>
  <w:footnote w:id="10">
    <w:p w14:paraId="58EA3A3F" w14:textId="0EB8098D"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Of course, a person interested in a short-term profit might not care about continued use.</w:t>
      </w:r>
    </w:p>
  </w:footnote>
  <w:footnote w:id="11">
    <w:p w14:paraId="75C32A5E" w14:textId="513FC978" w:rsidR="00197C1B" w:rsidRPr="0019374F" w:rsidRDefault="00197C1B" w:rsidP="00197C1B">
      <w:pPr>
        <w:pStyle w:val="FootnoteText"/>
      </w:pPr>
      <w:r w:rsidRPr="00197C1B">
        <w:rPr>
          <w:vertAlign w:val="superscript"/>
        </w:rPr>
        <w:footnoteRef/>
      </w:r>
      <w:r w:rsidRPr="00197C1B">
        <w:t>A defendant’s profits ordinarily would not be an appropriate measure of damage.</w:t>
      </w:r>
      <w:r w:rsidRPr="00197C1B">
        <w:t xml:space="preserve"> </w:t>
      </w:r>
      <w:r w:rsidRPr="00197C1B">
        <w:t>Even in ordinary infringement cases, the plaintiff can recover the defendant’s profits only if the defendant acted willfully or in bad faith.</w:t>
      </w:r>
      <w:r w:rsidRPr="00197C1B">
        <w:t xml:space="preserve"> </w:t>
      </w:r>
      <w:r w:rsidRPr="00197C1B">
        <w:rPr>
          <w:i/>
        </w:rPr>
        <w:t>See, e</w:t>
      </w:r>
      <w:r w:rsidRPr="00197C1B">
        <w:t>.</w:t>
      </w:r>
      <w:r w:rsidRPr="00197C1B">
        <w:rPr>
          <w:i/>
        </w:rPr>
        <w:t>g</w:t>
      </w:r>
      <w:r w:rsidRPr="00197C1B">
        <w:t>., George Basch Co.</w:t>
      </w:r>
      <w:r w:rsidRPr="00197C1B">
        <w:t xml:space="preserve"> </w:t>
      </w:r>
      <w:r w:rsidRPr="00197C1B">
        <w:t>v.</w:t>
      </w:r>
      <w:r w:rsidRPr="00197C1B">
        <w:t xml:space="preserve"> </w:t>
      </w:r>
      <w:r w:rsidRPr="00197C1B">
        <w:t xml:space="preserve">Blue Coral, Inc., 968 F.2d 1532, 1540, 23 USPQ2d 1351 (2d Cir.), </w:t>
      </w:r>
      <w:r w:rsidRPr="00197C1B">
        <w:rPr>
          <w:i/>
        </w:rPr>
        <w:t>cert</w:t>
      </w:r>
      <w:r w:rsidRPr="00197C1B">
        <w:t>.</w:t>
      </w:r>
      <w:r w:rsidRPr="00197C1B">
        <w:t xml:space="preserve"> </w:t>
      </w:r>
      <w:r w:rsidRPr="00197C1B">
        <w:rPr>
          <w:i/>
        </w:rPr>
        <w:t>denied</w:t>
      </w:r>
      <w:r w:rsidRPr="00197C1B">
        <w:t>, 506 U.S.</w:t>
      </w:r>
      <w:r w:rsidRPr="00197C1B">
        <w:t xml:space="preserve"> </w:t>
      </w:r>
      <w:r w:rsidRPr="00197C1B">
        <w:t>991 (1992).</w:t>
      </w:r>
      <w:r w:rsidRPr="00197C1B">
        <w:t xml:space="preserve"> </w:t>
      </w:r>
      <w:r w:rsidRPr="00197C1B">
        <w:t>If a defendant intentionally dilutes a plaintiff’s mark, then the plaintiff may recover damages under §43(c)(5).</w:t>
      </w:r>
      <w:r w:rsidRPr="00197C1B">
        <w:t xml:space="preserve"> </w:t>
      </w:r>
      <w:r w:rsidRPr="00197C1B">
        <w:rPr>
          <w:i/>
        </w:rPr>
        <w:t>See</w:t>
      </w:r>
      <w:r w:rsidRPr="00197C1B">
        <w:t xml:space="preserve"> §III below.</w:t>
      </w:r>
    </w:p>
  </w:footnote>
  <w:footnote w:id="12">
    <w:p w14:paraId="73D1A0E2" w14:textId="0F15F456" w:rsidR="00197C1B" w:rsidRPr="00DC420C" w:rsidRDefault="00197C1B" w:rsidP="00197C1B">
      <w:pPr>
        <w:pStyle w:val="FootnoteText"/>
      </w:pPr>
      <w:r w:rsidRPr="00197C1B">
        <w:rPr>
          <w:rStyle w:val="FootnoteReference"/>
          <w:rFonts w:eastAsiaTheme="majorEastAsia"/>
        </w:rPr>
        <w:footnoteRef/>
      </w:r>
      <w:r w:rsidRPr="00197C1B">
        <w:t>15 U.S.C.</w:t>
      </w:r>
      <w:r w:rsidRPr="00197C1B">
        <w:t xml:space="preserve"> </w:t>
      </w:r>
      <w:r w:rsidRPr="00197C1B">
        <w:t>§1116(d)(1)(A) also permits the court to order seizure of goods involving a counterfeit mark.</w:t>
      </w:r>
      <w:r w:rsidRPr="00197C1B">
        <w:t xml:space="preserve"> </w:t>
      </w:r>
      <w:r w:rsidRPr="00197C1B">
        <w:t xml:space="preserve">This procedure was invoked in </w:t>
      </w:r>
      <w:r w:rsidRPr="00197C1B">
        <w:rPr>
          <w:rStyle w:val="BCasenamefull"/>
        </w:rPr>
        <w:t xml:space="preserve">Green v. ABC Cos., </w:t>
      </w:r>
      <w:r w:rsidRPr="00197C1B">
        <w:t>702 F.</w:t>
      </w:r>
      <w:r w:rsidRPr="00197C1B">
        <w:t xml:space="preserve"> </w:t>
      </w:r>
      <w:r w:rsidRPr="00197C1B">
        <w:t>Supp.</w:t>
      </w:r>
      <w:r w:rsidRPr="00197C1B">
        <w:t xml:space="preserve"> </w:t>
      </w:r>
      <w:r w:rsidRPr="00197C1B">
        <w:t>3d 418, 422 (W.D.N.C.</w:t>
      </w:r>
      <w:r w:rsidRPr="00197C1B">
        <w:t xml:space="preserve"> </w:t>
      </w:r>
      <w:r w:rsidRPr="00197C1B">
        <w:t>2023).</w:t>
      </w:r>
    </w:p>
  </w:footnote>
  <w:footnote w:id="13">
    <w:p w14:paraId="51925DD1" w14:textId="2897B982" w:rsidR="00197C1B" w:rsidRPr="0019374F" w:rsidRDefault="00197C1B" w:rsidP="00197C1B">
      <w:pPr>
        <w:pStyle w:val="FootnoteText"/>
      </w:pPr>
      <w:r w:rsidRPr="00197C1B">
        <w:rPr>
          <w:vertAlign w:val="superscript"/>
        </w:rPr>
        <w:footnoteRef/>
      </w:r>
      <w:r w:rsidRPr="00197C1B">
        <w:rPr>
          <w:i/>
        </w:rPr>
        <w:t>E</w:t>
      </w:r>
      <w:r w:rsidRPr="00197C1B">
        <w:t>.</w:t>
      </w:r>
      <w:r w:rsidRPr="00197C1B">
        <w:rPr>
          <w:i/>
        </w:rPr>
        <w:t>g</w:t>
      </w:r>
      <w:r w:rsidRPr="00197C1B">
        <w:t>., Deere &amp; Co.</w:t>
      </w:r>
      <w:r w:rsidRPr="00197C1B">
        <w:t xml:space="preserve"> </w:t>
      </w:r>
      <w:r w:rsidRPr="00197C1B">
        <w:t>v.</w:t>
      </w:r>
      <w:r w:rsidRPr="00197C1B">
        <w:t xml:space="preserve"> </w:t>
      </w:r>
      <w:r w:rsidRPr="00197C1B">
        <w:t>MTD Prods., Inc., 34 USPQ2d 1706, 1710–11 (S.D.N.Y.</w:t>
      </w:r>
      <w:r w:rsidRPr="00197C1B">
        <w:t xml:space="preserve"> </w:t>
      </w:r>
      <w:r w:rsidRPr="00197C1B">
        <w:t>1995);</w:t>
      </w:r>
      <w:r w:rsidRPr="00197C1B">
        <w:t xml:space="preserve"> </w:t>
      </w:r>
      <w:r w:rsidRPr="00197C1B">
        <w:t>Hyatt Corp.</w:t>
      </w:r>
      <w:r w:rsidRPr="00197C1B">
        <w:t xml:space="preserve"> </w:t>
      </w:r>
      <w:r w:rsidRPr="00197C1B">
        <w:t>v.</w:t>
      </w:r>
      <w:r w:rsidRPr="00197C1B">
        <w:t xml:space="preserve"> </w:t>
      </w:r>
      <w:r w:rsidRPr="00197C1B">
        <w:t>Hyatt Legal Serv., 610 F.</w:t>
      </w:r>
      <w:r w:rsidRPr="00197C1B">
        <w:t xml:space="preserve"> </w:t>
      </w:r>
      <w:r w:rsidRPr="00197C1B">
        <w:t>Supp.</w:t>
      </w:r>
      <w:r w:rsidRPr="00197C1B">
        <w:t xml:space="preserve"> </w:t>
      </w:r>
      <w:r w:rsidRPr="00197C1B">
        <w:t>381, 383 (N.D.</w:t>
      </w:r>
      <w:r w:rsidRPr="00197C1B">
        <w:t xml:space="preserve"> </w:t>
      </w:r>
      <w:r w:rsidRPr="00197C1B">
        <w:t>Ill.</w:t>
      </w:r>
      <w:r w:rsidRPr="00197C1B">
        <w:t xml:space="preserve"> </w:t>
      </w:r>
      <w:r w:rsidRPr="00197C1B">
        <w:t>1985).</w:t>
      </w:r>
      <w:r w:rsidRPr="00197C1B">
        <w:t xml:space="preserve"> </w:t>
      </w:r>
      <w:r w:rsidRPr="00197C1B">
        <w:rPr>
          <w:i/>
        </w:rPr>
        <w:t>See also</w:t>
      </w:r>
      <w:r w:rsidRPr="00197C1B">
        <w:t xml:space="preserve"> Blue Ribbon Feed Co.</w:t>
      </w:r>
      <w:r w:rsidRPr="00197C1B">
        <w:t xml:space="preserve"> </w:t>
      </w:r>
      <w:r w:rsidRPr="00197C1B">
        <w:t>v.</w:t>
      </w:r>
      <w:r w:rsidRPr="00197C1B">
        <w:t xml:space="preserve"> </w:t>
      </w:r>
      <w:r w:rsidRPr="00197C1B">
        <w:t>Farmers Union Cent.</w:t>
      </w:r>
      <w:r w:rsidRPr="00197C1B">
        <w:t xml:space="preserve"> </w:t>
      </w:r>
      <w:r w:rsidRPr="00197C1B">
        <w:t>Exch., Inc., 731 F.2d 415, 422, 222 USPQ 785 (7th Cir.</w:t>
      </w:r>
      <w:r w:rsidRPr="00197C1B">
        <w:t xml:space="preserve"> </w:t>
      </w:r>
      <w:r w:rsidRPr="00197C1B">
        <w:t>1984) (upholding geographically limited relief for trademark-infringement claims under state law).</w:t>
      </w:r>
      <w:r w:rsidRPr="00197C1B">
        <w:t xml:space="preserve"> </w:t>
      </w:r>
      <w:r w:rsidRPr="00197C1B">
        <w:rPr>
          <w:i/>
        </w:rPr>
        <w:t>But see</w:t>
      </w:r>
      <w:r w:rsidRPr="00197C1B">
        <w:t xml:space="preserve"> Instrumentalist Co.</w:t>
      </w:r>
      <w:r w:rsidRPr="00197C1B">
        <w:t xml:space="preserve"> </w:t>
      </w:r>
      <w:r w:rsidRPr="00197C1B">
        <w:t>v.</w:t>
      </w:r>
      <w:r w:rsidRPr="00197C1B">
        <w:t xml:space="preserve"> </w:t>
      </w:r>
      <w:r w:rsidRPr="00197C1B">
        <w:t>Marine Corps League, 509 F.</w:t>
      </w:r>
      <w:r w:rsidRPr="00197C1B">
        <w:t xml:space="preserve"> </w:t>
      </w:r>
      <w:r w:rsidRPr="00197C1B">
        <w:t>Supp.</w:t>
      </w:r>
      <w:r w:rsidRPr="00197C1B">
        <w:t xml:space="preserve"> </w:t>
      </w:r>
      <w:r w:rsidRPr="00197C1B">
        <w:t>323, 340, 210 USPQ 841 (N.D.</w:t>
      </w:r>
      <w:r w:rsidRPr="00197C1B">
        <w:t xml:space="preserve"> </w:t>
      </w:r>
      <w:r w:rsidRPr="00197C1B">
        <w:t>Ill.</w:t>
      </w:r>
      <w:r w:rsidRPr="00197C1B">
        <w:t xml:space="preserve"> </w:t>
      </w:r>
      <w:r w:rsidRPr="00197C1B">
        <w:t>1981) (granting nationwide injunction).</w:t>
      </w:r>
      <w:r w:rsidRPr="00197C1B">
        <w:t xml:space="preserve"> </w:t>
      </w:r>
      <w:r w:rsidRPr="00197C1B">
        <w:rPr>
          <w:i/>
        </w:rPr>
        <w:t>See also</w:t>
      </w:r>
      <w:r w:rsidRPr="00197C1B">
        <w:t xml:space="preserve"> Deere &amp; Co.</w:t>
      </w:r>
      <w:r w:rsidRPr="00197C1B">
        <w:t xml:space="preserve"> </w:t>
      </w:r>
      <w:r w:rsidRPr="00197C1B">
        <w:t>v.</w:t>
      </w:r>
      <w:r w:rsidRPr="00197C1B">
        <w:t xml:space="preserve"> </w:t>
      </w:r>
      <w:r w:rsidRPr="00197C1B">
        <w:t>MTD Prods., Inc., 41 F.3d 39, 47, 32 USPQ2d 1936 (2d Cir.</w:t>
      </w:r>
      <w:r w:rsidRPr="00197C1B">
        <w:t xml:space="preserve"> </w:t>
      </w:r>
      <w:r w:rsidRPr="00197C1B">
        <w:t>1994) (affirming lower court’s geographic limitation on injunction, but noting power to issue a nationwide injunction).</w:t>
      </w:r>
    </w:p>
  </w:footnote>
  <w:footnote w:id="14">
    <w:p w14:paraId="37D5EA13" w14:textId="5FB46965" w:rsidR="00197C1B" w:rsidRPr="0019374F" w:rsidRDefault="00197C1B" w:rsidP="00197C1B">
      <w:pPr>
        <w:pStyle w:val="FootnoteText"/>
      </w:pPr>
      <w:r w:rsidRPr="00197C1B">
        <w:rPr>
          <w:vertAlign w:val="superscript"/>
        </w:rPr>
        <w:footnoteRef/>
      </w:r>
      <w:r w:rsidRPr="00197C1B">
        <w:t>H.R.</w:t>
      </w:r>
      <w:r w:rsidRPr="00197C1B">
        <w:t xml:space="preserve"> </w:t>
      </w:r>
      <w:r w:rsidRPr="00197C1B">
        <w:t>Rep.</w:t>
      </w:r>
      <w:r w:rsidRPr="00197C1B">
        <w:t xml:space="preserve"> </w:t>
      </w:r>
      <w:r w:rsidRPr="00197C1B">
        <w:t>No.</w:t>
      </w:r>
      <w:r w:rsidRPr="00197C1B">
        <w:t xml:space="preserve"> </w:t>
      </w:r>
      <w:r w:rsidRPr="00197C1B">
        <w:t xml:space="preserve">104-374, at 3 (1995), </w:t>
      </w:r>
      <w:r w:rsidRPr="00197C1B">
        <w:rPr>
          <w:i/>
        </w:rPr>
        <w:t>reprinted in</w:t>
      </w:r>
      <w:r w:rsidRPr="00197C1B">
        <w:t xml:space="preserve"> 1995 U.S.C.C.A.N.</w:t>
      </w:r>
      <w:r w:rsidRPr="00197C1B">
        <w:t xml:space="preserve"> </w:t>
      </w:r>
      <w:r w:rsidRPr="00197C1B">
        <w:t>1029.</w:t>
      </w:r>
    </w:p>
  </w:footnote>
  <w:footnote w:id="15">
    <w:p w14:paraId="2AAC4BB1" w14:textId="273C383C" w:rsidR="00197C1B" w:rsidRPr="0019374F" w:rsidRDefault="00197C1B" w:rsidP="00197C1B">
      <w:pPr>
        <w:pStyle w:val="FootnoteText"/>
      </w:pPr>
      <w:r w:rsidRPr="00197C1B">
        <w:rPr>
          <w:vertAlign w:val="superscript"/>
        </w:rPr>
        <w:footnoteRef/>
      </w:r>
      <w:r w:rsidRPr="00197C1B">
        <w:t>Technically, since the Lanham Act does not provide for exclusive federal jurisdiction, federal dilution claims conceivably could be brought in state court.</w:t>
      </w:r>
      <w:r w:rsidRPr="00197C1B">
        <w:t xml:space="preserve"> </w:t>
      </w:r>
      <w:r w:rsidRPr="00197C1B">
        <w:rPr>
          <w:i/>
        </w:rPr>
        <w:t>See</w:t>
      </w:r>
      <w:r w:rsidRPr="00197C1B">
        <w:t xml:space="preserve"> Chapter 12, §I.A.</w:t>
      </w:r>
      <w:r w:rsidRPr="00197C1B">
        <w:t xml:space="preserve"> </w:t>
      </w:r>
      <w:r w:rsidRPr="00197C1B">
        <w:t>However, one would expect such claims to be removed to federal court, and it does not appear that many state court decisions exist under the FTDA or TDRA.</w:t>
      </w:r>
    </w:p>
  </w:footnote>
  <w:footnote w:id="16">
    <w:p w14:paraId="0D6B7F71" w14:textId="6C20D603" w:rsidR="00197C1B" w:rsidRPr="00197C1B" w:rsidRDefault="00197C1B" w:rsidP="00197C1B">
      <w:pPr>
        <w:pStyle w:val="FootnoteText"/>
      </w:pPr>
      <w:r w:rsidRPr="00197C1B">
        <w:rPr>
          <w:vertAlign w:val="superscript"/>
        </w:rPr>
        <w:footnoteRef/>
      </w:r>
      <w:r w:rsidRPr="00197C1B">
        <w:t>2017 WL 3271706, 2017 BL 267966 (C.D.</w:t>
      </w:r>
      <w:r w:rsidRPr="00197C1B">
        <w:t xml:space="preserve"> </w:t>
      </w:r>
      <w:r w:rsidRPr="00197C1B">
        <w:t>Cal.</w:t>
      </w:r>
      <w:r w:rsidRPr="00197C1B">
        <w:t xml:space="preserve"> </w:t>
      </w:r>
      <w:r w:rsidRPr="00197C1B">
        <w:t>Aug.</w:t>
      </w:r>
      <w:r w:rsidRPr="00197C1B">
        <w:t xml:space="preserve"> </w:t>
      </w:r>
      <w:r w:rsidRPr="00197C1B">
        <w:t>1, 2017).</w:t>
      </w:r>
    </w:p>
    <w:p w14:paraId="7004D269" w14:textId="77777777" w:rsidR="00197C1B" w:rsidRDefault="00197C1B" w:rsidP="005D3300">
      <w:pPr>
        <w:pStyle w:val="footnote"/>
      </w:pPr>
    </w:p>
  </w:footnote>
  <w:footnote w:id="17">
    <w:p w14:paraId="651DBF11" w14:textId="4C4628E4"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*36 (quoting Reebok Int’l, Ltd.</w:t>
      </w:r>
      <w:r w:rsidRPr="00197C1B">
        <w:t xml:space="preserve"> </w:t>
      </w:r>
      <w:r w:rsidRPr="00197C1B">
        <w:t>v.</w:t>
      </w:r>
      <w:r w:rsidRPr="00197C1B">
        <w:t xml:space="preserve"> </w:t>
      </w:r>
      <w:r w:rsidRPr="00197C1B">
        <w:t>Marnatech Enters., 970 F.2d 552, 554–55 (9th Cir.</w:t>
      </w:r>
      <w:r w:rsidRPr="00197C1B">
        <w:t xml:space="preserve"> </w:t>
      </w:r>
      <w:r w:rsidRPr="00197C1B">
        <w:t>1992)).</w:t>
      </w:r>
    </w:p>
    <w:p w14:paraId="4137CC03" w14:textId="77777777" w:rsidR="00197C1B" w:rsidRDefault="00197C1B" w:rsidP="00124999">
      <w:pPr>
        <w:pStyle w:val="footnote"/>
      </w:pPr>
    </w:p>
  </w:footnote>
  <w:footnote w:id="18">
    <w:p w14:paraId="096FE818" w14:textId="3A9B9D87"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*37.</w:t>
      </w:r>
    </w:p>
    <w:p w14:paraId="2527A61B" w14:textId="77777777" w:rsidR="00197C1B" w:rsidRDefault="00197C1B" w:rsidP="00124999">
      <w:pPr>
        <w:pStyle w:val="footnote"/>
      </w:pPr>
    </w:p>
  </w:footnote>
  <w:footnote w:id="19">
    <w:p w14:paraId="4B8D3421" w14:textId="7EF710B1" w:rsidR="00197C1B" w:rsidRPr="00197C1B" w:rsidRDefault="00197C1B" w:rsidP="00197C1B">
      <w:pPr>
        <w:pStyle w:val="FootnoteText"/>
      </w:pPr>
      <w:r w:rsidRPr="00197C1B">
        <w:rPr>
          <w:vertAlign w:val="superscript"/>
        </w:rPr>
        <w:footnoteRef/>
      </w:r>
      <w:r w:rsidRPr="00197C1B">
        <w:rPr>
          <w:i/>
        </w:rPr>
        <w:t>Id</w:t>
      </w:r>
      <w:r w:rsidRPr="00197C1B">
        <w:t>.</w:t>
      </w:r>
    </w:p>
    <w:p w14:paraId="0315B18E" w14:textId="77777777" w:rsidR="00197C1B" w:rsidRDefault="00197C1B" w:rsidP="00124999">
      <w:pPr>
        <w:pStyle w:val="footnote"/>
      </w:pPr>
    </w:p>
  </w:footnote>
  <w:footnote w:id="20">
    <w:p w14:paraId="69C71D1F" w14:textId="6E92192E" w:rsidR="00197C1B" w:rsidRPr="0019374F" w:rsidRDefault="00197C1B" w:rsidP="00197C1B">
      <w:pPr>
        <w:pStyle w:val="FootnoteText"/>
      </w:pPr>
      <w:r w:rsidRPr="00197C1B">
        <w:rPr>
          <w:vertAlign w:val="superscript"/>
        </w:rPr>
        <w:footnoteRef/>
      </w:r>
      <w:r w:rsidRPr="00197C1B">
        <w:t>This may seem redundant, since an injunction is an equitable remedy.</w:t>
      </w:r>
    </w:p>
  </w:footnote>
  <w:footnote w:id="21">
    <w:p w14:paraId="43A9E99D" w14:textId="5C2010B6" w:rsidR="00197C1B" w:rsidRPr="0019374F" w:rsidRDefault="00197C1B" w:rsidP="00197C1B">
      <w:pPr>
        <w:pStyle w:val="FootnoteText"/>
      </w:pPr>
      <w:r w:rsidRPr="00197C1B">
        <w:rPr>
          <w:vertAlign w:val="superscript"/>
        </w:rPr>
        <w:footnoteRef/>
      </w:r>
      <w:r w:rsidRPr="00197C1B">
        <w:rPr>
          <w:i/>
        </w:rPr>
        <w:t>See</w:t>
      </w:r>
      <w:r w:rsidRPr="00197C1B">
        <w:t xml:space="preserve"> Deborah Heart &amp; Lung Ctr.</w:t>
      </w:r>
      <w:r w:rsidRPr="00197C1B">
        <w:t xml:space="preserve"> </w:t>
      </w:r>
      <w:r w:rsidRPr="00197C1B">
        <w:t>v.</w:t>
      </w:r>
      <w:r w:rsidRPr="00197C1B">
        <w:t xml:space="preserve"> </w:t>
      </w:r>
      <w:r w:rsidRPr="00197C1B">
        <w:t>Children of the World Found., 99 F.</w:t>
      </w:r>
      <w:r w:rsidRPr="00197C1B">
        <w:t xml:space="preserve"> </w:t>
      </w:r>
      <w:r w:rsidRPr="00197C1B">
        <w:t>Supp.</w:t>
      </w:r>
      <w:r w:rsidRPr="00197C1B">
        <w:t xml:space="preserve"> </w:t>
      </w:r>
      <w:r w:rsidRPr="00197C1B">
        <w:t>2d 481, 493–94, 55 USPQ2d 1088 (D.N.J.</w:t>
      </w:r>
      <w:r w:rsidRPr="00197C1B">
        <w:t xml:space="preserve"> </w:t>
      </w:r>
      <w:r w:rsidRPr="00197C1B">
        <w:t>2000);</w:t>
      </w:r>
      <w:r w:rsidRPr="00197C1B">
        <w:t xml:space="preserve"> </w:t>
      </w:r>
      <w:r w:rsidRPr="00197C1B">
        <w:t>Eli Lilly &amp; Co.</w:t>
      </w:r>
      <w:r w:rsidRPr="00197C1B">
        <w:t xml:space="preserve"> </w:t>
      </w:r>
      <w:r w:rsidRPr="00197C1B">
        <w:t>v.</w:t>
      </w:r>
      <w:r w:rsidRPr="00197C1B">
        <w:t xml:space="preserve"> </w:t>
      </w:r>
      <w:r w:rsidRPr="00197C1B">
        <w:t>Natural Answers, Inc., 86 F.</w:t>
      </w:r>
      <w:r w:rsidRPr="00197C1B">
        <w:t xml:space="preserve"> </w:t>
      </w:r>
      <w:r w:rsidRPr="00197C1B">
        <w:t>Supp.</w:t>
      </w:r>
      <w:r w:rsidRPr="00197C1B">
        <w:t xml:space="preserve"> </w:t>
      </w:r>
      <w:r w:rsidRPr="00197C1B">
        <w:t>2d 834, 853 (S.D.</w:t>
      </w:r>
      <w:r w:rsidRPr="00197C1B">
        <w:t xml:space="preserve"> </w:t>
      </w:r>
      <w:r w:rsidRPr="00197C1B">
        <w:t xml:space="preserve">Ind.), </w:t>
      </w:r>
      <w:r w:rsidRPr="00197C1B">
        <w:rPr>
          <w:i/>
        </w:rPr>
        <w:t>aff’d</w:t>
      </w:r>
      <w:r w:rsidRPr="00197C1B">
        <w:t>, 233 F.3d 456, 56 USPQ2d 1942 (7th Cir.</w:t>
      </w:r>
      <w:r w:rsidRPr="00197C1B">
        <w:t xml:space="preserve"> </w:t>
      </w:r>
      <w:r w:rsidRPr="00197C1B">
        <w:t>2000).</w:t>
      </w:r>
    </w:p>
  </w:footnote>
  <w:footnote w:id="22">
    <w:p w14:paraId="58D75F19" w14:textId="6052650B" w:rsidR="00197C1B" w:rsidRPr="0019374F" w:rsidRDefault="00197C1B" w:rsidP="00197C1B">
      <w:pPr>
        <w:pStyle w:val="FootnoteText"/>
      </w:pPr>
      <w:r w:rsidRPr="00197C1B">
        <w:rPr>
          <w:vertAlign w:val="superscript"/>
        </w:rPr>
        <w:footnoteRef/>
      </w:r>
      <w:r w:rsidRPr="00197C1B">
        <w:t>Westchester Media Co.</w:t>
      </w:r>
      <w:r w:rsidRPr="00197C1B">
        <w:t xml:space="preserve"> </w:t>
      </w:r>
      <w:r w:rsidRPr="00197C1B">
        <w:t>L.P.</w:t>
      </w:r>
      <w:r w:rsidRPr="00197C1B">
        <w:t xml:space="preserve"> </w:t>
      </w:r>
      <w:r w:rsidRPr="00197C1B">
        <w:t>v.</w:t>
      </w:r>
      <w:r w:rsidRPr="00197C1B">
        <w:t xml:space="preserve"> </w:t>
      </w:r>
      <w:r w:rsidRPr="00197C1B">
        <w:t>PRL USA Holdings, Inc., 103 F.</w:t>
      </w:r>
      <w:r w:rsidRPr="00197C1B">
        <w:t xml:space="preserve"> </w:t>
      </w:r>
      <w:r w:rsidRPr="00197C1B">
        <w:t>Supp.</w:t>
      </w:r>
      <w:r w:rsidRPr="00197C1B">
        <w:t xml:space="preserve"> </w:t>
      </w:r>
      <w:r w:rsidRPr="00197C1B">
        <w:t>2d 935, 999 (S.D.</w:t>
      </w:r>
      <w:r w:rsidRPr="00197C1B">
        <w:t xml:space="preserve"> </w:t>
      </w:r>
      <w:r w:rsidRPr="00197C1B">
        <w:t>Tex.</w:t>
      </w:r>
      <w:r w:rsidRPr="00197C1B">
        <w:t xml:space="preserve"> </w:t>
      </w:r>
      <w:r w:rsidRPr="00197C1B">
        <w:t xml:space="preserve">1999), </w:t>
      </w:r>
      <w:r w:rsidRPr="00197C1B">
        <w:rPr>
          <w:i/>
        </w:rPr>
        <w:t>aff’d in part, vacated in part</w:t>
      </w:r>
      <w:r w:rsidRPr="00197C1B">
        <w:t>, 214 F.3d 658, 55 USPQ2d 1225 (5th Cir.</w:t>
      </w:r>
      <w:r w:rsidRPr="00197C1B">
        <w:t xml:space="preserve"> </w:t>
      </w:r>
      <w:r w:rsidRPr="00197C1B">
        <w:t>2000) (standard the same for preliminary and permanent injunctions).</w:t>
      </w:r>
      <w:r w:rsidRPr="00197C1B">
        <w:t xml:space="preserve"> </w:t>
      </w:r>
      <w:r w:rsidRPr="00197C1B">
        <w:t>In the case of preliminary injunctions, one also may be afforded relief if there are “‘sufficiently serious questions going to the merits of the case to make them a fair ground for litigation and a balance of hardships tipping decidedly in [plaintiff’s] favor.’” Deleo v.</w:t>
      </w:r>
      <w:r w:rsidRPr="00197C1B">
        <w:t xml:space="preserve"> </w:t>
      </w:r>
      <w:r w:rsidRPr="00197C1B">
        <w:t>Zconnexx Corp., 2000 WL 1610668, at *2, 2000 BL 1076 (W.D.N.Y.</w:t>
      </w:r>
      <w:r w:rsidRPr="00197C1B">
        <w:t xml:space="preserve"> </w:t>
      </w:r>
      <w:r w:rsidRPr="00197C1B">
        <w:t>Oct.</w:t>
      </w:r>
      <w:r w:rsidRPr="00197C1B">
        <w:t xml:space="preserve"> </w:t>
      </w:r>
      <w:r w:rsidRPr="00197C1B">
        <w:t>25, 2000) (quoting Brewer v.</w:t>
      </w:r>
      <w:r w:rsidRPr="00197C1B">
        <w:t xml:space="preserve"> </w:t>
      </w:r>
      <w:r w:rsidRPr="00197C1B">
        <w:t>West Irondequoit Cent.</w:t>
      </w:r>
      <w:r w:rsidRPr="00197C1B">
        <w:t xml:space="preserve"> </w:t>
      </w:r>
      <w:r w:rsidRPr="00197C1B">
        <w:t>Sch.</w:t>
      </w:r>
      <w:r w:rsidRPr="00197C1B">
        <w:t xml:space="preserve"> </w:t>
      </w:r>
      <w:r w:rsidRPr="00197C1B">
        <w:t>Dist., 212 F.3d 738, 743–44 (2d Cir.</w:t>
      </w:r>
      <w:r w:rsidRPr="00197C1B">
        <w:t xml:space="preserve"> </w:t>
      </w:r>
      <w:r w:rsidRPr="00197C1B">
        <w:t>2000)).</w:t>
      </w:r>
      <w:r w:rsidRPr="00197C1B">
        <w:t xml:space="preserve"> </w:t>
      </w:r>
      <w:r w:rsidRPr="00197C1B">
        <w:rPr>
          <w:i/>
        </w:rPr>
        <w:t>See</w:t>
      </w:r>
      <w:r w:rsidRPr="00197C1B">
        <w:t xml:space="preserve"> §I.B, below.</w:t>
      </w:r>
    </w:p>
  </w:footnote>
  <w:footnote w:id="23">
    <w:p w14:paraId="68AA1201" w14:textId="3150C0A6" w:rsidR="00197C1B" w:rsidRPr="0019374F" w:rsidRDefault="00197C1B" w:rsidP="00197C1B">
      <w:pPr>
        <w:pStyle w:val="FootnoteText"/>
      </w:pPr>
      <w:r w:rsidRPr="00197C1B">
        <w:rPr>
          <w:vertAlign w:val="superscript"/>
        </w:rPr>
        <w:footnoteRef/>
      </w:r>
      <w:r w:rsidRPr="00197C1B">
        <w:t>See Chapter 9, §II.C.3, for a discussion of actual dilution versus likelihood of dilution under the FTDA and the TDRA.</w:t>
      </w:r>
    </w:p>
  </w:footnote>
  <w:footnote w:id="24">
    <w:p w14:paraId="4E38EB06" w14:textId="53FB381A" w:rsidR="00197C1B" w:rsidRPr="0019374F" w:rsidRDefault="00197C1B" w:rsidP="00197C1B">
      <w:pPr>
        <w:pStyle w:val="FootnoteText"/>
      </w:pPr>
      <w:r w:rsidRPr="00197C1B">
        <w:rPr>
          <w:vertAlign w:val="superscript"/>
        </w:rPr>
        <w:footnoteRef/>
      </w:r>
      <w:r w:rsidRPr="00197C1B">
        <w:rPr>
          <w:i/>
        </w:rPr>
        <w:t>Eli Lilly</w:t>
      </w:r>
      <w:r w:rsidRPr="00197C1B">
        <w:t>, 233 F.3d at 469;</w:t>
      </w:r>
      <w:r w:rsidRPr="00197C1B">
        <w:t xml:space="preserve"> </w:t>
      </w:r>
      <w:r w:rsidRPr="00197C1B">
        <w:t>Kraft Foods Holdings, Inc.</w:t>
      </w:r>
      <w:r w:rsidRPr="00197C1B">
        <w:t xml:space="preserve"> </w:t>
      </w:r>
      <w:r w:rsidRPr="00197C1B">
        <w:t>v.</w:t>
      </w:r>
      <w:r w:rsidRPr="00197C1B">
        <w:t xml:space="preserve"> </w:t>
      </w:r>
      <w:r w:rsidRPr="00197C1B">
        <w:t>Helm, 205 F.</w:t>
      </w:r>
      <w:r w:rsidRPr="00197C1B">
        <w:t xml:space="preserve"> </w:t>
      </w:r>
      <w:r w:rsidRPr="00197C1B">
        <w:t>Supp.</w:t>
      </w:r>
      <w:r w:rsidRPr="00197C1B">
        <w:t xml:space="preserve"> </w:t>
      </w:r>
      <w:r w:rsidRPr="00197C1B">
        <w:t>2d 942, 950, 63 USPQ2d 1353 (N.D.</w:t>
      </w:r>
      <w:r w:rsidRPr="00197C1B">
        <w:t xml:space="preserve"> </w:t>
      </w:r>
      <w:r w:rsidRPr="00197C1B">
        <w:t>Ill.</w:t>
      </w:r>
      <w:r w:rsidRPr="00197C1B">
        <w:t xml:space="preserve"> </w:t>
      </w:r>
      <w:r w:rsidRPr="00197C1B">
        <w:t>2002) (irreparable harm presumed in Seventh Circuit);</w:t>
      </w:r>
      <w:r w:rsidRPr="00197C1B">
        <w:t xml:space="preserve"> </w:t>
      </w:r>
      <w:r w:rsidRPr="00197C1B">
        <w:t>NBA Props.</w:t>
      </w:r>
      <w:r w:rsidRPr="00197C1B">
        <w:t xml:space="preserve"> </w:t>
      </w:r>
      <w:r w:rsidRPr="00197C1B">
        <w:t>v.</w:t>
      </w:r>
      <w:r w:rsidRPr="00197C1B">
        <w:t xml:space="preserve"> </w:t>
      </w:r>
      <w:r w:rsidRPr="00197C1B">
        <w:t>Untertainment Records LLC, 1999 WL 335147, at *6 (S.D.N.Y.</w:t>
      </w:r>
      <w:r w:rsidRPr="00197C1B">
        <w:t xml:space="preserve"> </w:t>
      </w:r>
      <w:r w:rsidRPr="00197C1B">
        <w:t>May 26, 1999);</w:t>
      </w:r>
      <w:r w:rsidRPr="00197C1B">
        <w:t xml:space="preserve"> </w:t>
      </w:r>
      <w:r w:rsidRPr="00197C1B">
        <w:t>American Dairy Queen Corp.</w:t>
      </w:r>
      <w:r w:rsidRPr="00197C1B">
        <w:t xml:space="preserve"> </w:t>
      </w:r>
      <w:r w:rsidRPr="00197C1B">
        <w:t>v.</w:t>
      </w:r>
      <w:r w:rsidRPr="00197C1B">
        <w:t xml:space="preserve"> </w:t>
      </w:r>
      <w:r w:rsidRPr="00197C1B">
        <w:t>New Line Prod., Inc.</w:t>
      </w:r>
      <w:r w:rsidRPr="00197C1B">
        <w:t xml:space="preserve"> </w:t>
      </w:r>
      <w:r w:rsidRPr="00197C1B">
        <w:t>35 F.</w:t>
      </w:r>
      <w:r w:rsidRPr="00197C1B">
        <w:t xml:space="preserve"> </w:t>
      </w:r>
      <w:r w:rsidRPr="00197C1B">
        <w:t>Supp.</w:t>
      </w:r>
      <w:r w:rsidRPr="00197C1B">
        <w:t xml:space="preserve"> </w:t>
      </w:r>
      <w:r w:rsidRPr="00197C1B">
        <w:t>2d 727, 729 (D.</w:t>
      </w:r>
      <w:r w:rsidRPr="00197C1B">
        <w:t xml:space="preserve"> </w:t>
      </w:r>
      <w:r w:rsidRPr="00197C1B">
        <w:t>Minn.</w:t>
      </w:r>
      <w:r w:rsidRPr="00197C1B">
        <w:t xml:space="preserve"> </w:t>
      </w:r>
      <w:r w:rsidRPr="00197C1B">
        <w:t>1998).</w:t>
      </w:r>
    </w:p>
  </w:footnote>
  <w:footnote w:id="25">
    <w:p w14:paraId="07A99A22" w14:textId="4088C373" w:rsidR="00197C1B" w:rsidRPr="0019374F" w:rsidRDefault="00197C1B" w:rsidP="00197C1B">
      <w:pPr>
        <w:pStyle w:val="FootnoteText"/>
      </w:pPr>
      <w:r w:rsidRPr="00197C1B">
        <w:rPr>
          <w:vertAlign w:val="superscript"/>
        </w:rPr>
        <w:footnoteRef/>
      </w:r>
      <w:r w:rsidRPr="00197C1B">
        <w:rPr>
          <w:i/>
        </w:rPr>
        <w:t>E</w:t>
      </w:r>
      <w:r w:rsidRPr="00197C1B">
        <w:t>.</w:t>
      </w:r>
      <w:r w:rsidRPr="00197C1B">
        <w:rPr>
          <w:i/>
        </w:rPr>
        <w:t>g</w:t>
      </w:r>
      <w:r w:rsidRPr="00197C1B">
        <w:t xml:space="preserve">., </w:t>
      </w:r>
      <w:r w:rsidRPr="00197C1B">
        <w:rPr>
          <w:i/>
        </w:rPr>
        <w:t>Deleo</w:t>
      </w:r>
      <w:r w:rsidRPr="00197C1B">
        <w:t>, 2000 WL 1610668, at *4, 2000 BL 1076.</w:t>
      </w:r>
    </w:p>
  </w:footnote>
  <w:footnote w:id="26">
    <w:p w14:paraId="19AECAE8" w14:textId="18BA3AB6" w:rsidR="00197C1B" w:rsidRPr="0019374F" w:rsidRDefault="00197C1B" w:rsidP="00197C1B">
      <w:pPr>
        <w:pStyle w:val="FootnoteText"/>
      </w:pPr>
      <w:r w:rsidRPr="00197C1B">
        <w:rPr>
          <w:vertAlign w:val="superscript"/>
        </w:rPr>
        <w:footnoteRef/>
      </w:r>
      <w:r w:rsidRPr="00197C1B">
        <w:t>547 U.S.</w:t>
      </w:r>
      <w:r w:rsidRPr="00197C1B">
        <w:t xml:space="preserve"> </w:t>
      </w:r>
      <w:r w:rsidRPr="00197C1B">
        <w:t>388, 392–93, 78 USPQ2d 1577 (2006).</w:t>
      </w:r>
    </w:p>
  </w:footnote>
  <w:footnote w:id="27">
    <w:p w14:paraId="769B782C" w14:textId="1341FA6C" w:rsidR="00197C1B" w:rsidRPr="0019374F" w:rsidRDefault="00197C1B" w:rsidP="00197C1B">
      <w:pPr>
        <w:pStyle w:val="FootnoteText"/>
      </w:pPr>
      <w:r w:rsidRPr="00197C1B">
        <w:rPr>
          <w:vertAlign w:val="superscript"/>
        </w:rPr>
        <w:footnoteRef/>
      </w:r>
      <w:r w:rsidRPr="00197C1B">
        <w:t xml:space="preserve">The Second Circuit has used similar reasoning in applying </w:t>
      </w:r>
      <w:r w:rsidRPr="00197C1B">
        <w:rPr>
          <w:i/>
        </w:rPr>
        <w:t>MercExchange</w:t>
      </w:r>
      <w:r w:rsidRPr="00197C1B">
        <w:t xml:space="preserve"> to copyright cases.</w:t>
      </w:r>
      <w:r w:rsidRPr="00197C1B">
        <w:t xml:space="preserve"> </w:t>
      </w:r>
      <w:r w:rsidRPr="00197C1B">
        <w:t>Salinger v.</w:t>
      </w:r>
      <w:r w:rsidRPr="00197C1B">
        <w:t xml:space="preserve"> </w:t>
      </w:r>
      <w:r w:rsidRPr="00197C1B">
        <w:t>Colting, 607 F.3d 68, 75–78, 94 USPQ2d 1577 (2d Cir.</w:t>
      </w:r>
      <w:r w:rsidRPr="00197C1B">
        <w:t xml:space="preserve"> </w:t>
      </w:r>
      <w:r w:rsidRPr="00197C1B">
        <w:t>2010).</w:t>
      </w:r>
      <w:r w:rsidRPr="00197C1B">
        <w:t xml:space="preserve"> </w:t>
      </w:r>
      <w:r w:rsidRPr="00197C1B">
        <w:t xml:space="preserve">District courts have applied </w:t>
      </w:r>
      <w:r w:rsidRPr="00197C1B">
        <w:rPr>
          <w:i/>
        </w:rPr>
        <w:t>Salinger</w:t>
      </w:r>
      <w:r w:rsidRPr="00197C1B">
        <w:t xml:space="preserve"> to trademark cases.</w:t>
      </w:r>
      <w:r w:rsidRPr="00197C1B">
        <w:t xml:space="preserve"> </w:t>
      </w:r>
      <w:r w:rsidRPr="00197C1B">
        <w:rPr>
          <w:i/>
        </w:rPr>
        <w:t>E</w:t>
      </w:r>
      <w:r w:rsidRPr="00197C1B">
        <w:t>.</w:t>
      </w:r>
      <w:r w:rsidRPr="00197C1B">
        <w:rPr>
          <w:i/>
        </w:rPr>
        <w:t>g</w:t>
      </w:r>
      <w:r w:rsidRPr="00197C1B">
        <w:t>., People’s United Bank v.</w:t>
      </w:r>
      <w:r w:rsidRPr="00197C1B">
        <w:t xml:space="preserve"> </w:t>
      </w:r>
      <w:r w:rsidRPr="00197C1B">
        <w:t>Peoplesbank, 2010 WL 2521069, at *3, 2010 BL 136261 (D.</w:t>
      </w:r>
      <w:r w:rsidRPr="00197C1B">
        <w:t xml:space="preserve"> </w:t>
      </w:r>
      <w:r w:rsidRPr="00197C1B">
        <w:t>Conn.</w:t>
      </w:r>
      <w:r w:rsidRPr="00197C1B">
        <w:t xml:space="preserve"> </w:t>
      </w:r>
      <w:r w:rsidRPr="00197C1B">
        <w:t xml:space="preserve">June 17, 2010), </w:t>
      </w:r>
      <w:r w:rsidRPr="00197C1B">
        <w:rPr>
          <w:i/>
        </w:rPr>
        <w:t>aff’d</w:t>
      </w:r>
      <w:r w:rsidRPr="00197C1B">
        <w:t>, 401 F.</w:t>
      </w:r>
      <w:r w:rsidRPr="00197C1B">
        <w:t xml:space="preserve"> </w:t>
      </w:r>
      <w:r w:rsidRPr="00197C1B">
        <w:t>App’x 607 (2d Cir.</w:t>
      </w:r>
      <w:r w:rsidRPr="00197C1B">
        <w:t xml:space="preserve"> </w:t>
      </w:r>
      <w:r w:rsidRPr="00197C1B">
        <w:t>2010);</w:t>
      </w:r>
      <w:r w:rsidRPr="00197C1B">
        <w:t xml:space="preserve"> </w:t>
      </w:r>
      <w:r w:rsidRPr="00197C1B">
        <w:t>KTM N.</w:t>
      </w:r>
      <w:r w:rsidRPr="00197C1B">
        <w:t xml:space="preserve"> </w:t>
      </w:r>
      <w:r w:rsidRPr="00197C1B">
        <w:t>Am., Inc.</w:t>
      </w:r>
      <w:r w:rsidRPr="00197C1B">
        <w:t xml:space="preserve"> </w:t>
      </w:r>
      <w:r w:rsidRPr="00197C1B">
        <w:t>v.</w:t>
      </w:r>
      <w:r w:rsidRPr="00197C1B">
        <w:t xml:space="preserve"> </w:t>
      </w:r>
      <w:r w:rsidRPr="00197C1B">
        <w:t>Cycle Hut, Inc., 2013 U.S.</w:t>
      </w:r>
      <w:r w:rsidRPr="00197C1B">
        <w:t xml:space="preserve"> </w:t>
      </w:r>
      <w:r w:rsidRPr="00197C1B">
        <w:t>Dist.</w:t>
      </w:r>
      <w:r w:rsidRPr="00197C1B">
        <w:t xml:space="preserve"> </w:t>
      </w:r>
      <w:r w:rsidRPr="00197C1B">
        <w:t>LEXIS 67209, at *4–5 (D.S.D.</w:t>
      </w:r>
      <w:r w:rsidRPr="00197C1B">
        <w:t xml:space="preserve"> </w:t>
      </w:r>
      <w:r w:rsidRPr="00197C1B">
        <w:t xml:space="preserve">May 8, 2013) (applying </w:t>
      </w:r>
      <w:r w:rsidRPr="00197C1B">
        <w:rPr>
          <w:i/>
        </w:rPr>
        <w:t xml:space="preserve">eBay </w:t>
      </w:r>
      <w:r w:rsidRPr="00197C1B">
        <w:t>to temporary restraining order request);</w:t>
      </w:r>
      <w:r w:rsidRPr="00197C1B">
        <w:t xml:space="preserve"> </w:t>
      </w:r>
      <w:r w:rsidRPr="00197C1B">
        <w:t>Rolex Watch U.S.A., Inc.</w:t>
      </w:r>
      <w:r w:rsidRPr="00197C1B">
        <w:t xml:space="preserve"> </w:t>
      </w:r>
      <w:r w:rsidRPr="00197C1B">
        <w:t>v.</w:t>
      </w:r>
      <w:r w:rsidRPr="00197C1B">
        <w:t xml:space="preserve"> </w:t>
      </w:r>
      <w:r w:rsidRPr="00197C1B">
        <w:t>Rolex Deli Corp., 2012 U.S.</w:t>
      </w:r>
      <w:r w:rsidRPr="00197C1B">
        <w:t xml:space="preserve"> </w:t>
      </w:r>
      <w:r w:rsidRPr="00197C1B">
        <w:t>Dist.</w:t>
      </w:r>
      <w:r w:rsidRPr="00197C1B">
        <w:t xml:space="preserve"> </w:t>
      </w:r>
      <w:r w:rsidRPr="00197C1B">
        <w:t>LEXIS 151569, at *17 n.12 (S.D.N.Y.</w:t>
      </w:r>
      <w:r w:rsidRPr="00197C1B">
        <w:t xml:space="preserve"> </w:t>
      </w:r>
      <w:r w:rsidRPr="00197C1B">
        <w:t>Oct.</w:t>
      </w:r>
      <w:r w:rsidRPr="00197C1B">
        <w:t xml:space="preserve"> </w:t>
      </w:r>
      <w:r w:rsidRPr="00197C1B">
        <w:t>17, 2012);</w:t>
      </w:r>
      <w:r w:rsidRPr="00197C1B">
        <w:t xml:space="preserve"> </w:t>
      </w:r>
      <w:r w:rsidRPr="00197C1B">
        <w:t>United States Polo Ass’n, Inc.</w:t>
      </w:r>
      <w:r w:rsidRPr="00197C1B">
        <w:t xml:space="preserve"> </w:t>
      </w:r>
      <w:r w:rsidRPr="00197C1B">
        <w:t>v.</w:t>
      </w:r>
      <w:r w:rsidRPr="00197C1B">
        <w:t xml:space="preserve"> </w:t>
      </w:r>
      <w:r w:rsidRPr="00197C1B">
        <w:t>PRL USA Holdings, Inc., 800 F.</w:t>
      </w:r>
      <w:r w:rsidRPr="00197C1B">
        <w:t xml:space="preserve"> </w:t>
      </w:r>
      <w:r w:rsidRPr="00197C1B">
        <w:t>Supp.</w:t>
      </w:r>
      <w:r w:rsidRPr="00197C1B">
        <w:t xml:space="preserve"> </w:t>
      </w:r>
      <w:r w:rsidRPr="00197C1B">
        <w:t>2d 515, 540 (S.D.N.Y.</w:t>
      </w:r>
      <w:r w:rsidRPr="00197C1B">
        <w:t xml:space="preserve"> </w:t>
      </w:r>
      <w:r w:rsidRPr="00197C1B">
        <w:t xml:space="preserve">2011), </w:t>
      </w:r>
      <w:r w:rsidRPr="00197C1B">
        <w:rPr>
          <w:i/>
        </w:rPr>
        <w:t>aff’d</w:t>
      </w:r>
      <w:r w:rsidRPr="00197C1B">
        <w:t>, 511 F.</w:t>
      </w:r>
      <w:r w:rsidRPr="00197C1B">
        <w:t xml:space="preserve"> </w:t>
      </w:r>
      <w:r w:rsidRPr="00197C1B">
        <w:t>App’x 81 (2d Cir.</w:t>
      </w:r>
      <w:r w:rsidRPr="00197C1B">
        <w:t xml:space="preserve"> </w:t>
      </w:r>
      <w:r w:rsidRPr="00197C1B">
        <w:t>2013).</w:t>
      </w:r>
    </w:p>
  </w:footnote>
  <w:footnote w:id="28">
    <w:p w14:paraId="5AB3F4F6" w14:textId="5548DFC8" w:rsidR="00197C1B" w:rsidRPr="0019374F" w:rsidRDefault="00197C1B" w:rsidP="00197C1B">
      <w:pPr>
        <w:pStyle w:val="FootnoteText"/>
      </w:pPr>
      <w:r w:rsidRPr="00197C1B">
        <w:rPr>
          <w:vertAlign w:val="superscript"/>
        </w:rPr>
        <w:footnoteRef/>
      </w:r>
      <w:r w:rsidRPr="00197C1B">
        <w:rPr>
          <w:i/>
        </w:rPr>
        <w:t>See MercExchange</w:t>
      </w:r>
      <w:r w:rsidRPr="00197C1B">
        <w:t>, 547 U.S.</w:t>
      </w:r>
      <w:r w:rsidRPr="00197C1B">
        <w:t xml:space="preserve"> </w:t>
      </w:r>
      <w:r w:rsidRPr="00197C1B">
        <w:t>at 392 (discussing language of the Patent Act invoking principles of equity);</w:t>
      </w:r>
      <w:r w:rsidRPr="00197C1B">
        <w:t xml:space="preserve"> </w:t>
      </w:r>
      <w:r w:rsidRPr="00197C1B">
        <w:rPr>
          <w:i/>
        </w:rPr>
        <w:t>United States Polo Ass’n</w:t>
      </w:r>
      <w:r w:rsidRPr="00197C1B">
        <w:t>, 800 F.</w:t>
      </w:r>
      <w:r w:rsidRPr="00197C1B">
        <w:t xml:space="preserve"> </w:t>
      </w:r>
      <w:r w:rsidRPr="00197C1B">
        <w:t>Supp.</w:t>
      </w:r>
      <w:r w:rsidRPr="00197C1B">
        <w:t xml:space="preserve"> </w:t>
      </w:r>
      <w:r w:rsidRPr="00197C1B">
        <w:t xml:space="preserve">2d at 540 (citing language in TDRA regarding principles of equity), </w:t>
      </w:r>
      <w:r w:rsidRPr="00197C1B">
        <w:rPr>
          <w:i/>
        </w:rPr>
        <w:t>aff’d</w:t>
      </w:r>
      <w:r w:rsidRPr="00197C1B">
        <w:t>, 511 F.</w:t>
      </w:r>
      <w:r w:rsidRPr="00197C1B">
        <w:t xml:space="preserve"> </w:t>
      </w:r>
      <w:r w:rsidRPr="00197C1B">
        <w:t>App’x 81 (2d Cir.</w:t>
      </w:r>
      <w:r w:rsidRPr="00197C1B">
        <w:t xml:space="preserve"> </w:t>
      </w:r>
      <w:r w:rsidRPr="00197C1B">
        <w:t>2013);</w:t>
      </w:r>
      <w:r w:rsidRPr="00197C1B">
        <w:t xml:space="preserve"> </w:t>
      </w:r>
      <w:r w:rsidRPr="00197C1B">
        <w:t>Federal Express Corp.</w:t>
      </w:r>
      <w:r w:rsidRPr="00197C1B">
        <w:t xml:space="preserve"> </w:t>
      </w:r>
      <w:r w:rsidRPr="00197C1B">
        <w:t>v.</w:t>
      </w:r>
      <w:r w:rsidRPr="00197C1B">
        <w:t xml:space="preserve"> </w:t>
      </w:r>
      <w:r w:rsidRPr="00197C1B">
        <w:t>Robrad, 2014 U.S.</w:t>
      </w:r>
      <w:r w:rsidRPr="00197C1B">
        <w:t xml:space="preserve"> </w:t>
      </w:r>
      <w:r w:rsidRPr="00197C1B">
        <w:t>Dist.</w:t>
      </w:r>
      <w:r w:rsidRPr="00197C1B">
        <w:t xml:space="preserve"> </w:t>
      </w:r>
      <w:r w:rsidRPr="00197C1B">
        <w:t>LEXIS 108556, at *5–9 (N.D.</w:t>
      </w:r>
      <w:r w:rsidRPr="00197C1B">
        <w:t xml:space="preserve"> </w:t>
      </w:r>
      <w:r w:rsidRPr="00197C1B">
        <w:t>Tex.</w:t>
      </w:r>
      <w:r w:rsidRPr="00197C1B">
        <w:t xml:space="preserve"> </w:t>
      </w:r>
      <w:r w:rsidRPr="00197C1B">
        <w:t>Aug.</w:t>
      </w:r>
      <w:r w:rsidRPr="00197C1B">
        <w:t xml:space="preserve"> </w:t>
      </w:r>
      <w:r w:rsidRPr="00197C1B">
        <w:t>7, 2014) (denying preliminary injunction for failure to show irreparable harm);</w:t>
      </w:r>
      <w:r w:rsidRPr="00197C1B">
        <w:t xml:space="preserve"> </w:t>
      </w:r>
      <w:r w:rsidRPr="00197C1B">
        <w:t>Phyllis Schlafly Revocable Tr.</w:t>
      </w:r>
      <w:r w:rsidRPr="00197C1B">
        <w:t xml:space="preserve"> </w:t>
      </w:r>
      <w:r w:rsidRPr="00197C1B">
        <w:t>v.</w:t>
      </w:r>
      <w:r w:rsidRPr="00197C1B">
        <w:t xml:space="preserve"> </w:t>
      </w:r>
      <w:r w:rsidRPr="00197C1B">
        <w:t>Cori, 924 F.3d 1004, 1009, 2019 USPQ2d 185956 (8th Cir.</w:t>
      </w:r>
      <w:r w:rsidRPr="00197C1B">
        <w:t xml:space="preserve"> </w:t>
      </w:r>
      <w:r w:rsidRPr="00197C1B">
        <w:t xml:space="preserve">2019) (stating that it “is unclear” whether </w:t>
      </w:r>
      <w:r w:rsidRPr="00197C1B">
        <w:rPr>
          <w:i/>
        </w:rPr>
        <w:t>eBay</w:t>
      </w:r>
      <w:r w:rsidRPr="00197C1B">
        <w:t xml:space="preserve"> eliminates the presumption of irreparable harm in trademark cases).</w:t>
      </w:r>
      <w:r w:rsidRPr="00197C1B">
        <w:t xml:space="preserve"> </w:t>
      </w:r>
      <w:r w:rsidRPr="00197C1B">
        <w:rPr>
          <w:i/>
        </w:rPr>
        <w:t>But cf</w:t>
      </w:r>
      <w:r w:rsidRPr="00197C1B">
        <w:t>.</w:t>
      </w:r>
      <w:r w:rsidRPr="00197C1B">
        <w:t xml:space="preserve"> </w:t>
      </w:r>
      <w:r w:rsidRPr="00197C1B">
        <w:t>Abraham v.</w:t>
      </w:r>
      <w:r w:rsidRPr="00197C1B">
        <w:t xml:space="preserve"> </w:t>
      </w:r>
      <w:r w:rsidRPr="00197C1B">
        <w:t>Alpha Chi Omega, 708 F.3d 614, 626, 105 USPQ2d 1692 (5th Cir.</w:t>
      </w:r>
      <w:r w:rsidRPr="00197C1B">
        <w:t xml:space="preserve"> </w:t>
      </w:r>
      <w:r w:rsidRPr="00197C1B">
        <w:t xml:space="preserve">2013) (citing </w:t>
      </w:r>
      <w:r w:rsidRPr="00197C1B">
        <w:rPr>
          <w:i/>
        </w:rPr>
        <w:t>eBay</w:t>
      </w:r>
      <w:r w:rsidRPr="00197C1B">
        <w:t xml:space="preserve"> and applying its factors, but allowing irreparable harm to be presumed by a finding of likelihood of confusion);</w:t>
      </w:r>
      <w:r w:rsidRPr="00197C1B">
        <w:t xml:space="preserve"> </w:t>
      </w:r>
      <w:r w:rsidRPr="00197C1B">
        <w:t>S &amp; H Indus., Inc.</w:t>
      </w:r>
      <w:r w:rsidRPr="00197C1B">
        <w:t xml:space="preserve"> </w:t>
      </w:r>
      <w:r w:rsidRPr="00197C1B">
        <w:t>v.</w:t>
      </w:r>
      <w:r w:rsidRPr="00197C1B">
        <w:t xml:space="preserve"> </w:t>
      </w:r>
      <w:r w:rsidRPr="00197C1B">
        <w:t>Selander, 932 F.</w:t>
      </w:r>
      <w:r w:rsidRPr="00197C1B">
        <w:t xml:space="preserve"> </w:t>
      </w:r>
      <w:r w:rsidRPr="00197C1B">
        <w:t>Supp.</w:t>
      </w:r>
      <w:r w:rsidRPr="00197C1B">
        <w:t xml:space="preserve"> </w:t>
      </w:r>
      <w:r w:rsidRPr="00197C1B">
        <w:t>2d 754, 765 (N.D.</w:t>
      </w:r>
      <w:r w:rsidRPr="00197C1B">
        <w:t xml:space="preserve"> </w:t>
      </w:r>
      <w:r w:rsidRPr="00197C1B">
        <w:t>Tex.</w:t>
      </w:r>
      <w:r w:rsidRPr="00197C1B">
        <w:t xml:space="preserve"> </w:t>
      </w:r>
      <w:r w:rsidRPr="00197C1B">
        <w:t>2013) (same);</w:t>
      </w:r>
      <w:r w:rsidRPr="00197C1B">
        <w:t xml:space="preserve"> </w:t>
      </w:r>
      <w:r w:rsidRPr="00197C1B">
        <w:t>Mister Softee, Inc.</w:t>
      </w:r>
      <w:r w:rsidRPr="00197C1B">
        <w:t xml:space="preserve"> </w:t>
      </w:r>
      <w:r w:rsidRPr="00197C1B">
        <w:t>v.</w:t>
      </w:r>
      <w:r w:rsidRPr="00197C1B">
        <w:t xml:space="preserve"> </w:t>
      </w:r>
      <w:r w:rsidRPr="00197C1B">
        <w:t>Awawda, 2011 U.S.</w:t>
      </w:r>
      <w:r w:rsidRPr="00197C1B">
        <w:t xml:space="preserve"> </w:t>
      </w:r>
      <w:r w:rsidRPr="00197C1B">
        <w:t>Dist.</w:t>
      </w:r>
      <w:r w:rsidRPr="00197C1B">
        <w:t xml:space="preserve"> </w:t>
      </w:r>
      <w:r w:rsidRPr="00197C1B">
        <w:t>LEXIS 149822, at *2–3 (D.</w:t>
      </w:r>
      <w:r w:rsidRPr="00197C1B">
        <w:t xml:space="preserve"> </w:t>
      </w:r>
      <w:r w:rsidRPr="00197C1B">
        <w:t>Ariz.</w:t>
      </w:r>
      <w:r w:rsidRPr="00197C1B">
        <w:t xml:space="preserve"> </w:t>
      </w:r>
      <w:r w:rsidRPr="00197C1B">
        <w:t>Dec.</w:t>
      </w:r>
      <w:r w:rsidRPr="00197C1B">
        <w:t xml:space="preserve"> </w:t>
      </w:r>
      <w:r w:rsidRPr="00197C1B">
        <w:t xml:space="preserve">28, 2011) (citing </w:t>
      </w:r>
      <w:r w:rsidRPr="00197C1B">
        <w:rPr>
          <w:i/>
        </w:rPr>
        <w:t>MercExchange</w:t>
      </w:r>
      <w:r w:rsidRPr="00197C1B">
        <w:t>, but still applying presumption of irreparable harm from likelihood of confusion).</w:t>
      </w:r>
    </w:p>
  </w:footnote>
  <w:footnote w:id="29">
    <w:p w14:paraId="5B36D876" w14:textId="1B472745" w:rsidR="00197C1B" w:rsidRPr="00197C1B" w:rsidRDefault="00197C1B" w:rsidP="00197C1B">
      <w:pPr>
        <w:pStyle w:val="FootnoteText"/>
      </w:pPr>
      <w:r w:rsidRPr="00197C1B">
        <w:rPr>
          <w:vertAlign w:val="superscript"/>
        </w:rPr>
        <w:footnoteRef/>
      </w:r>
      <w:r w:rsidRPr="00197C1B">
        <w:rPr>
          <w:i/>
        </w:rPr>
        <w:t>E.g.</w:t>
      </w:r>
      <w:r w:rsidRPr="00197C1B">
        <w:t>, Adidas Am., Inc.</w:t>
      </w:r>
      <w:r w:rsidRPr="00197C1B">
        <w:t xml:space="preserve"> </w:t>
      </w:r>
      <w:r w:rsidRPr="00197C1B">
        <w:t>v.</w:t>
      </w:r>
      <w:r w:rsidRPr="00197C1B">
        <w:t xml:space="preserve"> </w:t>
      </w:r>
      <w:r w:rsidRPr="00197C1B">
        <w:t>Skechers USA, Inc., 149 F.</w:t>
      </w:r>
      <w:r w:rsidRPr="00197C1B">
        <w:t xml:space="preserve"> </w:t>
      </w:r>
      <w:r w:rsidRPr="00197C1B">
        <w:t>Supp.</w:t>
      </w:r>
      <w:r w:rsidRPr="00197C1B">
        <w:t xml:space="preserve"> </w:t>
      </w:r>
      <w:r w:rsidRPr="00197C1B">
        <w:t>3d 1222, 1248–49 (D.</w:t>
      </w:r>
      <w:r w:rsidRPr="00197C1B">
        <w:t xml:space="preserve"> </w:t>
      </w:r>
      <w:r w:rsidRPr="00197C1B">
        <w:t>Or.</w:t>
      </w:r>
      <w:r w:rsidRPr="00197C1B">
        <w:t xml:space="preserve"> </w:t>
      </w:r>
      <w:r w:rsidRPr="00197C1B">
        <w:t xml:space="preserve">2016), </w:t>
      </w:r>
      <w:r w:rsidRPr="00197C1B">
        <w:rPr>
          <w:i/>
        </w:rPr>
        <w:t>aff’d in part</w:t>
      </w:r>
      <w:r w:rsidRPr="00197C1B">
        <w:t xml:space="preserve">, </w:t>
      </w:r>
      <w:r w:rsidRPr="00197C1B">
        <w:rPr>
          <w:i/>
        </w:rPr>
        <w:t xml:space="preserve">rev’d in part, </w:t>
      </w:r>
      <w:r w:rsidRPr="00197C1B">
        <w:t>890 F.3d 747, 126 USPQ2d 1769 (9th Cir.</w:t>
      </w:r>
      <w:r w:rsidRPr="00197C1B">
        <w:t xml:space="preserve"> </w:t>
      </w:r>
      <w:r w:rsidRPr="00197C1B">
        <w:t>2018);</w:t>
      </w:r>
      <w:r w:rsidRPr="00197C1B">
        <w:t xml:space="preserve"> </w:t>
      </w:r>
      <w:r w:rsidRPr="00197C1B">
        <w:t>American Soc’y for the Prevention of Cruelty to Animals v.</w:t>
      </w:r>
      <w:r w:rsidRPr="00197C1B">
        <w:t xml:space="preserve"> </w:t>
      </w:r>
      <w:r w:rsidRPr="00197C1B">
        <w:t>J.C.</w:t>
      </w:r>
      <w:r w:rsidRPr="00197C1B">
        <w:t xml:space="preserve"> </w:t>
      </w:r>
      <w:r w:rsidRPr="00197C1B">
        <w:t>Clothing Drive, Inc., 2019 BL 495407, at *3 (E.D.N.Y.</w:t>
      </w:r>
      <w:r w:rsidRPr="00197C1B">
        <w:t xml:space="preserve"> </w:t>
      </w:r>
      <w:r w:rsidRPr="00197C1B">
        <w:t>Jan.</w:t>
      </w:r>
      <w:r w:rsidRPr="00197C1B">
        <w:t xml:space="preserve"> </w:t>
      </w:r>
      <w:r w:rsidRPr="00197C1B">
        <w:t>7, 2020);</w:t>
      </w:r>
      <w:r w:rsidRPr="00197C1B">
        <w:t xml:space="preserve"> </w:t>
      </w:r>
      <w:r w:rsidRPr="00197C1B">
        <w:t>Illinois Tool Works, Inc.</w:t>
      </w:r>
      <w:r w:rsidRPr="00197C1B">
        <w:t xml:space="preserve"> </w:t>
      </w:r>
      <w:r w:rsidRPr="00197C1B">
        <w:t>v.</w:t>
      </w:r>
      <w:r w:rsidRPr="00197C1B">
        <w:t xml:space="preserve"> </w:t>
      </w:r>
      <w:r w:rsidRPr="00197C1B">
        <w:t>J-B Weld Co., LLC, 419 F.</w:t>
      </w:r>
      <w:r w:rsidRPr="00197C1B">
        <w:t xml:space="preserve"> </w:t>
      </w:r>
      <w:r w:rsidRPr="00197C1B">
        <w:t>Supp.</w:t>
      </w:r>
      <w:r w:rsidRPr="00197C1B">
        <w:t xml:space="preserve"> </w:t>
      </w:r>
      <w:r w:rsidRPr="00197C1B">
        <w:t>3d 382, 401–02 (D.</w:t>
      </w:r>
      <w:r w:rsidRPr="00197C1B">
        <w:t xml:space="preserve"> </w:t>
      </w:r>
      <w:r w:rsidRPr="00197C1B">
        <w:t>Conn.</w:t>
      </w:r>
      <w:r w:rsidRPr="00197C1B">
        <w:t xml:space="preserve"> </w:t>
      </w:r>
      <w:r w:rsidRPr="00197C1B">
        <w:t>2019);</w:t>
      </w:r>
      <w:r w:rsidRPr="00197C1B">
        <w:t xml:space="preserve"> </w:t>
      </w:r>
      <w:r w:rsidRPr="00197C1B">
        <w:t>Niko Petroleum Retailers of Fla., LLC v.</w:t>
      </w:r>
      <w:r w:rsidRPr="00197C1B">
        <w:t xml:space="preserve"> </w:t>
      </w:r>
      <w:r w:rsidRPr="00197C1B">
        <w:t>Miami VIP Tours LLC, 2014 BL 520657, at *8–9 (S.D.</w:t>
      </w:r>
      <w:r w:rsidRPr="00197C1B">
        <w:t xml:space="preserve"> </w:t>
      </w:r>
      <w:r w:rsidRPr="00197C1B">
        <w:t>Fla.</w:t>
      </w:r>
      <w:r w:rsidRPr="00197C1B">
        <w:t xml:space="preserve"> </w:t>
      </w:r>
      <w:r w:rsidRPr="00197C1B">
        <w:t xml:space="preserve">May 29, 2014) (applying </w:t>
      </w:r>
      <w:r w:rsidRPr="00197C1B">
        <w:rPr>
          <w:i/>
        </w:rPr>
        <w:t>eBay</w:t>
      </w:r>
      <w:r w:rsidRPr="00197C1B">
        <w:t xml:space="preserve"> in a trademark case).</w:t>
      </w:r>
    </w:p>
    <w:p w14:paraId="621B20D9" w14:textId="77777777" w:rsidR="00197C1B" w:rsidRDefault="00197C1B" w:rsidP="00BC0C77">
      <w:pPr>
        <w:pStyle w:val="footnote"/>
      </w:pPr>
    </w:p>
  </w:footnote>
  <w:footnote w:id="30">
    <w:p w14:paraId="0CD82C30" w14:textId="3579B6CA" w:rsidR="00197C1B" w:rsidRDefault="00197C1B" w:rsidP="00197C1B">
      <w:pPr>
        <w:pStyle w:val="FootnoteText"/>
      </w:pPr>
      <w:r w:rsidRPr="00197C1B">
        <w:rPr>
          <w:rStyle w:val="FootnoteReference"/>
          <w:rFonts w:eastAsiaTheme="majorEastAsia"/>
        </w:rPr>
        <w:footnoteRef/>
      </w:r>
      <w:hyperlink r:id="rId1" w:tgtFrame="_blank" w:history="1">
        <w:r w:rsidRPr="00197C1B">
          <w:rPr>
            <w:rStyle w:val="Hyperlink"/>
            <w:lang w:bidi="en-US"/>
          </w:rPr>
          <w:t>Pub.</w:t>
        </w:r>
        <w:r w:rsidRPr="00197C1B">
          <w:rPr>
            <w:rStyle w:val="Hyperlink"/>
            <w:lang w:bidi="en-US"/>
          </w:rPr>
          <w:t xml:space="preserve"> </w:t>
        </w:r>
        <w:r w:rsidRPr="00197C1B">
          <w:rPr>
            <w:rStyle w:val="Hyperlink"/>
            <w:lang w:bidi="en-US"/>
          </w:rPr>
          <w:t>L.</w:t>
        </w:r>
        <w:r w:rsidRPr="00197C1B">
          <w:rPr>
            <w:rStyle w:val="Hyperlink"/>
            <w:lang w:bidi="en-US"/>
          </w:rPr>
          <w:t xml:space="preserve"> </w:t>
        </w:r>
        <w:r w:rsidRPr="00197C1B">
          <w:rPr>
            <w:rStyle w:val="Hyperlink"/>
            <w:lang w:bidi="en-US"/>
          </w:rPr>
          <w:t>116-260</w:t>
        </w:r>
      </w:hyperlink>
      <w:r w:rsidRPr="00197C1B">
        <w:t>, Div.</w:t>
      </w:r>
      <w:r w:rsidRPr="00197C1B">
        <w:t xml:space="preserve"> </w:t>
      </w:r>
      <w:r w:rsidRPr="00197C1B">
        <w:t>Q, Tit.</w:t>
      </w:r>
      <w:r w:rsidRPr="00197C1B">
        <w:t xml:space="preserve"> </w:t>
      </w:r>
      <w:r w:rsidRPr="00197C1B">
        <w:t>II, Subtit.</w:t>
      </w:r>
      <w:r w:rsidRPr="00197C1B">
        <w:t xml:space="preserve"> </w:t>
      </w:r>
      <w:r w:rsidRPr="00197C1B">
        <w:t>B, §§ 221–228 (Dec.</w:t>
      </w:r>
      <w:r w:rsidRPr="00197C1B">
        <w:t xml:space="preserve"> </w:t>
      </w:r>
      <w:r w:rsidRPr="00197C1B">
        <w:t>27, 2020).</w:t>
      </w:r>
    </w:p>
  </w:footnote>
  <w:footnote w:id="31">
    <w:p w14:paraId="140145B3" w14:textId="169079F5" w:rsidR="00197C1B" w:rsidRDefault="00197C1B" w:rsidP="00197C1B">
      <w:pPr>
        <w:pStyle w:val="FootnoteText"/>
      </w:pPr>
      <w:r w:rsidRPr="00197C1B">
        <w:rPr>
          <w:rStyle w:val="FootnoteReference"/>
          <w:rFonts w:eastAsiaTheme="majorEastAsia"/>
        </w:rPr>
        <w:footnoteRef/>
      </w:r>
      <w:r w:rsidRPr="00197C1B">
        <w:t>Oddly, however, after the amendment one court refused to apply the presumption, citing circuit precedent that predated the amendment.</w:t>
      </w:r>
      <w:r w:rsidRPr="00197C1B">
        <w:t xml:space="preserve"> </w:t>
      </w:r>
      <w:r w:rsidRPr="00197C1B">
        <w:t>Whirlpool Corp.</w:t>
      </w:r>
      <w:r w:rsidRPr="00197C1B">
        <w:t xml:space="preserve"> </w:t>
      </w:r>
      <w:r w:rsidRPr="00197C1B">
        <w:t>v.</w:t>
      </w:r>
      <w:r w:rsidRPr="00197C1B">
        <w:t xml:space="preserve"> </w:t>
      </w:r>
      <w:r w:rsidRPr="00197C1B">
        <w:t>Shenzhen Sanlida Elec.</w:t>
      </w:r>
      <w:r w:rsidRPr="00197C1B">
        <w:t xml:space="preserve"> </w:t>
      </w:r>
      <w:r w:rsidRPr="00197C1B">
        <w:t>Tech.</w:t>
      </w:r>
      <w:r w:rsidRPr="00197C1B">
        <w:t xml:space="preserve"> </w:t>
      </w:r>
      <w:r w:rsidRPr="00197C1B">
        <w:t>Co., Ltd., 2025 WL 904378, at *2, 2025 BL 98908 &amp; n.1 (E.D.</w:t>
      </w:r>
      <w:r w:rsidRPr="00197C1B">
        <w:t xml:space="preserve"> </w:t>
      </w:r>
      <w:r w:rsidRPr="00197C1B">
        <w:t>Tex.</w:t>
      </w:r>
      <w:r w:rsidRPr="00197C1B">
        <w:t xml:space="preserve"> </w:t>
      </w:r>
      <w:r w:rsidRPr="00197C1B">
        <w:t>Mar.</w:t>
      </w:r>
      <w:r w:rsidRPr="00197C1B">
        <w:t xml:space="preserve"> </w:t>
      </w:r>
      <w:r w:rsidRPr="00197C1B">
        <w:t>25, 2025).</w:t>
      </w:r>
    </w:p>
  </w:footnote>
  <w:footnote w:id="32">
    <w:p w14:paraId="1538FCB3" w14:textId="30A3815B" w:rsidR="00197C1B" w:rsidRPr="00197C1B" w:rsidRDefault="00197C1B" w:rsidP="00197C1B">
      <w:pPr>
        <w:pStyle w:val="FootnoteText"/>
      </w:pPr>
      <w:r w:rsidRPr="00197C1B">
        <w:rPr>
          <w:vertAlign w:val="superscript"/>
        </w:rPr>
        <w:footnoteRef/>
      </w:r>
      <w:r w:rsidRPr="00197C1B">
        <w:t>890 F.3d 747 (9th Cir.</w:t>
      </w:r>
      <w:r w:rsidRPr="00197C1B">
        <w:t xml:space="preserve"> </w:t>
      </w:r>
      <w:r w:rsidRPr="00197C1B">
        <w:t>2018).</w:t>
      </w:r>
    </w:p>
    <w:p w14:paraId="4643150D" w14:textId="77777777" w:rsidR="00197C1B" w:rsidRDefault="00197C1B" w:rsidP="00124999">
      <w:pPr>
        <w:pStyle w:val="footnote"/>
      </w:pPr>
    </w:p>
  </w:footnote>
  <w:footnote w:id="33">
    <w:p w14:paraId="25BBFFE1" w14:textId="6A799D98" w:rsidR="00197C1B" w:rsidRPr="007B39D6"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761.</w:t>
      </w:r>
      <w:r w:rsidRPr="00197C1B">
        <w:t xml:space="preserve"> </w:t>
      </w:r>
      <w:r w:rsidRPr="00197C1B">
        <w:t>The court did affirm the finding of dilution.</w:t>
      </w:r>
      <w:r w:rsidRPr="00197C1B">
        <w:t xml:space="preserve"> </w:t>
      </w:r>
      <w:r w:rsidRPr="00197C1B">
        <w:rPr>
          <w:i/>
        </w:rPr>
        <w:t>Id</w:t>
      </w:r>
      <w:r w:rsidRPr="00197C1B">
        <w:t>.</w:t>
      </w:r>
      <w:r w:rsidRPr="00197C1B">
        <w:t xml:space="preserve"> </w:t>
      </w:r>
      <w:r w:rsidRPr="00197C1B">
        <w:t>at 759.</w:t>
      </w:r>
    </w:p>
  </w:footnote>
  <w:footnote w:id="34">
    <w:p w14:paraId="3E525BBB" w14:textId="5A631AF6" w:rsidR="00197C1B" w:rsidRDefault="00197C1B" w:rsidP="00197C1B">
      <w:pPr>
        <w:pStyle w:val="FootnoteText"/>
      </w:pPr>
      <w:r w:rsidRPr="00197C1B">
        <w:rPr>
          <w:rStyle w:val="FootnoteReference"/>
          <w:rFonts w:eastAsiaTheme="majorEastAsia"/>
        </w:rPr>
        <w:footnoteRef/>
      </w:r>
      <w:r w:rsidRPr="00197C1B">
        <w:t>Phyllis Schlafly Revocable Tr.</w:t>
      </w:r>
      <w:r w:rsidRPr="00197C1B">
        <w:t xml:space="preserve"> </w:t>
      </w:r>
      <w:r w:rsidRPr="00197C1B">
        <w:t>v.</w:t>
      </w:r>
      <w:r w:rsidRPr="00197C1B">
        <w:t xml:space="preserve"> </w:t>
      </w:r>
      <w:r w:rsidRPr="00197C1B">
        <w:t>Cori, 924 F.3d 1004, 1010, 2019 USPQ2d 185956 (8th Cir.</w:t>
      </w:r>
      <w:r w:rsidRPr="00197C1B">
        <w:t xml:space="preserve"> </w:t>
      </w:r>
      <w:r w:rsidRPr="00197C1B">
        <w:t>2019).</w:t>
      </w:r>
    </w:p>
  </w:footnote>
  <w:footnote w:id="35">
    <w:p w14:paraId="155EE03E" w14:textId="5DF4445D" w:rsidR="00197C1B" w:rsidRPr="0019374F" w:rsidRDefault="00197C1B" w:rsidP="00197C1B">
      <w:pPr>
        <w:pStyle w:val="FootnoteText"/>
      </w:pPr>
      <w:r w:rsidRPr="00197C1B">
        <w:rPr>
          <w:vertAlign w:val="superscript"/>
        </w:rPr>
        <w:footnoteRef/>
      </w:r>
      <w:r w:rsidRPr="00197C1B">
        <w:t>116 F.</w:t>
      </w:r>
      <w:r w:rsidRPr="00197C1B">
        <w:t xml:space="preserve"> </w:t>
      </w:r>
      <w:r w:rsidRPr="00197C1B">
        <w:t>Supp.</w:t>
      </w:r>
      <w:r w:rsidRPr="00197C1B">
        <w:t xml:space="preserve"> </w:t>
      </w:r>
      <w:r w:rsidRPr="00197C1B">
        <w:t>2d 604, 56 USPQ2d 1758 (E.D.</w:t>
      </w:r>
      <w:r w:rsidRPr="00197C1B">
        <w:t xml:space="preserve"> </w:t>
      </w:r>
      <w:r w:rsidRPr="00197C1B">
        <w:t>Pa.</w:t>
      </w:r>
      <w:r w:rsidRPr="00197C1B">
        <w:t xml:space="preserve"> </w:t>
      </w:r>
      <w:r w:rsidRPr="00197C1B">
        <w:t>2000).</w:t>
      </w:r>
    </w:p>
  </w:footnote>
  <w:footnote w:id="36">
    <w:p w14:paraId="6EC5528C" w14:textId="569FD1EB"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609.</w:t>
      </w:r>
      <w:r w:rsidRPr="00197C1B">
        <w:t xml:space="preserve"> </w:t>
      </w:r>
      <w:r w:rsidRPr="00197C1B">
        <w:t>The court had granted the plaintiff’s summary judgment motion, finding the defendant’s mark diluted the plaintiff’s Tylenol mark.</w:t>
      </w:r>
    </w:p>
  </w:footnote>
  <w:footnote w:id="37">
    <w:p w14:paraId="069C715D" w14:textId="4C450E52" w:rsidR="00197C1B" w:rsidRPr="0019374F" w:rsidRDefault="00197C1B" w:rsidP="00197C1B">
      <w:pPr>
        <w:pStyle w:val="FootnoteText"/>
      </w:pPr>
      <w:r w:rsidRPr="00197C1B">
        <w:rPr>
          <w:vertAlign w:val="superscript"/>
        </w:rPr>
        <w:footnoteRef/>
      </w:r>
      <w:r w:rsidRPr="00197C1B">
        <w:t>Westchester Media v.</w:t>
      </w:r>
      <w:r w:rsidRPr="00197C1B">
        <w:t xml:space="preserve"> </w:t>
      </w:r>
      <w:r w:rsidRPr="00197C1B">
        <w:t>PRL USA Holdings, Inc., 214 F.3d 658, 672, 55 USPQ2d 1225 (5th Cir.</w:t>
      </w:r>
      <w:r w:rsidRPr="00197C1B">
        <w:t xml:space="preserve"> </w:t>
      </w:r>
      <w:r w:rsidRPr="00197C1B">
        <w:t>2000).</w:t>
      </w:r>
      <w:r w:rsidRPr="00197C1B">
        <w:t xml:space="preserve"> </w:t>
      </w:r>
      <w:r w:rsidRPr="00197C1B">
        <w:t>In this case, the court also reversed the trial court’s grant of relief for dilution because the plaintiff failed to show actual dilution (which was required at that time).</w:t>
      </w:r>
      <w:r w:rsidRPr="00197C1B">
        <w:t xml:space="preserve"> </w:t>
      </w:r>
      <w:r w:rsidRPr="00197C1B">
        <w:rPr>
          <w:i/>
        </w:rPr>
        <w:t>Id</w:t>
      </w:r>
      <w:r w:rsidRPr="00197C1B">
        <w:t>.</w:t>
      </w:r>
      <w:r w:rsidRPr="00197C1B">
        <w:t xml:space="preserve"> </w:t>
      </w:r>
      <w:r w:rsidRPr="00197C1B">
        <w:t>at 671.</w:t>
      </w:r>
      <w:r w:rsidRPr="00197C1B">
        <w:t xml:space="preserve"> </w:t>
      </w:r>
      <w:r w:rsidRPr="00197C1B">
        <w:t>See §I.C.</w:t>
      </w:r>
      <w:r w:rsidRPr="00197C1B">
        <w:t xml:space="preserve"> </w:t>
      </w:r>
      <w:r w:rsidRPr="00197C1B">
        <w:t>below for a discussion of the First Amendment issue.</w:t>
      </w:r>
    </w:p>
  </w:footnote>
  <w:footnote w:id="38">
    <w:p w14:paraId="7B779C62" w14:textId="13DD869F" w:rsidR="00197C1B" w:rsidRPr="0019374F" w:rsidRDefault="00197C1B" w:rsidP="00197C1B">
      <w:pPr>
        <w:pStyle w:val="FootnoteText"/>
      </w:pPr>
      <w:r w:rsidRPr="00197C1B">
        <w:rPr>
          <w:vertAlign w:val="superscript"/>
        </w:rPr>
        <w:footnoteRef/>
      </w:r>
      <w:r w:rsidRPr="00197C1B">
        <w:rPr>
          <w:i/>
        </w:rPr>
        <w:t>See</w:t>
      </w:r>
      <w:r w:rsidRPr="00197C1B">
        <w:t xml:space="preserve"> TCPIP Holding Co.</w:t>
      </w:r>
      <w:r w:rsidRPr="00197C1B">
        <w:t xml:space="preserve"> </w:t>
      </w:r>
      <w:r w:rsidRPr="00197C1B">
        <w:t>v.</w:t>
      </w:r>
      <w:r w:rsidRPr="00197C1B">
        <w:t xml:space="preserve"> </w:t>
      </w:r>
      <w:r w:rsidRPr="00197C1B">
        <w:t>Haar Commc’ns, Inc., 244 F.3d 88, 92, 57 USPQ2d 1969 (2d Cir.</w:t>
      </w:r>
      <w:r w:rsidRPr="00197C1B">
        <w:t xml:space="preserve"> </w:t>
      </w:r>
      <w:r w:rsidRPr="00197C1B">
        <w:t>2001);</w:t>
      </w:r>
      <w:r w:rsidRPr="00197C1B">
        <w:t xml:space="preserve"> </w:t>
      </w:r>
      <w:r w:rsidRPr="00197C1B">
        <w:t>Softman Prods.</w:t>
      </w:r>
      <w:r w:rsidRPr="00197C1B">
        <w:t xml:space="preserve"> </w:t>
      </w:r>
      <w:r w:rsidRPr="00197C1B">
        <w:t>Co.</w:t>
      </w:r>
      <w:r w:rsidRPr="00197C1B">
        <w:t xml:space="preserve"> </w:t>
      </w:r>
      <w:r w:rsidRPr="00197C1B">
        <w:t>v.</w:t>
      </w:r>
      <w:r w:rsidRPr="00197C1B">
        <w:t xml:space="preserve"> </w:t>
      </w:r>
      <w:r w:rsidRPr="00197C1B">
        <w:t>Adobe Sys., Inc., 171 F.</w:t>
      </w:r>
      <w:r w:rsidRPr="00197C1B">
        <w:t xml:space="preserve"> </w:t>
      </w:r>
      <w:r w:rsidRPr="00197C1B">
        <w:t>Supp.</w:t>
      </w:r>
      <w:r w:rsidRPr="00197C1B">
        <w:t xml:space="preserve"> </w:t>
      </w:r>
      <w:r w:rsidRPr="00197C1B">
        <w:t>2d 1075, 1080 (C.D.</w:t>
      </w:r>
      <w:r w:rsidRPr="00197C1B">
        <w:t xml:space="preserve"> </w:t>
      </w:r>
      <w:r w:rsidRPr="00197C1B">
        <w:t>Cal.</w:t>
      </w:r>
      <w:r w:rsidRPr="00197C1B">
        <w:t xml:space="preserve"> </w:t>
      </w:r>
      <w:r w:rsidRPr="00197C1B">
        <w:t>2001).</w:t>
      </w:r>
      <w:r w:rsidRPr="00197C1B">
        <w:t xml:space="preserve"> </w:t>
      </w:r>
      <w:r w:rsidRPr="00197C1B">
        <w:t xml:space="preserve">In </w:t>
      </w:r>
      <w:r w:rsidRPr="00197C1B">
        <w:rPr>
          <w:i/>
        </w:rPr>
        <w:t>Softman</w:t>
      </w:r>
      <w:r w:rsidRPr="00197C1B">
        <w:t xml:space="preserve">, the court stated that the plaintiff must show a “possibility of irreparable injury.” </w:t>
      </w:r>
      <w:r w:rsidRPr="00197C1B">
        <w:rPr>
          <w:i/>
        </w:rPr>
        <w:t>Id</w:t>
      </w:r>
      <w:r w:rsidRPr="00197C1B">
        <w:t>.</w:t>
      </w:r>
      <w:r w:rsidRPr="00197C1B">
        <w:t xml:space="preserve"> </w:t>
      </w:r>
      <w:r w:rsidRPr="00197C1B">
        <w:t>at 1081.</w:t>
      </w:r>
      <w:r w:rsidRPr="00197C1B">
        <w:t xml:space="preserve"> </w:t>
      </w:r>
      <w:r w:rsidRPr="00197C1B">
        <w:t>The First Circuit also considers whether the injunction will “harm the public interest.” I.P.</w:t>
      </w:r>
      <w:r w:rsidRPr="00197C1B">
        <w:t xml:space="preserve"> </w:t>
      </w:r>
      <w:r w:rsidRPr="00197C1B">
        <w:t>Lund Trading ApS v.</w:t>
      </w:r>
      <w:r w:rsidRPr="00197C1B">
        <w:t xml:space="preserve"> </w:t>
      </w:r>
      <w:r w:rsidRPr="00197C1B">
        <w:t>Kohler Co., 163 F.3d 27, 33, 49 USPQ2d 1225 (1st Cir.</w:t>
      </w:r>
      <w:r w:rsidRPr="00197C1B">
        <w:t xml:space="preserve"> </w:t>
      </w:r>
      <w:r w:rsidRPr="00197C1B">
        <w:t>1998).</w:t>
      </w:r>
      <w:r w:rsidRPr="00197C1B">
        <w:t xml:space="preserve"> </w:t>
      </w:r>
      <w:r w:rsidRPr="00197C1B">
        <w:rPr>
          <w:i/>
        </w:rPr>
        <w:t>See</w:t>
      </w:r>
      <w:r w:rsidRPr="00197C1B">
        <w:t xml:space="preserve"> Times Mirror Magazines, Inc.</w:t>
      </w:r>
      <w:r w:rsidRPr="00197C1B">
        <w:t xml:space="preserve"> </w:t>
      </w:r>
      <w:r w:rsidRPr="00197C1B">
        <w:t>v.</w:t>
      </w:r>
      <w:r w:rsidRPr="00197C1B">
        <w:t xml:space="preserve"> </w:t>
      </w:r>
      <w:r w:rsidRPr="00197C1B">
        <w:t>Las Vegas Sports News, LLC, 212 F.3d 157, 160, 54 USPQ2d 1577 (3d Cir.</w:t>
      </w:r>
      <w:r w:rsidRPr="00197C1B">
        <w:t xml:space="preserve"> </w:t>
      </w:r>
      <w:r w:rsidRPr="00197C1B">
        <w:t xml:space="preserve">2000) (including considerations of harm to other interested parties and the public interest), </w:t>
      </w:r>
      <w:r w:rsidRPr="00197C1B">
        <w:rPr>
          <w:i/>
        </w:rPr>
        <w:t>cert</w:t>
      </w:r>
      <w:r w:rsidRPr="00197C1B">
        <w:t>.</w:t>
      </w:r>
      <w:r w:rsidRPr="00197C1B">
        <w:t xml:space="preserve"> </w:t>
      </w:r>
      <w:r w:rsidRPr="00197C1B">
        <w:rPr>
          <w:i/>
        </w:rPr>
        <w:t>denied</w:t>
      </w:r>
      <w:r w:rsidRPr="00197C1B">
        <w:t>, 531 U.S.</w:t>
      </w:r>
      <w:r w:rsidRPr="00197C1B">
        <w:t xml:space="preserve"> </w:t>
      </w:r>
      <w:r w:rsidRPr="00197C1B">
        <w:t>1071 (2001);</w:t>
      </w:r>
      <w:r w:rsidRPr="00197C1B">
        <w:t xml:space="preserve"> </w:t>
      </w:r>
      <w:r w:rsidRPr="00197C1B">
        <w:t>Bulova Corp.</w:t>
      </w:r>
      <w:r w:rsidRPr="00197C1B">
        <w:t xml:space="preserve"> </w:t>
      </w:r>
      <w:r w:rsidRPr="00197C1B">
        <w:t>v.</w:t>
      </w:r>
      <w:r w:rsidRPr="00197C1B">
        <w:t xml:space="preserve"> </w:t>
      </w:r>
      <w:r w:rsidRPr="00197C1B">
        <w:t>Bulova do Brasil Com.</w:t>
      </w:r>
      <w:r w:rsidRPr="00197C1B">
        <w:t xml:space="preserve"> </w:t>
      </w:r>
      <w:r w:rsidRPr="00197C1B">
        <w:t>Rep.</w:t>
      </w:r>
      <w:r w:rsidRPr="00197C1B">
        <w:t xml:space="preserve"> </w:t>
      </w:r>
      <w:r w:rsidRPr="00197C1B">
        <w:t>Imp.</w:t>
      </w:r>
      <w:r w:rsidRPr="00197C1B">
        <w:t xml:space="preserve"> </w:t>
      </w:r>
      <w:r w:rsidRPr="00197C1B">
        <w:t>&amp; Exp.</w:t>
      </w:r>
      <w:r w:rsidRPr="00197C1B">
        <w:t xml:space="preserve"> </w:t>
      </w:r>
      <w:r w:rsidRPr="00197C1B">
        <w:t>Ltda., 144 F.</w:t>
      </w:r>
      <w:r w:rsidRPr="00197C1B">
        <w:t xml:space="preserve"> </w:t>
      </w:r>
      <w:r w:rsidRPr="00197C1B">
        <w:t>Supp.</w:t>
      </w:r>
      <w:r w:rsidRPr="00197C1B">
        <w:t xml:space="preserve"> </w:t>
      </w:r>
      <w:r w:rsidRPr="00197C1B">
        <w:t>2d 1329, 1331, 59 USPQ2d 1076 (S.D.</w:t>
      </w:r>
      <w:r w:rsidRPr="00197C1B">
        <w:t xml:space="preserve"> </w:t>
      </w:r>
      <w:r w:rsidRPr="00197C1B">
        <w:t>Fla.</w:t>
      </w:r>
      <w:r w:rsidRPr="00197C1B">
        <w:t xml:space="preserve"> </w:t>
      </w:r>
      <w:r w:rsidRPr="00197C1B">
        <w:t>2001) (same).</w:t>
      </w:r>
    </w:p>
  </w:footnote>
  <w:footnote w:id="39">
    <w:p w14:paraId="66702F7F" w14:textId="035AEA29" w:rsidR="00197C1B" w:rsidRPr="0019374F" w:rsidRDefault="00197C1B" w:rsidP="00197C1B">
      <w:pPr>
        <w:pStyle w:val="FootnoteText"/>
      </w:pPr>
      <w:r w:rsidRPr="00197C1B">
        <w:rPr>
          <w:vertAlign w:val="superscript"/>
        </w:rPr>
        <w:footnoteRef/>
      </w:r>
      <w:r w:rsidRPr="00197C1B">
        <w:rPr>
          <w:i/>
        </w:rPr>
        <w:t>See Softman</w:t>
      </w:r>
      <w:r w:rsidRPr="00197C1B">
        <w:t>, 171 F.</w:t>
      </w:r>
      <w:r w:rsidRPr="00197C1B">
        <w:t xml:space="preserve"> </w:t>
      </w:r>
      <w:r w:rsidRPr="00197C1B">
        <w:t>Supp.</w:t>
      </w:r>
      <w:r w:rsidRPr="00197C1B">
        <w:t xml:space="preserve"> </w:t>
      </w:r>
      <w:r w:rsidRPr="00197C1B">
        <w:t>2d at 1081 (citing Brookfield Commc’ns, Inc.</w:t>
      </w:r>
      <w:r w:rsidRPr="00197C1B">
        <w:t xml:space="preserve"> </w:t>
      </w:r>
      <w:r w:rsidRPr="00197C1B">
        <w:t>v.</w:t>
      </w:r>
      <w:r w:rsidRPr="00197C1B">
        <w:t xml:space="preserve"> </w:t>
      </w:r>
      <w:r w:rsidRPr="00197C1B">
        <w:t>West Coast Entm’t Corp., 174 F.3d 1036, 1046, 50 USPQ2d 1545 (9th Cir.</w:t>
      </w:r>
      <w:r w:rsidRPr="00197C1B">
        <w:t xml:space="preserve"> </w:t>
      </w:r>
      <w:r w:rsidRPr="00197C1B">
        <w:t>1999));</w:t>
      </w:r>
      <w:r w:rsidRPr="00197C1B">
        <w:t xml:space="preserve"> </w:t>
      </w:r>
      <w:r w:rsidRPr="00197C1B">
        <w:rPr>
          <w:i/>
        </w:rPr>
        <w:t>TCPIP</w:t>
      </w:r>
      <w:r w:rsidRPr="00197C1B">
        <w:t>, 244 F.3d at 92 (“sufficiently serious questions going to the merits to make them a fair ground for litigation plus a balance of hardships tipping decidedly” in plaintiff’s favor).</w:t>
      </w:r>
    </w:p>
  </w:footnote>
  <w:footnote w:id="40">
    <w:p w14:paraId="6032EAB3" w14:textId="5F6FFCA4" w:rsidR="00197C1B" w:rsidRPr="0019374F" w:rsidRDefault="00197C1B" w:rsidP="00197C1B">
      <w:pPr>
        <w:pStyle w:val="FootnoteText"/>
      </w:pPr>
      <w:r w:rsidRPr="00197C1B">
        <w:rPr>
          <w:vertAlign w:val="superscript"/>
        </w:rPr>
        <w:footnoteRef/>
      </w:r>
      <w:r w:rsidRPr="00197C1B">
        <w:t>Trans Union LLC v.</w:t>
      </w:r>
      <w:r w:rsidRPr="00197C1B">
        <w:t xml:space="preserve"> </w:t>
      </w:r>
      <w:r w:rsidRPr="00197C1B">
        <w:t>Credit Research, Inc., 142 F.</w:t>
      </w:r>
      <w:r w:rsidRPr="00197C1B">
        <w:t xml:space="preserve"> </w:t>
      </w:r>
      <w:r w:rsidRPr="00197C1B">
        <w:t>Supp.</w:t>
      </w:r>
      <w:r w:rsidRPr="00197C1B">
        <w:t xml:space="preserve"> </w:t>
      </w:r>
      <w:r w:rsidRPr="00197C1B">
        <w:t>2d 1029, 1037 (N.D.</w:t>
      </w:r>
      <w:r w:rsidRPr="00197C1B">
        <w:t xml:space="preserve"> </w:t>
      </w:r>
      <w:r w:rsidRPr="00197C1B">
        <w:t>Ill.</w:t>
      </w:r>
      <w:r w:rsidRPr="00197C1B">
        <w:t xml:space="preserve"> </w:t>
      </w:r>
      <w:r w:rsidRPr="00197C1B">
        <w:t>2001).</w:t>
      </w:r>
    </w:p>
  </w:footnote>
  <w:footnote w:id="41">
    <w:p w14:paraId="192B5D65" w14:textId="69BFC2A8"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rPr>
          <w:i/>
        </w:rPr>
        <w:t>See</w:t>
      </w:r>
      <w:r w:rsidRPr="00197C1B">
        <w:t xml:space="preserve"> Kraft Foods Holdings, Inc.</w:t>
      </w:r>
      <w:r w:rsidRPr="00197C1B">
        <w:t xml:space="preserve"> </w:t>
      </w:r>
      <w:r w:rsidRPr="00197C1B">
        <w:t>v.</w:t>
      </w:r>
      <w:r w:rsidRPr="00197C1B">
        <w:t xml:space="preserve"> </w:t>
      </w:r>
      <w:r w:rsidRPr="00197C1B">
        <w:t>Helm, 205 F.</w:t>
      </w:r>
      <w:r w:rsidRPr="00197C1B">
        <w:t xml:space="preserve"> </w:t>
      </w:r>
      <w:r w:rsidRPr="00197C1B">
        <w:t>Supp.</w:t>
      </w:r>
      <w:r w:rsidRPr="00197C1B">
        <w:t xml:space="preserve"> </w:t>
      </w:r>
      <w:r w:rsidRPr="00197C1B">
        <w:t>2d 942, 950–52, 63 USPQ2d 1353 (N.D.</w:t>
      </w:r>
      <w:r w:rsidRPr="00197C1B">
        <w:t xml:space="preserve"> </w:t>
      </w:r>
      <w:r w:rsidRPr="00197C1B">
        <w:t>Ill.</w:t>
      </w:r>
      <w:r w:rsidRPr="00197C1B">
        <w:t xml:space="preserve"> </w:t>
      </w:r>
      <w:r w:rsidRPr="00197C1B">
        <w:t>2002) (discussing balance of harms and harm to the public).</w:t>
      </w:r>
      <w:r w:rsidRPr="00197C1B">
        <w:t xml:space="preserve"> </w:t>
      </w:r>
      <w:r w:rsidRPr="00197C1B">
        <w:rPr>
          <w:i/>
        </w:rPr>
        <w:t>Cf</w:t>
      </w:r>
      <w:r w:rsidRPr="00197C1B">
        <w:t>.</w:t>
      </w:r>
      <w:r w:rsidRPr="00197C1B">
        <w:t xml:space="preserve"> </w:t>
      </w:r>
      <w:r w:rsidRPr="00197C1B">
        <w:t>Ford Motor Co.</w:t>
      </w:r>
      <w:r w:rsidRPr="00197C1B">
        <w:t xml:space="preserve"> </w:t>
      </w:r>
      <w:r w:rsidRPr="00197C1B">
        <w:t>v.</w:t>
      </w:r>
      <w:r w:rsidRPr="00197C1B">
        <w:t xml:space="preserve"> </w:t>
      </w:r>
      <w:r w:rsidRPr="00197C1B">
        <w:t>Lapertosa, 126 F.</w:t>
      </w:r>
      <w:r w:rsidRPr="00197C1B">
        <w:t xml:space="preserve"> </w:t>
      </w:r>
      <w:r w:rsidRPr="00197C1B">
        <w:t>Supp.</w:t>
      </w:r>
      <w:r w:rsidRPr="00197C1B">
        <w:t xml:space="preserve"> </w:t>
      </w:r>
      <w:r w:rsidRPr="00197C1B">
        <w:t>2d 463, 464, 62 USPQ2d 1789 (E.D.</w:t>
      </w:r>
      <w:r w:rsidRPr="00197C1B">
        <w:t xml:space="preserve"> </w:t>
      </w:r>
      <w:r w:rsidRPr="00197C1B">
        <w:t>Mich.</w:t>
      </w:r>
      <w:r w:rsidRPr="00197C1B">
        <w:t xml:space="preserve"> </w:t>
      </w:r>
      <w:r w:rsidRPr="00197C1B">
        <w:t>2001) (using similar analysis, but citing Sixth Circuit precedent).</w:t>
      </w:r>
    </w:p>
  </w:footnote>
  <w:footnote w:id="42">
    <w:p w14:paraId="119C11BB" w14:textId="72B380BA" w:rsidR="00197C1B" w:rsidRPr="00197C1B" w:rsidRDefault="00197C1B" w:rsidP="00197C1B">
      <w:pPr>
        <w:pStyle w:val="FootnoteText"/>
      </w:pPr>
      <w:r w:rsidRPr="00197C1B">
        <w:rPr>
          <w:vertAlign w:val="superscript"/>
        </w:rPr>
        <w:footnoteRef/>
      </w:r>
      <w:r w:rsidRPr="00197C1B">
        <w:t xml:space="preserve">By changing the federal standard from “actual dilution” to “likelihood of dilution,” the TDRA avoided the awkwardness created by the Supreme Court’s opinion in </w:t>
      </w:r>
      <w:r w:rsidRPr="00197C1B">
        <w:rPr>
          <w:i/>
        </w:rPr>
        <w:t>Moseley v</w:t>
      </w:r>
      <w:r w:rsidRPr="00197C1B">
        <w:t>.</w:t>
      </w:r>
      <w:r w:rsidRPr="00197C1B">
        <w:t xml:space="preserve"> </w:t>
      </w:r>
      <w:r w:rsidRPr="00197C1B">
        <w:rPr>
          <w:i/>
        </w:rPr>
        <w:t>V Secret Catalogue, Inc</w:t>
      </w:r>
      <w:r w:rsidRPr="00197C1B">
        <w:t>., 537 U.S.</w:t>
      </w:r>
      <w:r w:rsidRPr="00197C1B">
        <w:t xml:space="preserve"> </w:t>
      </w:r>
      <w:r w:rsidRPr="00197C1B">
        <w:t>418, 65 USPQ2d 1801 (2003), which required a showing of actual dilution under the original FTDA.</w:t>
      </w:r>
      <w:r w:rsidRPr="00197C1B">
        <w:t xml:space="preserve"> </w:t>
      </w:r>
      <w:r w:rsidRPr="00197C1B">
        <w:rPr>
          <w:i/>
        </w:rPr>
        <w:t>Id</w:t>
      </w:r>
      <w:r w:rsidRPr="00197C1B">
        <w:t>.</w:t>
      </w:r>
      <w:r w:rsidRPr="00197C1B">
        <w:t xml:space="preserve"> </w:t>
      </w:r>
      <w:r w:rsidRPr="00197C1B">
        <w:t>at 433;</w:t>
      </w:r>
      <w:r w:rsidRPr="00197C1B">
        <w:t xml:space="preserve"> </w:t>
      </w:r>
      <w:r w:rsidRPr="00197C1B">
        <w:rPr>
          <w:i/>
        </w:rPr>
        <w:t>see</w:t>
      </w:r>
      <w:r w:rsidRPr="00197C1B">
        <w:t xml:space="preserve"> Chapter 9, §II.C.3.</w:t>
      </w:r>
      <w:r w:rsidRPr="00197C1B">
        <w:t xml:space="preserve"> </w:t>
      </w:r>
      <w:r w:rsidRPr="00197C1B">
        <w:t xml:space="preserve">As discussed above, the most common standard for preliminary relief requires a </w:t>
      </w:r>
      <w:r w:rsidRPr="00197C1B">
        <w:rPr>
          <w:i/>
        </w:rPr>
        <w:t>likelihood</w:t>
      </w:r>
      <w:r w:rsidRPr="00197C1B">
        <w:t xml:space="preserve"> of success on the merits.</w:t>
      </w:r>
      <w:r w:rsidRPr="00197C1B">
        <w:t xml:space="preserve"> </w:t>
      </w:r>
      <w:r w:rsidRPr="00197C1B">
        <w:t>Thus, one had to reconcile the need to show actual dilution with the fact that the timing of preliminary relief does not necessarily afford the injured party the ability to make such a showing.</w:t>
      </w:r>
      <w:r w:rsidRPr="00197C1B">
        <w:t xml:space="preserve"> </w:t>
      </w:r>
      <w:r w:rsidRPr="00197C1B">
        <w:t xml:space="preserve">(In </w:t>
      </w:r>
      <w:r w:rsidRPr="00197C1B">
        <w:rPr>
          <w:i/>
        </w:rPr>
        <w:t>Moseley</w:t>
      </w:r>
      <w:r w:rsidRPr="00197C1B">
        <w:t>, summary judgment had been granted in favor of the plaintiff, so the issue of the standard for preliminary relief technically was not before the Court.) The logical conclusion was that a famous mark owner must show that it is likely that he or she will be able to demonstrate actual dilution at trial.</w:t>
      </w:r>
      <w:r w:rsidRPr="00197C1B">
        <w:t xml:space="preserve"> </w:t>
      </w:r>
      <w:r w:rsidRPr="00197C1B">
        <w:t>This probably would have required the owner of a famous mark to come forth with at least some evidence that actual dilution could be proven at trial.</w:t>
      </w:r>
      <w:r w:rsidRPr="00197C1B">
        <w:t xml:space="preserve"> </w:t>
      </w:r>
      <w:r w:rsidRPr="00197C1B">
        <w:t xml:space="preserve">Despite the awkward proof problems it engendered, however, the </w:t>
      </w:r>
      <w:r w:rsidRPr="00197C1B">
        <w:rPr>
          <w:i/>
        </w:rPr>
        <w:t>Moseley</w:t>
      </w:r>
      <w:r w:rsidRPr="00197C1B">
        <w:t xml:space="preserve"> opinion indicated that such difficulties were simply inherent in the statutory language and were not grounds for ignoring the statutory requirement.</w:t>
      </w:r>
      <w:r w:rsidRPr="00197C1B">
        <w:t xml:space="preserve"> </w:t>
      </w:r>
      <w:r w:rsidRPr="00197C1B">
        <w:rPr>
          <w:i/>
        </w:rPr>
        <w:t>Moseley</w:t>
      </w:r>
      <w:r w:rsidRPr="00197C1B">
        <w:t>, 537 U.S.</w:t>
      </w:r>
      <w:r w:rsidRPr="00197C1B">
        <w:t xml:space="preserve"> </w:t>
      </w:r>
      <w:r w:rsidRPr="00197C1B">
        <w:t>at 434.</w:t>
      </w:r>
      <w:r w:rsidRPr="00197C1B">
        <w:t xml:space="preserve"> </w:t>
      </w:r>
      <w:r w:rsidRPr="00197C1B">
        <w:t>Now that the TDRA has made the standard likelihood of dilution, the preliminary injunction issue should not be a problem under federal law.</w:t>
      </w:r>
    </w:p>
    <w:p w14:paraId="2B60E5D0" w14:textId="64185AD3" w:rsidR="00197C1B" w:rsidRPr="0019374F" w:rsidRDefault="00197C1B" w:rsidP="00197C1B">
      <w:pPr>
        <w:pStyle w:val="FootnoteText"/>
      </w:pPr>
      <w:r w:rsidRPr="00197C1B">
        <w:t>If a federal court is asked to issue an injunction under a state law that requires actual dilution, then the problem would persist.</w:t>
      </w:r>
      <w:r w:rsidRPr="00197C1B">
        <w:t xml:space="preserve"> </w:t>
      </w:r>
      <w:r w:rsidRPr="00197C1B">
        <w:t>Most state law dilution claims are still litigated in federal court.</w:t>
      </w:r>
      <w:r w:rsidRPr="00197C1B">
        <w:t xml:space="preserve"> </w:t>
      </w:r>
      <w:r w:rsidRPr="00197C1B">
        <w:t>In states with older dilution statutes (based on the 1964 Model Bill), or statutes based on the 2007 Model Bill, preliminary (and final) relief can be based on a “likelihood” of dilution, avoiding the issue altogether.</w:t>
      </w:r>
      <w:r w:rsidRPr="00197C1B">
        <w:t xml:space="preserve"> </w:t>
      </w:r>
      <w:r w:rsidRPr="00197C1B">
        <w:rPr>
          <w:i/>
        </w:rPr>
        <w:t>E</w:t>
      </w:r>
      <w:r w:rsidRPr="00197C1B">
        <w:t>.</w:t>
      </w:r>
      <w:r w:rsidRPr="00197C1B">
        <w:rPr>
          <w:i/>
        </w:rPr>
        <w:t>g</w:t>
      </w:r>
      <w:r w:rsidRPr="00197C1B">
        <w:t xml:space="preserve">., </w:t>
      </w:r>
      <w:r w:rsidRPr="00197C1B">
        <w:rPr>
          <w:smallCaps/>
        </w:rPr>
        <w:t>N.Y.</w:t>
      </w:r>
      <w:r w:rsidRPr="00197C1B">
        <w:rPr>
          <w:smallCaps/>
        </w:rPr>
        <w:t xml:space="preserve"> </w:t>
      </w:r>
      <w:r w:rsidRPr="00197C1B">
        <w:rPr>
          <w:smallCaps/>
        </w:rPr>
        <w:t>Gen.</w:t>
      </w:r>
      <w:r w:rsidRPr="00197C1B">
        <w:rPr>
          <w:smallCaps/>
        </w:rPr>
        <w:t xml:space="preserve"> </w:t>
      </w:r>
      <w:r w:rsidRPr="00197C1B">
        <w:rPr>
          <w:smallCaps/>
        </w:rPr>
        <w:t>Bus.</w:t>
      </w:r>
      <w:r w:rsidRPr="00197C1B">
        <w:rPr>
          <w:smallCaps/>
        </w:rPr>
        <w:t xml:space="preserve"> </w:t>
      </w:r>
      <w:r w:rsidRPr="00197C1B">
        <w:rPr>
          <w:smallCaps/>
        </w:rPr>
        <w:t>L.</w:t>
      </w:r>
      <w:r w:rsidRPr="00197C1B">
        <w:rPr>
          <w:smallCaps/>
        </w:rPr>
        <w:t xml:space="preserve"> </w:t>
      </w:r>
      <w:r w:rsidRPr="00197C1B">
        <w:t>§360-</w:t>
      </w:r>
      <w:r w:rsidRPr="00197C1B">
        <w:rPr>
          <w:i/>
        </w:rPr>
        <w:t>l</w:t>
      </w:r>
      <w:r w:rsidRPr="00197C1B">
        <w:br/>
        <w:t>(McKinney Supp.</w:t>
      </w:r>
      <w:r w:rsidRPr="00197C1B">
        <w:t xml:space="preserve"> </w:t>
      </w:r>
      <w:r w:rsidRPr="00197C1B">
        <w:t>2012);</w:t>
      </w:r>
      <w:r w:rsidRPr="00197C1B">
        <w:t xml:space="preserve"> </w:t>
      </w:r>
      <w:r w:rsidRPr="00197C1B">
        <w:rPr>
          <w:smallCaps/>
        </w:rPr>
        <w:t>Tex.</w:t>
      </w:r>
      <w:r w:rsidRPr="00197C1B">
        <w:rPr>
          <w:smallCaps/>
        </w:rPr>
        <w:t xml:space="preserve"> </w:t>
      </w:r>
      <w:r w:rsidRPr="00197C1B">
        <w:rPr>
          <w:smallCaps/>
        </w:rPr>
        <w:t>Bus.</w:t>
      </w:r>
      <w:r w:rsidRPr="00197C1B">
        <w:rPr>
          <w:smallCaps/>
        </w:rPr>
        <w:t xml:space="preserve"> </w:t>
      </w:r>
      <w:r w:rsidRPr="00197C1B">
        <w:rPr>
          <w:smallCaps/>
        </w:rPr>
        <w:t>&amp; Com.</w:t>
      </w:r>
      <w:r w:rsidRPr="00197C1B">
        <w:rPr>
          <w:smallCaps/>
        </w:rPr>
        <w:t xml:space="preserve"> </w:t>
      </w:r>
      <w:r w:rsidRPr="00197C1B">
        <w:rPr>
          <w:smallCaps/>
        </w:rPr>
        <w:t>Code</w:t>
      </w:r>
      <w:r w:rsidRPr="00197C1B">
        <w:t xml:space="preserve"> §16.103 (2011).</w:t>
      </w:r>
      <w:r w:rsidRPr="00197C1B">
        <w:t xml:space="preserve"> </w:t>
      </w:r>
      <w:r w:rsidRPr="00197C1B">
        <w:t>However, most states now have statutes worded like the original FTDA and may be subject to the actual dilution standard.</w:t>
      </w:r>
      <w:r w:rsidRPr="00197C1B">
        <w:t xml:space="preserve"> </w:t>
      </w:r>
      <w:r w:rsidRPr="00197C1B">
        <w:rPr>
          <w:i/>
        </w:rPr>
        <w:t>See</w:t>
      </w:r>
      <w:r w:rsidRPr="00197C1B">
        <w:t xml:space="preserve"> Chapter 3.</w:t>
      </w:r>
    </w:p>
  </w:footnote>
  <w:footnote w:id="43">
    <w:p w14:paraId="2B65D744" w14:textId="37391A7E" w:rsidR="00197C1B" w:rsidRPr="0019374F" w:rsidRDefault="00197C1B" w:rsidP="00197C1B">
      <w:pPr>
        <w:pStyle w:val="FootnoteText"/>
      </w:pPr>
      <w:r w:rsidRPr="00197C1B">
        <w:rPr>
          <w:vertAlign w:val="superscript"/>
        </w:rPr>
        <w:footnoteRef/>
      </w:r>
      <w:r w:rsidRPr="00197C1B">
        <w:t>201 F.3d 168, 53 USPQ2d 1345 (2d Cir.</w:t>
      </w:r>
      <w:r w:rsidRPr="00197C1B">
        <w:t xml:space="preserve"> </w:t>
      </w:r>
      <w:r w:rsidRPr="00197C1B">
        <w:t>2000).</w:t>
      </w:r>
    </w:p>
  </w:footnote>
  <w:footnote w:id="44">
    <w:p w14:paraId="6D5EA440" w14:textId="259A5CBF" w:rsidR="00197C1B" w:rsidRPr="0019374F" w:rsidRDefault="00197C1B" w:rsidP="00197C1B">
      <w:pPr>
        <w:pStyle w:val="FootnoteText"/>
      </w:pPr>
      <w:r w:rsidRPr="00197C1B">
        <w:rPr>
          <w:vertAlign w:val="superscript"/>
        </w:rPr>
        <w:footnoteRef/>
      </w:r>
      <w:r w:rsidRPr="00197C1B">
        <w:rPr>
          <w:i/>
        </w:rPr>
        <w:t>See id</w:t>
      </w:r>
      <w:r w:rsidRPr="00197C1B">
        <w:t>.</w:t>
      </w:r>
      <w:r w:rsidRPr="00197C1B">
        <w:t xml:space="preserve"> </w:t>
      </w:r>
      <w:r w:rsidRPr="00197C1B">
        <w:t>at 177 (disputing the district court’s finding of insufficient similarity of marks).</w:t>
      </w:r>
    </w:p>
  </w:footnote>
  <w:footnote w:id="45">
    <w:p w14:paraId="0538DA76" w14:textId="2DE4C096"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178.</w:t>
      </w:r>
    </w:p>
  </w:footnote>
  <w:footnote w:id="46">
    <w:p w14:paraId="3CC36D57" w14:textId="3BBD12FC" w:rsidR="00197C1B" w:rsidRPr="0019374F" w:rsidRDefault="00197C1B" w:rsidP="00197C1B">
      <w:pPr>
        <w:pStyle w:val="FootnoteText"/>
      </w:pPr>
      <w:r w:rsidRPr="00197C1B">
        <w:rPr>
          <w:vertAlign w:val="superscript"/>
        </w:rPr>
        <w:footnoteRef/>
      </w:r>
      <w:r w:rsidRPr="00197C1B">
        <w:rPr>
          <w:i/>
        </w:rPr>
        <w:t>Id</w:t>
      </w:r>
      <w:r w:rsidRPr="00197C1B">
        <w:t>.</w:t>
      </w:r>
    </w:p>
  </w:footnote>
  <w:footnote w:id="47">
    <w:p w14:paraId="12BAC2C0" w14:textId="68C3D294"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rPr>
          <w:i/>
        </w:rPr>
        <w:t>See</w:t>
      </w:r>
      <w:r w:rsidRPr="00197C1B">
        <w:t xml:space="preserve"> Marks Org., Inc.</w:t>
      </w:r>
      <w:r w:rsidRPr="00197C1B">
        <w:t xml:space="preserve"> </w:t>
      </w:r>
      <w:r w:rsidRPr="00197C1B">
        <w:t>v.</w:t>
      </w:r>
      <w:r w:rsidRPr="00197C1B">
        <w:t xml:space="preserve"> </w:t>
      </w:r>
      <w:r w:rsidRPr="00197C1B">
        <w:t>Joles, 784 F.</w:t>
      </w:r>
      <w:r w:rsidRPr="00197C1B">
        <w:t xml:space="preserve"> </w:t>
      </w:r>
      <w:r w:rsidRPr="00197C1B">
        <w:t>Supp.</w:t>
      </w:r>
      <w:r w:rsidRPr="00197C1B">
        <w:t xml:space="preserve"> </w:t>
      </w:r>
      <w:r w:rsidRPr="00197C1B">
        <w:t>2d 322, 333–34 (S.D.N.Y.</w:t>
      </w:r>
      <w:r w:rsidRPr="00197C1B">
        <w:t xml:space="preserve"> </w:t>
      </w:r>
      <w:r w:rsidRPr="00197C1B">
        <w:t>2011) (delay is a factor in determining irreparable harm).</w:t>
      </w:r>
    </w:p>
  </w:footnote>
  <w:footnote w:id="48">
    <w:p w14:paraId="2E4C4FA5" w14:textId="339665BF" w:rsidR="00197C1B" w:rsidRPr="0019374F" w:rsidRDefault="00197C1B" w:rsidP="00197C1B">
      <w:pPr>
        <w:pStyle w:val="FootnoteText"/>
      </w:pPr>
      <w:r w:rsidRPr="00197C1B">
        <w:rPr>
          <w:vertAlign w:val="superscript"/>
        </w:rPr>
        <w:footnoteRef/>
      </w:r>
      <w:r w:rsidRPr="00197C1B">
        <w:t>547 U.S.</w:t>
      </w:r>
      <w:r w:rsidRPr="00197C1B">
        <w:t xml:space="preserve"> </w:t>
      </w:r>
      <w:r w:rsidRPr="00197C1B">
        <w:t>388, 392–93, 78 USPQ2d 1577 (2006).</w:t>
      </w:r>
    </w:p>
  </w:footnote>
  <w:footnote w:id="49">
    <w:p w14:paraId="7E5D79CE" w14:textId="52918AED" w:rsidR="00197C1B" w:rsidRPr="0019374F" w:rsidRDefault="00197C1B" w:rsidP="00197C1B">
      <w:pPr>
        <w:pStyle w:val="FootnoteText"/>
      </w:pPr>
      <w:r w:rsidRPr="00197C1B">
        <w:rPr>
          <w:vertAlign w:val="superscript"/>
        </w:rPr>
        <w:footnoteRef/>
      </w:r>
      <w:r w:rsidRPr="00197C1B">
        <w:t xml:space="preserve">The Ninth Circuit has held that </w:t>
      </w:r>
      <w:r w:rsidRPr="00197C1B">
        <w:rPr>
          <w:i/>
        </w:rPr>
        <w:t>eBay</w:t>
      </w:r>
      <w:r w:rsidRPr="00197C1B">
        <w:t xml:space="preserve"> applies to preliminary injunctions in trademark cases.</w:t>
      </w:r>
      <w:r w:rsidRPr="00197C1B">
        <w:t xml:space="preserve"> </w:t>
      </w:r>
      <w:r w:rsidRPr="00197C1B">
        <w:t>Herb Reed Enters., LLC v.</w:t>
      </w:r>
      <w:r w:rsidRPr="00197C1B">
        <w:t xml:space="preserve"> </w:t>
      </w:r>
      <w:r w:rsidRPr="00197C1B">
        <w:t>Florida Entm’t Mgmt., 736 F.3d 1239, 1245, 108 USPQ2d 2004 (9th Cir.</w:t>
      </w:r>
      <w:r w:rsidRPr="00197C1B">
        <w:t xml:space="preserve"> </w:t>
      </w:r>
      <w:r w:rsidRPr="00197C1B">
        <w:t>2013).</w:t>
      </w:r>
      <w:r w:rsidRPr="00197C1B">
        <w:t xml:space="preserve"> </w:t>
      </w:r>
      <w:r w:rsidRPr="00197C1B">
        <w:rPr>
          <w:i/>
        </w:rPr>
        <w:t>See</w:t>
      </w:r>
      <w:r w:rsidRPr="00197C1B">
        <w:t xml:space="preserve"> KTM N.</w:t>
      </w:r>
      <w:r w:rsidRPr="00197C1B">
        <w:t xml:space="preserve"> </w:t>
      </w:r>
      <w:r w:rsidRPr="00197C1B">
        <w:t>Am., Inc.</w:t>
      </w:r>
      <w:r w:rsidRPr="00197C1B">
        <w:t xml:space="preserve"> </w:t>
      </w:r>
      <w:r w:rsidRPr="00197C1B">
        <w:t>v.</w:t>
      </w:r>
      <w:r w:rsidRPr="00197C1B">
        <w:t xml:space="preserve"> </w:t>
      </w:r>
      <w:r w:rsidRPr="00197C1B">
        <w:t>Cycle Hut, Inc., 2013 U.S.</w:t>
      </w:r>
      <w:r w:rsidRPr="00197C1B">
        <w:t xml:space="preserve"> </w:t>
      </w:r>
      <w:r w:rsidRPr="00197C1B">
        <w:t>Dist.</w:t>
      </w:r>
      <w:r w:rsidRPr="00197C1B">
        <w:t xml:space="preserve"> </w:t>
      </w:r>
      <w:r w:rsidRPr="00197C1B">
        <w:t>LEXIS 67209, at *4–5 (D.S.D.</w:t>
      </w:r>
      <w:r w:rsidRPr="00197C1B">
        <w:t xml:space="preserve"> </w:t>
      </w:r>
      <w:r w:rsidRPr="00197C1B">
        <w:t xml:space="preserve">May 8, 2013) (applying </w:t>
      </w:r>
      <w:r w:rsidRPr="00197C1B">
        <w:rPr>
          <w:i/>
        </w:rPr>
        <w:t xml:space="preserve">eBay </w:t>
      </w:r>
      <w:r w:rsidRPr="00197C1B">
        <w:t>to temporary restraining order request);</w:t>
      </w:r>
      <w:r w:rsidRPr="00197C1B">
        <w:t xml:space="preserve"> </w:t>
      </w:r>
      <w:r w:rsidRPr="00197C1B">
        <w:t>Nordstrom, Inc.</w:t>
      </w:r>
      <w:r w:rsidRPr="00197C1B">
        <w:t xml:space="preserve"> </w:t>
      </w:r>
      <w:r w:rsidRPr="00197C1B">
        <w:t>v.</w:t>
      </w:r>
      <w:r w:rsidRPr="00197C1B">
        <w:t xml:space="preserve"> </w:t>
      </w:r>
      <w:r w:rsidRPr="00197C1B">
        <w:t>7525419 Canada, Inc., 2012 U.S.</w:t>
      </w:r>
      <w:r w:rsidRPr="00197C1B">
        <w:t xml:space="preserve"> </w:t>
      </w:r>
      <w:r w:rsidRPr="00197C1B">
        <w:t>Dist.</w:t>
      </w:r>
      <w:r w:rsidRPr="00197C1B">
        <w:t xml:space="preserve"> </w:t>
      </w:r>
      <w:r w:rsidRPr="00197C1B">
        <w:t>LEXIS 187261, at *41–44 (W.D.</w:t>
      </w:r>
      <w:r w:rsidRPr="00197C1B">
        <w:t xml:space="preserve"> </w:t>
      </w:r>
      <w:r w:rsidRPr="00197C1B">
        <w:t>Wash.</w:t>
      </w:r>
      <w:r w:rsidRPr="00197C1B">
        <w:t xml:space="preserve"> </w:t>
      </w:r>
      <w:r w:rsidRPr="00197C1B">
        <w:t>Dec.</w:t>
      </w:r>
      <w:r w:rsidRPr="00197C1B">
        <w:t xml:space="preserve"> </w:t>
      </w:r>
      <w:r w:rsidRPr="00197C1B">
        <w:t>27, 2012) (indicating that the presumption no longer operates, and citing cases);</w:t>
      </w:r>
      <w:r w:rsidRPr="00197C1B">
        <w:t xml:space="preserve"> </w:t>
      </w:r>
      <w:r w:rsidRPr="00197C1B">
        <w:t>Rovio Entm’t Ltd.</w:t>
      </w:r>
      <w:r w:rsidRPr="00197C1B">
        <w:t xml:space="preserve"> </w:t>
      </w:r>
      <w:r w:rsidRPr="00197C1B">
        <w:t>v.</w:t>
      </w:r>
      <w:r w:rsidRPr="00197C1B">
        <w:t xml:space="preserve"> </w:t>
      </w:r>
      <w:r w:rsidRPr="00197C1B">
        <w:t>Royal Plush Toys, Inc., 2012 U.S.</w:t>
      </w:r>
      <w:r w:rsidRPr="00197C1B">
        <w:t xml:space="preserve"> </w:t>
      </w:r>
      <w:r w:rsidRPr="00197C1B">
        <w:t>Dist.</w:t>
      </w:r>
      <w:r w:rsidRPr="00197C1B">
        <w:t xml:space="preserve"> </w:t>
      </w:r>
      <w:r w:rsidRPr="00197C1B">
        <w:t>LEXIS 169020, at *14–15, 29–30 (N.D.</w:t>
      </w:r>
      <w:r w:rsidRPr="00197C1B">
        <w:t xml:space="preserve"> </w:t>
      </w:r>
      <w:r w:rsidRPr="00197C1B">
        <w:t>Cal.</w:t>
      </w:r>
      <w:r w:rsidRPr="00197C1B">
        <w:t xml:space="preserve"> </w:t>
      </w:r>
      <w:r w:rsidRPr="00197C1B">
        <w:t>Nov.</w:t>
      </w:r>
      <w:r w:rsidRPr="00197C1B">
        <w:t xml:space="preserve"> </w:t>
      </w:r>
      <w:r w:rsidRPr="00197C1B">
        <w:t>27, 2012) (refusing to allow a presumption of irreparable harm from likelihood of success on the merits);</w:t>
      </w:r>
      <w:r w:rsidRPr="00197C1B">
        <w:t xml:space="preserve"> </w:t>
      </w:r>
      <w:r w:rsidRPr="00197C1B">
        <w:t>BBK Tobacco &amp; Foods, LLP v.</w:t>
      </w:r>
      <w:r w:rsidRPr="00197C1B">
        <w:t xml:space="preserve"> </w:t>
      </w:r>
      <w:r w:rsidRPr="00197C1B">
        <w:t>Rocky Patel Premium Cigars, Inc., 2012 U.S.</w:t>
      </w:r>
      <w:r w:rsidRPr="00197C1B">
        <w:t xml:space="preserve"> </w:t>
      </w:r>
      <w:r w:rsidRPr="00197C1B">
        <w:t>Dist.</w:t>
      </w:r>
      <w:r w:rsidRPr="00197C1B">
        <w:t xml:space="preserve"> </w:t>
      </w:r>
      <w:r w:rsidRPr="00197C1B">
        <w:t>LEXIS 104000, at *3–5 (D.</w:t>
      </w:r>
      <w:r w:rsidRPr="00197C1B">
        <w:t xml:space="preserve"> </w:t>
      </w:r>
      <w:r w:rsidRPr="00197C1B">
        <w:t>Ariz.</w:t>
      </w:r>
      <w:r w:rsidRPr="00197C1B">
        <w:t xml:space="preserve"> </w:t>
      </w:r>
      <w:r w:rsidRPr="00197C1B">
        <w:t xml:space="preserve">July 25, 2012) (rejecting a presumption of irreparable harm in a trademark case based on likely success on the merits, citing </w:t>
      </w:r>
      <w:r w:rsidRPr="00197C1B">
        <w:rPr>
          <w:i/>
        </w:rPr>
        <w:t>Winter</w:t>
      </w:r>
      <w:r w:rsidRPr="00197C1B">
        <w:t>).</w:t>
      </w:r>
      <w:r w:rsidRPr="00197C1B">
        <w:t xml:space="preserve"> </w:t>
      </w:r>
      <w:r w:rsidRPr="00197C1B">
        <w:rPr>
          <w:i/>
        </w:rPr>
        <w:t>Cf</w:t>
      </w:r>
      <w:r w:rsidRPr="00197C1B">
        <w:t>.</w:t>
      </w:r>
      <w:r w:rsidRPr="00197C1B">
        <w:t xml:space="preserve"> </w:t>
      </w:r>
      <w:r w:rsidRPr="00197C1B">
        <w:t>General Motors Corp.</w:t>
      </w:r>
      <w:r w:rsidRPr="00197C1B">
        <w:t xml:space="preserve"> </w:t>
      </w:r>
      <w:r w:rsidRPr="00197C1B">
        <w:t>v.</w:t>
      </w:r>
      <w:r w:rsidRPr="00197C1B">
        <w:t xml:space="preserve"> </w:t>
      </w:r>
      <w:r w:rsidRPr="00197C1B">
        <w:t>Harry Brown’s, LLC, 563 F.3d 312, 319–20 (8th Cir.</w:t>
      </w:r>
      <w:r w:rsidRPr="00197C1B">
        <w:t xml:space="preserve"> </w:t>
      </w:r>
      <w:r w:rsidRPr="00197C1B">
        <w:t>2009) (upholding district court’s denial of preliminary injunction);</w:t>
      </w:r>
      <w:r w:rsidRPr="00197C1B">
        <w:t xml:space="preserve"> </w:t>
      </w:r>
      <w:r w:rsidRPr="00197C1B">
        <w:t>Chanel, Inc.</w:t>
      </w:r>
      <w:r w:rsidRPr="00197C1B">
        <w:t xml:space="preserve"> </w:t>
      </w:r>
      <w:r w:rsidRPr="00197C1B">
        <w:t>v.</w:t>
      </w:r>
      <w:r w:rsidRPr="00197C1B">
        <w:t xml:space="preserve"> </w:t>
      </w:r>
      <w:r w:rsidRPr="00197C1B">
        <w:t>2012chanelbagsoutletstore.com, 2012 U.S.</w:t>
      </w:r>
      <w:r w:rsidRPr="00197C1B">
        <w:t xml:space="preserve"> </w:t>
      </w:r>
      <w:r w:rsidRPr="00197C1B">
        <w:t>Dist.</w:t>
      </w:r>
      <w:r w:rsidRPr="00197C1B">
        <w:t xml:space="preserve"> </w:t>
      </w:r>
      <w:r w:rsidRPr="00197C1B">
        <w:t>LEXIS 187730, at *14–15 (S.D.</w:t>
      </w:r>
      <w:r w:rsidRPr="00197C1B">
        <w:t xml:space="preserve"> </w:t>
      </w:r>
      <w:r w:rsidRPr="00197C1B">
        <w:t>Fla.</w:t>
      </w:r>
      <w:r w:rsidRPr="00197C1B">
        <w:t xml:space="preserve"> </w:t>
      </w:r>
      <w:r w:rsidRPr="00197C1B">
        <w:t xml:space="preserve">June 13, 2012) (“After </w:t>
      </w:r>
      <w:r w:rsidRPr="00197C1B">
        <w:rPr>
          <w:i/>
        </w:rPr>
        <w:t>eBay</w:t>
      </w:r>
      <w:r w:rsidRPr="00197C1B">
        <w:t>, a court may grant preliminary injunctive relief ‘without the benefit of a presumption of irreparable injury,’ or may ‘decide that the particular circumstances of the instant case bear substantial parallels to previous cases such that a presumption of irreparable injury is an appropriate exercise of its discretion in light of the historical traditions’”) (citing North Am.</w:t>
      </w:r>
      <w:r w:rsidRPr="00197C1B">
        <w:t xml:space="preserve"> </w:t>
      </w:r>
      <w:r w:rsidRPr="00197C1B">
        <w:t>Med.</w:t>
      </w:r>
      <w:r w:rsidRPr="00197C1B">
        <w:t xml:space="preserve"> </w:t>
      </w:r>
      <w:r w:rsidRPr="00197C1B">
        <w:t>Corp.</w:t>
      </w:r>
      <w:r w:rsidRPr="00197C1B">
        <w:t xml:space="preserve"> </w:t>
      </w:r>
      <w:r w:rsidRPr="00197C1B">
        <w:t>v.</w:t>
      </w:r>
      <w:r w:rsidRPr="00197C1B">
        <w:t xml:space="preserve"> </w:t>
      </w:r>
      <w:r w:rsidRPr="00197C1B">
        <w:t>Axiom Worldwide, Inc., 522 F.3d 1211, 1227, 86 USPQ2d 1462 (11th Cir.</w:t>
      </w:r>
      <w:r w:rsidRPr="00197C1B">
        <w:t xml:space="preserve"> </w:t>
      </w:r>
      <w:r w:rsidRPr="00197C1B">
        <w:t>2008)).</w:t>
      </w:r>
      <w:r w:rsidRPr="00197C1B">
        <w:t xml:space="preserve"> </w:t>
      </w:r>
      <w:r w:rsidRPr="00197C1B">
        <w:rPr>
          <w:i/>
        </w:rPr>
        <w:t>But see</w:t>
      </w:r>
      <w:r w:rsidRPr="00197C1B">
        <w:t xml:space="preserve"> Country Inns &amp; Suites by Carlson, Inc.</w:t>
      </w:r>
      <w:r w:rsidRPr="00197C1B">
        <w:t xml:space="preserve"> </w:t>
      </w:r>
      <w:r w:rsidRPr="00197C1B">
        <w:t>v.</w:t>
      </w:r>
      <w:r w:rsidRPr="00197C1B">
        <w:t xml:space="preserve"> </w:t>
      </w:r>
      <w:r w:rsidRPr="00197C1B">
        <w:t>3AM, LLC, 2014 U.S.</w:t>
      </w:r>
      <w:r w:rsidRPr="00197C1B">
        <w:t xml:space="preserve"> </w:t>
      </w:r>
      <w:r w:rsidRPr="00197C1B">
        <w:t>Dist.</w:t>
      </w:r>
      <w:r w:rsidRPr="00197C1B">
        <w:t xml:space="preserve"> </w:t>
      </w:r>
      <w:r w:rsidRPr="00197C1B">
        <w:t>LEXIS 151462, at *6 (D.</w:t>
      </w:r>
      <w:r w:rsidRPr="00197C1B">
        <w:t xml:space="preserve"> </w:t>
      </w:r>
      <w:r w:rsidRPr="00197C1B">
        <w:t>Minn.</w:t>
      </w:r>
      <w:r w:rsidRPr="00197C1B">
        <w:t xml:space="preserve"> </w:t>
      </w:r>
      <w:r w:rsidRPr="00197C1B">
        <w:t>Oct.</w:t>
      </w:r>
      <w:r w:rsidRPr="00197C1B">
        <w:t xml:space="preserve"> </w:t>
      </w:r>
      <w:r w:rsidRPr="00197C1B">
        <w:t xml:space="preserve">24, 2014) (citing </w:t>
      </w:r>
      <w:r w:rsidRPr="00197C1B">
        <w:rPr>
          <w:i/>
        </w:rPr>
        <w:t>Winter</w:t>
      </w:r>
      <w:r w:rsidRPr="00197C1B">
        <w:t xml:space="preserve"> but still applying presumption of irreparable harm);</w:t>
      </w:r>
      <w:r w:rsidRPr="00197C1B">
        <w:t xml:space="preserve"> </w:t>
      </w:r>
      <w:r w:rsidRPr="00197C1B">
        <w:t>Deckers Outdoor Corp.</w:t>
      </w:r>
      <w:r w:rsidRPr="00197C1B">
        <w:t xml:space="preserve"> </w:t>
      </w:r>
      <w:r w:rsidRPr="00197C1B">
        <w:t>v.</w:t>
      </w:r>
      <w:r w:rsidRPr="00197C1B">
        <w:t xml:space="preserve"> </w:t>
      </w:r>
      <w:r w:rsidRPr="00197C1B">
        <w:t>Does 1-100, 105 USPQ2d 1894, 1898 (N.D.</w:t>
      </w:r>
      <w:r w:rsidRPr="00197C1B">
        <w:t xml:space="preserve"> </w:t>
      </w:r>
      <w:r w:rsidRPr="00197C1B">
        <w:t>Ill.</w:t>
      </w:r>
      <w:r w:rsidRPr="00197C1B">
        <w:t xml:space="preserve"> </w:t>
      </w:r>
      <w:r w:rsidRPr="00197C1B">
        <w:t>Jan.</w:t>
      </w:r>
      <w:r w:rsidRPr="00197C1B">
        <w:t xml:space="preserve"> </w:t>
      </w:r>
      <w:r w:rsidRPr="00197C1B">
        <w:t xml:space="preserve">16, 2013) (citing the general presumption, without citing </w:t>
      </w:r>
      <w:r w:rsidRPr="00197C1B">
        <w:rPr>
          <w:i/>
        </w:rPr>
        <w:t>eBay</w:t>
      </w:r>
      <w:r w:rsidRPr="00197C1B">
        <w:t>, but including evidence in its determination of irreparable harm).</w:t>
      </w:r>
    </w:p>
  </w:footnote>
  <w:footnote w:id="50">
    <w:p w14:paraId="3ACDDCC8" w14:textId="348B7872" w:rsidR="00197C1B" w:rsidRPr="0019374F" w:rsidRDefault="00197C1B" w:rsidP="00197C1B">
      <w:pPr>
        <w:pStyle w:val="FootnoteText"/>
      </w:pPr>
      <w:r w:rsidRPr="00197C1B">
        <w:rPr>
          <w:vertAlign w:val="superscript"/>
        </w:rPr>
        <w:footnoteRef/>
      </w:r>
      <w:r w:rsidRPr="00197C1B">
        <w:rPr>
          <w:i/>
        </w:rPr>
        <w:t>See</w:t>
      </w:r>
      <w:r w:rsidRPr="00197C1B">
        <w:t xml:space="preserve"> Chapter 10, §IV (discussing the noncommercial use exclusion under the TDRA);</w:t>
      </w:r>
      <w:r w:rsidRPr="00197C1B">
        <w:t xml:space="preserve"> </w:t>
      </w:r>
      <w:r w:rsidRPr="00197C1B">
        <w:t>Chapter 3, §IV.B.3.c.</w:t>
      </w:r>
    </w:p>
  </w:footnote>
  <w:footnote w:id="51">
    <w:p w14:paraId="49FC4BFA" w14:textId="156140AC" w:rsidR="00197C1B" w:rsidRPr="0019374F" w:rsidRDefault="00197C1B" w:rsidP="00197C1B">
      <w:pPr>
        <w:pStyle w:val="FootnoteText"/>
      </w:pPr>
      <w:r w:rsidRPr="00197C1B">
        <w:rPr>
          <w:vertAlign w:val="superscript"/>
        </w:rPr>
        <w:footnoteRef/>
      </w:r>
      <w:r w:rsidRPr="00197C1B">
        <w:rPr>
          <w:i/>
        </w:rPr>
        <w:t>See</w:t>
      </w:r>
      <w:r w:rsidRPr="00197C1B">
        <w:t xml:space="preserve"> Mark A.</w:t>
      </w:r>
      <w:r w:rsidRPr="00197C1B">
        <w:t xml:space="preserve"> </w:t>
      </w:r>
      <w:r w:rsidRPr="00197C1B">
        <w:t xml:space="preserve">Lemley &amp; Eugene Volokh, </w:t>
      </w:r>
      <w:r w:rsidRPr="00197C1B">
        <w:rPr>
          <w:i/>
        </w:rPr>
        <w:t>Freedom of Speech and Injunctions in Intellectual Property Cases</w:t>
      </w:r>
      <w:r w:rsidRPr="00197C1B">
        <w:t xml:space="preserve">, 48 </w:t>
      </w:r>
      <w:r w:rsidRPr="00197C1B">
        <w:rPr>
          <w:smallCaps/>
        </w:rPr>
        <w:t>Duke L.J.</w:t>
      </w:r>
      <w:r w:rsidRPr="00197C1B">
        <w:rPr>
          <w:smallCaps/>
        </w:rPr>
        <w:t xml:space="preserve"> </w:t>
      </w:r>
      <w:r w:rsidRPr="00197C1B">
        <w:t>147, 169–81 (1998).</w:t>
      </w:r>
    </w:p>
  </w:footnote>
  <w:footnote w:id="52">
    <w:p w14:paraId="17D80E1C" w14:textId="05DD30BD"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158–65.</w:t>
      </w:r>
      <w:r w:rsidRPr="00197C1B">
        <w:t xml:space="preserve"> </w:t>
      </w:r>
      <w:r w:rsidRPr="00197C1B">
        <w:rPr>
          <w:i/>
        </w:rPr>
        <w:t>See</w:t>
      </w:r>
      <w:r w:rsidRPr="00197C1B">
        <w:t xml:space="preserve"> Prolife Minn.</w:t>
      </w:r>
      <w:r w:rsidRPr="00197C1B">
        <w:t xml:space="preserve"> </w:t>
      </w:r>
      <w:r w:rsidRPr="00197C1B">
        <w:t>v.</w:t>
      </w:r>
      <w:r w:rsidRPr="00197C1B">
        <w:t xml:space="preserve"> </w:t>
      </w:r>
      <w:r w:rsidRPr="00197C1B">
        <w:t>Minnesota Pro-Life Comm., 632 N.W.2d 748, 753 (Minn.</w:t>
      </w:r>
      <w:r w:rsidRPr="00197C1B">
        <w:t xml:space="preserve"> </w:t>
      </w:r>
      <w:r w:rsidRPr="00197C1B">
        <w:t>Ct.</w:t>
      </w:r>
      <w:r w:rsidRPr="00197C1B">
        <w:t xml:space="preserve"> </w:t>
      </w:r>
      <w:r w:rsidRPr="00197C1B">
        <w:t>App.</w:t>
      </w:r>
      <w:r w:rsidRPr="00197C1B">
        <w:t xml:space="preserve"> </w:t>
      </w:r>
      <w:r w:rsidRPr="00197C1B">
        <w:t>2001) (rejecting prior-restraint argument in an infringement case).</w:t>
      </w:r>
    </w:p>
  </w:footnote>
  <w:footnote w:id="53">
    <w:p w14:paraId="2D4760F6" w14:textId="0BA66D53" w:rsidR="00197C1B" w:rsidRPr="0019374F" w:rsidRDefault="00197C1B" w:rsidP="00197C1B">
      <w:pPr>
        <w:pStyle w:val="FootnoteText"/>
      </w:pPr>
      <w:r w:rsidRPr="00197C1B">
        <w:rPr>
          <w:vertAlign w:val="superscript"/>
        </w:rPr>
        <w:footnoteRef/>
      </w:r>
      <w:r w:rsidRPr="00197C1B">
        <w:t>Mutual of Omaha Ins.</w:t>
      </w:r>
      <w:r w:rsidRPr="00197C1B">
        <w:t xml:space="preserve"> </w:t>
      </w:r>
      <w:r w:rsidRPr="00197C1B">
        <w:t>Co.</w:t>
      </w:r>
      <w:r w:rsidRPr="00197C1B">
        <w:t xml:space="preserve"> </w:t>
      </w:r>
      <w:r w:rsidRPr="00197C1B">
        <w:t>v.</w:t>
      </w:r>
      <w:r w:rsidRPr="00197C1B">
        <w:t xml:space="preserve"> </w:t>
      </w:r>
      <w:r w:rsidRPr="00197C1B">
        <w:t>Novak, 836 F.2d 397, 402, 5 USPQ2d 1314 (8th Cir.</w:t>
      </w:r>
      <w:r w:rsidRPr="00197C1B">
        <w:t xml:space="preserve"> </w:t>
      </w:r>
      <w:r w:rsidRPr="00197C1B">
        <w:t xml:space="preserve">1987), </w:t>
      </w:r>
      <w:r w:rsidRPr="00197C1B">
        <w:rPr>
          <w:i/>
        </w:rPr>
        <w:t>cert</w:t>
      </w:r>
      <w:r w:rsidRPr="00197C1B">
        <w:t>.</w:t>
      </w:r>
      <w:r w:rsidRPr="00197C1B">
        <w:t xml:space="preserve"> </w:t>
      </w:r>
      <w:r w:rsidRPr="00197C1B">
        <w:rPr>
          <w:i/>
        </w:rPr>
        <w:t>denied</w:t>
      </w:r>
      <w:r w:rsidRPr="00197C1B">
        <w:t>, 488 U.S.</w:t>
      </w:r>
      <w:r w:rsidRPr="00197C1B">
        <w:t xml:space="preserve"> </w:t>
      </w:r>
      <w:r w:rsidRPr="00197C1B">
        <w:t>933 (1988);</w:t>
      </w:r>
      <w:r w:rsidRPr="00197C1B">
        <w:t xml:space="preserve"> </w:t>
      </w:r>
      <w:r w:rsidRPr="00197C1B">
        <w:rPr>
          <w:i/>
        </w:rPr>
        <w:t>see</w:t>
      </w:r>
      <w:r w:rsidRPr="00197C1B">
        <w:t xml:space="preserve"> Anheuser-Busch, Inc.</w:t>
      </w:r>
      <w:r w:rsidRPr="00197C1B">
        <w:t xml:space="preserve"> </w:t>
      </w:r>
      <w:r w:rsidRPr="00197C1B">
        <w:t>v.</w:t>
      </w:r>
      <w:r w:rsidRPr="00197C1B">
        <w:t xml:space="preserve"> </w:t>
      </w:r>
      <w:r w:rsidRPr="00197C1B">
        <w:t>Balducci Publ’ns, 28 F.3d 769, 776, 31 USPQ2d 1296 (8th Cir.</w:t>
      </w:r>
      <w:r w:rsidRPr="00197C1B">
        <w:t xml:space="preserve"> </w:t>
      </w:r>
      <w:r w:rsidRPr="00197C1B">
        <w:t xml:space="preserve">1994), </w:t>
      </w:r>
      <w:r w:rsidRPr="00197C1B">
        <w:rPr>
          <w:i/>
        </w:rPr>
        <w:t>cert</w:t>
      </w:r>
      <w:r w:rsidRPr="00197C1B">
        <w:t>.</w:t>
      </w:r>
      <w:r w:rsidRPr="00197C1B">
        <w:t xml:space="preserve"> </w:t>
      </w:r>
      <w:r w:rsidRPr="00197C1B">
        <w:rPr>
          <w:i/>
        </w:rPr>
        <w:t>denied</w:t>
      </w:r>
      <w:r w:rsidRPr="00197C1B">
        <w:t>, 513 U.S.</w:t>
      </w:r>
      <w:r w:rsidRPr="00197C1B">
        <w:t xml:space="preserve"> </w:t>
      </w:r>
      <w:r w:rsidRPr="00197C1B">
        <w:t>1112 (1995).</w:t>
      </w:r>
    </w:p>
  </w:footnote>
  <w:footnote w:id="54">
    <w:p w14:paraId="5DF8577D" w14:textId="0ABCCFAA" w:rsidR="00197C1B" w:rsidRPr="0019374F" w:rsidRDefault="00197C1B" w:rsidP="00197C1B">
      <w:pPr>
        <w:pStyle w:val="FootnoteText"/>
      </w:pPr>
      <w:r w:rsidRPr="00197C1B">
        <w:rPr>
          <w:vertAlign w:val="superscript"/>
        </w:rPr>
        <w:footnoteRef/>
      </w:r>
      <w:r w:rsidRPr="00197C1B">
        <w:rPr>
          <w:i/>
        </w:rPr>
        <w:t>Mutual of Omaha</w:t>
      </w:r>
      <w:r w:rsidRPr="00197C1B">
        <w:t>, 836 F.2d at 402.</w:t>
      </w:r>
    </w:p>
  </w:footnote>
  <w:footnote w:id="55">
    <w:p w14:paraId="45063675" w14:textId="66439483" w:rsidR="00197C1B" w:rsidRPr="0019374F" w:rsidRDefault="00197C1B" w:rsidP="00197C1B">
      <w:pPr>
        <w:pStyle w:val="FootnoteText"/>
      </w:pPr>
      <w:r w:rsidRPr="00197C1B">
        <w:rPr>
          <w:vertAlign w:val="superscript"/>
        </w:rPr>
        <w:footnoteRef/>
      </w:r>
      <w:r w:rsidRPr="00197C1B">
        <w:t>DVD Copy Control Ass’n v.</w:t>
      </w:r>
      <w:r w:rsidRPr="00197C1B">
        <w:t xml:space="preserve"> </w:t>
      </w:r>
      <w:r w:rsidRPr="00197C1B">
        <w:t>Bunner, 93 Cal.</w:t>
      </w:r>
      <w:r w:rsidRPr="00197C1B">
        <w:t xml:space="preserve"> </w:t>
      </w:r>
      <w:r w:rsidRPr="00197C1B">
        <w:t>App.</w:t>
      </w:r>
      <w:r w:rsidRPr="00197C1B">
        <w:t xml:space="preserve"> </w:t>
      </w:r>
      <w:r w:rsidRPr="00197C1B">
        <w:t>4th 648, 113 Cal.</w:t>
      </w:r>
      <w:r w:rsidRPr="00197C1B">
        <w:t xml:space="preserve"> </w:t>
      </w:r>
      <w:r w:rsidRPr="00197C1B">
        <w:t xml:space="preserve">Rptr.2d 338, 60 USPQ2d 1803 (2001), </w:t>
      </w:r>
      <w:r w:rsidRPr="00197C1B">
        <w:rPr>
          <w:i/>
        </w:rPr>
        <w:t>rev’d</w:t>
      </w:r>
      <w:r w:rsidRPr="00197C1B">
        <w:t>, 31 Cal.</w:t>
      </w:r>
      <w:r w:rsidRPr="00197C1B">
        <w:t xml:space="preserve"> </w:t>
      </w:r>
      <w:r w:rsidRPr="00197C1B">
        <w:t>4th 864, 75 P.3d 1, 4 Cal.</w:t>
      </w:r>
      <w:r w:rsidRPr="00197C1B">
        <w:t xml:space="preserve"> </w:t>
      </w:r>
      <w:r w:rsidRPr="00197C1B">
        <w:t>Rptr.3d 69, 68 USPQ2d 1385 (2003).</w:t>
      </w:r>
      <w:r w:rsidRPr="00197C1B">
        <w:t xml:space="preserve"> </w:t>
      </w:r>
      <w:r w:rsidRPr="00197C1B">
        <w:t>The court of appeal distinguished other trade secret cases where injunctions had been issued on the grounds that “they involved the actual use of a secret or a breach of contractual obligation.” 113 Cal.</w:t>
      </w:r>
      <w:r w:rsidRPr="00197C1B">
        <w:t xml:space="preserve"> </w:t>
      </w:r>
      <w:r w:rsidRPr="00197C1B">
        <w:t>Rptr.2d at 349.</w:t>
      </w:r>
      <w:r w:rsidRPr="00197C1B">
        <w:t xml:space="preserve"> </w:t>
      </w:r>
      <w:r w:rsidRPr="00197C1B">
        <w:t xml:space="preserve">In this case, the injunction banned the </w:t>
      </w:r>
      <w:r w:rsidRPr="00197C1B">
        <w:rPr>
          <w:i/>
        </w:rPr>
        <w:t>dissemination</w:t>
      </w:r>
      <w:r w:rsidRPr="00197C1B">
        <w:t xml:space="preserve"> of a computer program allegedly derived from trade secrets.</w:t>
      </w:r>
    </w:p>
  </w:footnote>
  <w:footnote w:id="56">
    <w:p w14:paraId="4DA0E0C7" w14:textId="49A5463F"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349–50.</w:t>
      </w:r>
    </w:p>
  </w:footnote>
  <w:footnote w:id="57">
    <w:p w14:paraId="194FCB7A" w14:textId="6484C4DD"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351 &amp; n.9.</w:t>
      </w:r>
    </w:p>
  </w:footnote>
  <w:footnote w:id="58">
    <w:p w14:paraId="5E648FDA" w14:textId="5481344A" w:rsidR="00197C1B" w:rsidRPr="0019374F" w:rsidRDefault="00197C1B" w:rsidP="00197C1B">
      <w:pPr>
        <w:pStyle w:val="FootnoteText"/>
      </w:pPr>
      <w:r w:rsidRPr="00197C1B">
        <w:rPr>
          <w:vertAlign w:val="superscript"/>
        </w:rPr>
        <w:footnoteRef/>
      </w:r>
      <w:r w:rsidRPr="00197C1B">
        <w:t xml:space="preserve">On appeal from the first court of appeal decision, the California Supreme Court reversed, holding that, </w:t>
      </w:r>
      <w:r w:rsidRPr="00197C1B">
        <w:rPr>
          <w:i/>
        </w:rPr>
        <w:t>assuming that California’s trade secret laws had been violated</w:t>
      </w:r>
      <w:r w:rsidRPr="00197C1B">
        <w:t xml:space="preserve"> (an issue left open on remand), the First Amendment did not bar a preliminary injunction.</w:t>
      </w:r>
      <w:r w:rsidRPr="00197C1B">
        <w:t xml:space="preserve"> </w:t>
      </w:r>
      <w:r w:rsidRPr="00197C1B">
        <w:t>75 P.3d at 19.</w:t>
      </w:r>
      <w:r w:rsidRPr="00197C1B">
        <w:t xml:space="preserve"> </w:t>
      </w:r>
      <w:r w:rsidRPr="00197C1B">
        <w:t>However, on remand to the court of appeal, that court found the trial court had erred in determining a likelihood of success on the merits of the trade secret claim, and that it erred in determining that the balance of equities favored an injunction.</w:t>
      </w:r>
      <w:r w:rsidRPr="00197C1B">
        <w:t xml:space="preserve"> </w:t>
      </w:r>
      <w:r w:rsidRPr="00197C1B">
        <w:t>DVD Copy Control Ass’n v.</w:t>
      </w:r>
      <w:r w:rsidRPr="00197C1B">
        <w:t xml:space="preserve"> </w:t>
      </w:r>
      <w:r w:rsidRPr="00197C1B">
        <w:t>Bunner, 116 Cal.</w:t>
      </w:r>
      <w:r w:rsidRPr="00197C1B">
        <w:t xml:space="preserve"> </w:t>
      </w:r>
      <w:r w:rsidRPr="00197C1B">
        <w:t>App.</w:t>
      </w:r>
      <w:r w:rsidRPr="00197C1B">
        <w:t xml:space="preserve"> </w:t>
      </w:r>
      <w:r w:rsidRPr="00197C1B">
        <w:t>4th 241, 10 Cal.</w:t>
      </w:r>
      <w:r w:rsidRPr="00197C1B">
        <w:t xml:space="preserve"> </w:t>
      </w:r>
      <w:r w:rsidRPr="00197C1B">
        <w:t>Rptr.3d 185, 194–96, 69 USPQ2d 1907 (2004).</w:t>
      </w:r>
      <w:r w:rsidRPr="00197C1B">
        <w:t xml:space="preserve"> </w:t>
      </w:r>
      <w:r w:rsidRPr="00197C1B">
        <w:t>As a result, “[t]he preliminary injunction, therefore, burdens more speech than necessary to protect DVD CCA’s property interest and was an unlawful prior restraint upon Bunner’s right to free speech.” 10 Cal.</w:t>
      </w:r>
      <w:r w:rsidRPr="00197C1B">
        <w:t xml:space="preserve"> </w:t>
      </w:r>
      <w:r w:rsidRPr="00197C1B">
        <w:t>Rptr.3d at 196.</w:t>
      </w:r>
    </w:p>
  </w:footnote>
  <w:footnote w:id="59">
    <w:p w14:paraId="46959963" w14:textId="4BB87481" w:rsidR="00197C1B" w:rsidRPr="0019374F" w:rsidRDefault="00197C1B" w:rsidP="00197C1B">
      <w:pPr>
        <w:pStyle w:val="FootnoteText"/>
      </w:pPr>
      <w:r w:rsidRPr="00197C1B">
        <w:rPr>
          <w:vertAlign w:val="superscript"/>
        </w:rPr>
        <w:footnoteRef/>
      </w:r>
      <w:r w:rsidRPr="00197C1B">
        <w:t>214 F.3d 658, 55 USPQ2d 1225 (5th Cir.</w:t>
      </w:r>
      <w:r w:rsidRPr="00197C1B">
        <w:t xml:space="preserve"> </w:t>
      </w:r>
      <w:r w:rsidRPr="00197C1B">
        <w:t>2000).</w:t>
      </w:r>
    </w:p>
  </w:footnote>
  <w:footnote w:id="60">
    <w:p w14:paraId="345298E0" w14:textId="7BBFEB32"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661.</w:t>
      </w:r>
    </w:p>
  </w:footnote>
  <w:footnote w:id="61">
    <w:p w14:paraId="6F6B39B9" w14:textId="43309F37"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662.</w:t>
      </w:r>
      <w:r w:rsidRPr="00197C1B">
        <w:t xml:space="preserve"> </w:t>
      </w:r>
      <w:r w:rsidRPr="00197C1B">
        <w:t xml:space="preserve">It also launched a second magazine, </w:t>
      </w:r>
      <w:r w:rsidRPr="00197C1B">
        <w:rPr>
          <w:i/>
        </w:rPr>
        <w:t>Polo Players Edition</w:t>
      </w:r>
      <w:r w:rsidRPr="00197C1B">
        <w:t xml:space="preserve">, which was similar to the old </w:t>
      </w:r>
      <w:r w:rsidRPr="00197C1B">
        <w:rPr>
          <w:i/>
        </w:rPr>
        <w:t>Polo</w:t>
      </w:r>
      <w:r w:rsidRPr="00197C1B">
        <w:t xml:space="preserve"> magazine in content.</w:t>
      </w:r>
      <w:r w:rsidRPr="00197C1B">
        <w:t xml:space="preserve"> </w:t>
      </w:r>
      <w:r w:rsidRPr="00197C1B">
        <w:rPr>
          <w:i/>
        </w:rPr>
        <w:t>Id</w:t>
      </w:r>
      <w:r w:rsidRPr="00197C1B">
        <w:t>.</w:t>
      </w:r>
    </w:p>
  </w:footnote>
  <w:footnote w:id="62">
    <w:p w14:paraId="241792AA" w14:textId="26434C38"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666–68.</w:t>
      </w:r>
      <w:r w:rsidRPr="00197C1B">
        <w:t xml:space="preserve"> </w:t>
      </w:r>
      <w:r w:rsidRPr="00197C1B">
        <w:t xml:space="preserve">The court of appeals also upheld the district court’s dismissal of the dilution claim, finding that no </w:t>
      </w:r>
      <w:r w:rsidRPr="00197C1B">
        <w:rPr>
          <w:i/>
        </w:rPr>
        <w:t>actual</w:t>
      </w:r>
      <w:r w:rsidRPr="00197C1B">
        <w:t xml:space="preserve"> dilution had been shown.</w:t>
      </w:r>
      <w:r w:rsidRPr="00197C1B">
        <w:t xml:space="preserve"> </w:t>
      </w:r>
      <w:r w:rsidRPr="00197C1B">
        <w:rPr>
          <w:i/>
        </w:rPr>
        <w:t>Id</w:t>
      </w:r>
      <w:r w:rsidRPr="00197C1B">
        <w:t>.</w:t>
      </w:r>
      <w:r w:rsidRPr="00197C1B">
        <w:t xml:space="preserve"> </w:t>
      </w:r>
      <w:r w:rsidRPr="00197C1B">
        <w:t>at 670–71.</w:t>
      </w:r>
      <w:r w:rsidRPr="00197C1B">
        <w:t xml:space="preserve"> </w:t>
      </w:r>
      <w:r w:rsidRPr="00197C1B">
        <w:t>The TDRA later changed the operative standard to likelihood of dilution.</w:t>
      </w:r>
    </w:p>
  </w:footnote>
  <w:footnote w:id="63">
    <w:p w14:paraId="6763F8D0" w14:textId="7ECFC0A1" w:rsidR="00197C1B" w:rsidRPr="0019374F" w:rsidRDefault="00197C1B" w:rsidP="00197C1B">
      <w:pPr>
        <w:pStyle w:val="FootnoteText"/>
      </w:pPr>
      <w:r w:rsidRPr="00197C1B">
        <w:rPr>
          <w:vertAlign w:val="superscript"/>
        </w:rPr>
        <w:footnoteRef/>
      </w:r>
      <w:r w:rsidRPr="00197C1B">
        <w:rPr>
          <w:i/>
        </w:rPr>
        <w:t>See id</w:t>
      </w:r>
      <w:r w:rsidRPr="00197C1B">
        <w:t>.</w:t>
      </w:r>
      <w:r w:rsidRPr="00197C1B">
        <w:t xml:space="preserve"> </w:t>
      </w:r>
      <w:r w:rsidRPr="00197C1B">
        <w:t>at 664–65 (requiring a “particularly compelling” showing of confusion to outweigh First Amendment interests).</w:t>
      </w:r>
    </w:p>
  </w:footnote>
  <w:footnote w:id="64">
    <w:p w14:paraId="34955005" w14:textId="031DDADA"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672.</w:t>
      </w:r>
    </w:p>
  </w:footnote>
  <w:footnote w:id="65">
    <w:p w14:paraId="71AB2BDC" w14:textId="2B618223"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672–73.</w:t>
      </w:r>
      <w:r w:rsidRPr="00197C1B">
        <w:t xml:space="preserve"> </w:t>
      </w:r>
      <w:r w:rsidRPr="00197C1B">
        <w:t>In a dilution case, disclaimers may not be effective, since confusion is not a required element of a dilution claim.</w:t>
      </w:r>
    </w:p>
  </w:footnote>
  <w:footnote w:id="66">
    <w:p w14:paraId="72153B8B" w14:textId="56CA413F"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672 &amp; n.18.</w:t>
      </w:r>
    </w:p>
  </w:footnote>
  <w:footnote w:id="67">
    <w:p w14:paraId="48C23F67" w14:textId="2835F823"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672.</w:t>
      </w:r>
    </w:p>
  </w:footnote>
  <w:footnote w:id="68">
    <w:p w14:paraId="46CF236F" w14:textId="397D1FEC" w:rsidR="00197C1B" w:rsidRPr="0019374F" w:rsidRDefault="00197C1B" w:rsidP="00197C1B">
      <w:pPr>
        <w:pStyle w:val="FootnoteText"/>
      </w:pPr>
      <w:r w:rsidRPr="00197C1B">
        <w:rPr>
          <w:vertAlign w:val="superscript"/>
        </w:rPr>
        <w:footnoteRef/>
      </w:r>
      <w:r w:rsidRPr="00197C1B">
        <w:rPr>
          <w:i/>
        </w:rPr>
        <w:t>Cf</w:t>
      </w:r>
      <w:r w:rsidRPr="00197C1B">
        <w:t>.</w:t>
      </w:r>
      <w:r w:rsidRPr="00197C1B">
        <w:t xml:space="preserve"> </w:t>
      </w:r>
      <w:r w:rsidRPr="00197C1B">
        <w:t>American Dairy Queen Corp.</w:t>
      </w:r>
      <w:r w:rsidRPr="00197C1B">
        <w:t xml:space="preserve"> </w:t>
      </w:r>
      <w:r w:rsidRPr="00197C1B">
        <w:t>v.</w:t>
      </w:r>
      <w:r w:rsidRPr="00197C1B">
        <w:t xml:space="preserve"> </w:t>
      </w:r>
      <w:r w:rsidRPr="00197C1B">
        <w:t>New Line Prods., Inc., 35 F.</w:t>
      </w:r>
      <w:r w:rsidRPr="00197C1B">
        <w:t xml:space="preserve"> </w:t>
      </w:r>
      <w:r w:rsidRPr="00197C1B">
        <w:t>Supp.</w:t>
      </w:r>
      <w:r w:rsidRPr="00197C1B">
        <w:t xml:space="preserve"> </w:t>
      </w:r>
      <w:r w:rsidRPr="00197C1B">
        <w:t>2d 727, 733–34 (D.</w:t>
      </w:r>
      <w:r w:rsidRPr="00197C1B">
        <w:t xml:space="preserve"> </w:t>
      </w:r>
      <w:r w:rsidRPr="00197C1B">
        <w:t>Minn.</w:t>
      </w:r>
      <w:r w:rsidRPr="00197C1B">
        <w:t xml:space="preserve"> </w:t>
      </w:r>
      <w:r w:rsidRPr="00197C1B">
        <w:t>1998) (rejecting First Amendment defense to dilution claim regarding title of movie).</w:t>
      </w:r>
    </w:p>
  </w:footnote>
  <w:footnote w:id="69">
    <w:p w14:paraId="76724D6E" w14:textId="103E65F9" w:rsidR="00197C1B" w:rsidRPr="0019374F" w:rsidRDefault="00197C1B" w:rsidP="00197C1B">
      <w:pPr>
        <w:pStyle w:val="FootnoteText"/>
      </w:pPr>
      <w:r w:rsidRPr="00197C1B">
        <w:rPr>
          <w:vertAlign w:val="superscript"/>
        </w:rPr>
        <w:footnoteRef/>
      </w:r>
      <w:r w:rsidRPr="00197C1B">
        <w:rPr>
          <w:i/>
        </w:rPr>
        <w:t>See</w:t>
      </w:r>
      <w:r w:rsidRPr="00197C1B">
        <w:t xml:space="preserve"> Chapter 9, §II.H.</w:t>
      </w:r>
    </w:p>
  </w:footnote>
  <w:footnote w:id="70">
    <w:p w14:paraId="33E57F1C" w14:textId="4BC02B3C" w:rsidR="00197C1B" w:rsidRPr="0019374F" w:rsidRDefault="00197C1B" w:rsidP="00197C1B">
      <w:pPr>
        <w:pStyle w:val="FootnoteText"/>
      </w:pPr>
      <w:r w:rsidRPr="00197C1B">
        <w:rPr>
          <w:vertAlign w:val="superscript"/>
        </w:rPr>
        <w:footnoteRef/>
      </w:r>
      <w:r w:rsidRPr="00197C1B">
        <w:rPr>
          <w:i/>
        </w:rPr>
        <w:t>E</w:t>
      </w:r>
      <w:r w:rsidRPr="00197C1B">
        <w:t>.</w:t>
      </w:r>
      <w:r w:rsidRPr="00197C1B">
        <w:rPr>
          <w:i/>
        </w:rPr>
        <w:t>g</w:t>
      </w:r>
      <w:r w:rsidRPr="00197C1B">
        <w:t>., PACCAR, Inc.</w:t>
      </w:r>
      <w:r w:rsidRPr="00197C1B">
        <w:t xml:space="preserve"> </w:t>
      </w:r>
      <w:r w:rsidRPr="00197C1B">
        <w:t>v.</w:t>
      </w:r>
      <w:r w:rsidRPr="00197C1B">
        <w:t xml:space="preserve"> </w:t>
      </w:r>
      <w:r w:rsidRPr="00197C1B">
        <w:t>Telescan Techs., LLC, 115 F.</w:t>
      </w:r>
      <w:r w:rsidRPr="00197C1B">
        <w:t xml:space="preserve"> </w:t>
      </w:r>
      <w:r w:rsidRPr="00197C1B">
        <w:t>Supp.</w:t>
      </w:r>
      <w:r w:rsidRPr="00197C1B">
        <w:t xml:space="preserve"> </w:t>
      </w:r>
      <w:r w:rsidRPr="00197C1B">
        <w:t>2d 772, 781 (E.D.</w:t>
      </w:r>
      <w:r w:rsidRPr="00197C1B">
        <w:t xml:space="preserve"> </w:t>
      </w:r>
      <w:r w:rsidRPr="00197C1B">
        <w:t>Mich.</w:t>
      </w:r>
      <w:r w:rsidRPr="00197C1B">
        <w:t xml:space="preserve"> </w:t>
      </w:r>
      <w:r w:rsidRPr="00197C1B">
        <w:t xml:space="preserve">2000), </w:t>
      </w:r>
      <w:r w:rsidRPr="00197C1B">
        <w:rPr>
          <w:i/>
        </w:rPr>
        <w:t>aff’d in part, vacated in part</w:t>
      </w:r>
      <w:r w:rsidRPr="00197C1B">
        <w:t>, 319 F.3d 243, 65 USPQ2d 1761 (6th Cir.</w:t>
      </w:r>
      <w:r w:rsidRPr="00197C1B">
        <w:t xml:space="preserve"> </w:t>
      </w:r>
      <w:r w:rsidRPr="00197C1B">
        <w:t>2003);</w:t>
      </w:r>
      <w:r w:rsidRPr="00197C1B">
        <w:t xml:space="preserve"> </w:t>
      </w:r>
      <w:r w:rsidRPr="00197C1B">
        <w:t>Panavision Int’l, L.P.</w:t>
      </w:r>
      <w:r w:rsidRPr="00197C1B">
        <w:t xml:space="preserve"> </w:t>
      </w:r>
      <w:r w:rsidRPr="00197C1B">
        <w:t>v.</w:t>
      </w:r>
      <w:r w:rsidRPr="00197C1B">
        <w:t xml:space="preserve"> </w:t>
      </w:r>
      <w:r w:rsidRPr="00197C1B">
        <w:t>Toeppen, 945 F.</w:t>
      </w:r>
      <w:r w:rsidRPr="00197C1B">
        <w:t xml:space="preserve"> </w:t>
      </w:r>
      <w:r w:rsidRPr="00197C1B">
        <w:t>Supp.</w:t>
      </w:r>
      <w:r w:rsidRPr="00197C1B">
        <w:t xml:space="preserve"> </w:t>
      </w:r>
      <w:r w:rsidRPr="00197C1B">
        <w:t>1296, 1306, 40 USPQ2d 1908 (C.D.</w:t>
      </w:r>
      <w:r w:rsidRPr="00197C1B">
        <w:t xml:space="preserve"> </w:t>
      </w:r>
      <w:r w:rsidRPr="00197C1B">
        <w:t>Cal.</w:t>
      </w:r>
      <w:r w:rsidRPr="00197C1B">
        <w:t xml:space="preserve"> </w:t>
      </w:r>
      <w:r w:rsidRPr="00197C1B">
        <w:t>1996) (ordering defendant “to take all actions necessary to transfer the registrations .</w:t>
      </w:r>
      <w:r w:rsidRPr="00197C1B">
        <w:t xml:space="preserve"> </w:t>
      </w:r>
      <w:r w:rsidRPr="00197C1B">
        <w:t xml:space="preserve">. .”), </w:t>
      </w:r>
      <w:r w:rsidRPr="00197C1B">
        <w:rPr>
          <w:i/>
        </w:rPr>
        <w:t>aff’d</w:t>
      </w:r>
      <w:r w:rsidRPr="00197C1B">
        <w:t>, 141 F.3d 1316, 46 USPQ2d 1511 (9th Cir.</w:t>
      </w:r>
      <w:r w:rsidRPr="00197C1B">
        <w:t xml:space="preserve"> </w:t>
      </w:r>
      <w:r w:rsidRPr="00197C1B">
        <w:t>1998);</w:t>
      </w:r>
      <w:r w:rsidRPr="00197C1B">
        <w:t xml:space="preserve"> </w:t>
      </w:r>
      <w:r w:rsidRPr="00197C1B">
        <w:t>Caterpillar, Inc.</w:t>
      </w:r>
      <w:r w:rsidRPr="00197C1B">
        <w:t xml:space="preserve"> </w:t>
      </w:r>
      <w:r w:rsidRPr="00197C1B">
        <w:t>v.</w:t>
      </w:r>
      <w:r w:rsidRPr="00197C1B">
        <w:t xml:space="preserve"> </w:t>
      </w:r>
      <w:r w:rsidRPr="00197C1B">
        <w:t>Telescan Techs., LLC, 2002 WL 1301304, at *7, 2002 BL 2374 (C.D.</w:t>
      </w:r>
      <w:r w:rsidRPr="00197C1B">
        <w:t xml:space="preserve"> </w:t>
      </w:r>
      <w:r w:rsidRPr="00197C1B">
        <w:t>Ill.</w:t>
      </w:r>
      <w:r w:rsidRPr="00197C1B">
        <w:t xml:space="preserve"> </w:t>
      </w:r>
      <w:r w:rsidRPr="00197C1B">
        <w:t>Feb.</w:t>
      </w:r>
      <w:r w:rsidRPr="00197C1B">
        <w:t xml:space="preserve"> </w:t>
      </w:r>
      <w:r w:rsidRPr="00197C1B">
        <w:t>13, 2002).</w:t>
      </w:r>
    </w:p>
  </w:footnote>
  <w:footnote w:id="71">
    <w:p w14:paraId="1473607C" w14:textId="2876DC78" w:rsidR="00197C1B" w:rsidRPr="0019374F" w:rsidRDefault="00197C1B" w:rsidP="00197C1B">
      <w:pPr>
        <w:pStyle w:val="FootnoteText"/>
      </w:pPr>
      <w:r w:rsidRPr="00197C1B">
        <w:rPr>
          <w:vertAlign w:val="superscript"/>
        </w:rPr>
        <w:footnoteRef/>
      </w:r>
      <w:r w:rsidRPr="00197C1B">
        <w:t>302 F.3d 248, 64 USPQ2d 1248 (4th Cir.</w:t>
      </w:r>
      <w:r w:rsidRPr="00197C1B">
        <w:t xml:space="preserve"> </w:t>
      </w:r>
      <w:r w:rsidRPr="00197C1B">
        <w:t>2002).</w:t>
      </w:r>
    </w:p>
  </w:footnote>
  <w:footnote w:id="72">
    <w:p w14:paraId="48E5B10F" w14:textId="264783D3"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260.</w:t>
      </w:r>
    </w:p>
  </w:footnote>
  <w:footnote w:id="73">
    <w:p w14:paraId="6D2CCDB1" w14:textId="20990621"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261.</w:t>
      </w:r>
    </w:p>
  </w:footnote>
  <w:footnote w:id="74">
    <w:p w14:paraId="73EF3D86" w14:textId="298CD69D" w:rsidR="00197C1B" w:rsidRPr="001402DA" w:rsidRDefault="00197C1B" w:rsidP="00197C1B">
      <w:pPr>
        <w:pStyle w:val="FootnoteText"/>
        <w:rPr>
          <w:lang w:val="da-DK"/>
        </w:rPr>
      </w:pPr>
      <w:r w:rsidRPr="00197C1B">
        <w:rPr>
          <w:vertAlign w:val="superscript"/>
        </w:rPr>
        <w:footnoteRef/>
      </w:r>
      <w:r w:rsidRPr="00197C1B">
        <w:rPr>
          <w:i/>
        </w:rPr>
        <w:t>Id</w:t>
      </w:r>
      <w:r w:rsidRPr="00197C1B">
        <w:t>.</w:t>
      </w:r>
    </w:p>
  </w:footnote>
  <w:footnote w:id="75">
    <w:p w14:paraId="3B13B74A" w14:textId="1B120879"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See Chapter 14 for a discussion of the ACPA.</w:t>
      </w:r>
    </w:p>
  </w:footnote>
  <w:footnote w:id="76">
    <w:p w14:paraId="37BD708F" w14:textId="1E25295A"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General Motors Corp.</w:t>
      </w:r>
      <w:r w:rsidRPr="00197C1B">
        <w:t xml:space="preserve"> </w:t>
      </w:r>
      <w:r w:rsidRPr="00197C1B">
        <w:t>v.</w:t>
      </w:r>
      <w:r w:rsidRPr="00197C1B">
        <w:t xml:space="preserve"> </w:t>
      </w:r>
      <w:r w:rsidRPr="00197C1B">
        <w:t>E-Publications LLC, 2001 WL 1798648, at *4, 2001 BL 1654 (E.D.</w:t>
      </w:r>
      <w:r w:rsidRPr="00197C1B">
        <w:t xml:space="preserve"> </w:t>
      </w:r>
      <w:r w:rsidRPr="00197C1B">
        <w:t>Mich.</w:t>
      </w:r>
      <w:r w:rsidRPr="00197C1B">
        <w:t xml:space="preserve"> </w:t>
      </w:r>
      <w:r w:rsidRPr="00197C1B">
        <w:t>Nov.</w:t>
      </w:r>
      <w:r w:rsidRPr="00197C1B">
        <w:t xml:space="preserve"> </w:t>
      </w:r>
      <w:r w:rsidRPr="00197C1B">
        <w:t>26, 2001) (citing and quoting cases).</w:t>
      </w:r>
      <w:r w:rsidRPr="00197C1B">
        <w:t xml:space="preserve"> </w:t>
      </w:r>
      <w:r w:rsidRPr="00197C1B">
        <w:rPr>
          <w:i/>
        </w:rPr>
        <w:t>But see</w:t>
      </w:r>
      <w:r w:rsidRPr="00197C1B">
        <w:t xml:space="preserve"> Cottonwood Fin.</w:t>
      </w:r>
      <w:r w:rsidRPr="00197C1B">
        <w:t xml:space="preserve"> </w:t>
      </w:r>
      <w:r w:rsidRPr="00197C1B">
        <w:t>Ltd.</w:t>
      </w:r>
      <w:r w:rsidRPr="00197C1B">
        <w:t xml:space="preserve"> </w:t>
      </w:r>
      <w:r w:rsidRPr="00197C1B">
        <w:t>v.</w:t>
      </w:r>
      <w:r w:rsidRPr="00197C1B">
        <w:t xml:space="preserve"> </w:t>
      </w:r>
      <w:r w:rsidRPr="00197C1B">
        <w:t>Cash Store Fin.</w:t>
      </w:r>
      <w:r w:rsidRPr="00197C1B">
        <w:t xml:space="preserve"> </w:t>
      </w:r>
      <w:r w:rsidRPr="00197C1B">
        <w:t>Servs., Inc., 778 F.</w:t>
      </w:r>
      <w:r w:rsidRPr="00197C1B">
        <w:t xml:space="preserve"> </w:t>
      </w:r>
      <w:r w:rsidRPr="00197C1B">
        <w:t>Supp.</w:t>
      </w:r>
      <w:r w:rsidRPr="00197C1B">
        <w:t xml:space="preserve"> </w:t>
      </w:r>
      <w:r w:rsidRPr="00197C1B">
        <w:t>2d 726, 761 (N.D.</w:t>
      </w:r>
      <w:r w:rsidRPr="00197C1B">
        <w:t xml:space="preserve"> </w:t>
      </w:r>
      <w:r w:rsidRPr="00197C1B">
        <w:t>Tex.</w:t>
      </w:r>
      <w:r w:rsidRPr="00197C1B">
        <w:t xml:space="preserve"> </w:t>
      </w:r>
      <w:r w:rsidRPr="00197C1B">
        <w:t>2011) (using disclaimer as a remedy in a claim brought under Texas dilution law).</w:t>
      </w:r>
    </w:p>
  </w:footnote>
  <w:footnote w:id="77">
    <w:p w14:paraId="31B0812F" w14:textId="5CF735C2" w:rsidR="00197C1B" w:rsidRPr="0019374F" w:rsidRDefault="00197C1B" w:rsidP="00197C1B">
      <w:pPr>
        <w:pStyle w:val="FootnoteText"/>
      </w:pPr>
      <w:r w:rsidRPr="00197C1B">
        <w:rPr>
          <w:vertAlign w:val="superscript"/>
        </w:rPr>
        <w:footnoteRef/>
      </w:r>
      <w:r w:rsidRPr="00197C1B">
        <w:t>Date of enactment of the TDRA.</w:t>
      </w:r>
    </w:p>
  </w:footnote>
  <w:footnote w:id="78">
    <w:p w14:paraId="13E053E6" w14:textId="453CCF82" w:rsidR="00197C1B" w:rsidRPr="0019374F" w:rsidRDefault="00197C1B" w:rsidP="00197C1B">
      <w:pPr>
        <w:pStyle w:val="FootnoteText"/>
      </w:pPr>
      <w:r w:rsidRPr="00197C1B">
        <w:rPr>
          <w:vertAlign w:val="superscript"/>
        </w:rPr>
        <w:footnoteRef/>
      </w:r>
      <w:r w:rsidRPr="00197C1B">
        <w:t>See §III.A, below, for a discussion of “willful intent.”</w:t>
      </w:r>
    </w:p>
  </w:footnote>
  <w:footnote w:id="79">
    <w:p w14:paraId="577D0E8C" w14:textId="226796FF" w:rsidR="00197C1B" w:rsidRPr="0019374F" w:rsidRDefault="00197C1B" w:rsidP="00197C1B">
      <w:pPr>
        <w:pStyle w:val="FootnoteText"/>
      </w:pPr>
      <w:r w:rsidRPr="00197C1B">
        <w:rPr>
          <w:vertAlign w:val="superscript"/>
        </w:rPr>
        <w:footnoteRef/>
      </w:r>
      <w:r w:rsidRPr="00197C1B">
        <w:t>15 U.S.C.</w:t>
      </w:r>
      <w:r w:rsidRPr="00197C1B">
        <w:t xml:space="preserve"> </w:t>
      </w:r>
      <w:r w:rsidRPr="00197C1B">
        <w:t>§1117(a).</w:t>
      </w:r>
    </w:p>
  </w:footnote>
  <w:footnote w:id="80">
    <w:p w14:paraId="2D7C1681" w14:textId="12B0183F" w:rsidR="00197C1B" w:rsidRPr="0019374F" w:rsidRDefault="00197C1B" w:rsidP="00197C1B">
      <w:pPr>
        <w:pStyle w:val="FootnoteText"/>
      </w:pPr>
      <w:r w:rsidRPr="00197C1B">
        <w:rPr>
          <w:vertAlign w:val="superscript"/>
        </w:rPr>
        <w:footnoteRef/>
      </w:r>
      <w:r w:rsidRPr="00197C1B">
        <w:rPr>
          <w:i/>
        </w:rPr>
        <w:t>Id</w:t>
      </w:r>
      <w:r w:rsidRPr="00197C1B">
        <w:t>.</w:t>
      </w:r>
    </w:p>
  </w:footnote>
  <w:footnote w:id="81">
    <w:p w14:paraId="42CA0BB1" w14:textId="4EA4DDC6" w:rsidR="00197C1B" w:rsidRPr="0019374F" w:rsidRDefault="00197C1B" w:rsidP="00197C1B">
      <w:pPr>
        <w:pStyle w:val="FootnoteText"/>
      </w:pPr>
      <w:r w:rsidRPr="00197C1B">
        <w:rPr>
          <w:vertAlign w:val="superscript"/>
        </w:rPr>
        <w:footnoteRef/>
      </w:r>
      <w:r w:rsidRPr="00197C1B">
        <w:t xml:space="preserve">However, any enhancement of either actual damages or profits must “constitute compensation and not a penalty.” </w:t>
      </w:r>
      <w:r w:rsidRPr="00197C1B">
        <w:rPr>
          <w:i/>
        </w:rPr>
        <w:t>Id</w:t>
      </w:r>
      <w:r w:rsidRPr="00197C1B">
        <w:t>.</w:t>
      </w:r>
      <w:r w:rsidRPr="00197C1B">
        <w:t xml:space="preserve"> </w:t>
      </w:r>
      <w:r w:rsidRPr="00197C1B">
        <w:t>Moreover, although the statute provides for a trebling of actual damages, it does not permit trebling of profits.</w:t>
      </w:r>
      <w:r w:rsidRPr="00197C1B">
        <w:t xml:space="preserve"> </w:t>
      </w:r>
      <w:r w:rsidRPr="00197C1B">
        <w:rPr>
          <w:i/>
        </w:rPr>
        <w:t>E</w:t>
      </w:r>
      <w:r w:rsidRPr="00197C1B">
        <w:t>.</w:t>
      </w:r>
      <w:r w:rsidRPr="00197C1B">
        <w:rPr>
          <w:i/>
        </w:rPr>
        <w:t>g</w:t>
      </w:r>
      <w:r w:rsidRPr="00197C1B">
        <w:t>., Beautybank, Inc.</w:t>
      </w:r>
      <w:r w:rsidRPr="00197C1B">
        <w:t xml:space="preserve"> </w:t>
      </w:r>
      <w:r w:rsidRPr="00197C1B">
        <w:t>v.</w:t>
      </w:r>
      <w:r w:rsidRPr="00197C1B">
        <w:t xml:space="preserve"> </w:t>
      </w:r>
      <w:r w:rsidRPr="00197C1B">
        <w:t>Harvey Prince, LLC, 2011 U.S.</w:t>
      </w:r>
      <w:r w:rsidRPr="00197C1B">
        <w:t xml:space="preserve"> </w:t>
      </w:r>
      <w:r w:rsidRPr="00197C1B">
        <w:t>Dist.</w:t>
      </w:r>
      <w:r w:rsidRPr="00197C1B">
        <w:t xml:space="preserve"> </w:t>
      </w:r>
      <w:r w:rsidRPr="00197C1B">
        <w:t>LEXIS 17932, at *15–16 (S.D.N.Y.</w:t>
      </w:r>
      <w:r w:rsidRPr="00197C1B">
        <w:t xml:space="preserve"> </w:t>
      </w:r>
      <w:r w:rsidRPr="00197C1B">
        <w:t>Feb.</w:t>
      </w:r>
      <w:r w:rsidRPr="00197C1B">
        <w:t xml:space="preserve"> </w:t>
      </w:r>
      <w:r w:rsidRPr="00197C1B">
        <w:t>23, 2011) (magistrate judge).</w:t>
      </w:r>
    </w:p>
  </w:footnote>
  <w:footnote w:id="82">
    <w:p w14:paraId="29DC2A7C" w14:textId="5EC8D590" w:rsidR="00197C1B" w:rsidRPr="0019374F" w:rsidRDefault="00197C1B" w:rsidP="00197C1B">
      <w:pPr>
        <w:pStyle w:val="FootnoteText"/>
      </w:pPr>
      <w:r w:rsidRPr="00197C1B">
        <w:rPr>
          <w:vertAlign w:val="superscript"/>
        </w:rPr>
        <w:footnoteRef/>
      </w:r>
      <w:r w:rsidRPr="00197C1B">
        <w:t>15 U.S.C.</w:t>
      </w:r>
      <w:r w:rsidRPr="00197C1B">
        <w:t xml:space="preserve"> </w:t>
      </w:r>
      <w:r w:rsidRPr="00197C1B">
        <w:t>§1117(a).</w:t>
      </w:r>
    </w:p>
  </w:footnote>
  <w:footnote w:id="83">
    <w:p w14:paraId="60EEE151" w14:textId="1CF534EA" w:rsidR="00197C1B" w:rsidRPr="0019374F" w:rsidRDefault="00197C1B" w:rsidP="00197C1B">
      <w:pPr>
        <w:pStyle w:val="FootnoteText"/>
      </w:pPr>
      <w:r w:rsidRPr="00197C1B">
        <w:rPr>
          <w:vertAlign w:val="superscript"/>
        </w:rPr>
        <w:footnoteRef/>
      </w:r>
      <w:r w:rsidRPr="00197C1B">
        <w:t>Lanham Act §29, 15 U.S.C.</w:t>
      </w:r>
      <w:r w:rsidRPr="00197C1B">
        <w:t xml:space="preserve"> </w:t>
      </w:r>
      <w:r w:rsidRPr="00197C1B">
        <w:t>§1111.</w:t>
      </w:r>
    </w:p>
  </w:footnote>
  <w:footnote w:id="84">
    <w:p w14:paraId="235D1BFD" w14:textId="25DCC9C0"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§35(a), 15 U.S.C.</w:t>
      </w:r>
      <w:r w:rsidRPr="00197C1B">
        <w:t xml:space="preserve"> </w:t>
      </w:r>
      <w:r w:rsidRPr="00197C1B">
        <w:t>§1117(a).</w:t>
      </w:r>
    </w:p>
  </w:footnote>
  <w:footnote w:id="85">
    <w:p w14:paraId="22530B5A" w14:textId="606D2FDC" w:rsidR="00197C1B" w:rsidRPr="0019374F" w:rsidRDefault="00197C1B" w:rsidP="00197C1B">
      <w:pPr>
        <w:pStyle w:val="FootnoteText"/>
      </w:pPr>
      <w:r w:rsidRPr="00197C1B">
        <w:rPr>
          <w:vertAlign w:val="superscript"/>
        </w:rPr>
        <w:footnoteRef/>
      </w:r>
      <w:r w:rsidRPr="00197C1B">
        <w:t>Coach, Inc.</w:t>
      </w:r>
      <w:r w:rsidRPr="00197C1B">
        <w:t xml:space="preserve"> </w:t>
      </w:r>
      <w:r w:rsidRPr="00197C1B">
        <w:t>v.</w:t>
      </w:r>
      <w:r w:rsidRPr="00197C1B">
        <w:t xml:space="preserve"> </w:t>
      </w:r>
      <w:r w:rsidRPr="00197C1B">
        <w:t>Asia Pac.</w:t>
      </w:r>
      <w:r w:rsidRPr="00197C1B">
        <w:t xml:space="preserve"> </w:t>
      </w:r>
      <w:r w:rsidRPr="00197C1B">
        <w:t>Trading Co., 676 F.</w:t>
      </w:r>
      <w:r w:rsidRPr="00197C1B">
        <w:t xml:space="preserve"> </w:t>
      </w:r>
      <w:r w:rsidRPr="00197C1B">
        <w:t>Supp.</w:t>
      </w:r>
      <w:r w:rsidRPr="00197C1B">
        <w:t xml:space="preserve"> </w:t>
      </w:r>
      <w:r w:rsidRPr="00197C1B">
        <w:t>2d 914, 922–24 (C.D.</w:t>
      </w:r>
      <w:r w:rsidRPr="00197C1B">
        <w:t xml:space="preserve"> </w:t>
      </w:r>
      <w:r w:rsidRPr="00197C1B">
        <w:t>Cal.</w:t>
      </w:r>
      <w:r w:rsidRPr="00197C1B">
        <w:t xml:space="preserve"> </w:t>
      </w:r>
      <w:r w:rsidRPr="00197C1B">
        <w:t>2009).</w:t>
      </w:r>
      <w:r w:rsidRPr="00197C1B">
        <w:t xml:space="preserve"> </w:t>
      </w:r>
      <w:r w:rsidRPr="00197C1B">
        <w:rPr>
          <w:i/>
        </w:rPr>
        <w:t>See</w:t>
      </w:r>
      <w:r w:rsidRPr="00197C1B">
        <w:t xml:space="preserve"> Apple, Inc.</w:t>
      </w:r>
      <w:r w:rsidRPr="00197C1B">
        <w:t xml:space="preserve"> </w:t>
      </w:r>
      <w:r w:rsidRPr="00197C1B">
        <w:t>v.</w:t>
      </w:r>
      <w:r w:rsidRPr="00197C1B">
        <w:t xml:space="preserve"> </w:t>
      </w:r>
      <w:r w:rsidRPr="00197C1B">
        <w:t>Samsung Elecs.</w:t>
      </w:r>
      <w:r w:rsidRPr="00197C1B">
        <w:t xml:space="preserve"> </w:t>
      </w:r>
      <w:r w:rsidRPr="00197C1B">
        <w:t>Co., 926 F.</w:t>
      </w:r>
      <w:r w:rsidRPr="00197C1B">
        <w:t xml:space="preserve"> </w:t>
      </w:r>
      <w:r w:rsidRPr="00197C1B">
        <w:t>Supp.</w:t>
      </w:r>
      <w:r w:rsidRPr="00197C1B">
        <w:t xml:space="preserve"> </w:t>
      </w:r>
      <w:r w:rsidRPr="00197C1B">
        <w:t>2d 1100, 1113 (N.D.</w:t>
      </w:r>
      <w:r w:rsidRPr="00197C1B">
        <w:t xml:space="preserve"> </w:t>
      </w:r>
      <w:r w:rsidRPr="00197C1B">
        <w:t>Cal.</w:t>
      </w:r>
      <w:r w:rsidRPr="00197C1B">
        <w:t xml:space="preserve"> </w:t>
      </w:r>
      <w:r w:rsidRPr="00197C1B">
        <w:t xml:space="preserve">2013), </w:t>
      </w:r>
      <w:r w:rsidRPr="00197C1B">
        <w:rPr>
          <w:i/>
        </w:rPr>
        <w:t>aff’d in part</w:t>
      </w:r>
      <w:r w:rsidRPr="00197C1B">
        <w:t xml:space="preserve">, </w:t>
      </w:r>
      <w:r w:rsidRPr="00197C1B">
        <w:rPr>
          <w:i/>
        </w:rPr>
        <w:t>rev’d in part on other grounds</w:t>
      </w:r>
      <w:r w:rsidRPr="00197C1B">
        <w:t>, 786 F.3d 983, 114 USPQ2d 1953 (Fed.</w:t>
      </w:r>
      <w:r w:rsidRPr="00197C1B">
        <w:t xml:space="preserve"> </w:t>
      </w:r>
      <w:r w:rsidRPr="00197C1B">
        <w:t>Cir.</w:t>
      </w:r>
      <w:r w:rsidRPr="00197C1B">
        <w:t xml:space="preserve"> </w:t>
      </w:r>
      <w:r w:rsidRPr="00197C1B">
        <w:t>2015) (the Federal Circuit reversed the trade dress portion of the judgment on the grounds that the trade dress was functional and did not reach the dilution issues).</w:t>
      </w:r>
      <w:r w:rsidRPr="00197C1B">
        <w:t xml:space="preserve"> </w:t>
      </w:r>
      <w:r w:rsidRPr="00197C1B">
        <w:t>This issue is also discussed in Section III.E, below.</w:t>
      </w:r>
    </w:p>
  </w:footnote>
  <w:footnote w:id="86">
    <w:p w14:paraId="27C6BB9C" w14:textId="12F53412" w:rsidR="00197C1B" w:rsidRPr="0019374F" w:rsidRDefault="00197C1B" w:rsidP="00197C1B">
      <w:pPr>
        <w:pStyle w:val="FootnoteText"/>
      </w:pPr>
      <w:r w:rsidRPr="00197C1B">
        <w:rPr>
          <w:vertAlign w:val="superscript"/>
        </w:rPr>
        <w:footnoteRef/>
      </w:r>
      <w:r w:rsidRPr="00197C1B">
        <w:t>15 U.S.C.</w:t>
      </w:r>
      <w:r w:rsidRPr="00197C1B">
        <w:t xml:space="preserve"> </w:t>
      </w:r>
      <w:r w:rsidRPr="00197C1B">
        <w:t>§1118.</w:t>
      </w:r>
    </w:p>
  </w:footnote>
  <w:footnote w:id="87">
    <w:p w14:paraId="1C08C6B8" w14:textId="57D202CE" w:rsidR="00197C1B" w:rsidRPr="0019374F" w:rsidRDefault="00197C1B" w:rsidP="00197C1B">
      <w:pPr>
        <w:pStyle w:val="FootnoteText"/>
      </w:pPr>
      <w:r w:rsidRPr="00197C1B">
        <w:rPr>
          <w:vertAlign w:val="superscript"/>
        </w:rPr>
        <w:footnoteRef/>
      </w:r>
      <w:r w:rsidRPr="00197C1B">
        <w:rPr>
          <w:i/>
        </w:rPr>
        <w:t>See</w:t>
      </w:r>
      <w:r w:rsidRPr="00197C1B">
        <w:t xml:space="preserve"> §I, above.</w:t>
      </w:r>
    </w:p>
  </w:footnote>
  <w:footnote w:id="88">
    <w:p w14:paraId="7DC2617F" w14:textId="36679EE3"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Coach, Inc.</w:t>
      </w:r>
      <w:r w:rsidRPr="00197C1B">
        <w:t xml:space="preserve"> </w:t>
      </w:r>
      <w:r w:rsidRPr="00197C1B">
        <w:t>v.</w:t>
      </w:r>
      <w:r w:rsidRPr="00197C1B">
        <w:t xml:space="preserve"> </w:t>
      </w:r>
      <w:r w:rsidRPr="00197C1B">
        <w:t>We Care Trading Co., 2001 WL 812126, at *15 (S.D.N.Y.</w:t>
      </w:r>
      <w:r w:rsidRPr="00197C1B">
        <w:t xml:space="preserve"> </w:t>
      </w:r>
      <w:r w:rsidRPr="00197C1B">
        <w:t xml:space="preserve">July 18, 2001), </w:t>
      </w:r>
      <w:r w:rsidRPr="00197C1B">
        <w:rPr>
          <w:i/>
        </w:rPr>
        <w:t>aff’d in part, vacated in part</w:t>
      </w:r>
      <w:r w:rsidRPr="00197C1B">
        <w:t>, 67 F.</w:t>
      </w:r>
      <w:r w:rsidRPr="00197C1B">
        <w:t xml:space="preserve"> </w:t>
      </w:r>
      <w:r w:rsidRPr="00197C1B">
        <w:t>App’x 626 (2</w:t>
      </w:r>
      <w:r w:rsidRPr="00197C1B">
        <w:t xml:space="preserve">d Cir. </w:t>
      </w:r>
      <w:r w:rsidRPr="00197C1B">
        <w:t xml:space="preserve">2002) (unpublished), </w:t>
      </w:r>
      <w:r w:rsidRPr="00197C1B">
        <w:rPr>
          <w:i/>
        </w:rPr>
        <w:t>cert</w:t>
      </w:r>
      <w:r w:rsidRPr="00197C1B">
        <w:t>.</w:t>
      </w:r>
      <w:r w:rsidRPr="00197C1B">
        <w:t xml:space="preserve"> </w:t>
      </w:r>
      <w:r w:rsidRPr="00197C1B">
        <w:rPr>
          <w:i/>
        </w:rPr>
        <w:t>denied</w:t>
      </w:r>
      <w:r w:rsidRPr="00197C1B">
        <w:t>, 537 U.S.</w:t>
      </w:r>
      <w:r w:rsidRPr="00197C1B">
        <w:t xml:space="preserve"> </w:t>
      </w:r>
      <w:r w:rsidRPr="00197C1B">
        <w:t>1108 (2003).</w:t>
      </w:r>
    </w:p>
  </w:footnote>
  <w:footnote w:id="89">
    <w:p w14:paraId="700279C0" w14:textId="1985DE39" w:rsidR="00197C1B" w:rsidRPr="0019374F" w:rsidRDefault="00197C1B" w:rsidP="00197C1B">
      <w:pPr>
        <w:pStyle w:val="FootnoteText"/>
      </w:pPr>
      <w:r w:rsidRPr="00197C1B">
        <w:rPr>
          <w:vertAlign w:val="superscript"/>
        </w:rPr>
        <w:footnoteRef/>
      </w:r>
      <w:r w:rsidRPr="00197C1B">
        <w:t>That is, in cases requiring confusion.</w:t>
      </w:r>
    </w:p>
  </w:footnote>
  <w:footnote w:id="90">
    <w:p w14:paraId="74DA8E68" w14:textId="4EFACF2A"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George Basch Co.</w:t>
      </w:r>
      <w:r w:rsidRPr="00197C1B">
        <w:t xml:space="preserve"> </w:t>
      </w:r>
      <w:r w:rsidRPr="00197C1B">
        <w:t>v.</w:t>
      </w:r>
      <w:r w:rsidRPr="00197C1B">
        <w:t xml:space="preserve"> </w:t>
      </w:r>
      <w:r w:rsidRPr="00197C1B">
        <w:t xml:space="preserve">Blue Coral, Inc., 968 F.2d 1532, 1540, 23 USPQ2d 1351 (2d Cir.), </w:t>
      </w:r>
      <w:r w:rsidRPr="00197C1B">
        <w:rPr>
          <w:i/>
        </w:rPr>
        <w:t>cert</w:t>
      </w:r>
      <w:r w:rsidRPr="00197C1B">
        <w:t>.</w:t>
      </w:r>
      <w:r w:rsidRPr="00197C1B">
        <w:t xml:space="preserve"> </w:t>
      </w:r>
      <w:r w:rsidRPr="00197C1B">
        <w:rPr>
          <w:i/>
        </w:rPr>
        <w:t>denied</w:t>
      </w:r>
      <w:r w:rsidRPr="00197C1B">
        <w:t>, 506 U.S.</w:t>
      </w:r>
      <w:r w:rsidRPr="00197C1B">
        <w:t xml:space="preserve"> </w:t>
      </w:r>
      <w:r w:rsidRPr="00197C1B">
        <w:t>991 (1992);</w:t>
      </w:r>
      <w:r w:rsidRPr="00197C1B">
        <w:t xml:space="preserve"> </w:t>
      </w:r>
      <w:r w:rsidRPr="00197C1B">
        <w:rPr>
          <w:smallCaps/>
        </w:rPr>
        <w:t>Restatement (Third) of Unfair Competition</w:t>
      </w:r>
      <w:r w:rsidRPr="00197C1B">
        <w:t xml:space="preserve"> §37 cmt.</w:t>
      </w:r>
      <w:r w:rsidRPr="00197C1B">
        <w:t xml:space="preserve"> </w:t>
      </w:r>
      <w:r w:rsidRPr="00197C1B">
        <w:t>e (requiring bad faith);</w:t>
      </w:r>
      <w:r w:rsidRPr="00197C1B">
        <w:t xml:space="preserve"> </w:t>
      </w:r>
      <w:r w:rsidRPr="00197C1B">
        <w:t>Stone Creek, Inc.</w:t>
      </w:r>
      <w:r w:rsidRPr="00197C1B">
        <w:t xml:space="preserve"> </w:t>
      </w:r>
      <w:r w:rsidRPr="00197C1B">
        <w:t>v.</w:t>
      </w:r>
      <w:r w:rsidRPr="00197C1B">
        <w:t xml:space="preserve"> </w:t>
      </w:r>
      <w:r w:rsidRPr="00197C1B">
        <w:t>Omnia Italian Design, Inc., 875 F.3d 426, 440–42 (9th Cir.</w:t>
      </w:r>
      <w:r w:rsidRPr="00197C1B">
        <w:t xml:space="preserve"> </w:t>
      </w:r>
      <w:r w:rsidRPr="00197C1B">
        <w:t>2017) (1999 amendment to §35(a) did not alter preexisting precedent);</w:t>
      </w:r>
      <w:r w:rsidRPr="00197C1B">
        <w:t xml:space="preserve"> </w:t>
      </w:r>
      <w:r w:rsidRPr="00197C1B">
        <w:t>Guthrie Healthcare Sys.</w:t>
      </w:r>
      <w:r w:rsidRPr="00197C1B">
        <w:t xml:space="preserve"> </w:t>
      </w:r>
      <w:r w:rsidRPr="00197C1B">
        <w:t>v.</w:t>
      </w:r>
      <w:r w:rsidRPr="00197C1B">
        <w:t xml:space="preserve"> </w:t>
      </w:r>
      <w:r w:rsidRPr="00197C1B">
        <w:t>ContextMedia, Inc., 2014 U.S.</w:t>
      </w:r>
      <w:r w:rsidRPr="00197C1B">
        <w:t xml:space="preserve"> </w:t>
      </w:r>
      <w:r w:rsidRPr="00197C1B">
        <w:t>Dist.</w:t>
      </w:r>
      <w:r w:rsidRPr="00197C1B">
        <w:t xml:space="preserve"> </w:t>
      </w:r>
      <w:r w:rsidRPr="00197C1B">
        <w:t>LEXIS 5796, at *17–19 (S.D.N.Y.</w:t>
      </w:r>
      <w:r w:rsidRPr="00197C1B">
        <w:t xml:space="preserve"> </w:t>
      </w:r>
      <w:r w:rsidRPr="00197C1B">
        <w:t>Jan.</w:t>
      </w:r>
      <w:r w:rsidRPr="00197C1B">
        <w:t xml:space="preserve"> </w:t>
      </w:r>
      <w:r w:rsidRPr="00197C1B">
        <w:t>16, 2014) (same, for Second Circuit precedent).</w:t>
      </w:r>
      <w:r w:rsidRPr="00197C1B">
        <w:t xml:space="preserve"> </w:t>
      </w:r>
      <w:r w:rsidRPr="00197C1B">
        <w:rPr>
          <w:i/>
        </w:rPr>
        <w:t>See also</w:t>
      </w:r>
      <w:r w:rsidRPr="00197C1B">
        <w:t xml:space="preserve"> Tamko Roofing Prods., Inc.</w:t>
      </w:r>
      <w:r w:rsidRPr="00197C1B">
        <w:t xml:space="preserve"> </w:t>
      </w:r>
      <w:r w:rsidRPr="00197C1B">
        <w:t>v.</w:t>
      </w:r>
      <w:r w:rsidRPr="00197C1B">
        <w:t xml:space="preserve"> </w:t>
      </w:r>
      <w:r w:rsidRPr="00197C1B">
        <w:t>Ideal Roofing Co., Ltd., 282 F.3d 23, 35–36, 61 USPQ2d 1865 (1st Cir.</w:t>
      </w:r>
      <w:r w:rsidRPr="00197C1B">
        <w:t xml:space="preserve"> </w:t>
      </w:r>
      <w:r w:rsidRPr="00197C1B">
        <w:t>2002) (fraud and bad faith not required for accounting of profits where parties compete;</w:t>
      </w:r>
      <w:r w:rsidRPr="00197C1B">
        <w:t xml:space="preserve"> </w:t>
      </w:r>
      <w:r w:rsidRPr="00197C1B">
        <w:t>willful infringement was found sufficient under the circumstances of the case).</w:t>
      </w:r>
    </w:p>
  </w:footnote>
  <w:footnote w:id="91">
    <w:p w14:paraId="43B039C7" w14:textId="7338F331" w:rsidR="00197C1B" w:rsidRDefault="00197C1B" w:rsidP="00197C1B">
      <w:pPr>
        <w:pStyle w:val="FootnoteText"/>
      </w:pPr>
      <w:r w:rsidRPr="00197C1B">
        <w:rPr>
          <w:rStyle w:val="FootnoteReference"/>
          <w:rFonts w:eastAsiaTheme="majorEastAsia"/>
        </w:rPr>
        <w:footnoteRef/>
      </w:r>
      <w:r w:rsidRPr="00197C1B">
        <w:t>140 S.</w:t>
      </w:r>
      <w:r w:rsidRPr="00197C1B">
        <w:t xml:space="preserve"> </w:t>
      </w:r>
      <w:r w:rsidRPr="00197C1B">
        <w:t>Ct.</w:t>
      </w:r>
      <w:r w:rsidRPr="00197C1B">
        <w:t xml:space="preserve"> </w:t>
      </w:r>
      <w:r w:rsidRPr="00197C1B">
        <w:t>1492 (2020).</w:t>
      </w:r>
    </w:p>
  </w:footnote>
  <w:footnote w:id="92">
    <w:p w14:paraId="27BE13D8" w14:textId="2A3579C2" w:rsidR="00197C1B" w:rsidRPr="00FA1877" w:rsidRDefault="00197C1B" w:rsidP="00197C1B">
      <w:pPr>
        <w:pStyle w:val="FootnoteText"/>
      </w:pPr>
      <w:r w:rsidRPr="00197C1B">
        <w:rPr>
          <w:rStyle w:val="FootnoteReference"/>
          <w:rFonts w:eastAsiaTheme="majorEastAsia"/>
        </w:rPr>
        <w:footnoteRef/>
      </w:r>
      <w:r w:rsidRPr="00197C1B">
        <w:rPr>
          <w:i/>
        </w:rPr>
        <w:t>Id.</w:t>
      </w:r>
      <w:r w:rsidRPr="00197C1B">
        <w:rPr>
          <w:i/>
        </w:rPr>
        <w:t xml:space="preserve"> </w:t>
      </w:r>
      <w:r w:rsidRPr="00197C1B">
        <w:t>at 1497.</w:t>
      </w:r>
    </w:p>
  </w:footnote>
  <w:footnote w:id="93">
    <w:p w14:paraId="744EA9B0" w14:textId="1550B270" w:rsidR="00197C1B" w:rsidRPr="0019374F" w:rsidRDefault="00197C1B" w:rsidP="00197C1B">
      <w:pPr>
        <w:pStyle w:val="FootnoteText"/>
      </w:pPr>
      <w:r w:rsidRPr="00197C1B">
        <w:rPr>
          <w:vertAlign w:val="superscript"/>
        </w:rPr>
        <w:footnoteRef/>
      </w:r>
      <w:r w:rsidRPr="00197C1B">
        <w:t>15 U.S.C.</w:t>
      </w:r>
      <w:r w:rsidRPr="00197C1B">
        <w:t xml:space="preserve"> </w:t>
      </w:r>
      <w:r w:rsidRPr="00197C1B">
        <w:t>§1125(c)(5).</w:t>
      </w:r>
      <w:r w:rsidRPr="00197C1B">
        <w:t xml:space="preserve"> </w:t>
      </w:r>
      <w:r w:rsidRPr="00197C1B">
        <w:t>Section 35(a) also makes any award of profits and/or damages “subject to the principles of equity.” 15 U.S.C.</w:t>
      </w:r>
      <w:r w:rsidRPr="00197C1B">
        <w:t xml:space="preserve"> </w:t>
      </w:r>
      <w:r w:rsidRPr="00197C1B">
        <w:t>§1117(a).</w:t>
      </w:r>
    </w:p>
  </w:footnote>
  <w:footnote w:id="94">
    <w:p w14:paraId="109541CE" w14:textId="165C613B" w:rsidR="00197C1B" w:rsidRPr="0019374F" w:rsidRDefault="00197C1B" w:rsidP="00197C1B">
      <w:pPr>
        <w:pStyle w:val="FootnoteText"/>
      </w:pPr>
      <w:r w:rsidRPr="00197C1B">
        <w:rPr>
          <w:vertAlign w:val="superscript"/>
        </w:rPr>
        <w:footnoteRef/>
      </w:r>
      <w:r w:rsidRPr="00197C1B">
        <w:t>However, if the defendant does not raise the issue, a court may not be willing to rectify the error later.</w:t>
      </w:r>
      <w:r w:rsidRPr="00197C1B">
        <w:t xml:space="preserve"> </w:t>
      </w:r>
      <w:r w:rsidRPr="00197C1B">
        <w:t>Super Duper, Inc.</w:t>
      </w:r>
      <w:r w:rsidRPr="00197C1B">
        <w:t xml:space="preserve"> </w:t>
      </w:r>
      <w:r w:rsidRPr="00197C1B">
        <w:t>v.</w:t>
      </w:r>
      <w:r w:rsidRPr="00197C1B">
        <w:t xml:space="preserve"> </w:t>
      </w:r>
      <w:r w:rsidRPr="00197C1B">
        <w:t>Mattel, Inc., 382 F.</w:t>
      </w:r>
      <w:r w:rsidRPr="00197C1B">
        <w:t xml:space="preserve"> </w:t>
      </w:r>
      <w:r w:rsidRPr="00197C1B">
        <w:t>App’x 308, 316–17 (4th Cir.</w:t>
      </w:r>
      <w:r w:rsidRPr="00197C1B">
        <w:t xml:space="preserve"> </w:t>
      </w:r>
      <w:r w:rsidRPr="00197C1B">
        <w:t xml:space="preserve">2010) (acknowledging the error but refusing to alter the damage award on that basis), </w:t>
      </w:r>
      <w:r w:rsidRPr="00197C1B">
        <w:rPr>
          <w:i/>
        </w:rPr>
        <w:t>cert</w:t>
      </w:r>
      <w:r w:rsidRPr="00197C1B">
        <w:t>.</w:t>
      </w:r>
      <w:r w:rsidRPr="00197C1B">
        <w:t xml:space="preserve"> </w:t>
      </w:r>
      <w:r w:rsidRPr="00197C1B">
        <w:rPr>
          <w:i/>
        </w:rPr>
        <w:t>denied</w:t>
      </w:r>
      <w:r w:rsidRPr="00197C1B">
        <w:t>, 131 S.</w:t>
      </w:r>
      <w:r w:rsidRPr="00197C1B">
        <w:t xml:space="preserve"> </w:t>
      </w:r>
      <w:r w:rsidRPr="00197C1B">
        <w:t>Ct.</w:t>
      </w:r>
      <w:r w:rsidRPr="00197C1B">
        <w:t xml:space="preserve"> </w:t>
      </w:r>
      <w:r w:rsidRPr="00197C1B">
        <w:t>1003 (2011).</w:t>
      </w:r>
    </w:p>
  </w:footnote>
  <w:footnote w:id="95">
    <w:p w14:paraId="0F878DBB" w14:textId="710ADD43" w:rsidR="00197C1B" w:rsidRPr="00197C1B" w:rsidRDefault="00197C1B" w:rsidP="00197C1B">
      <w:pPr>
        <w:pStyle w:val="FootnoteText"/>
      </w:pPr>
      <w:r w:rsidRPr="00197C1B">
        <w:rPr>
          <w:vertAlign w:val="superscript"/>
        </w:rPr>
        <w:footnoteRef/>
      </w:r>
      <w:r w:rsidRPr="00197C1B">
        <w:t>University of Kan.</w:t>
      </w:r>
      <w:r w:rsidRPr="00197C1B">
        <w:t xml:space="preserve"> </w:t>
      </w:r>
      <w:r w:rsidRPr="00197C1B">
        <w:t>v.</w:t>
      </w:r>
      <w:r w:rsidRPr="00197C1B">
        <w:t xml:space="preserve"> </w:t>
      </w:r>
      <w:r w:rsidRPr="00197C1B">
        <w:t>Sinks, 644 F.</w:t>
      </w:r>
      <w:r w:rsidRPr="00197C1B">
        <w:t xml:space="preserve"> </w:t>
      </w:r>
      <w:r w:rsidRPr="00197C1B">
        <w:t>Supp.</w:t>
      </w:r>
      <w:r w:rsidRPr="00197C1B">
        <w:t xml:space="preserve"> </w:t>
      </w:r>
      <w:r w:rsidRPr="00197C1B">
        <w:t>2d 1287, 1294 (D.</w:t>
      </w:r>
      <w:r w:rsidRPr="00197C1B">
        <w:t xml:space="preserve"> </w:t>
      </w:r>
      <w:r w:rsidRPr="00197C1B">
        <w:t>Kan.</w:t>
      </w:r>
      <w:r w:rsidRPr="00197C1B">
        <w:t xml:space="preserve"> </w:t>
      </w:r>
      <w:r w:rsidRPr="00197C1B">
        <w:t>2008);</w:t>
      </w:r>
      <w:r w:rsidRPr="00197C1B">
        <w:t xml:space="preserve"> </w:t>
      </w:r>
      <w:r w:rsidRPr="00197C1B">
        <w:t>Dan-Foam A/S v.</w:t>
      </w:r>
      <w:r w:rsidRPr="00197C1B">
        <w:t xml:space="preserve"> </w:t>
      </w:r>
      <w:r w:rsidRPr="00197C1B">
        <w:t>Brand Named Beds, LLC, 500 F.</w:t>
      </w:r>
      <w:r w:rsidRPr="00197C1B">
        <w:t xml:space="preserve"> </w:t>
      </w:r>
      <w:r w:rsidRPr="00197C1B">
        <w:t>Supp.</w:t>
      </w:r>
      <w:r w:rsidRPr="00197C1B">
        <w:t xml:space="preserve"> </w:t>
      </w:r>
      <w:r w:rsidRPr="00197C1B">
        <w:t>2d 296, 308 (S.D.N.Y.</w:t>
      </w:r>
      <w:r w:rsidRPr="00197C1B">
        <w:t xml:space="preserve"> </w:t>
      </w:r>
      <w:r w:rsidRPr="00197C1B">
        <w:t>2007);</w:t>
      </w:r>
      <w:r w:rsidRPr="00197C1B">
        <w:t xml:space="preserve"> </w:t>
      </w:r>
      <w:r w:rsidRPr="00197C1B">
        <w:t>Louis Vuitton Malletier S.A.</w:t>
      </w:r>
      <w:r w:rsidRPr="00197C1B">
        <w:t xml:space="preserve"> </w:t>
      </w:r>
      <w:r w:rsidRPr="00197C1B">
        <w:t>v.</w:t>
      </w:r>
      <w:r w:rsidRPr="00197C1B">
        <w:t xml:space="preserve"> </w:t>
      </w:r>
      <w:r w:rsidRPr="00197C1B">
        <w:t>Haute Diggity Dog, LLC, 2007 U.S.</w:t>
      </w:r>
      <w:r w:rsidRPr="00197C1B">
        <w:t xml:space="preserve"> </w:t>
      </w:r>
      <w:r w:rsidRPr="00197C1B">
        <w:t>Dist.</w:t>
      </w:r>
      <w:r w:rsidRPr="00197C1B">
        <w:t xml:space="preserve"> </w:t>
      </w:r>
      <w:r w:rsidRPr="00197C1B">
        <w:t>LEXIS 14244, at *17–20 (E.D.</w:t>
      </w:r>
      <w:r w:rsidRPr="00197C1B">
        <w:t xml:space="preserve"> </w:t>
      </w:r>
      <w:r w:rsidRPr="00197C1B">
        <w:t>Va.</w:t>
      </w:r>
      <w:r w:rsidRPr="00197C1B">
        <w:t xml:space="preserve"> </w:t>
      </w:r>
      <w:r w:rsidRPr="00197C1B">
        <w:t>Feb.</w:t>
      </w:r>
      <w:r w:rsidRPr="00197C1B">
        <w:t xml:space="preserve"> </w:t>
      </w:r>
      <w:r w:rsidRPr="00197C1B">
        <w:t xml:space="preserve">28, 2007), </w:t>
      </w:r>
      <w:r w:rsidRPr="00197C1B">
        <w:rPr>
          <w:i/>
        </w:rPr>
        <w:t>aff’d on other grounds</w:t>
      </w:r>
      <w:r w:rsidRPr="00197C1B">
        <w:t>, 507 F.3d 252, 84 USPQ2d 1969 (4th Cir.</w:t>
      </w:r>
      <w:r w:rsidRPr="00197C1B">
        <w:t xml:space="preserve"> </w:t>
      </w:r>
      <w:r w:rsidRPr="00197C1B">
        <w:t>2007) (the court of appeals did not address this issue).</w:t>
      </w:r>
    </w:p>
    <w:p w14:paraId="5E54F794" w14:textId="77777777" w:rsidR="00197C1B" w:rsidRPr="0019374F" w:rsidRDefault="00197C1B">
      <w:pPr>
        <w:pStyle w:val="footnote"/>
      </w:pPr>
    </w:p>
  </w:footnote>
  <w:footnote w:id="96">
    <w:p w14:paraId="1BB4A153" w14:textId="09EF2880" w:rsidR="00197C1B" w:rsidRPr="00197C1B" w:rsidRDefault="00197C1B" w:rsidP="00197C1B">
      <w:pPr>
        <w:pStyle w:val="FootnoteText"/>
      </w:pPr>
      <w:r w:rsidRPr="00197C1B">
        <w:rPr>
          <w:vertAlign w:val="superscript"/>
        </w:rPr>
        <w:footnoteRef/>
      </w:r>
      <w:r w:rsidRPr="00197C1B">
        <w:t>Sturgis Motorcycle Rally, Inc.</w:t>
      </w:r>
      <w:r w:rsidRPr="00197C1B">
        <w:t xml:space="preserve"> </w:t>
      </w:r>
      <w:r w:rsidRPr="00197C1B">
        <w:t>v.</w:t>
      </w:r>
      <w:r w:rsidRPr="00197C1B">
        <w:t xml:space="preserve"> </w:t>
      </w:r>
      <w:r w:rsidRPr="00197C1B">
        <w:t>Rushmore Photo &amp; Gifts, Inc., 239 F.</w:t>
      </w:r>
      <w:r w:rsidRPr="00197C1B">
        <w:t xml:space="preserve"> </w:t>
      </w:r>
      <w:r w:rsidRPr="00197C1B">
        <w:t>Supp.</w:t>
      </w:r>
      <w:r w:rsidRPr="00197C1B">
        <w:t xml:space="preserve"> </w:t>
      </w:r>
      <w:r w:rsidRPr="00197C1B">
        <w:t>3d 1128, 1143 (D.S.D.</w:t>
      </w:r>
      <w:r w:rsidRPr="00197C1B">
        <w:t xml:space="preserve"> </w:t>
      </w:r>
      <w:r w:rsidRPr="00197C1B">
        <w:t>2017) (upholding jury verdict).</w:t>
      </w:r>
    </w:p>
    <w:p w14:paraId="7B9DB036" w14:textId="77777777" w:rsidR="00197C1B" w:rsidRDefault="00197C1B" w:rsidP="00124999">
      <w:pPr>
        <w:pStyle w:val="footnote"/>
      </w:pPr>
    </w:p>
  </w:footnote>
  <w:footnote w:id="97">
    <w:p w14:paraId="21C9A70A" w14:textId="610DD164" w:rsidR="00197C1B" w:rsidRPr="0019374F" w:rsidRDefault="00197C1B" w:rsidP="00197C1B">
      <w:pPr>
        <w:pStyle w:val="FootnoteText"/>
      </w:pPr>
      <w:r w:rsidRPr="00197C1B">
        <w:rPr>
          <w:vertAlign w:val="superscript"/>
        </w:rPr>
        <w:footnoteRef/>
      </w:r>
      <w:r w:rsidRPr="00197C1B">
        <w:t>Note that cases prior to the TDRA will refer to Section 43(c)(2), which was amended and renumbered §43(c)(5) by the TDRA.</w:t>
      </w:r>
    </w:p>
  </w:footnote>
  <w:footnote w:id="98">
    <w:p w14:paraId="65C97626" w14:textId="051D6ABC" w:rsidR="00197C1B" w:rsidRPr="0019374F" w:rsidRDefault="00197C1B" w:rsidP="00197C1B">
      <w:pPr>
        <w:pStyle w:val="FootnoteText"/>
      </w:pPr>
      <w:r w:rsidRPr="00197C1B">
        <w:rPr>
          <w:vertAlign w:val="superscript"/>
        </w:rPr>
        <w:footnoteRef/>
      </w:r>
      <w:r w:rsidRPr="00197C1B">
        <w:rPr>
          <w:i/>
        </w:rPr>
        <w:t>Cf</w:t>
      </w:r>
      <w:r w:rsidRPr="00197C1B">
        <w:t>.</w:t>
      </w:r>
      <w:r w:rsidRPr="00197C1B">
        <w:t xml:space="preserve"> </w:t>
      </w:r>
      <w:r w:rsidRPr="00197C1B">
        <w:t>Cheek v.</w:t>
      </w:r>
      <w:r w:rsidRPr="00197C1B">
        <w:t xml:space="preserve"> </w:t>
      </w:r>
      <w:r w:rsidRPr="00197C1B">
        <w:t>United States, 498 U.S.</w:t>
      </w:r>
      <w:r w:rsidRPr="00197C1B">
        <w:t xml:space="preserve"> </w:t>
      </w:r>
      <w:r w:rsidRPr="00197C1B">
        <w:t>192, 201 (1991) (criminal prosecution for “willful” failure to pay taxes requires showing that defendant was aware of and intentionally flouted a legal duty).</w:t>
      </w:r>
      <w:r w:rsidRPr="00197C1B">
        <w:t xml:space="preserve"> </w:t>
      </w:r>
      <w:r w:rsidRPr="00197C1B">
        <w:rPr>
          <w:i/>
        </w:rPr>
        <w:t>See also</w:t>
      </w:r>
      <w:r w:rsidRPr="00197C1B">
        <w:t xml:space="preserve"> United States v.</w:t>
      </w:r>
      <w:r w:rsidRPr="00197C1B">
        <w:t xml:space="preserve"> </w:t>
      </w:r>
      <w:r w:rsidRPr="00197C1B">
        <w:t>Moran, 757 F.</w:t>
      </w:r>
      <w:r w:rsidRPr="00197C1B">
        <w:t xml:space="preserve"> </w:t>
      </w:r>
      <w:r w:rsidRPr="00197C1B">
        <w:t>Supp.</w:t>
      </w:r>
      <w:r w:rsidRPr="00197C1B">
        <w:t xml:space="preserve"> </w:t>
      </w:r>
      <w:r w:rsidRPr="00197C1B">
        <w:t>1046, 1049–51 (D.</w:t>
      </w:r>
      <w:r w:rsidRPr="00197C1B">
        <w:t xml:space="preserve"> </w:t>
      </w:r>
      <w:r w:rsidRPr="00197C1B">
        <w:t>Neb.</w:t>
      </w:r>
      <w:r w:rsidRPr="00197C1B">
        <w:t xml:space="preserve"> </w:t>
      </w:r>
      <w:r w:rsidRPr="00197C1B">
        <w:t>1991) (“willful” criminal copyright violation requires intent to violate the law).</w:t>
      </w:r>
    </w:p>
  </w:footnote>
  <w:footnote w:id="99">
    <w:p w14:paraId="2C9A830C" w14:textId="06EA5F72" w:rsidR="00197C1B" w:rsidRPr="00197C1B"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xml:space="preserve">., </w:t>
      </w:r>
      <w:r w:rsidRPr="00197C1B">
        <w:rPr>
          <w:smallCaps/>
        </w:rPr>
        <w:t>Cal.</w:t>
      </w:r>
      <w:r w:rsidRPr="00197C1B">
        <w:rPr>
          <w:smallCaps/>
        </w:rPr>
        <w:t xml:space="preserve"> </w:t>
      </w:r>
      <w:r w:rsidRPr="00197C1B">
        <w:rPr>
          <w:smallCaps/>
        </w:rPr>
        <w:t>Penal Code</w:t>
      </w:r>
      <w:r w:rsidRPr="00197C1B">
        <w:t xml:space="preserve"> §7.1 (West 1999), which states:</w:t>
      </w:r>
    </w:p>
    <w:p w14:paraId="3EA227B2" w14:textId="01E5E464" w:rsidR="00197C1B" w:rsidRPr="0019374F" w:rsidRDefault="00197C1B" w:rsidP="00197C1B">
      <w:pPr>
        <w:pStyle w:val="BQuotelong"/>
      </w:pPr>
      <w:r w:rsidRPr="00197C1B">
        <w:t>The word “willfully,” when applied to the intent with which an act is done or omitted, implies simply a purpose or willingness to commit the act, or make the omission referred to.</w:t>
      </w:r>
      <w:r w:rsidRPr="00197C1B">
        <w:t xml:space="preserve"> </w:t>
      </w:r>
      <w:r w:rsidRPr="00197C1B">
        <w:t>It does not require any intent to violate law, or to injure another, or to acquire any advantage.</w:t>
      </w:r>
    </w:p>
  </w:footnote>
  <w:footnote w:id="100">
    <w:p w14:paraId="153E660C" w14:textId="0D15A164" w:rsidR="00197C1B" w:rsidRPr="0019374F" w:rsidRDefault="00197C1B" w:rsidP="00197C1B">
      <w:pPr>
        <w:pStyle w:val="FootnoteText"/>
      </w:pPr>
      <w:r w:rsidRPr="00197C1B">
        <w:rPr>
          <w:vertAlign w:val="superscript"/>
        </w:rPr>
        <w:footnoteRef/>
      </w:r>
      <w:r w:rsidRPr="00197C1B">
        <w:rPr>
          <w:i/>
        </w:rPr>
        <w:t>E</w:t>
      </w:r>
      <w:r w:rsidRPr="00197C1B">
        <w:t>.</w:t>
      </w:r>
      <w:r w:rsidRPr="00197C1B">
        <w:rPr>
          <w:i/>
        </w:rPr>
        <w:t>g</w:t>
      </w:r>
      <w:r w:rsidRPr="00197C1B">
        <w:t>., Gracie v.</w:t>
      </w:r>
      <w:r w:rsidRPr="00197C1B">
        <w:t xml:space="preserve"> </w:t>
      </w:r>
      <w:r w:rsidRPr="00197C1B">
        <w:t>Gracie, 217 F.3d 1060, 1068–69, 55 USPQ2d 1256 (9th Cir.</w:t>
      </w:r>
      <w:r w:rsidRPr="00197C1B">
        <w:t xml:space="preserve"> </w:t>
      </w:r>
      <w:r w:rsidRPr="00197C1B">
        <w:t>2000);</w:t>
      </w:r>
      <w:r w:rsidRPr="00197C1B">
        <w:t xml:space="preserve"> </w:t>
      </w:r>
      <w:r w:rsidRPr="00197C1B">
        <w:t>Texas Pig Stands, Inc.</w:t>
      </w:r>
      <w:r w:rsidRPr="00197C1B">
        <w:t xml:space="preserve"> </w:t>
      </w:r>
      <w:r w:rsidRPr="00197C1B">
        <w:t>v.</w:t>
      </w:r>
      <w:r w:rsidRPr="00197C1B">
        <w:t xml:space="preserve"> </w:t>
      </w:r>
      <w:r w:rsidRPr="00197C1B">
        <w:t>Hard Rock Café Int’l, Inc., 951 F.2d 684, 697, 21 USPQ2d 1641 (5th Cir.</w:t>
      </w:r>
      <w:r w:rsidRPr="00197C1B">
        <w:t xml:space="preserve"> </w:t>
      </w:r>
      <w:r w:rsidRPr="00197C1B">
        <w:t>1992).</w:t>
      </w:r>
    </w:p>
  </w:footnote>
  <w:footnote w:id="101">
    <w:p w14:paraId="328172D8" w14:textId="398E6360" w:rsidR="00197C1B" w:rsidRPr="0019374F" w:rsidRDefault="00197C1B" w:rsidP="00197C1B">
      <w:pPr>
        <w:pStyle w:val="FootnoteText"/>
      </w:pPr>
      <w:r w:rsidRPr="00197C1B">
        <w:rPr>
          <w:vertAlign w:val="superscript"/>
        </w:rPr>
        <w:footnoteRef/>
      </w:r>
      <w:r w:rsidRPr="00197C1B">
        <w:t>Lanham Act §43(c)(5)(B)(i), 15 U.S.C.</w:t>
      </w:r>
      <w:r w:rsidRPr="00197C1B">
        <w:t xml:space="preserve"> </w:t>
      </w:r>
      <w:r w:rsidRPr="00197C1B">
        <w:t>§1125(c)(5)(B)(i).</w:t>
      </w:r>
    </w:p>
  </w:footnote>
  <w:footnote w:id="102">
    <w:p w14:paraId="25B40FD3" w14:textId="11DD4083"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§43(c)(5)(B)(ii), 15 U.S.C.</w:t>
      </w:r>
      <w:r w:rsidRPr="00197C1B">
        <w:t xml:space="preserve"> </w:t>
      </w:r>
      <w:r w:rsidRPr="00197C1B">
        <w:t>§1125(c)(5)(B)(ii).</w:t>
      </w:r>
    </w:p>
  </w:footnote>
  <w:footnote w:id="103">
    <w:p w14:paraId="6D266FCC" w14:textId="649999DC" w:rsidR="00197C1B" w:rsidRPr="0019374F" w:rsidRDefault="00197C1B" w:rsidP="00197C1B">
      <w:pPr>
        <w:pStyle w:val="FootnoteText"/>
      </w:pPr>
      <w:r w:rsidRPr="00197C1B">
        <w:rPr>
          <w:vertAlign w:val="superscript"/>
        </w:rPr>
        <w:footnoteRef/>
      </w:r>
      <w:r w:rsidRPr="00197C1B">
        <w:rPr>
          <w:i/>
        </w:rPr>
        <w:t>See</w:t>
      </w:r>
      <w:r w:rsidRPr="00197C1B">
        <w:t xml:space="preserve"> Testimony of Jonathan E.</w:t>
      </w:r>
      <w:r w:rsidRPr="00197C1B">
        <w:t xml:space="preserve"> </w:t>
      </w:r>
      <w:r w:rsidRPr="00197C1B">
        <w:t>Moskin before the House Comm.</w:t>
      </w:r>
      <w:r w:rsidRPr="00197C1B">
        <w:t xml:space="preserve"> </w:t>
      </w:r>
      <w:r w:rsidRPr="00197C1B">
        <w:t xml:space="preserve">on the Judiciary, 1995 WL 437437 (July 19, 1995) (asserting that, as dilution was defined in the </w:t>
      </w:r>
      <w:r w:rsidRPr="00197C1B">
        <w:rPr>
          <w:i/>
        </w:rPr>
        <w:t>original</w:t>
      </w:r>
      <w:r w:rsidRPr="00197C1B">
        <w:t xml:space="preserve"> (pre-TDRA) FTDA, “it is unlikely anyone would ever deliberately violate the statute”).</w:t>
      </w:r>
    </w:p>
  </w:footnote>
  <w:footnote w:id="104">
    <w:p w14:paraId="1039346F" w14:textId="73B070F3" w:rsidR="00197C1B" w:rsidRPr="0019374F" w:rsidRDefault="00197C1B" w:rsidP="00197C1B">
      <w:pPr>
        <w:pStyle w:val="FootnoteText"/>
      </w:pPr>
      <w:r w:rsidRPr="00197C1B">
        <w:rPr>
          <w:vertAlign w:val="superscript"/>
        </w:rPr>
        <w:footnoteRef/>
      </w:r>
      <w:r w:rsidRPr="00197C1B">
        <w:rPr>
          <w:i/>
        </w:rPr>
        <w:t>See</w:t>
      </w:r>
      <w:r w:rsidRPr="00197C1B">
        <w:t xml:space="preserve"> Eventide Inc.</w:t>
      </w:r>
      <w:r w:rsidRPr="00197C1B">
        <w:t xml:space="preserve"> </w:t>
      </w:r>
      <w:r w:rsidRPr="00197C1B">
        <w:t>v.</w:t>
      </w:r>
      <w:r w:rsidRPr="00197C1B">
        <w:t xml:space="preserve"> </w:t>
      </w:r>
      <w:r w:rsidRPr="00197C1B">
        <w:t>DOD Elecs.</w:t>
      </w:r>
      <w:r w:rsidRPr="00197C1B">
        <w:t xml:space="preserve"> </w:t>
      </w:r>
      <w:r w:rsidRPr="00197C1B">
        <w:t>Corp., 1995 WL 239044 (S.D.N.Y.</w:t>
      </w:r>
      <w:r w:rsidRPr="00197C1B">
        <w:t xml:space="preserve"> </w:t>
      </w:r>
      <w:r w:rsidRPr="00197C1B">
        <w:t>Apr.</w:t>
      </w:r>
      <w:r w:rsidRPr="00197C1B">
        <w:t xml:space="preserve"> </w:t>
      </w:r>
      <w:r w:rsidRPr="00197C1B">
        <w:t>24, 1995) (use of plaintiff’s Harmonizer mark by defendant as a generic term for the device found diluting).</w:t>
      </w:r>
    </w:p>
  </w:footnote>
  <w:footnote w:id="105">
    <w:p w14:paraId="719F2F78" w14:textId="708FE702" w:rsidR="00197C1B" w:rsidRPr="0019374F" w:rsidRDefault="00197C1B" w:rsidP="00197C1B">
      <w:pPr>
        <w:pStyle w:val="FootnoteText"/>
      </w:pPr>
      <w:r w:rsidRPr="00197C1B">
        <w:rPr>
          <w:vertAlign w:val="superscript"/>
        </w:rPr>
        <w:footnoteRef/>
      </w:r>
      <w:r w:rsidRPr="00197C1B">
        <w:rPr>
          <w:i/>
        </w:rPr>
        <w:t>See</w:t>
      </w:r>
      <w:r w:rsidRPr="00197C1B">
        <w:t xml:space="preserve"> Mattel, Inc.</w:t>
      </w:r>
      <w:r w:rsidRPr="00197C1B">
        <w:t xml:space="preserve"> </w:t>
      </w:r>
      <w:r w:rsidRPr="00197C1B">
        <w:t>v.</w:t>
      </w:r>
      <w:r w:rsidRPr="00197C1B">
        <w:t xml:space="preserve"> </w:t>
      </w:r>
      <w:r w:rsidRPr="00197C1B">
        <w:t>MCA Records, Inc., 28 F.</w:t>
      </w:r>
      <w:r w:rsidRPr="00197C1B">
        <w:t xml:space="preserve"> </w:t>
      </w:r>
      <w:r w:rsidRPr="00197C1B">
        <w:t>Supp.</w:t>
      </w:r>
      <w:r w:rsidRPr="00197C1B">
        <w:t xml:space="preserve"> </w:t>
      </w:r>
      <w:r w:rsidRPr="00197C1B">
        <w:t>2d 1120, 1156 n.57 (C.D.</w:t>
      </w:r>
      <w:r w:rsidRPr="00197C1B">
        <w:t xml:space="preserve"> </w:t>
      </w:r>
      <w:r w:rsidRPr="00197C1B">
        <w:t>Cal.</w:t>
      </w:r>
      <w:r w:rsidRPr="00197C1B">
        <w:t xml:space="preserve"> </w:t>
      </w:r>
      <w:r w:rsidRPr="00197C1B">
        <w:t xml:space="preserve">1998) (noting that parodies are always aimed at the reputation of the parodied object), </w:t>
      </w:r>
      <w:r w:rsidRPr="00197C1B">
        <w:rPr>
          <w:i/>
        </w:rPr>
        <w:t>aff’d</w:t>
      </w:r>
      <w:r w:rsidRPr="00197C1B">
        <w:t>, 296 F.3d 894, 63 USPQ2d 1715 (9th Cir.</w:t>
      </w:r>
      <w:r w:rsidRPr="00197C1B">
        <w:t xml:space="preserve"> </w:t>
      </w:r>
      <w:r w:rsidRPr="00197C1B">
        <w:t xml:space="preserve">2002), </w:t>
      </w:r>
      <w:r w:rsidRPr="00197C1B">
        <w:rPr>
          <w:i/>
        </w:rPr>
        <w:t>cert</w:t>
      </w:r>
      <w:r w:rsidRPr="00197C1B">
        <w:t>.</w:t>
      </w:r>
      <w:r w:rsidRPr="00197C1B">
        <w:t xml:space="preserve"> </w:t>
      </w:r>
      <w:r w:rsidRPr="00197C1B">
        <w:rPr>
          <w:i/>
        </w:rPr>
        <w:t>denied</w:t>
      </w:r>
      <w:r w:rsidRPr="00197C1B">
        <w:t>, 537 U.S.</w:t>
      </w:r>
      <w:r w:rsidRPr="00197C1B">
        <w:t xml:space="preserve"> </w:t>
      </w:r>
      <w:r w:rsidRPr="00197C1B">
        <w:t>1171 (2003).</w:t>
      </w:r>
    </w:p>
  </w:footnote>
  <w:footnote w:id="106">
    <w:p w14:paraId="3FEA34E2" w14:textId="0AD5A51C" w:rsidR="00197C1B" w:rsidRPr="0019374F" w:rsidRDefault="00197C1B" w:rsidP="00197C1B">
      <w:pPr>
        <w:pStyle w:val="FootnoteText"/>
      </w:pPr>
      <w:r w:rsidRPr="00197C1B">
        <w:rPr>
          <w:vertAlign w:val="superscript"/>
        </w:rPr>
        <w:footnoteRef/>
      </w:r>
      <w:r w:rsidRPr="00197C1B">
        <w:t>Default judgments frequently result in damage awards, in part because the defendant does not contest allegations of willful conduct.</w:t>
      </w:r>
    </w:p>
  </w:footnote>
  <w:footnote w:id="107">
    <w:p w14:paraId="641CD578" w14:textId="4AB53110" w:rsidR="00197C1B" w:rsidRPr="0019374F" w:rsidRDefault="00197C1B" w:rsidP="00197C1B">
      <w:pPr>
        <w:pStyle w:val="FootnoteText"/>
      </w:pPr>
      <w:r w:rsidRPr="00197C1B">
        <w:rPr>
          <w:vertAlign w:val="superscript"/>
        </w:rPr>
        <w:footnoteRef/>
      </w:r>
      <w:r w:rsidRPr="00197C1B">
        <w:t>46 USPQ2d 1046 (S.D.</w:t>
      </w:r>
      <w:r w:rsidRPr="00197C1B">
        <w:t xml:space="preserve"> </w:t>
      </w:r>
      <w:r w:rsidRPr="00197C1B">
        <w:t>Tex.</w:t>
      </w:r>
      <w:r w:rsidRPr="00197C1B">
        <w:t xml:space="preserve"> </w:t>
      </w:r>
      <w:r w:rsidRPr="00197C1B">
        <w:t>1998).</w:t>
      </w:r>
    </w:p>
  </w:footnote>
  <w:footnote w:id="108">
    <w:p w14:paraId="14BA2B23" w14:textId="5B9E36F4"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1047.</w:t>
      </w:r>
    </w:p>
  </w:footnote>
  <w:footnote w:id="109">
    <w:p w14:paraId="0F4798BB" w14:textId="5FAF2733"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1048.</w:t>
      </w:r>
    </w:p>
  </w:footnote>
  <w:footnote w:id="110">
    <w:p w14:paraId="59955777" w14:textId="5D7FB355"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1049.</w:t>
      </w:r>
    </w:p>
  </w:footnote>
  <w:footnote w:id="111">
    <w:p w14:paraId="25E4CA99" w14:textId="070F9BA0"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(quoting Eskay Drugs v.</w:t>
      </w:r>
      <w:r w:rsidRPr="00197C1B">
        <w:t xml:space="preserve"> </w:t>
      </w:r>
      <w:r w:rsidRPr="00197C1B">
        <w:t>Smith Kline &amp; French Labs., 188 F.2d 430, 432, 89 USPQ 202 (5th Cir.</w:t>
      </w:r>
      <w:r w:rsidRPr="00197C1B">
        <w:t xml:space="preserve"> </w:t>
      </w:r>
      <w:r w:rsidRPr="00197C1B">
        <w:t>1951)).</w:t>
      </w:r>
    </w:p>
  </w:footnote>
  <w:footnote w:id="112">
    <w:p w14:paraId="7F68DEFA" w14:textId="7CD1F122"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1049 (profits), 1050 (fees).</w:t>
      </w:r>
      <w:r w:rsidRPr="00197C1B">
        <w:t xml:space="preserve"> </w:t>
      </w:r>
      <w:r w:rsidRPr="00197C1B">
        <w:t>Note that before the TDRA was enacted in October 2006, the original version of the statute required a different form of willful intent—intent to cause dilution—as a prerequisite to damages.</w:t>
      </w:r>
    </w:p>
  </w:footnote>
  <w:footnote w:id="113">
    <w:p w14:paraId="3C20EEE0" w14:textId="0AACF6BA" w:rsidR="00197C1B" w:rsidRPr="0019374F" w:rsidRDefault="00197C1B" w:rsidP="00197C1B">
      <w:pPr>
        <w:pStyle w:val="FootnoteText"/>
      </w:pPr>
      <w:r w:rsidRPr="00197C1B">
        <w:rPr>
          <w:vertAlign w:val="superscript"/>
        </w:rPr>
        <w:footnoteRef/>
      </w:r>
      <w:r w:rsidRPr="00197C1B">
        <w:t>74 F.3d 716, 37 USPQ2d 1585 (6th Cir.</w:t>
      </w:r>
      <w:r w:rsidRPr="00197C1B">
        <w:t xml:space="preserve"> </w:t>
      </w:r>
      <w:r w:rsidRPr="00197C1B">
        <w:t>1996).</w:t>
      </w:r>
    </w:p>
  </w:footnote>
  <w:footnote w:id="114">
    <w:p w14:paraId="77D3F1E5" w14:textId="1D1CA568"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718.</w:t>
      </w:r>
    </w:p>
  </w:footnote>
  <w:footnote w:id="115">
    <w:p w14:paraId="52A938A6" w14:textId="6F024A97"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720.</w:t>
      </w:r>
    </w:p>
  </w:footnote>
  <w:footnote w:id="116">
    <w:p w14:paraId="059E9E08" w14:textId="45F46B75"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721.</w:t>
      </w:r>
    </w:p>
  </w:footnote>
  <w:footnote w:id="117">
    <w:p w14:paraId="7F25C6BD" w14:textId="4CCB30DC" w:rsidR="00197C1B" w:rsidRPr="0019374F" w:rsidRDefault="00197C1B" w:rsidP="00197C1B">
      <w:pPr>
        <w:pStyle w:val="FootnoteText"/>
      </w:pPr>
      <w:r w:rsidRPr="00197C1B">
        <w:rPr>
          <w:vertAlign w:val="superscript"/>
        </w:rPr>
        <w:footnoteRef/>
      </w:r>
      <w:r w:rsidRPr="00197C1B">
        <w:rPr>
          <w:i/>
        </w:rPr>
        <w:t>Id</w:t>
      </w:r>
      <w:r w:rsidRPr="00197C1B">
        <w:t>.</w:t>
      </w:r>
    </w:p>
  </w:footnote>
  <w:footnote w:id="118">
    <w:p w14:paraId="67B82534" w14:textId="2A1E3B18" w:rsidR="00197C1B" w:rsidRPr="0019374F" w:rsidRDefault="00197C1B" w:rsidP="00197C1B">
      <w:pPr>
        <w:pStyle w:val="FootnoteText"/>
      </w:pPr>
      <w:r w:rsidRPr="00197C1B">
        <w:rPr>
          <w:vertAlign w:val="superscript"/>
        </w:rPr>
        <w:footnoteRef/>
      </w:r>
      <w:r w:rsidRPr="00197C1B">
        <w:rPr>
          <w:i/>
        </w:rPr>
        <w:t>Id</w:t>
      </w:r>
      <w:r w:rsidRPr="00197C1B">
        <w:t>.</w:t>
      </w:r>
    </w:p>
  </w:footnote>
  <w:footnote w:id="119">
    <w:p w14:paraId="258AA7AD" w14:textId="7D76C97B" w:rsidR="00197C1B" w:rsidRPr="0019374F" w:rsidRDefault="00197C1B" w:rsidP="00197C1B">
      <w:pPr>
        <w:pStyle w:val="FootnoteText"/>
      </w:pPr>
      <w:r w:rsidRPr="00197C1B">
        <w:rPr>
          <w:vertAlign w:val="superscript"/>
        </w:rPr>
        <w:footnoteRef/>
      </w:r>
      <w:r w:rsidRPr="00197C1B">
        <w:t>689 F.</w:t>
      </w:r>
      <w:r w:rsidRPr="00197C1B">
        <w:t xml:space="preserve"> </w:t>
      </w:r>
      <w:r w:rsidRPr="00197C1B">
        <w:t>Supp.</w:t>
      </w:r>
      <w:r w:rsidRPr="00197C1B">
        <w:t xml:space="preserve"> </w:t>
      </w:r>
      <w:r w:rsidRPr="00197C1B">
        <w:t>2d 585 (S.D.N.Y.</w:t>
      </w:r>
      <w:r w:rsidRPr="00197C1B">
        <w:t xml:space="preserve"> </w:t>
      </w:r>
      <w:r w:rsidRPr="00197C1B">
        <w:t>2010).</w:t>
      </w:r>
    </w:p>
  </w:footnote>
  <w:footnote w:id="120">
    <w:p w14:paraId="5FD6238F" w14:textId="64CDD305"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609.</w:t>
      </w:r>
    </w:p>
  </w:footnote>
  <w:footnote w:id="121">
    <w:p w14:paraId="0D3BF2CC" w14:textId="0CE0B097" w:rsidR="00197C1B" w:rsidRPr="0019374F" w:rsidRDefault="00197C1B" w:rsidP="00197C1B">
      <w:pPr>
        <w:pStyle w:val="FootnoteText"/>
      </w:pPr>
      <w:r w:rsidRPr="00197C1B">
        <w:rPr>
          <w:vertAlign w:val="superscript"/>
        </w:rPr>
        <w:footnoteRef/>
      </w:r>
      <w:r w:rsidRPr="00197C1B">
        <w:t>1996 WL 641655 (N.D.</w:t>
      </w:r>
      <w:r w:rsidRPr="00197C1B">
        <w:t xml:space="preserve"> </w:t>
      </w:r>
      <w:r w:rsidRPr="00197C1B">
        <w:t>Cal.</w:t>
      </w:r>
      <w:r w:rsidRPr="00197C1B">
        <w:t xml:space="preserve"> </w:t>
      </w:r>
      <w:r w:rsidRPr="00197C1B">
        <w:t>Oct.</w:t>
      </w:r>
      <w:r w:rsidRPr="00197C1B">
        <w:t xml:space="preserve"> </w:t>
      </w:r>
      <w:r w:rsidRPr="00197C1B">
        <w:t>30, 1996).</w:t>
      </w:r>
    </w:p>
  </w:footnote>
  <w:footnote w:id="122">
    <w:p w14:paraId="04FD2DF5" w14:textId="31425E84" w:rsidR="00197C1B" w:rsidRPr="0019374F" w:rsidRDefault="00197C1B" w:rsidP="00197C1B">
      <w:pPr>
        <w:pStyle w:val="FootnoteText"/>
      </w:pPr>
      <w:r w:rsidRPr="00197C1B">
        <w:rPr>
          <w:vertAlign w:val="superscript"/>
        </w:rPr>
        <w:footnoteRef/>
      </w:r>
      <w:r w:rsidRPr="00197C1B">
        <w:t>It does not appear that the court ever made a finding that the mark was “famous” under the FTDA.</w:t>
      </w:r>
      <w:r w:rsidRPr="00197C1B">
        <w:t xml:space="preserve"> </w:t>
      </w:r>
      <w:r w:rsidRPr="00197C1B">
        <w:t>However, the entry of the consent judgment was almost two years before the FTDA became effective.</w:t>
      </w:r>
    </w:p>
  </w:footnote>
  <w:footnote w:id="123">
    <w:p w14:paraId="6E7CE09C" w14:textId="472555B6"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w:t>
      </w:r>
      <w:r w:rsidRPr="00197C1B">
        <w:t xml:space="preserve"> </w:t>
      </w:r>
      <w:r w:rsidRPr="00197C1B">
        <w:t>The court made none of the usual findings in a dilution case;</w:t>
      </w:r>
      <w:r w:rsidRPr="00197C1B">
        <w:t xml:space="preserve"> </w:t>
      </w:r>
      <w:r w:rsidRPr="00197C1B">
        <w:t>thus, it is not clear why it found dilution to exist or whether it was actually using the FTDA.</w:t>
      </w:r>
    </w:p>
  </w:footnote>
  <w:footnote w:id="124">
    <w:p w14:paraId="48FCD357" w14:textId="7E55FA5C" w:rsidR="00197C1B" w:rsidRPr="0019374F" w:rsidRDefault="00197C1B" w:rsidP="00197C1B">
      <w:pPr>
        <w:pStyle w:val="FootnoteText"/>
      </w:pPr>
      <w:r w:rsidRPr="00197C1B">
        <w:rPr>
          <w:vertAlign w:val="superscript"/>
        </w:rPr>
        <w:footnoteRef/>
      </w:r>
      <w:r w:rsidRPr="00197C1B">
        <w:rPr>
          <w:i/>
        </w:rPr>
        <w:t>Fendi</w:t>
      </w:r>
      <w:r w:rsidRPr="00197C1B">
        <w:t>, 689 F.</w:t>
      </w:r>
      <w:r w:rsidRPr="00197C1B">
        <w:t xml:space="preserve"> </w:t>
      </w:r>
      <w:r w:rsidRPr="00197C1B">
        <w:t>Supp.</w:t>
      </w:r>
      <w:r w:rsidRPr="00197C1B">
        <w:t xml:space="preserve"> </w:t>
      </w:r>
      <w:r w:rsidRPr="00197C1B">
        <w:t>2d at 599–600.</w:t>
      </w:r>
    </w:p>
  </w:footnote>
  <w:footnote w:id="125">
    <w:p w14:paraId="498CBB5D" w14:textId="0B4B768F" w:rsidR="00197C1B" w:rsidRPr="0019374F" w:rsidRDefault="00197C1B" w:rsidP="00197C1B">
      <w:pPr>
        <w:pStyle w:val="FootnoteText"/>
      </w:pPr>
      <w:r w:rsidRPr="00197C1B">
        <w:rPr>
          <w:vertAlign w:val="superscript"/>
        </w:rPr>
        <w:footnoteRef/>
      </w:r>
      <w:r w:rsidRPr="00197C1B">
        <w:t>48 USPQ2d 1467 (S.D.N.Y.</w:t>
      </w:r>
      <w:r w:rsidRPr="00197C1B">
        <w:t xml:space="preserve"> </w:t>
      </w:r>
      <w:r w:rsidRPr="00197C1B">
        <w:t>1998).</w:t>
      </w:r>
    </w:p>
  </w:footnote>
  <w:footnote w:id="126">
    <w:p w14:paraId="59B378B0" w14:textId="4372940E"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1468–69.</w:t>
      </w:r>
    </w:p>
  </w:footnote>
  <w:footnote w:id="127">
    <w:p w14:paraId="7D42B965" w14:textId="1DA6C803"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1469.</w:t>
      </w:r>
    </w:p>
  </w:footnote>
  <w:footnote w:id="128">
    <w:p w14:paraId="35290EB8" w14:textId="2253D649" w:rsidR="00197C1B" w:rsidRPr="001402DA" w:rsidRDefault="00197C1B" w:rsidP="00197C1B">
      <w:pPr>
        <w:pStyle w:val="FootnoteText"/>
        <w:rPr>
          <w:lang w:val="da-DK"/>
        </w:rPr>
      </w:pPr>
      <w:r w:rsidRPr="00197C1B">
        <w:rPr>
          <w:vertAlign w:val="superscript"/>
        </w:rPr>
        <w:footnoteRef/>
      </w:r>
      <w:r w:rsidRPr="00197C1B">
        <w:rPr>
          <w:i/>
        </w:rPr>
        <w:t>Id</w:t>
      </w:r>
      <w:r w:rsidRPr="00197C1B">
        <w:t>.</w:t>
      </w:r>
    </w:p>
  </w:footnote>
  <w:footnote w:id="129">
    <w:p w14:paraId="4E578D46" w14:textId="05507508" w:rsidR="00197C1B" w:rsidRPr="001402DA" w:rsidRDefault="00197C1B" w:rsidP="00197C1B">
      <w:pPr>
        <w:pStyle w:val="FootnoteText"/>
        <w:rPr>
          <w:lang w:val="da-DK"/>
        </w:rPr>
      </w:pPr>
      <w:r w:rsidRPr="00197C1B">
        <w:rPr>
          <w:vertAlign w:val="superscript"/>
        </w:rPr>
        <w:footnoteRef/>
      </w:r>
      <w:r w:rsidRPr="00197C1B">
        <w:rPr>
          <w:i/>
        </w:rPr>
        <w:t>Id</w:t>
      </w:r>
      <w:r w:rsidRPr="00197C1B">
        <w:t>.</w:t>
      </w:r>
    </w:p>
  </w:footnote>
  <w:footnote w:id="130">
    <w:p w14:paraId="265E7EF4" w14:textId="7AA66475"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1470.</w:t>
      </w:r>
      <w:r w:rsidRPr="00197C1B">
        <w:t xml:space="preserve"> </w:t>
      </w:r>
      <w:r w:rsidRPr="00197C1B">
        <w:t>This case predated the TDRA.</w:t>
      </w:r>
      <w:r w:rsidRPr="00197C1B">
        <w:t xml:space="preserve"> </w:t>
      </w:r>
      <w:r w:rsidRPr="00197C1B">
        <w:t>If the case were now decided on a tarnishment basis, intent to trade on the mark’s reputation would not be sufficient to impose damages.</w:t>
      </w:r>
    </w:p>
  </w:footnote>
  <w:footnote w:id="131">
    <w:p w14:paraId="02C77DA9" w14:textId="6A887638" w:rsidR="00197C1B" w:rsidRPr="0019374F" w:rsidRDefault="00197C1B" w:rsidP="00197C1B">
      <w:pPr>
        <w:pStyle w:val="FootnoteText"/>
      </w:pPr>
      <w:r w:rsidRPr="00197C1B">
        <w:rPr>
          <w:vertAlign w:val="superscript"/>
        </w:rPr>
        <w:footnoteRef/>
      </w:r>
      <w:r w:rsidRPr="00197C1B">
        <w:t>79 F.</w:t>
      </w:r>
      <w:r w:rsidRPr="00197C1B">
        <w:t xml:space="preserve"> </w:t>
      </w:r>
      <w:r w:rsidRPr="00197C1B">
        <w:t>Supp.</w:t>
      </w:r>
      <w:r w:rsidRPr="00197C1B">
        <w:t xml:space="preserve"> </w:t>
      </w:r>
      <w:r w:rsidRPr="00197C1B">
        <w:t>2d 331 (S.D.N.Y.</w:t>
      </w:r>
      <w:r w:rsidRPr="00197C1B">
        <w:t xml:space="preserve"> </w:t>
      </w:r>
      <w:r w:rsidRPr="00197C1B">
        <w:t>1999).</w:t>
      </w:r>
    </w:p>
  </w:footnote>
  <w:footnote w:id="132">
    <w:p w14:paraId="189AA1BF" w14:textId="0BEC3740"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348.</w:t>
      </w:r>
      <w:r w:rsidRPr="00197C1B">
        <w:t xml:space="preserve"> </w:t>
      </w:r>
      <w:r w:rsidRPr="00197C1B">
        <w:t xml:space="preserve">The </w:t>
      </w:r>
      <w:r w:rsidRPr="00197C1B">
        <w:rPr>
          <w:i/>
        </w:rPr>
        <w:t>Polaroid</w:t>
      </w:r>
      <w:r w:rsidRPr="00197C1B">
        <w:t xml:space="preserve"> test is the Second Circuit’s multifactor test for likelihood of confusion, promulgated in </w:t>
      </w:r>
      <w:r w:rsidRPr="00197C1B">
        <w:rPr>
          <w:i/>
        </w:rPr>
        <w:t>Polaroid Corp</w:t>
      </w:r>
      <w:r w:rsidRPr="00197C1B">
        <w:t>.</w:t>
      </w:r>
      <w:r w:rsidRPr="00197C1B">
        <w:t xml:space="preserve"> </w:t>
      </w:r>
      <w:r w:rsidRPr="00197C1B">
        <w:rPr>
          <w:i/>
        </w:rPr>
        <w:t>v</w:t>
      </w:r>
      <w:r w:rsidRPr="00197C1B">
        <w:t>.</w:t>
      </w:r>
      <w:r w:rsidRPr="00197C1B">
        <w:t xml:space="preserve"> </w:t>
      </w:r>
      <w:r w:rsidRPr="00197C1B">
        <w:rPr>
          <w:i/>
        </w:rPr>
        <w:t>Polarad Elecs</w:t>
      </w:r>
      <w:r w:rsidRPr="00197C1B">
        <w:t>.</w:t>
      </w:r>
      <w:r w:rsidRPr="00197C1B">
        <w:t xml:space="preserve"> </w:t>
      </w:r>
      <w:r w:rsidRPr="00197C1B">
        <w:rPr>
          <w:i/>
        </w:rPr>
        <w:t>Corp</w:t>
      </w:r>
      <w:r w:rsidRPr="00197C1B">
        <w:t xml:space="preserve">., 287 F.2d 492, 495, 128 USPQ 411 (2d Cir.), </w:t>
      </w:r>
      <w:r w:rsidRPr="00197C1B">
        <w:rPr>
          <w:i/>
        </w:rPr>
        <w:t>cert</w:t>
      </w:r>
      <w:r w:rsidRPr="00197C1B">
        <w:t>.</w:t>
      </w:r>
      <w:r w:rsidRPr="00197C1B">
        <w:t xml:space="preserve"> </w:t>
      </w:r>
      <w:r w:rsidRPr="00197C1B">
        <w:rPr>
          <w:i/>
        </w:rPr>
        <w:t>denied</w:t>
      </w:r>
      <w:r w:rsidRPr="00197C1B">
        <w:t>, 368 U.S.</w:t>
      </w:r>
      <w:r w:rsidRPr="00197C1B">
        <w:t xml:space="preserve"> </w:t>
      </w:r>
      <w:r w:rsidRPr="00197C1B">
        <w:t>820, 131 USPQ 499 (1961).</w:t>
      </w:r>
    </w:p>
  </w:footnote>
  <w:footnote w:id="133">
    <w:p w14:paraId="359C1C61" w14:textId="001045BB" w:rsidR="00197C1B" w:rsidRPr="0019374F" w:rsidRDefault="00197C1B" w:rsidP="00197C1B">
      <w:pPr>
        <w:pStyle w:val="FootnoteText"/>
      </w:pPr>
      <w:r w:rsidRPr="00197C1B">
        <w:rPr>
          <w:vertAlign w:val="superscript"/>
        </w:rPr>
        <w:footnoteRef/>
      </w:r>
      <w:r w:rsidRPr="00197C1B">
        <w:rPr>
          <w:i/>
        </w:rPr>
        <w:t>Eric Louis</w:t>
      </w:r>
      <w:r w:rsidRPr="00197C1B">
        <w:t>, 79 F.</w:t>
      </w:r>
      <w:r w:rsidRPr="00197C1B">
        <w:t xml:space="preserve"> </w:t>
      </w:r>
      <w:r w:rsidRPr="00197C1B">
        <w:t>Supp.</w:t>
      </w:r>
      <w:r w:rsidRPr="00197C1B">
        <w:t xml:space="preserve"> </w:t>
      </w:r>
      <w:r w:rsidRPr="00197C1B">
        <w:t>2d at 348.</w:t>
      </w:r>
      <w:r w:rsidRPr="00197C1B">
        <w:t xml:space="preserve"> </w:t>
      </w:r>
      <w:r w:rsidRPr="00197C1B">
        <w:t>It should be noted that it is not clear that “willful intent” under the FTDA is equivalent to “bad faith.”</w:t>
      </w:r>
    </w:p>
  </w:footnote>
  <w:footnote w:id="134">
    <w:p w14:paraId="4D420433" w14:textId="0B4FC23F" w:rsidR="00197C1B" w:rsidRPr="001402DA" w:rsidRDefault="00197C1B" w:rsidP="00197C1B">
      <w:pPr>
        <w:pStyle w:val="FootnoteText"/>
        <w:rPr>
          <w:lang w:val="da-DK"/>
        </w:rPr>
      </w:pPr>
      <w:r w:rsidRPr="00197C1B">
        <w:rPr>
          <w:vertAlign w:val="superscript"/>
        </w:rPr>
        <w:footnoteRef/>
      </w:r>
      <w:r w:rsidRPr="00197C1B">
        <w:rPr>
          <w:i/>
        </w:rPr>
        <w:t>Id</w:t>
      </w:r>
      <w:r w:rsidRPr="00197C1B">
        <w:t>.</w:t>
      </w:r>
    </w:p>
  </w:footnote>
  <w:footnote w:id="135">
    <w:p w14:paraId="2C8D6307" w14:textId="0DDB9DEB" w:rsidR="00197C1B" w:rsidRPr="001402DA" w:rsidRDefault="00197C1B" w:rsidP="00197C1B">
      <w:pPr>
        <w:pStyle w:val="FootnoteText"/>
        <w:rPr>
          <w:lang w:val="da-DK"/>
        </w:rPr>
      </w:pPr>
      <w:r w:rsidRPr="00197C1B">
        <w:rPr>
          <w:vertAlign w:val="superscript"/>
        </w:rPr>
        <w:footnoteRef/>
      </w:r>
      <w:r w:rsidRPr="00197C1B">
        <w:rPr>
          <w:i/>
        </w:rPr>
        <w:t>Id</w:t>
      </w:r>
      <w:r w:rsidRPr="00197C1B">
        <w:t>.</w:t>
      </w:r>
      <w:r w:rsidRPr="00197C1B">
        <w:t xml:space="preserve"> </w:t>
      </w:r>
      <w:r w:rsidRPr="00197C1B">
        <w:t>at 348–49.</w:t>
      </w:r>
    </w:p>
  </w:footnote>
  <w:footnote w:id="136">
    <w:p w14:paraId="5541ED4A" w14:textId="50C65865"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349–50.</w:t>
      </w:r>
      <w:r w:rsidRPr="00197C1B">
        <w:t xml:space="preserve"> </w:t>
      </w:r>
      <w:r w:rsidRPr="00197C1B">
        <w:t xml:space="preserve">The court found both willful </w:t>
      </w:r>
      <w:r w:rsidRPr="00197C1B">
        <w:rPr>
          <w:i/>
        </w:rPr>
        <w:t>infringement</w:t>
      </w:r>
      <w:r w:rsidRPr="00197C1B">
        <w:t xml:space="preserve"> and willful dilution.</w:t>
      </w:r>
      <w:r w:rsidRPr="00197C1B">
        <w:t xml:space="preserve"> </w:t>
      </w:r>
      <w:r w:rsidRPr="00197C1B">
        <w:rPr>
          <w:i/>
        </w:rPr>
        <w:t>Id</w:t>
      </w:r>
      <w:r w:rsidRPr="00197C1B">
        <w:t>.</w:t>
      </w:r>
      <w:r w:rsidRPr="00197C1B">
        <w:t xml:space="preserve"> </w:t>
      </w:r>
      <w:r w:rsidRPr="00197C1B">
        <w:t>at 350.</w:t>
      </w:r>
      <w:r w:rsidRPr="00197C1B">
        <w:t xml:space="preserve"> </w:t>
      </w:r>
      <w:r w:rsidRPr="00197C1B">
        <w:t>The court did not specifically refer to the two statutory alternatives contained in §43(c)(2), namely, intent to trade on the reputation of the famous mark or intent to dilute.</w:t>
      </w:r>
      <w:r w:rsidRPr="00197C1B">
        <w:t xml:space="preserve"> </w:t>
      </w:r>
      <w:r w:rsidRPr="00197C1B">
        <w:t>However, its opinion strongly indicated a belief that the defendant wished to trade on the plaintiff’s reputation.</w:t>
      </w:r>
      <w:r w:rsidRPr="00197C1B">
        <w:t xml:space="preserve"> </w:t>
      </w:r>
      <w:r w:rsidRPr="00197C1B">
        <w:rPr>
          <w:i/>
        </w:rPr>
        <w:t>Id</w:t>
      </w:r>
      <w:r w:rsidRPr="00197C1B">
        <w:t>.</w:t>
      </w:r>
      <w:r w:rsidRPr="00197C1B">
        <w:t xml:space="preserve"> </w:t>
      </w:r>
      <w:r w:rsidRPr="00197C1B">
        <w:t>at 348.</w:t>
      </w:r>
    </w:p>
  </w:footnote>
  <w:footnote w:id="137">
    <w:p w14:paraId="4877D7FF" w14:textId="5C06E7E1" w:rsidR="00197C1B" w:rsidRPr="0019374F" w:rsidRDefault="00197C1B" w:rsidP="00197C1B">
      <w:pPr>
        <w:pStyle w:val="FootnoteText"/>
      </w:pPr>
      <w:r w:rsidRPr="00197C1B">
        <w:rPr>
          <w:vertAlign w:val="superscript"/>
        </w:rPr>
        <w:footnoteRef/>
      </w:r>
      <w:r w:rsidRPr="00197C1B">
        <w:t>529 F.</w:t>
      </w:r>
      <w:r w:rsidRPr="00197C1B">
        <w:t xml:space="preserve"> </w:t>
      </w:r>
      <w:r w:rsidRPr="00197C1B">
        <w:t>Supp.</w:t>
      </w:r>
      <w:r w:rsidRPr="00197C1B">
        <w:t xml:space="preserve"> </w:t>
      </w:r>
      <w:r w:rsidRPr="00197C1B">
        <w:t>2d 1215 (D.</w:t>
      </w:r>
      <w:r w:rsidRPr="00197C1B">
        <w:t xml:space="preserve"> </w:t>
      </w:r>
      <w:r w:rsidRPr="00197C1B">
        <w:t>Or.</w:t>
      </w:r>
      <w:r w:rsidRPr="00197C1B">
        <w:t xml:space="preserve"> </w:t>
      </w:r>
      <w:r w:rsidRPr="00197C1B">
        <w:t>2007).</w:t>
      </w:r>
    </w:p>
  </w:footnote>
  <w:footnote w:id="138">
    <w:p w14:paraId="41A6ECFB" w14:textId="643A0443"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1229.</w:t>
      </w:r>
    </w:p>
  </w:footnote>
  <w:footnote w:id="139">
    <w:p w14:paraId="7B504B7E" w14:textId="20C27BEC" w:rsidR="00197C1B" w:rsidRPr="0019374F" w:rsidRDefault="00197C1B" w:rsidP="00197C1B">
      <w:pPr>
        <w:pStyle w:val="FootnoteText"/>
      </w:pPr>
      <w:r w:rsidRPr="00197C1B">
        <w:rPr>
          <w:vertAlign w:val="superscript"/>
        </w:rPr>
        <w:footnoteRef/>
      </w:r>
      <w:r w:rsidRPr="00197C1B">
        <w:rPr>
          <w:i/>
        </w:rPr>
        <w:t>Id</w:t>
      </w:r>
      <w:r w:rsidRPr="00197C1B">
        <w:t>.</w:t>
      </w:r>
    </w:p>
  </w:footnote>
  <w:footnote w:id="140">
    <w:p w14:paraId="76B586CA" w14:textId="6018D0B1"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1230–33.</w:t>
      </w:r>
    </w:p>
  </w:footnote>
  <w:footnote w:id="141">
    <w:p w14:paraId="325869F6" w14:textId="635DC0FE" w:rsidR="00197C1B" w:rsidRPr="00197C1B" w:rsidRDefault="00197C1B" w:rsidP="00197C1B">
      <w:pPr>
        <w:pStyle w:val="FootnoteText"/>
      </w:pPr>
      <w:r w:rsidRPr="00197C1B">
        <w:rPr>
          <w:vertAlign w:val="superscript"/>
        </w:rPr>
        <w:footnoteRef/>
      </w:r>
      <w:r w:rsidRPr="00197C1B">
        <w:t>2017 WL 3271706, 2017 BL 267966 (C.D.</w:t>
      </w:r>
      <w:r w:rsidRPr="00197C1B">
        <w:t xml:space="preserve"> </w:t>
      </w:r>
      <w:r w:rsidRPr="00197C1B">
        <w:t>Cal.</w:t>
      </w:r>
      <w:r w:rsidRPr="00197C1B">
        <w:t xml:space="preserve"> </w:t>
      </w:r>
      <w:r w:rsidRPr="00197C1B">
        <w:t>Aug.</w:t>
      </w:r>
      <w:r w:rsidRPr="00197C1B">
        <w:t xml:space="preserve"> </w:t>
      </w:r>
      <w:r w:rsidRPr="00197C1B">
        <w:t>1, 2017).</w:t>
      </w:r>
    </w:p>
    <w:p w14:paraId="04E5D4DE" w14:textId="77777777" w:rsidR="00197C1B" w:rsidRDefault="00197C1B" w:rsidP="00DD1F9F">
      <w:pPr>
        <w:pStyle w:val="footnote"/>
      </w:pPr>
    </w:p>
  </w:footnote>
  <w:footnote w:id="142">
    <w:p w14:paraId="047B8D39" w14:textId="330B0CD7"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*17.</w:t>
      </w:r>
    </w:p>
    <w:p w14:paraId="12E5886B" w14:textId="77777777" w:rsidR="00197C1B" w:rsidRPr="001402DA" w:rsidRDefault="00197C1B" w:rsidP="00124999">
      <w:pPr>
        <w:pStyle w:val="footnote"/>
        <w:rPr>
          <w:lang w:val="da-DK"/>
        </w:rPr>
      </w:pPr>
    </w:p>
  </w:footnote>
  <w:footnote w:id="143">
    <w:p w14:paraId="4BB871FB" w14:textId="49F85538" w:rsidR="00197C1B" w:rsidRPr="00197C1B" w:rsidRDefault="00197C1B" w:rsidP="00197C1B">
      <w:pPr>
        <w:pStyle w:val="FootnoteText"/>
      </w:pPr>
      <w:r w:rsidRPr="00197C1B">
        <w:rPr>
          <w:vertAlign w:val="superscript"/>
        </w:rPr>
        <w:footnoteRef/>
      </w:r>
      <w:r w:rsidRPr="00197C1B">
        <w:rPr>
          <w:i/>
        </w:rPr>
        <w:t>Id</w:t>
      </w:r>
      <w:r w:rsidRPr="00197C1B">
        <w:t>.</w:t>
      </w:r>
    </w:p>
    <w:p w14:paraId="7DF98538" w14:textId="77777777" w:rsidR="00197C1B" w:rsidRPr="001402DA" w:rsidRDefault="00197C1B" w:rsidP="00124999">
      <w:pPr>
        <w:pStyle w:val="footnote"/>
        <w:rPr>
          <w:lang w:val="da-DK"/>
        </w:rPr>
      </w:pPr>
    </w:p>
  </w:footnote>
  <w:footnote w:id="144">
    <w:p w14:paraId="7085D0E2" w14:textId="56EA1943"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*15.</w:t>
      </w:r>
    </w:p>
    <w:p w14:paraId="58AB6802" w14:textId="77777777" w:rsidR="00197C1B" w:rsidRPr="001402DA" w:rsidRDefault="00197C1B" w:rsidP="00124999">
      <w:pPr>
        <w:pStyle w:val="footnote"/>
        <w:rPr>
          <w:lang w:val="da-DK"/>
        </w:rPr>
      </w:pPr>
    </w:p>
  </w:footnote>
  <w:footnote w:id="145">
    <w:p w14:paraId="05FA4E6C" w14:textId="6DD809F6" w:rsidR="00197C1B" w:rsidRPr="00197C1B" w:rsidRDefault="00197C1B" w:rsidP="00197C1B">
      <w:pPr>
        <w:pStyle w:val="FootnoteText"/>
      </w:pPr>
      <w:r w:rsidRPr="00197C1B">
        <w:rPr>
          <w:vertAlign w:val="superscript"/>
        </w:rPr>
        <w:footnoteRef/>
      </w:r>
      <w:r w:rsidRPr="00197C1B">
        <w:rPr>
          <w:i/>
        </w:rPr>
        <w:t>Id.</w:t>
      </w:r>
      <w:r w:rsidRPr="00197C1B">
        <w:rPr>
          <w:i/>
        </w:rPr>
        <w:t xml:space="preserve"> </w:t>
      </w:r>
      <w:r w:rsidRPr="00197C1B">
        <w:t>at *8.</w:t>
      </w:r>
      <w:r w:rsidRPr="00197C1B">
        <w:t xml:space="preserve"> </w:t>
      </w:r>
      <w:r w:rsidRPr="00197C1B">
        <w:t>The court gave a separate instruction on willfulness that included copying as a factor.</w:t>
      </w:r>
      <w:r w:rsidRPr="00197C1B">
        <w:t xml:space="preserve"> </w:t>
      </w:r>
      <w:r w:rsidRPr="00197C1B">
        <w:t>Jury Instruction No.</w:t>
      </w:r>
      <w:r w:rsidRPr="00197C1B">
        <w:t xml:space="preserve"> </w:t>
      </w:r>
      <w:r w:rsidRPr="00197C1B">
        <w:t>32.</w:t>
      </w:r>
    </w:p>
    <w:p w14:paraId="6E9F3975" w14:textId="77777777" w:rsidR="00197C1B" w:rsidRDefault="00197C1B" w:rsidP="00124999">
      <w:pPr>
        <w:pStyle w:val="footnote"/>
      </w:pPr>
    </w:p>
  </w:footnote>
  <w:footnote w:id="146">
    <w:p w14:paraId="05BD96F0" w14:textId="21C6F6A9" w:rsidR="00197C1B" w:rsidRPr="00197C1B" w:rsidRDefault="00197C1B" w:rsidP="00197C1B">
      <w:pPr>
        <w:pStyle w:val="FootnoteText"/>
      </w:pPr>
      <w:r w:rsidRPr="00197C1B">
        <w:rPr>
          <w:vertAlign w:val="superscript"/>
        </w:rPr>
        <w:footnoteRef/>
      </w:r>
      <w:r w:rsidRPr="00197C1B">
        <w:t>920 F.</w:t>
      </w:r>
      <w:r w:rsidRPr="00197C1B">
        <w:t xml:space="preserve"> </w:t>
      </w:r>
      <w:r w:rsidRPr="00197C1B">
        <w:t>Supp.</w:t>
      </w:r>
      <w:r w:rsidRPr="00197C1B">
        <w:t xml:space="preserve"> </w:t>
      </w:r>
      <w:r w:rsidRPr="00197C1B">
        <w:t>2d 1079 (N.D.</w:t>
      </w:r>
      <w:r w:rsidRPr="00197C1B">
        <w:t xml:space="preserve"> </w:t>
      </w:r>
      <w:r w:rsidRPr="00197C1B">
        <w:t>Cal.</w:t>
      </w:r>
      <w:r w:rsidRPr="00197C1B">
        <w:t xml:space="preserve"> </w:t>
      </w:r>
      <w:r w:rsidRPr="00197C1B">
        <w:t xml:space="preserve">2013), </w:t>
      </w:r>
      <w:r w:rsidRPr="00197C1B">
        <w:rPr>
          <w:i/>
        </w:rPr>
        <w:t>aff’d in part</w:t>
      </w:r>
      <w:r w:rsidRPr="00197C1B">
        <w:t>,</w:t>
      </w:r>
      <w:r w:rsidRPr="00197C1B">
        <w:rPr>
          <w:i/>
        </w:rPr>
        <w:t xml:space="preserve"> rev’d in part on other grounds</w:t>
      </w:r>
      <w:r w:rsidRPr="00197C1B">
        <w:t>, 786 F.3d 983, 114 USPQ2d 1953 (Fed.</w:t>
      </w:r>
      <w:r w:rsidRPr="00197C1B">
        <w:t xml:space="preserve"> </w:t>
      </w:r>
      <w:r w:rsidRPr="00197C1B">
        <w:t>Cir.</w:t>
      </w:r>
      <w:r w:rsidRPr="00197C1B">
        <w:t xml:space="preserve"> </w:t>
      </w:r>
      <w:r w:rsidRPr="00197C1B">
        <w:t xml:space="preserve">2015) (the Federal Circuit found the trade dress to be functional and did not reach the dilution issues), </w:t>
      </w:r>
      <w:r w:rsidRPr="00197C1B">
        <w:rPr>
          <w:i/>
        </w:rPr>
        <w:t>rev’d on other grounds</w:t>
      </w:r>
      <w:r w:rsidRPr="00197C1B">
        <w:t>, 580 U.S.</w:t>
      </w:r>
      <w:r w:rsidRPr="00197C1B">
        <w:t xml:space="preserve"> </w:t>
      </w:r>
      <w:r w:rsidRPr="00197C1B">
        <w:t>53, 120 USPQ2d 1749 (2016).</w:t>
      </w:r>
    </w:p>
    <w:p w14:paraId="55543BC5" w14:textId="77777777" w:rsidR="00197C1B" w:rsidRDefault="00197C1B" w:rsidP="00124999">
      <w:pPr>
        <w:pStyle w:val="footnote"/>
      </w:pPr>
    </w:p>
  </w:footnote>
  <w:footnote w:id="147">
    <w:p w14:paraId="294D88F2" w14:textId="68F185B0"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1098.</w:t>
      </w:r>
    </w:p>
    <w:p w14:paraId="1E8B8529" w14:textId="77777777" w:rsidR="00197C1B" w:rsidRDefault="00197C1B" w:rsidP="00124999">
      <w:pPr>
        <w:pStyle w:val="footnote"/>
      </w:pPr>
    </w:p>
  </w:footnote>
  <w:footnote w:id="148">
    <w:p w14:paraId="77DA0D79" w14:textId="19662FF6" w:rsidR="00197C1B" w:rsidRPr="00197C1B" w:rsidRDefault="00197C1B" w:rsidP="00197C1B">
      <w:pPr>
        <w:pStyle w:val="FootnoteText"/>
      </w:pPr>
      <w:r w:rsidRPr="00197C1B">
        <w:rPr>
          <w:rStyle w:val="FootnoteReference"/>
          <w:rFonts w:eastAsiaTheme="majorEastAsia"/>
        </w:rPr>
        <w:footnoteRef/>
      </w:r>
      <w:r w:rsidRPr="00197C1B">
        <w:t xml:space="preserve">The jury instructions are available at </w:t>
      </w:r>
      <w:hyperlink r:id="rId2" w:history="1">
        <w:r w:rsidRPr="00197C1B">
          <w:rPr>
            <w:rStyle w:val="Hyperlink"/>
            <w:lang w:bidi="en-US"/>
          </w:rPr>
          <w:t>https://www.bloomberglaw.com/document/X1Q6MB72RGO2</w:t>
        </w:r>
      </w:hyperlink>
      <w:r w:rsidRPr="00197C1B">
        <w:t>.</w:t>
      </w:r>
    </w:p>
    <w:p w14:paraId="0343C330" w14:textId="77777777" w:rsidR="00197C1B" w:rsidRDefault="00197C1B">
      <w:pPr>
        <w:pStyle w:val="FootnoteText"/>
      </w:pPr>
    </w:p>
  </w:footnote>
  <w:footnote w:id="149">
    <w:p w14:paraId="4F01ADD0" w14:textId="14A2980B" w:rsidR="00197C1B" w:rsidRPr="00197C1B" w:rsidRDefault="00197C1B" w:rsidP="00197C1B">
      <w:pPr>
        <w:pStyle w:val="FootnoteText"/>
      </w:pPr>
      <w:r w:rsidRPr="00197C1B">
        <w:rPr>
          <w:vertAlign w:val="superscript"/>
        </w:rPr>
        <w:footnoteRef/>
      </w:r>
      <w:r w:rsidRPr="00197C1B">
        <w:t>Apple, Inc.</w:t>
      </w:r>
      <w:r w:rsidRPr="00197C1B">
        <w:t xml:space="preserve"> </w:t>
      </w:r>
      <w:r w:rsidRPr="00197C1B">
        <w:t>v.</w:t>
      </w:r>
      <w:r w:rsidRPr="00197C1B">
        <w:t xml:space="preserve"> </w:t>
      </w:r>
      <w:r w:rsidRPr="00197C1B">
        <w:t>Samsung Elecs.</w:t>
      </w:r>
      <w:r w:rsidRPr="00197C1B">
        <w:t xml:space="preserve"> </w:t>
      </w:r>
      <w:r w:rsidRPr="00197C1B">
        <w:t>Co., 786 F.3d 983, 114 USPQ2d 1953 (Fed.</w:t>
      </w:r>
      <w:r w:rsidRPr="00197C1B">
        <w:t xml:space="preserve"> </w:t>
      </w:r>
      <w:r w:rsidRPr="00197C1B">
        <w:t>Cir.</w:t>
      </w:r>
      <w:r w:rsidRPr="00197C1B">
        <w:t xml:space="preserve"> </w:t>
      </w:r>
      <w:r w:rsidRPr="00197C1B">
        <w:t xml:space="preserve">2015), </w:t>
      </w:r>
      <w:r w:rsidRPr="00197C1B">
        <w:rPr>
          <w:i/>
        </w:rPr>
        <w:t>rev’d on other grounds</w:t>
      </w:r>
      <w:r w:rsidRPr="00197C1B">
        <w:t>, 580 U.S.</w:t>
      </w:r>
      <w:r w:rsidRPr="00197C1B">
        <w:t xml:space="preserve"> </w:t>
      </w:r>
      <w:r w:rsidRPr="00197C1B">
        <w:t>53, 120 USPQ2d 1749 (2016).</w:t>
      </w:r>
    </w:p>
    <w:p w14:paraId="0E75DB1C" w14:textId="77777777" w:rsidR="00197C1B" w:rsidRDefault="00197C1B" w:rsidP="00124999">
      <w:pPr>
        <w:pStyle w:val="footnote"/>
      </w:pPr>
    </w:p>
  </w:footnote>
  <w:footnote w:id="150">
    <w:p w14:paraId="51FB6982" w14:textId="3610A4C5" w:rsidR="00197C1B" w:rsidRPr="0019374F" w:rsidRDefault="00197C1B" w:rsidP="00197C1B">
      <w:pPr>
        <w:pStyle w:val="FootnoteText"/>
      </w:pPr>
      <w:r w:rsidRPr="00197C1B">
        <w:rPr>
          <w:vertAlign w:val="superscript"/>
        </w:rPr>
        <w:footnoteRef/>
      </w:r>
      <w:r w:rsidRPr="00197C1B">
        <w:t>Ringling Bros.-Barnum &amp; Bailey Combined Shows, Inc.</w:t>
      </w:r>
      <w:r w:rsidRPr="00197C1B">
        <w:t xml:space="preserve"> </w:t>
      </w:r>
      <w:r w:rsidRPr="00197C1B">
        <w:t>v.</w:t>
      </w:r>
      <w:r w:rsidRPr="00197C1B">
        <w:t xml:space="preserve"> </w:t>
      </w:r>
      <w:r w:rsidRPr="00197C1B">
        <w:t>Utah Div.</w:t>
      </w:r>
      <w:r w:rsidRPr="00197C1B">
        <w:t xml:space="preserve"> </w:t>
      </w:r>
      <w:r w:rsidRPr="00197C1B">
        <w:t xml:space="preserve">of Travel Dev., 170 F.3d 449, 466, 50 USPQ2d 1065 (4th Cir.), </w:t>
      </w:r>
      <w:r w:rsidRPr="00197C1B">
        <w:rPr>
          <w:i/>
        </w:rPr>
        <w:t>cert</w:t>
      </w:r>
      <w:r w:rsidRPr="00197C1B">
        <w:t>.</w:t>
      </w:r>
      <w:r w:rsidRPr="00197C1B">
        <w:t xml:space="preserve"> </w:t>
      </w:r>
      <w:r w:rsidRPr="00197C1B">
        <w:rPr>
          <w:i/>
        </w:rPr>
        <w:t>denied</w:t>
      </w:r>
      <w:r w:rsidRPr="00197C1B">
        <w:t>, 528 U.S.</w:t>
      </w:r>
      <w:r w:rsidRPr="00197C1B">
        <w:t xml:space="preserve"> </w:t>
      </w:r>
      <w:r w:rsidRPr="00197C1B">
        <w:t>923 (1999).</w:t>
      </w:r>
    </w:p>
  </w:footnote>
  <w:footnote w:id="151">
    <w:p w14:paraId="62C40707" w14:textId="3EB6D5AD" w:rsidR="00197C1B" w:rsidRPr="0019374F" w:rsidRDefault="00197C1B" w:rsidP="00197C1B">
      <w:pPr>
        <w:pStyle w:val="FootnoteText"/>
      </w:pPr>
      <w:r w:rsidRPr="00197C1B">
        <w:rPr>
          <w:vertAlign w:val="superscript"/>
        </w:rPr>
        <w:footnoteRef/>
      </w:r>
      <w:r w:rsidRPr="00197C1B">
        <w:rPr>
          <w:i/>
        </w:rPr>
        <w:t>See Eric Louis</w:t>
      </w:r>
      <w:r w:rsidRPr="00197C1B">
        <w:t>, 79 F.</w:t>
      </w:r>
      <w:r w:rsidRPr="00197C1B">
        <w:t xml:space="preserve"> </w:t>
      </w:r>
      <w:r w:rsidRPr="00197C1B">
        <w:t>Supp.</w:t>
      </w:r>
      <w:r w:rsidRPr="00197C1B">
        <w:t xml:space="preserve"> </w:t>
      </w:r>
      <w:r w:rsidRPr="00197C1B">
        <w:t>2d at 337 (“If a plaintiff alleges both trademark infringement and trademark dilution, for example, it is possible that the defendant willfully infringed but did not willfully dilute”).</w:t>
      </w:r>
      <w:r w:rsidRPr="00197C1B">
        <w:t xml:space="preserve"> </w:t>
      </w:r>
      <w:r w:rsidRPr="00197C1B">
        <w:t>However, the court’s subsequent analysis of the facts did not do a very good job of separating the willfulness analysis for the two types of claims.</w:t>
      </w:r>
      <w:r w:rsidRPr="00197C1B">
        <w:t xml:space="preserve"> </w:t>
      </w:r>
      <w:r w:rsidRPr="00197C1B">
        <w:rPr>
          <w:i/>
        </w:rPr>
        <w:t>See id</w:t>
      </w:r>
      <w:r w:rsidRPr="00197C1B">
        <w:t>.</w:t>
      </w:r>
      <w:r w:rsidRPr="00197C1B">
        <w:t xml:space="preserve"> </w:t>
      </w:r>
      <w:r w:rsidRPr="00197C1B">
        <w:t>at 349–51.</w:t>
      </w:r>
      <w:r w:rsidRPr="00197C1B">
        <w:t xml:space="preserve"> </w:t>
      </w:r>
      <w:r w:rsidRPr="00197C1B">
        <w:rPr>
          <w:i/>
        </w:rPr>
        <w:t>But cf</w:t>
      </w:r>
      <w:r w:rsidRPr="00197C1B">
        <w:t>.</w:t>
      </w:r>
      <w:r w:rsidRPr="00197C1B">
        <w:t xml:space="preserve"> </w:t>
      </w:r>
      <w:r w:rsidRPr="00197C1B">
        <w:t>Libbey Glass, Inc.</w:t>
      </w:r>
      <w:r w:rsidRPr="00197C1B">
        <w:t xml:space="preserve"> </w:t>
      </w:r>
      <w:r w:rsidRPr="00197C1B">
        <w:t>v.</w:t>
      </w:r>
      <w:r w:rsidRPr="00197C1B">
        <w:t xml:space="preserve"> </w:t>
      </w:r>
      <w:r w:rsidRPr="00197C1B">
        <w:t>Oneida, Ltd., 1999 WL 684180, at *3 n.3 (N.D.</w:t>
      </w:r>
      <w:r w:rsidRPr="00197C1B">
        <w:t xml:space="preserve"> </w:t>
      </w:r>
      <w:r w:rsidRPr="00197C1B">
        <w:t>Ohio Jul.</w:t>
      </w:r>
      <w:r w:rsidRPr="00197C1B">
        <w:t xml:space="preserve"> </w:t>
      </w:r>
      <w:r w:rsidRPr="00197C1B">
        <w:t>12, 1999) (finding willful intent from intentional copying).</w:t>
      </w:r>
    </w:p>
  </w:footnote>
  <w:footnote w:id="152">
    <w:p w14:paraId="7934ED38" w14:textId="5C6F881E"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Pepsico, Inc.</w:t>
      </w:r>
      <w:r w:rsidRPr="00197C1B">
        <w:t xml:space="preserve"> </w:t>
      </w:r>
      <w:r w:rsidRPr="00197C1B">
        <w:t>v.</w:t>
      </w:r>
      <w:r w:rsidRPr="00197C1B">
        <w:t xml:space="preserve"> </w:t>
      </w:r>
      <w:r w:rsidRPr="00197C1B">
        <w:t>Irie Motivations, Inc., 2008 U.S.</w:t>
      </w:r>
      <w:r w:rsidRPr="00197C1B">
        <w:t xml:space="preserve"> </w:t>
      </w:r>
      <w:r w:rsidRPr="00197C1B">
        <w:t>Dist.</w:t>
      </w:r>
      <w:r w:rsidRPr="00197C1B">
        <w:t xml:space="preserve"> </w:t>
      </w:r>
      <w:r w:rsidRPr="00197C1B">
        <w:t>LEXIS 108025, at *3 (C.D.</w:t>
      </w:r>
      <w:r w:rsidRPr="00197C1B">
        <w:t xml:space="preserve"> </w:t>
      </w:r>
      <w:r w:rsidRPr="00197C1B">
        <w:t>Cal.</w:t>
      </w:r>
      <w:r w:rsidRPr="00197C1B">
        <w:t xml:space="preserve"> </w:t>
      </w:r>
      <w:r w:rsidRPr="00197C1B">
        <w:t>Dec.</w:t>
      </w:r>
      <w:r w:rsidRPr="00197C1B">
        <w:t xml:space="preserve"> </w:t>
      </w:r>
      <w:r w:rsidRPr="00197C1B">
        <w:t>29, 2008) (after default, awarding damages for infringement and dilution without separating the two concepts);</w:t>
      </w:r>
      <w:r w:rsidRPr="00197C1B">
        <w:t xml:space="preserve"> </w:t>
      </w:r>
      <w:r w:rsidRPr="00197C1B">
        <w:t>General Motors Corp.</w:t>
      </w:r>
      <w:r w:rsidRPr="00197C1B">
        <w:t xml:space="preserve"> </w:t>
      </w:r>
      <w:r w:rsidRPr="00197C1B">
        <w:t>v.</w:t>
      </w:r>
      <w:r w:rsidRPr="00197C1B">
        <w:t xml:space="preserve"> </w:t>
      </w:r>
      <w:r w:rsidRPr="00197C1B">
        <w:t>Phat Cat Carts, Inc., 504 F.</w:t>
      </w:r>
      <w:r w:rsidRPr="00197C1B">
        <w:t xml:space="preserve"> </w:t>
      </w:r>
      <w:r w:rsidRPr="00197C1B">
        <w:t>Supp.</w:t>
      </w:r>
      <w:r w:rsidRPr="00197C1B">
        <w:t xml:space="preserve"> </w:t>
      </w:r>
      <w:r w:rsidRPr="00197C1B">
        <w:t>2d 1278 (M.D.</w:t>
      </w:r>
      <w:r w:rsidRPr="00197C1B">
        <w:t xml:space="preserve"> </w:t>
      </w:r>
      <w:r w:rsidRPr="00197C1B">
        <w:t>Fla.</w:t>
      </w:r>
      <w:r w:rsidRPr="00197C1B">
        <w:t xml:space="preserve"> </w:t>
      </w:r>
      <w:r w:rsidRPr="00197C1B">
        <w:t>2007) (awarding damages for infringement and dilution without separating the discussions).</w:t>
      </w:r>
      <w:r w:rsidRPr="00197C1B">
        <w:t xml:space="preserve"> </w:t>
      </w:r>
      <w:r w:rsidRPr="00197C1B">
        <w:t>See §III.D, below, for a discussion of awards of damages for claims joined with dilution claims.</w:t>
      </w:r>
    </w:p>
  </w:footnote>
  <w:footnote w:id="153">
    <w:p w14:paraId="254A21BA" w14:textId="7BBA52AB" w:rsidR="00197C1B" w:rsidRPr="0019374F" w:rsidRDefault="00197C1B" w:rsidP="00197C1B">
      <w:pPr>
        <w:pStyle w:val="FootnoteText"/>
      </w:pPr>
      <w:r w:rsidRPr="00197C1B">
        <w:rPr>
          <w:vertAlign w:val="superscript"/>
        </w:rPr>
        <w:footnoteRef/>
      </w:r>
      <w:r w:rsidRPr="00197C1B">
        <w:t>152 F.</w:t>
      </w:r>
      <w:r w:rsidRPr="00197C1B">
        <w:t xml:space="preserve"> </w:t>
      </w:r>
      <w:r w:rsidRPr="00197C1B">
        <w:t>Supp.</w:t>
      </w:r>
      <w:r w:rsidRPr="00197C1B">
        <w:t xml:space="preserve"> </w:t>
      </w:r>
      <w:r w:rsidRPr="00197C1B">
        <w:t>2d 1208 (D.</w:t>
      </w:r>
      <w:r w:rsidRPr="00197C1B">
        <w:t xml:space="preserve"> </w:t>
      </w:r>
      <w:r w:rsidRPr="00197C1B">
        <w:t>Nev.</w:t>
      </w:r>
      <w:r w:rsidRPr="00197C1B">
        <w:t xml:space="preserve"> </w:t>
      </w:r>
      <w:r w:rsidRPr="00197C1B">
        <w:t>2000).</w:t>
      </w:r>
    </w:p>
  </w:footnote>
  <w:footnote w:id="154">
    <w:p w14:paraId="1350375E" w14:textId="3DC5D5CB"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1216–18.</w:t>
      </w:r>
    </w:p>
  </w:footnote>
  <w:footnote w:id="155">
    <w:p w14:paraId="13F6135E" w14:textId="69A79FFD"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1219.</w:t>
      </w:r>
    </w:p>
  </w:footnote>
  <w:footnote w:id="156">
    <w:p w14:paraId="6E07C57D" w14:textId="5EB1A58B"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The court found an issue of fact remained on the plaintiff’s ACPA claim and therefore the statutory damages of §35(d) were not available.</w:t>
      </w:r>
    </w:p>
  </w:footnote>
  <w:footnote w:id="157">
    <w:p w14:paraId="58AE5516" w14:textId="6028B044" w:rsidR="00197C1B" w:rsidRPr="0019374F" w:rsidRDefault="00197C1B" w:rsidP="00197C1B">
      <w:pPr>
        <w:pStyle w:val="FootnoteText"/>
      </w:pPr>
      <w:r w:rsidRPr="00197C1B">
        <w:rPr>
          <w:vertAlign w:val="superscript"/>
        </w:rPr>
        <w:footnoteRef/>
      </w:r>
      <w:r w:rsidRPr="00197C1B">
        <w:rPr>
          <w:i/>
        </w:rPr>
        <w:t>See</w:t>
      </w:r>
      <w:r w:rsidRPr="00197C1B">
        <w:t xml:space="preserve"> Wilcom PTY, Ltd.</w:t>
      </w:r>
      <w:r w:rsidRPr="00197C1B">
        <w:t xml:space="preserve"> </w:t>
      </w:r>
      <w:r w:rsidRPr="00197C1B">
        <w:t>v.</w:t>
      </w:r>
      <w:r w:rsidRPr="00197C1B">
        <w:t xml:space="preserve"> </w:t>
      </w:r>
      <w:r w:rsidRPr="00197C1B">
        <w:t>Endless Visions, 1999 WL 33229745, at *3 (E.D.</w:t>
      </w:r>
      <w:r w:rsidRPr="00197C1B">
        <w:t xml:space="preserve"> </w:t>
      </w:r>
      <w:r w:rsidRPr="00197C1B">
        <w:t>Mich.</w:t>
      </w:r>
      <w:r w:rsidRPr="00197C1B">
        <w:t xml:space="preserve"> </w:t>
      </w:r>
      <w:r w:rsidRPr="00197C1B">
        <w:t>Jun.</w:t>
      </w:r>
      <w:r w:rsidRPr="00197C1B">
        <w:t xml:space="preserve"> </w:t>
      </w:r>
      <w:r w:rsidRPr="00197C1B">
        <w:t>17, 1999) (asserting that “[w]hen a party prevails on either of these claims [infringement or dilution], the party is entitled to damages as set forth in 15 U.S.C.</w:t>
      </w:r>
      <w:r w:rsidRPr="00197C1B">
        <w:t xml:space="preserve"> </w:t>
      </w:r>
      <w:r w:rsidRPr="00197C1B">
        <w:t>§1117(a)”).</w:t>
      </w:r>
    </w:p>
  </w:footnote>
  <w:footnote w:id="158">
    <w:p w14:paraId="05EF8B65" w14:textId="3CAFA0B0" w:rsidR="00197C1B" w:rsidRPr="0019374F" w:rsidRDefault="00197C1B" w:rsidP="00197C1B">
      <w:pPr>
        <w:pStyle w:val="FootnoteText"/>
      </w:pPr>
      <w:r w:rsidRPr="00197C1B">
        <w:rPr>
          <w:vertAlign w:val="superscript"/>
        </w:rPr>
        <w:footnoteRef/>
      </w:r>
      <w:r w:rsidRPr="00197C1B">
        <w:t>PepsiCo, Inc.</w:t>
      </w:r>
      <w:r w:rsidRPr="00197C1B">
        <w:t xml:space="preserve"> </w:t>
      </w:r>
      <w:r w:rsidRPr="00197C1B">
        <w:t>v.</w:t>
      </w:r>
      <w:r w:rsidRPr="00197C1B">
        <w:t xml:space="preserve"> </w:t>
      </w:r>
      <w:r w:rsidRPr="00197C1B">
        <w:t>#1 Wholesale, LLC, 84 USPQ2d 1040, 1045 (N.D.</w:t>
      </w:r>
      <w:r w:rsidRPr="00197C1B">
        <w:t xml:space="preserve"> </w:t>
      </w:r>
      <w:r w:rsidRPr="00197C1B">
        <w:t>Ga.</w:t>
      </w:r>
      <w:r w:rsidRPr="00197C1B">
        <w:t xml:space="preserve"> </w:t>
      </w:r>
      <w:r w:rsidRPr="00197C1B">
        <w:t>2007).</w:t>
      </w:r>
      <w:r w:rsidRPr="00197C1B">
        <w:t xml:space="preserve"> </w:t>
      </w:r>
      <w:r w:rsidRPr="00197C1B">
        <w:t xml:space="preserve">A different court asserted that §36 (apparently meant to be §35(b)) </w:t>
      </w:r>
      <w:r w:rsidRPr="00197C1B">
        <w:rPr>
          <w:i/>
        </w:rPr>
        <w:t>required</w:t>
      </w:r>
      <w:r w:rsidRPr="00197C1B">
        <w:t xml:space="preserve"> the court to assess treble damages for willful violations.</w:t>
      </w:r>
      <w:r w:rsidRPr="00197C1B">
        <w:t xml:space="preserve"> </w:t>
      </w:r>
      <w:r w:rsidRPr="00197C1B">
        <w:t>Ramada Worldwide, Inc.</w:t>
      </w:r>
      <w:r w:rsidRPr="00197C1B">
        <w:t xml:space="preserve"> </w:t>
      </w:r>
      <w:r w:rsidRPr="00197C1B">
        <w:t>v.</w:t>
      </w:r>
      <w:r w:rsidRPr="00197C1B">
        <w:t xml:space="preserve"> </w:t>
      </w:r>
      <w:r w:rsidRPr="00197C1B">
        <w:t>Jaydutt, Inc., 2008 U.S.</w:t>
      </w:r>
      <w:r w:rsidRPr="00197C1B">
        <w:t xml:space="preserve"> </w:t>
      </w:r>
      <w:r w:rsidRPr="00197C1B">
        <w:t>Dist.</w:t>
      </w:r>
      <w:r w:rsidRPr="00197C1B">
        <w:t xml:space="preserve"> </w:t>
      </w:r>
      <w:r w:rsidRPr="00197C1B">
        <w:t>LEXIS 1207, at *3 (D.N.J.</w:t>
      </w:r>
      <w:r w:rsidRPr="00197C1B">
        <w:t xml:space="preserve"> </w:t>
      </w:r>
      <w:r w:rsidRPr="00197C1B">
        <w:t>Jan.</w:t>
      </w:r>
      <w:r w:rsidRPr="00197C1B">
        <w:t xml:space="preserve"> </w:t>
      </w:r>
      <w:r w:rsidRPr="00197C1B">
        <w:t>7, 2008).</w:t>
      </w:r>
      <w:r w:rsidRPr="00197C1B">
        <w:t xml:space="preserve"> </w:t>
      </w:r>
      <w:r w:rsidRPr="00197C1B">
        <w:t>This appears to be an unfortunate misinterpretation of §35(b);</w:t>
      </w:r>
      <w:r w:rsidRPr="00197C1B">
        <w:t xml:space="preserve"> </w:t>
      </w:r>
      <w:r w:rsidRPr="00197C1B">
        <w:t>that Section applies only to counterfeit marks.</w:t>
      </w:r>
      <w:r w:rsidRPr="00197C1B">
        <w:t xml:space="preserve"> </w:t>
      </w:r>
      <w:r w:rsidRPr="00197C1B">
        <w:t>There was no indication in the case (which was a default judgment) that there was a counterfeit mark involved.</w:t>
      </w:r>
      <w:r w:rsidRPr="00197C1B">
        <w:t xml:space="preserve"> </w:t>
      </w:r>
      <w:r w:rsidRPr="00197C1B">
        <w:rPr>
          <w:i/>
        </w:rPr>
        <w:t>See also</w:t>
      </w:r>
      <w:r w:rsidRPr="00197C1B">
        <w:t xml:space="preserve"> Pepsico, Inc.</w:t>
      </w:r>
      <w:r w:rsidRPr="00197C1B">
        <w:t xml:space="preserve"> </w:t>
      </w:r>
      <w:r w:rsidRPr="00197C1B">
        <w:t>v.</w:t>
      </w:r>
      <w:r w:rsidRPr="00197C1B">
        <w:t xml:space="preserve"> </w:t>
      </w:r>
      <w:r w:rsidRPr="00197C1B">
        <w:t>Irie Motivations, Inc., 2008 U.S.</w:t>
      </w:r>
      <w:r w:rsidRPr="00197C1B">
        <w:t xml:space="preserve"> </w:t>
      </w:r>
      <w:r w:rsidRPr="00197C1B">
        <w:t>Dist.</w:t>
      </w:r>
      <w:r w:rsidRPr="00197C1B">
        <w:t xml:space="preserve"> </w:t>
      </w:r>
      <w:r w:rsidRPr="00197C1B">
        <w:t>LEXIS 108025, at *3 (C.D.</w:t>
      </w:r>
      <w:r w:rsidRPr="00197C1B">
        <w:t xml:space="preserve"> </w:t>
      </w:r>
      <w:r w:rsidRPr="00197C1B">
        <w:t>Cal.</w:t>
      </w:r>
      <w:r w:rsidRPr="00197C1B">
        <w:t xml:space="preserve"> </w:t>
      </w:r>
      <w:r w:rsidRPr="00197C1B">
        <w:t>Dec.</w:t>
      </w:r>
      <w:r w:rsidRPr="00197C1B">
        <w:t xml:space="preserve"> </w:t>
      </w:r>
      <w:r w:rsidRPr="00197C1B">
        <w:t>29, 2008) (default judgment—court accepts allegations of willful conduct as sufficient to award damages for both infringement and dilution).</w:t>
      </w:r>
    </w:p>
  </w:footnote>
  <w:footnote w:id="159">
    <w:p w14:paraId="3A1F4566" w14:textId="79581F4C" w:rsidR="00197C1B" w:rsidRPr="0019374F" w:rsidRDefault="00197C1B" w:rsidP="00197C1B">
      <w:pPr>
        <w:pStyle w:val="FootnoteText"/>
      </w:pPr>
      <w:r w:rsidRPr="00197C1B">
        <w:rPr>
          <w:vertAlign w:val="superscript"/>
        </w:rPr>
        <w:footnoteRef/>
      </w:r>
      <w:r w:rsidRPr="00197C1B">
        <w:t>B &amp; H Mfg.</w:t>
      </w:r>
      <w:r w:rsidRPr="00197C1B">
        <w:t xml:space="preserve"> </w:t>
      </w:r>
      <w:r w:rsidRPr="00197C1B">
        <w:t>Co.</w:t>
      </w:r>
      <w:r w:rsidRPr="00197C1B">
        <w:t xml:space="preserve"> </w:t>
      </w:r>
      <w:r w:rsidRPr="00197C1B">
        <w:t>v.</w:t>
      </w:r>
      <w:r w:rsidRPr="00197C1B">
        <w:t xml:space="preserve"> </w:t>
      </w:r>
      <w:r w:rsidRPr="00197C1B">
        <w:t>Bright, 2005 WL 1342815, at *13–14, 2005 BL 101726 (E.D.</w:t>
      </w:r>
      <w:r w:rsidRPr="00197C1B">
        <w:t xml:space="preserve"> </w:t>
      </w:r>
      <w:r w:rsidRPr="00197C1B">
        <w:t>Cal.</w:t>
      </w:r>
      <w:r w:rsidRPr="00197C1B">
        <w:t xml:space="preserve"> </w:t>
      </w:r>
      <w:r w:rsidRPr="00197C1B">
        <w:t>May 11, 2005) (denying renewed motion for judgment as a matter of law).</w:t>
      </w:r>
      <w:r w:rsidRPr="00197C1B">
        <w:t xml:space="preserve"> </w:t>
      </w:r>
      <w:r w:rsidRPr="00197C1B">
        <w:rPr>
          <w:i/>
        </w:rPr>
        <w:t>See Irie Motivations</w:t>
      </w:r>
      <w:r w:rsidRPr="00197C1B">
        <w:t>, 2008 U.S.</w:t>
      </w:r>
      <w:r w:rsidRPr="00197C1B">
        <w:t xml:space="preserve"> </w:t>
      </w:r>
      <w:r w:rsidRPr="00197C1B">
        <w:t>Dist.</w:t>
      </w:r>
      <w:r w:rsidRPr="00197C1B">
        <w:t xml:space="preserve"> </w:t>
      </w:r>
      <w:r w:rsidRPr="00197C1B">
        <w:t>LEXIS 10825, at *2–3 (after default, awarding damages for dilution and infringement without specific findings of intent to trade on reputation or harm the mark’s reputation);</w:t>
      </w:r>
      <w:r w:rsidRPr="00197C1B">
        <w:t xml:space="preserve"> </w:t>
      </w:r>
      <w:r w:rsidRPr="00197C1B">
        <w:t>Levi Strauss &amp; Co.</w:t>
      </w:r>
      <w:r w:rsidRPr="00197C1B">
        <w:t xml:space="preserve"> </w:t>
      </w:r>
      <w:r w:rsidRPr="00197C1B">
        <w:t>v.</w:t>
      </w:r>
      <w:r w:rsidRPr="00197C1B">
        <w:t xml:space="preserve"> </w:t>
      </w:r>
      <w:r w:rsidRPr="00197C1B">
        <w:t>Fox Hollow Apparel Group, LLC, 2007 U.S.</w:t>
      </w:r>
      <w:r w:rsidRPr="00197C1B">
        <w:t xml:space="preserve"> </w:t>
      </w:r>
      <w:r w:rsidRPr="00197C1B">
        <w:t>Dist.</w:t>
      </w:r>
      <w:r w:rsidRPr="00197C1B">
        <w:t xml:space="preserve"> </w:t>
      </w:r>
      <w:r w:rsidRPr="00197C1B">
        <w:t>LEXIS 31355, at *8–9 (N.D.</w:t>
      </w:r>
      <w:r w:rsidRPr="00197C1B">
        <w:t xml:space="preserve"> </w:t>
      </w:r>
      <w:r w:rsidRPr="00197C1B">
        <w:t>Cal.</w:t>
      </w:r>
      <w:r w:rsidRPr="00197C1B">
        <w:t xml:space="preserve"> </w:t>
      </w:r>
      <w:r w:rsidRPr="00197C1B">
        <w:t>Apr.</w:t>
      </w:r>
      <w:r w:rsidRPr="00197C1B">
        <w:t xml:space="preserve"> </w:t>
      </w:r>
      <w:r w:rsidRPr="00197C1B">
        <w:t>17, 2007) (after defendant’s default, awarding damages due to defendant’s “willful” infringement but without a specific finding that defendant willfully intended to trade on the famous mark’s reputation or intended to harm the reputation of the famous mark).</w:t>
      </w:r>
      <w:r w:rsidRPr="00197C1B">
        <w:t xml:space="preserve"> </w:t>
      </w:r>
      <w:r w:rsidRPr="00197C1B">
        <w:rPr>
          <w:i/>
        </w:rPr>
        <w:t>See also</w:t>
      </w:r>
      <w:r w:rsidRPr="00197C1B">
        <w:t xml:space="preserve"> Diane von Furstenberg Studio v.</w:t>
      </w:r>
      <w:r w:rsidRPr="00197C1B">
        <w:t xml:space="preserve"> </w:t>
      </w:r>
      <w:r w:rsidRPr="00197C1B">
        <w:t>Snyder, 2007 WL 3143690, 2007 BL 137373 (E.D.</w:t>
      </w:r>
      <w:r w:rsidRPr="00197C1B">
        <w:t xml:space="preserve"> </w:t>
      </w:r>
      <w:r w:rsidRPr="00197C1B">
        <w:t>Va.</w:t>
      </w:r>
      <w:r w:rsidRPr="00197C1B">
        <w:t xml:space="preserve"> </w:t>
      </w:r>
      <w:r w:rsidRPr="00197C1B">
        <w:t>Oct.</w:t>
      </w:r>
      <w:r w:rsidRPr="00197C1B">
        <w:t xml:space="preserve"> </w:t>
      </w:r>
      <w:r w:rsidRPr="00197C1B">
        <w:t>23, 2007) (awarding damages on various trademark claims, including dilution, despite specific denial of any willful conduct).</w:t>
      </w:r>
    </w:p>
  </w:footnote>
  <w:footnote w:id="160">
    <w:p w14:paraId="0409F706" w14:textId="4C637A45" w:rsidR="00197C1B" w:rsidRPr="00197C1B" w:rsidRDefault="00197C1B" w:rsidP="00197C1B">
      <w:pPr>
        <w:pStyle w:val="FootnoteText"/>
      </w:pPr>
      <w:r w:rsidRPr="00197C1B">
        <w:rPr>
          <w:vertAlign w:val="superscript"/>
        </w:rPr>
        <w:footnoteRef/>
      </w:r>
      <w:r w:rsidRPr="00197C1B">
        <w:t>DTS, Inc.</w:t>
      </w:r>
      <w:r w:rsidRPr="00197C1B">
        <w:t xml:space="preserve"> </w:t>
      </w:r>
      <w:r w:rsidRPr="00197C1B">
        <w:t>v.</w:t>
      </w:r>
      <w:r w:rsidRPr="00197C1B">
        <w:t xml:space="preserve"> </w:t>
      </w:r>
      <w:r w:rsidRPr="00197C1B">
        <w:t>Nero AG, 2016 WL 6662735, at *8 (C.D.</w:t>
      </w:r>
      <w:r w:rsidRPr="00197C1B">
        <w:t xml:space="preserve"> </w:t>
      </w:r>
      <w:r w:rsidRPr="00197C1B">
        <w:t>Cal.</w:t>
      </w:r>
      <w:r w:rsidRPr="00197C1B">
        <w:t xml:space="preserve"> </w:t>
      </w:r>
      <w:r w:rsidRPr="00197C1B">
        <w:t>Feb.</w:t>
      </w:r>
      <w:r w:rsidRPr="00197C1B">
        <w:t xml:space="preserve"> </w:t>
      </w:r>
      <w:r w:rsidRPr="00197C1B">
        <w:t>9, 2016).</w:t>
      </w:r>
    </w:p>
    <w:p w14:paraId="0D565542" w14:textId="77777777" w:rsidR="00197C1B" w:rsidRDefault="00197C1B" w:rsidP="00124999">
      <w:pPr>
        <w:pStyle w:val="footnote"/>
      </w:pPr>
    </w:p>
  </w:footnote>
  <w:footnote w:id="161">
    <w:p w14:paraId="51F7CDE3" w14:textId="7EF067D1" w:rsidR="00197C1B" w:rsidRPr="0019374F" w:rsidRDefault="00197C1B" w:rsidP="00197C1B">
      <w:pPr>
        <w:pStyle w:val="FootnoteText"/>
      </w:pPr>
      <w:r w:rsidRPr="00197C1B">
        <w:rPr>
          <w:vertAlign w:val="superscript"/>
        </w:rPr>
        <w:footnoteRef/>
      </w:r>
      <w:r w:rsidRPr="00197C1B">
        <w:rPr>
          <w:i/>
        </w:rPr>
        <w:t>See</w:t>
      </w:r>
      <w:r w:rsidRPr="00197C1B">
        <w:t xml:space="preserve"> Coach, Inc.</w:t>
      </w:r>
      <w:r w:rsidRPr="00197C1B">
        <w:t xml:space="preserve"> </w:t>
      </w:r>
      <w:r w:rsidRPr="00197C1B">
        <w:t>v.</w:t>
      </w:r>
      <w:r w:rsidRPr="00197C1B">
        <w:t xml:space="preserve"> </w:t>
      </w:r>
      <w:r w:rsidRPr="00197C1B">
        <w:t>We Care Trading Co., 2001 WL 812126, at *15 (S.D.N.Y.</w:t>
      </w:r>
      <w:r w:rsidRPr="00197C1B">
        <w:t xml:space="preserve"> </w:t>
      </w:r>
      <w:r w:rsidRPr="00197C1B">
        <w:t>Jul.</w:t>
      </w:r>
      <w:r w:rsidRPr="00197C1B">
        <w:t xml:space="preserve"> </w:t>
      </w:r>
      <w:r w:rsidRPr="00197C1B">
        <w:t xml:space="preserve">18, 2001), </w:t>
      </w:r>
      <w:r w:rsidRPr="00197C1B">
        <w:rPr>
          <w:i/>
        </w:rPr>
        <w:t>aff’d in part, vacated in part</w:t>
      </w:r>
      <w:r w:rsidRPr="00197C1B">
        <w:t>, 67 F.</w:t>
      </w:r>
      <w:r w:rsidRPr="00197C1B">
        <w:t xml:space="preserve"> </w:t>
      </w:r>
      <w:r w:rsidRPr="00197C1B">
        <w:t>App’x 626 (2d Cir.</w:t>
      </w:r>
      <w:r w:rsidRPr="00197C1B">
        <w:t xml:space="preserve"> </w:t>
      </w:r>
      <w:r w:rsidRPr="00197C1B">
        <w:t xml:space="preserve">2002) (unpublished opinion), </w:t>
      </w:r>
      <w:r w:rsidRPr="00197C1B">
        <w:rPr>
          <w:i/>
        </w:rPr>
        <w:t>cert</w:t>
      </w:r>
      <w:r w:rsidRPr="00197C1B">
        <w:t>.</w:t>
      </w:r>
      <w:r w:rsidRPr="00197C1B">
        <w:t xml:space="preserve"> </w:t>
      </w:r>
      <w:r w:rsidRPr="00197C1B">
        <w:rPr>
          <w:i/>
        </w:rPr>
        <w:t>denied</w:t>
      </w:r>
      <w:r w:rsidRPr="00197C1B">
        <w:t>, 537 U.S.</w:t>
      </w:r>
      <w:r w:rsidRPr="00197C1B">
        <w:t xml:space="preserve"> </w:t>
      </w:r>
      <w:r w:rsidRPr="00197C1B">
        <w:t>1108 (2003).</w:t>
      </w:r>
    </w:p>
  </w:footnote>
  <w:footnote w:id="162">
    <w:p w14:paraId="21876A24" w14:textId="0CF2BA72"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Victoria’s Cyber Secret Ltd.</w:t>
      </w:r>
      <w:r w:rsidRPr="00197C1B">
        <w:t xml:space="preserve"> </w:t>
      </w:r>
      <w:r w:rsidRPr="00197C1B">
        <w:t>P’ship v.</w:t>
      </w:r>
      <w:r w:rsidRPr="00197C1B">
        <w:t xml:space="preserve"> </w:t>
      </w:r>
      <w:r w:rsidRPr="00197C1B">
        <w:t>V Secret Catalogue, Inc., 161 F.</w:t>
      </w:r>
      <w:r w:rsidRPr="00197C1B">
        <w:t xml:space="preserve"> </w:t>
      </w:r>
      <w:r w:rsidRPr="00197C1B">
        <w:t>Supp.</w:t>
      </w:r>
      <w:r w:rsidRPr="00197C1B">
        <w:t xml:space="preserve"> </w:t>
      </w:r>
      <w:r w:rsidRPr="00197C1B">
        <w:t>2d 1339, 1356 (S.D.</w:t>
      </w:r>
      <w:r w:rsidRPr="00197C1B">
        <w:t xml:space="preserve"> </w:t>
      </w:r>
      <w:r w:rsidRPr="00197C1B">
        <w:t>Fla.</w:t>
      </w:r>
      <w:r w:rsidRPr="00197C1B">
        <w:t xml:space="preserve"> </w:t>
      </w:r>
      <w:r w:rsidRPr="00197C1B">
        <w:t>2001) (no punitive damages for ACPA violations, which can include dilution).</w:t>
      </w:r>
      <w:r w:rsidRPr="00197C1B">
        <w:t xml:space="preserve"> </w:t>
      </w:r>
      <w:r w:rsidRPr="00197C1B">
        <w:t>There is an exception for counterfeiting claims, where a plaintiff may request damages under §35(b), or statutory damages under §35(c).</w:t>
      </w:r>
      <w:r w:rsidRPr="00197C1B">
        <w:t xml:space="preserve"> </w:t>
      </w:r>
      <w:r w:rsidRPr="00197C1B">
        <w:t>Section 35(b) allows treble damages without the “compensation not a penalty” caveat of §35(a), and §35(c) allows statutory damages of up to $2 million per mark for willful counterfeiting.</w:t>
      </w:r>
      <w:r w:rsidRPr="00197C1B">
        <w:t xml:space="preserve"> </w:t>
      </w:r>
      <w:r w:rsidRPr="00197C1B">
        <w:t>Section 35(c) has been held to permit a punitive component to damage awards.</w:t>
      </w:r>
      <w:r w:rsidRPr="00197C1B">
        <w:t xml:space="preserve"> </w:t>
      </w:r>
      <w:r w:rsidRPr="00197C1B">
        <w:t>Coach, Inc.</w:t>
      </w:r>
      <w:r w:rsidRPr="00197C1B">
        <w:t xml:space="preserve"> </w:t>
      </w:r>
      <w:r w:rsidRPr="00197C1B">
        <w:t>v.</w:t>
      </w:r>
      <w:r w:rsidRPr="00197C1B">
        <w:t xml:space="preserve"> </w:t>
      </w:r>
      <w:r w:rsidRPr="00197C1B">
        <w:t>McMeins, 2012 U.S.</w:t>
      </w:r>
      <w:r w:rsidRPr="00197C1B">
        <w:t xml:space="preserve"> </w:t>
      </w:r>
      <w:r w:rsidRPr="00197C1B">
        <w:t>Dist.</w:t>
      </w:r>
      <w:r w:rsidRPr="00197C1B">
        <w:t xml:space="preserve"> </w:t>
      </w:r>
      <w:r w:rsidRPr="00197C1B">
        <w:t>LEXIS 47153, at *10 (S.D.N.Y.</w:t>
      </w:r>
      <w:r w:rsidRPr="00197C1B">
        <w:t xml:space="preserve"> </w:t>
      </w:r>
      <w:r w:rsidRPr="00197C1B">
        <w:t>Mar.</w:t>
      </w:r>
      <w:r w:rsidRPr="00197C1B">
        <w:t xml:space="preserve"> </w:t>
      </w:r>
      <w:r w:rsidRPr="00197C1B">
        <w:t>9, 2012).</w:t>
      </w:r>
    </w:p>
  </w:footnote>
  <w:footnote w:id="163">
    <w:p w14:paraId="08276B67" w14:textId="0D956BD8" w:rsidR="00197C1B" w:rsidRPr="0019374F" w:rsidRDefault="00197C1B" w:rsidP="00197C1B">
      <w:pPr>
        <w:pStyle w:val="FootnoteText"/>
      </w:pPr>
      <w:r w:rsidRPr="00197C1B">
        <w:rPr>
          <w:vertAlign w:val="superscript"/>
        </w:rPr>
        <w:footnoteRef/>
      </w:r>
      <w:r w:rsidRPr="00197C1B">
        <w:rPr>
          <w:i/>
        </w:rPr>
        <w:t>See</w:t>
      </w:r>
      <w:r w:rsidRPr="00197C1B">
        <w:t xml:space="preserve"> Super Duper, Inc.</w:t>
      </w:r>
      <w:r w:rsidRPr="00197C1B">
        <w:t xml:space="preserve"> </w:t>
      </w:r>
      <w:r w:rsidRPr="00197C1B">
        <w:t>v.</w:t>
      </w:r>
      <w:r w:rsidRPr="00197C1B">
        <w:t xml:space="preserve"> </w:t>
      </w:r>
      <w:r w:rsidRPr="00197C1B">
        <w:t>Mattel, Inc., 92 USPQ2d 1119, 1122–23 (D.S.C.</w:t>
      </w:r>
      <w:r w:rsidRPr="00197C1B">
        <w:t xml:space="preserve"> </w:t>
      </w:r>
      <w:r w:rsidRPr="00197C1B">
        <w:t xml:space="preserve">2009) (enhancing profits found by the jury to accord proper compensation and deter future bad conduct), </w:t>
      </w:r>
      <w:r w:rsidRPr="00197C1B">
        <w:rPr>
          <w:i/>
        </w:rPr>
        <w:t>aff’d</w:t>
      </w:r>
      <w:r w:rsidRPr="00197C1B">
        <w:t>, 382 F.</w:t>
      </w:r>
      <w:r w:rsidRPr="00197C1B">
        <w:t xml:space="preserve"> </w:t>
      </w:r>
      <w:r w:rsidRPr="00197C1B">
        <w:t>App’x 308 (4th Cir.</w:t>
      </w:r>
      <w:r w:rsidRPr="00197C1B">
        <w:t xml:space="preserve"> </w:t>
      </w:r>
      <w:r w:rsidRPr="00197C1B">
        <w:t xml:space="preserve">2010), </w:t>
      </w:r>
      <w:r w:rsidRPr="00197C1B">
        <w:rPr>
          <w:i/>
        </w:rPr>
        <w:t>cert</w:t>
      </w:r>
      <w:r w:rsidRPr="00197C1B">
        <w:t>.</w:t>
      </w:r>
      <w:r w:rsidRPr="00197C1B">
        <w:t xml:space="preserve"> </w:t>
      </w:r>
      <w:r w:rsidRPr="00197C1B">
        <w:rPr>
          <w:i/>
        </w:rPr>
        <w:t>denied</w:t>
      </w:r>
      <w:r w:rsidRPr="00197C1B">
        <w:t>, 131 S.</w:t>
      </w:r>
      <w:r w:rsidRPr="00197C1B">
        <w:t xml:space="preserve"> </w:t>
      </w:r>
      <w:r w:rsidRPr="00197C1B">
        <w:t>Ct.</w:t>
      </w:r>
      <w:r w:rsidRPr="00197C1B">
        <w:t xml:space="preserve"> </w:t>
      </w:r>
      <w:r w:rsidRPr="00197C1B">
        <w:t>1003 (2011).</w:t>
      </w:r>
    </w:p>
  </w:footnote>
  <w:footnote w:id="164">
    <w:p w14:paraId="2530EA8E" w14:textId="10D21489" w:rsidR="00197C1B" w:rsidRPr="0019374F" w:rsidRDefault="00197C1B" w:rsidP="00197C1B">
      <w:pPr>
        <w:pStyle w:val="FootnoteText"/>
      </w:pPr>
      <w:r w:rsidRPr="00197C1B">
        <w:rPr>
          <w:vertAlign w:val="superscript"/>
        </w:rPr>
        <w:footnoteRef/>
      </w:r>
      <w:r w:rsidRPr="00197C1B">
        <w:rPr>
          <w:i/>
        </w:rPr>
        <w:t>Victoria’s Cyber Secret</w:t>
      </w:r>
      <w:r w:rsidRPr="00197C1B">
        <w:t>, 161 F.</w:t>
      </w:r>
      <w:r w:rsidRPr="00197C1B">
        <w:t xml:space="preserve"> </w:t>
      </w:r>
      <w:r w:rsidRPr="00197C1B">
        <w:t>Supp.</w:t>
      </w:r>
      <w:r w:rsidRPr="00197C1B">
        <w:t xml:space="preserve"> </w:t>
      </w:r>
      <w:r w:rsidRPr="00197C1B">
        <w:t>2d at 1356–57.</w:t>
      </w:r>
      <w:r w:rsidRPr="00197C1B">
        <w:t xml:space="preserve"> </w:t>
      </w:r>
      <w:r w:rsidRPr="00197C1B">
        <w:rPr>
          <w:i/>
        </w:rPr>
        <w:t>See</w:t>
      </w:r>
      <w:r w:rsidRPr="00197C1B">
        <w:t xml:space="preserve"> JCW Invs., Inc.</w:t>
      </w:r>
      <w:r w:rsidRPr="00197C1B">
        <w:t xml:space="preserve"> </w:t>
      </w:r>
      <w:r w:rsidRPr="00197C1B">
        <w:t>v.</w:t>
      </w:r>
      <w:r w:rsidRPr="00197C1B">
        <w:t xml:space="preserve"> </w:t>
      </w:r>
      <w:r w:rsidRPr="00197C1B">
        <w:t>Novelty, Inc., 2003 WL 742184, at *2–3 (N.D.</w:t>
      </w:r>
      <w:r w:rsidRPr="00197C1B">
        <w:t xml:space="preserve"> </w:t>
      </w:r>
      <w:r w:rsidRPr="00197C1B">
        <w:t>Ill.</w:t>
      </w:r>
      <w:r w:rsidRPr="00197C1B">
        <w:t xml:space="preserve"> </w:t>
      </w:r>
      <w:r w:rsidRPr="00197C1B">
        <w:t>Mar.</w:t>
      </w:r>
      <w:r w:rsidRPr="00197C1B">
        <w:t xml:space="preserve"> </w:t>
      </w:r>
      <w:r w:rsidRPr="00197C1B">
        <w:t>4, 2003) (infringement case;</w:t>
      </w:r>
      <w:r w:rsidRPr="00197C1B">
        <w:t xml:space="preserve"> </w:t>
      </w:r>
      <w:r w:rsidRPr="00197C1B">
        <w:t xml:space="preserve">citing case law), </w:t>
      </w:r>
      <w:r w:rsidRPr="00197C1B">
        <w:rPr>
          <w:i/>
        </w:rPr>
        <w:t>aff’d</w:t>
      </w:r>
      <w:r w:rsidRPr="00197C1B">
        <w:t>, 482 F.3d 910, 918–19, 82 USPQ2d 1001 (7th Cir.</w:t>
      </w:r>
      <w:r w:rsidRPr="00197C1B">
        <w:t xml:space="preserve"> </w:t>
      </w:r>
      <w:r w:rsidRPr="00197C1B">
        <w:t>2007).</w:t>
      </w:r>
    </w:p>
  </w:footnote>
  <w:footnote w:id="165">
    <w:p w14:paraId="38910885" w14:textId="520272FD" w:rsidR="00197C1B" w:rsidRPr="0019374F" w:rsidRDefault="00197C1B" w:rsidP="00197C1B">
      <w:pPr>
        <w:pStyle w:val="FootnoteText"/>
      </w:pPr>
      <w:r w:rsidRPr="00197C1B">
        <w:rPr>
          <w:vertAlign w:val="superscript"/>
        </w:rPr>
        <w:footnoteRef/>
      </w:r>
      <w:r w:rsidRPr="00197C1B">
        <w:t>Lanham Act §35(d), 15 U.S.C.</w:t>
      </w:r>
      <w:r w:rsidRPr="00197C1B">
        <w:t xml:space="preserve"> </w:t>
      </w:r>
      <w:r w:rsidRPr="00197C1B">
        <w:t>§1117(d).</w:t>
      </w:r>
    </w:p>
  </w:footnote>
  <w:footnote w:id="166">
    <w:p w14:paraId="23AB9C3D" w14:textId="1A188D48" w:rsidR="00197C1B" w:rsidRPr="0019374F" w:rsidRDefault="00197C1B" w:rsidP="00197C1B">
      <w:pPr>
        <w:pStyle w:val="FootnoteText"/>
      </w:pPr>
      <w:r w:rsidRPr="00197C1B">
        <w:rPr>
          <w:vertAlign w:val="superscript"/>
        </w:rPr>
        <w:footnoteRef/>
      </w:r>
      <w:r w:rsidRPr="00197C1B">
        <w:rPr>
          <w:i/>
        </w:rPr>
        <w:t>E</w:t>
      </w:r>
      <w:r w:rsidRPr="00197C1B">
        <w:t>.</w:t>
      </w:r>
      <w:r w:rsidRPr="00197C1B">
        <w:rPr>
          <w:i/>
        </w:rPr>
        <w:t>g</w:t>
      </w:r>
      <w:r w:rsidRPr="00197C1B">
        <w:t>.,</w:t>
      </w:r>
      <w:r w:rsidRPr="00197C1B">
        <w:rPr>
          <w:i/>
        </w:rPr>
        <w:t xml:space="preserve"> Victoria’s Cyber Secret</w:t>
      </w:r>
      <w:r w:rsidRPr="00197C1B">
        <w:t>, 161 F.</w:t>
      </w:r>
      <w:r w:rsidRPr="00197C1B">
        <w:t xml:space="preserve"> </w:t>
      </w:r>
      <w:r w:rsidRPr="00197C1B">
        <w:t>Supp.</w:t>
      </w:r>
      <w:r w:rsidRPr="00197C1B">
        <w:t xml:space="preserve"> </w:t>
      </w:r>
      <w:r w:rsidRPr="00197C1B">
        <w:t>2d at 1356 (awarding $40,000, or $10,000 per domain name);</w:t>
      </w:r>
      <w:r w:rsidRPr="00197C1B">
        <w:t xml:space="preserve"> </w:t>
      </w:r>
      <w:r w:rsidRPr="00197C1B">
        <w:t>Mattel, Inc.</w:t>
      </w:r>
      <w:r w:rsidRPr="00197C1B">
        <w:t xml:space="preserve"> </w:t>
      </w:r>
      <w:r w:rsidRPr="00197C1B">
        <w:t>v.</w:t>
      </w:r>
      <w:r w:rsidRPr="00197C1B">
        <w:t xml:space="preserve"> </w:t>
      </w:r>
      <w:r w:rsidRPr="00197C1B">
        <w:t>Adventure Apparel, 2001 WL 1035140, at *5, 2001 BL 1316 (S.D.N.Y.</w:t>
      </w:r>
      <w:r w:rsidRPr="00197C1B">
        <w:t xml:space="preserve"> </w:t>
      </w:r>
      <w:r w:rsidRPr="00197C1B">
        <w:t>Sept.</w:t>
      </w:r>
      <w:r w:rsidRPr="00197C1B">
        <w:t xml:space="preserve"> </w:t>
      </w:r>
      <w:r w:rsidRPr="00197C1B">
        <w:t>7, 2001) (awarding $2,000, or $1,000 per domain name);</w:t>
      </w:r>
      <w:r w:rsidRPr="00197C1B">
        <w:t xml:space="preserve"> </w:t>
      </w:r>
      <w:r w:rsidRPr="00197C1B">
        <w:t>Aztar Corp.</w:t>
      </w:r>
      <w:r w:rsidRPr="00197C1B">
        <w:t xml:space="preserve"> </w:t>
      </w:r>
      <w:r w:rsidRPr="00197C1B">
        <w:t>v.</w:t>
      </w:r>
      <w:r w:rsidRPr="00197C1B">
        <w:t xml:space="preserve"> </w:t>
      </w:r>
      <w:r w:rsidRPr="00197C1B">
        <w:t>MGM Casino, 59 USPQ2d 1460, 1465 (E.D.</w:t>
      </w:r>
      <w:r w:rsidRPr="00197C1B">
        <w:t xml:space="preserve"> </w:t>
      </w:r>
      <w:r w:rsidRPr="00197C1B">
        <w:t>Va.</w:t>
      </w:r>
      <w:r w:rsidRPr="00197C1B">
        <w:t xml:space="preserve"> </w:t>
      </w:r>
      <w:r w:rsidRPr="00197C1B">
        <w:t>2001) (awarding $100,000).</w:t>
      </w:r>
    </w:p>
  </w:footnote>
  <w:footnote w:id="167">
    <w:p w14:paraId="5A53BF7E" w14:textId="3F701877" w:rsidR="00197C1B" w:rsidRPr="00197C1B" w:rsidRDefault="00197C1B" w:rsidP="00197C1B">
      <w:pPr>
        <w:pStyle w:val="FootnoteText"/>
      </w:pPr>
      <w:r w:rsidRPr="00197C1B">
        <w:rPr>
          <w:vertAlign w:val="superscript"/>
        </w:rPr>
        <w:footnoteRef/>
      </w:r>
      <w:r w:rsidRPr="00197C1B">
        <w:t>2013 WL 12308347 (N.D.</w:t>
      </w:r>
      <w:r w:rsidRPr="00197C1B">
        <w:t xml:space="preserve"> </w:t>
      </w:r>
      <w:r w:rsidRPr="00197C1B">
        <w:t>Cal.</w:t>
      </w:r>
      <w:r w:rsidRPr="00197C1B">
        <w:t xml:space="preserve"> </w:t>
      </w:r>
      <w:r w:rsidRPr="00197C1B">
        <w:t>Jan.</w:t>
      </w:r>
      <w:r w:rsidRPr="00197C1B">
        <w:t xml:space="preserve"> </w:t>
      </w:r>
      <w:r w:rsidRPr="00197C1B">
        <w:t xml:space="preserve">29, 2013), </w:t>
      </w:r>
      <w:r w:rsidRPr="00197C1B">
        <w:rPr>
          <w:i/>
        </w:rPr>
        <w:t>rev’d in part on other grounds</w:t>
      </w:r>
      <w:r w:rsidRPr="00197C1B">
        <w:t>, 786 F.3d 983, 114 USPQ2d 1953 (Fed.</w:t>
      </w:r>
      <w:r w:rsidRPr="00197C1B">
        <w:t xml:space="preserve"> </w:t>
      </w:r>
      <w:r w:rsidRPr="00197C1B">
        <w:t>Cir.</w:t>
      </w:r>
      <w:r w:rsidRPr="00197C1B">
        <w:t xml:space="preserve"> </w:t>
      </w:r>
      <w:r w:rsidRPr="00197C1B">
        <w:t xml:space="preserve">2015) (the trademark claims were reversed because the court found the trade dress to be functional), </w:t>
      </w:r>
      <w:r w:rsidRPr="00197C1B">
        <w:rPr>
          <w:i/>
        </w:rPr>
        <w:t>rev’d on other grounds</w:t>
      </w:r>
      <w:r w:rsidRPr="00197C1B">
        <w:t>, 580 U.S.</w:t>
      </w:r>
      <w:r w:rsidRPr="00197C1B">
        <w:t xml:space="preserve"> </w:t>
      </w:r>
      <w:r w:rsidRPr="00197C1B">
        <w:t>53, 120 USPQ2d 1749 (2016).</w:t>
      </w:r>
    </w:p>
    <w:p w14:paraId="59E623B5" w14:textId="77777777" w:rsidR="00197C1B" w:rsidRDefault="00197C1B" w:rsidP="00124999">
      <w:pPr>
        <w:pStyle w:val="footnote"/>
      </w:pPr>
    </w:p>
  </w:footnote>
  <w:footnote w:id="168">
    <w:p w14:paraId="65FEE5EE" w14:textId="4A6757B5"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*3.</w:t>
      </w:r>
    </w:p>
    <w:p w14:paraId="7EC7D870" w14:textId="77777777" w:rsidR="00197C1B" w:rsidRDefault="00197C1B" w:rsidP="00124999">
      <w:pPr>
        <w:pStyle w:val="footnote"/>
      </w:pPr>
    </w:p>
  </w:footnote>
  <w:footnote w:id="169">
    <w:p w14:paraId="17294975" w14:textId="1CBFD019" w:rsidR="00197C1B" w:rsidRPr="00197C1B" w:rsidRDefault="00197C1B" w:rsidP="00197C1B">
      <w:pPr>
        <w:pStyle w:val="FootnoteText"/>
      </w:pPr>
      <w:r w:rsidRPr="00197C1B">
        <w:rPr>
          <w:vertAlign w:val="superscript"/>
        </w:rPr>
        <w:footnoteRef/>
      </w:r>
      <w:r w:rsidRPr="00197C1B">
        <w:t>Lanham Act §29, 15 U.S.C.</w:t>
      </w:r>
      <w:r w:rsidRPr="00197C1B">
        <w:t xml:space="preserve"> </w:t>
      </w:r>
      <w:r w:rsidRPr="00197C1B">
        <w:t>§1111.</w:t>
      </w:r>
    </w:p>
    <w:p w14:paraId="25F3D164" w14:textId="77777777" w:rsidR="00197C1B" w:rsidRDefault="00197C1B" w:rsidP="00124999">
      <w:pPr>
        <w:pStyle w:val="footnote"/>
      </w:pPr>
    </w:p>
  </w:footnote>
  <w:footnote w:id="170">
    <w:p w14:paraId="16684507" w14:textId="3A721563" w:rsidR="00197C1B" w:rsidRPr="00197C1B" w:rsidRDefault="00197C1B" w:rsidP="00197C1B">
      <w:pPr>
        <w:pStyle w:val="FootnoteText"/>
      </w:pPr>
      <w:r w:rsidRPr="00197C1B">
        <w:rPr>
          <w:vertAlign w:val="superscript"/>
        </w:rPr>
        <w:footnoteRef/>
      </w:r>
      <w:r w:rsidRPr="00197C1B">
        <w:t>926 F.</w:t>
      </w:r>
      <w:r w:rsidRPr="00197C1B">
        <w:t xml:space="preserve"> </w:t>
      </w:r>
      <w:r w:rsidRPr="00197C1B">
        <w:t>Supp.</w:t>
      </w:r>
      <w:r w:rsidRPr="00197C1B">
        <w:t xml:space="preserve"> </w:t>
      </w:r>
      <w:r w:rsidRPr="00197C1B">
        <w:t>2d 1100 (N.D.</w:t>
      </w:r>
      <w:r w:rsidRPr="00197C1B">
        <w:t xml:space="preserve"> </w:t>
      </w:r>
      <w:r w:rsidRPr="00197C1B">
        <w:t>Cal.</w:t>
      </w:r>
      <w:r w:rsidRPr="00197C1B">
        <w:t xml:space="preserve"> </w:t>
      </w:r>
      <w:r w:rsidRPr="00197C1B">
        <w:t xml:space="preserve">2013), </w:t>
      </w:r>
      <w:r w:rsidRPr="00197C1B">
        <w:rPr>
          <w:i/>
        </w:rPr>
        <w:t>aff’d in part</w:t>
      </w:r>
      <w:r w:rsidRPr="00197C1B">
        <w:t>,</w:t>
      </w:r>
      <w:r w:rsidRPr="00197C1B">
        <w:rPr>
          <w:i/>
        </w:rPr>
        <w:t xml:space="preserve"> rev’d in part on other grounds</w:t>
      </w:r>
      <w:r w:rsidRPr="00197C1B">
        <w:t>, 786 F.3d 983, 114 USPQ2d 1953 (Fed.</w:t>
      </w:r>
      <w:r w:rsidRPr="00197C1B">
        <w:t xml:space="preserve"> </w:t>
      </w:r>
      <w:r w:rsidRPr="00197C1B">
        <w:t>Cir.</w:t>
      </w:r>
      <w:r w:rsidRPr="00197C1B">
        <w:t xml:space="preserve"> </w:t>
      </w:r>
      <w:r w:rsidRPr="00197C1B">
        <w:t xml:space="preserve">2015) (the Federal Circuit held the trade dress to be functional and did not reach the dilution issues), </w:t>
      </w:r>
      <w:r w:rsidRPr="00197C1B">
        <w:rPr>
          <w:i/>
        </w:rPr>
        <w:t>rev’d on other grounds</w:t>
      </w:r>
      <w:r w:rsidRPr="00197C1B">
        <w:t>, 580 U.S.</w:t>
      </w:r>
      <w:r w:rsidRPr="00197C1B">
        <w:t xml:space="preserve"> </w:t>
      </w:r>
      <w:r w:rsidRPr="00197C1B">
        <w:t>53, 120 USPQ2d 1749 (2016).</w:t>
      </w:r>
    </w:p>
    <w:p w14:paraId="392CE9E5" w14:textId="77777777" w:rsidR="00197C1B" w:rsidRDefault="00197C1B" w:rsidP="00124999">
      <w:pPr>
        <w:pStyle w:val="footnote"/>
      </w:pPr>
    </w:p>
  </w:footnote>
  <w:footnote w:id="171">
    <w:p w14:paraId="06F2205D" w14:textId="4866D957"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1113.</w:t>
      </w:r>
      <w:r w:rsidRPr="00197C1B">
        <w:t xml:space="preserve"> </w:t>
      </w:r>
      <w:r w:rsidRPr="00197C1B">
        <w:t>Because some of Samsung’s products were found to have diluted both registered and unregistered trade dress, the court determined that notice was an unnecessary precursor to a damage award for those products.</w:t>
      </w:r>
      <w:r w:rsidRPr="00197C1B">
        <w:t xml:space="preserve"> </w:t>
      </w:r>
      <w:r w:rsidRPr="00197C1B">
        <w:rPr>
          <w:i/>
        </w:rPr>
        <w:t>Id</w:t>
      </w:r>
      <w:r w:rsidRPr="00197C1B">
        <w:t>.</w:t>
      </w:r>
      <w:r w:rsidRPr="00197C1B">
        <w:t xml:space="preserve"> </w:t>
      </w:r>
      <w:r w:rsidRPr="00197C1B">
        <w:t>at 1117.</w:t>
      </w:r>
      <w:r w:rsidRPr="00197C1B">
        <w:t xml:space="preserve"> </w:t>
      </w:r>
      <w:r w:rsidRPr="00197C1B">
        <w:t>The jury’s award of over $381 million was upheld.</w:t>
      </w:r>
      <w:r w:rsidRPr="00197C1B">
        <w:t xml:space="preserve"> </w:t>
      </w:r>
      <w:r w:rsidRPr="00197C1B">
        <w:rPr>
          <w:i/>
        </w:rPr>
        <w:t>See also</w:t>
      </w:r>
      <w:r w:rsidRPr="00197C1B">
        <w:t xml:space="preserve"> Jury Instruction No.</w:t>
      </w:r>
      <w:r w:rsidRPr="00197C1B">
        <w:t xml:space="preserve"> </w:t>
      </w:r>
      <w:r w:rsidRPr="00197C1B">
        <w:t>34, Blumenthal Distrib., Inc.</w:t>
      </w:r>
      <w:r w:rsidRPr="00197C1B">
        <w:t xml:space="preserve"> </w:t>
      </w:r>
      <w:r w:rsidRPr="00197C1B">
        <w:t>v.</w:t>
      </w:r>
      <w:r w:rsidRPr="00197C1B">
        <w:t xml:space="preserve"> </w:t>
      </w:r>
      <w:r w:rsidRPr="00197C1B">
        <w:t>Herman Miller, Inc., No.</w:t>
      </w:r>
      <w:r w:rsidRPr="00197C1B">
        <w:t xml:space="preserve"> </w:t>
      </w:r>
      <w:r w:rsidRPr="00197C1B">
        <w:t>5:14-cv-01926 (C.D.</w:t>
      </w:r>
      <w:r w:rsidRPr="00197C1B">
        <w:t xml:space="preserve"> </w:t>
      </w:r>
      <w:r w:rsidRPr="00197C1B">
        <w:t>Cal.</w:t>
      </w:r>
      <w:r w:rsidRPr="00197C1B">
        <w:t xml:space="preserve"> </w:t>
      </w:r>
      <w:r w:rsidRPr="00197C1B">
        <w:t>Oct.</w:t>
      </w:r>
      <w:r w:rsidRPr="00197C1B">
        <w:t xml:space="preserve"> </w:t>
      </w:r>
      <w:r w:rsidRPr="00197C1B">
        <w:t>7, 2016) (Jury Instructions).</w:t>
      </w:r>
    </w:p>
    <w:p w14:paraId="11D05552" w14:textId="77777777" w:rsidR="00197C1B" w:rsidRDefault="00197C1B" w:rsidP="00124999">
      <w:pPr>
        <w:pStyle w:val="footnote"/>
      </w:pPr>
    </w:p>
  </w:footnote>
  <w:footnote w:id="172">
    <w:p w14:paraId="1445504E" w14:textId="4ACC5035" w:rsidR="00197C1B" w:rsidRPr="00197C1B" w:rsidRDefault="00197C1B" w:rsidP="00197C1B">
      <w:pPr>
        <w:pStyle w:val="FootnoteText"/>
      </w:pPr>
      <w:r w:rsidRPr="00197C1B">
        <w:rPr>
          <w:vertAlign w:val="superscript"/>
        </w:rPr>
        <w:footnoteRef/>
      </w:r>
      <w:r w:rsidRPr="00197C1B">
        <w:t>2017 WL 3271706 (C.D.</w:t>
      </w:r>
      <w:r w:rsidRPr="00197C1B">
        <w:t xml:space="preserve"> </w:t>
      </w:r>
      <w:r w:rsidRPr="00197C1B">
        <w:t>Cal.</w:t>
      </w:r>
      <w:r w:rsidRPr="00197C1B">
        <w:t xml:space="preserve"> </w:t>
      </w:r>
      <w:r w:rsidRPr="00197C1B">
        <w:t>Aug.</w:t>
      </w:r>
      <w:r w:rsidRPr="00197C1B">
        <w:t xml:space="preserve"> </w:t>
      </w:r>
      <w:r w:rsidRPr="00197C1B">
        <w:t>1, 2017).</w:t>
      </w:r>
    </w:p>
    <w:p w14:paraId="422675AF" w14:textId="77777777" w:rsidR="00197C1B" w:rsidRDefault="00197C1B" w:rsidP="00124999">
      <w:pPr>
        <w:pStyle w:val="footnote"/>
      </w:pPr>
    </w:p>
  </w:footnote>
  <w:footnote w:id="173">
    <w:p w14:paraId="315CC0B2" w14:textId="2CACB6A6"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*20.</w:t>
      </w:r>
    </w:p>
    <w:p w14:paraId="4E594AEC" w14:textId="77777777" w:rsidR="00197C1B" w:rsidRPr="001402DA" w:rsidRDefault="00197C1B" w:rsidP="00124999">
      <w:pPr>
        <w:pStyle w:val="footnote"/>
        <w:rPr>
          <w:lang w:val="da-DK"/>
        </w:rPr>
      </w:pPr>
    </w:p>
  </w:footnote>
  <w:footnote w:id="174">
    <w:p w14:paraId="0A219F74" w14:textId="78E7C230"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*22.</w:t>
      </w:r>
    </w:p>
    <w:p w14:paraId="46EEE9A0" w14:textId="77777777" w:rsidR="00197C1B" w:rsidRPr="001402DA" w:rsidRDefault="00197C1B" w:rsidP="00124999">
      <w:pPr>
        <w:pStyle w:val="footnote"/>
        <w:rPr>
          <w:lang w:val="da-DK"/>
        </w:rPr>
      </w:pPr>
    </w:p>
  </w:footnote>
  <w:footnote w:id="175">
    <w:p w14:paraId="0C4709EA" w14:textId="6E119B01"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*20.</w:t>
      </w:r>
    </w:p>
    <w:p w14:paraId="1C5413E7" w14:textId="77777777" w:rsidR="00197C1B" w:rsidRPr="001402DA" w:rsidRDefault="00197C1B" w:rsidP="00124999">
      <w:pPr>
        <w:pStyle w:val="footnote"/>
        <w:rPr>
          <w:lang w:val="da-DK"/>
        </w:rPr>
      </w:pPr>
    </w:p>
  </w:footnote>
  <w:footnote w:id="176">
    <w:p w14:paraId="68D7D6FB" w14:textId="34746109"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*22.</w:t>
      </w:r>
    </w:p>
    <w:p w14:paraId="3B5F48E1" w14:textId="77777777" w:rsidR="00197C1B" w:rsidRPr="001402DA" w:rsidRDefault="00197C1B" w:rsidP="00124999">
      <w:pPr>
        <w:pStyle w:val="footnote"/>
        <w:rPr>
          <w:lang w:val="da-DK"/>
        </w:rPr>
      </w:pPr>
    </w:p>
  </w:footnote>
  <w:footnote w:id="177">
    <w:p w14:paraId="46594164" w14:textId="6FBB70DB"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*20.</w:t>
      </w:r>
    </w:p>
    <w:p w14:paraId="692E7783" w14:textId="77777777" w:rsidR="00197C1B" w:rsidRPr="001402DA" w:rsidRDefault="00197C1B" w:rsidP="00124999">
      <w:pPr>
        <w:pStyle w:val="footnote"/>
        <w:rPr>
          <w:lang w:val="da-DK"/>
        </w:rPr>
      </w:pPr>
    </w:p>
  </w:footnote>
  <w:footnote w:id="178">
    <w:p w14:paraId="50EFB2F4" w14:textId="37A65635" w:rsidR="00197C1B" w:rsidRPr="00197C1B" w:rsidRDefault="00197C1B" w:rsidP="00197C1B">
      <w:pPr>
        <w:pStyle w:val="FootnoteText"/>
      </w:pPr>
      <w:r w:rsidRPr="00197C1B">
        <w:rPr>
          <w:vertAlign w:val="superscript"/>
        </w:rPr>
        <w:footnoteRef/>
      </w:r>
      <w:r w:rsidRPr="00197C1B">
        <w:t>Lanham Act §43(c)(5)(B)(i), 15 U.S.C.</w:t>
      </w:r>
      <w:r w:rsidRPr="00197C1B">
        <w:t xml:space="preserve"> </w:t>
      </w:r>
      <w:r w:rsidRPr="00197C1B">
        <w:t>§1125(c)(5)(B)(i).</w:t>
      </w:r>
    </w:p>
    <w:p w14:paraId="16B1195A" w14:textId="77777777" w:rsidR="00197C1B" w:rsidRPr="001402DA" w:rsidRDefault="00197C1B" w:rsidP="00124999">
      <w:pPr>
        <w:pStyle w:val="footnote"/>
        <w:rPr>
          <w:lang w:val="da-DK"/>
        </w:rPr>
      </w:pPr>
    </w:p>
  </w:footnote>
  <w:footnote w:id="179">
    <w:p w14:paraId="5B43B8A5" w14:textId="6FC79AD6" w:rsidR="00197C1B" w:rsidRPr="00197C1B" w:rsidRDefault="00197C1B" w:rsidP="00197C1B">
      <w:pPr>
        <w:pStyle w:val="FootnoteText"/>
      </w:pPr>
      <w:r w:rsidRPr="00197C1B">
        <w:rPr>
          <w:vertAlign w:val="superscript"/>
        </w:rPr>
        <w:footnoteRef/>
      </w:r>
      <w:r w:rsidRPr="00197C1B">
        <w:t>Jury Instruction No.</w:t>
      </w:r>
      <w:r w:rsidRPr="00197C1B">
        <w:t xml:space="preserve"> </w:t>
      </w:r>
      <w:r w:rsidRPr="00197C1B">
        <w:t>35, Blumenthal Distrib., Inc.</w:t>
      </w:r>
      <w:r w:rsidRPr="00197C1B">
        <w:t xml:space="preserve"> </w:t>
      </w:r>
      <w:r w:rsidRPr="00197C1B">
        <w:t>v.</w:t>
      </w:r>
      <w:r w:rsidRPr="00197C1B">
        <w:t xml:space="preserve"> </w:t>
      </w:r>
      <w:r w:rsidRPr="00197C1B">
        <w:t>Herman Miller, Inc., No.</w:t>
      </w:r>
      <w:r w:rsidRPr="00197C1B">
        <w:t xml:space="preserve"> </w:t>
      </w:r>
      <w:r w:rsidRPr="00197C1B">
        <w:t>5:14-cv-01926 (C.D.</w:t>
      </w:r>
      <w:r w:rsidRPr="00197C1B">
        <w:t xml:space="preserve"> </w:t>
      </w:r>
      <w:r w:rsidRPr="00197C1B">
        <w:t>Cal.</w:t>
      </w:r>
      <w:r w:rsidRPr="00197C1B">
        <w:t xml:space="preserve"> </w:t>
      </w:r>
      <w:r w:rsidRPr="00197C1B">
        <w:t>Oct.</w:t>
      </w:r>
      <w:r w:rsidRPr="00197C1B">
        <w:t xml:space="preserve"> </w:t>
      </w:r>
      <w:r w:rsidRPr="00197C1B">
        <w:t>7, 2016) (Jury Instructions).</w:t>
      </w:r>
    </w:p>
    <w:p w14:paraId="500F8661" w14:textId="77777777" w:rsidR="00197C1B" w:rsidRDefault="00197C1B" w:rsidP="00124999">
      <w:pPr>
        <w:pStyle w:val="footnote"/>
      </w:pPr>
    </w:p>
  </w:footnote>
  <w:footnote w:id="180">
    <w:p w14:paraId="30366863" w14:textId="4C7B6E2D" w:rsidR="00197C1B" w:rsidRPr="00197C1B" w:rsidRDefault="00197C1B" w:rsidP="00197C1B">
      <w:pPr>
        <w:pStyle w:val="FootnoteText"/>
      </w:pPr>
      <w:r w:rsidRPr="00197C1B">
        <w:rPr>
          <w:vertAlign w:val="superscript"/>
        </w:rPr>
        <w:footnoteRef/>
      </w:r>
      <w:r w:rsidRPr="00197C1B">
        <w:t>926 F.</w:t>
      </w:r>
      <w:r w:rsidRPr="00197C1B">
        <w:t xml:space="preserve"> </w:t>
      </w:r>
      <w:r w:rsidRPr="00197C1B">
        <w:t>Supp.</w:t>
      </w:r>
      <w:r w:rsidRPr="00197C1B">
        <w:t xml:space="preserve"> </w:t>
      </w:r>
      <w:r w:rsidRPr="00197C1B">
        <w:t>2d 1100 (N.D.</w:t>
      </w:r>
      <w:r w:rsidRPr="00197C1B">
        <w:t xml:space="preserve"> </w:t>
      </w:r>
      <w:r w:rsidRPr="00197C1B">
        <w:t>Cal.</w:t>
      </w:r>
      <w:r w:rsidRPr="00197C1B">
        <w:t xml:space="preserve"> </w:t>
      </w:r>
      <w:r w:rsidRPr="00197C1B">
        <w:t xml:space="preserve">2013), </w:t>
      </w:r>
      <w:r w:rsidRPr="00197C1B">
        <w:rPr>
          <w:i/>
        </w:rPr>
        <w:t>aff’d in part</w:t>
      </w:r>
      <w:r w:rsidRPr="00197C1B">
        <w:t>,</w:t>
      </w:r>
      <w:r w:rsidRPr="00197C1B">
        <w:rPr>
          <w:i/>
        </w:rPr>
        <w:t xml:space="preserve"> rev’d in part on other grounds</w:t>
      </w:r>
      <w:r w:rsidRPr="00197C1B">
        <w:t>, 786 F.3d 983, 114 USPQ2d 1953 (Fed.</w:t>
      </w:r>
      <w:r w:rsidRPr="00197C1B">
        <w:t xml:space="preserve"> </w:t>
      </w:r>
      <w:r w:rsidRPr="00197C1B">
        <w:t>Cir.</w:t>
      </w:r>
      <w:r w:rsidRPr="00197C1B">
        <w:t xml:space="preserve"> </w:t>
      </w:r>
      <w:r w:rsidRPr="00197C1B">
        <w:t xml:space="preserve">2015) (the Federal Circuit held the trade dress to be functional and did not reach the dilution issues), </w:t>
      </w:r>
      <w:r w:rsidRPr="00197C1B">
        <w:rPr>
          <w:i/>
        </w:rPr>
        <w:t>rev’d on other grounds</w:t>
      </w:r>
      <w:r w:rsidRPr="00197C1B">
        <w:t>, 137 S.</w:t>
      </w:r>
      <w:r w:rsidRPr="00197C1B">
        <w:t xml:space="preserve"> </w:t>
      </w:r>
      <w:r w:rsidRPr="00197C1B">
        <w:t>Ct.</w:t>
      </w:r>
      <w:r w:rsidRPr="00197C1B">
        <w:t xml:space="preserve"> </w:t>
      </w:r>
      <w:r w:rsidRPr="00197C1B">
        <w:t>429, 120 USPQ2d 1749 (2016).</w:t>
      </w:r>
    </w:p>
    <w:p w14:paraId="324F6154" w14:textId="77777777" w:rsidR="00197C1B" w:rsidRDefault="00197C1B" w:rsidP="00124999">
      <w:pPr>
        <w:pStyle w:val="footnote"/>
      </w:pPr>
    </w:p>
  </w:footnote>
  <w:footnote w:id="181">
    <w:p w14:paraId="5D555843" w14:textId="363E8366"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1107 (citing Moscow Distillery Cristall v.</w:t>
      </w:r>
      <w:r w:rsidRPr="00197C1B">
        <w:t xml:space="preserve"> </w:t>
      </w:r>
      <w:r w:rsidRPr="00197C1B">
        <w:t>Pepsico Inc., 141 F.3d 1177, 48 USPQ2d 1217 (9th Cir.</w:t>
      </w:r>
      <w:r w:rsidRPr="00197C1B">
        <w:t xml:space="preserve"> </w:t>
      </w:r>
      <w:r w:rsidRPr="00197C1B">
        <w:t>1998) (prejudgment interest not available for Lanham Act claims, except counterfeiting);</w:t>
      </w:r>
      <w:r w:rsidRPr="00197C1B">
        <w:t xml:space="preserve"> </w:t>
      </w:r>
      <w:r w:rsidRPr="00197C1B">
        <w:t>Clamp Mfg.</w:t>
      </w:r>
      <w:r w:rsidRPr="00197C1B">
        <w:t xml:space="preserve"> </w:t>
      </w:r>
      <w:r w:rsidRPr="00197C1B">
        <w:t>Co.</w:t>
      </w:r>
      <w:r w:rsidRPr="00197C1B">
        <w:t xml:space="preserve"> </w:t>
      </w:r>
      <w:r w:rsidRPr="00197C1B">
        <w:t>v.</w:t>
      </w:r>
      <w:r w:rsidRPr="00197C1B">
        <w:t xml:space="preserve"> </w:t>
      </w:r>
      <w:r w:rsidRPr="00197C1B">
        <w:t>Enco Mfg.</w:t>
      </w:r>
      <w:r w:rsidRPr="00197C1B">
        <w:t xml:space="preserve"> </w:t>
      </w:r>
      <w:r w:rsidRPr="00197C1B">
        <w:t>Co., 870 F.2d 512, 514, 10 USPQ2d 1226 (9th Cir.</w:t>
      </w:r>
      <w:r w:rsidRPr="00197C1B">
        <w:t xml:space="preserve"> </w:t>
      </w:r>
      <w:r w:rsidRPr="00197C1B">
        <w:t>1989) (upholding district court award of prejudgment interest)).</w:t>
      </w:r>
    </w:p>
    <w:p w14:paraId="2E27F1D6" w14:textId="77777777" w:rsidR="00197C1B" w:rsidRDefault="00197C1B" w:rsidP="00124999">
      <w:pPr>
        <w:pStyle w:val="footnote"/>
      </w:pPr>
    </w:p>
  </w:footnote>
  <w:footnote w:id="182">
    <w:p w14:paraId="21D9A61C" w14:textId="1743ABBC" w:rsidR="00197C1B" w:rsidRPr="00197C1B" w:rsidRDefault="00197C1B" w:rsidP="00197C1B">
      <w:pPr>
        <w:pStyle w:val="FootnoteText"/>
      </w:pPr>
      <w:r w:rsidRPr="00197C1B">
        <w:rPr>
          <w:vertAlign w:val="superscript"/>
        </w:rPr>
        <w:footnoteRef/>
      </w:r>
      <w:r w:rsidRPr="00197C1B">
        <w:rPr>
          <w:i/>
        </w:rPr>
        <w:t>Id</w:t>
      </w:r>
      <w:r w:rsidRPr="00197C1B">
        <w:t>.</w:t>
      </w:r>
    </w:p>
    <w:p w14:paraId="35C638AB" w14:textId="77777777" w:rsidR="00197C1B" w:rsidRDefault="00197C1B" w:rsidP="00124999">
      <w:pPr>
        <w:pStyle w:val="footnote"/>
      </w:pPr>
    </w:p>
  </w:footnote>
  <w:footnote w:id="183">
    <w:p w14:paraId="49D6FD8C" w14:textId="47F7F0FE" w:rsidR="00197C1B" w:rsidRPr="0019374F" w:rsidRDefault="00197C1B" w:rsidP="00197C1B">
      <w:pPr>
        <w:pStyle w:val="FootnoteText"/>
      </w:pPr>
      <w:r w:rsidRPr="00197C1B">
        <w:rPr>
          <w:vertAlign w:val="superscript"/>
        </w:rPr>
        <w:footnoteRef/>
      </w:r>
      <w:r w:rsidRPr="00197C1B">
        <w:t>Lanham Act §35(a), 15 U.S.C.</w:t>
      </w:r>
      <w:r w:rsidRPr="00197C1B">
        <w:t xml:space="preserve"> </w:t>
      </w:r>
      <w:r w:rsidRPr="00197C1B">
        <w:t>§1117(a).</w:t>
      </w:r>
      <w:r w:rsidRPr="00197C1B">
        <w:t xml:space="preserve"> </w:t>
      </w:r>
      <w:r w:rsidRPr="00197C1B">
        <w:t>Technically, the statute permits an award “to the prevailing party.” However the requirement that it be an “exceptional” case would preclude an award to a defendant in all but the most unusual cases.</w:t>
      </w:r>
    </w:p>
  </w:footnote>
  <w:footnote w:id="184">
    <w:p w14:paraId="55D13488" w14:textId="6E03952B" w:rsidR="00197C1B" w:rsidRPr="0019374F" w:rsidRDefault="00197C1B" w:rsidP="00197C1B">
      <w:pPr>
        <w:pStyle w:val="FootnoteText"/>
      </w:pPr>
      <w:r w:rsidRPr="00197C1B">
        <w:rPr>
          <w:vertAlign w:val="superscript"/>
        </w:rPr>
        <w:footnoteRef/>
      </w:r>
      <w:r w:rsidRPr="00197C1B">
        <w:t>Therefore, it is unclear whether a prevailing defendant could be awarded attorney’s fees for the successful defeat of the dilution claim.</w:t>
      </w:r>
    </w:p>
  </w:footnote>
  <w:footnote w:id="185">
    <w:p w14:paraId="120242D0" w14:textId="20CB34EB" w:rsidR="00197C1B" w:rsidRPr="0019374F" w:rsidRDefault="00197C1B" w:rsidP="00197C1B">
      <w:pPr>
        <w:pStyle w:val="FootnoteText"/>
      </w:pPr>
      <w:r w:rsidRPr="00197C1B">
        <w:rPr>
          <w:vertAlign w:val="superscript"/>
        </w:rPr>
        <w:footnoteRef/>
      </w:r>
      <w:r w:rsidRPr="00197C1B">
        <w:t>Coach, Inc.</w:t>
      </w:r>
      <w:r w:rsidRPr="00197C1B">
        <w:t xml:space="preserve"> </w:t>
      </w:r>
      <w:r w:rsidRPr="00197C1B">
        <w:t>v.</w:t>
      </w:r>
      <w:r w:rsidRPr="00197C1B">
        <w:t xml:space="preserve"> </w:t>
      </w:r>
      <w:r w:rsidRPr="00197C1B">
        <w:t>We Care Trading Co., 2001 WL 812126, at *15 (S.D.N.Y.</w:t>
      </w:r>
      <w:r w:rsidRPr="00197C1B">
        <w:t xml:space="preserve"> </w:t>
      </w:r>
      <w:r w:rsidRPr="00197C1B">
        <w:t>Jul.</w:t>
      </w:r>
      <w:r w:rsidRPr="00197C1B">
        <w:t xml:space="preserve"> </w:t>
      </w:r>
      <w:r w:rsidRPr="00197C1B">
        <w:t xml:space="preserve">18, 2001), </w:t>
      </w:r>
      <w:r w:rsidRPr="00197C1B">
        <w:rPr>
          <w:i/>
        </w:rPr>
        <w:t>aff’d in part, vacated in part</w:t>
      </w:r>
      <w:r w:rsidRPr="00197C1B">
        <w:t>, 67 F.</w:t>
      </w:r>
      <w:r w:rsidRPr="00197C1B">
        <w:t xml:space="preserve"> </w:t>
      </w:r>
      <w:r w:rsidRPr="00197C1B">
        <w:t>App’x 626 (2d Cir.</w:t>
      </w:r>
      <w:r w:rsidRPr="00197C1B">
        <w:t xml:space="preserve"> </w:t>
      </w:r>
      <w:r w:rsidRPr="00197C1B">
        <w:t xml:space="preserve">2002) (unpublished opinion), </w:t>
      </w:r>
      <w:r w:rsidRPr="00197C1B">
        <w:rPr>
          <w:i/>
        </w:rPr>
        <w:t>cert</w:t>
      </w:r>
      <w:r w:rsidRPr="00197C1B">
        <w:t>.</w:t>
      </w:r>
      <w:r w:rsidRPr="00197C1B">
        <w:t xml:space="preserve"> </w:t>
      </w:r>
      <w:r w:rsidRPr="00197C1B">
        <w:rPr>
          <w:i/>
        </w:rPr>
        <w:t>denied</w:t>
      </w:r>
      <w:r w:rsidRPr="00197C1B">
        <w:t>, 537 U.S.</w:t>
      </w:r>
      <w:r w:rsidRPr="00197C1B">
        <w:t xml:space="preserve"> </w:t>
      </w:r>
      <w:r w:rsidRPr="00197C1B">
        <w:t>1108 (2003);</w:t>
      </w:r>
      <w:r w:rsidRPr="00197C1B">
        <w:t xml:space="preserve"> </w:t>
      </w:r>
      <w:r w:rsidRPr="00197C1B">
        <w:t>Securacomm Consulting, Inc.</w:t>
      </w:r>
      <w:r w:rsidRPr="00197C1B">
        <w:t xml:space="preserve"> </w:t>
      </w:r>
      <w:r w:rsidRPr="00197C1B">
        <w:t>v.</w:t>
      </w:r>
      <w:r w:rsidRPr="00197C1B">
        <w:t xml:space="preserve"> </w:t>
      </w:r>
      <w:r w:rsidRPr="00197C1B">
        <w:t>Securacom Inc., 224 F.3d 273, 277, 283, 55 USPQ2d 1820 (3d Cir.</w:t>
      </w:r>
      <w:r w:rsidRPr="00197C1B">
        <w:t xml:space="preserve"> </w:t>
      </w:r>
      <w:r w:rsidRPr="00197C1B">
        <w:t>2000).</w:t>
      </w:r>
      <w:r w:rsidRPr="00197C1B">
        <w:t xml:space="preserve"> </w:t>
      </w:r>
      <w:r w:rsidRPr="00197C1B">
        <w:t xml:space="preserve">In </w:t>
      </w:r>
      <w:r w:rsidRPr="00197C1B">
        <w:rPr>
          <w:i/>
        </w:rPr>
        <w:t>Coach</w:t>
      </w:r>
      <w:r w:rsidRPr="00197C1B">
        <w:t>, the court did state that a failure to award damages “should be considered” when making the decision concerning attorney’s fees.</w:t>
      </w:r>
      <w:r w:rsidRPr="00197C1B">
        <w:t xml:space="preserve"> </w:t>
      </w:r>
      <w:r w:rsidRPr="00197C1B">
        <w:t>2001 WL 812126, at *15.</w:t>
      </w:r>
    </w:p>
  </w:footnote>
  <w:footnote w:id="186">
    <w:p w14:paraId="3CB70393" w14:textId="13833DA8" w:rsidR="00197C1B" w:rsidRPr="0019374F" w:rsidRDefault="00197C1B" w:rsidP="00197C1B">
      <w:pPr>
        <w:pStyle w:val="FootnoteText"/>
      </w:pPr>
      <w:r w:rsidRPr="00197C1B">
        <w:rPr>
          <w:vertAlign w:val="superscript"/>
        </w:rPr>
        <w:footnoteRef/>
      </w:r>
      <w:r w:rsidRPr="00197C1B">
        <w:t>Ferrero U.S.A.</w:t>
      </w:r>
      <w:r w:rsidRPr="00197C1B">
        <w:t xml:space="preserve"> </w:t>
      </w:r>
      <w:r w:rsidRPr="00197C1B">
        <w:t>v.</w:t>
      </w:r>
      <w:r w:rsidRPr="00197C1B">
        <w:t xml:space="preserve"> </w:t>
      </w:r>
      <w:r w:rsidRPr="00197C1B">
        <w:t>Ozak Trading, Inc., 952 F.2d 44, 47, 21 USPQ2d 1215 (3d Cir.</w:t>
      </w:r>
      <w:r w:rsidRPr="00197C1B">
        <w:t xml:space="preserve"> </w:t>
      </w:r>
      <w:r w:rsidRPr="00197C1B">
        <w:t>1991).</w:t>
      </w:r>
      <w:r w:rsidRPr="00197C1B">
        <w:t xml:space="preserve"> </w:t>
      </w:r>
      <w:r w:rsidRPr="00197C1B">
        <w:rPr>
          <w:i/>
        </w:rPr>
        <w:t>See</w:t>
      </w:r>
      <w:r w:rsidRPr="00197C1B">
        <w:t xml:space="preserve"> Dieter v.</w:t>
      </w:r>
      <w:r w:rsidRPr="00197C1B">
        <w:t xml:space="preserve"> </w:t>
      </w:r>
      <w:r w:rsidRPr="00197C1B">
        <w:t>B &amp; H Indus.</w:t>
      </w:r>
      <w:r w:rsidRPr="00197C1B">
        <w:t xml:space="preserve"> </w:t>
      </w:r>
      <w:r w:rsidRPr="00197C1B">
        <w:t>of S.W.</w:t>
      </w:r>
      <w:r w:rsidRPr="00197C1B">
        <w:t xml:space="preserve"> </w:t>
      </w:r>
      <w:r w:rsidRPr="00197C1B">
        <w:t>Fla., Inc., 880 F.2d 322, 329, 11 USPQ2d 1721 (11th Cir.</w:t>
      </w:r>
      <w:r w:rsidRPr="00197C1B">
        <w:t xml:space="preserve"> </w:t>
      </w:r>
      <w:r w:rsidRPr="00197C1B">
        <w:t xml:space="preserve">1989), </w:t>
      </w:r>
      <w:r w:rsidRPr="00197C1B">
        <w:rPr>
          <w:i/>
        </w:rPr>
        <w:t>cert</w:t>
      </w:r>
      <w:r w:rsidRPr="00197C1B">
        <w:t>.</w:t>
      </w:r>
      <w:r w:rsidRPr="00197C1B">
        <w:t xml:space="preserve"> </w:t>
      </w:r>
      <w:r w:rsidRPr="00197C1B">
        <w:rPr>
          <w:i/>
        </w:rPr>
        <w:t>denied</w:t>
      </w:r>
      <w:r w:rsidRPr="00197C1B">
        <w:t>, 498 U.S.</w:t>
      </w:r>
      <w:r w:rsidRPr="00197C1B">
        <w:t xml:space="preserve"> </w:t>
      </w:r>
      <w:r w:rsidRPr="00197C1B">
        <w:t>950 (1990);</w:t>
      </w:r>
      <w:r w:rsidRPr="00197C1B">
        <w:t xml:space="preserve"> </w:t>
      </w:r>
      <w:r w:rsidRPr="00197C1B">
        <w:t>Lindy Pen Co.</w:t>
      </w:r>
      <w:r w:rsidRPr="00197C1B">
        <w:t xml:space="preserve"> </w:t>
      </w:r>
      <w:r w:rsidRPr="00197C1B">
        <w:t>v.</w:t>
      </w:r>
      <w:r w:rsidRPr="00197C1B">
        <w:t xml:space="preserve"> </w:t>
      </w:r>
      <w:r w:rsidRPr="00197C1B">
        <w:t>Bic Pen Corp., 982 F.2d 1400, 1409, 25 USPQ2d 1570 (9th Cir.</w:t>
      </w:r>
      <w:r w:rsidRPr="00197C1B">
        <w:t xml:space="preserve"> </w:t>
      </w:r>
      <w:r w:rsidRPr="00197C1B">
        <w:t>1993).</w:t>
      </w:r>
      <w:r w:rsidRPr="00197C1B">
        <w:t xml:space="preserve"> </w:t>
      </w:r>
      <w:r w:rsidRPr="00197C1B">
        <w:rPr>
          <w:i/>
        </w:rPr>
        <w:t>Cf</w:t>
      </w:r>
      <w:r w:rsidRPr="00197C1B">
        <w:t>.</w:t>
      </w:r>
      <w:r w:rsidRPr="00197C1B">
        <w:t xml:space="preserve"> </w:t>
      </w:r>
      <w:r w:rsidRPr="00197C1B">
        <w:t>Tamko Roofing Prods., Inc.</w:t>
      </w:r>
      <w:r w:rsidRPr="00197C1B">
        <w:t xml:space="preserve"> </w:t>
      </w:r>
      <w:r w:rsidRPr="00197C1B">
        <w:t>v.</w:t>
      </w:r>
      <w:r w:rsidRPr="00197C1B">
        <w:t xml:space="preserve"> </w:t>
      </w:r>
      <w:r w:rsidRPr="00197C1B">
        <w:t>Ideal Roofing Co., Ltd., 282 F.3d 23, 32, 61 USPQ2d 1865 (1st Cir.</w:t>
      </w:r>
      <w:r w:rsidRPr="00197C1B">
        <w:t xml:space="preserve"> </w:t>
      </w:r>
      <w:r w:rsidRPr="00197C1B">
        <w:t>2002) (“[w]illfulness short of bad faith will suffice when equitable considerations justify an award and the district court supportably finds the case exceptional”).</w:t>
      </w:r>
    </w:p>
  </w:footnote>
  <w:footnote w:id="187">
    <w:p w14:paraId="6B7F5998" w14:textId="1B9AAA42" w:rsidR="00197C1B" w:rsidRPr="0019374F" w:rsidRDefault="00197C1B" w:rsidP="00197C1B">
      <w:pPr>
        <w:pStyle w:val="FootnoteText"/>
      </w:pPr>
      <w:r w:rsidRPr="00197C1B">
        <w:rPr>
          <w:vertAlign w:val="superscript"/>
        </w:rPr>
        <w:footnoteRef/>
      </w:r>
      <w:r w:rsidRPr="00197C1B">
        <w:t>Super Duper, Inc.</w:t>
      </w:r>
      <w:r w:rsidRPr="00197C1B">
        <w:t xml:space="preserve"> </w:t>
      </w:r>
      <w:r w:rsidRPr="00197C1B">
        <w:t>v.</w:t>
      </w:r>
      <w:r w:rsidRPr="00197C1B">
        <w:t xml:space="preserve"> </w:t>
      </w:r>
      <w:r w:rsidRPr="00197C1B">
        <w:t>Mattel, Inc., 2009 WL 866463, at *2 (D.S.C.</w:t>
      </w:r>
      <w:r w:rsidRPr="00197C1B">
        <w:t xml:space="preserve"> </w:t>
      </w:r>
      <w:r w:rsidRPr="00197C1B">
        <w:t>Mar.</w:t>
      </w:r>
      <w:r w:rsidRPr="00197C1B">
        <w:t xml:space="preserve"> </w:t>
      </w:r>
      <w:r w:rsidRPr="00197C1B">
        <w:t xml:space="preserve">31, 2009) (seemingly equating intentional dilution with an exceptional case), </w:t>
      </w:r>
      <w:r w:rsidRPr="00197C1B">
        <w:rPr>
          <w:i/>
        </w:rPr>
        <w:t>aff’d</w:t>
      </w:r>
      <w:r w:rsidRPr="00197C1B">
        <w:t>, 382 F.</w:t>
      </w:r>
      <w:r w:rsidRPr="00197C1B">
        <w:t xml:space="preserve"> </w:t>
      </w:r>
      <w:r w:rsidRPr="00197C1B">
        <w:t>App’x 308 (4th Cir.</w:t>
      </w:r>
      <w:r w:rsidRPr="00197C1B">
        <w:t xml:space="preserve"> </w:t>
      </w:r>
      <w:r w:rsidRPr="00197C1B">
        <w:t xml:space="preserve">2010), </w:t>
      </w:r>
      <w:r w:rsidRPr="00197C1B">
        <w:rPr>
          <w:i/>
        </w:rPr>
        <w:t>cert</w:t>
      </w:r>
      <w:r w:rsidRPr="00197C1B">
        <w:t>.</w:t>
      </w:r>
      <w:r w:rsidRPr="00197C1B">
        <w:t xml:space="preserve"> </w:t>
      </w:r>
      <w:r w:rsidRPr="00197C1B">
        <w:rPr>
          <w:i/>
        </w:rPr>
        <w:t>denied</w:t>
      </w:r>
      <w:r w:rsidRPr="00197C1B">
        <w:t>, 131 S.</w:t>
      </w:r>
      <w:r w:rsidRPr="00197C1B">
        <w:t xml:space="preserve"> </w:t>
      </w:r>
      <w:r w:rsidRPr="00197C1B">
        <w:t>Ct.</w:t>
      </w:r>
      <w:r w:rsidRPr="00197C1B">
        <w:t xml:space="preserve"> </w:t>
      </w:r>
      <w:r w:rsidRPr="00197C1B">
        <w:t>1003 (2011);</w:t>
      </w:r>
      <w:r w:rsidRPr="00197C1B">
        <w:t xml:space="preserve"> </w:t>
      </w:r>
      <w:r w:rsidRPr="00197C1B">
        <w:t>RE/MAX, LLC v.</w:t>
      </w:r>
      <w:r w:rsidRPr="00197C1B">
        <w:t xml:space="preserve"> </w:t>
      </w:r>
      <w:r w:rsidRPr="00197C1B">
        <w:t>Shenzen Remax Co., Ltd., 2020 BL 562745, at *1 (D.</w:t>
      </w:r>
      <w:r w:rsidRPr="00197C1B">
        <w:t xml:space="preserve"> </w:t>
      </w:r>
      <w:r w:rsidRPr="00197C1B">
        <w:t>Colo.</w:t>
      </w:r>
      <w:r w:rsidRPr="00197C1B">
        <w:t xml:space="preserve"> </w:t>
      </w:r>
      <w:r w:rsidRPr="00197C1B">
        <w:t>Mar.</w:t>
      </w:r>
      <w:r w:rsidRPr="00197C1B">
        <w:t xml:space="preserve"> </w:t>
      </w:r>
      <w:r w:rsidRPr="00197C1B">
        <w:t>13, 2020) (finding willfulness from default admitting allegations and determining that makes the case exceptional);</w:t>
      </w:r>
      <w:r w:rsidRPr="00197C1B">
        <w:t xml:space="preserve"> </w:t>
      </w:r>
      <w:r w:rsidRPr="00197C1B">
        <w:t>BMW of N.</w:t>
      </w:r>
      <w:r w:rsidRPr="00197C1B">
        <w:t xml:space="preserve"> </w:t>
      </w:r>
      <w:r w:rsidRPr="00197C1B">
        <w:t>Am.</w:t>
      </w:r>
      <w:r w:rsidRPr="00197C1B">
        <w:t xml:space="preserve"> </w:t>
      </w:r>
      <w:r w:rsidRPr="00197C1B">
        <w:t>LLC v.</w:t>
      </w:r>
      <w:r w:rsidRPr="00197C1B">
        <w:t xml:space="preserve"> </w:t>
      </w:r>
      <w:r w:rsidRPr="00197C1B">
        <w:t>Sperl, 2017 WL 5152160, at *4 (C.D.</w:t>
      </w:r>
      <w:r w:rsidRPr="00197C1B">
        <w:t xml:space="preserve"> </w:t>
      </w:r>
      <w:r w:rsidRPr="00197C1B">
        <w:t>Cal.</w:t>
      </w:r>
      <w:r w:rsidRPr="00197C1B">
        <w:t xml:space="preserve"> </w:t>
      </w:r>
      <w:r w:rsidRPr="00197C1B">
        <w:t>Jan.</w:t>
      </w:r>
      <w:r w:rsidRPr="00197C1B">
        <w:t xml:space="preserve"> </w:t>
      </w:r>
      <w:r w:rsidRPr="00197C1B">
        <w:t>6, 2017) (default indicates willfulness;</w:t>
      </w:r>
      <w:r w:rsidRPr="00197C1B">
        <w:t xml:space="preserve"> </w:t>
      </w:r>
      <w:r w:rsidRPr="00197C1B">
        <w:t>also, failure to stop in the face of cease and desist letter supports willfulness);</w:t>
      </w:r>
      <w:r w:rsidRPr="00197C1B">
        <w:t xml:space="preserve"> </w:t>
      </w:r>
      <w:r w:rsidRPr="00197C1B">
        <w:t>Mister Softee Inc.</w:t>
      </w:r>
      <w:r w:rsidRPr="00197C1B">
        <w:t xml:space="preserve"> </w:t>
      </w:r>
      <w:r w:rsidRPr="00197C1B">
        <w:t>v.</w:t>
      </w:r>
      <w:r w:rsidRPr="00197C1B">
        <w:t xml:space="preserve"> </w:t>
      </w:r>
      <w:r w:rsidRPr="00197C1B">
        <w:t>Awawda, 2011 U.S.</w:t>
      </w:r>
      <w:r w:rsidRPr="00197C1B">
        <w:t xml:space="preserve"> </w:t>
      </w:r>
      <w:r w:rsidRPr="00197C1B">
        <w:t>Dist.</w:t>
      </w:r>
      <w:r w:rsidRPr="00197C1B">
        <w:t xml:space="preserve"> </w:t>
      </w:r>
      <w:r w:rsidRPr="00197C1B">
        <w:t>LEXIS 149822, at *5–6 (D.</w:t>
      </w:r>
      <w:r w:rsidRPr="00197C1B">
        <w:t xml:space="preserve"> </w:t>
      </w:r>
      <w:r w:rsidRPr="00197C1B">
        <w:t>Ariz.</w:t>
      </w:r>
      <w:r w:rsidRPr="00197C1B">
        <w:t xml:space="preserve"> </w:t>
      </w:r>
      <w:r w:rsidRPr="00197C1B">
        <w:t>Dec.</w:t>
      </w:r>
      <w:r w:rsidRPr="00197C1B">
        <w:t xml:space="preserve"> </w:t>
      </w:r>
      <w:r w:rsidRPr="00197C1B">
        <w:t>28, 2011) (willful dilution creates exceptional case;</w:t>
      </w:r>
      <w:r w:rsidRPr="00197C1B">
        <w:t xml:space="preserve"> </w:t>
      </w:r>
      <w:r w:rsidRPr="00197C1B">
        <w:t>default as indication of willfulness);</w:t>
      </w:r>
      <w:r w:rsidRPr="00197C1B">
        <w:t xml:space="preserve"> </w:t>
      </w:r>
      <w:r w:rsidRPr="00197C1B">
        <w:t>Four Green Fields Holdings, LLC v.</w:t>
      </w:r>
      <w:r w:rsidRPr="00197C1B">
        <w:t xml:space="preserve"> </w:t>
      </w:r>
      <w:r w:rsidRPr="00197C1B">
        <w:t>Four Green Fields, An Irish Pub, Inc., 2011 U.S.</w:t>
      </w:r>
      <w:r w:rsidRPr="00197C1B">
        <w:t xml:space="preserve"> </w:t>
      </w:r>
      <w:r w:rsidRPr="00197C1B">
        <w:t>Dist.</w:t>
      </w:r>
      <w:r w:rsidRPr="00197C1B">
        <w:t xml:space="preserve"> </w:t>
      </w:r>
      <w:r w:rsidRPr="00197C1B">
        <w:t>LEXIS 126707, at *3 (M.D.</w:t>
      </w:r>
      <w:r w:rsidRPr="00197C1B">
        <w:t xml:space="preserve"> </w:t>
      </w:r>
      <w:r w:rsidRPr="00197C1B">
        <w:t>Fla.</w:t>
      </w:r>
      <w:r w:rsidRPr="00197C1B">
        <w:t xml:space="preserve"> </w:t>
      </w:r>
      <w:r w:rsidRPr="00197C1B">
        <w:t>Oct.</w:t>
      </w:r>
      <w:r w:rsidRPr="00197C1B">
        <w:t xml:space="preserve"> </w:t>
      </w:r>
      <w:r w:rsidRPr="00197C1B">
        <w:t>17, 2011) (same);</w:t>
      </w:r>
      <w:r w:rsidRPr="00197C1B">
        <w:t xml:space="preserve"> </w:t>
      </w:r>
      <w:r w:rsidRPr="00197C1B">
        <w:t>Volkswagen AG v.</w:t>
      </w:r>
      <w:r w:rsidRPr="00197C1B">
        <w:t xml:space="preserve"> </w:t>
      </w:r>
      <w:r w:rsidRPr="00197C1B">
        <w:t>V.W.</w:t>
      </w:r>
      <w:r w:rsidRPr="00197C1B">
        <w:t xml:space="preserve"> </w:t>
      </w:r>
      <w:r w:rsidRPr="00197C1B">
        <w:t>Parts, Inc., 2009 U.S.</w:t>
      </w:r>
      <w:r w:rsidRPr="00197C1B">
        <w:t xml:space="preserve"> </w:t>
      </w:r>
      <w:r w:rsidRPr="00197C1B">
        <w:t>Dist.</w:t>
      </w:r>
      <w:r w:rsidRPr="00197C1B">
        <w:t xml:space="preserve"> </w:t>
      </w:r>
      <w:r w:rsidRPr="00197C1B">
        <w:t>LEXIS 33374, at *3–4 (N.D.N.Y.</w:t>
      </w:r>
      <w:r w:rsidRPr="00197C1B">
        <w:t xml:space="preserve"> </w:t>
      </w:r>
      <w:r w:rsidRPr="00197C1B">
        <w:t>Apr.</w:t>
      </w:r>
      <w:r w:rsidRPr="00197C1B">
        <w:t xml:space="preserve"> </w:t>
      </w:r>
      <w:r w:rsidRPr="00197C1B">
        <w:t>20, 2009) (equating willful infringement with exceptional case);</w:t>
      </w:r>
      <w:r w:rsidRPr="00197C1B">
        <w:t xml:space="preserve"> </w:t>
      </w:r>
      <w:r w:rsidRPr="00197C1B">
        <w:t>Pepsico, Inc.</w:t>
      </w:r>
      <w:r w:rsidRPr="00197C1B">
        <w:t xml:space="preserve"> </w:t>
      </w:r>
      <w:r w:rsidRPr="00197C1B">
        <w:t>v.</w:t>
      </w:r>
      <w:r w:rsidRPr="00197C1B">
        <w:t xml:space="preserve"> </w:t>
      </w:r>
      <w:r w:rsidRPr="00197C1B">
        <w:t>Irie Motivations, Inc., 2008 U.S.</w:t>
      </w:r>
      <w:r w:rsidRPr="00197C1B">
        <w:t xml:space="preserve"> </w:t>
      </w:r>
      <w:r w:rsidRPr="00197C1B">
        <w:t>Dist.</w:t>
      </w:r>
      <w:r w:rsidRPr="00197C1B">
        <w:t xml:space="preserve"> </w:t>
      </w:r>
      <w:r w:rsidRPr="00197C1B">
        <w:t>LEXIS 108025, at *3–4 (C.D.</w:t>
      </w:r>
      <w:r w:rsidRPr="00197C1B">
        <w:t xml:space="preserve"> </w:t>
      </w:r>
      <w:r w:rsidRPr="00197C1B">
        <w:t>Cal.</w:t>
      </w:r>
      <w:r w:rsidRPr="00197C1B">
        <w:t xml:space="preserve"> </w:t>
      </w:r>
      <w:r w:rsidRPr="00197C1B">
        <w:t>2008) (awarding attorney’s fees in default judgment case without clearly indicating why it was exceptional).</w:t>
      </w:r>
      <w:r w:rsidRPr="00197C1B">
        <w:t xml:space="preserve"> </w:t>
      </w:r>
      <w:r w:rsidRPr="00197C1B">
        <w:rPr>
          <w:i/>
        </w:rPr>
        <w:t>See, e</w:t>
      </w:r>
      <w:r w:rsidRPr="00197C1B">
        <w:t>.</w:t>
      </w:r>
      <w:r w:rsidRPr="00197C1B">
        <w:rPr>
          <w:i/>
        </w:rPr>
        <w:t>g</w:t>
      </w:r>
      <w:r w:rsidRPr="00197C1B">
        <w:t>., New York State Soc’y of Certified Pub.</w:t>
      </w:r>
      <w:r w:rsidRPr="00197C1B">
        <w:t xml:space="preserve"> </w:t>
      </w:r>
      <w:r w:rsidRPr="00197C1B">
        <w:t>Accountants v.</w:t>
      </w:r>
      <w:r w:rsidRPr="00197C1B">
        <w:t xml:space="preserve"> </w:t>
      </w:r>
      <w:r w:rsidRPr="00197C1B">
        <w:t>Eric Louis Assocs., Inc., 79 F.</w:t>
      </w:r>
      <w:r w:rsidRPr="00197C1B">
        <w:t xml:space="preserve"> </w:t>
      </w:r>
      <w:r w:rsidRPr="00197C1B">
        <w:t>Supp.</w:t>
      </w:r>
      <w:r w:rsidRPr="00197C1B">
        <w:t xml:space="preserve"> </w:t>
      </w:r>
      <w:r w:rsidRPr="00197C1B">
        <w:t>2d 331, 350 (S.D.N.Y.</w:t>
      </w:r>
      <w:r w:rsidRPr="00197C1B">
        <w:t xml:space="preserve"> </w:t>
      </w:r>
      <w:r w:rsidRPr="00197C1B">
        <w:t>1999) (“The Court finds</w:t>
      </w:r>
      <w:r w:rsidRPr="00197C1B">
        <w:t xml:space="preserve"> </w:t>
      </w:r>
      <w:r w:rsidRPr="00197C1B">
        <w:t>…</w:t>
      </w:r>
      <w:r w:rsidRPr="00197C1B">
        <w:t xml:space="preserve"> </w:t>
      </w:r>
      <w:r w:rsidRPr="00197C1B">
        <w:t>that [the defendant’s] infringing and diluting conduct</w:t>
      </w:r>
      <w:r w:rsidRPr="00197C1B">
        <w:t xml:space="preserve"> </w:t>
      </w:r>
      <w:r w:rsidRPr="00197C1B">
        <w:t>…</w:t>
      </w:r>
      <w:r w:rsidRPr="00197C1B">
        <w:t xml:space="preserve"> </w:t>
      </w:r>
      <w:r w:rsidRPr="00197C1B">
        <w:t>was willful and in bad faith.</w:t>
      </w:r>
      <w:r w:rsidRPr="00197C1B">
        <w:t xml:space="preserve"> </w:t>
      </w:r>
      <w:r w:rsidRPr="00197C1B">
        <w:rPr>
          <w:i/>
        </w:rPr>
        <w:t>As such</w:t>
      </w:r>
      <w:r w:rsidRPr="00197C1B">
        <w:t>, Defendant’s violation of Plaintiff’s trademark rights is ‘exceptional,’ and the reasonable attorney fees incurred by Plaintiff in protecting these rights should be shifted to Defendant.”) (emphasis added);</w:t>
      </w:r>
      <w:r w:rsidRPr="00197C1B">
        <w:t xml:space="preserve"> </w:t>
      </w:r>
      <w:r w:rsidRPr="00197C1B">
        <w:t>Intermatic, Inc.</w:t>
      </w:r>
      <w:r w:rsidRPr="00197C1B">
        <w:t xml:space="preserve"> </w:t>
      </w:r>
      <w:r w:rsidRPr="00197C1B">
        <w:t>v.</w:t>
      </w:r>
      <w:r w:rsidRPr="00197C1B">
        <w:t xml:space="preserve"> </w:t>
      </w:r>
      <w:r w:rsidRPr="00197C1B">
        <w:t>Toeppen, 1998 WL 102702, at *1 (N.D.</w:t>
      </w:r>
      <w:r w:rsidRPr="00197C1B">
        <w:t xml:space="preserve"> </w:t>
      </w:r>
      <w:r w:rsidRPr="00197C1B">
        <w:t>Ill.</w:t>
      </w:r>
      <w:r w:rsidRPr="00197C1B">
        <w:t xml:space="preserve"> </w:t>
      </w:r>
      <w:r w:rsidRPr="00197C1B">
        <w:t>Feb.</w:t>
      </w:r>
      <w:r w:rsidRPr="00197C1B">
        <w:t xml:space="preserve"> </w:t>
      </w:r>
      <w:r w:rsidRPr="00197C1B">
        <w:t>28, 1998) (“If such willful intent is proven, the court has discretion to award attorneys fees”);</w:t>
      </w:r>
      <w:r w:rsidRPr="00197C1B">
        <w:t xml:space="preserve"> </w:t>
      </w:r>
      <w:r w:rsidRPr="00197C1B">
        <w:rPr>
          <w:i/>
        </w:rPr>
        <w:t>Coach</w:t>
      </w:r>
      <w:r w:rsidRPr="00197C1B">
        <w:t>, 2001 WL 821126, at *14 (S.D.N.Y.</w:t>
      </w:r>
      <w:r w:rsidRPr="00197C1B">
        <w:t xml:space="preserve"> </w:t>
      </w:r>
      <w:r w:rsidRPr="00197C1B">
        <w:t>2001);</w:t>
      </w:r>
      <w:r w:rsidRPr="00197C1B">
        <w:t xml:space="preserve"> </w:t>
      </w:r>
      <w:r w:rsidRPr="00197C1B">
        <w:t>Mirage Resorts, Inc.</w:t>
      </w:r>
      <w:r w:rsidRPr="00197C1B">
        <w:t xml:space="preserve"> </w:t>
      </w:r>
      <w:r w:rsidRPr="00197C1B">
        <w:t>v.</w:t>
      </w:r>
      <w:r w:rsidRPr="00197C1B">
        <w:t xml:space="preserve"> </w:t>
      </w:r>
      <w:r w:rsidRPr="00197C1B">
        <w:t>Stirpe, 152 F.</w:t>
      </w:r>
      <w:r w:rsidRPr="00197C1B">
        <w:t xml:space="preserve"> </w:t>
      </w:r>
      <w:r w:rsidRPr="00197C1B">
        <w:t>Supp.</w:t>
      </w:r>
      <w:r w:rsidRPr="00197C1B">
        <w:t xml:space="preserve"> </w:t>
      </w:r>
      <w:r w:rsidRPr="00197C1B">
        <w:t>2d 1208, 1218 (D.</w:t>
      </w:r>
      <w:r w:rsidRPr="00197C1B">
        <w:t xml:space="preserve"> </w:t>
      </w:r>
      <w:r w:rsidRPr="00197C1B">
        <w:t>Nev.</w:t>
      </w:r>
      <w:r w:rsidRPr="00197C1B">
        <w:t xml:space="preserve"> </w:t>
      </w:r>
      <w:r w:rsidRPr="00197C1B">
        <w:t>2000);</w:t>
      </w:r>
      <w:r w:rsidRPr="00197C1B">
        <w:t xml:space="preserve"> </w:t>
      </w:r>
      <w:r w:rsidRPr="00197C1B">
        <w:t>Aztar Corp.</w:t>
      </w:r>
      <w:r w:rsidRPr="00197C1B">
        <w:t xml:space="preserve"> </w:t>
      </w:r>
      <w:r w:rsidRPr="00197C1B">
        <w:t>v.</w:t>
      </w:r>
      <w:r w:rsidRPr="00197C1B">
        <w:t xml:space="preserve"> </w:t>
      </w:r>
      <w:r w:rsidRPr="00197C1B">
        <w:t>MGM Casino, 59 USPQ2d 1460, 1465 (E.D.</w:t>
      </w:r>
      <w:r w:rsidRPr="00197C1B">
        <w:t xml:space="preserve"> </w:t>
      </w:r>
      <w:r w:rsidRPr="00197C1B">
        <w:t>Va.</w:t>
      </w:r>
      <w:r w:rsidRPr="00197C1B">
        <w:t xml:space="preserve"> </w:t>
      </w:r>
      <w:r w:rsidRPr="00197C1B">
        <w:t>2001);</w:t>
      </w:r>
      <w:r w:rsidRPr="00197C1B">
        <w:t xml:space="preserve"> </w:t>
      </w:r>
      <w:r w:rsidRPr="00197C1B">
        <w:t>Victoria’s Cyber Secret Ltd.</w:t>
      </w:r>
      <w:r w:rsidRPr="00197C1B">
        <w:t xml:space="preserve"> </w:t>
      </w:r>
      <w:r w:rsidRPr="00197C1B">
        <w:t>P’ship v.</w:t>
      </w:r>
      <w:r w:rsidRPr="00197C1B">
        <w:t xml:space="preserve"> </w:t>
      </w:r>
      <w:r w:rsidRPr="00197C1B">
        <w:t>V Secret Catalogue, Inc., 161 F.</w:t>
      </w:r>
      <w:r w:rsidRPr="00197C1B">
        <w:t xml:space="preserve"> </w:t>
      </w:r>
      <w:r w:rsidRPr="00197C1B">
        <w:t>Supp.</w:t>
      </w:r>
      <w:r w:rsidRPr="00197C1B">
        <w:t xml:space="preserve"> </w:t>
      </w:r>
      <w:r w:rsidRPr="00197C1B">
        <w:t>2d 1339, 1356 (S.D.</w:t>
      </w:r>
      <w:r w:rsidRPr="00197C1B">
        <w:t xml:space="preserve"> </w:t>
      </w:r>
      <w:r w:rsidRPr="00197C1B">
        <w:t>Fla.</w:t>
      </w:r>
      <w:r w:rsidRPr="00197C1B">
        <w:t xml:space="preserve"> </w:t>
      </w:r>
      <w:r w:rsidRPr="00197C1B">
        <w:t>2001);</w:t>
      </w:r>
      <w:r w:rsidRPr="00197C1B">
        <w:t xml:space="preserve"> </w:t>
      </w:r>
      <w:r w:rsidRPr="00197C1B">
        <w:t>Southeastern La.</w:t>
      </w:r>
      <w:r w:rsidRPr="00197C1B">
        <w:t xml:space="preserve"> </w:t>
      </w:r>
      <w:r w:rsidRPr="00197C1B">
        <w:t>Entm’t v.</w:t>
      </w:r>
      <w:r w:rsidRPr="00197C1B">
        <w:t xml:space="preserve"> </w:t>
      </w:r>
      <w:r w:rsidRPr="00197C1B">
        <w:t>Hollywood Entm’t Corp., 56 USPQ2d 1688, 1692 (E.D.</w:t>
      </w:r>
      <w:r w:rsidRPr="00197C1B">
        <w:t xml:space="preserve"> </w:t>
      </w:r>
      <w:r w:rsidRPr="00197C1B">
        <w:t>La.</w:t>
      </w:r>
      <w:r w:rsidRPr="00197C1B">
        <w:t xml:space="preserve"> </w:t>
      </w:r>
      <w:r w:rsidRPr="00197C1B">
        <w:t>2000) (seemingly equating willfulness with an exceptional case).</w:t>
      </w:r>
      <w:r w:rsidRPr="00197C1B">
        <w:t xml:space="preserve"> </w:t>
      </w:r>
      <w:r w:rsidRPr="00197C1B">
        <w:rPr>
          <w:i/>
        </w:rPr>
        <w:t>But cf</w:t>
      </w:r>
      <w:r w:rsidRPr="00197C1B">
        <w:t>.</w:t>
      </w:r>
      <w:r w:rsidRPr="00197C1B">
        <w:t xml:space="preserve"> </w:t>
      </w:r>
      <w:r w:rsidRPr="00197C1B">
        <w:t>Mattel, Inc.</w:t>
      </w:r>
      <w:r w:rsidRPr="00197C1B">
        <w:t xml:space="preserve"> </w:t>
      </w:r>
      <w:r w:rsidRPr="00197C1B">
        <w:t>v.</w:t>
      </w:r>
      <w:r w:rsidRPr="00197C1B">
        <w:t xml:space="preserve"> </w:t>
      </w:r>
      <w:r w:rsidRPr="00197C1B">
        <w:t>Jcom, Inc., 48 USPQ2d 1467, 1470 (S.D.N.Y.</w:t>
      </w:r>
      <w:r w:rsidRPr="00197C1B">
        <w:t xml:space="preserve"> </w:t>
      </w:r>
      <w:r w:rsidRPr="00197C1B">
        <w:t xml:space="preserve">1998) (indicating that award of attorney’s fees requires showing both willful intent </w:t>
      </w:r>
      <w:r w:rsidRPr="00197C1B">
        <w:rPr>
          <w:i/>
        </w:rPr>
        <w:t>and</w:t>
      </w:r>
      <w:r w:rsidRPr="00197C1B">
        <w:t xml:space="preserve"> an exceptional case).</w:t>
      </w:r>
    </w:p>
  </w:footnote>
  <w:footnote w:id="188">
    <w:p w14:paraId="29495BBD" w14:textId="02B0D1A6" w:rsidR="00197C1B" w:rsidRPr="00CE698A" w:rsidRDefault="00197C1B" w:rsidP="00197C1B">
      <w:pPr>
        <w:pStyle w:val="FootnoteText"/>
      </w:pPr>
      <w:r w:rsidRPr="00197C1B">
        <w:rPr>
          <w:rStyle w:val="FootnoteReference"/>
          <w:rFonts w:eastAsiaTheme="majorEastAsia"/>
        </w:rPr>
        <w:footnoteRef/>
      </w:r>
      <w:r w:rsidRPr="00197C1B">
        <w:rPr>
          <w:i/>
        </w:rPr>
        <w:t>See</w:t>
      </w:r>
      <w:r w:rsidRPr="00197C1B">
        <w:t xml:space="preserve"> Tempur Sealy Int’l, Inc.</w:t>
      </w:r>
      <w:r w:rsidRPr="00197C1B">
        <w:t xml:space="preserve"> </w:t>
      </w:r>
      <w:r w:rsidRPr="00197C1B">
        <w:t>v.</w:t>
      </w:r>
      <w:r w:rsidRPr="00197C1B">
        <w:t xml:space="preserve"> </w:t>
      </w:r>
      <w:r w:rsidRPr="00197C1B">
        <w:t>Seltyk Mattress, Inc., 2023 BL 140054, at *6 (C.D.</w:t>
      </w:r>
      <w:r w:rsidRPr="00197C1B">
        <w:t xml:space="preserve"> </w:t>
      </w:r>
      <w:r w:rsidRPr="00197C1B">
        <w:t>Cal.</w:t>
      </w:r>
      <w:r w:rsidRPr="00197C1B">
        <w:t xml:space="preserve"> </w:t>
      </w:r>
      <w:r w:rsidRPr="00197C1B">
        <w:t>Apr.</w:t>
      </w:r>
      <w:r w:rsidRPr="00197C1B">
        <w:t xml:space="preserve"> </w:t>
      </w:r>
      <w:r w:rsidRPr="00197C1B">
        <w:t>25, 2023) (refusing to award attorney’s fees in a default judgment despite finding of willful infringement).</w:t>
      </w:r>
      <w:r w:rsidRPr="00197C1B">
        <w:t xml:space="preserve"> </w:t>
      </w:r>
      <w:r w:rsidRPr="00197C1B">
        <w:rPr>
          <w:i/>
        </w:rPr>
        <w:t>See also</w:t>
      </w:r>
      <w:r w:rsidRPr="00197C1B">
        <w:t xml:space="preserve"> Whirlpool Corp.</w:t>
      </w:r>
      <w:r w:rsidRPr="00197C1B">
        <w:t xml:space="preserve"> </w:t>
      </w:r>
      <w:r w:rsidRPr="00197C1B">
        <w:t>v.</w:t>
      </w:r>
      <w:r w:rsidRPr="00197C1B">
        <w:t xml:space="preserve"> </w:t>
      </w:r>
      <w:r w:rsidRPr="00197C1B">
        <w:t>Shenzhen Sanlida Elec.</w:t>
      </w:r>
      <w:r w:rsidRPr="00197C1B">
        <w:t xml:space="preserve"> </w:t>
      </w:r>
      <w:r w:rsidRPr="00197C1B">
        <w:t>Tech.</w:t>
      </w:r>
      <w:r w:rsidRPr="00197C1B">
        <w:t xml:space="preserve"> </w:t>
      </w:r>
      <w:r w:rsidRPr="00197C1B">
        <w:t>Co., Ltd., 2025 WL 904378, at *6, 2025 BL 98908 (E.D.</w:t>
      </w:r>
      <w:r w:rsidRPr="00197C1B">
        <w:t xml:space="preserve"> </w:t>
      </w:r>
      <w:r w:rsidRPr="00197C1B">
        <w:t>Tex.</w:t>
      </w:r>
      <w:r w:rsidRPr="00197C1B">
        <w:t xml:space="preserve"> </w:t>
      </w:r>
      <w:r w:rsidRPr="00197C1B">
        <w:t>Mar.</w:t>
      </w:r>
      <w:r w:rsidRPr="00197C1B">
        <w:t xml:space="preserve"> </w:t>
      </w:r>
      <w:r w:rsidRPr="00197C1B">
        <w:t>25, 2025) (noting that “a Court’s inquiry for attorneys’ fees is not based on the ultimate outcome and trial verdict” and that “the Court must consider the totality of the circumstances”).</w:t>
      </w:r>
    </w:p>
  </w:footnote>
  <w:footnote w:id="189">
    <w:p w14:paraId="26589E8C" w14:textId="54679037" w:rsidR="00197C1B" w:rsidRPr="0019374F" w:rsidRDefault="00197C1B" w:rsidP="00197C1B">
      <w:pPr>
        <w:pStyle w:val="FootnoteText"/>
      </w:pPr>
      <w:r w:rsidRPr="00197C1B">
        <w:rPr>
          <w:vertAlign w:val="superscript"/>
        </w:rPr>
        <w:footnoteRef/>
      </w:r>
      <w:r w:rsidRPr="00197C1B">
        <w:rPr>
          <w:i/>
        </w:rPr>
        <w:t>Cf</w:t>
      </w:r>
      <w:r w:rsidRPr="00197C1B">
        <w:t>.</w:t>
      </w:r>
      <w:r w:rsidRPr="00197C1B">
        <w:t xml:space="preserve"> </w:t>
      </w:r>
      <w:r w:rsidRPr="00197C1B">
        <w:t>Mattel, Inc.</w:t>
      </w:r>
      <w:r w:rsidRPr="00197C1B">
        <w:t xml:space="preserve"> </w:t>
      </w:r>
      <w:r w:rsidRPr="00197C1B">
        <w:t>v.</w:t>
      </w:r>
      <w:r w:rsidRPr="00197C1B">
        <w:t xml:space="preserve"> </w:t>
      </w:r>
      <w:r w:rsidRPr="00197C1B">
        <w:t>Adventure Apparel, 2001 WL 1035140, at *5 (S.D.N.Y.</w:t>
      </w:r>
      <w:r w:rsidRPr="00197C1B">
        <w:t xml:space="preserve"> </w:t>
      </w:r>
      <w:r w:rsidRPr="00197C1B">
        <w:t>Sept.</w:t>
      </w:r>
      <w:r w:rsidRPr="00197C1B">
        <w:t xml:space="preserve"> </w:t>
      </w:r>
      <w:r w:rsidRPr="00197C1B">
        <w:t>7, 2001) (refusing to award attorney’s fees for ACPA violation in spite of finding bad-faith intent to profit).</w:t>
      </w:r>
    </w:p>
  </w:footnote>
  <w:footnote w:id="190">
    <w:p w14:paraId="63FC7AF7" w14:textId="05F1EF68" w:rsidR="00197C1B" w:rsidRPr="0019374F" w:rsidRDefault="00197C1B" w:rsidP="00197C1B">
      <w:pPr>
        <w:pStyle w:val="FootnoteText"/>
      </w:pPr>
      <w:r w:rsidRPr="00197C1B">
        <w:rPr>
          <w:vertAlign w:val="superscript"/>
        </w:rPr>
        <w:footnoteRef/>
      </w:r>
      <w:r w:rsidRPr="00197C1B">
        <w:t>Green v.</w:t>
      </w:r>
      <w:r w:rsidRPr="00197C1B">
        <w:t xml:space="preserve"> </w:t>
      </w:r>
      <w:r w:rsidRPr="00197C1B">
        <w:t>Fornario, 486 F.3d 100, 107, 82 USPQ2d 1681 (3d Cir.</w:t>
      </w:r>
      <w:r w:rsidRPr="00197C1B">
        <w:t xml:space="preserve"> </w:t>
      </w:r>
      <w:r w:rsidRPr="00197C1B">
        <w:t>2007).</w:t>
      </w:r>
    </w:p>
  </w:footnote>
  <w:footnote w:id="191">
    <w:p w14:paraId="42944EBD" w14:textId="08820194" w:rsidR="00197C1B" w:rsidRPr="00197C1B" w:rsidRDefault="00197C1B" w:rsidP="00197C1B">
      <w:pPr>
        <w:pStyle w:val="FootnoteText"/>
      </w:pPr>
      <w:r w:rsidRPr="00197C1B">
        <w:rPr>
          <w:vertAlign w:val="superscript"/>
        </w:rPr>
        <w:footnoteRef/>
      </w:r>
      <w:r w:rsidRPr="00197C1B">
        <w:t>2014 U.S.</w:t>
      </w:r>
      <w:r w:rsidRPr="00197C1B">
        <w:t xml:space="preserve"> </w:t>
      </w:r>
      <w:r w:rsidRPr="00197C1B">
        <w:t>Dist.</w:t>
      </w:r>
      <w:r w:rsidRPr="00197C1B">
        <w:t xml:space="preserve"> </w:t>
      </w:r>
      <w:r w:rsidRPr="00197C1B">
        <w:t>LEXIS 117494 (N.D.</w:t>
      </w:r>
      <w:r w:rsidRPr="00197C1B">
        <w:t xml:space="preserve"> </w:t>
      </w:r>
      <w:r w:rsidRPr="00197C1B">
        <w:t>Cal.</w:t>
      </w:r>
      <w:r w:rsidRPr="00197C1B">
        <w:t xml:space="preserve"> </w:t>
      </w:r>
      <w:r w:rsidRPr="00197C1B">
        <w:t>Aug.</w:t>
      </w:r>
      <w:r w:rsidRPr="00197C1B">
        <w:t xml:space="preserve"> </w:t>
      </w:r>
      <w:r w:rsidRPr="00197C1B">
        <w:t xml:space="preserve">20, 2014), </w:t>
      </w:r>
      <w:r w:rsidRPr="00197C1B">
        <w:rPr>
          <w:i/>
        </w:rPr>
        <w:t>aff’d in part</w:t>
      </w:r>
      <w:r w:rsidRPr="00197C1B">
        <w:t>,</w:t>
      </w:r>
      <w:r w:rsidRPr="00197C1B">
        <w:rPr>
          <w:i/>
        </w:rPr>
        <w:t xml:space="preserve"> rev’d in part on other grounds</w:t>
      </w:r>
      <w:r w:rsidRPr="00197C1B">
        <w:t>, 786 F.3d 983, 114 USPQ2d 1953 (Fed.</w:t>
      </w:r>
      <w:r w:rsidRPr="00197C1B">
        <w:t xml:space="preserve"> </w:t>
      </w:r>
      <w:r w:rsidRPr="00197C1B">
        <w:t>Cir.</w:t>
      </w:r>
      <w:r w:rsidRPr="00197C1B">
        <w:t xml:space="preserve"> </w:t>
      </w:r>
      <w:r w:rsidRPr="00197C1B">
        <w:t xml:space="preserve">2015) (the Federal Circuit held the trade dress to be functional and did not reach the dilution issues), </w:t>
      </w:r>
      <w:r w:rsidRPr="00197C1B">
        <w:rPr>
          <w:i/>
        </w:rPr>
        <w:t>rev’d on other grounds</w:t>
      </w:r>
      <w:r w:rsidRPr="00197C1B">
        <w:t>, 580 U.S.</w:t>
      </w:r>
      <w:r w:rsidRPr="00197C1B">
        <w:t xml:space="preserve"> </w:t>
      </w:r>
      <w:r w:rsidRPr="00197C1B">
        <w:t>53, 120 USPQ2d 1749 (2016).</w:t>
      </w:r>
    </w:p>
    <w:p w14:paraId="4E9D89C4" w14:textId="77777777" w:rsidR="00197C1B" w:rsidRDefault="00197C1B" w:rsidP="00124999">
      <w:pPr>
        <w:pStyle w:val="footnote"/>
      </w:pPr>
    </w:p>
  </w:footnote>
  <w:footnote w:id="192">
    <w:p w14:paraId="1C5E37BA" w14:textId="7E83346C" w:rsidR="00197C1B" w:rsidRPr="00197C1B" w:rsidRDefault="00197C1B" w:rsidP="00197C1B">
      <w:pPr>
        <w:pStyle w:val="FootnoteText"/>
      </w:pPr>
      <w:r w:rsidRPr="00197C1B">
        <w:rPr>
          <w:vertAlign w:val="superscript"/>
        </w:rPr>
        <w:footnoteRef/>
      </w:r>
      <w:r w:rsidRPr="00197C1B">
        <w:rPr>
          <w:i/>
        </w:rPr>
        <w:t>Id.</w:t>
      </w:r>
      <w:r w:rsidRPr="00197C1B">
        <w:rPr>
          <w:i/>
        </w:rPr>
        <w:t xml:space="preserve"> </w:t>
      </w:r>
      <w:r w:rsidRPr="00197C1B">
        <w:t>at *67–69.</w:t>
      </w:r>
    </w:p>
    <w:p w14:paraId="658CA08D" w14:textId="77777777" w:rsidR="00197C1B" w:rsidRPr="005D3300" w:rsidRDefault="00197C1B" w:rsidP="00124999">
      <w:pPr>
        <w:pStyle w:val="footnote"/>
      </w:pPr>
    </w:p>
  </w:footnote>
  <w:footnote w:id="193">
    <w:p w14:paraId="5E001A7D" w14:textId="11343611" w:rsidR="00197C1B" w:rsidRPr="00197C1B" w:rsidRDefault="00197C1B" w:rsidP="00197C1B">
      <w:pPr>
        <w:pStyle w:val="FootnoteText"/>
      </w:pPr>
      <w:r w:rsidRPr="00197C1B">
        <w:rPr>
          <w:vertAlign w:val="superscript"/>
        </w:rPr>
        <w:footnoteRef/>
      </w:r>
      <w:r w:rsidRPr="00197C1B">
        <w:t>572 U.S.</w:t>
      </w:r>
      <w:r w:rsidRPr="00197C1B">
        <w:t xml:space="preserve"> </w:t>
      </w:r>
      <w:r w:rsidRPr="00197C1B">
        <w:t>545, 110 USPQ2d 1337 (2014).</w:t>
      </w:r>
    </w:p>
    <w:p w14:paraId="4505199B" w14:textId="77777777" w:rsidR="00197C1B" w:rsidRPr="00E36220" w:rsidRDefault="00197C1B" w:rsidP="00124999">
      <w:pPr>
        <w:pStyle w:val="footnote"/>
      </w:pPr>
    </w:p>
  </w:footnote>
  <w:footnote w:id="194">
    <w:p w14:paraId="572502C1" w14:textId="0A7F1324"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554.</w:t>
      </w:r>
    </w:p>
    <w:p w14:paraId="41E79D54" w14:textId="77777777" w:rsidR="00197C1B" w:rsidRPr="005D3300" w:rsidRDefault="00197C1B" w:rsidP="00124999">
      <w:pPr>
        <w:pStyle w:val="footnote"/>
      </w:pPr>
    </w:p>
  </w:footnote>
  <w:footnote w:id="195">
    <w:p w14:paraId="4A4D31B2" w14:textId="480E01F4" w:rsidR="00197C1B" w:rsidRPr="00197C1B" w:rsidRDefault="00197C1B" w:rsidP="00197C1B">
      <w:pPr>
        <w:pStyle w:val="FootnoteText"/>
      </w:pPr>
      <w:r w:rsidRPr="00197C1B">
        <w:rPr>
          <w:vertAlign w:val="superscript"/>
        </w:rPr>
        <w:footnoteRef/>
      </w:r>
      <w:r w:rsidRPr="00197C1B">
        <w:rPr>
          <w:i/>
        </w:rPr>
        <w:t>Id</w:t>
      </w:r>
      <w:r w:rsidRPr="00197C1B">
        <w:t>.</w:t>
      </w:r>
    </w:p>
    <w:p w14:paraId="0E785D06" w14:textId="77777777" w:rsidR="00197C1B" w:rsidRPr="005D3300" w:rsidRDefault="00197C1B" w:rsidP="00124999">
      <w:pPr>
        <w:pStyle w:val="footnote"/>
      </w:pPr>
    </w:p>
  </w:footnote>
  <w:footnote w:id="196">
    <w:p w14:paraId="16BC5389" w14:textId="64326234" w:rsidR="00197C1B" w:rsidRDefault="00197C1B" w:rsidP="00197C1B">
      <w:pPr>
        <w:pStyle w:val="FootnoteText"/>
      </w:pPr>
      <w:r w:rsidRPr="00197C1B">
        <w:rPr>
          <w:vertAlign w:val="superscript"/>
        </w:rPr>
        <w:footnoteRef/>
      </w:r>
      <w:r w:rsidRPr="00197C1B">
        <w:rPr>
          <w:i/>
        </w:rPr>
        <w:t>See</w:t>
      </w:r>
      <w:r w:rsidRPr="00197C1B">
        <w:t xml:space="preserve"> Louis Vuitton Malletier S.A.</w:t>
      </w:r>
      <w:r w:rsidRPr="00197C1B">
        <w:t xml:space="preserve"> </w:t>
      </w:r>
      <w:r w:rsidRPr="00197C1B">
        <w:t>v.</w:t>
      </w:r>
      <w:r w:rsidRPr="00197C1B">
        <w:t xml:space="preserve"> </w:t>
      </w:r>
      <w:r w:rsidRPr="00197C1B">
        <w:t>My Other Bag, Inc., 2018 WL 317850, at *1–2 (S.D.N.Y.</w:t>
      </w:r>
      <w:r w:rsidRPr="00197C1B">
        <w:t xml:space="preserve"> </w:t>
      </w:r>
      <w:r w:rsidRPr="00197C1B">
        <w:t>Jan.</w:t>
      </w:r>
      <w:r w:rsidRPr="00197C1B">
        <w:t xml:space="preserve"> </w:t>
      </w:r>
      <w:r w:rsidRPr="00197C1B">
        <w:t xml:space="preserve">8, 2018) (applying </w:t>
      </w:r>
      <w:r w:rsidRPr="00197C1B">
        <w:rPr>
          <w:i/>
        </w:rPr>
        <w:t>Octane Fitness</w:t>
      </w:r>
      <w:r w:rsidRPr="00197C1B">
        <w:t xml:space="preserve">, but rejecting request for attorneys’ fees, finding Louis Vuitton’s claims not frivolous), </w:t>
      </w:r>
      <w:r w:rsidRPr="00197C1B">
        <w:rPr>
          <w:i/>
        </w:rPr>
        <w:t>aff’d</w:t>
      </w:r>
      <w:r w:rsidRPr="00197C1B">
        <w:t>, 764 F.</w:t>
      </w:r>
      <w:r w:rsidRPr="00197C1B">
        <w:t xml:space="preserve"> </w:t>
      </w:r>
      <w:r w:rsidRPr="00197C1B">
        <w:t>App’x 39 (2d Cir.</w:t>
      </w:r>
      <w:r w:rsidRPr="00197C1B">
        <w:t xml:space="preserve"> </w:t>
      </w:r>
      <w:r w:rsidRPr="00197C1B">
        <w:t>2019);</w:t>
      </w:r>
      <w:r w:rsidRPr="00197C1B">
        <w:t xml:space="preserve"> </w:t>
      </w:r>
      <w:r w:rsidRPr="00197C1B">
        <w:t>Buccellati Holding Italia SPA v.</w:t>
      </w:r>
      <w:r w:rsidRPr="00197C1B">
        <w:t xml:space="preserve"> </w:t>
      </w:r>
      <w:r w:rsidRPr="00197C1B">
        <w:t>Buccellati LLC, 2015 WL 11202358, at *3 (S.D.</w:t>
      </w:r>
      <w:r w:rsidRPr="00197C1B">
        <w:t xml:space="preserve"> </w:t>
      </w:r>
      <w:r w:rsidRPr="00197C1B">
        <w:t>Fla.</w:t>
      </w:r>
      <w:r w:rsidRPr="00197C1B">
        <w:t xml:space="preserve"> </w:t>
      </w:r>
      <w:r w:rsidRPr="00197C1B">
        <w:t>Mar.</w:t>
      </w:r>
      <w:r w:rsidRPr="00197C1B">
        <w:t xml:space="preserve"> </w:t>
      </w:r>
      <w:r w:rsidRPr="00197C1B">
        <w:t xml:space="preserve">10, 2015) (applying </w:t>
      </w:r>
      <w:r w:rsidRPr="00197C1B">
        <w:rPr>
          <w:i/>
        </w:rPr>
        <w:t>Octane Fitness</w:t>
      </w:r>
      <w:r w:rsidRPr="00197C1B">
        <w:t xml:space="preserve"> to trademark case).</w:t>
      </w:r>
      <w:r w:rsidRPr="00197C1B">
        <w:t xml:space="preserve"> </w:t>
      </w:r>
      <w:r w:rsidRPr="00197C1B">
        <w:rPr>
          <w:i/>
        </w:rPr>
        <w:t>But see</w:t>
      </w:r>
      <w:r w:rsidRPr="00197C1B">
        <w:t xml:space="preserve"> Nutravita Labs., Inc.</w:t>
      </w:r>
      <w:r w:rsidRPr="00197C1B">
        <w:t xml:space="preserve"> </w:t>
      </w:r>
      <w:r w:rsidRPr="00197C1B">
        <w:t>v.</w:t>
      </w:r>
      <w:r w:rsidRPr="00197C1B">
        <w:t xml:space="preserve"> </w:t>
      </w:r>
      <w:r w:rsidRPr="00197C1B">
        <w:t>VBS Distribution, Inc., 160 F.</w:t>
      </w:r>
      <w:r w:rsidRPr="00197C1B">
        <w:t xml:space="preserve"> </w:t>
      </w:r>
      <w:r w:rsidRPr="00197C1B">
        <w:t>Supp.</w:t>
      </w:r>
      <w:r w:rsidRPr="00197C1B">
        <w:t xml:space="preserve"> </w:t>
      </w:r>
      <w:r w:rsidRPr="00197C1B">
        <w:t>3d 1184, 1191–92 (C.D.</w:t>
      </w:r>
      <w:r w:rsidRPr="00197C1B">
        <w:t xml:space="preserve"> </w:t>
      </w:r>
      <w:r w:rsidRPr="00197C1B">
        <w:t>Cal.</w:t>
      </w:r>
      <w:r w:rsidRPr="00197C1B">
        <w:t xml:space="preserve"> </w:t>
      </w:r>
      <w:r w:rsidRPr="00197C1B">
        <w:t xml:space="preserve">2016) (citing Ninth Circuit precedent indicating a need for a baseless claim in order for defendant to recover attorneys’ fees), </w:t>
      </w:r>
      <w:r w:rsidRPr="00197C1B">
        <w:rPr>
          <w:i/>
        </w:rPr>
        <w:t>aff’d</w:t>
      </w:r>
      <w:r w:rsidRPr="00197C1B">
        <w:t>, 697 F.</w:t>
      </w:r>
      <w:r w:rsidRPr="00197C1B">
        <w:t xml:space="preserve"> </w:t>
      </w:r>
      <w:r w:rsidRPr="00197C1B">
        <w:t>App’x 559 (9th Cir.</w:t>
      </w:r>
      <w:r w:rsidRPr="00197C1B">
        <w:t xml:space="preserve"> </w:t>
      </w:r>
      <w:r w:rsidRPr="00197C1B">
        <w:t>2017).</w:t>
      </w:r>
      <w:r w:rsidRPr="00197C1B">
        <w:t xml:space="preserve"> </w:t>
      </w:r>
      <w:r w:rsidRPr="00197C1B">
        <w:t>However, this does not mean that the prevailing party must demonstrate that the case is exceptional by more than a preponderance of the evidence.</w:t>
      </w:r>
      <w:r w:rsidRPr="00197C1B">
        <w:t xml:space="preserve"> </w:t>
      </w:r>
      <w:r w:rsidRPr="00197C1B">
        <w:t>Whirlpool Corp.</w:t>
      </w:r>
      <w:r w:rsidRPr="00197C1B">
        <w:t xml:space="preserve"> </w:t>
      </w:r>
      <w:r w:rsidRPr="00197C1B">
        <w:t>v.</w:t>
      </w:r>
      <w:r w:rsidRPr="00197C1B">
        <w:t xml:space="preserve"> </w:t>
      </w:r>
      <w:r w:rsidRPr="00197C1B">
        <w:t>Shenzhen Sanlida Elec.</w:t>
      </w:r>
      <w:r w:rsidRPr="00197C1B">
        <w:t xml:space="preserve"> </w:t>
      </w:r>
      <w:r w:rsidRPr="00197C1B">
        <w:t>Tech.</w:t>
      </w:r>
      <w:r w:rsidRPr="00197C1B">
        <w:t xml:space="preserve"> </w:t>
      </w:r>
      <w:r w:rsidRPr="00197C1B">
        <w:t>Co., Ltd., 2025 WL 904378, at *6, 2025 BL 98908 (E.D.</w:t>
      </w:r>
      <w:r w:rsidRPr="00197C1B">
        <w:t xml:space="preserve"> </w:t>
      </w:r>
      <w:r w:rsidRPr="00197C1B">
        <w:t>Tex.</w:t>
      </w:r>
      <w:r w:rsidRPr="00197C1B">
        <w:t xml:space="preserve"> </w:t>
      </w:r>
      <w:r w:rsidRPr="00197C1B">
        <w:t>Mar.</w:t>
      </w:r>
      <w:r w:rsidRPr="00197C1B">
        <w:t xml:space="preserve"> </w:t>
      </w:r>
      <w:r w:rsidRPr="00197C1B">
        <w:t>25, 2025) (rejecting defendant’s assertion that plaintiff must make the showing by clear and convincing evidence).</w:t>
      </w:r>
    </w:p>
  </w:footnote>
  <w:footnote w:id="197">
    <w:p w14:paraId="6315AC2D" w14:textId="7126B3B4" w:rsidR="00197C1B" w:rsidRDefault="00197C1B" w:rsidP="00197C1B">
      <w:pPr>
        <w:pStyle w:val="FootnoteText"/>
      </w:pPr>
      <w:r w:rsidRPr="00197C1B">
        <w:rPr>
          <w:rStyle w:val="FootnoteReference"/>
          <w:rFonts w:eastAsiaTheme="majorEastAsia"/>
        </w:rPr>
        <w:footnoteRef/>
      </w:r>
      <w:r w:rsidRPr="00197C1B">
        <w:t>Whirlpool Corp.</w:t>
      </w:r>
      <w:r w:rsidRPr="00197C1B">
        <w:t xml:space="preserve"> </w:t>
      </w:r>
      <w:r w:rsidRPr="00197C1B">
        <w:t>v.</w:t>
      </w:r>
      <w:r w:rsidRPr="00197C1B">
        <w:t xml:space="preserve"> </w:t>
      </w:r>
      <w:r w:rsidRPr="00197C1B">
        <w:t>Shenzhen Sanlida Elec.</w:t>
      </w:r>
      <w:r w:rsidRPr="00197C1B">
        <w:t xml:space="preserve"> </w:t>
      </w:r>
      <w:r w:rsidRPr="00197C1B">
        <w:t>Tech.</w:t>
      </w:r>
      <w:r w:rsidRPr="00197C1B">
        <w:t xml:space="preserve"> </w:t>
      </w:r>
      <w:r w:rsidRPr="00197C1B">
        <w:t>Co., Ltd., 2025 WL 904378, at *7, 2025 BL 98908 (E.D.</w:t>
      </w:r>
      <w:r w:rsidRPr="00197C1B">
        <w:t xml:space="preserve"> </w:t>
      </w:r>
      <w:r w:rsidRPr="00197C1B">
        <w:t>Tex.</w:t>
      </w:r>
      <w:r w:rsidRPr="00197C1B">
        <w:t xml:space="preserve"> </w:t>
      </w:r>
      <w:r w:rsidRPr="00197C1B">
        <w:t>Mar.</w:t>
      </w:r>
      <w:r w:rsidRPr="00197C1B">
        <w:t xml:space="preserve"> </w:t>
      </w:r>
      <w:r w:rsidRPr="00197C1B">
        <w:t>25, 2025) (declining to award attorney’s fees even though it found the case to be exceptional).</w:t>
      </w:r>
    </w:p>
  </w:footnote>
  <w:footnote w:id="198">
    <w:p w14:paraId="38FC656B" w14:textId="53F1FB21"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Horphag Research Ltd.</w:t>
      </w:r>
      <w:r w:rsidRPr="00197C1B">
        <w:t xml:space="preserve"> </w:t>
      </w:r>
      <w:r w:rsidRPr="00197C1B">
        <w:t>v.</w:t>
      </w:r>
      <w:r w:rsidRPr="00197C1B">
        <w:t xml:space="preserve"> </w:t>
      </w:r>
      <w:r w:rsidRPr="00197C1B">
        <w:t xml:space="preserve">Pellegrini, 328 F.3d 1108, 1113–14, 66 USPQ2d 1791, </w:t>
      </w:r>
      <w:r w:rsidRPr="00197C1B">
        <w:rPr>
          <w:i/>
        </w:rPr>
        <w:t>as amended</w:t>
      </w:r>
      <w:r w:rsidRPr="00197C1B">
        <w:t>, 337 F.3d 1036, 1042, 67 USPQ2d 1532 (9th Cir.</w:t>
      </w:r>
      <w:r w:rsidRPr="00197C1B">
        <w:t xml:space="preserve"> </w:t>
      </w:r>
      <w:r w:rsidRPr="00197C1B">
        <w:t>2003) (where dilution claim was reversed and remanded, attorney’s fee award on that claim reversed and remanded;</w:t>
      </w:r>
      <w:r w:rsidRPr="00197C1B">
        <w:t xml:space="preserve"> </w:t>
      </w:r>
      <w:r w:rsidRPr="00197C1B">
        <w:t xml:space="preserve">award of fees on infringement claim affirmed), </w:t>
      </w:r>
      <w:r w:rsidRPr="00197C1B">
        <w:rPr>
          <w:i/>
        </w:rPr>
        <w:t>cert</w:t>
      </w:r>
      <w:r w:rsidRPr="00197C1B">
        <w:t>.</w:t>
      </w:r>
      <w:r w:rsidRPr="00197C1B">
        <w:t xml:space="preserve"> </w:t>
      </w:r>
      <w:r w:rsidRPr="00197C1B">
        <w:rPr>
          <w:i/>
        </w:rPr>
        <w:t>denied sub nom</w:t>
      </w:r>
      <w:r w:rsidRPr="00197C1B">
        <w:t>.</w:t>
      </w:r>
      <w:r w:rsidRPr="00197C1B">
        <w:t xml:space="preserve"> </w:t>
      </w:r>
      <w:r w:rsidRPr="00197C1B">
        <w:t>Garcia v.</w:t>
      </w:r>
      <w:r w:rsidRPr="00197C1B">
        <w:t xml:space="preserve"> </w:t>
      </w:r>
      <w:r w:rsidRPr="00197C1B">
        <w:t>Horphag Research Ltd., 540 U.S.</w:t>
      </w:r>
      <w:r w:rsidRPr="00197C1B">
        <w:t xml:space="preserve"> </w:t>
      </w:r>
      <w:r w:rsidRPr="00197C1B">
        <w:t>1111 (2004);</w:t>
      </w:r>
      <w:r w:rsidRPr="00197C1B">
        <w:t xml:space="preserve"> </w:t>
      </w:r>
      <w:r w:rsidRPr="00197C1B">
        <w:rPr>
          <w:i/>
        </w:rPr>
        <w:t>Coach</w:t>
      </w:r>
      <w:r w:rsidRPr="00197C1B">
        <w:t>, 2001 WL 812126, at *15 (excluding from the award expenses for claims on which plaintiff was not the prevailing party).</w:t>
      </w:r>
      <w:r w:rsidRPr="00197C1B">
        <w:t xml:space="preserve"> </w:t>
      </w:r>
      <w:r w:rsidRPr="00197C1B">
        <w:rPr>
          <w:i/>
        </w:rPr>
        <w:t>Accord</w:t>
      </w:r>
      <w:r w:rsidRPr="00197C1B">
        <w:t xml:space="preserve"> SNA, Inc.</w:t>
      </w:r>
      <w:r w:rsidRPr="00197C1B">
        <w:t xml:space="preserve"> </w:t>
      </w:r>
      <w:r w:rsidRPr="00197C1B">
        <w:t>v.</w:t>
      </w:r>
      <w:r w:rsidRPr="00197C1B">
        <w:t xml:space="preserve"> </w:t>
      </w:r>
      <w:r w:rsidRPr="00197C1B">
        <w:t>Array, 173 F.</w:t>
      </w:r>
      <w:r w:rsidRPr="00197C1B">
        <w:t xml:space="preserve"> </w:t>
      </w:r>
      <w:r w:rsidRPr="00197C1B">
        <w:t>Supp.</w:t>
      </w:r>
      <w:r w:rsidRPr="00197C1B">
        <w:t xml:space="preserve"> </w:t>
      </w:r>
      <w:r w:rsidRPr="00197C1B">
        <w:t>2d 347, 352 (E.D.</w:t>
      </w:r>
      <w:r w:rsidRPr="00197C1B">
        <w:t xml:space="preserve"> </w:t>
      </w:r>
      <w:r w:rsidRPr="00197C1B">
        <w:t>Pa.</w:t>
      </w:r>
      <w:r w:rsidRPr="00197C1B">
        <w:t xml:space="preserve"> </w:t>
      </w:r>
      <w:r w:rsidRPr="00197C1B">
        <w:t xml:space="preserve">2001), </w:t>
      </w:r>
      <w:r w:rsidRPr="00197C1B">
        <w:rPr>
          <w:i/>
        </w:rPr>
        <w:t>aff’d sub nom</w:t>
      </w:r>
      <w:r w:rsidRPr="00197C1B">
        <w:t>.</w:t>
      </w:r>
      <w:r w:rsidRPr="00197C1B">
        <w:t xml:space="preserve"> </w:t>
      </w:r>
      <w:r w:rsidRPr="00197C1B">
        <w:t>Silva v.</w:t>
      </w:r>
      <w:r w:rsidRPr="00197C1B">
        <w:t xml:space="preserve"> </w:t>
      </w:r>
      <w:r w:rsidRPr="00197C1B">
        <w:t>Karlsen, 43 F.</w:t>
      </w:r>
      <w:r w:rsidRPr="00197C1B">
        <w:t xml:space="preserve"> </w:t>
      </w:r>
      <w:r w:rsidRPr="00197C1B">
        <w:t>App’x 486 (3d Cir.</w:t>
      </w:r>
      <w:r w:rsidRPr="00197C1B">
        <w:t xml:space="preserve"> </w:t>
      </w:r>
      <w:r w:rsidRPr="00197C1B">
        <w:t xml:space="preserve">2002) (unpublished opinion), </w:t>
      </w:r>
      <w:r w:rsidRPr="00197C1B">
        <w:rPr>
          <w:i/>
        </w:rPr>
        <w:t>cert</w:t>
      </w:r>
      <w:r w:rsidRPr="00197C1B">
        <w:t>.</w:t>
      </w:r>
      <w:r w:rsidRPr="00197C1B">
        <w:t xml:space="preserve"> </w:t>
      </w:r>
      <w:r w:rsidRPr="00197C1B">
        <w:rPr>
          <w:i/>
        </w:rPr>
        <w:t>denied</w:t>
      </w:r>
      <w:r w:rsidRPr="00197C1B">
        <w:t>, 537 U.S.</w:t>
      </w:r>
      <w:r w:rsidRPr="00197C1B">
        <w:t xml:space="preserve"> </w:t>
      </w:r>
      <w:r w:rsidRPr="00197C1B">
        <w:t>1171 (2003).</w:t>
      </w:r>
    </w:p>
  </w:footnote>
  <w:footnote w:id="199">
    <w:p w14:paraId="7CFC825E" w14:textId="4C4A0761" w:rsidR="00197C1B" w:rsidRPr="0019374F" w:rsidRDefault="00197C1B" w:rsidP="00197C1B">
      <w:pPr>
        <w:pStyle w:val="FootnoteText"/>
      </w:pPr>
      <w:r w:rsidRPr="00197C1B">
        <w:rPr>
          <w:vertAlign w:val="superscript"/>
        </w:rPr>
        <w:footnoteRef/>
      </w:r>
      <w:r w:rsidRPr="00197C1B">
        <w:rPr>
          <w:i/>
        </w:rPr>
        <w:t>See, e</w:t>
      </w:r>
      <w:r w:rsidRPr="00197C1B">
        <w:t>.</w:t>
      </w:r>
      <w:r w:rsidRPr="00197C1B">
        <w:rPr>
          <w:i/>
        </w:rPr>
        <w:t>g</w:t>
      </w:r>
      <w:r w:rsidRPr="00197C1B">
        <w:t xml:space="preserve">., </w:t>
      </w:r>
      <w:r w:rsidRPr="00197C1B">
        <w:rPr>
          <w:i/>
        </w:rPr>
        <w:t>Coach</w:t>
      </w:r>
      <w:r w:rsidRPr="00197C1B">
        <w:t>, 2001 WL 812126, at *15 (excluding from Seaward expenses for claims on which plaintiff was not the prevailing party).</w:t>
      </w:r>
      <w:r w:rsidRPr="00197C1B">
        <w:t xml:space="preserve"> </w:t>
      </w:r>
      <w:r w:rsidRPr="00197C1B">
        <w:rPr>
          <w:i/>
        </w:rPr>
        <w:t>Accord</w:t>
      </w:r>
      <w:r w:rsidRPr="00197C1B">
        <w:t xml:space="preserve"> SNA, Inc.</w:t>
      </w:r>
      <w:r w:rsidRPr="00197C1B">
        <w:t xml:space="preserve"> </w:t>
      </w:r>
      <w:r w:rsidRPr="00197C1B">
        <w:t>v.</w:t>
      </w:r>
      <w:r w:rsidRPr="00197C1B">
        <w:t xml:space="preserve"> </w:t>
      </w:r>
      <w:r w:rsidRPr="00197C1B">
        <w:t>Array, 173 F.</w:t>
      </w:r>
      <w:r w:rsidRPr="00197C1B">
        <w:t xml:space="preserve"> </w:t>
      </w:r>
      <w:r w:rsidRPr="00197C1B">
        <w:t>Supp.</w:t>
      </w:r>
      <w:r w:rsidRPr="00197C1B">
        <w:t xml:space="preserve"> </w:t>
      </w:r>
      <w:r w:rsidRPr="00197C1B">
        <w:t>2d 347, 352 (E.D.</w:t>
      </w:r>
      <w:r w:rsidRPr="00197C1B">
        <w:t xml:space="preserve"> </w:t>
      </w:r>
      <w:r w:rsidRPr="00197C1B">
        <w:t>Pa.</w:t>
      </w:r>
      <w:r w:rsidRPr="00197C1B">
        <w:t xml:space="preserve"> </w:t>
      </w:r>
      <w:r w:rsidRPr="00197C1B">
        <w:t>2001) (infringement case).</w:t>
      </w:r>
    </w:p>
  </w:footnote>
  <w:footnote w:id="200">
    <w:p w14:paraId="6A30AC02" w14:textId="4F0A03CF" w:rsidR="00197C1B" w:rsidRPr="0019374F" w:rsidRDefault="00197C1B" w:rsidP="00197C1B">
      <w:pPr>
        <w:pStyle w:val="FootnoteText"/>
      </w:pPr>
      <w:r w:rsidRPr="00197C1B">
        <w:rPr>
          <w:vertAlign w:val="superscript"/>
        </w:rPr>
        <w:footnoteRef/>
      </w:r>
      <w:r w:rsidRPr="00197C1B">
        <w:rPr>
          <w:i/>
        </w:rPr>
        <w:t>See Coach</w:t>
      </w:r>
      <w:r w:rsidRPr="00197C1B">
        <w:t>, 2001 WL 812126, at *16 (reducing fee award where billing sheets did not give names or billing rates of attorneys).</w:t>
      </w:r>
    </w:p>
  </w:footnote>
  <w:footnote w:id="201">
    <w:p w14:paraId="53995968" w14:textId="48BE593A" w:rsidR="00197C1B" w:rsidRPr="0019374F" w:rsidRDefault="00197C1B" w:rsidP="00197C1B">
      <w:pPr>
        <w:pStyle w:val="FootnoteText"/>
      </w:pPr>
      <w:r w:rsidRPr="00197C1B">
        <w:rPr>
          <w:vertAlign w:val="superscript"/>
        </w:rPr>
        <w:footnoteRef/>
      </w:r>
      <w:r w:rsidRPr="00197C1B">
        <w:t>Guishan, Inc.</w:t>
      </w:r>
      <w:r w:rsidRPr="00197C1B">
        <w:t xml:space="preserve"> </w:t>
      </w:r>
      <w:r w:rsidRPr="00197C1B">
        <w:t>v.</w:t>
      </w:r>
      <w:r w:rsidRPr="00197C1B">
        <w:t xml:space="preserve"> </w:t>
      </w:r>
      <w:r w:rsidRPr="00197C1B">
        <w:t>Faith Ice, Inc., 2009 U.S.</w:t>
      </w:r>
      <w:r w:rsidRPr="00197C1B">
        <w:t xml:space="preserve"> </w:t>
      </w:r>
      <w:r w:rsidRPr="00197C1B">
        <w:t>Dist.</w:t>
      </w:r>
      <w:r w:rsidRPr="00197C1B">
        <w:t xml:space="preserve"> </w:t>
      </w:r>
      <w:r w:rsidRPr="00197C1B">
        <w:t>LEXIS 126146, at *14–22 (E.D.N.Y.</w:t>
      </w:r>
      <w:r w:rsidRPr="00197C1B">
        <w:t xml:space="preserve"> </w:t>
      </w:r>
      <w:r w:rsidRPr="00197C1B">
        <w:t>Aug.</w:t>
      </w:r>
      <w:r w:rsidRPr="00197C1B">
        <w:t xml:space="preserve"> </w:t>
      </w:r>
      <w:r w:rsidRPr="00197C1B">
        <w:t xml:space="preserve">28, 2009), </w:t>
      </w:r>
      <w:r w:rsidRPr="00197C1B">
        <w:rPr>
          <w:i/>
        </w:rPr>
        <w:t>adopted in part, modified in part, rejected in part on other grounds</w:t>
      </w:r>
      <w:r w:rsidRPr="00197C1B">
        <w:t>, 2010 U.S.</w:t>
      </w:r>
      <w:r w:rsidRPr="00197C1B">
        <w:t xml:space="preserve"> </w:t>
      </w:r>
      <w:r w:rsidRPr="00197C1B">
        <w:t>Dist.</w:t>
      </w:r>
      <w:r w:rsidRPr="00197C1B">
        <w:t xml:space="preserve"> </w:t>
      </w:r>
      <w:r w:rsidRPr="00197C1B">
        <w:t>LEXIS 26830 (E.D.N.Y.</w:t>
      </w:r>
      <w:r w:rsidRPr="00197C1B">
        <w:t xml:space="preserve"> </w:t>
      </w:r>
      <w:r w:rsidRPr="00197C1B">
        <w:t>Mar.</w:t>
      </w:r>
      <w:r w:rsidRPr="00197C1B">
        <w:t xml:space="preserve"> </w:t>
      </w:r>
      <w:r w:rsidRPr="00197C1B">
        <w:t>22, 2010).</w:t>
      </w:r>
      <w:r w:rsidRPr="00197C1B">
        <w:t xml:space="preserve"> </w:t>
      </w:r>
      <w:r w:rsidRPr="00197C1B">
        <w:rPr>
          <w:i/>
        </w:rPr>
        <w:t>See Eric Louis</w:t>
      </w:r>
      <w:r w:rsidRPr="00197C1B">
        <w:t>, 79 F.</w:t>
      </w:r>
      <w:r w:rsidRPr="00197C1B">
        <w:t xml:space="preserve"> </w:t>
      </w:r>
      <w:r w:rsidRPr="00197C1B">
        <w:t>Supp.</w:t>
      </w:r>
      <w:r w:rsidRPr="00197C1B">
        <w:t xml:space="preserve"> </w:t>
      </w:r>
      <w:r w:rsidRPr="00197C1B">
        <w:t>2d at 352 (using “lodestar” approach to calculate fees, and reducing award because defendant’s conduct became willful and in bad faith only at some time after the offending conduct began);</w:t>
      </w:r>
      <w:r w:rsidRPr="00197C1B">
        <w:t xml:space="preserve"> </w:t>
      </w:r>
      <w:r w:rsidRPr="00197C1B">
        <w:rPr>
          <w:i/>
        </w:rPr>
        <w:t>SNA</w:t>
      </w:r>
      <w:r w:rsidRPr="00197C1B">
        <w:t>, 173 F.</w:t>
      </w:r>
      <w:r w:rsidRPr="00197C1B">
        <w:t xml:space="preserve"> </w:t>
      </w:r>
      <w:r w:rsidRPr="00197C1B">
        <w:t>Supp.</w:t>
      </w:r>
      <w:r w:rsidRPr="00197C1B">
        <w:t xml:space="preserve"> </w:t>
      </w:r>
      <w:r w:rsidRPr="00197C1B">
        <w:t>2d at 351 (in an infringement case, reducing number of hours, finding the request excessive).</w:t>
      </w:r>
    </w:p>
  </w:footnote>
  <w:footnote w:id="202">
    <w:p w14:paraId="00BDC677" w14:textId="4971E049" w:rsidR="00197C1B" w:rsidRPr="0019374F" w:rsidRDefault="00197C1B" w:rsidP="00197C1B">
      <w:pPr>
        <w:pStyle w:val="FootnoteText"/>
      </w:pPr>
      <w:r w:rsidRPr="00197C1B">
        <w:rPr>
          <w:vertAlign w:val="superscript"/>
        </w:rPr>
        <w:footnoteRef/>
      </w:r>
      <w:r w:rsidRPr="00197C1B">
        <w:t>RE/MAX, LLC v.</w:t>
      </w:r>
      <w:r w:rsidRPr="00197C1B">
        <w:t xml:space="preserve"> </w:t>
      </w:r>
      <w:r w:rsidRPr="00197C1B">
        <w:t>Shenzen Remax Co., Ltd., 2020 BL 562745, at *2 (D.</w:t>
      </w:r>
      <w:r w:rsidRPr="00197C1B">
        <w:t xml:space="preserve"> </w:t>
      </w:r>
      <w:r w:rsidRPr="00197C1B">
        <w:t>Colo.</w:t>
      </w:r>
      <w:r w:rsidRPr="00197C1B">
        <w:t xml:space="preserve"> </w:t>
      </w:r>
      <w:r w:rsidRPr="00197C1B">
        <w:t>Mar.</w:t>
      </w:r>
      <w:r w:rsidRPr="00197C1B">
        <w:t xml:space="preserve"> </w:t>
      </w:r>
      <w:r w:rsidRPr="00197C1B">
        <w:t>13, 2020);</w:t>
      </w:r>
      <w:r w:rsidRPr="00197C1B">
        <w:t xml:space="preserve"> </w:t>
      </w:r>
      <w:r w:rsidRPr="00197C1B">
        <w:rPr>
          <w:i/>
        </w:rPr>
        <w:t>Guishan, Inc</w:t>
      </w:r>
      <w:r w:rsidRPr="00197C1B">
        <w:t>., 2009 U.S.</w:t>
      </w:r>
      <w:r w:rsidRPr="00197C1B">
        <w:t xml:space="preserve"> </w:t>
      </w:r>
      <w:r w:rsidRPr="00197C1B">
        <w:t>Dist.</w:t>
      </w:r>
      <w:r w:rsidRPr="00197C1B">
        <w:t xml:space="preserve"> </w:t>
      </w:r>
      <w:r w:rsidRPr="00197C1B">
        <w:t>LEXIS 126146, at *32–33 (magistrate judge opinion).</w:t>
      </w:r>
    </w:p>
  </w:footnote>
  <w:footnote w:id="203">
    <w:p w14:paraId="30C4190A" w14:textId="55C37144" w:rsidR="00197C1B" w:rsidRPr="0019374F" w:rsidRDefault="00197C1B" w:rsidP="00197C1B">
      <w:pPr>
        <w:pStyle w:val="FootnoteText"/>
      </w:pPr>
      <w:r w:rsidRPr="00197C1B">
        <w:rPr>
          <w:vertAlign w:val="superscript"/>
        </w:rPr>
        <w:footnoteRef/>
      </w:r>
      <w:r w:rsidRPr="00197C1B">
        <w:rPr>
          <w:i/>
        </w:rPr>
        <w:t>See</w:t>
      </w:r>
      <w:r w:rsidRPr="00197C1B">
        <w:t xml:space="preserve"> Amazing Spaces, Inc.</w:t>
      </w:r>
      <w:r w:rsidRPr="00197C1B">
        <w:t xml:space="preserve"> </w:t>
      </w:r>
      <w:r w:rsidRPr="00197C1B">
        <w:t>v.</w:t>
      </w:r>
      <w:r w:rsidRPr="00197C1B">
        <w:t xml:space="preserve"> </w:t>
      </w:r>
      <w:r w:rsidRPr="00197C1B">
        <w:t>Metro Mini Storage, 97 USPQ2d 1819, 1821–22 &amp; n.1 (S.D.</w:t>
      </w:r>
      <w:r w:rsidRPr="00197C1B">
        <w:t xml:space="preserve"> </w:t>
      </w:r>
      <w:r w:rsidRPr="00197C1B">
        <w:t>Tex.</w:t>
      </w:r>
      <w:r w:rsidRPr="00197C1B">
        <w:t xml:space="preserve"> </w:t>
      </w:r>
      <w:r w:rsidRPr="00197C1B">
        <w:t>2011) (citing cases).</w:t>
      </w:r>
      <w:r w:rsidRPr="00197C1B">
        <w:t xml:space="preserve"> </w:t>
      </w:r>
      <w:r w:rsidRPr="00197C1B">
        <w:t>The court also noted that the Fifth Circuit requires that an exceptional case be demonstrated by clear and convincing evidence, a higher standard than the normal civil standard of preponderance of the evidence.</w:t>
      </w:r>
      <w:r w:rsidRPr="00197C1B">
        <w:t xml:space="preserve"> </w:t>
      </w:r>
      <w:r w:rsidRPr="00197C1B">
        <w:rPr>
          <w:i/>
        </w:rPr>
        <w:t>Id</w:t>
      </w:r>
      <w:r w:rsidRPr="00197C1B">
        <w:t>.</w:t>
      </w:r>
      <w:r w:rsidRPr="00197C1B">
        <w:t xml:space="preserve"> </w:t>
      </w:r>
      <w:r w:rsidRPr="00197C1B">
        <w:t>at 1822.</w:t>
      </w:r>
    </w:p>
  </w:footnote>
  <w:footnote w:id="204">
    <w:p w14:paraId="67D3495E" w14:textId="21E389CC" w:rsidR="00197C1B" w:rsidRPr="0019374F" w:rsidRDefault="00197C1B" w:rsidP="00197C1B">
      <w:pPr>
        <w:pStyle w:val="FootnoteText"/>
      </w:pPr>
      <w:r w:rsidRPr="00197C1B">
        <w:rPr>
          <w:vertAlign w:val="superscript"/>
        </w:rPr>
        <w:footnoteRef/>
      </w:r>
      <w:r w:rsidRPr="00197C1B">
        <w:t>2002 WL 1766548 (S.D.N.Y.</w:t>
      </w:r>
      <w:r w:rsidRPr="00197C1B">
        <w:t xml:space="preserve"> </w:t>
      </w:r>
      <w:r w:rsidRPr="00197C1B">
        <w:t>Jul.</w:t>
      </w:r>
      <w:r w:rsidRPr="00197C1B">
        <w:t xml:space="preserve"> </w:t>
      </w:r>
      <w:r w:rsidRPr="00197C1B">
        <w:t>30, 2002).</w:t>
      </w:r>
    </w:p>
  </w:footnote>
  <w:footnote w:id="205">
    <w:p w14:paraId="0B0C5204" w14:textId="52270FC4"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*2.</w:t>
      </w:r>
      <w:r w:rsidRPr="00197C1B">
        <w:t xml:space="preserve"> </w:t>
      </w:r>
      <w:r w:rsidRPr="00197C1B">
        <w:t>The ruling regarding the New York statute was somewhat surprising, given the court’s simultaneous ruling that the plaintiff’s infringement claim was not frivolous.</w:t>
      </w:r>
      <w:r w:rsidRPr="00197C1B">
        <w:t xml:space="preserve"> </w:t>
      </w:r>
      <w:r w:rsidRPr="00197C1B">
        <w:rPr>
          <w:i/>
        </w:rPr>
        <w:t>Id</w:t>
      </w:r>
      <w:r w:rsidRPr="00197C1B">
        <w:t>.</w:t>
      </w:r>
      <w:r w:rsidRPr="00197C1B">
        <w:t xml:space="preserve"> </w:t>
      </w:r>
      <w:r w:rsidRPr="00197C1B">
        <w:t>at *1.</w:t>
      </w:r>
      <w:r w:rsidRPr="00197C1B">
        <w:t xml:space="preserve"> </w:t>
      </w:r>
      <w:r w:rsidRPr="00197C1B">
        <w:t>Although courts generally have required a significant amount of mark strength to support a dilution action under New York law, the cases have not been entirely consistent on this point, with some permitting claims to be brought if the mark has secondary meaning.</w:t>
      </w:r>
      <w:r w:rsidRPr="00197C1B">
        <w:t xml:space="preserve"> </w:t>
      </w:r>
      <w:r w:rsidRPr="00197C1B">
        <w:t>In an earlier opinion in the same case, following a bench trial, the court noted that New York law does not require a famous mark, but it still found the plaintiff’s mark insufficiently distinctive.</w:t>
      </w:r>
      <w:r w:rsidRPr="00197C1B">
        <w:t xml:space="preserve"> </w:t>
      </w:r>
      <w:r w:rsidRPr="00197C1B">
        <w:t>National Distillers Prods.</w:t>
      </w:r>
      <w:r w:rsidRPr="00197C1B">
        <w:t xml:space="preserve"> </w:t>
      </w:r>
      <w:r w:rsidRPr="00197C1B">
        <w:t>Co.</w:t>
      </w:r>
      <w:r w:rsidRPr="00197C1B">
        <w:t xml:space="preserve"> </w:t>
      </w:r>
      <w:r w:rsidRPr="00197C1B">
        <w:t>v.</w:t>
      </w:r>
      <w:r w:rsidRPr="00197C1B">
        <w:t xml:space="preserve"> </w:t>
      </w:r>
      <w:r w:rsidRPr="00197C1B">
        <w:t>Refreshment Brands, Inc., 198 F.</w:t>
      </w:r>
      <w:r w:rsidRPr="00197C1B">
        <w:t xml:space="preserve"> </w:t>
      </w:r>
      <w:r w:rsidRPr="00197C1B">
        <w:t>Supp.</w:t>
      </w:r>
      <w:r w:rsidRPr="00197C1B">
        <w:t xml:space="preserve"> </w:t>
      </w:r>
      <w:r w:rsidRPr="00197C1B">
        <w:t>2d 474, 486 (S.D.N.Y.</w:t>
      </w:r>
      <w:r w:rsidRPr="00197C1B">
        <w:t xml:space="preserve"> </w:t>
      </w:r>
      <w:r w:rsidRPr="00197C1B">
        <w:t>2002).</w:t>
      </w:r>
    </w:p>
  </w:footnote>
  <w:footnote w:id="206">
    <w:p w14:paraId="5884F84F" w14:textId="720B2BDE" w:rsidR="00197C1B" w:rsidRPr="0019374F" w:rsidRDefault="00197C1B" w:rsidP="00197C1B">
      <w:pPr>
        <w:pStyle w:val="FootnoteText"/>
      </w:pPr>
      <w:r w:rsidRPr="00197C1B">
        <w:rPr>
          <w:vertAlign w:val="superscript"/>
        </w:rPr>
        <w:footnoteRef/>
      </w:r>
      <w:r w:rsidRPr="00197C1B">
        <w:t>292 F.3d 1139, 63 USPQ2d 1279 (9th Cir.</w:t>
      </w:r>
      <w:r w:rsidRPr="00197C1B">
        <w:t xml:space="preserve"> </w:t>
      </w:r>
      <w:r w:rsidRPr="00197C1B">
        <w:t>2002).</w:t>
      </w:r>
    </w:p>
  </w:footnote>
  <w:footnote w:id="207">
    <w:p w14:paraId="3EF32A68" w14:textId="593B096F" w:rsidR="00197C1B" w:rsidRPr="0019374F"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1156.</w:t>
      </w:r>
      <w:r w:rsidRPr="00197C1B">
        <w:t xml:space="preserve"> </w:t>
      </w:r>
      <w:r w:rsidRPr="00197C1B">
        <w:t xml:space="preserve">A similar result was reached in </w:t>
      </w:r>
      <w:r w:rsidRPr="00197C1B">
        <w:rPr>
          <w:rStyle w:val="BCasenamefull"/>
        </w:rPr>
        <w:t>Mattel, Inc. v. Walking Mountain Prods</w:t>
      </w:r>
      <w:r w:rsidRPr="00197C1B">
        <w:t>., 2004 WL 1454100 (C.D.</w:t>
      </w:r>
      <w:r w:rsidRPr="00197C1B">
        <w:t xml:space="preserve"> </w:t>
      </w:r>
      <w:r w:rsidRPr="00197C1B">
        <w:t>Cal.</w:t>
      </w:r>
      <w:r w:rsidRPr="00197C1B">
        <w:t xml:space="preserve"> </w:t>
      </w:r>
      <w:r w:rsidRPr="00197C1B">
        <w:t>Jun.</w:t>
      </w:r>
      <w:r w:rsidRPr="00197C1B">
        <w:t xml:space="preserve"> </w:t>
      </w:r>
      <w:r w:rsidRPr="00197C1B">
        <w:t>21, 2004), a case involving parodies of Barbie Dolls in suggestive positions.</w:t>
      </w:r>
      <w:r w:rsidRPr="00197C1B">
        <w:t xml:space="preserve"> </w:t>
      </w:r>
      <w:r w:rsidRPr="00197C1B">
        <w:t>The Ninth Circuit found this to be a noncommercial nominative use.</w:t>
      </w:r>
      <w:r w:rsidRPr="00197C1B">
        <w:t xml:space="preserve"> </w:t>
      </w:r>
      <w:r w:rsidRPr="00197C1B">
        <w:rPr>
          <w:i/>
        </w:rPr>
        <w:t>See</w:t>
      </w:r>
      <w:r w:rsidRPr="00197C1B">
        <w:t xml:space="preserve"> Mattel, Inc.</w:t>
      </w:r>
      <w:r w:rsidRPr="00197C1B">
        <w:t xml:space="preserve"> </w:t>
      </w:r>
      <w:r w:rsidRPr="00197C1B">
        <w:t>v.</w:t>
      </w:r>
      <w:r w:rsidRPr="00197C1B">
        <w:t xml:space="preserve"> </w:t>
      </w:r>
      <w:r w:rsidRPr="00197C1B">
        <w:t>Walking Mountain Prods., 353 F.3d 792, 69 USPQ2d 1257 (9th Cir.</w:t>
      </w:r>
      <w:r w:rsidRPr="00197C1B">
        <w:t xml:space="preserve"> </w:t>
      </w:r>
      <w:r w:rsidRPr="00197C1B">
        <w:t>2003).</w:t>
      </w:r>
      <w:r w:rsidRPr="00197C1B">
        <w:t xml:space="preserve"> </w:t>
      </w:r>
      <w:r w:rsidRPr="00197C1B">
        <w:t>On remand, the district court chided Mattel for bringing the case, saying that “it was exceptional for Mattel, a sophisticated plaintiff, to bring this groundless and unreasonable dilution claim,” 2004 WL 1454100, at *3, and the court awarded attorney’s fees to the defendant.</w:t>
      </w:r>
      <w:r w:rsidRPr="00197C1B">
        <w:t xml:space="preserve"> </w:t>
      </w:r>
      <w:r w:rsidRPr="00197C1B">
        <w:rPr>
          <w:i/>
        </w:rPr>
        <w:t>See</w:t>
      </w:r>
      <w:r w:rsidRPr="00197C1B">
        <w:t xml:space="preserve"> Top Tobacco, L.P.</w:t>
      </w:r>
      <w:r w:rsidRPr="00197C1B">
        <w:t xml:space="preserve"> </w:t>
      </w:r>
      <w:r w:rsidRPr="00197C1B">
        <w:t>v.</w:t>
      </w:r>
      <w:r w:rsidRPr="00197C1B">
        <w:t xml:space="preserve"> </w:t>
      </w:r>
      <w:r w:rsidRPr="00197C1B">
        <w:t>North Atl.</w:t>
      </w:r>
      <w:r w:rsidRPr="00197C1B">
        <w:t xml:space="preserve"> </w:t>
      </w:r>
      <w:r w:rsidRPr="00197C1B">
        <w:t>Operating Co., 2007 U.S.</w:t>
      </w:r>
      <w:r w:rsidRPr="00197C1B">
        <w:t xml:space="preserve"> </w:t>
      </w:r>
      <w:r w:rsidRPr="00197C1B">
        <w:t>Dist.</w:t>
      </w:r>
      <w:r w:rsidRPr="00197C1B">
        <w:t xml:space="preserve"> </w:t>
      </w:r>
      <w:r w:rsidRPr="00197C1B">
        <w:t>LEXIS 66614, at *5 (N.D.</w:t>
      </w:r>
      <w:r w:rsidRPr="00197C1B">
        <w:t xml:space="preserve"> </w:t>
      </w:r>
      <w:r w:rsidRPr="00197C1B">
        <w:t>Ill.</w:t>
      </w:r>
      <w:r w:rsidRPr="00197C1B">
        <w:t xml:space="preserve"> </w:t>
      </w:r>
      <w:r w:rsidRPr="00197C1B">
        <w:t>Sep.</w:t>
      </w:r>
      <w:r w:rsidRPr="00197C1B">
        <w:t xml:space="preserve"> </w:t>
      </w:r>
      <w:r w:rsidRPr="00197C1B">
        <w:t xml:space="preserve">6, 2007) (awarding defendant attorney’s fees, citing, </w:t>
      </w:r>
      <w:r w:rsidRPr="00197C1B">
        <w:rPr>
          <w:i/>
        </w:rPr>
        <w:t>inter alia</w:t>
      </w:r>
      <w:r w:rsidRPr="00197C1B">
        <w:t>, “the sheer weakness of [plaintiff’s] case”);</w:t>
      </w:r>
      <w:r w:rsidRPr="00197C1B">
        <w:t xml:space="preserve"> </w:t>
      </w:r>
      <w:r w:rsidRPr="00197C1B">
        <w:t>Hickory Farms, Inc.</w:t>
      </w:r>
      <w:r w:rsidRPr="00197C1B">
        <w:t xml:space="preserve"> </w:t>
      </w:r>
      <w:r w:rsidRPr="00197C1B">
        <w:t>v.</w:t>
      </w:r>
      <w:r w:rsidRPr="00197C1B">
        <w:t xml:space="preserve"> </w:t>
      </w:r>
      <w:r w:rsidRPr="00197C1B">
        <w:t>Snackmasters, Inc., 2007 U.S.</w:t>
      </w:r>
      <w:r w:rsidRPr="00197C1B">
        <w:t xml:space="preserve"> </w:t>
      </w:r>
      <w:r w:rsidRPr="00197C1B">
        <w:t>Dist.</w:t>
      </w:r>
      <w:r w:rsidRPr="00197C1B">
        <w:t xml:space="preserve"> </w:t>
      </w:r>
      <w:r w:rsidRPr="00197C1B">
        <w:t>LEXIS 68613, at *3–4 (N.D.</w:t>
      </w:r>
      <w:r w:rsidRPr="00197C1B">
        <w:t xml:space="preserve"> </w:t>
      </w:r>
      <w:r w:rsidRPr="00197C1B">
        <w:t>Ill.</w:t>
      </w:r>
      <w:r w:rsidRPr="00197C1B">
        <w:t xml:space="preserve"> </w:t>
      </w:r>
      <w:r w:rsidRPr="00197C1B">
        <w:t>Sep.</w:t>
      </w:r>
      <w:r w:rsidRPr="00197C1B">
        <w:t xml:space="preserve"> </w:t>
      </w:r>
      <w:r w:rsidRPr="00197C1B">
        <w:t>17, 2007) (citing lack of merit of plaintiff’s lawsuit) (magistrate judge).</w:t>
      </w:r>
      <w:r w:rsidRPr="00197C1B">
        <w:t xml:space="preserve"> </w:t>
      </w:r>
      <w:r w:rsidRPr="00197C1B">
        <w:rPr>
          <w:i/>
        </w:rPr>
        <w:t>Cf</w:t>
      </w:r>
      <w:r w:rsidRPr="00197C1B">
        <w:t>.</w:t>
      </w:r>
      <w:r w:rsidRPr="00197C1B">
        <w:t xml:space="preserve"> </w:t>
      </w:r>
      <w:r w:rsidRPr="00197C1B">
        <w:t>ANT v.</w:t>
      </w:r>
      <w:r w:rsidRPr="00197C1B">
        <w:t xml:space="preserve"> </w:t>
      </w:r>
      <w:r w:rsidRPr="00197C1B">
        <w:t>McPartlin, 2010 U.S.</w:t>
      </w:r>
      <w:r w:rsidRPr="00197C1B">
        <w:t xml:space="preserve"> </w:t>
      </w:r>
      <w:r w:rsidRPr="00197C1B">
        <w:t>Dist.</w:t>
      </w:r>
      <w:r w:rsidRPr="00197C1B">
        <w:t xml:space="preserve"> </w:t>
      </w:r>
      <w:r w:rsidRPr="00197C1B">
        <w:t>LEXIS 122456 (C.D.</w:t>
      </w:r>
      <w:r w:rsidRPr="00197C1B">
        <w:t xml:space="preserve"> </w:t>
      </w:r>
      <w:r w:rsidRPr="00197C1B">
        <w:t>Cal.</w:t>
      </w:r>
      <w:r w:rsidRPr="00197C1B">
        <w:t xml:space="preserve"> </w:t>
      </w:r>
      <w:r w:rsidRPr="00197C1B">
        <w:t>Nov.</w:t>
      </w:r>
      <w:r w:rsidRPr="00197C1B">
        <w:t xml:space="preserve"> </w:t>
      </w:r>
      <w:r w:rsidRPr="00197C1B">
        <w:t>2, 2010) (awarding attorney’s fees on state statutory right of publicity claim but finding case not “exceptional” for Lanham Act claims);</w:t>
      </w:r>
      <w:r w:rsidRPr="00197C1B">
        <w:t xml:space="preserve"> </w:t>
      </w:r>
      <w:r w:rsidRPr="00197C1B">
        <w:t>Louis Vuitton Malletier S.A.</w:t>
      </w:r>
      <w:r w:rsidRPr="00197C1B">
        <w:t xml:space="preserve"> </w:t>
      </w:r>
      <w:r w:rsidRPr="00197C1B">
        <w:t>v.</w:t>
      </w:r>
      <w:r w:rsidRPr="00197C1B">
        <w:t xml:space="preserve"> </w:t>
      </w:r>
      <w:r w:rsidRPr="00197C1B">
        <w:t>Haute Diggity Dog, LLC, 2007 U.S.</w:t>
      </w:r>
      <w:r w:rsidRPr="00197C1B">
        <w:t xml:space="preserve"> </w:t>
      </w:r>
      <w:r w:rsidRPr="00197C1B">
        <w:t>Dist.</w:t>
      </w:r>
      <w:r w:rsidRPr="00197C1B">
        <w:t xml:space="preserve"> </w:t>
      </w:r>
      <w:r w:rsidRPr="00197C1B">
        <w:t>LEXIS 14244, at *10–12 (E.D.</w:t>
      </w:r>
      <w:r w:rsidRPr="00197C1B">
        <w:t xml:space="preserve"> </w:t>
      </w:r>
      <w:r w:rsidRPr="00197C1B">
        <w:t>Va.) (grant of summary judgment in favor of defendant does not make claims frivolous;</w:t>
      </w:r>
      <w:r w:rsidRPr="00197C1B">
        <w:t xml:space="preserve"> </w:t>
      </w:r>
      <w:r w:rsidRPr="00197C1B">
        <w:t xml:space="preserve">no “exceptional” case found), </w:t>
      </w:r>
      <w:r w:rsidRPr="00197C1B">
        <w:rPr>
          <w:i/>
        </w:rPr>
        <w:t>aff’d</w:t>
      </w:r>
      <w:r w:rsidRPr="00197C1B">
        <w:t>, 507 F.3d 252, 84 USPQ2d 1969 (4th Cir.</w:t>
      </w:r>
      <w:r w:rsidRPr="00197C1B">
        <w:t xml:space="preserve"> </w:t>
      </w:r>
      <w:r w:rsidRPr="00197C1B">
        <w:t>2007) (the court of appeals did not address the attorney’s fees issue).</w:t>
      </w:r>
    </w:p>
  </w:footnote>
  <w:footnote w:id="208">
    <w:p w14:paraId="6AD1A22A" w14:textId="31417928" w:rsidR="00197C1B" w:rsidRPr="0019374F" w:rsidRDefault="00197C1B" w:rsidP="00197C1B">
      <w:pPr>
        <w:pStyle w:val="FootnoteText"/>
      </w:pPr>
      <w:r w:rsidRPr="00197C1B">
        <w:rPr>
          <w:vertAlign w:val="superscript"/>
        </w:rPr>
        <w:footnoteRef/>
      </w:r>
      <w:r w:rsidRPr="00197C1B">
        <w:rPr>
          <w:i/>
        </w:rPr>
        <w:t>Vuitton</w:t>
      </w:r>
      <w:r w:rsidRPr="00197C1B">
        <w:t>, 2007 U.S.</w:t>
      </w:r>
      <w:r w:rsidRPr="00197C1B">
        <w:t xml:space="preserve"> </w:t>
      </w:r>
      <w:r w:rsidRPr="00197C1B">
        <w:t>Dist.</w:t>
      </w:r>
      <w:r w:rsidRPr="00197C1B">
        <w:t xml:space="preserve"> </w:t>
      </w:r>
      <w:r w:rsidRPr="00197C1B">
        <w:t>LEXIS 14244, at *10 (the court of appeals did not address the attorney’s fees issue).</w:t>
      </w:r>
      <w:r w:rsidRPr="00197C1B">
        <w:t xml:space="preserve"> </w:t>
      </w:r>
      <w:r w:rsidRPr="00197C1B">
        <w:rPr>
          <w:i/>
        </w:rPr>
        <w:t xml:space="preserve">See </w:t>
      </w:r>
      <w:r w:rsidRPr="00197C1B">
        <w:t>Alfware, Inc.</w:t>
      </w:r>
      <w:r w:rsidRPr="00197C1B">
        <w:t xml:space="preserve"> </w:t>
      </w:r>
      <w:r w:rsidRPr="00197C1B">
        <w:t>v.</w:t>
      </w:r>
      <w:r w:rsidRPr="00197C1B">
        <w:t xml:space="preserve"> </w:t>
      </w:r>
      <w:r w:rsidRPr="00197C1B">
        <w:t>Mast-Jägermeister US, Inc., 2021 WL 4247946, at *2-3 (D.</w:t>
      </w:r>
      <w:r w:rsidRPr="00197C1B">
        <w:t xml:space="preserve"> </w:t>
      </w:r>
      <w:r w:rsidRPr="00197C1B">
        <w:t>Utah Sept.</w:t>
      </w:r>
      <w:r w:rsidRPr="00197C1B">
        <w:t xml:space="preserve"> </w:t>
      </w:r>
      <w:r w:rsidRPr="00197C1B">
        <w:t>17, 2021) (finding no overly aggressive litigation tactics or lack of a frivolous claim—despite summary judgment—court denied attorney’s fees);</w:t>
      </w:r>
      <w:r w:rsidRPr="00197C1B">
        <w:t xml:space="preserve"> </w:t>
      </w:r>
      <w:r w:rsidRPr="00197C1B">
        <w:t>Caiz v.</w:t>
      </w:r>
      <w:r w:rsidRPr="00197C1B">
        <w:t xml:space="preserve"> </w:t>
      </w:r>
      <w:r w:rsidRPr="00197C1B">
        <w:t>Roberts, 2017 WL 830386, at *4 (C.D.</w:t>
      </w:r>
      <w:r w:rsidRPr="00197C1B">
        <w:t xml:space="preserve"> </w:t>
      </w:r>
      <w:r w:rsidRPr="00197C1B">
        <w:t>Cal.</w:t>
      </w:r>
      <w:r w:rsidRPr="00197C1B">
        <w:t xml:space="preserve"> </w:t>
      </w:r>
      <w:r w:rsidRPr="00197C1B">
        <w:t>Mar.</w:t>
      </w:r>
      <w:r w:rsidRPr="00197C1B">
        <w:t xml:space="preserve"> </w:t>
      </w:r>
      <w:r w:rsidRPr="00197C1B">
        <w:t>2, 2017) (the fact that plaintiff did not attempt to support its dilution claim, which was one of several in the complaint, against defendant’s motion for summary judgment did not make the case exceptional);</w:t>
      </w:r>
      <w:r w:rsidRPr="00197C1B">
        <w:t xml:space="preserve"> </w:t>
      </w:r>
      <w:r w:rsidRPr="00197C1B">
        <w:t>Rackley Built Trailer Sales v.</w:t>
      </w:r>
      <w:r w:rsidRPr="00197C1B">
        <w:t xml:space="preserve"> </w:t>
      </w:r>
      <w:r w:rsidRPr="00197C1B">
        <w:t>Harley Murray, Inc., 2010 U.S.</w:t>
      </w:r>
      <w:r w:rsidRPr="00197C1B">
        <w:t xml:space="preserve"> </w:t>
      </w:r>
      <w:r w:rsidRPr="00197C1B">
        <w:t>Dist.</w:t>
      </w:r>
      <w:r w:rsidRPr="00197C1B">
        <w:t xml:space="preserve"> </w:t>
      </w:r>
      <w:r w:rsidRPr="00197C1B">
        <w:t>LEXIS 130851 (E.D.</w:t>
      </w:r>
      <w:r w:rsidRPr="00197C1B">
        <w:t xml:space="preserve"> </w:t>
      </w:r>
      <w:r w:rsidRPr="00197C1B">
        <w:t>Cal.</w:t>
      </w:r>
      <w:r w:rsidRPr="00197C1B">
        <w:t xml:space="preserve"> </w:t>
      </w:r>
      <w:r w:rsidRPr="00197C1B">
        <w:t>Nov.</w:t>
      </w:r>
      <w:r w:rsidRPr="00197C1B">
        <w:t xml:space="preserve"> </w:t>
      </w:r>
      <w:r w:rsidRPr="00197C1B">
        <w:t>22, 2010) (declining to award attorney’s fees where action was resolved in favor of plaintiff/counterclaim defendant);</w:t>
      </w:r>
      <w:r w:rsidRPr="00197C1B">
        <w:t xml:space="preserve"> </w:t>
      </w:r>
      <w:r w:rsidRPr="00197C1B">
        <w:t>Robin Singh Educ.</w:t>
      </w:r>
      <w:r w:rsidRPr="00197C1B">
        <w:t xml:space="preserve"> </w:t>
      </w:r>
      <w:r w:rsidRPr="00197C1B">
        <w:t>Serv., Inc.</w:t>
      </w:r>
      <w:r w:rsidRPr="00197C1B">
        <w:t xml:space="preserve"> </w:t>
      </w:r>
      <w:r w:rsidRPr="00197C1B">
        <w:t>v.</w:t>
      </w:r>
      <w:r w:rsidRPr="00197C1B">
        <w:t xml:space="preserve"> </w:t>
      </w:r>
      <w:r w:rsidRPr="00197C1B">
        <w:t>Excel Test Prep, 291 F.</w:t>
      </w:r>
      <w:r w:rsidRPr="00197C1B">
        <w:t xml:space="preserve"> </w:t>
      </w:r>
      <w:r w:rsidRPr="00197C1B">
        <w:t>App’x 620, 622 (5th Cir.</w:t>
      </w:r>
      <w:r w:rsidRPr="00197C1B">
        <w:t xml:space="preserve"> </w:t>
      </w:r>
      <w:r w:rsidRPr="00197C1B">
        <w:t>2008) (district court did not abuse discretion in finding claim was not brought in bad faith) (unpublished).</w:t>
      </w:r>
    </w:p>
  </w:footnote>
  <w:footnote w:id="209">
    <w:p w14:paraId="67C5FFBD" w14:textId="49909054" w:rsidR="00197C1B" w:rsidRDefault="00197C1B" w:rsidP="00197C1B">
      <w:pPr>
        <w:pStyle w:val="FootnoteText"/>
      </w:pPr>
      <w:r w:rsidRPr="00197C1B">
        <w:rPr>
          <w:rStyle w:val="FootnoteReference"/>
          <w:rFonts w:eastAsiaTheme="majorEastAsia"/>
        </w:rPr>
        <w:footnoteRef/>
      </w:r>
      <w:r w:rsidRPr="00197C1B">
        <w:t>2024 WL 1988831 (C.D.</w:t>
      </w:r>
      <w:r w:rsidRPr="00197C1B">
        <w:t xml:space="preserve"> </w:t>
      </w:r>
      <w:r w:rsidRPr="00197C1B">
        <w:t>Cal.</w:t>
      </w:r>
      <w:r w:rsidRPr="00197C1B">
        <w:t xml:space="preserve"> </w:t>
      </w:r>
      <w:r w:rsidRPr="00197C1B">
        <w:t>Apr.</w:t>
      </w:r>
      <w:r w:rsidRPr="00197C1B">
        <w:t xml:space="preserve"> </w:t>
      </w:r>
      <w:r w:rsidRPr="00197C1B">
        <w:t>30, 2024).</w:t>
      </w:r>
    </w:p>
  </w:footnote>
  <w:footnote w:id="210">
    <w:p w14:paraId="3F1036FE" w14:textId="37D1B432" w:rsidR="00197C1B" w:rsidRPr="005D3300" w:rsidRDefault="00197C1B" w:rsidP="00197C1B">
      <w:pPr>
        <w:pStyle w:val="FootnoteText"/>
        <w:rPr>
          <w:lang w:val="da-DK"/>
        </w:rPr>
      </w:pPr>
      <w:r w:rsidRPr="00197C1B">
        <w:rPr>
          <w:rStyle w:val="FootnoteReference"/>
          <w:rFonts w:eastAsiaTheme="majorEastAsia"/>
        </w:rPr>
        <w:footnoteRef/>
      </w:r>
      <w:r w:rsidRPr="00197C1B">
        <w:rPr>
          <w:i/>
        </w:rPr>
        <w:t>Id</w:t>
      </w:r>
      <w:r w:rsidRPr="00197C1B">
        <w:t>.</w:t>
      </w:r>
      <w:r w:rsidRPr="00197C1B">
        <w:t xml:space="preserve"> </w:t>
      </w:r>
      <w:r w:rsidRPr="00197C1B">
        <w:t>at *2.</w:t>
      </w:r>
    </w:p>
  </w:footnote>
  <w:footnote w:id="211">
    <w:p w14:paraId="6268578B" w14:textId="02FAB2A4" w:rsidR="00197C1B" w:rsidRPr="005D3300" w:rsidRDefault="00197C1B" w:rsidP="00197C1B">
      <w:pPr>
        <w:pStyle w:val="FootnoteText"/>
        <w:rPr>
          <w:lang w:val="da-DK"/>
        </w:rPr>
      </w:pPr>
      <w:r w:rsidRPr="00197C1B">
        <w:rPr>
          <w:rStyle w:val="FootnoteReference"/>
          <w:rFonts w:eastAsiaTheme="majorEastAsia"/>
        </w:rPr>
        <w:footnoteRef/>
      </w:r>
      <w:r w:rsidRPr="00197C1B">
        <w:rPr>
          <w:i/>
        </w:rPr>
        <w:t>Id</w:t>
      </w:r>
      <w:r w:rsidRPr="00197C1B">
        <w:t>.</w:t>
      </w:r>
    </w:p>
  </w:footnote>
  <w:footnote w:id="212">
    <w:p w14:paraId="53635289" w14:textId="66A3F433" w:rsidR="00197C1B" w:rsidRPr="005D3300" w:rsidRDefault="00197C1B" w:rsidP="00197C1B">
      <w:pPr>
        <w:pStyle w:val="FootnoteText"/>
        <w:rPr>
          <w:lang w:val="da-DK"/>
        </w:rPr>
      </w:pPr>
      <w:r w:rsidRPr="00197C1B">
        <w:rPr>
          <w:rStyle w:val="FootnoteReference"/>
          <w:rFonts w:eastAsiaTheme="majorEastAsia"/>
        </w:rPr>
        <w:footnoteRef/>
      </w:r>
      <w:r w:rsidRPr="00197C1B">
        <w:rPr>
          <w:i/>
        </w:rPr>
        <w:t>Id</w:t>
      </w:r>
      <w:r w:rsidRPr="00197C1B">
        <w:t>.</w:t>
      </w:r>
    </w:p>
  </w:footnote>
  <w:footnote w:id="213">
    <w:p w14:paraId="7F0FF616" w14:textId="2C839D47" w:rsidR="00197C1B" w:rsidRPr="00197C1B" w:rsidRDefault="00197C1B" w:rsidP="00197C1B">
      <w:pPr>
        <w:pStyle w:val="FootnoteText"/>
      </w:pPr>
      <w:r w:rsidRPr="00197C1B">
        <w:rPr>
          <w:rStyle w:val="FootnoteReference"/>
          <w:rFonts w:eastAsiaTheme="majorEastAsia"/>
        </w:rPr>
        <w:footnoteRef/>
      </w:r>
      <w:r w:rsidRPr="00197C1B">
        <w:rPr>
          <w:i/>
        </w:rPr>
        <w:t>Id</w:t>
      </w:r>
      <w:r w:rsidRPr="00197C1B">
        <w:t>.</w:t>
      </w:r>
      <w:r w:rsidRPr="00197C1B">
        <w:t xml:space="preserve"> </w:t>
      </w:r>
      <w:r w:rsidRPr="00197C1B">
        <w:t>at *3.</w:t>
      </w:r>
      <w:r w:rsidRPr="00197C1B">
        <w:t xml:space="preserve"> </w:t>
      </w:r>
      <w:r w:rsidRPr="00197C1B">
        <w:t>The court’s award reflected a 25% reduction due to claims for certain tasks that the court believed could have been handled more efficiently and cheaply by lower level attorneys or non-legal staff.</w:t>
      </w:r>
      <w:r w:rsidRPr="00197C1B">
        <w:t xml:space="preserve"> </w:t>
      </w:r>
      <w:r w:rsidRPr="00197C1B">
        <w:rPr>
          <w:i/>
        </w:rPr>
        <w:t>Id</w:t>
      </w:r>
      <w:r w:rsidRPr="00197C1B">
        <w:t>.</w:t>
      </w:r>
    </w:p>
    <w:p w14:paraId="2260A540" w14:textId="77777777" w:rsidR="00197C1B" w:rsidRPr="00B81889" w:rsidRDefault="00197C1B">
      <w:pPr>
        <w:pStyle w:val="FootnoteText"/>
      </w:pPr>
    </w:p>
  </w:footnote>
  <w:footnote w:id="214">
    <w:p w14:paraId="3C709C9C" w14:textId="503581B0" w:rsidR="00197C1B" w:rsidRPr="00197C1B" w:rsidRDefault="00197C1B" w:rsidP="00197C1B">
      <w:pPr>
        <w:pStyle w:val="FootnoteText"/>
      </w:pPr>
      <w:r w:rsidRPr="00197C1B">
        <w:rPr>
          <w:vertAlign w:val="superscript"/>
        </w:rPr>
        <w:footnoteRef/>
      </w:r>
      <w:r w:rsidRPr="00197C1B">
        <w:t>Nutravita Labs., Inc.</w:t>
      </w:r>
      <w:r w:rsidRPr="00197C1B">
        <w:t xml:space="preserve"> </w:t>
      </w:r>
      <w:r w:rsidRPr="00197C1B">
        <w:t>v.</w:t>
      </w:r>
      <w:r w:rsidRPr="00197C1B">
        <w:t xml:space="preserve"> </w:t>
      </w:r>
      <w:r w:rsidRPr="00197C1B">
        <w:t>VBS Distribution, Inc., 160 F.</w:t>
      </w:r>
      <w:r w:rsidRPr="00197C1B">
        <w:t xml:space="preserve"> </w:t>
      </w:r>
      <w:r w:rsidRPr="00197C1B">
        <w:t>Supp.</w:t>
      </w:r>
      <w:r w:rsidRPr="00197C1B">
        <w:t xml:space="preserve"> </w:t>
      </w:r>
      <w:r w:rsidRPr="00197C1B">
        <w:t>3d 1184, 1189–90 (C.D.</w:t>
      </w:r>
      <w:r w:rsidRPr="00197C1B">
        <w:t xml:space="preserve"> </w:t>
      </w:r>
      <w:r w:rsidRPr="00197C1B">
        <w:t>Cal.</w:t>
      </w:r>
      <w:r w:rsidRPr="00197C1B">
        <w:t xml:space="preserve"> </w:t>
      </w:r>
      <w:r w:rsidRPr="00197C1B">
        <w:t xml:space="preserve">2016), </w:t>
      </w:r>
      <w:r w:rsidRPr="00197C1B">
        <w:rPr>
          <w:i/>
        </w:rPr>
        <w:t>aff’d</w:t>
      </w:r>
      <w:r w:rsidRPr="00197C1B">
        <w:t>, 697 F.</w:t>
      </w:r>
      <w:r w:rsidRPr="00197C1B">
        <w:t xml:space="preserve"> </w:t>
      </w:r>
      <w:r w:rsidRPr="00197C1B">
        <w:t>App’x 559 (9th Cir.</w:t>
      </w:r>
      <w:r w:rsidRPr="00197C1B">
        <w:t xml:space="preserve"> </w:t>
      </w:r>
      <w:r w:rsidRPr="00197C1B">
        <w:t>2017).</w:t>
      </w:r>
    </w:p>
    <w:p w14:paraId="4734D607" w14:textId="77777777" w:rsidR="00197C1B" w:rsidRDefault="00197C1B" w:rsidP="00124999">
      <w:pPr>
        <w:pStyle w:val="footnote"/>
      </w:pPr>
    </w:p>
  </w:footnote>
  <w:footnote w:id="215">
    <w:p w14:paraId="3F70E812" w14:textId="2FBD0F0F" w:rsidR="00197C1B" w:rsidRPr="00197C1B" w:rsidRDefault="00197C1B" w:rsidP="00197C1B">
      <w:pPr>
        <w:pStyle w:val="FootnoteText"/>
      </w:pPr>
      <w:r w:rsidRPr="00197C1B">
        <w:rPr>
          <w:vertAlign w:val="superscript"/>
        </w:rPr>
        <w:footnoteRef/>
      </w:r>
      <w:r w:rsidRPr="00197C1B">
        <w:rPr>
          <w:i/>
        </w:rPr>
        <w:t>E.g.</w:t>
      </w:r>
      <w:r w:rsidRPr="00197C1B">
        <w:t>, S &amp; H Indus., Inc.</w:t>
      </w:r>
      <w:r w:rsidRPr="00197C1B">
        <w:t xml:space="preserve"> </w:t>
      </w:r>
      <w:r w:rsidRPr="00197C1B">
        <w:t>v.</w:t>
      </w:r>
      <w:r w:rsidRPr="00197C1B">
        <w:t xml:space="preserve"> </w:t>
      </w:r>
      <w:r w:rsidRPr="00197C1B">
        <w:t>Selander, 2013 U.S.</w:t>
      </w:r>
      <w:r w:rsidRPr="00197C1B">
        <w:t xml:space="preserve"> </w:t>
      </w:r>
      <w:r w:rsidRPr="00197C1B">
        <w:t>Dist.</w:t>
      </w:r>
      <w:r w:rsidRPr="00197C1B">
        <w:t xml:space="preserve"> </w:t>
      </w:r>
      <w:r w:rsidRPr="00197C1B">
        <w:t>LEXIS 172455, at *3–4 (N.D.</w:t>
      </w:r>
      <w:r w:rsidRPr="00197C1B">
        <w:t xml:space="preserve"> </w:t>
      </w:r>
      <w:r w:rsidRPr="00197C1B">
        <w:t>Tex.</w:t>
      </w:r>
      <w:r w:rsidRPr="00197C1B">
        <w:t xml:space="preserve"> </w:t>
      </w:r>
      <w:r w:rsidRPr="00197C1B">
        <w:t>Nov.</w:t>
      </w:r>
      <w:r w:rsidRPr="00197C1B">
        <w:t xml:space="preserve"> </w:t>
      </w:r>
      <w:r w:rsidRPr="00197C1B">
        <w:t>13, 2013).</w:t>
      </w:r>
    </w:p>
    <w:p w14:paraId="6983C949" w14:textId="77777777" w:rsidR="00197C1B" w:rsidRDefault="00197C1B" w:rsidP="00124999">
      <w:pPr>
        <w:pStyle w:val="footnote"/>
      </w:pPr>
    </w:p>
  </w:footnote>
  <w:footnote w:id="216">
    <w:p w14:paraId="0B5B671E" w14:textId="02F78F4A" w:rsidR="00197C1B" w:rsidRPr="00197C1B" w:rsidRDefault="00197C1B" w:rsidP="00197C1B">
      <w:pPr>
        <w:pStyle w:val="FootnoteText"/>
      </w:pPr>
      <w:r w:rsidRPr="00197C1B">
        <w:rPr>
          <w:vertAlign w:val="superscript"/>
        </w:rPr>
        <w:footnoteRef/>
      </w:r>
      <w:r w:rsidRPr="00197C1B">
        <w:rPr>
          <w:i/>
        </w:rPr>
        <w:t>Id</w:t>
      </w:r>
      <w:r w:rsidRPr="00197C1B">
        <w:t>.</w:t>
      </w:r>
      <w:r w:rsidRPr="00197C1B">
        <w:t xml:space="preserve"> </w:t>
      </w:r>
      <w:r w:rsidRPr="00197C1B">
        <w:t>at *4–10.</w:t>
      </w:r>
    </w:p>
    <w:p w14:paraId="4C8F9641" w14:textId="77777777" w:rsidR="00197C1B" w:rsidRDefault="00197C1B" w:rsidP="00124999">
      <w:pPr>
        <w:pStyle w:val="footnote"/>
      </w:pPr>
    </w:p>
  </w:footnote>
  <w:footnote w:id="217">
    <w:p w14:paraId="6BE417F2" w14:textId="6E40BF61" w:rsidR="00197C1B" w:rsidRPr="00DB396B" w:rsidRDefault="00197C1B" w:rsidP="00197C1B">
      <w:pPr>
        <w:pStyle w:val="FootnoteText"/>
      </w:pPr>
      <w:r w:rsidRPr="00197C1B">
        <w:rPr>
          <w:rStyle w:val="FootnoteReference"/>
          <w:rFonts w:eastAsiaTheme="majorEastAsia"/>
        </w:rPr>
        <w:footnoteRef/>
      </w:r>
      <w:r w:rsidRPr="00197C1B">
        <w:rPr>
          <w:i/>
        </w:rPr>
        <w:t>E.g.</w:t>
      </w:r>
      <w:r w:rsidRPr="00197C1B">
        <w:t>, Ketab Corp.</w:t>
      </w:r>
      <w:r w:rsidRPr="00197C1B">
        <w:t xml:space="preserve"> </w:t>
      </w:r>
      <w:r w:rsidRPr="00197C1B">
        <w:t>v.</w:t>
      </w:r>
      <w:r w:rsidRPr="00197C1B">
        <w:t xml:space="preserve"> </w:t>
      </w:r>
      <w:r w:rsidRPr="00197C1B">
        <w:t>Mesriani &amp; Assocs., 2018 WL 4770723, at *3, 2018 BL 360816 (C.D.</w:t>
      </w:r>
      <w:r w:rsidRPr="00197C1B">
        <w:t xml:space="preserve"> </w:t>
      </w:r>
      <w:r w:rsidRPr="00197C1B">
        <w:t>Cal.</w:t>
      </w:r>
      <w:r w:rsidRPr="00197C1B">
        <w:t xml:space="preserve"> </w:t>
      </w:r>
      <w:r w:rsidRPr="00197C1B">
        <w:t>Sept.</w:t>
      </w:r>
      <w:r w:rsidRPr="00197C1B">
        <w:t xml:space="preserve"> </w:t>
      </w:r>
      <w:r w:rsidRPr="00197C1B">
        <w:t>27, 2018).</w:t>
      </w:r>
    </w:p>
  </w:footnote>
  <w:footnote w:id="218">
    <w:p w14:paraId="7A8586C7" w14:textId="685C3C14" w:rsidR="00197C1B" w:rsidRPr="0019374F" w:rsidRDefault="00197C1B" w:rsidP="00197C1B">
      <w:pPr>
        <w:pStyle w:val="FootnoteText"/>
      </w:pPr>
      <w:r w:rsidRPr="00197C1B">
        <w:rPr>
          <w:vertAlign w:val="superscript"/>
        </w:rPr>
        <w:footnoteRef/>
      </w:r>
      <w:r w:rsidRPr="00197C1B">
        <w:rPr>
          <w:smallCaps/>
        </w:rPr>
        <w:t>Fed.</w:t>
      </w:r>
      <w:r w:rsidRPr="00197C1B">
        <w:rPr>
          <w:smallCaps/>
        </w:rPr>
        <w:t xml:space="preserve"> </w:t>
      </w:r>
      <w:r w:rsidRPr="00197C1B">
        <w:rPr>
          <w:smallCaps/>
        </w:rPr>
        <w:t>R.</w:t>
      </w:r>
      <w:r w:rsidRPr="00197C1B">
        <w:rPr>
          <w:smallCaps/>
        </w:rPr>
        <w:t xml:space="preserve"> </w:t>
      </w:r>
      <w:r w:rsidRPr="00197C1B">
        <w:rPr>
          <w:smallCaps/>
        </w:rPr>
        <w:t>Civ.</w:t>
      </w:r>
      <w:r w:rsidRPr="00197C1B">
        <w:rPr>
          <w:smallCaps/>
        </w:rPr>
        <w:t xml:space="preserve"> </w:t>
      </w:r>
      <w:r w:rsidRPr="00197C1B">
        <w:rPr>
          <w:smallCaps/>
        </w:rPr>
        <w:t>Proc.</w:t>
      </w:r>
      <w:r w:rsidRPr="00197C1B">
        <w:rPr>
          <w:smallCaps/>
        </w:rPr>
        <w:t xml:space="preserve"> </w:t>
      </w:r>
      <w:r w:rsidRPr="00197C1B">
        <w:t>54(d)(1).</w:t>
      </w:r>
      <w:r w:rsidRPr="00197C1B">
        <w:t xml:space="preserve"> </w:t>
      </w:r>
      <w:r w:rsidRPr="00197C1B">
        <w:t>“Costs” do not include computerized research fees, such as on Westlaw or LEXIS.</w:t>
      </w:r>
      <w:r w:rsidRPr="00197C1B">
        <w:t xml:space="preserve"> </w:t>
      </w:r>
      <w:r w:rsidRPr="00197C1B">
        <w:t>Chevron U.S.A., Inc.</w:t>
      </w:r>
      <w:r w:rsidRPr="00197C1B">
        <w:t xml:space="preserve"> </w:t>
      </w:r>
      <w:r w:rsidRPr="00197C1B">
        <w:t>v.</w:t>
      </w:r>
      <w:r w:rsidRPr="00197C1B">
        <w:t xml:space="preserve"> </w:t>
      </w:r>
      <w:r w:rsidRPr="00197C1B">
        <w:t>Pelican Butte Oil, LLC, 2011 U.S.</w:t>
      </w:r>
      <w:r w:rsidRPr="00197C1B">
        <w:t xml:space="preserve"> </w:t>
      </w:r>
      <w:r w:rsidRPr="00197C1B">
        <w:t>Dist.</w:t>
      </w:r>
      <w:r w:rsidRPr="00197C1B">
        <w:t xml:space="preserve"> </w:t>
      </w:r>
      <w:r w:rsidRPr="00197C1B">
        <w:t>LEXIS 39569, at *10–11 (D.</w:t>
      </w:r>
      <w:r w:rsidRPr="00197C1B">
        <w:t xml:space="preserve"> </w:t>
      </w:r>
      <w:r w:rsidRPr="00197C1B">
        <w:t>Or.</w:t>
      </w:r>
      <w:r w:rsidRPr="00197C1B">
        <w:t xml:space="preserve"> </w:t>
      </w:r>
      <w:r w:rsidRPr="00197C1B">
        <w:t>Jan.</w:t>
      </w:r>
      <w:r w:rsidRPr="00197C1B">
        <w:t xml:space="preserve"> </w:t>
      </w:r>
      <w:r w:rsidRPr="00197C1B">
        <w:t xml:space="preserve">31, 2011) (magistrate judge), </w:t>
      </w:r>
      <w:r w:rsidRPr="00197C1B">
        <w:rPr>
          <w:i/>
        </w:rPr>
        <w:t>adopted by</w:t>
      </w:r>
      <w:r w:rsidRPr="00197C1B">
        <w:t xml:space="preserve"> 2011 U.S.</w:t>
      </w:r>
      <w:r w:rsidRPr="00197C1B">
        <w:t xml:space="preserve"> </w:t>
      </w:r>
      <w:r w:rsidRPr="00197C1B">
        <w:t>Dist.</w:t>
      </w:r>
      <w:r w:rsidRPr="00197C1B">
        <w:t xml:space="preserve"> </w:t>
      </w:r>
      <w:r w:rsidRPr="00197C1B">
        <w:t>LEXIS 39627 (D.</w:t>
      </w:r>
      <w:r w:rsidRPr="00197C1B">
        <w:t xml:space="preserve"> </w:t>
      </w:r>
      <w:r w:rsidRPr="00197C1B">
        <w:t>Or.</w:t>
      </w:r>
      <w:r w:rsidRPr="00197C1B">
        <w:t xml:space="preserve"> </w:t>
      </w:r>
      <w:r w:rsidRPr="00197C1B">
        <w:t>Apr.</w:t>
      </w:r>
      <w:r w:rsidRPr="00197C1B">
        <w:t xml:space="preserve"> </w:t>
      </w:r>
      <w:r w:rsidRPr="00197C1B">
        <w:t>11, 2011).</w:t>
      </w:r>
    </w:p>
  </w:footnote>
  <w:footnote w:id="219">
    <w:p w14:paraId="6ADF6750" w14:textId="053D20FC" w:rsidR="00197C1B" w:rsidRPr="0019374F" w:rsidRDefault="00197C1B" w:rsidP="00197C1B">
      <w:pPr>
        <w:pStyle w:val="FootnoteText"/>
      </w:pPr>
      <w:r w:rsidRPr="00197C1B">
        <w:rPr>
          <w:vertAlign w:val="superscript"/>
        </w:rPr>
        <w:footnoteRef/>
      </w:r>
      <w:r w:rsidRPr="00197C1B">
        <w:t>JA Apparel Corp.</w:t>
      </w:r>
      <w:r w:rsidRPr="00197C1B">
        <w:t xml:space="preserve"> </w:t>
      </w:r>
      <w:r w:rsidRPr="00197C1B">
        <w:t>v.</w:t>
      </w:r>
      <w:r w:rsidRPr="00197C1B">
        <w:t xml:space="preserve"> </w:t>
      </w:r>
      <w:r w:rsidRPr="00197C1B">
        <w:t>Abboud, 2010 U.S.</w:t>
      </w:r>
      <w:r w:rsidRPr="00197C1B">
        <w:t xml:space="preserve"> </w:t>
      </w:r>
      <w:r w:rsidRPr="00197C1B">
        <w:t>Dist.</w:t>
      </w:r>
      <w:r w:rsidRPr="00197C1B">
        <w:t xml:space="preserve"> </w:t>
      </w:r>
      <w:r w:rsidRPr="00197C1B">
        <w:t>LEXIS 36520, at *10–12 (S.D.N.Y.</w:t>
      </w:r>
      <w:r w:rsidRPr="00197C1B">
        <w:t xml:space="preserve"> </w:t>
      </w:r>
      <w:r w:rsidRPr="00197C1B">
        <w:t>Apr.</w:t>
      </w:r>
      <w:r w:rsidRPr="00197C1B">
        <w:t xml:space="preserve"> </w:t>
      </w:r>
      <w:r w:rsidRPr="00197C1B">
        <w:t>13, 2010).</w:t>
      </w:r>
    </w:p>
  </w:footnote>
  <w:footnote w:id="220">
    <w:p w14:paraId="2605ACBC" w14:textId="50B3BC2B" w:rsidR="00197C1B" w:rsidRPr="0019374F" w:rsidRDefault="00197C1B" w:rsidP="00197C1B">
      <w:pPr>
        <w:pStyle w:val="FootnoteText"/>
      </w:pPr>
      <w:r w:rsidRPr="00197C1B">
        <w:rPr>
          <w:vertAlign w:val="superscript"/>
        </w:rPr>
        <w:footnoteRef/>
      </w:r>
      <w:r w:rsidRPr="00197C1B">
        <w:rPr>
          <w:i/>
        </w:rPr>
        <w:t>See</w:t>
      </w:r>
      <w:r w:rsidRPr="00197C1B">
        <w:t xml:space="preserve"> 28 U.S.C.</w:t>
      </w:r>
      <w:r w:rsidRPr="00197C1B">
        <w:t xml:space="preserve"> </w:t>
      </w:r>
      <w:r w:rsidRPr="00197C1B">
        <w:t>§1920;</w:t>
      </w:r>
      <w:r w:rsidRPr="00197C1B">
        <w:t xml:space="preserve"> </w:t>
      </w:r>
      <w:r w:rsidRPr="00197C1B">
        <w:t>28 U.S.C.</w:t>
      </w:r>
      <w:r w:rsidRPr="00197C1B">
        <w:t xml:space="preserve"> </w:t>
      </w:r>
      <w:r w:rsidRPr="00197C1B">
        <w:t>§1821(b), (c).</w:t>
      </w:r>
      <w:r w:rsidRPr="00197C1B">
        <w:t xml:space="preserve"> </w:t>
      </w:r>
      <w:r w:rsidRPr="00197C1B">
        <w:rPr>
          <w:i/>
        </w:rPr>
        <w:t xml:space="preserve">See </w:t>
      </w:r>
      <w:r w:rsidRPr="00197C1B">
        <w:t>Alfware, Inc.</w:t>
      </w:r>
      <w:r w:rsidRPr="00197C1B">
        <w:t xml:space="preserve"> </w:t>
      </w:r>
      <w:r w:rsidRPr="00197C1B">
        <w:t>v.</w:t>
      </w:r>
      <w:r w:rsidRPr="00197C1B">
        <w:t xml:space="preserve"> </w:t>
      </w:r>
      <w:r w:rsidRPr="00197C1B">
        <w:t>Mast-Jägermeister US, Inc., 2021 WL 4247946, at *3–4 (D.</w:t>
      </w:r>
      <w:r w:rsidRPr="00197C1B">
        <w:t xml:space="preserve"> </w:t>
      </w:r>
      <w:r w:rsidRPr="00197C1B">
        <w:t>Utah Sept.</w:t>
      </w:r>
      <w:r w:rsidRPr="00197C1B">
        <w:t xml:space="preserve"> </w:t>
      </w:r>
      <w:r w:rsidRPr="00197C1B">
        <w:t>17, 2021) (citing Rimini St., Inc.</w:t>
      </w:r>
      <w:r w:rsidRPr="00197C1B">
        <w:t xml:space="preserve"> </w:t>
      </w:r>
      <w:r w:rsidRPr="00197C1B">
        <w:t>v.</w:t>
      </w:r>
      <w:r w:rsidRPr="00197C1B">
        <w:t xml:space="preserve"> </w:t>
      </w:r>
      <w:r w:rsidRPr="00197C1B">
        <w:t>Oracle USA, Inc., 139 S.</w:t>
      </w:r>
      <w:r w:rsidRPr="00197C1B">
        <w:t xml:space="preserve"> </w:t>
      </w:r>
      <w:r w:rsidRPr="00197C1B">
        <w:t>Ct.</w:t>
      </w:r>
      <w:r w:rsidRPr="00197C1B">
        <w:t xml:space="preserve"> </w:t>
      </w:r>
      <w:r w:rsidRPr="00197C1B">
        <w:t>873, 879 (2019)).</w:t>
      </w:r>
    </w:p>
  </w:footnote>
  <w:footnote w:id="221">
    <w:p w14:paraId="130CC7AA" w14:textId="22300FE7" w:rsidR="00197C1B" w:rsidRPr="0019374F" w:rsidRDefault="00197C1B" w:rsidP="00197C1B">
      <w:pPr>
        <w:pStyle w:val="FootnoteText"/>
      </w:pPr>
      <w:r w:rsidRPr="00197C1B">
        <w:rPr>
          <w:vertAlign w:val="superscript"/>
        </w:rPr>
        <w:footnoteRef/>
      </w:r>
      <w:r w:rsidRPr="00197C1B">
        <w:rPr>
          <w:i/>
        </w:rPr>
        <w:t>SNA</w:t>
      </w:r>
      <w:r w:rsidRPr="00197C1B">
        <w:t>, 173 F.</w:t>
      </w:r>
      <w:r w:rsidRPr="00197C1B">
        <w:t xml:space="preserve"> </w:t>
      </w:r>
      <w:r w:rsidRPr="00197C1B">
        <w:t>Supp.</w:t>
      </w:r>
      <w:r w:rsidRPr="00197C1B">
        <w:t xml:space="preserve"> </w:t>
      </w:r>
      <w:r w:rsidRPr="00197C1B">
        <w:t>2d at 352 (quoting West Va.</w:t>
      </w:r>
      <w:r w:rsidRPr="00197C1B">
        <w:t xml:space="preserve"> </w:t>
      </w:r>
      <w:r w:rsidRPr="00197C1B">
        <w:t>Hosp.</w:t>
      </w:r>
      <w:r w:rsidRPr="00197C1B">
        <w:t xml:space="preserve"> </w:t>
      </w:r>
      <w:r w:rsidRPr="00197C1B">
        <w:t>v.</w:t>
      </w:r>
      <w:r w:rsidRPr="00197C1B">
        <w:t xml:space="preserve"> </w:t>
      </w:r>
      <w:r w:rsidRPr="00197C1B">
        <w:t>Casey, 885 F.2d 11, 33 (3d Cir.</w:t>
      </w:r>
      <w:r w:rsidRPr="00197C1B">
        <w:t xml:space="preserve"> </w:t>
      </w:r>
      <w:r w:rsidRPr="00197C1B">
        <w:t xml:space="preserve">1989), </w:t>
      </w:r>
      <w:r w:rsidRPr="00197C1B">
        <w:rPr>
          <w:i/>
        </w:rPr>
        <w:t>aff’d</w:t>
      </w:r>
      <w:r w:rsidRPr="00197C1B">
        <w:t>, 499 U.S.</w:t>
      </w:r>
      <w:r w:rsidRPr="00197C1B">
        <w:t xml:space="preserve"> </w:t>
      </w:r>
      <w:r w:rsidRPr="00197C1B">
        <w:t>83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1626" w14:textId="77777777" w:rsidR="00197C1B" w:rsidRPr="00197C1B" w:rsidRDefault="00197C1B" w:rsidP="00197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B727" w14:textId="77777777" w:rsidR="00197C1B" w:rsidRPr="00197C1B" w:rsidRDefault="00197C1B" w:rsidP="00197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226" w14:textId="77777777" w:rsidR="00197C1B" w:rsidRPr="00197C1B" w:rsidRDefault="00197C1B" w:rsidP="00197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9E"/>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22DB"/>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97C1B"/>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603E"/>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5652"/>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B89"/>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19E"/>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18"/>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9B1"/>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1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905652"/>
    <w:pPr>
      <w:widowControl w:val="0"/>
      <w:spacing w:before="0" w:after="0"/>
      <w:ind w:firstLine="360"/>
    </w:pPr>
    <w:rPr>
      <w:kern w:val="0"/>
      <w:lang w:bidi="ar-SA"/>
    </w:rPr>
  </w:style>
  <w:style w:type="paragraph" w:customStyle="1" w:styleId="footnote">
    <w:name w:val="footnote"/>
    <w:basedOn w:val="text"/>
    <w:autoRedefine/>
    <w:uiPriority w:val="99"/>
    <w:qFormat/>
    <w:rsid w:val="00905652"/>
    <w:pPr>
      <w:tabs>
        <w:tab w:val="left" w:pos="-720"/>
        <w:tab w:val="left" w:pos="0"/>
        <w:tab w:val="left" w:pos="720"/>
        <w:tab w:val="left" w:pos="1440"/>
        <w:tab w:val="left" w:pos="2160"/>
        <w:tab w:val="left" w:pos="2880"/>
        <w:tab w:val="left" w:pos="3600"/>
        <w:tab w:val="left" w:pos="4320"/>
        <w:tab w:val="left" w:pos="5040"/>
        <w:tab w:val="left" w:pos="5760"/>
      </w:tabs>
    </w:pPr>
    <w:rPr>
      <w:sz w:val="20"/>
    </w:rPr>
  </w:style>
  <w:style w:type="paragraph" w:customStyle="1" w:styleId="blockquote">
    <w:name w:val="block quote"/>
    <w:basedOn w:val="Normal"/>
    <w:autoRedefine/>
    <w:qFormat/>
    <w:rsid w:val="00905652"/>
    <w:pPr>
      <w:spacing w:before="120"/>
      <w:ind w:left="720"/>
    </w:pPr>
    <w:rPr>
      <w:kern w:val="0"/>
      <w:sz w:val="20"/>
      <w:lang w:bidi="ar-SA"/>
    </w:rPr>
  </w:style>
  <w:style w:type="paragraph" w:customStyle="1" w:styleId="textflush">
    <w:name w:val="text flush"/>
    <w:basedOn w:val="text"/>
    <w:autoRedefine/>
    <w:uiPriority w:val="99"/>
    <w:qFormat/>
    <w:rsid w:val="00905652"/>
    <w:pPr>
      <w:ind w:firstLine="0"/>
    </w:pPr>
  </w:style>
  <w:style w:type="paragraph" w:customStyle="1" w:styleId="Blockquoteflush">
    <w:name w:val="Block quote flush"/>
    <w:basedOn w:val="Normal"/>
    <w:autoRedefine/>
    <w:uiPriority w:val="99"/>
    <w:qFormat/>
    <w:rsid w:val="00905652"/>
    <w:pPr>
      <w:widowControl w:val="0"/>
      <w:spacing w:after="240"/>
      <w:ind w:left="720"/>
    </w:pPr>
    <w:rPr>
      <w:kern w:val="0"/>
      <w:sz w:val="20"/>
      <w:lang w:bidi="ar-SA"/>
    </w:rPr>
  </w:style>
  <w:style w:type="paragraph" w:customStyle="1" w:styleId="footnoteparaindent">
    <w:name w:val="footnote para indent"/>
    <w:basedOn w:val="Normal"/>
    <w:autoRedefine/>
    <w:uiPriority w:val="99"/>
    <w:rsid w:val="00905652"/>
    <w:pPr>
      <w:spacing w:before="0" w:after="0"/>
      <w:ind w:firstLine="360"/>
    </w:pPr>
    <w:rPr>
      <w:rFonts w:cstheme="minorBidi"/>
      <w:kern w:val="0"/>
      <w:sz w:val="20"/>
      <w:szCs w:val="16"/>
      <w:lang w:bidi="ar-SA"/>
    </w:rPr>
  </w:style>
  <w:style w:type="paragraph" w:customStyle="1" w:styleId="block-p-">
    <w:name w:val="block-p/-/+"/>
    <w:basedOn w:val="Normal"/>
    <w:autoRedefine/>
    <w:uiPriority w:val="99"/>
    <w:qFormat/>
    <w:rsid w:val="00905652"/>
    <w:pPr>
      <w:widowControl w:val="0"/>
      <w:spacing w:before="0" w:after="240"/>
      <w:ind w:left="720" w:firstLine="360"/>
    </w:pPr>
    <w:rPr>
      <w:kern w:val="0"/>
      <w:sz w:val="20"/>
      <w:lang w:bidi="ar-SA"/>
    </w:rPr>
  </w:style>
  <w:style w:type="paragraph" w:customStyle="1" w:styleId="toc10">
    <w:name w:val="toc1"/>
    <w:basedOn w:val="text"/>
    <w:autoRedefine/>
    <w:uiPriority w:val="99"/>
    <w:rsid w:val="00905652"/>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905652"/>
    <w:pPr>
      <w:tabs>
        <w:tab w:val="clear" w:pos="480"/>
        <w:tab w:val="clear" w:pos="600"/>
        <w:tab w:val="left" w:pos="960"/>
      </w:tabs>
      <w:ind w:left="960" w:hanging="360"/>
    </w:pPr>
  </w:style>
  <w:style w:type="paragraph" w:customStyle="1" w:styleId="toc30">
    <w:name w:val="toc3"/>
    <w:basedOn w:val="toc20"/>
    <w:autoRedefine/>
    <w:uiPriority w:val="99"/>
    <w:rsid w:val="00905652"/>
    <w:pPr>
      <w:tabs>
        <w:tab w:val="clear" w:pos="960"/>
        <w:tab w:val="left" w:pos="1380"/>
        <w:tab w:val="left" w:pos="8900"/>
      </w:tabs>
      <w:ind w:left="1380" w:hanging="420"/>
    </w:pPr>
  </w:style>
  <w:style w:type="paragraph" w:customStyle="1" w:styleId="2ndLevel1">
    <w:name w:val="2nd Level /1"/>
    <w:basedOn w:val="2ndLevelHeadA"/>
    <w:autoRedefine/>
    <w:uiPriority w:val="99"/>
    <w:rsid w:val="00905652"/>
    <w:pPr>
      <w:spacing w:before="0"/>
    </w:pPr>
    <w:rPr>
      <w:iCs w:val="0"/>
    </w:rPr>
  </w:style>
  <w:style w:type="paragraph" w:customStyle="1" w:styleId="1stLevelHeadII">
    <w:name w:val="1st Level Head II."/>
    <w:basedOn w:val="Normal"/>
    <w:autoRedefine/>
    <w:uiPriority w:val="99"/>
    <w:rsid w:val="00905652"/>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905652"/>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footnoteindent">
    <w:name w:val="footnote indent"/>
    <w:basedOn w:val="footnote"/>
    <w:autoRedefine/>
    <w:uiPriority w:val="99"/>
    <w:rsid w:val="00905652"/>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905652"/>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blockquoteparaindent">
    <w:name w:val="block quote para indent"/>
    <w:basedOn w:val="blockquote"/>
    <w:autoRedefine/>
    <w:uiPriority w:val="99"/>
    <w:qFormat/>
    <w:rsid w:val="00905652"/>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chapternumber">
    <w:name w:val="chapter number"/>
    <w:basedOn w:val="Normal"/>
    <w:uiPriority w:val="99"/>
    <w:rsid w:val="00905652"/>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905652"/>
    <w:pPr>
      <w:widowControl w:val="0"/>
      <w:suppressAutoHyphens/>
      <w:autoSpaceDE w:val="0"/>
      <w:autoSpaceDN w:val="0"/>
      <w:adjustRightInd w:val="0"/>
      <w:spacing w:before="0" w:after="48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block-f">
    <w:name w:val="block-f +/+"/>
    <w:basedOn w:val="Normal"/>
    <w:autoRedefine/>
    <w:uiPriority w:val="99"/>
    <w:qFormat/>
    <w:rsid w:val="00905652"/>
    <w:pPr>
      <w:spacing w:after="240"/>
      <w:ind w:left="720"/>
    </w:pPr>
    <w:rPr>
      <w:rFonts w:eastAsiaTheme="minorEastAsia" w:cstheme="minorBidi"/>
      <w:kern w:val="0"/>
      <w:sz w:val="20"/>
      <w:szCs w:val="22"/>
      <w:lang w:bidi="ar-SA"/>
    </w:rPr>
  </w:style>
  <w:style w:type="paragraph" w:customStyle="1" w:styleId="2ndlevelheadAbi">
    <w:name w:val="2nd level head A._bi"/>
    <w:basedOn w:val="Normal"/>
    <w:uiPriority w:val="99"/>
    <w:qFormat/>
    <w:rsid w:val="00905652"/>
    <w:pPr>
      <w:tabs>
        <w:tab w:val="left" w:pos="360"/>
      </w:tabs>
      <w:spacing w:after="240"/>
      <w:ind w:left="360" w:hanging="360"/>
    </w:pPr>
    <w:rPr>
      <w:rFonts w:ascii="Times New Roman Bold" w:eastAsiaTheme="minorEastAsia" w:hAnsi="Times New Roman Bold" w:cstheme="minorBidi"/>
      <w:b/>
      <w:i/>
      <w:kern w:val="0"/>
      <w:szCs w:val="22"/>
      <w:lang w:bidi="ar-SA"/>
    </w:rPr>
  </w:style>
  <w:style w:type="paragraph" w:customStyle="1" w:styleId="2ndlevelheadnospacebi">
    <w:name w:val="2nd level head no space_bi"/>
    <w:basedOn w:val="Normal"/>
    <w:uiPriority w:val="99"/>
    <w:qFormat/>
    <w:rsid w:val="00905652"/>
    <w:pPr>
      <w:tabs>
        <w:tab w:val="left" w:pos="360"/>
      </w:tabs>
      <w:spacing w:after="240"/>
      <w:ind w:left="360" w:hanging="360"/>
    </w:pPr>
    <w:rPr>
      <w:rFonts w:ascii="Times New Roman Bold" w:eastAsiaTheme="minorEastAsia" w:hAnsi="Times New Roman Bold" w:cstheme="minorBidi"/>
      <w:b/>
      <w:i/>
      <w:kern w:val="0"/>
      <w:szCs w:val="22"/>
      <w:lang w:bidi="ar-SA"/>
    </w:rPr>
  </w:style>
  <w:style w:type="paragraph" w:customStyle="1" w:styleId="ChapterNum">
    <w:name w:val="ChapterNum"/>
    <w:basedOn w:val="Normal"/>
    <w:link w:val="ChapterNumChar"/>
    <w:rsid w:val="00905652"/>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905652"/>
    <w:rPr>
      <w:rFonts w:eastAsia="Times New Roman"/>
      <w:kern w:val="0"/>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oomberglaw.com/product/blaw/document/X1Q6MB72RGO2" TargetMode="External"/><Relationship Id="rId1" Type="http://schemas.openxmlformats.org/officeDocument/2006/relationships/hyperlink" Target="https://www.govinfo.gov/link/plaw/116/public/2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0370D8-F157-4A51-8765-71F7E4693B6F}"/>
      </w:docPartPr>
      <w:docPartBody>
        <w:p w:rsidR="0067497F" w:rsidRDefault="0067497F">
          <w:r w:rsidRPr="007E4A7E">
            <w:rPr>
              <w:rStyle w:val="PlaceholderText"/>
            </w:rPr>
            <w:t>Click or tap here to enter text.</w:t>
          </w:r>
        </w:p>
      </w:docPartBody>
    </w:docPart>
    <w:docPart>
      <w:docPartPr>
        <w:name w:val="362996EF4AC94C17B2AD0B13B8DEF749"/>
        <w:category>
          <w:name w:val="General"/>
          <w:gallery w:val="placeholder"/>
        </w:category>
        <w:types>
          <w:type w:val="bbPlcHdr"/>
        </w:types>
        <w:behaviors>
          <w:behavior w:val="content"/>
        </w:behaviors>
        <w:guid w:val="{0B199823-F880-4396-A0E7-769DB83FB764}"/>
      </w:docPartPr>
      <w:docPartBody>
        <w:p w:rsidR="0067497F" w:rsidRDefault="0067497F">
          <w:r w:rsidRPr="007E4A7E">
            <w:rPr>
              <w:rStyle w:val="PlaceholderText"/>
            </w:rPr>
            <w:t>Unit.Start</w:t>
          </w:r>
        </w:p>
      </w:docPartBody>
    </w:docPart>
    <w:docPart>
      <w:docPartPr>
        <w:name w:val="0F06A0993F8449A4B850C9B1921DDBD2"/>
        <w:category>
          <w:name w:val="General"/>
          <w:gallery w:val="placeholder"/>
        </w:category>
        <w:types>
          <w:type w:val="bbPlcHdr"/>
        </w:types>
        <w:behaviors>
          <w:behavior w:val="content"/>
        </w:behaviors>
        <w:guid w:val="{9B53477D-8791-4298-80BE-2F2985C893D2}"/>
      </w:docPartPr>
      <w:docPartBody>
        <w:p w:rsidR="0067497F" w:rsidRDefault="0067497F">
          <w:r w:rsidRPr="007E4A7E">
            <w:rPr>
              <w:rStyle w:val="PlaceholderText"/>
            </w:rPr>
            <w:t>Document</w:t>
          </w:r>
        </w:p>
      </w:docPartBody>
    </w:docPart>
    <w:docPart>
      <w:docPartPr>
        <w:name w:val="0ECD60E98AC2432C8966F4A9616BA5CB"/>
        <w:category>
          <w:name w:val="General"/>
          <w:gallery w:val="placeholder"/>
        </w:category>
        <w:types>
          <w:type w:val="bbPlcHdr"/>
        </w:types>
        <w:behaviors>
          <w:behavior w:val="content"/>
        </w:behaviors>
        <w:guid w:val="{43A7C5BE-C5E0-4173-9975-1090D2F49FF8}"/>
      </w:docPartPr>
      <w:docPartBody>
        <w:p w:rsidR="0067497F" w:rsidRDefault="0067497F">
          <w:r w:rsidRPr="007E4A7E">
            <w:rPr>
              <w:rStyle w:val="PlaceholderText"/>
            </w:rPr>
            <w:t>enter text</w:t>
          </w:r>
        </w:p>
      </w:docPartBody>
    </w:docPart>
    <w:docPart>
      <w:docPartPr>
        <w:name w:val="F37BF2DA68134BFEB7A29D5CE5ED81B7"/>
        <w:category>
          <w:name w:val="General"/>
          <w:gallery w:val="placeholder"/>
        </w:category>
        <w:types>
          <w:type w:val="bbPlcHdr"/>
        </w:types>
        <w:behaviors>
          <w:behavior w:val="content"/>
        </w:behaviors>
        <w:guid w:val="{82525A6E-D400-4607-A57A-9DD1881EA242}"/>
      </w:docPartPr>
      <w:docPartBody>
        <w:p w:rsidR="0067497F" w:rsidRDefault="0067497F">
          <w:r w:rsidRPr="007E4A7E">
            <w:rPr>
              <w:rStyle w:val="PlaceholderText"/>
            </w:rPr>
            <w:t>enter text</w:t>
          </w:r>
        </w:p>
      </w:docPartBody>
    </w:docPart>
    <w:docPart>
      <w:docPartPr>
        <w:name w:val="DCBB88FA437546698A36EBA6225E6C5F"/>
        <w:category>
          <w:name w:val="General"/>
          <w:gallery w:val="placeholder"/>
        </w:category>
        <w:types>
          <w:type w:val="bbPlcHdr"/>
        </w:types>
        <w:behaviors>
          <w:behavior w:val="content"/>
        </w:behaviors>
        <w:guid w:val="{C1A9D38A-E2FA-4D0A-B976-7533B4724B4A}"/>
      </w:docPartPr>
      <w:docPartBody>
        <w:p w:rsidR="0067497F" w:rsidRDefault="0067497F">
          <w:r w:rsidRPr="007E4A7E">
            <w:rPr>
              <w:rStyle w:val="PlaceholderText"/>
            </w:rPr>
            <w:t>enter REQUIRED text</w:t>
          </w:r>
        </w:p>
      </w:docPartBody>
    </w:docPart>
    <w:docPart>
      <w:docPartPr>
        <w:name w:val="FFC0B58D318340E58F85BDE553A9708E"/>
        <w:category>
          <w:name w:val="General"/>
          <w:gallery w:val="placeholder"/>
        </w:category>
        <w:types>
          <w:type w:val="bbPlcHdr"/>
        </w:types>
        <w:behaviors>
          <w:behavior w:val="content"/>
        </w:behaviors>
        <w:guid w:val="{AC85783B-B954-42F5-9A94-D8A2BBAC025D}"/>
      </w:docPartPr>
      <w:docPartBody>
        <w:p w:rsidR="0067497F" w:rsidRDefault="0067497F">
          <w:r w:rsidRPr="007E4A7E">
            <w:rPr>
              <w:rStyle w:val="PlaceholderText"/>
            </w:rPr>
            <w:t>enter REQUIRED text</w:t>
          </w:r>
        </w:p>
      </w:docPartBody>
    </w:docPart>
    <w:docPart>
      <w:docPartPr>
        <w:name w:val="17FAEF52130A4C6EAFBA233D91854CC6"/>
        <w:category>
          <w:name w:val="General"/>
          <w:gallery w:val="placeholder"/>
        </w:category>
        <w:types>
          <w:type w:val="bbPlcHdr"/>
        </w:types>
        <w:behaviors>
          <w:behavior w:val="content"/>
        </w:behaviors>
        <w:guid w:val="{E29C49F1-4F37-4BB8-8F16-620B77B92EBF}"/>
      </w:docPartPr>
      <w:docPartBody>
        <w:p w:rsidR="0067497F" w:rsidRDefault="0067497F">
          <w:r w:rsidRPr="007E4A7E">
            <w:rPr>
              <w:rStyle w:val="PlaceholderText"/>
            </w:rPr>
            <w:t>enter text</w:t>
          </w:r>
        </w:p>
      </w:docPartBody>
    </w:docPart>
    <w:docPart>
      <w:docPartPr>
        <w:name w:val="92DDC19AC4B941BC9880B6538C2D3CB7"/>
        <w:category>
          <w:name w:val="General"/>
          <w:gallery w:val="placeholder"/>
        </w:category>
        <w:types>
          <w:type w:val="bbPlcHdr"/>
        </w:types>
        <w:behaviors>
          <w:behavior w:val="content"/>
        </w:behaviors>
        <w:guid w:val="{D99444DF-39AE-4D27-A1F4-1BD55A803B50}"/>
      </w:docPartPr>
      <w:docPartBody>
        <w:p w:rsidR="0067497F" w:rsidRDefault="0067497F">
          <w:r w:rsidRPr="007E4A7E">
            <w:rPr>
              <w:rStyle w:val="PlaceholderText"/>
            </w:rPr>
            <w:t>enter text</w:t>
          </w:r>
        </w:p>
      </w:docPartBody>
    </w:docPart>
    <w:docPart>
      <w:docPartPr>
        <w:name w:val="1CAA4AB951B64DC58CB02E3FFAAFA6A0"/>
        <w:category>
          <w:name w:val="General"/>
          <w:gallery w:val="placeholder"/>
        </w:category>
        <w:types>
          <w:type w:val="bbPlcHdr"/>
        </w:types>
        <w:behaviors>
          <w:behavior w:val="content"/>
        </w:behaviors>
        <w:guid w:val="{0D3FA9C2-D2B8-4C2E-A6B9-B1E98FE2B782}"/>
      </w:docPartPr>
      <w:docPartBody>
        <w:p w:rsidR="0067497F" w:rsidRDefault="0067497F">
          <w:r w:rsidRPr="007E4A7E">
            <w:rPr>
              <w:rStyle w:val="PlaceholderText"/>
            </w:rPr>
            <w:t>enter text</w:t>
          </w:r>
        </w:p>
      </w:docPartBody>
    </w:docPart>
    <w:docPart>
      <w:docPartPr>
        <w:name w:val="EB8245532B804ED5A459E8BF5EFA5A79"/>
        <w:category>
          <w:name w:val="General"/>
          <w:gallery w:val="placeholder"/>
        </w:category>
        <w:types>
          <w:type w:val="bbPlcHdr"/>
        </w:types>
        <w:behaviors>
          <w:behavior w:val="content"/>
        </w:behaviors>
        <w:guid w:val="{518561F6-907B-4460-BE76-35EA27BC0F92}"/>
      </w:docPartPr>
      <w:docPartBody>
        <w:p w:rsidR="0067497F" w:rsidRDefault="0067497F">
          <w:r w:rsidRPr="007E4A7E">
            <w:rPr>
              <w:rStyle w:val="PlaceholderText"/>
            </w:rPr>
            <w:t>enter text</w:t>
          </w:r>
        </w:p>
      </w:docPartBody>
    </w:docPart>
    <w:docPart>
      <w:docPartPr>
        <w:name w:val="F16D8B8E85BD41ECAFC179B373C9C4A4"/>
        <w:category>
          <w:name w:val="General"/>
          <w:gallery w:val="placeholder"/>
        </w:category>
        <w:types>
          <w:type w:val="bbPlcHdr"/>
        </w:types>
        <w:behaviors>
          <w:behavior w:val="content"/>
        </w:behaviors>
        <w:guid w:val="{8AF6815D-1BAC-4011-BF0D-FA4BFB3BD37E}"/>
      </w:docPartPr>
      <w:docPartBody>
        <w:p w:rsidR="0067497F" w:rsidRDefault="0067497F">
          <w:r w:rsidRPr="007E4A7E">
            <w:rPr>
              <w:rStyle w:val="PlaceholderText"/>
            </w:rPr>
            <w:t>enter text</w:t>
          </w:r>
        </w:p>
      </w:docPartBody>
    </w:docPart>
    <w:docPart>
      <w:docPartPr>
        <w:name w:val="75086AC55A934080A2D3EACFB743E6D0"/>
        <w:category>
          <w:name w:val="General"/>
          <w:gallery w:val="placeholder"/>
        </w:category>
        <w:types>
          <w:type w:val="bbPlcHdr"/>
        </w:types>
        <w:behaviors>
          <w:behavior w:val="content"/>
        </w:behaviors>
        <w:guid w:val="{D848FD88-B366-4876-A253-0389CEDA5D21}"/>
      </w:docPartPr>
      <w:docPartBody>
        <w:p w:rsidR="0067497F" w:rsidRDefault="0067497F">
          <w:r w:rsidRPr="007E4A7E">
            <w:rPr>
              <w:rStyle w:val="PlaceholderText"/>
            </w:rPr>
            <w:t>enter text</w:t>
          </w:r>
        </w:p>
      </w:docPartBody>
    </w:docPart>
    <w:docPart>
      <w:docPartPr>
        <w:name w:val="F24548F6FFD2443EBC0D3AA07B468F98"/>
        <w:category>
          <w:name w:val="General"/>
          <w:gallery w:val="placeholder"/>
        </w:category>
        <w:types>
          <w:type w:val="bbPlcHdr"/>
        </w:types>
        <w:behaviors>
          <w:behavior w:val="content"/>
        </w:behaviors>
        <w:guid w:val="{DB988EC8-E792-4CF7-A5BC-7903B9718C0B}"/>
      </w:docPartPr>
      <w:docPartBody>
        <w:p w:rsidR="0067497F" w:rsidRDefault="0067497F">
          <w:r w:rsidRPr="007E4A7E">
            <w:rPr>
              <w:rStyle w:val="PlaceholderText"/>
            </w:rPr>
            <w:t>enter text</w:t>
          </w:r>
        </w:p>
      </w:docPartBody>
    </w:docPart>
    <w:docPart>
      <w:docPartPr>
        <w:name w:val="9D326FDC4B1049119B84C692069EF6E9"/>
        <w:category>
          <w:name w:val="General"/>
          <w:gallery w:val="placeholder"/>
        </w:category>
        <w:types>
          <w:type w:val="bbPlcHdr"/>
        </w:types>
        <w:behaviors>
          <w:behavior w:val="content"/>
        </w:behaviors>
        <w:guid w:val="{F9D80B8F-D8CF-43A1-8774-8E1F0D8F6528}"/>
      </w:docPartPr>
      <w:docPartBody>
        <w:p w:rsidR="0067497F" w:rsidRDefault="0067497F">
          <w:r w:rsidRPr="007E4A7E">
            <w:rPr>
              <w:rStyle w:val="PlaceholderText"/>
            </w:rPr>
            <w:t>enter text</w:t>
          </w:r>
        </w:p>
      </w:docPartBody>
    </w:docPart>
    <w:docPart>
      <w:docPartPr>
        <w:name w:val="3BF4188352D242BA94A07ED9E45B3A26"/>
        <w:category>
          <w:name w:val="General"/>
          <w:gallery w:val="placeholder"/>
        </w:category>
        <w:types>
          <w:type w:val="bbPlcHdr"/>
        </w:types>
        <w:behaviors>
          <w:behavior w:val="content"/>
        </w:behaviors>
        <w:guid w:val="{8C36F0E6-4191-4312-962A-DF79DFCEFE98}"/>
      </w:docPartPr>
      <w:docPartBody>
        <w:p w:rsidR="0067497F" w:rsidRDefault="0067497F">
          <w:r w:rsidRPr="007E4A7E">
            <w:rPr>
              <w:rStyle w:val="PlaceholderText"/>
            </w:rPr>
            <w:t>choose an item (REQUIRED)</w:t>
          </w:r>
        </w:p>
      </w:docPartBody>
    </w:docPart>
    <w:docPart>
      <w:docPartPr>
        <w:name w:val="F9A721003E444D66A81CA275D5CAD0E5"/>
        <w:category>
          <w:name w:val="General"/>
          <w:gallery w:val="placeholder"/>
        </w:category>
        <w:types>
          <w:type w:val="bbPlcHdr"/>
        </w:types>
        <w:behaviors>
          <w:behavior w:val="content"/>
        </w:behaviors>
        <w:guid w:val="{64F4B01C-13B2-45DC-A0B5-109DF5646F73}"/>
      </w:docPartPr>
      <w:docPartBody>
        <w:p w:rsidR="0067497F" w:rsidRDefault="0067497F">
          <w:r w:rsidRPr="007E4A7E">
            <w:rPr>
              <w:rStyle w:val="PlaceholderText"/>
            </w:rPr>
            <w:t>enter text</w:t>
          </w:r>
        </w:p>
      </w:docPartBody>
    </w:docPart>
    <w:docPart>
      <w:docPartPr>
        <w:name w:val="4B37DEF5969845178C4A5239590D34D4"/>
        <w:category>
          <w:name w:val="General"/>
          <w:gallery w:val="placeholder"/>
        </w:category>
        <w:types>
          <w:type w:val="bbPlcHdr"/>
        </w:types>
        <w:behaviors>
          <w:behavior w:val="content"/>
        </w:behaviors>
        <w:guid w:val="{EF3B6948-6915-4D98-9515-705DCCD2230F}"/>
      </w:docPartPr>
      <w:docPartBody>
        <w:p w:rsidR="0067497F" w:rsidRDefault="0067497F">
          <w:r w:rsidRPr="007E4A7E">
            <w:rPr>
              <w:rStyle w:val="PlaceholderText"/>
            </w:rPr>
            <w:t>enter text</w:t>
          </w:r>
        </w:p>
      </w:docPartBody>
    </w:docPart>
    <w:docPart>
      <w:docPartPr>
        <w:name w:val="337F7E8EF245445AAA21A0FF53A88AF3"/>
        <w:category>
          <w:name w:val="General"/>
          <w:gallery w:val="placeholder"/>
        </w:category>
        <w:types>
          <w:type w:val="bbPlcHdr"/>
        </w:types>
        <w:behaviors>
          <w:behavior w:val="content"/>
        </w:behaviors>
        <w:guid w:val="{00197F20-C15F-4853-A87D-7D07B4A2C7C8}"/>
      </w:docPartPr>
      <w:docPartBody>
        <w:p w:rsidR="0067497F" w:rsidRDefault="0067497F">
          <w:r w:rsidRPr="007E4A7E">
            <w:rPr>
              <w:rStyle w:val="PlaceholderText"/>
            </w:rPr>
            <w:t>enter REQUIRED text</w:t>
          </w:r>
        </w:p>
      </w:docPartBody>
    </w:docPart>
    <w:docPart>
      <w:docPartPr>
        <w:name w:val="6F543EC74336483C831AE075A19FCC6E"/>
        <w:category>
          <w:name w:val="General"/>
          <w:gallery w:val="placeholder"/>
        </w:category>
        <w:types>
          <w:type w:val="bbPlcHdr"/>
        </w:types>
        <w:behaviors>
          <w:behavior w:val="content"/>
        </w:behaviors>
        <w:guid w:val="{E820601C-2E26-4084-A009-7625133C52FD}"/>
      </w:docPartPr>
      <w:docPartBody>
        <w:p w:rsidR="0067497F" w:rsidRDefault="0067497F">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7F"/>
    <w:rsid w:val="0067497F"/>
    <w:rsid w:val="00C26D08"/>
    <w:rsid w:val="00D9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9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onversion.options xmlns="http://www.bna.com/gateway/conversion.options">
  <ns0:tables xmlns:ns0="http://www.bna.com/gateway/conversion.options" tag="smart"/>
</conversion.options>
</file>

<file path=customXml/item4.xml><?xml version="1.0" encoding="utf-8"?>
<document xmlns="http://www.bna.com/gateway/unit.start">
  <ns0:unit.start xmlns:ns0="http://www.bna.com/gateway/unit.start" copyright.owner="enter text" subpart.name="enter text" unit.code="main0011" unit.name="Chapter 11. Remedies for Federal Dilution Act Violations" folio="537" class.code="A" class.name="Book Body" bna.id.prefix="11" pdm.name="Chap11" part.num="2" part.name="Part II. Federal Dilution Law" publication.name="Trademark Dilution - Federal, State, and International Law, Second Edition" acct.code="TD2M20" date="2025-09-25" supplement="0" volume.num="1" service.code="td-book"/>
</document>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28</Pages>
  <Words>9611</Words>
  <Characters>50964</Characters>
  <Application>Microsoft Office Word</Application>
  <DocSecurity>0</DocSecurity>
  <Lines>424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2025-09-25T20:45:00Z</dcterms:created>
  <dcterms:modified xsi:type="dcterms:W3CDTF">2025-09-30T17:08:00Z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