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9663" w14:textId="77777777" w:rsidR="0096524F" w:rsidRPr="0096524F" w:rsidRDefault="0033220D" w:rsidP="008A5B41">
      <w:pPr>
        <w:pStyle w:val="BDocStart"/>
      </w:pPr>
      <w:sdt>
        <w:sdtPr>
          <w:tag w:val="unit.start.head"/>
          <w:id w:val="1916744655"/>
          <w:lock w:val="sdtLocked"/>
          <w:placeholder>
            <w:docPart w:val="B121A4063EA24EB8A31179CD3EFCEAAB"/>
          </w:placeholder>
          <w15:appearance w15:val="hidden"/>
        </w:sdtPr>
        <w:sdtEndPr/>
        <w:sdtContent>
          <w:proofErr w:type="spellStart"/>
          <w:r w:rsidR="008A5B41">
            <w:t>Unit.Start</w:t>
          </w:r>
          <w:proofErr w:type="spellEnd"/>
        </w:sdtContent>
      </w:sdt>
    </w:p>
    <w:sdt>
      <w:sdtPr>
        <w:rPr>
          <w:rStyle w:val="BContentControl"/>
        </w:rPr>
        <w:alias w:val="unit.start"/>
        <w:tag w:val="Unit1"/>
        <w:id w:val="-1162845774"/>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4D9F566B" w14:textId="5821E5AC" w:rsidR="0096524F" w:rsidRPr="0096524F" w:rsidRDefault="0033220D" w:rsidP="008A5B41">
          <w:pPr>
            <w:pStyle w:val="BNormal"/>
          </w:pPr>
          <w:sdt>
            <w:sdtPr>
              <w:rPr>
                <w:rStyle w:val="BContentControl"/>
              </w:rPr>
              <w:alias w:val="acct.code"/>
              <w:tag w:val="acct.code"/>
              <w:id w:val="-1277012197"/>
              <w:lock w:val="sdtLocked"/>
              <w:placeholder>
                <w:docPart w:val="E1675B60502448579735D1F69219E8B1"/>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8A5B41">
                <w:rPr>
                  <w:rStyle w:val="BContentControl"/>
                </w:rPr>
                <w:t>TD2M20</w:t>
              </w:r>
            </w:sdtContent>
          </w:sdt>
          <w:sdt>
            <w:sdtPr>
              <w:rPr>
                <w:rStyle w:val="BContentControl"/>
              </w:rPr>
              <w:alias w:val="bna.id.prefix"/>
              <w:tag w:val="bna.id.prefix"/>
              <w:id w:val="1944420617"/>
              <w:lock w:val="sdtLocked"/>
              <w:placeholder>
                <w:docPart w:val="4E69FCA83B8F463E8369A4A4AB62D6A4"/>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8A5B41">
                <w:rPr>
                  <w:rStyle w:val="BContentControl"/>
                </w:rPr>
                <w:t>9</w:t>
              </w:r>
            </w:sdtContent>
          </w:sdt>
          <w:r w:rsidR="008A5B41" w:rsidRPr="008A5B41">
            <w:rPr>
              <w:rStyle w:val="BContentControl"/>
            </w:rPr>
            <w:t xml:space="preserve"> </w:t>
          </w:r>
          <w:sdt>
            <w:sdtPr>
              <w:rPr>
                <w:rStyle w:val="BContentControl"/>
              </w:rPr>
              <w:alias w:val="class.code*"/>
              <w:tag w:val="class.code"/>
              <w:id w:val="325636467"/>
              <w:lock w:val="sdtLocked"/>
              <w:placeholder>
                <w:docPart w:val="7A119756646B4847B137E693DA3F869F"/>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8A5B41">
                <w:rPr>
                  <w:rStyle w:val="BContentControl"/>
                </w:rPr>
                <w:t>A</w:t>
              </w:r>
            </w:sdtContent>
          </w:sdt>
          <w:r w:rsidR="008A5B41" w:rsidRPr="008A5B41">
            <w:rPr>
              <w:rStyle w:val="BContentControl"/>
            </w:rPr>
            <w:t xml:space="preserve"> </w:t>
          </w:r>
          <w:sdt>
            <w:sdtPr>
              <w:rPr>
                <w:rStyle w:val="BContentControl"/>
              </w:rPr>
              <w:alias w:val="class.name*"/>
              <w:tag w:val="class.name"/>
              <w:id w:val="-2020073205"/>
              <w:lock w:val="sdtLocked"/>
              <w:placeholder>
                <w:docPart w:val="A49BAAD0279A484AA697C8B922665F1C"/>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8A5B41">
                <w:rPr>
                  <w:rStyle w:val="BContentControl"/>
                </w:rPr>
                <w:t>Book Body</w:t>
              </w:r>
            </w:sdtContent>
          </w:sdt>
          <w:r w:rsidR="008A5B41" w:rsidRPr="008A5B41">
            <w:rPr>
              <w:rStyle w:val="BContentControl"/>
            </w:rPr>
            <w:t xml:space="preserve"> </w:t>
          </w:r>
          <w:sdt>
            <w:sdtPr>
              <w:rPr>
                <w:rStyle w:val="BContentControl"/>
              </w:rPr>
              <w:alias w:val="copyright.owner"/>
              <w:tag w:val="copyright.owner"/>
              <w:id w:val="-1411924550"/>
              <w:lock w:val="sdtLocked"/>
              <w:placeholder>
                <w:docPart w:val="372F82AF19BC49DB89508C47F1812E5E"/>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8A5B41" w:rsidRPr="008A5B41">
                <w:rPr>
                  <w:rStyle w:val="BContentControl"/>
                </w:rPr>
                <w:t>enter text</w:t>
              </w:r>
            </w:sdtContent>
          </w:sdt>
          <w:r w:rsidR="008A5B41" w:rsidRPr="008A5B41">
            <w:rPr>
              <w:rStyle w:val="BContentControl"/>
            </w:rPr>
            <w:t xml:space="preserve"> </w:t>
          </w:r>
          <w:sdt>
            <w:sdtPr>
              <w:rPr>
                <w:rStyle w:val="BContentControl"/>
              </w:rPr>
              <w:alias w:val="date"/>
              <w:tag w:val="date"/>
              <w:id w:val="1450442820"/>
              <w:lock w:val="sdtLocked"/>
              <w:placeholder>
                <w:docPart w:val="D3FDD32F5BF74360B943C3435AC12C74"/>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8A5B41">
                <w:rPr>
                  <w:rStyle w:val="BContentControl"/>
                </w:rPr>
                <w:t>2025-09-25</w:t>
              </w:r>
            </w:sdtContent>
          </w:sdt>
          <w:r w:rsidR="008A5B41" w:rsidRPr="008A5B41">
            <w:rPr>
              <w:rStyle w:val="BContentControl"/>
            </w:rPr>
            <w:t xml:space="preserve"> </w:t>
          </w:r>
          <w:sdt>
            <w:sdtPr>
              <w:rPr>
                <w:rStyle w:val="BContentControl"/>
              </w:rPr>
              <w:alias w:val="folio"/>
              <w:tag w:val="folio"/>
              <w:id w:val="-873080049"/>
              <w:lock w:val="sdtLocked"/>
              <w:placeholder>
                <w:docPart w:val="5E05674D7FF9488483C2655B515C82A9"/>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8A5B41">
                <w:rPr>
                  <w:rStyle w:val="BContentControl"/>
                </w:rPr>
                <w:t>337</w:t>
              </w:r>
            </w:sdtContent>
          </w:sdt>
          <w:r w:rsidR="008A5B41" w:rsidRPr="008A5B41">
            <w:rPr>
              <w:rStyle w:val="BContentControl"/>
            </w:rPr>
            <w:t xml:space="preserve"> </w:t>
          </w:r>
          <w:sdt>
            <w:sdtPr>
              <w:rPr>
                <w:rStyle w:val="BContentControl"/>
              </w:rPr>
              <w:alias w:val="part.name"/>
              <w:tag w:val="part.name"/>
              <w:id w:val="-1187135681"/>
              <w:lock w:val="sdtLocked"/>
              <w:placeholder>
                <w:docPart w:val="5B490397C80D4F27B94406DD071F75F9"/>
              </w:placeholder>
              <w:dataBinding w:prefixMappings="xmlns:ns0='http://www.bna.com/gateway/unit.start' " w:xpath="/ns0:document[1]/ns0:unit.start[1]/@part.name" w:storeItemID="{B04FCA99-13B0-422B-ADC9-9491644FA79D}"/>
              <w15:appearance w15:val="tags"/>
              <w:text/>
            </w:sdtPr>
            <w:sdtContent>
              <w:r w:rsidR="0096524F" w:rsidRPr="0096524F">
                <w:rPr>
                  <w:rStyle w:val="BContentControl"/>
                </w:rPr>
                <w:t>Part II.</w:t>
              </w:r>
              <w:r w:rsidR="0096524F" w:rsidRPr="0096524F">
                <w:rPr>
                  <w:rStyle w:val="BContentControl"/>
                </w:rPr>
                <w:t xml:space="preserve"> </w:t>
              </w:r>
              <w:r w:rsidR="0096524F" w:rsidRPr="0096524F">
                <w:rPr>
                  <w:rStyle w:val="BContentControl"/>
                </w:rPr>
                <w:t>Federal Dilution Law</w:t>
              </w:r>
            </w:sdtContent>
          </w:sdt>
          <w:r w:rsidR="008A5B41" w:rsidRPr="008A5B41">
            <w:rPr>
              <w:rStyle w:val="BContentControl"/>
            </w:rPr>
            <w:t xml:space="preserve"> </w:t>
          </w:r>
          <w:sdt>
            <w:sdtPr>
              <w:rPr>
                <w:rStyle w:val="BContentControl"/>
              </w:rPr>
              <w:alias w:val="part.num"/>
              <w:tag w:val="part.num"/>
              <w:id w:val="-1555609374"/>
              <w:lock w:val="sdtLocked"/>
              <w:placeholder>
                <w:docPart w:val="246754D8A7AE405686466F4B8AB2FF17"/>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8A5B41">
                <w:rPr>
                  <w:rStyle w:val="BContentControl"/>
                </w:rPr>
                <w:t>2</w:t>
              </w:r>
            </w:sdtContent>
          </w:sdt>
          <w:r w:rsidR="008A5B41" w:rsidRPr="008A5B41">
            <w:rPr>
              <w:rStyle w:val="BContentControl"/>
            </w:rPr>
            <w:t xml:space="preserve"> </w:t>
          </w:r>
          <w:sdt>
            <w:sdtPr>
              <w:rPr>
                <w:rStyle w:val="BContentControl"/>
              </w:rPr>
              <w:alias w:val="subpart.name"/>
              <w:tag w:val="subpart.name"/>
              <w:id w:val="529537961"/>
              <w:lock w:val="sdtLocked"/>
              <w:placeholder>
                <w:docPart w:val="95B3A39754AB4EBF867123E4BCAFF864"/>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8A5B41" w:rsidRPr="008A5B41">
                <w:rPr>
                  <w:rStyle w:val="BContentControl"/>
                </w:rPr>
                <w:t>enter text</w:t>
              </w:r>
            </w:sdtContent>
          </w:sdt>
          <w:r w:rsidR="008A5B41" w:rsidRPr="008A5B41">
            <w:rPr>
              <w:rStyle w:val="BContentControl"/>
            </w:rPr>
            <w:t xml:space="preserve"> </w:t>
          </w:r>
          <w:sdt>
            <w:sdtPr>
              <w:rPr>
                <w:rStyle w:val="BContentControl"/>
              </w:rPr>
              <w:alias w:val="pdm.name"/>
              <w:tag w:val="pdm.name"/>
              <w:id w:val="-2083901755"/>
              <w:lock w:val="sdtLocked"/>
              <w:placeholder>
                <w:docPart w:val="503F179C12E547AEABA0D5CDC67CA5FB"/>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8A5B41">
                <w:rPr>
                  <w:rStyle w:val="BContentControl"/>
                </w:rPr>
                <w:t>Chap09</w:t>
              </w:r>
            </w:sdtContent>
          </w:sdt>
          <w:r w:rsidR="008A5B41" w:rsidRPr="008A5B41">
            <w:rPr>
              <w:rStyle w:val="BContentControl"/>
            </w:rPr>
            <w:t xml:space="preserve"> </w:t>
          </w:r>
          <w:sdt>
            <w:sdtPr>
              <w:rPr>
                <w:rStyle w:val="BContentControl"/>
              </w:rPr>
              <w:alias w:val="publication.name"/>
              <w:tag w:val="publication.name"/>
              <w:id w:val="87357474"/>
              <w:lock w:val="sdtLocked"/>
              <w:placeholder>
                <w:docPart w:val="C449BBB536304ECB89EF1DD2D31D639F"/>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8A5B41">
                <w:rPr>
                  <w:rStyle w:val="BContentControl"/>
                </w:rPr>
                <w:t>Trademark Dilution - Federal, State, and International Law, Second Edition</w:t>
              </w:r>
            </w:sdtContent>
          </w:sdt>
          <w:r w:rsidR="008A5B41" w:rsidRPr="008A5B41">
            <w:rPr>
              <w:rStyle w:val="BContentControl"/>
            </w:rPr>
            <w:t xml:space="preserve"> </w:t>
          </w:r>
          <w:sdt>
            <w:sdtPr>
              <w:rPr>
                <w:rStyle w:val="BContentControl"/>
              </w:rPr>
              <w:alias w:val="service.code*"/>
              <w:tag w:val="mUnit1"/>
              <w:id w:val="1432321792"/>
              <w:lock w:val="sdtLocked"/>
              <w:placeholder>
                <w:docPart w:val="9B5AF4A3192B48BEB1655AA26E3F7764"/>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100-book" w:value="hlbs2100-book"/>
                <w:listItem w:displayText="hlbs2300-book" w:value="hlbs2300-book"/>
                <w:listItem w:displayText="hlbs2400-book" w:value="hlbs2400-book"/>
                <w:listItem w:displayText="hlbs2600-book" w:value="hlbs2600-book"/>
                <w:listItem w:displayText="hlbs2650-book" w:value="hlbs2650-book"/>
                <w:listItem w:displayText="hlbs2800-book" w:value="hlbs2800-book"/>
                <w:listItem w:displayText="hlbs2900-book" w:value="hlbs2900-book"/>
                <w:listItem w:displayText="hlbs3300-book" w:value="hlbs33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8A5B41">
                <w:rPr>
                  <w:rStyle w:val="BContentControl"/>
                </w:rPr>
                <w:t>td-book</w:t>
              </w:r>
            </w:sdtContent>
          </w:sdt>
          <w:r w:rsidR="008A5B41" w:rsidRPr="008A5B41">
            <w:rPr>
              <w:rStyle w:val="BContentControl"/>
            </w:rPr>
            <w:t xml:space="preserve"> </w:t>
          </w:r>
          <w:sdt>
            <w:sdtPr>
              <w:rPr>
                <w:rStyle w:val="BContentControl"/>
              </w:rPr>
              <w:alias w:val="supplement"/>
              <w:tag w:val="supplement"/>
              <w:id w:val="2127883764"/>
              <w:lock w:val="sdtLocked"/>
              <w:placeholder>
                <w:docPart w:val="40D44E26C3E8421A9E0EA8801BDDE981"/>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8A5B41">
                <w:rPr>
                  <w:rStyle w:val="BContentControl"/>
                </w:rPr>
                <w:t>0</w:t>
              </w:r>
            </w:sdtContent>
          </w:sdt>
          <w:r w:rsidR="008A5B41" w:rsidRPr="008A5B41">
            <w:rPr>
              <w:rStyle w:val="BContentControl"/>
            </w:rPr>
            <w:t xml:space="preserve"> </w:t>
          </w:r>
          <w:sdt>
            <w:sdtPr>
              <w:rPr>
                <w:rStyle w:val="BContentControl"/>
              </w:rPr>
              <w:alias w:val="unit.code"/>
              <w:tag w:val="unit.code"/>
              <w:id w:val="1720018747"/>
              <w:lock w:val="sdtLocked"/>
              <w:placeholder>
                <w:docPart w:val="1CB56A91F2114BCD9A9263D2909D798B"/>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8A5B41">
                <w:rPr>
                  <w:rStyle w:val="BContentControl"/>
                </w:rPr>
                <w:t>main0009</w:t>
              </w:r>
            </w:sdtContent>
          </w:sdt>
          <w:r w:rsidR="008A5B41" w:rsidRPr="008A5B41">
            <w:rPr>
              <w:rStyle w:val="BContentControl"/>
            </w:rPr>
            <w:t xml:space="preserve"> </w:t>
          </w:r>
          <w:sdt>
            <w:sdtPr>
              <w:rPr>
                <w:rStyle w:val="BContentControl"/>
              </w:rPr>
              <w:alias w:val="unit.name*"/>
              <w:tag w:val="unit.name"/>
              <w:id w:val="1960217982"/>
              <w:lock w:val="sdtLocked"/>
              <w:placeholder>
                <w:docPart w:val="0DD9D127A06E4369B6DE2107B9F15CC6"/>
              </w:placeholder>
              <w:dataBinding w:prefixMappings="xmlns:ns0='http://www.bna.com/gateway/unit.start' " w:xpath="/ns0:document[1]/ns0:unit.start[1]/@unit.name" w:storeItemID="{B04FCA99-13B0-422B-ADC9-9491644FA79D}"/>
              <w15:appearance w15:val="tags"/>
              <w:text/>
            </w:sdtPr>
            <w:sdtContent>
              <w:r w:rsidR="0096524F" w:rsidRPr="0096524F">
                <w:rPr>
                  <w:rStyle w:val="BContentControl"/>
                </w:rPr>
                <w:t>Chapter 9.</w:t>
              </w:r>
              <w:r w:rsidR="0096524F" w:rsidRPr="0096524F">
                <w:rPr>
                  <w:rStyle w:val="BContentControl"/>
                </w:rPr>
                <w:t xml:space="preserve"> </w:t>
              </w:r>
              <w:r w:rsidR="0096524F" w:rsidRPr="0096524F">
                <w:rPr>
                  <w:rStyle w:val="BContentControl"/>
                </w:rPr>
                <w:t>The Meaning of Dilution Under Federal Dilution Law</w:t>
              </w:r>
            </w:sdtContent>
          </w:sdt>
          <w:r w:rsidR="008A5B41" w:rsidRPr="008A5B41">
            <w:rPr>
              <w:rStyle w:val="BContentControl"/>
            </w:rPr>
            <w:t xml:space="preserve"> </w:t>
          </w:r>
          <w:sdt>
            <w:sdtPr>
              <w:rPr>
                <w:rStyle w:val="BContentControl"/>
              </w:rPr>
              <w:alias w:val="volume.num"/>
              <w:tag w:val="volume.num"/>
              <w:id w:val="-2135323925"/>
              <w:lock w:val="sdtLocked"/>
              <w:placeholder>
                <w:docPart w:val="EAB01A623DC942FCAC9F9AE7050C7637"/>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8A5B41">
                <w:rPr>
                  <w:rStyle w:val="BContentControl"/>
                </w:rPr>
                <w:t>1</w:t>
              </w:r>
            </w:sdtContent>
          </w:sdt>
        </w:p>
        <w:bookmarkEnd w:id="0" w:displacedByCustomXml="next"/>
      </w:sdtContent>
    </w:sdt>
    <w:p w14:paraId="728D3591" w14:textId="77777777" w:rsidR="0096524F" w:rsidRPr="0096524F" w:rsidRDefault="0033220D" w:rsidP="008A5B41">
      <w:pPr>
        <w:pStyle w:val="BDocStart"/>
      </w:pPr>
      <w:sdt>
        <w:sdtPr>
          <w:tag w:val="DocStart"/>
          <w:id w:val="-180290096"/>
          <w:lock w:val="sdtLocked"/>
          <w:placeholder>
            <w:docPart w:val="D6E3C7D1DBC64873BE479B6C72BCC0A6"/>
          </w:placeholder>
          <w15:appearance w15:val="hidden"/>
        </w:sdtPr>
        <w:sdtEndPr/>
        <w:sdtContent>
          <w:r w:rsidR="008A5B41">
            <w:t>Document</w:t>
          </w:r>
        </w:sdtContent>
      </w:sdt>
    </w:p>
    <w:p w14:paraId="5A875723" w14:textId="7EB5C604" w:rsidR="0096524F" w:rsidRPr="0096524F" w:rsidRDefault="00A60ADB" w:rsidP="00175762">
      <w:pPr>
        <w:pStyle w:val="BChapterName"/>
      </w:pPr>
      <w:r w:rsidRPr="0096524F">
        <w:t>Chapter 9</w:t>
      </w:r>
      <w:r w:rsidR="0096524F" w:rsidRPr="0096524F">
        <w:t>.</w:t>
      </w:r>
      <w:r w:rsidR="0096524F" w:rsidRPr="0096524F">
        <w:t xml:space="preserve"> </w:t>
      </w:r>
      <w:r w:rsidR="0096524F" w:rsidRPr="0096524F">
        <w:t>T</w:t>
      </w:r>
      <w:r w:rsidRPr="0096524F">
        <w:t>he Meaning of Dilution Under Federal Dilution Law</w:t>
      </w:r>
    </w:p>
    <w:p w14:paraId="09BD3503" w14:textId="5FEF3D60" w:rsidR="0096524F" w:rsidRPr="0096524F" w:rsidRDefault="0096524F" w:rsidP="0096524F">
      <w:pPr>
        <w:pStyle w:val="BNormal"/>
      </w:pPr>
      <w:r w:rsidRPr="0096524F">
        <w:rPr>
          <w:i/>
        </w:rPr>
        <w:t>This chapter is current through May 2025.</w:t>
      </w:r>
    </w:p>
    <w:p w14:paraId="11513454" w14:textId="7BF8038B" w:rsidR="0096524F" w:rsidRPr="0096524F" w:rsidRDefault="00A60ADB" w:rsidP="0096524F">
      <w:pPr>
        <w:pStyle w:val="BNormal"/>
      </w:pPr>
      <w:hyperlink r:id="rId13" w:history="1">
        <w:r w:rsidR="0096524F" w:rsidRPr="0096524F">
          <w:rPr>
            <w:rStyle w:val="Hyperlink"/>
          </w:rPr>
          <w:t>David Welkowitz</w:t>
        </w:r>
      </w:hyperlink>
      <w:r w:rsidR="0096524F" w:rsidRPr="0096524F">
        <w:rPr>
          <w:rFonts w:eastAsiaTheme="majorEastAsia"/>
          <w:vertAlign w:val="superscript"/>
        </w:rPr>
        <w:footnoteReference w:id="1"/>
      </w:r>
      <w:r w:rsidR="00175762">
        <w:br/>
      </w:r>
      <w:r w:rsidR="0096524F" w:rsidRPr="0096524F">
        <w:rPr>
          <w:i/>
        </w:rPr>
        <w:t>Whittier Law School</w:t>
      </w:r>
    </w:p>
    <w:p w14:paraId="1C8C1059" w14:textId="781E6923" w:rsidR="0096524F" w:rsidRPr="0096524F" w:rsidRDefault="00A60ADB" w:rsidP="0096524F">
      <w:pPr>
        <w:pStyle w:val="BNormal"/>
      </w:pPr>
      <w:r w:rsidRPr="0096524F">
        <w:t>Disclaimer</w:t>
      </w:r>
      <w:r w:rsidR="0096524F" w:rsidRPr="0096524F">
        <w:t>:</w:t>
      </w:r>
      <w:r w:rsidR="0096524F" w:rsidRPr="0096524F">
        <w:t xml:space="preserve"> </w:t>
      </w:r>
      <w:r w:rsidR="0096524F" w:rsidRPr="0096524F">
        <w:t>T</w:t>
      </w:r>
      <w:r w:rsidRPr="0096524F">
        <w:t>he opinions expressed here are solely those of the author and should not be construed as representing the opinions, directly or indirectly, of the U.S</w:t>
      </w:r>
      <w:r w:rsidR="0096524F" w:rsidRPr="0096524F">
        <w:t>.</w:t>
      </w:r>
      <w:r w:rsidR="0096524F" w:rsidRPr="0096524F">
        <w:t xml:space="preserve"> </w:t>
      </w:r>
      <w:r w:rsidR="0096524F" w:rsidRPr="0096524F">
        <w:t>C</w:t>
      </w:r>
      <w:r w:rsidRPr="0096524F">
        <w:t>opyright Office.</w:t>
      </w:r>
    </w:p>
    <w:p w14:paraId="4EFAD895" w14:textId="51744779" w:rsidR="0096524F" w:rsidRPr="0096524F" w:rsidRDefault="00A60ADB" w:rsidP="0096524F">
      <w:pPr>
        <w:pStyle w:val="BNormal"/>
      </w:pPr>
      <w:r w:rsidRPr="0096524F">
        <w:t>[Author Note</w:t>
      </w:r>
      <w:r w:rsidR="0096524F" w:rsidRPr="0096524F">
        <w:t>:</w:t>
      </w:r>
      <w:r w:rsidR="0096524F" w:rsidRPr="0096524F">
        <w:t xml:space="preserve"> </w:t>
      </w:r>
      <w:r w:rsidR="0096524F" w:rsidRPr="0096524F">
        <w:t>A</w:t>
      </w:r>
      <w:r w:rsidRPr="0096524F">
        <w:t>s indicated in many of the citing references in this and other chapters, the Federal Circuit reversed a jury verdict (and the district court’s decision to uphold that verdict) in favor of Apple, Inc</w:t>
      </w:r>
      <w:r w:rsidR="0096524F" w:rsidRPr="0096524F">
        <w:t>.</w:t>
      </w:r>
      <w:r w:rsidR="0096524F" w:rsidRPr="0096524F">
        <w:t xml:space="preserve"> </w:t>
      </w:r>
      <w:r w:rsidR="0096524F" w:rsidRPr="0096524F">
        <w:t>a</w:t>
      </w:r>
      <w:r w:rsidRPr="0096524F">
        <w:t>nd against Samsung Electronics, Inc., on Apple’s claims of trade dress dilution involving its iPhone</w:t>
      </w:r>
      <w:r w:rsidR="0096524F" w:rsidRPr="0096524F">
        <w:t>.</w:t>
      </w:r>
      <w:r w:rsidR="0096524F" w:rsidRPr="0096524F">
        <w:t xml:space="preserve"> </w:t>
      </w:r>
      <w:r w:rsidR="0096524F" w:rsidRPr="0096524F">
        <w:t>H</w:t>
      </w:r>
      <w:r w:rsidRPr="0096524F">
        <w:t>owever, the Federal Circuit did not discuss the merits of the dilution claims, as its reversal was on the grounds that the trade dress in question was functional</w:t>
      </w:r>
      <w:r w:rsidR="0096524F" w:rsidRPr="0096524F">
        <w:t>.</w:t>
      </w:r>
      <w:r w:rsidR="0096524F" w:rsidRPr="0096524F">
        <w:t xml:space="preserve"> </w:t>
      </w:r>
      <w:r w:rsidR="0096524F" w:rsidRPr="0096524F">
        <w:t>B</w:t>
      </w:r>
      <w:r w:rsidRPr="0096524F">
        <w:t>ecause there are so few cases discussing trade dress dilution under the TDRA, I have chosen to keep the discussions of the district court opinion for any guidance they may provide</w:t>
      </w:r>
      <w:r w:rsidR="0096524F" w:rsidRPr="0096524F">
        <w:t>.</w:t>
      </w:r>
      <w:r w:rsidR="0096524F" w:rsidRPr="0096524F">
        <w:t xml:space="preserve"> </w:t>
      </w:r>
      <w:r w:rsidR="0096524F" w:rsidRPr="0096524F">
        <w:t>H</w:t>
      </w:r>
      <w:r w:rsidRPr="0096524F">
        <w:t>owever, readers should take care to note that the precedential value of the decision is inhibited by the reversal</w:t>
      </w:r>
      <w:r w:rsidR="0096524F" w:rsidRPr="0096524F">
        <w:t>.</w:t>
      </w:r>
      <w:r w:rsidR="0096524F" w:rsidRPr="0096524F">
        <w:t xml:space="preserve"> </w:t>
      </w:r>
      <w:r w:rsidR="0096524F" w:rsidRPr="0096524F">
        <w:t>(</w:t>
      </w:r>
      <w:r w:rsidRPr="0096524F">
        <w:t>The Supreme Court later reversed the Federal Circuit’s patent holding on the issue of whether damages should be awarded for the whole product or just a component part.)]</w:t>
      </w:r>
    </w:p>
    <w:p w14:paraId="22A2B042" w14:textId="6A358D91" w:rsidR="0096524F" w:rsidRPr="0096524F" w:rsidRDefault="00371CCB" w:rsidP="00175762">
      <w:pPr>
        <w:pStyle w:val="BHead1"/>
      </w:pPr>
      <w:r>
        <w:t>9.</w:t>
      </w:r>
      <w:r w:rsidR="0096524F" w:rsidRPr="00175762">
        <w:rPr>
          <w:rStyle w:val="BBNAidChar"/>
          <w:rFonts w:eastAsiaTheme="majorEastAsia"/>
        </w:rPr>
        <w:t>I</w:t>
      </w:r>
      <w:r w:rsidR="0096524F" w:rsidRPr="0096524F">
        <w:t>.</w:t>
      </w:r>
      <w:r>
        <w:t> </w:t>
      </w:r>
      <w:r w:rsidR="00175762">
        <w:t xml:space="preserve"> </w:t>
      </w:r>
      <w:r w:rsidR="0096524F" w:rsidRPr="0096524F">
        <w:t>Introduction</w:t>
      </w:r>
    </w:p>
    <w:p w14:paraId="77255D0E" w14:textId="1E4B49DF" w:rsidR="0096524F" w:rsidRPr="0096524F" w:rsidRDefault="00A60ADB" w:rsidP="0096524F">
      <w:pPr>
        <w:pStyle w:val="BNormal"/>
      </w:pPr>
      <w:r w:rsidRPr="0096524F">
        <w:t>The meaning of dilution is obviously a central issue for any claim made under the Federal Trademark Dilution Act (FTDA), and the amended version, the Trademark Dilution Revision Act (TDRA)</w:t>
      </w:r>
      <w:r w:rsidR="0096524F" w:rsidRPr="0096524F">
        <w:t>.</w:t>
      </w:r>
      <w:r w:rsidR="0096524F" w:rsidRPr="0096524F">
        <w:t xml:space="preserve"> </w:t>
      </w:r>
      <w:r w:rsidR="0096524F" w:rsidRPr="0096524F">
        <w:t>A</w:t>
      </w:r>
      <w:r w:rsidRPr="0096524F">
        <w:t xml:space="preserve">s discussed earlier in </w:t>
      </w:r>
      <w:r w:rsidRPr="0096524F">
        <w:lastRenderedPageBreak/>
        <w:t>this text,</w:t>
      </w:r>
      <w:r w:rsidR="0096524F" w:rsidRPr="0096524F">
        <w:rPr>
          <w:vertAlign w:val="superscript"/>
        </w:rPr>
        <w:footnoteReference w:id="2"/>
      </w:r>
      <w:r w:rsidRPr="0096524F">
        <w:t xml:space="preserve"> dilution is a difficult term to define with great precision</w:t>
      </w:r>
      <w:r w:rsidR="0096524F" w:rsidRPr="0096524F">
        <w:t>.</w:t>
      </w:r>
      <w:r w:rsidR="0096524F" w:rsidRPr="0096524F">
        <w:t xml:space="preserve"> </w:t>
      </w:r>
      <w:r w:rsidR="0096524F" w:rsidRPr="0096524F">
        <w:t>I</w:t>
      </w:r>
      <w:r w:rsidRPr="0096524F">
        <w:t>ndeed, it has been called an “elusive” concept by courts.</w:t>
      </w:r>
      <w:r w:rsidR="0096524F" w:rsidRPr="0096524F">
        <w:rPr>
          <w:vertAlign w:val="superscript"/>
        </w:rPr>
        <w:footnoteReference w:id="3"/>
      </w:r>
    </w:p>
    <w:p w14:paraId="2F5224C6" w14:textId="3DF50D0D" w:rsidR="0096524F" w:rsidRPr="0096524F" w:rsidRDefault="00A60ADB" w:rsidP="0096524F">
      <w:pPr>
        <w:pStyle w:val="BNormal"/>
      </w:pPr>
      <w:r w:rsidRPr="0096524F">
        <w:t>The seminal article by Frank Schechter</w:t>
      </w:r>
      <w:r w:rsidR="0096524F" w:rsidRPr="0096524F">
        <w:rPr>
          <w:vertAlign w:val="superscript"/>
        </w:rPr>
        <w:footnoteReference w:id="4"/>
      </w:r>
      <w:r w:rsidRPr="0096524F">
        <w:t xml:space="preserve"> referred to dilution as “</w:t>
      </w:r>
      <w:proofErr w:type="spellStart"/>
      <w:r w:rsidRPr="0096524F">
        <w:t>preserv</w:t>
      </w:r>
      <w:proofErr w:type="spellEnd"/>
      <w:r w:rsidRPr="0096524F">
        <w:t>[</w:t>
      </w:r>
      <w:proofErr w:type="spellStart"/>
      <w:r w:rsidRPr="0096524F">
        <w:t>ing</w:t>
      </w:r>
      <w:proofErr w:type="spellEnd"/>
      <w:r w:rsidRPr="0096524F">
        <w:t>] the uniqueness of a trademark.”</w:t>
      </w:r>
      <w:r w:rsidR="0096524F" w:rsidRPr="0096524F">
        <w:rPr>
          <w:vertAlign w:val="superscript"/>
        </w:rPr>
        <w:footnoteReference w:id="5"/>
      </w:r>
      <w:r w:rsidRPr="0096524F">
        <w:t xml:space="preserve"> Schechter further described the injury caused by dilution as “the gradual whittling away or dispersion of the identity and hold upon the public mind of the mark or name by its use upon non-competing goods.”</w:t>
      </w:r>
      <w:r w:rsidR="0096524F" w:rsidRPr="0096524F">
        <w:rPr>
          <w:vertAlign w:val="superscript"/>
        </w:rPr>
        <w:footnoteReference w:id="6"/>
      </w:r>
      <w:r w:rsidRPr="0096524F">
        <w:t xml:space="preserve"> His concern was protecting those marks that had a unique reputation with the public, which associated those marks with an identifiable level of quality.</w:t>
      </w:r>
      <w:r w:rsidR="0096524F" w:rsidRPr="0096524F">
        <w:rPr>
          <w:vertAlign w:val="superscript"/>
        </w:rPr>
        <w:footnoteReference w:id="7"/>
      </w:r>
      <w:r w:rsidRPr="0096524F">
        <w:t xml:space="preserve"> His description of the “whittling away” of the mark’s selling power remains the most consistent feature of dilution theory</w:t>
      </w:r>
      <w:r w:rsidR="0096524F" w:rsidRPr="0096524F">
        <w:t>.</w:t>
      </w:r>
      <w:r w:rsidR="0096524F" w:rsidRPr="0096524F">
        <w:t xml:space="preserve"> </w:t>
      </w:r>
      <w:r w:rsidR="0096524F" w:rsidRPr="0096524F">
        <w:t>H</w:t>
      </w:r>
      <w:r w:rsidRPr="0096524F">
        <w:t>owever, the task of defining dilution more precisely first fell to state and federal courts, interpreting state statutes that simply provide a claim when one shows “likelihood of dilution” or, more precisely, “likelihood of dilution of the distinctive quality” of the mark,</w:t>
      </w:r>
      <w:r w:rsidR="0096524F" w:rsidRPr="0096524F">
        <w:rPr>
          <w:vertAlign w:val="superscript"/>
        </w:rPr>
        <w:footnoteReference w:id="8"/>
      </w:r>
      <w:r w:rsidRPr="0096524F">
        <w:t xml:space="preserve"> without defining the term “dilution.” Unlike those state laws, from the outset the FTDA contained a definition of dilution, although the TDRA significantly amended the original definition.</w:t>
      </w:r>
      <w:r w:rsidR="0096524F" w:rsidRPr="0096524F">
        <w:rPr>
          <w:vertAlign w:val="superscript"/>
        </w:rPr>
        <w:footnoteReference w:id="9"/>
      </w:r>
      <w:r w:rsidRPr="0096524F">
        <w:t xml:space="preserve"> However, the mere existence of a </w:t>
      </w:r>
      <w:r w:rsidRPr="0096524F">
        <w:lastRenderedPageBreak/>
        <w:t>definition has not made the application of the statute a simple process</w:t>
      </w:r>
      <w:r w:rsidR="0096524F" w:rsidRPr="0096524F">
        <w:t>.</w:t>
      </w:r>
      <w:r w:rsidR="0096524F" w:rsidRPr="0096524F">
        <w:t xml:space="preserve"> </w:t>
      </w:r>
      <w:r w:rsidR="0096524F" w:rsidRPr="0096524F">
        <w:t>C</w:t>
      </w:r>
      <w:r w:rsidRPr="0096524F">
        <w:t>ourts did not agree on how the original FTDA definition translated into a judicially usable test</w:t>
      </w:r>
      <w:r w:rsidR="0096524F" w:rsidRPr="0096524F">
        <w:t>.</w:t>
      </w:r>
      <w:r w:rsidR="0096524F" w:rsidRPr="0096524F">
        <w:t xml:space="preserve"> </w:t>
      </w:r>
      <w:r w:rsidR="0096524F" w:rsidRPr="0096524F">
        <w:t>A</w:t>
      </w:r>
      <w:r w:rsidRPr="0096524F">
        <w:t>nd it remains to be seen whether the TDRA’s definition will provide additional clarity.</w:t>
      </w:r>
    </w:p>
    <w:p w14:paraId="6EBB0B46" w14:textId="3D5F0E02" w:rsidR="0096524F" w:rsidRPr="0096524F" w:rsidRDefault="00A60ADB" w:rsidP="0096524F">
      <w:pPr>
        <w:pStyle w:val="BNormal"/>
      </w:pPr>
      <w:r w:rsidRPr="0096524F">
        <w:t>This chapter explores the use (and nonuse and perhaps even misuse) of Schechter’s theory by the FTDA and the TDRA to create a cause of action for dilution</w:t>
      </w:r>
      <w:r w:rsidR="0096524F" w:rsidRPr="0096524F">
        <w:t>.</w:t>
      </w:r>
      <w:r w:rsidR="0096524F" w:rsidRPr="0096524F">
        <w:t xml:space="preserve"> </w:t>
      </w:r>
      <w:r w:rsidR="0096524F" w:rsidRPr="0096524F">
        <w:t>O</w:t>
      </w:r>
      <w:r w:rsidRPr="0096524F">
        <w:t>ur exploration also includes the tests developed by courts and statutory drafters to apply the dilution concept to actual cases.</w:t>
      </w:r>
    </w:p>
    <w:p w14:paraId="42407246" w14:textId="2384EA5D" w:rsidR="0096524F" w:rsidRPr="0096524F" w:rsidRDefault="00371CCB" w:rsidP="00175762">
      <w:pPr>
        <w:pStyle w:val="BHead1"/>
      </w:pPr>
      <w:r>
        <w:t>9.</w:t>
      </w:r>
      <w:r w:rsidR="0096524F" w:rsidRPr="00175762">
        <w:rPr>
          <w:rStyle w:val="BBNAidChar"/>
          <w:rFonts w:eastAsiaTheme="majorEastAsia"/>
        </w:rPr>
        <w:t>II</w:t>
      </w:r>
      <w:r w:rsidR="0096524F" w:rsidRPr="0096524F">
        <w:t>.</w:t>
      </w:r>
      <w:r>
        <w:t> </w:t>
      </w:r>
      <w:r w:rsidR="00175762">
        <w:t xml:space="preserve"> </w:t>
      </w:r>
      <w:r w:rsidR="0096524F" w:rsidRPr="0096524F">
        <w:t>The TDRA Definition and Traditional</w:t>
      </w:r>
      <w:r w:rsidR="0096524F">
        <w:t xml:space="preserve"> </w:t>
      </w:r>
      <w:r w:rsidR="0096524F" w:rsidRPr="0096524F">
        <w:t>Categories of Dilution</w:t>
      </w:r>
    </w:p>
    <w:p w14:paraId="04C0742C" w14:textId="3D1FC0D6" w:rsidR="0096524F" w:rsidRPr="0096524F" w:rsidRDefault="00371CCB" w:rsidP="00175762">
      <w:pPr>
        <w:pStyle w:val="BHead2"/>
      </w:pPr>
      <w:r>
        <w:t>9.II.</w:t>
      </w:r>
      <w:r w:rsidR="0096524F" w:rsidRPr="00175762">
        <w:rPr>
          <w:rStyle w:val="BBNAidChar"/>
          <w:rFonts w:eastAsiaTheme="majorEastAsia"/>
        </w:rPr>
        <w:t>A</w:t>
      </w:r>
      <w:r w:rsidR="0096524F" w:rsidRPr="0096524F">
        <w:t>.</w:t>
      </w:r>
      <w:r>
        <w:t> </w:t>
      </w:r>
      <w:r w:rsidR="0096524F" w:rsidRPr="0096524F">
        <w:tab/>
        <w:t>The Federal Definition of Dilution</w:t>
      </w:r>
    </w:p>
    <w:p w14:paraId="66358064" w14:textId="06359D6C" w:rsidR="0096524F" w:rsidRPr="0096524F" w:rsidRDefault="00371CCB" w:rsidP="00175762">
      <w:pPr>
        <w:pStyle w:val="BHead3"/>
      </w:pPr>
      <w:r>
        <w:t>9.II.A.</w:t>
      </w:r>
      <w:r w:rsidR="0096524F" w:rsidRPr="00175762">
        <w:rPr>
          <w:rStyle w:val="BBNAidChar"/>
          <w:rFonts w:eastAsiaTheme="majorEastAsia"/>
        </w:rPr>
        <w:t>1</w:t>
      </w:r>
      <w:r w:rsidR="0096524F" w:rsidRPr="0096524F">
        <w:t>.</w:t>
      </w:r>
      <w:r>
        <w:t> </w:t>
      </w:r>
      <w:r w:rsidR="0096524F" w:rsidRPr="0096524F">
        <w:tab/>
        <w:t>The Current Statutory Definition</w:t>
      </w:r>
    </w:p>
    <w:p w14:paraId="401E7236" w14:textId="45C6486F" w:rsidR="0096524F" w:rsidRPr="0096524F" w:rsidRDefault="00A60ADB" w:rsidP="0096524F">
      <w:pPr>
        <w:pStyle w:val="BNormal"/>
      </w:pPr>
      <w:r w:rsidRPr="0096524F">
        <w:t xml:space="preserve">Section 43(c)(1) of the Lanham Act gives a cause of action to the owner of a famous mark against a person who uses a mark that is likely to cause “dilution by blurring” or “dilution by </w:t>
      </w:r>
      <w:proofErr w:type="spellStart"/>
      <w:r w:rsidRPr="0096524F">
        <w:t>tarnishment</w:t>
      </w:r>
      <w:proofErr w:type="spellEnd"/>
      <w:r w:rsidRPr="0096524F">
        <w:t>.”</w:t>
      </w:r>
      <w:r w:rsidR="0096524F" w:rsidRPr="0096524F">
        <w:rPr>
          <w:vertAlign w:val="superscript"/>
        </w:rPr>
        <w:footnoteReference w:id="10"/>
      </w:r>
      <w:r w:rsidR="0096524F" w:rsidRPr="0096524F">
        <w:rPr>
          <w:vertAlign w:val="superscript"/>
        </w:rPr>
        <w:t xml:space="preserve"> </w:t>
      </w:r>
      <w:r w:rsidRPr="0096524F">
        <w:t>These two categories of dilution are defined in Sections 43(c)(2)(B) and (C) as follows:</w:t>
      </w:r>
    </w:p>
    <w:p w14:paraId="6A91EBB4" w14:textId="3B22A57B" w:rsidR="0096524F" w:rsidRPr="0096524F" w:rsidRDefault="00A60ADB" w:rsidP="0096524F">
      <w:pPr>
        <w:pStyle w:val="BQuotelong"/>
      </w:pPr>
      <w:r w:rsidRPr="0096524F">
        <w:lastRenderedPageBreak/>
        <w:t>(B) For purposes of paragraph (1), “dilution by blurring” is association arising from the similarity between a mark or trade name and a famous mark that impairs the distinctiveness of the famous mark</w:t>
      </w:r>
      <w:r w:rsidR="0096524F" w:rsidRPr="0096524F">
        <w:t>.</w:t>
      </w:r>
      <w:r w:rsidR="0096524F" w:rsidRPr="0096524F">
        <w:t xml:space="preserve"> </w:t>
      </w:r>
      <w:r w:rsidR="0096524F" w:rsidRPr="0096524F">
        <w:t>I</w:t>
      </w:r>
      <w:r w:rsidRPr="0096524F">
        <w:t>n determining whether a mark or trade name is likely to cause dilution by blurring, the court may consider all relevant factors, including the following:</w:t>
      </w:r>
    </w:p>
    <w:p w14:paraId="21CCA69F" w14:textId="3B332A8A" w:rsidR="0096524F" w:rsidRPr="0096524F" w:rsidRDefault="00A60ADB" w:rsidP="00371CCB">
      <w:pPr>
        <w:pStyle w:val="BQuotelong"/>
        <w:ind w:left="1440"/>
      </w:pPr>
      <w:r w:rsidRPr="0096524F">
        <w:t>(</w:t>
      </w:r>
      <w:proofErr w:type="spellStart"/>
      <w:r w:rsidRPr="0096524F">
        <w:t>i</w:t>
      </w:r>
      <w:proofErr w:type="spellEnd"/>
      <w:r w:rsidRPr="0096524F">
        <w:t>) The degree of similarity between the mark or trade name and the famous mark.</w:t>
      </w:r>
    </w:p>
    <w:p w14:paraId="5DDAD43E" w14:textId="34F3B538" w:rsidR="0096524F" w:rsidRPr="0096524F" w:rsidRDefault="00A60ADB" w:rsidP="00371CCB">
      <w:pPr>
        <w:pStyle w:val="BQuotelong"/>
        <w:ind w:left="1440"/>
      </w:pPr>
      <w:r w:rsidRPr="0096524F">
        <w:t>(ii) The degree of inherent or acquired distinctiveness of the famous mark.</w:t>
      </w:r>
    </w:p>
    <w:p w14:paraId="2BA651D9" w14:textId="047BEAF5" w:rsidR="0096524F" w:rsidRPr="0096524F" w:rsidRDefault="00A60ADB" w:rsidP="00371CCB">
      <w:pPr>
        <w:pStyle w:val="BQuotelong"/>
        <w:ind w:left="1440"/>
      </w:pPr>
      <w:r w:rsidRPr="0096524F">
        <w:t>(iii) The extent to which the owner of the famous mark is engaging in substantially exclusive use of the mark.</w:t>
      </w:r>
    </w:p>
    <w:p w14:paraId="33CD649B" w14:textId="20F162AB" w:rsidR="0096524F" w:rsidRPr="0096524F" w:rsidRDefault="00A60ADB" w:rsidP="00371CCB">
      <w:pPr>
        <w:pStyle w:val="BQuotelong"/>
        <w:ind w:left="1440"/>
      </w:pPr>
      <w:r w:rsidRPr="0096524F">
        <w:t>(iv) The degree of recognition of the famous mark.</w:t>
      </w:r>
    </w:p>
    <w:p w14:paraId="3E2900DF" w14:textId="6762ED4C" w:rsidR="0096524F" w:rsidRPr="0096524F" w:rsidRDefault="00A60ADB" w:rsidP="00371CCB">
      <w:pPr>
        <w:pStyle w:val="BQuotelong"/>
        <w:ind w:left="1440"/>
      </w:pPr>
      <w:r w:rsidRPr="0096524F">
        <w:t>(v) Whether the user of the mark or trade name intended to create an association with the famous mark.</w:t>
      </w:r>
    </w:p>
    <w:p w14:paraId="6D4DA4F7" w14:textId="593658C5" w:rsidR="0096524F" w:rsidRPr="0096524F" w:rsidRDefault="00A60ADB" w:rsidP="00371CCB">
      <w:pPr>
        <w:pStyle w:val="BQuotelong"/>
        <w:ind w:left="1440"/>
      </w:pPr>
      <w:r w:rsidRPr="0096524F">
        <w:t>(vi) Any actual association between the mark or trade name and the famous mark.</w:t>
      </w:r>
    </w:p>
    <w:p w14:paraId="6972B696" w14:textId="14F86771" w:rsidR="0096524F" w:rsidRPr="0096524F" w:rsidRDefault="00A60ADB" w:rsidP="0096524F">
      <w:pPr>
        <w:pStyle w:val="BQuotelong"/>
      </w:pPr>
      <w:r w:rsidRPr="0096524F">
        <w:t xml:space="preserve">(C) For purposes of paragraph (1), “dilution by </w:t>
      </w:r>
      <w:proofErr w:type="spellStart"/>
      <w:r w:rsidRPr="0096524F">
        <w:t>tarnishment</w:t>
      </w:r>
      <w:proofErr w:type="spellEnd"/>
      <w:r w:rsidRPr="0096524F">
        <w:t>” is association arising from the similarity between a mark or trade name and a famous mark that harms the reputation of the famous mark.</w:t>
      </w:r>
      <w:r w:rsidR="0096524F" w:rsidRPr="0096524F">
        <w:rPr>
          <w:vertAlign w:val="superscript"/>
        </w:rPr>
        <w:footnoteReference w:id="11"/>
      </w:r>
    </w:p>
    <w:p w14:paraId="7CF5401B" w14:textId="7781E4C5" w:rsidR="0096524F" w:rsidRPr="0096524F" w:rsidRDefault="00A60ADB" w:rsidP="0096524F">
      <w:pPr>
        <w:pStyle w:val="BNormal"/>
      </w:pPr>
      <w:r w:rsidRPr="0096524F">
        <w:t xml:space="preserve">In addition, Section 43(c)(1) amplifies these definitions by permitting dilution claims regardless of the presence or absence of competition between the parties, and regardless of the absence of confusion between the famous </w:t>
      </w:r>
      <w:r w:rsidRPr="0096524F">
        <w:lastRenderedPageBreak/>
        <w:t>mark and the second user’s mark.</w:t>
      </w:r>
      <w:r w:rsidR="0096524F" w:rsidRPr="0096524F">
        <w:rPr>
          <w:vertAlign w:val="superscript"/>
        </w:rPr>
        <w:footnoteReference w:id="12"/>
      </w:r>
      <w:r w:rsidRPr="0096524F">
        <w:t xml:space="preserve"> Furthermore, Section 43(c)(1) makes clear that no showing of “economic injury” is needed in order to obtain an injunction against a likelihood of dilution.</w:t>
      </w:r>
      <w:r w:rsidR="0096524F" w:rsidRPr="0096524F">
        <w:rPr>
          <w:vertAlign w:val="superscript"/>
        </w:rPr>
        <w:footnoteReference w:id="13"/>
      </w:r>
    </w:p>
    <w:p w14:paraId="6309F587" w14:textId="475FF968" w:rsidR="0096524F" w:rsidRPr="0096524F" w:rsidRDefault="00A60ADB" w:rsidP="0096524F">
      <w:pPr>
        <w:pStyle w:val="BNormal"/>
      </w:pPr>
      <w:r w:rsidRPr="0096524F">
        <w:t xml:space="preserve">The TDRA clearly recognizes only two forms of dilution—blurring and </w:t>
      </w:r>
      <w:proofErr w:type="spellStart"/>
      <w:r w:rsidRPr="0096524F">
        <w:t>tarnishment</w:t>
      </w:r>
      <w:proofErr w:type="spellEnd"/>
      <w:r w:rsidR="0096524F" w:rsidRPr="0096524F">
        <w:t>.</w:t>
      </w:r>
      <w:r w:rsidR="0096524F" w:rsidRPr="0096524F">
        <w:t xml:space="preserve"> </w:t>
      </w:r>
      <w:r w:rsidR="0096524F" w:rsidRPr="0096524F">
        <w:t>B</w:t>
      </w:r>
      <w:r w:rsidRPr="0096524F">
        <w:t>y doing so, it apparently rejects other forms of dilution, such as genericide.</w:t>
      </w:r>
      <w:r w:rsidR="0096524F" w:rsidRPr="0096524F">
        <w:rPr>
          <w:vertAlign w:val="superscript"/>
        </w:rPr>
        <w:footnoteReference w:id="14"/>
      </w:r>
      <w:r w:rsidRPr="0096524F">
        <w:t xml:space="preserve"> Whether the TDRA truly adopts Schechter’s conception of </w:t>
      </w:r>
      <w:r w:rsidRPr="0096524F">
        <w:lastRenderedPageBreak/>
        <w:t>dilution is another matter</w:t>
      </w:r>
      <w:r w:rsidR="0096524F" w:rsidRPr="0096524F">
        <w:t>.</w:t>
      </w:r>
      <w:r w:rsidR="0096524F" w:rsidRPr="0096524F">
        <w:t xml:space="preserve"> </w:t>
      </w:r>
      <w:r w:rsidR="0096524F" w:rsidRPr="0096524F">
        <w:t>S</w:t>
      </w:r>
      <w:r w:rsidRPr="0096524F">
        <w:t>chechter did not seem to view dilution as a balancing of factors</w:t>
      </w:r>
      <w:r w:rsidR="0096524F" w:rsidRPr="0096524F">
        <w:t>:</w:t>
      </w:r>
      <w:r w:rsidR="0096524F" w:rsidRPr="0096524F">
        <w:t xml:space="preserve"> </w:t>
      </w:r>
      <w:r w:rsidR="0096524F" w:rsidRPr="0096524F">
        <w:t>h</w:t>
      </w:r>
      <w:r w:rsidRPr="0096524F">
        <w:t xml:space="preserve">is premise appeared to be that </w:t>
      </w:r>
      <w:r w:rsidR="0096524F" w:rsidRPr="0096524F">
        <w:rPr>
          <w:i/>
        </w:rPr>
        <w:t>any</w:t>
      </w:r>
      <w:r w:rsidRPr="0096524F">
        <w:t xml:space="preserve"> use of another’s coined, distinctive mark</w:t>
      </w:r>
      <w:r w:rsidR="0096524F" w:rsidRPr="0096524F">
        <w:rPr>
          <w:vertAlign w:val="superscript"/>
        </w:rPr>
        <w:footnoteReference w:id="15"/>
      </w:r>
      <w:r w:rsidRPr="0096524F">
        <w:t xml:space="preserve"> would cause dilution</w:t>
      </w:r>
      <w:r w:rsidR="0096524F" w:rsidRPr="0096524F">
        <w:t>.</w:t>
      </w:r>
      <w:r w:rsidR="0096524F" w:rsidRPr="0096524F">
        <w:t xml:space="preserve"> </w:t>
      </w:r>
      <w:r w:rsidR="0096524F" w:rsidRPr="0096524F">
        <w:t>T</w:t>
      </w:r>
      <w:r w:rsidRPr="0096524F">
        <w:t>he TDRA does not contemplate that broad a concept of dilution</w:t>
      </w:r>
      <w:r w:rsidR="0096524F" w:rsidRPr="0096524F">
        <w:t>.</w:t>
      </w:r>
      <w:r w:rsidR="0096524F" w:rsidRPr="0096524F">
        <w:t xml:space="preserve"> </w:t>
      </w:r>
      <w:r w:rsidR="0096524F" w:rsidRPr="0096524F">
        <w:t>S</w:t>
      </w:r>
      <w:r w:rsidRPr="0096524F">
        <w:t xml:space="preserve">chechter also assumed that dilution would apply to cases of </w:t>
      </w:r>
      <w:r w:rsidR="0096524F" w:rsidRPr="0096524F">
        <w:rPr>
          <w:i/>
        </w:rPr>
        <w:t>non</w:t>
      </w:r>
      <w:r w:rsidRPr="0096524F">
        <w:t>-competing goods</w:t>
      </w:r>
      <w:r w:rsidR="0096524F" w:rsidRPr="0096524F">
        <w:rPr>
          <w:vertAlign w:val="superscript"/>
        </w:rPr>
        <w:footnoteReference w:id="16"/>
      </w:r>
      <w:r w:rsidRPr="0096524F">
        <w:t>—presumably, he believed that ordinary infringement would cover competing-goods situations</w:t>
      </w:r>
      <w:r w:rsidR="0096524F" w:rsidRPr="0096524F">
        <w:t>.</w:t>
      </w:r>
      <w:r w:rsidR="0096524F" w:rsidRPr="0096524F">
        <w:t xml:space="preserve"> </w:t>
      </w:r>
      <w:r w:rsidR="0096524F" w:rsidRPr="0096524F">
        <w:t>A</w:t>
      </w:r>
      <w:r w:rsidRPr="0096524F">
        <w:t xml:space="preserve">nd Schechter did not address the issue of </w:t>
      </w:r>
      <w:proofErr w:type="spellStart"/>
      <w:r w:rsidRPr="0096524F">
        <w:t>tarnishment</w:t>
      </w:r>
      <w:proofErr w:type="spellEnd"/>
      <w:r w:rsidRPr="0096524F">
        <w:t>.</w:t>
      </w:r>
      <w:r w:rsidR="0096524F" w:rsidRPr="0096524F">
        <w:rPr>
          <w:vertAlign w:val="superscript"/>
        </w:rPr>
        <w:footnoteReference w:id="17"/>
      </w:r>
      <w:r w:rsidRPr="0096524F">
        <w:t xml:space="preserve"> On the other hand, Schechter’s concept was that other uses lessen the uniqueness and marketing power (the distinctiveness, in other words) of a mark.</w:t>
      </w:r>
      <w:r w:rsidR="0096524F" w:rsidRPr="0096524F">
        <w:rPr>
          <w:vertAlign w:val="superscript"/>
        </w:rPr>
        <w:footnoteReference w:id="18"/>
      </w:r>
      <w:r w:rsidRPr="0096524F">
        <w:t xml:space="preserve"> The TDRA definition incorporates those ideas in the definition of blurring and the factors used to analyze it.</w:t>
      </w:r>
    </w:p>
    <w:p w14:paraId="258AE96E" w14:textId="51E4FD3E" w:rsidR="0096524F" w:rsidRPr="0096524F" w:rsidRDefault="00371CCB" w:rsidP="00175762">
      <w:pPr>
        <w:pStyle w:val="BHead3"/>
      </w:pPr>
      <w:r>
        <w:t>9.II.A.</w:t>
      </w:r>
      <w:r w:rsidR="0096524F" w:rsidRPr="00175762">
        <w:rPr>
          <w:rStyle w:val="BBNAidChar"/>
          <w:rFonts w:eastAsiaTheme="majorEastAsia"/>
        </w:rPr>
        <w:t>2</w:t>
      </w:r>
      <w:r w:rsidR="0096524F" w:rsidRPr="0096524F">
        <w:t>.</w:t>
      </w:r>
      <w:r>
        <w:t> </w:t>
      </w:r>
      <w:r w:rsidR="0096524F" w:rsidRPr="0096524F">
        <w:tab/>
        <w:t>The Original FTDA Definition of Dilution</w:t>
      </w:r>
    </w:p>
    <w:p w14:paraId="5CAA8E1E" w14:textId="7F928E96" w:rsidR="0096524F" w:rsidRPr="0096524F" w:rsidRDefault="00A60ADB" w:rsidP="0096524F">
      <w:pPr>
        <w:pStyle w:val="BNormal"/>
      </w:pPr>
      <w:r w:rsidRPr="0096524F">
        <w:t>As enacted in 1995, the FTDA contained a very different definition of dilution than the current version.</w:t>
      </w:r>
      <w:r w:rsidR="0096524F" w:rsidRPr="0096524F">
        <w:rPr>
          <w:vertAlign w:val="superscript"/>
        </w:rPr>
        <w:footnoteReference w:id="19"/>
      </w:r>
      <w:r w:rsidRPr="0096524F">
        <w:t xml:space="preserve"> The original definition was as follows:</w:t>
      </w:r>
    </w:p>
    <w:p w14:paraId="2711031D" w14:textId="12CD7A23" w:rsidR="0096524F" w:rsidRPr="0096524F" w:rsidRDefault="00A60ADB" w:rsidP="0096524F">
      <w:pPr>
        <w:pStyle w:val="BQuotelong"/>
      </w:pPr>
      <w:r w:rsidRPr="0096524F">
        <w:t>The term “dilution” means the lessening of the capacity of a famous mark to identify and distinguish goods or services, regardless of the presence or absence of—</w:t>
      </w:r>
    </w:p>
    <w:p w14:paraId="714853DF" w14:textId="6FD33C05" w:rsidR="0096524F" w:rsidRPr="0096524F" w:rsidRDefault="00A60ADB" w:rsidP="00371CCB">
      <w:pPr>
        <w:pStyle w:val="BQuotelong"/>
        <w:ind w:left="1440"/>
      </w:pPr>
      <w:r w:rsidRPr="0096524F">
        <w:lastRenderedPageBreak/>
        <w:t>(1) competition between the owner of the famous mark and other parties, or</w:t>
      </w:r>
    </w:p>
    <w:p w14:paraId="1FA55F2E" w14:textId="15B28B92" w:rsidR="0096524F" w:rsidRPr="0096524F" w:rsidRDefault="00A60ADB" w:rsidP="00371CCB">
      <w:pPr>
        <w:pStyle w:val="BQuotelong"/>
        <w:ind w:left="1440"/>
      </w:pPr>
      <w:r w:rsidRPr="0096524F">
        <w:t>(2) likelihood of confusion, mistake, or deception.</w:t>
      </w:r>
      <w:r w:rsidR="0096524F" w:rsidRPr="0096524F">
        <w:rPr>
          <w:vertAlign w:val="superscript"/>
        </w:rPr>
        <w:footnoteReference w:id="20"/>
      </w:r>
    </w:p>
    <w:p w14:paraId="2D0737BA" w14:textId="59E310C4" w:rsidR="0096524F" w:rsidRPr="0096524F" w:rsidRDefault="00A60ADB" w:rsidP="0096524F">
      <w:pPr>
        <w:pStyle w:val="BNormal"/>
      </w:pPr>
      <w:r w:rsidRPr="0096524F">
        <w:t>On its face, this definition leaned in the direction of Schechter’s “whittling away” concept, though it did not literally adopt it</w:t>
      </w:r>
      <w:r w:rsidR="0096524F" w:rsidRPr="0096524F">
        <w:t>.</w:t>
      </w:r>
      <w:r w:rsidR="0096524F" w:rsidRPr="0096524F">
        <w:t xml:space="preserve"> </w:t>
      </w:r>
      <w:r w:rsidR="0096524F" w:rsidRPr="0096524F">
        <w:t>A</w:t>
      </w:r>
      <w:r w:rsidRPr="0096524F">
        <w:t>part from its inclusion of competing-goods cases, which Schechter seemed not to include,</w:t>
      </w:r>
      <w:r w:rsidR="0096524F" w:rsidRPr="0096524F">
        <w:rPr>
          <w:vertAlign w:val="superscript"/>
        </w:rPr>
        <w:footnoteReference w:id="21"/>
      </w:r>
      <w:r w:rsidRPr="0096524F">
        <w:t xml:space="preserve"> this definition went beyond the idea of a mark losing its </w:t>
      </w:r>
      <w:r w:rsidR="0096524F" w:rsidRPr="0096524F">
        <w:rPr>
          <w:i/>
        </w:rPr>
        <w:t>marketing</w:t>
      </w:r>
      <w:r w:rsidRPr="0096524F">
        <w:t xml:space="preserve"> power, because the mark was now less unique, to the idea of a mark losing its capacity to act as a trademark altogether</w:t>
      </w:r>
      <w:r w:rsidR="0096524F" w:rsidRPr="0096524F">
        <w:t>.</w:t>
      </w:r>
      <w:r w:rsidR="0096524F" w:rsidRPr="0096524F">
        <w:t xml:space="preserve"> </w:t>
      </w:r>
      <w:r w:rsidR="0096524F" w:rsidRPr="0096524F">
        <w:t>T</w:t>
      </w:r>
      <w:r w:rsidRPr="0096524F">
        <w:t>he statute also incorporated the concept of injury to the distinctiveness of a mark, but in an awkward fashion</w:t>
      </w:r>
      <w:r w:rsidR="0096524F" w:rsidRPr="0096524F">
        <w:t>.</w:t>
      </w:r>
      <w:r w:rsidR="0096524F" w:rsidRPr="0096524F">
        <w:t xml:space="preserve"> </w:t>
      </w:r>
      <w:r w:rsidR="0096524F" w:rsidRPr="0096524F">
        <w:t>O</w:t>
      </w:r>
      <w:r w:rsidRPr="0096524F">
        <w:t>riginally, Section 43(c)(1) permitted an injunction against second users of famous marks if the use “cause[d] dilution of the distinctive quality of the mark.” Substituting the original definition of dilution in this sentence created a certain amount of tension between the definition, which focuses on the mark’s source-identifying power, and the operative language, which focused on the mark’s distinctiveness (which is, of course, related to its source-identifying ability).</w:t>
      </w:r>
    </w:p>
    <w:p w14:paraId="3C102CE7" w14:textId="2B9FBF2F" w:rsidR="0096524F" w:rsidRPr="0096524F" w:rsidRDefault="00A60ADB" w:rsidP="0096524F">
      <w:pPr>
        <w:pStyle w:val="BNormal"/>
      </w:pPr>
      <w:r w:rsidRPr="0096524F">
        <w:t>Obviously, this definition does not give as much guidance as the current definition</w:t>
      </w:r>
      <w:r w:rsidR="0096524F" w:rsidRPr="0096524F">
        <w:t>;</w:t>
      </w:r>
      <w:r w:rsidR="0096524F" w:rsidRPr="0096524F">
        <w:t xml:space="preserve"> </w:t>
      </w:r>
      <w:r w:rsidR="0096524F" w:rsidRPr="0096524F">
        <w:t>i</w:t>
      </w:r>
      <w:r w:rsidRPr="0096524F">
        <w:t>t lacks any guiding factors, for example, which are included in the current definition of blurring</w:t>
      </w:r>
      <w:r w:rsidR="0096524F" w:rsidRPr="0096524F">
        <w:t>.</w:t>
      </w:r>
      <w:r w:rsidR="0096524F" w:rsidRPr="0096524F">
        <w:t xml:space="preserve"> </w:t>
      </w:r>
      <w:r w:rsidR="0096524F" w:rsidRPr="0096524F">
        <w:t>M</w:t>
      </w:r>
      <w:r w:rsidRPr="0096524F">
        <w:t xml:space="preserve">oreover, by focusing on the diminution of the mark’s source-identifying power, the definition arguably did not include a claim for </w:t>
      </w:r>
      <w:proofErr w:type="spellStart"/>
      <w:r w:rsidRPr="0096524F">
        <w:t>tarnishment</w:t>
      </w:r>
      <w:proofErr w:type="spellEnd"/>
      <w:r w:rsidRPr="0096524F">
        <w:t>, which does not necessarily attack the capacity of a mark to act as a mark.</w:t>
      </w:r>
      <w:r w:rsidR="0096524F" w:rsidRPr="0096524F">
        <w:rPr>
          <w:vertAlign w:val="superscript"/>
        </w:rPr>
        <w:footnoteReference w:id="22"/>
      </w:r>
      <w:r w:rsidRPr="0096524F">
        <w:t xml:space="preserve"> On the other hand, this definition more clearly contemplated a possible claim for genericide (that is, turning a famous mark into a generic one), although the only court to confront the issue indicated otherwise.</w:t>
      </w:r>
      <w:r w:rsidR="0096524F" w:rsidRPr="0096524F">
        <w:rPr>
          <w:vertAlign w:val="superscript"/>
        </w:rPr>
        <w:footnoteReference w:id="23"/>
      </w:r>
    </w:p>
    <w:p w14:paraId="3AD19692" w14:textId="58D41887" w:rsidR="0096524F" w:rsidRPr="0096524F" w:rsidRDefault="00371CCB" w:rsidP="00175762">
      <w:pPr>
        <w:pStyle w:val="BHead2"/>
      </w:pPr>
      <w:r>
        <w:t>9.II.</w:t>
      </w:r>
      <w:r w:rsidR="0096524F" w:rsidRPr="00175762">
        <w:rPr>
          <w:rStyle w:val="BBNAidChar"/>
          <w:rFonts w:eastAsiaTheme="majorEastAsia"/>
        </w:rPr>
        <w:t>B</w:t>
      </w:r>
      <w:r w:rsidR="0096524F" w:rsidRPr="0096524F">
        <w:t>.</w:t>
      </w:r>
      <w:r>
        <w:t> </w:t>
      </w:r>
      <w:r w:rsidR="0096524F" w:rsidRPr="0096524F">
        <w:tab/>
        <w:t>The Legislative History of the TDRA Definition of Dilution</w:t>
      </w:r>
    </w:p>
    <w:p w14:paraId="158A288C" w14:textId="5BBDC730" w:rsidR="0096524F" w:rsidRPr="0096524F" w:rsidRDefault="00371CCB" w:rsidP="00175762">
      <w:pPr>
        <w:pStyle w:val="BHead3"/>
      </w:pPr>
      <w:r>
        <w:t>9.II.B.</w:t>
      </w:r>
      <w:r w:rsidR="0096524F" w:rsidRPr="00175762">
        <w:rPr>
          <w:rStyle w:val="BBNAidChar"/>
          <w:rFonts w:eastAsiaTheme="majorEastAsia"/>
        </w:rPr>
        <w:t>1</w:t>
      </w:r>
      <w:r w:rsidR="0096524F" w:rsidRPr="0096524F">
        <w:t>.</w:t>
      </w:r>
      <w:r>
        <w:t> </w:t>
      </w:r>
      <w:r w:rsidR="0096524F" w:rsidRPr="0096524F">
        <w:tab/>
        <w:t>The 1988 Dilution Bill</w:t>
      </w:r>
    </w:p>
    <w:p w14:paraId="448A75FD" w14:textId="100D46A0" w:rsidR="0096524F" w:rsidRPr="0096524F" w:rsidRDefault="00175762" w:rsidP="0096524F">
      <w:pPr>
        <w:pStyle w:val="BNormal"/>
      </w:pPr>
      <w:r w:rsidRPr="0096524F">
        <w:rPr>
          <w:vertAlign w:val="superscript"/>
        </w:rPr>
        <w:footnoteReference w:id="24"/>
      </w:r>
      <w:r w:rsidR="00A60ADB" w:rsidRPr="0096524F">
        <w:t>The FTDA, which was passed in 1995, was nearly added to the Lanham Act in 1988, as part of the Trademark Law Revision Act of 1988</w:t>
      </w:r>
      <w:r w:rsidR="0096524F" w:rsidRPr="0096524F">
        <w:t>.</w:t>
      </w:r>
      <w:r w:rsidR="0096524F" w:rsidRPr="0096524F">
        <w:t xml:space="preserve"> </w:t>
      </w:r>
      <w:r w:rsidR="0096524F" w:rsidRPr="0096524F">
        <w:t>T</w:t>
      </w:r>
      <w:r w:rsidR="00A60ADB" w:rsidRPr="0096524F">
        <w:t>he 1988 dilution bill (indeed, the entire 1988 reform) had its origins in a 1987 proposal by the Trademark Review Commission of the United States Trademark Association to reform the nation’s trademark laws.</w:t>
      </w:r>
      <w:r w:rsidR="0096524F" w:rsidRPr="0096524F">
        <w:rPr>
          <w:vertAlign w:val="superscript"/>
        </w:rPr>
        <w:footnoteReference w:id="25"/>
      </w:r>
      <w:r w:rsidR="00A60ADB" w:rsidRPr="0096524F">
        <w:t xml:space="preserve"> A review of those proposals is instructive for interpreting the FTDA.</w:t>
      </w:r>
    </w:p>
    <w:p w14:paraId="58C5F561" w14:textId="67A24B4D" w:rsidR="0096524F" w:rsidRPr="0096524F" w:rsidRDefault="00A60ADB" w:rsidP="0096524F">
      <w:pPr>
        <w:pStyle w:val="BNormal"/>
      </w:pPr>
      <w:r w:rsidRPr="0096524F">
        <w:t>The definition of dilution proposed by the Review Commission is essentially the same as the one in the FTDA.</w:t>
      </w:r>
      <w:r w:rsidR="0096524F" w:rsidRPr="0096524F">
        <w:rPr>
          <w:vertAlign w:val="superscript"/>
        </w:rPr>
        <w:footnoteReference w:id="26"/>
      </w:r>
      <w:r w:rsidRPr="0096524F">
        <w:t xml:space="preserve"> However, the Review Commission did </w:t>
      </w:r>
      <w:r w:rsidR="0096524F" w:rsidRPr="0096524F">
        <w:rPr>
          <w:i/>
        </w:rPr>
        <w:t>not</w:t>
      </w:r>
      <w:r w:rsidRPr="0096524F">
        <w:t xml:space="preserve"> intend that </w:t>
      </w:r>
      <w:proofErr w:type="spellStart"/>
      <w:r w:rsidRPr="0096524F">
        <w:t>tarnishment</w:t>
      </w:r>
      <w:proofErr w:type="spellEnd"/>
      <w:r w:rsidRPr="0096524F">
        <w:t xml:space="preserve"> of a trademark be a part of the cause of action for dilution.</w:t>
      </w:r>
      <w:r w:rsidR="0096524F" w:rsidRPr="0096524F">
        <w:rPr>
          <w:vertAlign w:val="superscript"/>
        </w:rPr>
        <w:footnoteReference w:id="27"/>
      </w:r>
      <w:r w:rsidRPr="0096524F">
        <w:t xml:space="preserve"> The Review Commission viewed </w:t>
      </w:r>
      <w:proofErr w:type="spellStart"/>
      <w:r w:rsidRPr="0096524F">
        <w:t>tarnishment</w:t>
      </w:r>
      <w:proofErr w:type="spellEnd"/>
      <w:r w:rsidRPr="0096524F">
        <w:t xml:space="preserve"> as a “separate form of </w:t>
      </w:r>
      <w:r w:rsidRPr="0096524F">
        <w:lastRenderedPageBreak/>
        <w:t>legal wrong,”</w:t>
      </w:r>
      <w:r w:rsidR="0096524F" w:rsidRPr="0096524F">
        <w:rPr>
          <w:vertAlign w:val="superscript"/>
        </w:rPr>
        <w:footnoteReference w:id="28"/>
      </w:r>
      <w:r w:rsidRPr="0096524F">
        <w:t xml:space="preserve"> and proposed an amendment to Section 43(a) of the Lanham Act to remedy that problem.</w:t>
      </w:r>
      <w:r w:rsidR="0096524F" w:rsidRPr="0096524F">
        <w:rPr>
          <w:vertAlign w:val="superscript"/>
        </w:rPr>
        <w:footnoteReference w:id="29"/>
      </w:r>
      <w:r w:rsidRPr="0096524F">
        <w:t xml:space="preserve"> The original bill introduced in Congress (S</w:t>
      </w:r>
      <w:r w:rsidR="0096524F" w:rsidRPr="0096524F">
        <w:t>.</w:t>
      </w:r>
      <w:r w:rsidR="0096524F" w:rsidRPr="0096524F">
        <w:t xml:space="preserve"> </w:t>
      </w:r>
      <w:r w:rsidR="0096524F" w:rsidRPr="0096524F">
        <w:t>1</w:t>
      </w:r>
      <w:r w:rsidRPr="0096524F">
        <w:t xml:space="preserve">883) contained both the dilution and </w:t>
      </w:r>
      <w:proofErr w:type="spellStart"/>
      <w:r w:rsidRPr="0096524F">
        <w:t>tarnishment</w:t>
      </w:r>
      <w:proofErr w:type="spellEnd"/>
      <w:r w:rsidRPr="0096524F">
        <w:t xml:space="preserve"> provisions.</w:t>
      </w:r>
      <w:r w:rsidR="0096524F" w:rsidRPr="0096524F">
        <w:rPr>
          <w:vertAlign w:val="superscript"/>
        </w:rPr>
        <w:footnoteReference w:id="30"/>
      </w:r>
      <w:r w:rsidRPr="0096524F">
        <w:t xml:space="preserve"> The bill also did not specifically address the issue of genericide (the destruction of a mark’s source-identifying ability, rendering it generic) and at least one witness believed that the bill did not cover this problem.</w:t>
      </w:r>
      <w:r w:rsidR="0096524F" w:rsidRPr="0096524F">
        <w:rPr>
          <w:vertAlign w:val="superscript"/>
        </w:rPr>
        <w:footnoteReference w:id="31"/>
      </w:r>
    </w:p>
    <w:p w14:paraId="2A8173BD" w14:textId="00AE01E3" w:rsidR="0096524F" w:rsidRPr="0096524F" w:rsidRDefault="00A60ADB" w:rsidP="0096524F">
      <w:pPr>
        <w:pStyle w:val="BNormal"/>
      </w:pPr>
      <w:r w:rsidRPr="0096524F">
        <w:t>The bill that finally emerged from the Senate committee, and, shortly thereafter, from the Senate, contained some significant changes in the definition of dilution from the original bill</w:t>
      </w:r>
      <w:r w:rsidR="0096524F" w:rsidRPr="0096524F">
        <w:t>.</w:t>
      </w:r>
      <w:r w:rsidR="0096524F" w:rsidRPr="0096524F">
        <w:t xml:space="preserve"> </w:t>
      </w:r>
      <w:r w:rsidR="0096524F" w:rsidRPr="0096524F">
        <w:t>M</w:t>
      </w:r>
      <w:r w:rsidRPr="0096524F">
        <w:t xml:space="preserve">ost important, the separate </w:t>
      </w:r>
      <w:proofErr w:type="spellStart"/>
      <w:r w:rsidRPr="0096524F">
        <w:t>tarnishment</w:t>
      </w:r>
      <w:proofErr w:type="spellEnd"/>
      <w:r w:rsidRPr="0096524F">
        <w:t xml:space="preserve"> section had been eliminated.</w:t>
      </w:r>
      <w:r w:rsidR="0096524F" w:rsidRPr="0096524F">
        <w:rPr>
          <w:vertAlign w:val="superscript"/>
        </w:rPr>
        <w:footnoteReference w:id="32"/>
      </w:r>
      <w:r w:rsidRPr="0096524F">
        <w:t xml:space="preserve"> The committee report contains this explanation:</w:t>
      </w:r>
    </w:p>
    <w:p w14:paraId="526F7AF5" w14:textId="3EA9685F" w:rsidR="0096524F" w:rsidRPr="0096524F" w:rsidRDefault="00A60ADB" w:rsidP="0096524F">
      <w:pPr>
        <w:pStyle w:val="BQuotelong"/>
      </w:pPr>
      <w:r w:rsidRPr="0096524F">
        <w:t xml:space="preserve">It is the committee’s contention that </w:t>
      </w:r>
      <w:proofErr w:type="spellStart"/>
      <w:r w:rsidRPr="0096524F">
        <w:t>tarnishment</w:t>
      </w:r>
      <w:proofErr w:type="spellEnd"/>
      <w:r w:rsidRPr="0096524F">
        <w:t xml:space="preserve"> and disparagement,</w:t>
      </w:r>
      <w:r w:rsidR="0096524F" w:rsidRPr="0096524F">
        <w:t xml:space="preserve"> </w:t>
      </w:r>
      <w:r w:rsidRPr="0096524F">
        <w:t>…</w:t>
      </w:r>
      <w:r w:rsidR="0096524F" w:rsidRPr="0096524F">
        <w:t xml:space="preserve"> </w:t>
      </w:r>
      <w:r w:rsidRPr="0096524F">
        <w:t>should continue to be decided on a case-by-case basis, and that the amendments it made to the legislation regarding [this] issue[] should not be regarded as either limiting or extending applicable decisional law.</w:t>
      </w:r>
      <w:r w:rsidR="0096524F" w:rsidRPr="0096524F">
        <w:rPr>
          <w:vertAlign w:val="superscript"/>
        </w:rPr>
        <w:footnoteReference w:id="33"/>
      </w:r>
    </w:p>
    <w:p w14:paraId="66970E13" w14:textId="582FC2CE" w:rsidR="0096524F" w:rsidRPr="0096524F" w:rsidRDefault="00A60ADB" w:rsidP="0096524F">
      <w:pPr>
        <w:pStyle w:val="BNormal"/>
      </w:pPr>
      <w:r w:rsidRPr="0096524F">
        <w:t xml:space="preserve">Thus, it appears that the Senate did </w:t>
      </w:r>
      <w:r w:rsidR="0096524F" w:rsidRPr="0096524F">
        <w:rPr>
          <w:i/>
        </w:rPr>
        <w:t>not</w:t>
      </w:r>
      <w:r w:rsidRPr="0096524F">
        <w:t xml:space="preserve"> intend to include </w:t>
      </w:r>
      <w:proofErr w:type="spellStart"/>
      <w:r w:rsidRPr="0096524F">
        <w:t>tarnishment</w:t>
      </w:r>
      <w:proofErr w:type="spellEnd"/>
      <w:r w:rsidRPr="0096524F">
        <w:t xml:space="preserve"> in the definition of dilution</w:t>
      </w:r>
      <w:r w:rsidR="0096524F" w:rsidRPr="0096524F">
        <w:t>.</w:t>
      </w:r>
      <w:r w:rsidR="0096524F" w:rsidRPr="0096524F">
        <w:t xml:space="preserve"> </w:t>
      </w:r>
      <w:r w:rsidR="0096524F" w:rsidRPr="0096524F">
        <w:t>T</w:t>
      </w:r>
      <w:r w:rsidRPr="0096524F">
        <w:t>hat would have left trademark-disparagement claims to be decided under a likelihood-of-confusion rationale.</w:t>
      </w:r>
    </w:p>
    <w:p w14:paraId="4C1E65D2" w14:textId="3FBC2404" w:rsidR="0096524F" w:rsidRPr="0096524F" w:rsidRDefault="00A60ADB" w:rsidP="0096524F">
      <w:pPr>
        <w:pStyle w:val="BNormal"/>
      </w:pPr>
      <w:r w:rsidRPr="0096524F">
        <w:t>In addition, the definition of dilution contained in the bill that passed the Senate is not exactly the same as the USTA Review Commission proposal (or the original FTDA)</w:t>
      </w:r>
      <w:r w:rsidR="0096524F" w:rsidRPr="0096524F">
        <w:t>.</w:t>
      </w:r>
      <w:r w:rsidR="0096524F" w:rsidRPr="0096524F">
        <w:t xml:space="preserve"> </w:t>
      </w:r>
      <w:r w:rsidR="0096524F" w:rsidRPr="0096524F">
        <w:t>T</w:t>
      </w:r>
      <w:r w:rsidRPr="0096524F">
        <w:t>he definition of dilution in S</w:t>
      </w:r>
      <w:r w:rsidR="0096524F" w:rsidRPr="0096524F">
        <w:t>.</w:t>
      </w:r>
      <w:r w:rsidR="0096524F" w:rsidRPr="0096524F">
        <w:t xml:space="preserve"> </w:t>
      </w:r>
      <w:r w:rsidR="0096524F" w:rsidRPr="0096524F">
        <w:t>1</w:t>
      </w:r>
      <w:r w:rsidRPr="0096524F">
        <w:t>883 was as follows:</w:t>
      </w:r>
    </w:p>
    <w:p w14:paraId="1C1F4DAC" w14:textId="0415E5C6" w:rsidR="0096524F" w:rsidRPr="0096524F" w:rsidRDefault="00A60ADB" w:rsidP="0096524F">
      <w:pPr>
        <w:pStyle w:val="BQuotelong"/>
      </w:pPr>
      <w:r w:rsidRPr="0096524F">
        <w:t>The term “dilution” means the material reduction of the distinctive quality of a famous mark through use of the mark by another person, regardless of [competition or absence of confusion].</w:t>
      </w:r>
      <w:r w:rsidR="0096524F" w:rsidRPr="0096524F">
        <w:rPr>
          <w:vertAlign w:val="superscript"/>
        </w:rPr>
        <w:footnoteReference w:id="34"/>
      </w:r>
    </w:p>
    <w:p w14:paraId="56090570" w14:textId="0548A5D7" w:rsidR="0096524F" w:rsidRPr="0096524F" w:rsidRDefault="00A60ADB" w:rsidP="0096524F">
      <w:pPr>
        <w:pStyle w:val="BNormal"/>
      </w:pPr>
      <w:r w:rsidRPr="0096524F">
        <w:t>Unlike the USTA proposal, which focused on protecting source-identifying properties, the S</w:t>
      </w:r>
      <w:r w:rsidR="0096524F" w:rsidRPr="0096524F">
        <w:t>.</w:t>
      </w:r>
      <w:r w:rsidR="0096524F" w:rsidRPr="0096524F">
        <w:t xml:space="preserve"> </w:t>
      </w:r>
      <w:r w:rsidR="0096524F" w:rsidRPr="0096524F">
        <w:t>1</w:t>
      </w:r>
      <w:r w:rsidRPr="0096524F">
        <w:t>883 definition clearly focuses on “the distinctive quality” of the famous mark</w:t>
      </w:r>
      <w:r w:rsidR="0096524F" w:rsidRPr="0096524F">
        <w:t>.</w:t>
      </w:r>
      <w:r w:rsidR="0096524F" w:rsidRPr="0096524F">
        <w:t xml:space="preserve"> </w:t>
      </w:r>
      <w:r w:rsidR="0096524F" w:rsidRPr="0096524F">
        <w:t>A</w:t>
      </w:r>
      <w:r w:rsidRPr="0096524F">
        <w:t xml:space="preserve">lthough this difference probably has little effect on a possible </w:t>
      </w:r>
      <w:proofErr w:type="spellStart"/>
      <w:r w:rsidRPr="0096524F">
        <w:t>tarnishment</w:t>
      </w:r>
      <w:proofErr w:type="spellEnd"/>
      <w:r w:rsidRPr="0096524F">
        <w:t xml:space="preserve"> claim, it could affect a “blurring” claim.</w:t>
      </w:r>
      <w:r w:rsidR="0096524F" w:rsidRPr="0096524F">
        <w:rPr>
          <w:vertAlign w:val="superscript"/>
        </w:rPr>
        <w:footnoteReference w:id="35"/>
      </w:r>
    </w:p>
    <w:p w14:paraId="52BABED1" w14:textId="1A8F559B" w:rsidR="0096524F" w:rsidRPr="0096524F" w:rsidRDefault="00371CCB" w:rsidP="00175762">
      <w:pPr>
        <w:pStyle w:val="BHead3"/>
      </w:pPr>
      <w:r>
        <w:t>9.II.B.</w:t>
      </w:r>
      <w:r w:rsidR="0096524F" w:rsidRPr="00175762">
        <w:rPr>
          <w:rStyle w:val="BBNAidChar"/>
          <w:rFonts w:eastAsiaTheme="majorEastAsia"/>
        </w:rPr>
        <w:t>2</w:t>
      </w:r>
      <w:r w:rsidR="0096524F" w:rsidRPr="0096524F">
        <w:t>.</w:t>
      </w:r>
      <w:r>
        <w:t> </w:t>
      </w:r>
      <w:r w:rsidR="0096524F" w:rsidRPr="0096524F">
        <w:tab/>
        <w:t>The Federal Trademark Dilution Act of 1995</w:t>
      </w:r>
    </w:p>
    <w:p w14:paraId="260CA29F" w14:textId="37119180" w:rsidR="0096524F" w:rsidRPr="0096524F" w:rsidRDefault="00A60ADB" w:rsidP="0096524F">
      <w:pPr>
        <w:pStyle w:val="BNormal"/>
      </w:pPr>
      <w:r w:rsidRPr="0096524F">
        <w:t>The 1988 dilution provisions ultimately failed, having been deleted from the final bill in the House-Senate conference committee.</w:t>
      </w:r>
      <w:r w:rsidR="0096524F" w:rsidRPr="0096524F">
        <w:rPr>
          <w:vertAlign w:val="superscript"/>
        </w:rPr>
        <w:footnoteReference w:id="36"/>
      </w:r>
      <w:r w:rsidRPr="0096524F">
        <w:t xml:space="preserve"> They were revived in 1995 as a stand-alone amendment to the Lanham Act, which became the Federal Trademark Dilution Act of 1995</w:t>
      </w:r>
      <w:r w:rsidR="0096524F" w:rsidRPr="0096524F">
        <w:t>.</w:t>
      </w:r>
      <w:r w:rsidR="0096524F" w:rsidRPr="0096524F">
        <w:t xml:space="preserve"> </w:t>
      </w:r>
      <w:r w:rsidR="0096524F" w:rsidRPr="0096524F">
        <w:t>A</w:t>
      </w:r>
      <w:r w:rsidRPr="0096524F">
        <w:t>lthough the definition of dilution in the 1995 version of the FTDA does not differ materially from the definition in the 1987 USTA proposal, the legislative intent apparently had changed</w:t>
      </w:r>
      <w:r w:rsidR="0096524F" w:rsidRPr="0096524F">
        <w:t>.</w:t>
      </w:r>
      <w:r w:rsidR="0096524F" w:rsidRPr="0096524F">
        <w:t xml:space="preserve"> </w:t>
      </w:r>
      <w:r w:rsidR="0096524F" w:rsidRPr="0096524F">
        <w:t>T</w:t>
      </w:r>
      <w:r w:rsidRPr="0096524F">
        <w:t>he House committee report on H.R</w:t>
      </w:r>
      <w:r w:rsidR="0096524F" w:rsidRPr="0096524F">
        <w:t>.</w:t>
      </w:r>
      <w:r w:rsidR="0096524F" w:rsidRPr="0096524F">
        <w:t xml:space="preserve"> </w:t>
      </w:r>
      <w:r w:rsidR="0096524F" w:rsidRPr="0096524F">
        <w:t>1</w:t>
      </w:r>
      <w:r w:rsidRPr="0096524F">
        <w:t>295, which became the FTDA, states that “[t]he purpose of H.R</w:t>
      </w:r>
      <w:r w:rsidR="0096524F" w:rsidRPr="0096524F">
        <w:t>.</w:t>
      </w:r>
      <w:r w:rsidR="0096524F" w:rsidRPr="0096524F">
        <w:t xml:space="preserve"> </w:t>
      </w:r>
      <w:r w:rsidR="0096524F" w:rsidRPr="0096524F">
        <w:t>1</w:t>
      </w:r>
      <w:r w:rsidRPr="0096524F">
        <w:t xml:space="preserve">295 is to protect famous trademarks from subsequent uses that blur the distinctiveness </w:t>
      </w:r>
      <w:r w:rsidRPr="0096524F">
        <w:lastRenderedPageBreak/>
        <w:t xml:space="preserve">of the mark </w:t>
      </w:r>
      <w:r w:rsidR="0096524F" w:rsidRPr="0096524F">
        <w:rPr>
          <w:i/>
        </w:rPr>
        <w:t>or tarnish or disparage it</w:t>
      </w:r>
      <w:r w:rsidRPr="0096524F">
        <w:t>, even in the absence of a likelihood of confusion.”</w:t>
      </w:r>
      <w:r w:rsidR="0096524F" w:rsidRPr="0096524F">
        <w:rPr>
          <w:vertAlign w:val="superscript"/>
        </w:rPr>
        <w:footnoteReference w:id="37"/>
      </w:r>
      <w:r w:rsidRPr="0096524F">
        <w:t xml:space="preserve"> Another portion of the report reiterates that conclusion:</w:t>
      </w:r>
    </w:p>
    <w:p w14:paraId="78374CCF" w14:textId="7C8986B6" w:rsidR="0096524F" w:rsidRPr="0096524F" w:rsidRDefault="00A60ADB" w:rsidP="0096524F">
      <w:pPr>
        <w:pStyle w:val="BQuotelong"/>
      </w:pPr>
      <w:r w:rsidRPr="0096524F">
        <w:t xml:space="preserve">The definition [of dilution] is designed to encompass all forms of dilution recognized by the courts, including dilution by blurring, by </w:t>
      </w:r>
      <w:proofErr w:type="spellStart"/>
      <w:r w:rsidRPr="0096524F">
        <w:t>tarnishment</w:t>
      </w:r>
      <w:proofErr w:type="spellEnd"/>
      <w:r w:rsidRPr="0096524F">
        <w:t xml:space="preserve"> and disparagement, and by diminishment.</w:t>
      </w:r>
      <w:r w:rsidR="0096524F" w:rsidRPr="0096524F">
        <w:rPr>
          <w:vertAlign w:val="superscript"/>
        </w:rPr>
        <w:footnoteReference w:id="38"/>
      </w:r>
    </w:p>
    <w:p w14:paraId="69F4E57A" w14:textId="3807B03F" w:rsidR="0096524F" w:rsidRPr="0096524F" w:rsidRDefault="00A60ADB" w:rsidP="0096524F">
      <w:pPr>
        <w:pStyle w:val="BNormal"/>
      </w:pPr>
      <w:r w:rsidRPr="0096524F">
        <w:t>At least in the view of the House committee, the FTDA definition, though essentially unchanged from the USTA’s 1987 proposal (and not vastly different from the 1988 Senate bill), encompassed all recognized forms of dilution (perhaps even genericide, or “diminishment”</w:t>
      </w:r>
      <w:r w:rsidR="0096524F" w:rsidRPr="0096524F">
        <w:rPr>
          <w:vertAlign w:val="superscript"/>
        </w:rPr>
        <w:footnoteReference w:id="39"/>
      </w:r>
      <w:r w:rsidRPr="0096524F">
        <w:t>)</w:t>
      </w:r>
      <w:r w:rsidR="0096524F" w:rsidRPr="0096524F">
        <w:t>.</w:t>
      </w:r>
      <w:r w:rsidR="0096524F" w:rsidRPr="0096524F">
        <w:t xml:space="preserve"> </w:t>
      </w:r>
      <w:r w:rsidR="0096524F" w:rsidRPr="0096524F">
        <w:t>W</w:t>
      </w:r>
      <w:r w:rsidRPr="0096524F">
        <w:t xml:space="preserve">hen Congress passed the Trademark Amendments Act of 1999, it reiterated its view that dilution under the 1995 version of the FTDA encompassed </w:t>
      </w:r>
      <w:r w:rsidR="0096524F" w:rsidRPr="0096524F">
        <w:rPr>
          <w:i/>
        </w:rPr>
        <w:t>both</w:t>
      </w:r>
      <w:r w:rsidRPr="0096524F">
        <w:t xml:space="preserve"> blurring and </w:t>
      </w:r>
      <w:proofErr w:type="spellStart"/>
      <w:r w:rsidRPr="0096524F">
        <w:t>tarnishment</w:t>
      </w:r>
      <w:proofErr w:type="spellEnd"/>
      <w:r w:rsidRPr="0096524F">
        <w:t>.</w:t>
      </w:r>
      <w:r w:rsidR="0096524F" w:rsidRPr="0096524F">
        <w:rPr>
          <w:vertAlign w:val="superscript"/>
        </w:rPr>
        <w:footnoteReference w:id="40"/>
      </w:r>
    </w:p>
    <w:p w14:paraId="2879F4E9" w14:textId="07D3D4A2" w:rsidR="0096524F" w:rsidRPr="0096524F" w:rsidRDefault="00371CCB" w:rsidP="00175762">
      <w:pPr>
        <w:pStyle w:val="BHead3"/>
      </w:pPr>
      <w:r>
        <w:t>9.II.B.</w:t>
      </w:r>
      <w:r w:rsidR="0096524F" w:rsidRPr="00175762">
        <w:rPr>
          <w:rStyle w:val="BBNAidChar"/>
          <w:rFonts w:eastAsiaTheme="majorEastAsia"/>
        </w:rPr>
        <w:t>3</w:t>
      </w:r>
      <w:r w:rsidR="0096524F" w:rsidRPr="0096524F">
        <w:t>.</w:t>
      </w:r>
      <w:r>
        <w:t> </w:t>
      </w:r>
      <w:r w:rsidR="0096524F" w:rsidRPr="0096524F">
        <w:tab/>
        <w:t>The Trademark Dilution Revision Act of 2006</w:t>
      </w:r>
    </w:p>
    <w:p w14:paraId="63C07930" w14:textId="343C26A2" w:rsidR="0096524F" w:rsidRPr="0096524F" w:rsidRDefault="00A60ADB" w:rsidP="0096524F">
      <w:pPr>
        <w:pStyle w:val="BNormal"/>
      </w:pPr>
      <w:r w:rsidRPr="0096524F">
        <w:t>As seen in this and other chapters, Congress’s vision of a uniformly interpreted federal dilution law proved as elusive as a definition of dilution.</w:t>
      </w:r>
      <w:r w:rsidR="0096524F" w:rsidRPr="0096524F">
        <w:rPr>
          <w:vertAlign w:val="superscript"/>
        </w:rPr>
        <w:footnoteReference w:id="41"/>
      </w:r>
      <w:r w:rsidRPr="0096524F">
        <w:t xml:space="preserve"> But it took the Supreme Court to push Congress to change the statute</w:t>
      </w:r>
      <w:r w:rsidR="0096524F" w:rsidRPr="0096524F">
        <w:t>.</w:t>
      </w:r>
      <w:r w:rsidR="0096524F" w:rsidRPr="0096524F">
        <w:t xml:space="preserve"> </w:t>
      </w:r>
      <w:r w:rsidR="0096524F" w:rsidRPr="0096524F">
        <w:t>F</w:t>
      </w:r>
      <w:r w:rsidRPr="0096524F">
        <w:t xml:space="preserve">ollowing the Supreme Court’s 2003 decision in </w:t>
      </w:r>
      <w:r w:rsidR="0096524F" w:rsidRPr="0096524F">
        <w:rPr>
          <w:i/>
        </w:rPr>
        <w:t>Moseley v</w:t>
      </w:r>
      <w:r w:rsidR="0096524F" w:rsidRPr="0096524F">
        <w:t>.</w:t>
      </w:r>
      <w:r w:rsidR="0096524F" w:rsidRPr="0096524F">
        <w:t xml:space="preserve"> </w:t>
      </w:r>
      <w:r w:rsidR="0096524F" w:rsidRPr="0096524F">
        <w:rPr>
          <w:i/>
        </w:rPr>
        <w:t>V Secret Catalogue, Inc</w:t>
      </w:r>
      <w:r w:rsidRPr="0096524F">
        <w:t>.,</w:t>
      </w:r>
      <w:r w:rsidR="0096524F" w:rsidRPr="0096524F">
        <w:rPr>
          <w:vertAlign w:val="superscript"/>
        </w:rPr>
        <w:footnoteReference w:id="42"/>
      </w:r>
      <w:r w:rsidRPr="0096524F">
        <w:t xml:space="preserve"> where the Court interpreted the FTDA to require a showing of actual dilution and not just likelihood of dilution, the International Trademark Association (INTA) appointed a committee to propose revisions to the statute.</w:t>
      </w:r>
      <w:r w:rsidR="0096524F" w:rsidRPr="0096524F">
        <w:rPr>
          <w:vertAlign w:val="superscript"/>
        </w:rPr>
        <w:footnoteReference w:id="43"/>
      </w:r>
      <w:r w:rsidRPr="0096524F">
        <w:t xml:space="preserve"> This committee made a comprehensive proposal to revise the FTDA</w:t>
      </w:r>
      <w:r w:rsidR="0096524F" w:rsidRPr="0096524F">
        <w:t>.</w:t>
      </w:r>
      <w:r w:rsidR="0096524F" w:rsidRPr="0096524F">
        <w:t xml:space="preserve"> </w:t>
      </w:r>
      <w:r w:rsidR="0096524F" w:rsidRPr="0096524F">
        <w:t>T</w:t>
      </w:r>
      <w:r w:rsidRPr="0096524F">
        <w:t>his proposal was introduced in the House of Representatives as the Trademark Dilution Revision Act of 2005</w:t>
      </w:r>
      <w:r w:rsidR="0096524F" w:rsidRPr="0096524F">
        <w:t>.</w:t>
      </w:r>
      <w:r w:rsidR="0096524F" w:rsidRPr="0096524F">
        <w:t xml:space="preserve"> </w:t>
      </w:r>
      <w:r w:rsidR="0096524F" w:rsidRPr="0096524F">
        <w:t>A</w:t>
      </w:r>
      <w:r w:rsidRPr="0096524F">
        <w:t xml:space="preserve">mong the proposed revisions was a division of dilution into two categories, dilution by blurring and dilution by </w:t>
      </w:r>
      <w:proofErr w:type="spellStart"/>
      <w:r w:rsidRPr="0096524F">
        <w:t>tarnishment</w:t>
      </w:r>
      <w:proofErr w:type="spellEnd"/>
      <w:r w:rsidRPr="0096524F">
        <w:t>.</w:t>
      </w:r>
      <w:r w:rsidR="0096524F" w:rsidRPr="0096524F">
        <w:rPr>
          <w:vertAlign w:val="superscript"/>
        </w:rPr>
        <w:footnoteReference w:id="44"/>
      </w:r>
      <w:r w:rsidRPr="0096524F">
        <w:t xml:space="preserve"> The proposed revision included definitions of those categories, as well as a list of factors to use when analyzing dilution by blurring</w:t>
      </w:r>
      <w:r w:rsidR="0096524F" w:rsidRPr="0096524F">
        <w:t>.</w:t>
      </w:r>
      <w:r w:rsidR="0096524F" w:rsidRPr="0096524F">
        <w:t xml:space="preserve"> </w:t>
      </w:r>
      <w:r w:rsidR="0096524F" w:rsidRPr="0096524F">
        <w:t>T</w:t>
      </w:r>
      <w:r w:rsidRPr="0096524F">
        <w:t xml:space="preserve">he proposal also reversed the </w:t>
      </w:r>
      <w:r w:rsidR="0096524F" w:rsidRPr="0096524F">
        <w:rPr>
          <w:i/>
        </w:rPr>
        <w:t>Moseley</w:t>
      </w:r>
      <w:r w:rsidRPr="0096524F">
        <w:t xml:space="preserve"> decision by allowing relief upon a showing of “likelihood” of dilution by blurring or </w:t>
      </w:r>
      <w:proofErr w:type="spellStart"/>
      <w:r w:rsidRPr="0096524F">
        <w:t>tarnishment</w:t>
      </w:r>
      <w:proofErr w:type="spellEnd"/>
      <w:r w:rsidR="0096524F" w:rsidRPr="0096524F">
        <w:t>.</w:t>
      </w:r>
      <w:r w:rsidR="0096524F" w:rsidRPr="0096524F">
        <w:t xml:space="preserve"> </w:t>
      </w:r>
      <w:r w:rsidR="0096524F" w:rsidRPr="0096524F">
        <w:t>A</w:t>
      </w:r>
      <w:r w:rsidRPr="0096524F">
        <w:t>n amended version of the original proposal quickly passed the House.</w:t>
      </w:r>
      <w:r w:rsidR="0096524F" w:rsidRPr="0096524F">
        <w:rPr>
          <w:vertAlign w:val="superscript"/>
        </w:rPr>
        <w:footnoteReference w:id="45"/>
      </w:r>
      <w:r w:rsidRPr="0096524F">
        <w:t xml:space="preserve"> A year later, the Senate passed a somewhat altered version of the House proposal, but without changing the House-passed definitions of dilution</w:t>
      </w:r>
      <w:r w:rsidR="0096524F" w:rsidRPr="0096524F">
        <w:t>.</w:t>
      </w:r>
      <w:r w:rsidR="0096524F" w:rsidRPr="0096524F">
        <w:t xml:space="preserve"> </w:t>
      </w:r>
      <w:r w:rsidR="0096524F" w:rsidRPr="0096524F">
        <w:t>F</w:t>
      </w:r>
      <w:r w:rsidRPr="0096524F">
        <w:t xml:space="preserve">inally, in September 2006, </w:t>
      </w:r>
      <w:r w:rsidRPr="0096524F">
        <w:lastRenderedPageBreak/>
        <w:t>the House acceded to the Senate version and enacted the Trademark Dilution Revision Act of 2006 (TDRA)</w:t>
      </w:r>
      <w:r w:rsidR="0096524F" w:rsidRPr="0096524F">
        <w:t>.</w:t>
      </w:r>
      <w:r w:rsidR="0096524F" w:rsidRPr="0096524F">
        <w:t xml:space="preserve"> </w:t>
      </w:r>
      <w:r w:rsidR="0096524F" w:rsidRPr="0096524F">
        <w:t>S</w:t>
      </w:r>
      <w:r w:rsidRPr="0096524F">
        <w:t>ection 43(c)(2) of the TDRA retains the two categories of dilution and the suggested factors contained in the original House bill</w:t>
      </w:r>
      <w:r w:rsidR="0096524F" w:rsidRPr="0096524F">
        <w:t>.</w:t>
      </w:r>
      <w:r w:rsidR="0096524F" w:rsidRPr="0096524F">
        <w:t xml:space="preserve"> </w:t>
      </w:r>
      <w:r w:rsidR="0096524F" w:rsidRPr="0096524F">
        <w:t>I</w:t>
      </w:r>
      <w:r w:rsidRPr="0096524F">
        <w:t>t also contains definitions of the two categories of dilution</w:t>
      </w:r>
      <w:r w:rsidR="0096524F" w:rsidRPr="0096524F">
        <w:rPr>
          <w:vertAlign w:val="superscript"/>
        </w:rPr>
        <w:footnoteReference w:id="46"/>
      </w:r>
      <w:r w:rsidRPr="0096524F">
        <w:t xml:space="preserve"> which are quoted in Section II.A.1</w:t>
      </w:r>
      <w:r w:rsidR="0096524F" w:rsidRPr="0096524F">
        <w:t>.</w:t>
      </w:r>
      <w:r w:rsidR="0096524F" w:rsidRPr="0096524F">
        <w:t xml:space="preserve"> </w:t>
      </w:r>
      <w:r w:rsidR="0096524F" w:rsidRPr="0096524F">
        <w:t>a</w:t>
      </w:r>
      <w:r w:rsidRPr="0096524F">
        <w:t>bove.</w:t>
      </w:r>
    </w:p>
    <w:p w14:paraId="215AE897" w14:textId="02A2F4EA" w:rsidR="0096524F" w:rsidRPr="0096524F" w:rsidRDefault="00A60ADB" w:rsidP="0096524F">
      <w:pPr>
        <w:pStyle w:val="BNormal"/>
      </w:pPr>
      <w:r w:rsidRPr="0096524F">
        <w:t xml:space="preserve">The creation of two specific categories of dilution appears to reflect a problem with the original definition of dilution that was pointed out by the Supreme Court in </w:t>
      </w:r>
      <w:r w:rsidR="0096524F" w:rsidRPr="0096524F">
        <w:rPr>
          <w:i/>
        </w:rPr>
        <w:t>Moseley</w:t>
      </w:r>
      <w:r w:rsidR="0096524F" w:rsidRPr="0096524F">
        <w:t>:</w:t>
      </w:r>
      <w:r w:rsidR="0096524F" w:rsidRPr="0096524F">
        <w:t xml:space="preserve"> </w:t>
      </w:r>
      <w:r w:rsidR="0096524F" w:rsidRPr="0096524F">
        <w:t>t</w:t>
      </w:r>
      <w:r w:rsidRPr="0096524F">
        <w:t xml:space="preserve">hat the definition may not have included </w:t>
      </w:r>
      <w:proofErr w:type="spellStart"/>
      <w:r w:rsidRPr="0096524F">
        <w:t>tarnishment</w:t>
      </w:r>
      <w:proofErr w:type="spellEnd"/>
      <w:r w:rsidRPr="0096524F">
        <w:t>, despite Congress’s desire to do so.</w:t>
      </w:r>
      <w:r w:rsidR="0096524F" w:rsidRPr="0096524F">
        <w:rPr>
          <w:vertAlign w:val="superscript"/>
        </w:rPr>
        <w:footnoteReference w:id="47"/>
      </w:r>
      <w:r w:rsidRPr="0096524F">
        <w:t xml:space="preserve"> The amended statute includes a definition of </w:t>
      </w:r>
      <w:proofErr w:type="spellStart"/>
      <w:r w:rsidRPr="0096524F">
        <w:t>tarnishment</w:t>
      </w:r>
      <w:proofErr w:type="spellEnd"/>
      <w:r w:rsidRPr="0096524F">
        <w:t xml:space="preserve"> and makes it clear that </w:t>
      </w:r>
      <w:proofErr w:type="spellStart"/>
      <w:r w:rsidRPr="0096524F">
        <w:t>tarnishment</w:t>
      </w:r>
      <w:proofErr w:type="spellEnd"/>
      <w:r w:rsidRPr="0096524F">
        <w:t xml:space="preserve"> is actionable as dilution.</w:t>
      </w:r>
    </w:p>
    <w:p w14:paraId="14C8038A" w14:textId="6490FC9A" w:rsidR="0096524F" w:rsidRPr="0096524F" w:rsidRDefault="00371CCB" w:rsidP="00175762">
      <w:pPr>
        <w:pStyle w:val="BHead2"/>
      </w:pPr>
      <w:r>
        <w:t>9.II.</w:t>
      </w:r>
      <w:r w:rsidR="0096524F" w:rsidRPr="00175762">
        <w:rPr>
          <w:rStyle w:val="BBNAidChar"/>
          <w:rFonts w:eastAsiaTheme="majorEastAsia"/>
        </w:rPr>
        <w:t>C</w:t>
      </w:r>
      <w:r w:rsidR="0096524F" w:rsidRPr="0096524F">
        <w:t>.</w:t>
      </w:r>
      <w:r>
        <w:t> </w:t>
      </w:r>
      <w:r w:rsidR="0096524F" w:rsidRPr="0096524F">
        <w:tab/>
        <w:t>The Categories and Mechanism of Dilution</w:t>
      </w:r>
    </w:p>
    <w:p w14:paraId="7F5B4A51" w14:textId="2937912A" w:rsidR="0096524F" w:rsidRPr="0096524F" w:rsidRDefault="00371CCB" w:rsidP="00175762">
      <w:pPr>
        <w:pStyle w:val="BHead3"/>
      </w:pPr>
      <w:r>
        <w:t>9.II.C.</w:t>
      </w:r>
      <w:r w:rsidR="0096524F" w:rsidRPr="00175762">
        <w:rPr>
          <w:rStyle w:val="BBNAidChar"/>
          <w:rFonts w:eastAsiaTheme="majorEastAsia"/>
        </w:rPr>
        <w:t>1</w:t>
      </w:r>
      <w:r w:rsidR="0096524F" w:rsidRPr="0096524F">
        <w:t>.</w:t>
      </w:r>
      <w:r>
        <w:t> </w:t>
      </w:r>
      <w:r w:rsidR="0096524F" w:rsidRPr="0096524F">
        <w:tab/>
        <w:t>The Categories of Dilution</w:t>
      </w:r>
    </w:p>
    <w:p w14:paraId="35F6607E" w14:textId="4B898FA8" w:rsidR="0096524F" w:rsidRPr="0096524F" w:rsidRDefault="00A60ADB" w:rsidP="0096524F">
      <w:pPr>
        <w:pStyle w:val="BNormal"/>
      </w:pPr>
      <w:r w:rsidRPr="0096524F">
        <w:t>The TDRA recognizes just two categories of dilution</w:t>
      </w:r>
      <w:r w:rsidR="0096524F" w:rsidRPr="0096524F">
        <w:t>:</w:t>
      </w:r>
      <w:r w:rsidR="0096524F" w:rsidRPr="0096524F">
        <w:t xml:space="preserve"> </w:t>
      </w:r>
      <w:r w:rsidR="0096524F" w:rsidRPr="0096524F">
        <w:t>b</w:t>
      </w:r>
      <w:r w:rsidRPr="0096524F">
        <w:t xml:space="preserve">lurring and </w:t>
      </w:r>
      <w:proofErr w:type="spellStart"/>
      <w:r w:rsidRPr="0096524F">
        <w:t>tarnishment</w:t>
      </w:r>
      <w:proofErr w:type="spellEnd"/>
      <w:r w:rsidRPr="0096524F">
        <w:t>.</w:t>
      </w:r>
      <w:r w:rsidR="0096524F" w:rsidRPr="0096524F">
        <w:rPr>
          <w:vertAlign w:val="superscript"/>
        </w:rPr>
        <w:footnoteReference w:id="48"/>
      </w:r>
      <w:r w:rsidRPr="0096524F">
        <w:t xml:space="preserve"> Unlike the 1964 Model State Trademark Bill</w:t>
      </w:r>
      <w:r w:rsidR="0096524F" w:rsidRPr="0096524F">
        <w:rPr>
          <w:vertAlign w:val="superscript"/>
        </w:rPr>
        <w:footnoteReference w:id="49"/>
      </w:r>
      <w:r w:rsidRPr="0096524F">
        <w:t xml:space="preserve"> and the original FTDA, the TDRA defines each category separately</w:t>
      </w:r>
      <w:r w:rsidR="0096524F" w:rsidRPr="0096524F">
        <w:t>.</w:t>
      </w:r>
      <w:r w:rsidR="0096524F" w:rsidRPr="0096524F">
        <w:t xml:space="preserve"> </w:t>
      </w:r>
      <w:r w:rsidR="0096524F" w:rsidRPr="0096524F">
        <w:t>T</w:t>
      </w:r>
      <w:r w:rsidRPr="0096524F">
        <w:t>he definition of blurring seems to be fairly consistent with the general pre-TDRA understanding of the category</w:t>
      </w:r>
      <w:r w:rsidR="0096524F" w:rsidRPr="0096524F">
        <w:t>.</w:t>
      </w:r>
      <w:r w:rsidR="0096524F" w:rsidRPr="0096524F">
        <w:t xml:space="preserve"> </w:t>
      </w:r>
      <w:r w:rsidR="0096524F" w:rsidRPr="0096524F">
        <w:t>I</w:t>
      </w:r>
      <w:r w:rsidRPr="0096524F">
        <w:t>t aims at uses that lessen the distinctiveness of a famous mark</w:t>
      </w:r>
      <w:r w:rsidR="0096524F" w:rsidRPr="0096524F">
        <w:t>.</w:t>
      </w:r>
      <w:r w:rsidR="0096524F" w:rsidRPr="0096524F">
        <w:t xml:space="preserve"> </w:t>
      </w:r>
      <w:r w:rsidR="0096524F" w:rsidRPr="0096524F">
        <w:t>F</w:t>
      </w:r>
      <w:r w:rsidRPr="0096524F">
        <w:t>urthermore, one of the factors listed under the definition of blurring—whether the plaintiff was the “exclusive use[r] of the mark”</w:t>
      </w:r>
      <w:r w:rsidR="0096524F" w:rsidRPr="0096524F">
        <w:rPr>
          <w:vertAlign w:val="superscript"/>
        </w:rPr>
        <w:footnoteReference w:id="50"/>
      </w:r>
      <w:r w:rsidRPr="0096524F">
        <w:t>—reinforces the link to Schechter’s idea of dilution as harm to uniqueness.</w:t>
      </w:r>
    </w:p>
    <w:p w14:paraId="0F376247" w14:textId="5EF9BA3F" w:rsidR="0096524F" w:rsidRPr="0096524F" w:rsidRDefault="00A60ADB" w:rsidP="0096524F">
      <w:pPr>
        <w:pStyle w:val="BNormal"/>
      </w:pPr>
      <w:r w:rsidRPr="0096524F">
        <w:t>Case law prior to the TDRA discussed other possible forms of dilution, although only one—genericide—could actually be categorized by name</w:t>
      </w:r>
      <w:r w:rsidR="0096524F" w:rsidRPr="0096524F">
        <w:t>.</w:t>
      </w:r>
      <w:r w:rsidR="0096524F" w:rsidRPr="0096524F">
        <w:t xml:space="preserve"> </w:t>
      </w:r>
      <w:r w:rsidR="0096524F" w:rsidRPr="0096524F">
        <w:t>T</w:t>
      </w:r>
      <w:r w:rsidRPr="0096524F">
        <w:t>he others were hinted at, but in a manner so vague as to make nomenclature difficult.</w:t>
      </w:r>
      <w:r w:rsidR="0096524F" w:rsidRPr="0096524F">
        <w:rPr>
          <w:vertAlign w:val="superscript"/>
        </w:rPr>
        <w:footnoteReference w:id="51"/>
      </w:r>
      <w:r w:rsidRPr="0096524F">
        <w:t xml:space="preserve"> Whether any of these other forms of dilution are actionable under the TDRA is questionable</w:t>
      </w:r>
      <w:r w:rsidR="0096524F" w:rsidRPr="0096524F">
        <w:t>.</w:t>
      </w:r>
      <w:r w:rsidR="0096524F" w:rsidRPr="0096524F">
        <w:t xml:space="preserve"> </w:t>
      </w:r>
      <w:r w:rsidR="0096524F" w:rsidRPr="0096524F">
        <w:t>G</w:t>
      </w:r>
      <w:r w:rsidRPr="0096524F">
        <w:t>enericide normally refers to a use of a mark as a generic term, rather than as a mark</w:t>
      </w:r>
      <w:r w:rsidR="0096524F" w:rsidRPr="0096524F">
        <w:t>.</w:t>
      </w:r>
      <w:r w:rsidR="0096524F" w:rsidRPr="0096524F">
        <w:t xml:space="preserve"> </w:t>
      </w:r>
      <w:r w:rsidR="0096524F" w:rsidRPr="0096524F">
        <w:t>T</w:t>
      </w:r>
      <w:r w:rsidRPr="0096524F">
        <w:t>he definition of blurring requires that the second use conjure up an “association” with the famous mark</w:t>
      </w:r>
      <w:r w:rsidR="0096524F" w:rsidRPr="0096524F">
        <w:t>;</w:t>
      </w:r>
      <w:r w:rsidR="0096524F" w:rsidRPr="0096524F">
        <w:t xml:space="preserve"> </w:t>
      </w:r>
      <w:r w:rsidR="0096524F" w:rsidRPr="0096524F">
        <w:t>u</w:t>
      </w:r>
      <w:r w:rsidRPr="0096524F">
        <w:t>se of the mark as a generic term may not do that</w:t>
      </w:r>
      <w:r w:rsidR="0096524F" w:rsidRPr="0096524F">
        <w:t>.</w:t>
      </w:r>
      <w:r w:rsidR="0096524F" w:rsidRPr="0096524F">
        <w:t xml:space="preserve"> </w:t>
      </w:r>
      <w:r w:rsidR="0096524F" w:rsidRPr="0096524F">
        <w:t>I</w:t>
      </w:r>
      <w:r w:rsidRPr="0096524F">
        <w:t>n addition, the definition requires that the association “impair[] the distinctiveness” of the mark.</w:t>
      </w:r>
      <w:r w:rsidR="0096524F" w:rsidRPr="0096524F">
        <w:rPr>
          <w:vertAlign w:val="superscript"/>
        </w:rPr>
        <w:footnoteReference w:id="52"/>
      </w:r>
      <w:r w:rsidRPr="0096524F">
        <w:t xml:space="preserve"> One might fit a total loss of source identification into that definition, although it is certainly a less-than-perfect fit</w:t>
      </w:r>
      <w:r w:rsidR="0096524F" w:rsidRPr="0096524F">
        <w:t>.</w:t>
      </w:r>
      <w:r w:rsidR="0096524F" w:rsidRPr="0096524F">
        <w:t xml:space="preserve"> </w:t>
      </w:r>
      <w:r w:rsidR="0096524F" w:rsidRPr="0096524F">
        <w:t>A</w:t>
      </w:r>
      <w:r w:rsidRPr="0096524F">
        <w:t xml:space="preserve">ny “other” forms of dilution would have to fit within the definitions of blurring or </w:t>
      </w:r>
      <w:proofErr w:type="spellStart"/>
      <w:r w:rsidRPr="0096524F">
        <w:t>tarnishment</w:t>
      </w:r>
      <w:proofErr w:type="spellEnd"/>
      <w:r w:rsidRPr="0096524F">
        <w:t xml:space="preserve"> in order to be actionable under federal law.</w:t>
      </w:r>
      <w:r w:rsidR="0096524F" w:rsidRPr="0096524F">
        <w:rPr>
          <w:vertAlign w:val="superscript"/>
        </w:rPr>
        <w:footnoteReference w:id="53"/>
      </w:r>
    </w:p>
    <w:p w14:paraId="20DE767C" w14:textId="53C8BD57" w:rsidR="0096524F" w:rsidRPr="0096524F" w:rsidRDefault="00371CCB" w:rsidP="00175762">
      <w:pPr>
        <w:pStyle w:val="BHead3"/>
      </w:pPr>
      <w:r>
        <w:lastRenderedPageBreak/>
        <w:t>9.II.C.</w:t>
      </w:r>
      <w:r w:rsidR="0096524F" w:rsidRPr="00175762">
        <w:rPr>
          <w:rStyle w:val="BBNAidChar"/>
          <w:rFonts w:eastAsiaTheme="majorEastAsia"/>
        </w:rPr>
        <w:t>2</w:t>
      </w:r>
      <w:r w:rsidR="0096524F" w:rsidRPr="0096524F">
        <w:t>.</w:t>
      </w:r>
      <w:r>
        <w:t> </w:t>
      </w:r>
      <w:r w:rsidR="0096524F" w:rsidRPr="0096524F">
        <w:tab/>
        <w:t>The Mechanism of Dilution</w:t>
      </w:r>
    </w:p>
    <w:p w14:paraId="5D104B6C" w14:textId="298B27CD" w:rsidR="0096524F" w:rsidRPr="0096524F" w:rsidRDefault="00A60ADB" w:rsidP="0096524F">
      <w:pPr>
        <w:pStyle w:val="BNormal"/>
      </w:pPr>
      <w:r w:rsidRPr="0096524F">
        <w:t>Dilution has been variously described in this text as “whittling away” at the distinctiveness of the mark (blurring), and as an attack on the reputation, and thus marketing value, of the mark (</w:t>
      </w:r>
      <w:proofErr w:type="spellStart"/>
      <w:r w:rsidRPr="0096524F">
        <w:t>tarnishment</w:t>
      </w:r>
      <w:proofErr w:type="spellEnd"/>
      <w:r w:rsidRPr="0096524F">
        <w:t>)</w:t>
      </w:r>
      <w:r w:rsidR="0096524F" w:rsidRPr="0096524F">
        <w:t>.</w:t>
      </w:r>
      <w:r w:rsidR="0096524F" w:rsidRPr="0096524F">
        <w:t xml:space="preserve"> </w:t>
      </w:r>
      <w:r w:rsidR="0096524F" w:rsidRPr="0096524F">
        <w:t>H</w:t>
      </w:r>
      <w:r w:rsidRPr="0096524F">
        <w:t>owever, the reason that the concept is “elusive” may be that these descriptions mask what dilution really is about.</w:t>
      </w:r>
    </w:p>
    <w:p w14:paraId="5374C30E" w14:textId="5A695847" w:rsidR="0096524F" w:rsidRPr="0096524F" w:rsidRDefault="00A60ADB" w:rsidP="0096524F">
      <w:pPr>
        <w:pStyle w:val="BNormal"/>
      </w:pPr>
      <w:r w:rsidRPr="0096524F">
        <w:t>One major category of dilution is blurring</w:t>
      </w:r>
      <w:r w:rsidR="0096524F" w:rsidRPr="0096524F">
        <w:t>.</w:t>
      </w:r>
      <w:r w:rsidR="0096524F" w:rsidRPr="0096524F">
        <w:t xml:space="preserve"> </w:t>
      </w:r>
      <w:r w:rsidR="0096524F" w:rsidRPr="0096524F">
        <w:t>“</w:t>
      </w:r>
      <w:r w:rsidRPr="0096524F">
        <w:t>Blurring” is a very indefinite way to categorize dilution</w:t>
      </w:r>
      <w:r w:rsidR="0096524F" w:rsidRPr="0096524F">
        <w:t>.</w:t>
      </w:r>
      <w:r w:rsidR="0096524F" w:rsidRPr="0096524F">
        <w:t xml:space="preserve"> </w:t>
      </w:r>
      <w:r w:rsidR="0096524F" w:rsidRPr="0096524F">
        <w:t>A</w:t>
      </w:r>
      <w:r w:rsidRPr="0096524F">
        <w:t xml:space="preserve"> dictionary definition of “blur” is “[t]o lessen the perception of</w:t>
      </w:r>
      <w:r w:rsidR="0096524F" w:rsidRPr="0096524F">
        <w:t>;</w:t>
      </w:r>
      <w:r w:rsidR="0096524F" w:rsidRPr="0096524F">
        <w:t xml:space="preserve"> </w:t>
      </w:r>
      <w:r w:rsidR="0096524F" w:rsidRPr="0096524F">
        <w:t>t</w:t>
      </w:r>
      <w:r w:rsidRPr="0096524F">
        <w:t>o dim.”</w:t>
      </w:r>
      <w:r w:rsidR="0096524F" w:rsidRPr="0096524F">
        <w:rPr>
          <w:vertAlign w:val="superscript"/>
        </w:rPr>
        <w:footnoteReference w:id="54"/>
      </w:r>
      <w:r w:rsidRPr="0096524F">
        <w:t xml:space="preserve"> This may be an adequate </w:t>
      </w:r>
      <w:r w:rsidR="0096524F" w:rsidRPr="0096524F">
        <w:rPr>
          <w:i/>
        </w:rPr>
        <w:t>description</w:t>
      </w:r>
      <w:r w:rsidRPr="0096524F">
        <w:t xml:space="preserve"> of dilution by blurring (“dimming” of the unique source-identifying properties of a mark, or lessening the perception of a mark as a source identifier), but it does not indicate how that would occur</w:t>
      </w:r>
      <w:r w:rsidR="0096524F" w:rsidRPr="0096524F">
        <w:t>.</w:t>
      </w:r>
      <w:r w:rsidR="0096524F" w:rsidRPr="0096524F">
        <w:t xml:space="preserve"> </w:t>
      </w:r>
      <w:r w:rsidR="0096524F" w:rsidRPr="0096524F">
        <w:t>D</w:t>
      </w:r>
      <w:r w:rsidRPr="0096524F">
        <w:t xml:space="preserve">oes </w:t>
      </w:r>
      <w:r w:rsidR="0096524F" w:rsidRPr="0096524F">
        <w:rPr>
          <w:i/>
        </w:rPr>
        <w:t>any</w:t>
      </w:r>
      <w:r w:rsidRPr="0096524F">
        <w:t xml:space="preserve"> second use of a famous mark tend to “dim” its unique source-identifying properties</w:t>
      </w:r>
      <w:r w:rsidR="0096524F" w:rsidRPr="0096524F">
        <w:t>?</w:t>
      </w:r>
      <w:r w:rsidR="0096524F" w:rsidRPr="0096524F">
        <w:t xml:space="preserve"> </w:t>
      </w:r>
      <w:r w:rsidR="0096524F" w:rsidRPr="0096524F">
        <w:t>I</w:t>
      </w:r>
      <w:r w:rsidRPr="0096524F">
        <w:t>f not, how are those uses that cause blurring separated from those that do not</w:t>
      </w:r>
      <w:r w:rsidR="0096524F" w:rsidRPr="0096524F">
        <w:t>?</w:t>
      </w:r>
      <w:r w:rsidR="0096524F" w:rsidRPr="0096524F">
        <w:t xml:space="preserve"> </w:t>
      </w:r>
      <w:r w:rsidR="0096524F" w:rsidRPr="0096524F">
        <w:t>T</w:t>
      </w:r>
      <w:r w:rsidRPr="0096524F">
        <w:t>he TDRA attempts to do this with six guiding factors</w:t>
      </w:r>
      <w:r w:rsidR="0096524F" w:rsidRPr="0096524F">
        <w:t>.</w:t>
      </w:r>
      <w:r w:rsidR="0096524F" w:rsidRPr="0096524F">
        <w:t xml:space="preserve"> </w:t>
      </w:r>
      <w:r w:rsidR="0096524F" w:rsidRPr="0096524F">
        <w:t>B</w:t>
      </w:r>
      <w:r w:rsidRPr="0096524F">
        <w:t xml:space="preserve">ut, as discussed later in this chapter, these factors are, at best, indirect evidence of </w:t>
      </w:r>
      <w:r w:rsidR="0096524F" w:rsidRPr="0096524F">
        <w:rPr>
          <w:i/>
        </w:rPr>
        <w:t>possible</w:t>
      </w:r>
      <w:r w:rsidRPr="0096524F">
        <w:t xml:space="preserve"> dilution.</w:t>
      </w:r>
      <w:r w:rsidR="0096524F" w:rsidRPr="0096524F">
        <w:rPr>
          <w:vertAlign w:val="superscript"/>
        </w:rPr>
        <w:footnoteReference w:id="55"/>
      </w:r>
    </w:p>
    <w:p w14:paraId="5FBE144D" w14:textId="20B271A9" w:rsidR="0096524F" w:rsidRPr="0096524F" w:rsidRDefault="00A60ADB" w:rsidP="0096524F">
      <w:pPr>
        <w:pStyle w:val="BNormal"/>
      </w:pPr>
      <w:r w:rsidRPr="0096524F">
        <w:t>Another way to describe dilution by blurring is a process by which a mark comes to signify more than one source, where it previously signified a unique source.</w:t>
      </w:r>
      <w:r w:rsidR="0096524F" w:rsidRPr="0096524F">
        <w:rPr>
          <w:vertAlign w:val="superscript"/>
        </w:rPr>
        <w:footnoteReference w:id="56"/>
      </w:r>
      <w:r w:rsidRPr="0096524F">
        <w:t xml:space="preserve"> This process is implicitly recognized by the TDRA in the factor of the degree of exclusivity of use by the famous mark owner</w:t>
      </w:r>
      <w:r w:rsidR="0096524F" w:rsidRPr="0096524F">
        <w:t>.</w:t>
      </w:r>
      <w:r w:rsidR="0096524F" w:rsidRPr="0096524F">
        <w:t xml:space="preserve"> </w:t>
      </w:r>
      <w:r w:rsidR="0096524F" w:rsidRPr="0096524F">
        <w:t>B</w:t>
      </w:r>
      <w:r w:rsidRPr="0096524F">
        <w:t>ut this, too, does not easily allow us to separate diluting from non-diluting uses.</w:t>
      </w:r>
    </w:p>
    <w:p w14:paraId="0247FF5F" w14:textId="291236D7" w:rsidR="0096524F" w:rsidRPr="0096524F" w:rsidRDefault="00A60ADB" w:rsidP="0096524F">
      <w:pPr>
        <w:pStyle w:val="BNormal"/>
      </w:pPr>
      <w:r w:rsidRPr="0096524F">
        <w:t>One proposed method is to employ the economic idea of increased search cost</w:t>
      </w:r>
      <w:r w:rsidR="0096524F" w:rsidRPr="0096524F">
        <w:t>.</w:t>
      </w:r>
      <w:r w:rsidR="0096524F" w:rsidRPr="0096524F">
        <w:t xml:space="preserve"> </w:t>
      </w:r>
      <w:r w:rsidR="0096524F" w:rsidRPr="0096524F">
        <w:t>D</w:t>
      </w:r>
      <w:r w:rsidRPr="0096524F">
        <w:t>ilution is said to result when the use of a second mark causes the consumer to have to search his or her mind harder to determine which user a particular use of the mark refers to</w:t>
      </w:r>
      <w:r w:rsidR="0096524F" w:rsidRPr="0096524F">
        <w:t>.</w:t>
      </w:r>
      <w:r w:rsidR="0096524F" w:rsidRPr="0096524F">
        <w:t xml:space="preserve"> </w:t>
      </w:r>
      <w:r w:rsidR="0096524F" w:rsidRPr="0096524F">
        <w:t>T</w:t>
      </w:r>
      <w:r w:rsidRPr="0096524F">
        <w:t>his approach is appealing because, in theory, one might measure the increased “mental search time,” thus giving empirical evidence of dilution.</w:t>
      </w:r>
      <w:r w:rsidR="0096524F" w:rsidRPr="0096524F">
        <w:rPr>
          <w:vertAlign w:val="superscript"/>
        </w:rPr>
        <w:footnoteReference w:id="57"/>
      </w:r>
      <w:r w:rsidRPr="0096524F">
        <w:t xml:space="preserve"> However, the search cost concept also has been subject to some trenchant criticism.</w:t>
      </w:r>
      <w:r w:rsidR="0096524F" w:rsidRPr="0096524F">
        <w:rPr>
          <w:vertAlign w:val="superscript"/>
        </w:rPr>
        <w:footnoteReference w:id="58"/>
      </w:r>
    </w:p>
    <w:p w14:paraId="267F02BE" w14:textId="77777777" w:rsidR="0096524F" w:rsidRPr="0096524F" w:rsidRDefault="00A60ADB" w:rsidP="0096524F">
      <w:pPr>
        <w:pStyle w:val="BNormal"/>
      </w:pPr>
      <w:r w:rsidRPr="0096524F">
        <w:lastRenderedPageBreak/>
        <w:t>The TDRA definition recognizes the problem, and defines dilution as a process that diminishes the distinctiveness of a mark and that results from an association between a famous mark and a second mark.</w:t>
      </w:r>
    </w:p>
    <w:p w14:paraId="131A1F4D" w14:textId="7175A2C3" w:rsidR="0096524F" w:rsidRPr="0096524F" w:rsidRDefault="00A60ADB" w:rsidP="0096524F">
      <w:pPr>
        <w:pStyle w:val="BNormal"/>
      </w:pPr>
      <w:r w:rsidRPr="0096524F">
        <w:t xml:space="preserve">The category of dilution by </w:t>
      </w:r>
      <w:proofErr w:type="spellStart"/>
      <w:r w:rsidRPr="0096524F">
        <w:t>tarnishment</w:t>
      </w:r>
      <w:proofErr w:type="spellEnd"/>
      <w:r w:rsidRPr="0096524F">
        <w:t xml:space="preserve"> gives a bit more guidance because it reasonably describes a set of circumstances that can be measured by facts—whether association with an unsavory trait or product is causing (or is likely to cause) harm to the “aura” of the mark</w:t>
      </w:r>
      <w:r w:rsidR="0096524F" w:rsidRPr="0096524F">
        <w:t>.</w:t>
      </w:r>
      <w:r w:rsidR="0096524F" w:rsidRPr="0096524F">
        <w:t xml:space="preserve"> </w:t>
      </w:r>
      <w:r w:rsidR="0096524F" w:rsidRPr="0096524F">
        <w:t>T</w:t>
      </w:r>
      <w:r w:rsidRPr="0096524F">
        <w:t xml:space="preserve">he primary problem with </w:t>
      </w:r>
      <w:proofErr w:type="spellStart"/>
      <w:r w:rsidRPr="0096524F">
        <w:t>tarnishment</w:t>
      </w:r>
      <w:proofErr w:type="spellEnd"/>
      <w:r w:rsidRPr="0096524F">
        <w:t xml:space="preserve"> is defining the associations that are deemed sufficiently “unsavory.”</w:t>
      </w:r>
      <w:r w:rsidR="0096524F" w:rsidRPr="0096524F">
        <w:rPr>
          <w:vertAlign w:val="superscript"/>
        </w:rPr>
        <w:footnoteReference w:id="59"/>
      </w:r>
      <w:r w:rsidRPr="0096524F">
        <w:t xml:space="preserve"> The TDRA appears to eschew such an attempt, defining </w:t>
      </w:r>
      <w:proofErr w:type="spellStart"/>
      <w:r w:rsidRPr="0096524F">
        <w:t>tarnishment</w:t>
      </w:r>
      <w:proofErr w:type="spellEnd"/>
      <w:r w:rsidRPr="0096524F">
        <w:t xml:space="preserve"> in terms of the ultimate effect on the reputation of the famous mark</w:t>
      </w:r>
      <w:r w:rsidR="0096524F" w:rsidRPr="0096524F">
        <w:t>.</w:t>
      </w:r>
      <w:r w:rsidR="0096524F" w:rsidRPr="0096524F">
        <w:t xml:space="preserve"> </w:t>
      </w:r>
      <w:r w:rsidR="0096524F" w:rsidRPr="0096524F">
        <w:t>E</w:t>
      </w:r>
      <w:r w:rsidRPr="0096524F">
        <w:t>ven so, measuring the likely effect of one or several potentially tarnishing uses on a mark is an uncertain matter.</w:t>
      </w:r>
    </w:p>
    <w:p w14:paraId="4EBE90C0" w14:textId="57149E93" w:rsidR="0096524F" w:rsidRPr="00175762" w:rsidRDefault="00371CCB" w:rsidP="00175762">
      <w:pPr>
        <w:pStyle w:val="BHead3"/>
      </w:pPr>
      <w:r>
        <w:t>9.II.C.</w:t>
      </w:r>
      <w:r w:rsidR="0096524F" w:rsidRPr="00175762">
        <w:rPr>
          <w:rStyle w:val="BBNAidChar"/>
          <w:rFonts w:eastAsiaTheme="majorEastAsia"/>
        </w:rPr>
        <w:t>3</w:t>
      </w:r>
      <w:r w:rsidR="0096524F" w:rsidRPr="00175762">
        <w:t>.</w:t>
      </w:r>
      <w:r>
        <w:t> </w:t>
      </w:r>
      <w:r w:rsidR="0096524F" w:rsidRPr="00175762">
        <w:tab/>
        <w:t>“Actual” Dilution vs. “Likelihood” of Dilution</w:t>
      </w:r>
    </w:p>
    <w:p w14:paraId="056BB807" w14:textId="166C7662" w:rsidR="0096524F" w:rsidRPr="0096524F" w:rsidRDefault="00A60ADB" w:rsidP="0096524F">
      <w:pPr>
        <w:pStyle w:val="BNormal"/>
      </w:pPr>
      <w:r w:rsidRPr="0096524F">
        <w:t xml:space="preserve">One approach to separating diluting uses from non-diluting uses of a mark would be to require the plaintiff to show that the second use is </w:t>
      </w:r>
      <w:r w:rsidR="0096524F" w:rsidRPr="0096524F">
        <w:rPr>
          <w:i/>
        </w:rPr>
        <w:t>actually</w:t>
      </w:r>
      <w:r w:rsidRPr="0096524F">
        <w:t xml:space="preserve"> harming the distinctiveness (or reputation) of the plaintiff’s mark</w:t>
      </w:r>
      <w:r w:rsidR="0096524F" w:rsidRPr="0096524F">
        <w:t>.</w:t>
      </w:r>
      <w:r w:rsidR="0096524F" w:rsidRPr="0096524F">
        <w:t xml:space="preserve"> </w:t>
      </w:r>
      <w:r w:rsidR="0096524F" w:rsidRPr="0096524F">
        <w:t>S</w:t>
      </w:r>
      <w:r w:rsidRPr="0096524F">
        <w:t>uch a showing would insure that dilution protection is not being predicated on a mere possibility of dilution</w:t>
      </w:r>
      <w:r w:rsidR="0096524F" w:rsidRPr="0096524F">
        <w:t>.</w:t>
      </w:r>
      <w:r w:rsidR="0096524F" w:rsidRPr="0096524F">
        <w:t xml:space="preserve"> </w:t>
      </w:r>
      <w:r w:rsidR="0096524F" w:rsidRPr="0096524F">
        <w:t>H</w:t>
      </w:r>
      <w:r w:rsidRPr="0096524F">
        <w:t>owever, requiring actual dilution under the TDRA would require overcoming its statutory language and history.</w:t>
      </w:r>
    </w:p>
    <w:p w14:paraId="0953F0DD" w14:textId="5A06583B" w:rsidR="0096524F" w:rsidRPr="0096524F" w:rsidRDefault="00A60ADB" w:rsidP="0096524F">
      <w:pPr>
        <w:pStyle w:val="BNormal"/>
      </w:pPr>
      <w:r w:rsidRPr="0096524F">
        <w:t>The earliest state laws, most of which were patterned after either the Massachusetts law or the 1964 Model State Trademark Bill, permitted an injunction based on a “likelihood of dilution.”</w:t>
      </w:r>
      <w:r w:rsidR="0096524F" w:rsidRPr="0096524F">
        <w:rPr>
          <w:vertAlign w:val="superscript"/>
        </w:rPr>
        <w:footnoteReference w:id="60"/>
      </w:r>
      <w:r w:rsidRPr="0096524F">
        <w:t xml:space="preserve"> Similarly, the TDRA permits an injunction if a second mark is “likely to cause dilution by blurring or dilution by </w:t>
      </w:r>
      <w:proofErr w:type="spellStart"/>
      <w:r w:rsidRPr="0096524F">
        <w:t>tarnishment</w:t>
      </w:r>
      <w:proofErr w:type="spellEnd"/>
      <w:r w:rsidRPr="0096524F">
        <w:t>.”</w:t>
      </w:r>
      <w:r w:rsidR="0096524F" w:rsidRPr="0096524F">
        <w:rPr>
          <w:vertAlign w:val="superscript"/>
        </w:rPr>
        <w:footnoteReference w:id="61"/>
      </w:r>
      <w:r w:rsidRPr="0096524F">
        <w:t xml:space="preserve"> (The TDRA adds that no showing “of actual economic injury” is required to obtain an injunction.</w:t>
      </w:r>
      <w:r w:rsidR="0096524F" w:rsidRPr="0096524F">
        <w:rPr>
          <w:vertAlign w:val="superscript"/>
        </w:rPr>
        <w:footnoteReference w:id="62"/>
      </w:r>
      <w:r w:rsidRPr="0096524F">
        <w:t>) Moreover, the “likely to cause” language was drafted specifically to overturn the Supreme Court’s interpretation of the original FTDA that actual dilution was required.</w:t>
      </w:r>
      <w:r w:rsidR="0096524F" w:rsidRPr="0096524F">
        <w:rPr>
          <w:vertAlign w:val="superscript"/>
        </w:rPr>
        <w:footnoteReference w:id="63"/>
      </w:r>
      <w:r w:rsidRPr="0096524F">
        <w:t xml:space="preserve"> Thus, it is difficult to see how one could </w:t>
      </w:r>
      <w:r w:rsidR="0096524F" w:rsidRPr="0096524F">
        <w:rPr>
          <w:i/>
        </w:rPr>
        <w:t>require</w:t>
      </w:r>
      <w:r w:rsidRPr="0096524F">
        <w:t xml:space="preserve"> actual dilution as a prerequisite to liability under the TDRA.</w:t>
      </w:r>
      <w:r w:rsidR="0096524F" w:rsidRPr="0096524F">
        <w:rPr>
          <w:vertAlign w:val="superscript"/>
        </w:rPr>
        <w:footnoteReference w:id="64"/>
      </w:r>
    </w:p>
    <w:p w14:paraId="23904024" w14:textId="77777777" w:rsidR="0096524F" w:rsidRPr="0096524F" w:rsidRDefault="00A60ADB" w:rsidP="0096524F">
      <w:pPr>
        <w:pStyle w:val="BNormal"/>
      </w:pPr>
      <w:r w:rsidRPr="0096524F">
        <w:t>The issue resolved by the Supreme Court centered on the original language of Section 43(c)(1), which stated:</w:t>
      </w:r>
    </w:p>
    <w:p w14:paraId="50C357D6" w14:textId="193F4062" w:rsidR="0096524F" w:rsidRPr="0096524F" w:rsidRDefault="00A60ADB" w:rsidP="0096524F">
      <w:pPr>
        <w:pStyle w:val="BQuotelong"/>
      </w:pPr>
      <w:r w:rsidRPr="0096524F">
        <w:t>The owner of a famous mark shall be entitled</w:t>
      </w:r>
      <w:r w:rsidR="0096524F" w:rsidRPr="0096524F">
        <w:t xml:space="preserve"> </w:t>
      </w:r>
      <w:r w:rsidRPr="0096524F">
        <w:t>…</w:t>
      </w:r>
      <w:r w:rsidR="0096524F" w:rsidRPr="0096524F">
        <w:t xml:space="preserve"> </w:t>
      </w:r>
      <w:r w:rsidRPr="0096524F">
        <w:t>to an injunction against another person’s commercial use in commerce of a mark or trade name, if such use</w:t>
      </w:r>
      <w:r w:rsidR="0096524F" w:rsidRPr="0096524F">
        <w:t xml:space="preserve"> </w:t>
      </w:r>
      <w:r w:rsidRPr="0096524F">
        <w:t>…</w:t>
      </w:r>
      <w:r w:rsidR="0096524F" w:rsidRPr="0096524F">
        <w:t xml:space="preserve"> </w:t>
      </w:r>
      <w:r w:rsidR="0096524F" w:rsidRPr="0096524F">
        <w:rPr>
          <w:i/>
        </w:rPr>
        <w:t>causes dilution</w:t>
      </w:r>
      <w:r w:rsidRPr="0096524F">
        <w:t xml:space="preserve"> of the distinctive quality of the mark</w:t>
      </w:r>
      <w:r w:rsidR="0096524F" w:rsidRPr="0096524F">
        <w:t xml:space="preserve"> </w:t>
      </w:r>
      <w:r w:rsidRPr="0096524F">
        <w:t>…</w:t>
      </w:r>
      <w:r w:rsidR="0096524F" w:rsidRPr="0096524F">
        <w:t xml:space="preserve"> </w:t>
      </w:r>
      <w:r w:rsidRPr="0096524F">
        <w:t>.</w:t>
      </w:r>
      <w:r w:rsidR="0096524F" w:rsidRPr="0096524F">
        <w:rPr>
          <w:vertAlign w:val="superscript"/>
        </w:rPr>
        <w:footnoteReference w:id="65"/>
      </w:r>
    </w:p>
    <w:p w14:paraId="30A5C025" w14:textId="28CDCAE5" w:rsidR="0096524F" w:rsidRPr="0096524F" w:rsidRDefault="00A60ADB" w:rsidP="0096524F">
      <w:pPr>
        <w:pStyle w:val="BNormal"/>
      </w:pPr>
      <w:r w:rsidRPr="0096524F">
        <w:t>Specifically, the debate focused on the “causes dilution” language, which, it should be noted, had since been copied by a majority of states in enacting their dilution laws.</w:t>
      </w:r>
      <w:r w:rsidR="0096524F" w:rsidRPr="0096524F">
        <w:rPr>
          <w:vertAlign w:val="superscript"/>
        </w:rPr>
        <w:footnoteReference w:id="66"/>
      </w:r>
      <w:r w:rsidRPr="0096524F">
        <w:t xml:space="preserve"> The courts of appeals split on whether this language meant that actual dilution was necessary</w:t>
      </w:r>
      <w:r w:rsidR="0096524F" w:rsidRPr="0096524F">
        <w:t>.</w:t>
      </w:r>
      <w:r w:rsidR="0096524F" w:rsidRPr="0096524F">
        <w:t xml:space="preserve"> </w:t>
      </w:r>
      <w:r w:rsidR="0096524F" w:rsidRPr="0096524F">
        <w:t>O</w:t>
      </w:r>
      <w:r w:rsidRPr="0096524F">
        <w:t xml:space="preserve">n one side were courts that rejected the actual dilution argument, citing the difficulties of proof that would result and the perceived intent of Congress to import the </w:t>
      </w:r>
      <w:r w:rsidRPr="0096524F">
        <w:lastRenderedPageBreak/>
        <w:t>then-prevalent likelihood-of-dilution standard from the states.</w:t>
      </w:r>
      <w:r w:rsidR="0096524F" w:rsidRPr="0096524F">
        <w:rPr>
          <w:vertAlign w:val="superscript"/>
        </w:rPr>
        <w:footnoteReference w:id="67"/>
      </w:r>
      <w:r w:rsidRPr="0096524F">
        <w:t xml:space="preserve"> Other circuits adopted the actual dilution requirement, citing the plain meaning of the statutory language, and the specter of overprotecting trademarks with a looser standard.</w:t>
      </w:r>
      <w:r w:rsidR="0096524F" w:rsidRPr="0096524F">
        <w:rPr>
          <w:vertAlign w:val="superscript"/>
        </w:rPr>
        <w:footnoteReference w:id="68"/>
      </w:r>
    </w:p>
    <w:p w14:paraId="7AB9A312" w14:textId="3042710C" w:rsidR="0096524F" w:rsidRPr="0096524F" w:rsidRDefault="00A60ADB" w:rsidP="0096524F">
      <w:pPr>
        <w:pStyle w:val="BNormal"/>
      </w:pPr>
      <w:r w:rsidRPr="0096524F">
        <w:t xml:space="preserve">The Supreme Court resolved the split, in 2003, in </w:t>
      </w:r>
      <w:r w:rsidR="0096524F" w:rsidRPr="0096524F">
        <w:rPr>
          <w:i/>
        </w:rPr>
        <w:t>Moseley v</w:t>
      </w:r>
      <w:r w:rsidR="0096524F" w:rsidRPr="0096524F">
        <w:t>.</w:t>
      </w:r>
      <w:r w:rsidR="0096524F" w:rsidRPr="0096524F">
        <w:t xml:space="preserve"> </w:t>
      </w:r>
      <w:r w:rsidR="0096524F" w:rsidRPr="0096524F">
        <w:rPr>
          <w:i/>
        </w:rPr>
        <w:t>V Secret Catalogue, Inc</w:t>
      </w:r>
      <w:r w:rsidRPr="0096524F">
        <w:t>.,</w:t>
      </w:r>
      <w:r w:rsidR="0096524F" w:rsidRPr="0096524F">
        <w:rPr>
          <w:vertAlign w:val="superscript"/>
        </w:rPr>
        <w:footnoteReference w:id="69"/>
      </w:r>
      <w:r w:rsidRPr="0096524F">
        <w:t xml:space="preserve"> holding unanimously that actual dilution was required.</w:t>
      </w:r>
      <w:r w:rsidR="0096524F" w:rsidRPr="0096524F">
        <w:rPr>
          <w:vertAlign w:val="superscript"/>
        </w:rPr>
        <w:footnoteReference w:id="70"/>
      </w:r>
      <w:r w:rsidRPr="0096524F">
        <w:t xml:space="preserve"> The Court concluded that the “text [of the FTDA] unambiguously requires a showing of actual dilution, rather than a likelihood of dilution.”</w:t>
      </w:r>
      <w:r w:rsidR="0096524F" w:rsidRPr="0096524F">
        <w:rPr>
          <w:vertAlign w:val="superscript"/>
        </w:rPr>
        <w:footnoteReference w:id="71"/>
      </w:r>
      <w:r w:rsidRPr="0096524F">
        <w:t xml:space="preserve"> The </w:t>
      </w:r>
      <w:r w:rsidR="0096524F" w:rsidRPr="0096524F">
        <w:rPr>
          <w:i/>
        </w:rPr>
        <w:t>Moseley</w:t>
      </w:r>
      <w:r w:rsidRPr="0096524F">
        <w:t xml:space="preserve"> decision made proving dilution claims difficult</w:t>
      </w:r>
      <w:r w:rsidR="0096524F" w:rsidRPr="0096524F">
        <w:rPr>
          <w:vertAlign w:val="superscript"/>
        </w:rPr>
        <w:footnoteReference w:id="72"/>
      </w:r>
      <w:r w:rsidRPr="0096524F">
        <w:t xml:space="preserve"> and, three years after it was decided, the TDRA replaced the “causes dilution” language with “likely to cause dilution.” Although the TDRA resolves the issue as a matter of federal law, many states still have statutes containing the “causes dilution” language.</w:t>
      </w:r>
      <w:r w:rsidR="0096524F" w:rsidRPr="0096524F">
        <w:rPr>
          <w:vertAlign w:val="superscript"/>
        </w:rPr>
        <w:footnoteReference w:id="73"/>
      </w:r>
      <w:r w:rsidRPr="0096524F">
        <w:t xml:space="preserve"> Federal courts applying those state laws appear to be using the actual-dilution standard.</w:t>
      </w:r>
      <w:r w:rsidR="0096524F" w:rsidRPr="0096524F">
        <w:rPr>
          <w:vertAlign w:val="superscript"/>
        </w:rPr>
        <w:footnoteReference w:id="74"/>
      </w:r>
    </w:p>
    <w:p w14:paraId="474D5335" w14:textId="7FF7A69B" w:rsidR="0096524F" w:rsidRPr="0096524F" w:rsidRDefault="00A60ADB" w:rsidP="0096524F">
      <w:pPr>
        <w:pStyle w:val="BNormal"/>
      </w:pPr>
      <w:r w:rsidRPr="0096524F">
        <w:t>The most sensible circumstance under the TDRA in which it may be appropriate to require actual dilution is a close case where the facts do not point clearly to a likelihood of dilution (particularly if the use has existed for a while)</w:t>
      </w:r>
      <w:r w:rsidR="0096524F" w:rsidRPr="0096524F">
        <w:t>.</w:t>
      </w:r>
      <w:r w:rsidR="0096524F" w:rsidRPr="0096524F">
        <w:t xml:space="preserve"> </w:t>
      </w:r>
      <w:r w:rsidR="0096524F" w:rsidRPr="0096524F">
        <w:t>O</w:t>
      </w:r>
      <w:r w:rsidRPr="0096524F">
        <w:t>ne might expect evidence of actual dilution in some such cases</w:t>
      </w:r>
      <w:r w:rsidR="0096524F" w:rsidRPr="0096524F">
        <w:t>.</w:t>
      </w:r>
      <w:r w:rsidR="0096524F" w:rsidRPr="0096524F">
        <w:t xml:space="preserve"> </w:t>
      </w:r>
      <w:r w:rsidR="0096524F" w:rsidRPr="0096524F">
        <w:t>T</w:t>
      </w:r>
      <w:r w:rsidRPr="0096524F">
        <w:t>his would not change the standard</w:t>
      </w:r>
      <w:r w:rsidR="0096524F" w:rsidRPr="0096524F">
        <w:t>;</w:t>
      </w:r>
      <w:r w:rsidR="0096524F" w:rsidRPr="0096524F">
        <w:t xml:space="preserve"> </w:t>
      </w:r>
      <w:r w:rsidR="0096524F" w:rsidRPr="0096524F">
        <w:t>t</w:t>
      </w:r>
      <w:r w:rsidRPr="0096524F">
        <w:t xml:space="preserve">he absence of actual dilution, under the circumstances, would simply be a factor indicating that dilution is </w:t>
      </w:r>
      <w:r w:rsidR="0096524F" w:rsidRPr="0096524F">
        <w:rPr>
          <w:i/>
        </w:rPr>
        <w:t>unlikely</w:t>
      </w:r>
      <w:r w:rsidRPr="0096524F">
        <w:t xml:space="preserve"> to occur.</w:t>
      </w:r>
    </w:p>
    <w:p w14:paraId="4BA02293" w14:textId="4D1463CA" w:rsidR="0096524F" w:rsidRPr="0096524F" w:rsidRDefault="00371CCB" w:rsidP="00175762">
      <w:pPr>
        <w:pStyle w:val="BHead2"/>
      </w:pPr>
      <w:r>
        <w:t>9.II.</w:t>
      </w:r>
      <w:r w:rsidR="0096524F" w:rsidRPr="00175762">
        <w:rPr>
          <w:rStyle w:val="BBNAidChar"/>
          <w:rFonts w:eastAsiaTheme="majorEastAsia"/>
        </w:rPr>
        <w:t>D</w:t>
      </w:r>
      <w:r w:rsidR="0096524F" w:rsidRPr="0096524F">
        <w:t>.</w:t>
      </w:r>
      <w:r>
        <w:t> </w:t>
      </w:r>
      <w:r w:rsidR="0096524F" w:rsidRPr="0096524F">
        <w:tab/>
        <w:t>Determining Likelihood of Dilution by Blurring</w:t>
      </w:r>
    </w:p>
    <w:p w14:paraId="652AACDE" w14:textId="224515ED" w:rsidR="0096524F" w:rsidRPr="0096524F" w:rsidRDefault="00371CCB" w:rsidP="00175762">
      <w:pPr>
        <w:pStyle w:val="BHead3"/>
      </w:pPr>
      <w:r>
        <w:t>9.II.D.</w:t>
      </w:r>
      <w:r w:rsidR="0096524F" w:rsidRPr="00175762">
        <w:rPr>
          <w:rStyle w:val="BBNAidChar"/>
          <w:rFonts w:eastAsiaTheme="majorEastAsia"/>
        </w:rPr>
        <w:t>1</w:t>
      </w:r>
      <w:r w:rsidR="0096524F" w:rsidRPr="0096524F">
        <w:t>.</w:t>
      </w:r>
      <w:r>
        <w:t> </w:t>
      </w:r>
      <w:r w:rsidR="0096524F" w:rsidRPr="0096524F">
        <w:tab/>
        <w:t>The Elements of Blurring Under the TDRA:</w:t>
      </w:r>
      <w:r w:rsidR="0096524F" w:rsidRPr="0096524F">
        <w:t xml:space="preserve"> </w:t>
      </w:r>
      <w:r w:rsidR="0096524F" w:rsidRPr="0096524F">
        <w:t>Distinctiveness, Association, and Likelihood of Harm</w:t>
      </w:r>
    </w:p>
    <w:p w14:paraId="5A43F76B" w14:textId="0D750887" w:rsidR="0096524F" w:rsidRPr="0096524F" w:rsidRDefault="00A60ADB" w:rsidP="0096524F">
      <w:pPr>
        <w:pStyle w:val="BNormal"/>
      </w:pPr>
      <w:r w:rsidRPr="0096524F">
        <w:lastRenderedPageBreak/>
        <w:t>The “elusive” nature of dilution—particularly dilution by blurring—has made it difficult for courts to devise an easily articulable test for dilution</w:t>
      </w:r>
      <w:r w:rsidR="0096524F" w:rsidRPr="0096524F">
        <w:t>.</w:t>
      </w:r>
      <w:r w:rsidR="0096524F" w:rsidRPr="0096524F">
        <w:t xml:space="preserve"> </w:t>
      </w:r>
      <w:r w:rsidR="0096524F" w:rsidRPr="0096524F">
        <w:t>M</w:t>
      </w:r>
      <w:r w:rsidRPr="0096524F">
        <w:t>uch of the problem may be traced to two sources</w:t>
      </w:r>
      <w:r w:rsidR="0096524F" w:rsidRPr="0096524F">
        <w:t>:</w:t>
      </w:r>
      <w:r w:rsidR="0096524F" w:rsidRPr="0096524F">
        <w:t xml:space="preserve"> </w:t>
      </w:r>
      <w:r w:rsidR="0096524F" w:rsidRPr="0096524F">
        <w:t>(</w:t>
      </w:r>
      <w:r w:rsidRPr="0096524F">
        <w:t>1) statutory ambiguities, and (2) a concern about overprotection of trademarks</w:t>
      </w:r>
      <w:r w:rsidR="0096524F" w:rsidRPr="0096524F">
        <w:t>.</w:t>
      </w:r>
      <w:r w:rsidR="0096524F" w:rsidRPr="0096524F">
        <w:t xml:space="preserve"> </w:t>
      </w:r>
      <w:r w:rsidR="0096524F" w:rsidRPr="0096524F">
        <w:t>B</w:t>
      </w:r>
      <w:r w:rsidRPr="0096524F">
        <w:t>ut it also reflects a philosophical uneasiness with the implications of dilution protection</w:t>
      </w:r>
      <w:r w:rsidR="0096524F" w:rsidRPr="0096524F">
        <w:t>.</w:t>
      </w:r>
      <w:r w:rsidR="0096524F" w:rsidRPr="0096524F">
        <w:t xml:space="preserve"> </w:t>
      </w:r>
      <w:r w:rsidR="0096524F" w:rsidRPr="0096524F">
        <w:t>T</w:t>
      </w:r>
      <w:r w:rsidRPr="0096524F">
        <w:t>he successive attempts in the original FTDA and the TDRA to define dilution can be seen as efforts to overcome that philosophical skepticism by reassuring courts that dilution is cabined in a principled and definable manner.</w:t>
      </w:r>
    </w:p>
    <w:p w14:paraId="14F294E5" w14:textId="441DECB5" w:rsidR="0096524F" w:rsidRPr="0096524F" w:rsidRDefault="00A60ADB" w:rsidP="0096524F">
      <w:pPr>
        <w:pStyle w:val="BNormal"/>
      </w:pPr>
      <w:r w:rsidRPr="0096524F">
        <w:t>The current federal definition of dilution by blurring “is association arising from the similarity between a mark or trade name and a famous mark that impairs the distinctiveness of the famous mark.”</w:t>
      </w:r>
      <w:r w:rsidR="0096524F" w:rsidRPr="0096524F">
        <w:rPr>
          <w:vertAlign w:val="superscript"/>
        </w:rPr>
        <w:footnoteReference w:id="75"/>
      </w:r>
      <w:r w:rsidRPr="0096524F">
        <w:t xml:space="preserve"> This definition focuses on three elements</w:t>
      </w:r>
      <w:r w:rsidR="0096524F" w:rsidRPr="0096524F">
        <w:t>:</w:t>
      </w:r>
      <w:r w:rsidR="0096524F" w:rsidRPr="0096524F">
        <w:t xml:space="preserve"> </w:t>
      </w:r>
      <w:r w:rsidR="0096524F" w:rsidRPr="0096524F">
        <w:t>a</w:t>
      </w:r>
      <w:r w:rsidRPr="0096524F">
        <w:t>ssociation, similarity, and distinctiveness.</w:t>
      </w:r>
      <w:r w:rsidR="0096524F" w:rsidRPr="0096524F">
        <w:rPr>
          <w:vertAlign w:val="superscript"/>
        </w:rPr>
        <w:footnoteReference w:id="76"/>
      </w:r>
      <w:r w:rsidRPr="0096524F">
        <w:t xml:space="preserve"> The end result of dilution, according to this definition, is harm to the famous mark’s distinctiveness</w:t>
      </w:r>
      <w:r w:rsidR="0096524F" w:rsidRPr="0096524F">
        <w:t>.</w:t>
      </w:r>
      <w:r w:rsidR="0096524F" w:rsidRPr="0096524F">
        <w:t xml:space="preserve"> </w:t>
      </w:r>
      <w:r w:rsidR="0096524F" w:rsidRPr="0096524F">
        <w:t>T</w:t>
      </w:r>
      <w:r w:rsidRPr="0096524F">
        <w:t>his harm must be the result of an “association” between the famous mark and the second user’s mark</w:t>
      </w:r>
      <w:r w:rsidR="0096524F" w:rsidRPr="0096524F">
        <w:t>.</w:t>
      </w:r>
      <w:r w:rsidR="0096524F" w:rsidRPr="0096524F">
        <w:t xml:space="preserve"> </w:t>
      </w:r>
      <w:r w:rsidR="0096524F" w:rsidRPr="0096524F">
        <w:t>T</w:t>
      </w:r>
      <w:r w:rsidRPr="0096524F">
        <w:t>hat leads to the following critical points:</w:t>
      </w:r>
    </w:p>
    <w:p w14:paraId="6C2E128C" w14:textId="2B3E443D" w:rsidR="0096524F" w:rsidRPr="0096524F" w:rsidRDefault="00A60ADB" w:rsidP="0096524F">
      <w:pPr>
        <w:pStyle w:val="BListitembul"/>
      </w:pPr>
      <w:r w:rsidRPr="0096524F">
        <w:t xml:space="preserve">“Likelihood” means </w:t>
      </w:r>
      <w:r w:rsidR="0096524F" w:rsidRPr="0096524F">
        <w:rPr>
          <w:i/>
        </w:rPr>
        <w:t>more than a possibility</w:t>
      </w:r>
      <w:r w:rsidRPr="0096524F">
        <w:t xml:space="preserve"> of dilution.</w:t>
      </w:r>
    </w:p>
    <w:p w14:paraId="62F74A5E" w14:textId="0ECCA44A" w:rsidR="0096524F" w:rsidRPr="0096524F" w:rsidRDefault="00A60ADB" w:rsidP="0096524F">
      <w:pPr>
        <w:pStyle w:val="BListitembul"/>
      </w:pPr>
      <w:r w:rsidRPr="0096524F">
        <w:t>Dilution requires more than mere association.</w:t>
      </w:r>
    </w:p>
    <w:p w14:paraId="73205BF6" w14:textId="0D869E21" w:rsidR="0096524F" w:rsidRPr="0096524F" w:rsidRDefault="00A60ADB" w:rsidP="0096524F">
      <w:pPr>
        <w:pStyle w:val="BNormal"/>
      </w:pPr>
      <w:r w:rsidRPr="0096524F">
        <w:t>Beginning with the first point, on the surface this is very much the same as is the case in an ordinary infringement situation</w:t>
      </w:r>
      <w:r w:rsidR="0096524F" w:rsidRPr="0096524F">
        <w:t>.</w:t>
      </w:r>
      <w:r w:rsidR="0096524F" w:rsidRPr="0096524F">
        <w:t xml:space="preserve"> </w:t>
      </w:r>
      <w:r w:rsidR="0096524F" w:rsidRPr="0096524F">
        <w:t>L</w:t>
      </w:r>
      <w:r w:rsidRPr="0096524F">
        <w:t>ikelihood of confusion is a larger quantum than mere possibility</w:t>
      </w:r>
      <w:r w:rsidR="0096524F" w:rsidRPr="0096524F">
        <w:t>.</w:t>
      </w:r>
      <w:r w:rsidR="0096524F" w:rsidRPr="0096524F">
        <w:t xml:space="preserve"> </w:t>
      </w:r>
      <w:r w:rsidR="0096524F" w:rsidRPr="0096524F">
        <w:t>I</w:t>
      </w:r>
      <w:r w:rsidRPr="0096524F">
        <w:t>n other words, to return to dilution, a plausible narrative of dilution is not sufficient to impose liability</w:t>
      </w:r>
      <w:r w:rsidR="0096524F" w:rsidRPr="0096524F">
        <w:t>.</w:t>
      </w:r>
      <w:r w:rsidR="0096524F" w:rsidRPr="0096524F">
        <w:t xml:space="preserve"> </w:t>
      </w:r>
      <w:r w:rsidR="0096524F" w:rsidRPr="0096524F">
        <w:t>A</w:t>
      </w:r>
      <w:r w:rsidRPr="0096524F">
        <w:t xml:space="preserve">lthough this should be obvious from the language of Section 43(c)(1), it is an important point to emphasize because the usual description of dilution may lead courts to find </w:t>
      </w:r>
      <w:r w:rsidR="0096524F" w:rsidRPr="0096524F">
        <w:rPr>
          <w:i/>
        </w:rPr>
        <w:t>likely</w:t>
      </w:r>
      <w:r w:rsidRPr="0096524F">
        <w:t xml:space="preserve"> dilution when only a </w:t>
      </w:r>
      <w:r w:rsidR="0096524F" w:rsidRPr="0096524F">
        <w:rPr>
          <w:i/>
        </w:rPr>
        <w:t>possibility</w:t>
      </w:r>
      <w:r w:rsidRPr="0096524F">
        <w:t xml:space="preserve"> exists</w:t>
      </w:r>
      <w:r w:rsidR="0096524F" w:rsidRPr="0096524F">
        <w:t>.</w:t>
      </w:r>
      <w:r w:rsidR="0096524F" w:rsidRPr="0096524F">
        <w:t xml:space="preserve"> </w:t>
      </w:r>
      <w:r w:rsidR="0096524F" w:rsidRPr="0096524F">
        <w:t>D</w:t>
      </w:r>
      <w:r w:rsidRPr="0096524F">
        <w:t>ilution is generally described as an incremental process—the so-called “death of a thousand cuts.”</w:t>
      </w:r>
      <w:r w:rsidR="0096524F" w:rsidRPr="0096524F">
        <w:rPr>
          <w:vertAlign w:val="superscript"/>
        </w:rPr>
        <w:footnoteReference w:id="77"/>
      </w:r>
      <w:r w:rsidRPr="0096524F">
        <w:t xml:space="preserve"> Thus, it may be tempting to see virtually any similar use that triggers an association as “likely” to lead to dilution</w:t>
      </w:r>
      <w:r w:rsidR="0096524F" w:rsidRPr="0096524F">
        <w:t>.</w:t>
      </w:r>
      <w:r w:rsidR="0096524F" w:rsidRPr="0096524F">
        <w:t xml:space="preserve"> </w:t>
      </w:r>
      <w:r w:rsidR="0096524F" w:rsidRPr="0096524F">
        <w:t>B</w:t>
      </w:r>
      <w:r w:rsidRPr="0096524F">
        <w:t>ut that is not how the statute is written.</w:t>
      </w:r>
    </w:p>
    <w:p w14:paraId="0F3A13A6" w14:textId="5441C19A" w:rsidR="0096524F" w:rsidRPr="0096524F" w:rsidRDefault="00A60ADB" w:rsidP="0096524F">
      <w:pPr>
        <w:pStyle w:val="BNormal"/>
      </w:pPr>
      <w:r w:rsidRPr="0096524F">
        <w:t>As to the second point, it is equally important to understand that the definition of dilution requires that the association cause harm to the distinctiveness of the mark</w:t>
      </w:r>
      <w:r w:rsidR="0096524F" w:rsidRPr="0096524F">
        <w:t>.</w:t>
      </w:r>
      <w:r w:rsidR="0096524F" w:rsidRPr="0096524F">
        <w:t xml:space="preserve"> </w:t>
      </w:r>
      <w:r w:rsidR="0096524F" w:rsidRPr="0096524F">
        <w:t>T</w:t>
      </w:r>
      <w:r w:rsidRPr="0096524F">
        <w:t>hus, it requires more than just an association.</w:t>
      </w:r>
      <w:r w:rsidR="0096524F" w:rsidRPr="0096524F">
        <w:rPr>
          <w:vertAlign w:val="superscript"/>
        </w:rPr>
        <w:footnoteReference w:id="78"/>
      </w:r>
      <w:r w:rsidRPr="0096524F">
        <w:t xml:space="preserve"> From a practical standpoint, it means that the factors do not contain a direct means of measuring likely dilution, because none of them directly measures any kind of harm to the distinctiveness of the mark.</w:t>
      </w:r>
    </w:p>
    <w:p w14:paraId="0F2326BC" w14:textId="006D1E5A" w:rsidR="0096524F" w:rsidRPr="0096524F" w:rsidRDefault="00A60ADB" w:rsidP="0096524F">
      <w:pPr>
        <w:pStyle w:val="BNormal"/>
      </w:pPr>
      <w:r w:rsidRPr="0096524F">
        <w:t xml:space="preserve">Section 43(c)(1) makes clear that dilution does not depend on demonstrating likely </w:t>
      </w:r>
      <w:r w:rsidR="0096524F" w:rsidRPr="0096524F">
        <w:rPr>
          <w:i/>
        </w:rPr>
        <w:t>economic</w:t>
      </w:r>
      <w:r w:rsidRPr="0096524F">
        <w:t xml:space="preserve"> harm to the famous mark owner</w:t>
      </w:r>
      <w:r w:rsidR="0096524F" w:rsidRPr="0096524F">
        <w:t>;</w:t>
      </w:r>
      <w:r w:rsidR="0096524F" w:rsidRPr="0096524F">
        <w:t xml:space="preserve"> </w:t>
      </w:r>
      <w:r w:rsidR="0096524F" w:rsidRPr="0096524F">
        <w:t>d</w:t>
      </w:r>
      <w:r w:rsidRPr="0096524F">
        <w:t>ilution may occur “regardless of the presence or absence of</w:t>
      </w:r>
      <w:r w:rsidR="0096524F" w:rsidRPr="0096524F">
        <w:t xml:space="preserve"> </w:t>
      </w:r>
      <w:r w:rsidRPr="0096524F">
        <w:t>…</w:t>
      </w:r>
      <w:r w:rsidR="0096524F" w:rsidRPr="0096524F">
        <w:t xml:space="preserve"> </w:t>
      </w:r>
      <w:r w:rsidRPr="0096524F">
        <w:t>actual economic injury.”</w:t>
      </w:r>
      <w:r w:rsidR="0096524F" w:rsidRPr="0096524F">
        <w:rPr>
          <w:vertAlign w:val="superscript"/>
        </w:rPr>
        <w:footnoteReference w:id="79"/>
      </w:r>
      <w:r w:rsidRPr="0096524F">
        <w:t xml:space="preserve"> This seems to be less in line with Schechter’s original idea that the marketing value of a trademark was the primary asset worth protecting</w:t>
      </w:r>
      <w:r w:rsidR="0096524F" w:rsidRPr="0096524F">
        <w:t>.</w:t>
      </w:r>
      <w:r w:rsidR="0096524F" w:rsidRPr="0096524F">
        <w:t xml:space="preserve"> </w:t>
      </w:r>
      <w:r w:rsidR="0096524F" w:rsidRPr="0096524F">
        <w:t>H</w:t>
      </w:r>
      <w:r w:rsidRPr="0096524F">
        <w:t>owever, a loss of distinctiveness presumably would lead to a loss of marketing power—and economic injury.</w:t>
      </w:r>
    </w:p>
    <w:p w14:paraId="3A0C335E" w14:textId="599F385A" w:rsidR="0096524F" w:rsidRPr="0096524F" w:rsidRDefault="00A60ADB" w:rsidP="0096524F">
      <w:pPr>
        <w:pStyle w:val="BNormal"/>
      </w:pPr>
      <w:r w:rsidRPr="0096524F">
        <w:t>Finally, if one contrasts the TDRA definition of blurring with the original FTDA definition of dilution, one sees an interesting difference</w:t>
      </w:r>
      <w:r w:rsidR="0096524F" w:rsidRPr="0096524F">
        <w:t>.</w:t>
      </w:r>
      <w:r w:rsidR="0096524F" w:rsidRPr="0096524F">
        <w:t xml:space="preserve"> </w:t>
      </w:r>
      <w:r w:rsidR="0096524F" w:rsidRPr="0096524F">
        <w:t>T</w:t>
      </w:r>
      <w:r w:rsidRPr="0096524F">
        <w:t xml:space="preserve">he original definition focused on harm to the source identifying power of a famous mark, whereas the TDRA focuses on a loss of “distinctiveness.” While not identical, a loss of distinctiveness would cause a loss of source-identifying power, so the difference probably will not alter the outcome of many </w:t>
      </w:r>
      <w:r w:rsidRPr="0096524F">
        <w:lastRenderedPageBreak/>
        <w:t>blurring cases.</w:t>
      </w:r>
      <w:r w:rsidR="0096524F" w:rsidRPr="0096524F">
        <w:rPr>
          <w:vertAlign w:val="superscript"/>
        </w:rPr>
        <w:footnoteReference w:id="80"/>
      </w:r>
      <w:r w:rsidRPr="0096524F">
        <w:t xml:space="preserve"> However, the TDRA goes further and ties the loss of distinctiveness to a process that involves association and similarity</w:t>
      </w:r>
      <w:r w:rsidR="0096524F" w:rsidRPr="0096524F">
        <w:t>.</w:t>
      </w:r>
      <w:r w:rsidR="0096524F" w:rsidRPr="0096524F">
        <w:t xml:space="preserve"> </w:t>
      </w:r>
      <w:r w:rsidR="0096524F" w:rsidRPr="0096524F">
        <w:t>T</w:t>
      </w:r>
      <w:r w:rsidRPr="0096524F">
        <w:t>his begs an important question</w:t>
      </w:r>
      <w:r w:rsidR="0096524F" w:rsidRPr="0096524F">
        <w:t>.</w:t>
      </w:r>
      <w:r w:rsidR="0096524F" w:rsidRPr="0096524F">
        <w:t xml:space="preserve"> </w:t>
      </w:r>
      <w:r w:rsidR="0096524F" w:rsidRPr="0096524F">
        <w:t>W</w:t>
      </w:r>
      <w:r w:rsidRPr="0096524F">
        <w:t>hat do we mean by “distinctiveness”</w:t>
      </w:r>
      <w:r w:rsidR="0096524F" w:rsidRPr="0096524F">
        <w:t>?</w:t>
      </w:r>
      <w:r w:rsidR="0096524F" w:rsidRPr="0096524F">
        <w:t xml:space="preserve"> </w:t>
      </w:r>
      <w:r w:rsidR="0096524F" w:rsidRPr="0096524F">
        <w:t>D</w:t>
      </w:r>
      <w:r w:rsidRPr="0096524F">
        <w:t>oes it mean (as Schechter posited) uniqueness, or something else</w:t>
      </w:r>
      <w:r w:rsidR="0096524F" w:rsidRPr="0096524F">
        <w:t>?</w:t>
      </w:r>
      <w:r w:rsidR="0096524F" w:rsidRPr="0096524F">
        <w:t xml:space="preserve"> </w:t>
      </w:r>
      <w:r w:rsidR="0096524F" w:rsidRPr="0096524F">
        <w:t>A</w:t>
      </w:r>
      <w:r w:rsidRPr="0096524F">
        <w:t>nd what is the relationship between an association and loss of distinctiveness by the famous mark—in other words, what level of association is relevant and what other factors must we consider when deciding whether dilution is likely to occur?</w:t>
      </w:r>
    </w:p>
    <w:p w14:paraId="176E258A" w14:textId="61E8EFA6" w:rsidR="0096524F" w:rsidRPr="0096524F" w:rsidRDefault="00A60ADB" w:rsidP="0096524F">
      <w:pPr>
        <w:pStyle w:val="BNormal"/>
      </w:pPr>
      <w:r w:rsidRPr="0096524F">
        <w:t xml:space="preserve">The Supreme Court addressed this issue prior to the TDRA in </w:t>
      </w:r>
      <w:r w:rsidR="0096524F" w:rsidRPr="0096524F">
        <w:rPr>
          <w:i/>
        </w:rPr>
        <w:t>Moseley v</w:t>
      </w:r>
      <w:r w:rsidR="0096524F" w:rsidRPr="0096524F">
        <w:t>.</w:t>
      </w:r>
      <w:r w:rsidR="0096524F" w:rsidRPr="0096524F">
        <w:t xml:space="preserve"> </w:t>
      </w:r>
      <w:r w:rsidR="0096524F" w:rsidRPr="0096524F">
        <w:rPr>
          <w:i/>
        </w:rPr>
        <w:t>V Secret Catalogue, Inc</w:t>
      </w:r>
      <w:r w:rsidRPr="0096524F">
        <w:t>.</w:t>
      </w:r>
      <w:r w:rsidR="0096524F" w:rsidRPr="0096524F">
        <w:rPr>
          <w:vertAlign w:val="superscript"/>
        </w:rPr>
        <w:footnoteReference w:id="81"/>
      </w:r>
      <w:r w:rsidRPr="0096524F">
        <w:t xml:space="preserve"> There, the Court stated that “at least where the marks at issue are not identical,” the mere fact that the second use leads to a “mental association” between the second mark and the famous mark is </w:t>
      </w:r>
      <w:r w:rsidR="0096524F" w:rsidRPr="0096524F">
        <w:rPr>
          <w:i/>
        </w:rPr>
        <w:t>not</w:t>
      </w:r>
      <w:r w:rsidRPr="0096524F">
        <w:t xml:space="preserve"> enough to demonstrate blurring.</w:t>
      </w:r>
      <w:r w:rsidR="0096524F" w:rsidRPr="0096524F">
        <w:rPr>
          <w:vertAlign w:val="superscript"/>
        </w:rPr>
        <w:footnoteReference w:id="82"/>
      </w:r>
      <w:r w:rsidRPr="0096524F">
        <w:t xml:space="preserve"> Using the fact pattern of the </w:t>
      </w:r>
      <w:r w:rsidR="0096524F" w:rsidRPr="0096524F">
        <w:rPr>
          <w:i/>
        </w:rPr>
        <w:t>Ringling</w:t>
      </w:r>
      <w:r w:rsidRPr="0096524F">
        <w:t xml:space="preserve"> case (where the state of Utah used the slogan “greatest </w:t>
      </w:r>
      <w:proofErr w:type="spellStart"/>
      <w:r w:rsidR="0096524F" w:rsidRPr="0096524F">
        <w:rPr>
          <w:i/>
        </w:rPr>
        <w:t>snow</w:t>
      </w:r>
      <w:proofErr w:type="spellEnd"/>
      <w:r w:rsidRPr="0096524F">
        <w:t xml:space="preserve"> on earth”) as an example, the Court went on to say:</w:t>
      </w:r>
    </w:p>
    <w:p w14:paraId="3E67D179" w14:textId="0391E3B2" w:rsidR="0096524F" w:rsidRPr="0096524F" w:rsidRDefault="00A60ADB" w:rsidP="0096524F">
      <w:pPr>
        <w:pStyle w:val="BQuotelong"/>
      </w:pPr>
      <w:r w:rsidRPr="0096524F">
        <w:t>[E]</w:t>
      </w:r>
      <w:proofErr w:type="spellStart"/>
      <w:r w:rsidRPr="0096524F">
        <w:t>ven</w:t>
      </w:r>
      <w:proofErr w:type="spellEnd"/>
      <w:r w:rsidRPr="0096524F">
        <w:t xml:space="preserve"> though Utah drivers may be reminded of the circus when they see a license plate referring to the “greatest </w:t>
      </w:r>
      <w:proofErr w:type="spellStart"/>
      <w:r w:rsidR="0096524F" w:rsidRPr="0096524F">
        <w:rPr>
          <w:i/>
        </w:rPr>
        <w:t>snow</w:t>
      </w:r>
      <w:proofErr w:type="spellEnd"/>
      <w:r w:rsidRPr="0096524F">
        <w:t xml:space="preserve"> on earth,” it by no means follows that they will associate “the greatest show on earth” with skiing or snow sports, or associate it less strongly or exclusively with the circus.</w:t>
      </w:r>
      <w:r w:rsidR="0096524F" w:rsidRPr="0096524F">
        <w:rPr>
          <w:vertAlign w:val="superscript"/>
        </w:rPr>
        <w:footnoteReference w:id="83"/>
      </w:r>
    </w:p>
    <w:p w14:paraId="214839C0" w14:textId="6B0719D0" w:rsidR="0096524F" w:rsidRPr="0096524F" w:rsidRDefault="00A60ADB" w:rsidP="0096524F">
      <w:pPr>
        <w:pStyle w:val="BNormal"/>
      </w:pPr>
      <w:r w:rsidRPr="0096524F">
        <w:t xml:space="preserve">Thus, the Court appeared to view blurring as a situation where, after exposure to the second use, when the consumer subsequently sees the famous mark, he or she thinks of the </w:t>
      </w:r>
      <w:r w:rsidR="0096524F" w:rsidRPr="0096524F">
        <w:rPr>
          <w:i/>
        </w:rPr>
        <w:t>second</w:t>
      </w:r>
      <w:r w:rsidRPr="0096524F">
        <w:t xml:space="preserve"> user’s product or service (or at least is less likely to think of the famous mark owner’s products or services)</w:t>
      </w:r>
      <w:r w:rsidR="0096524F" w:rsidRPr="0096524F">
        <w:t>.</w:t>
      </w:r>
      <w:r w:rsidR="0096524F" w:rsidRPr="0096524F">
        <w:t xml:space="preserve"> </w:t>
      </w:r>
      <w:r w:rsidR="0096524F" w:rsidRPr="0096524F">
        <w:t>H</w:t>
      </w:r>
      <w:r w:rsidRPr="0096524F">
        <w:t>owever, the Court did not give any indication of how one might measure such a change in perception, beyond pointing to surveys.</w:t>
      </w:r>
      <w:r w:rsidR="0096524F" w:rsidRPr="0096524F">
        <w:rPr>
          <w:vertAlign w:val="superscript"/>
        </w:rPr>
        <w:footnoteReference w:id="84"/>
      </w:r>
      <w:r w:rsidRPr="0096524F">
        <w:t xml:space="preserve"> Although the Court’s holding dealt with the existence of </w:t>
      </w:r>
      <w:r w:rsidR="0096524F" w:rsidRPr="0096524F">
        <w:rPr>
          <w:i/>
        </w:rPr>
        <w:t>actual</w:t>
      </w:r>
      <w:r w:rsidRPr="0096524F">
        <w:t xml:space="preserve"> dilution (the standard required under the pre-TDRA statute), its framework is equally applicable to likelihood of dilution</w:t>
      </w:r>
      <w:r w:rsidR="0096524F" w:rsidRPr="0096524F">
        <w:t>.</w:t>
      </w:r>
      <w:r w:rsidR="0096524F" w:rsidRPr="0096524F">
        <w:t xml:space="preserve"> </w:t>
      </w:r>
      <w:r w:rsidR="0096524F" w:rsidRPr="0096524F">
        <w:t>B</w:t>
      </w:r>
      <w:r w:rsidRPr="0096524F">
        <w:t>y “mental association,” one assumes that the Court was referring to the second mark calling to mind the famous mark</w:t>
      </w:r>
      <w:r w:rsidR="0096524F" w:rsidRPr="0096524F">
        <w:t>.</w:t>
      </w:r>
      <w:r w:rsidR="0096524F" w:rsidRPr="0096524F">
        <w:t xml:space="preserve"> </w:t>
      </w:r>
      <w:r w:rsidR="0096524F" w:rsidRPr="0096524F">
        <w:t>T</w:t>
      </w:r>
      <w:r w:rsidRPr="0096524F">
        <w:t>he Court’s point was that such calling to mind does not necessarily affect how one subsequently views the famous mark</w:t>
      </w:r>
      <w:r w:rsidR="0096524F" w:rsidRPr="0096524F">
        <w:t>.</w:t>
      </w:r>
      <w:r w:rsidR="0096524F" w:rsidRPr="0096524F">
        <w:t xml:space="preserve"> </w:t>
      </w:r>
      <w:r w:rsidR="0096524F" w:rsidRPr="0096524F">
        <w:t>M</w:t>
      </w:r>
      <w:r w:rsidRPr="0096524F">
        <w:t>ore particularly, it does not mean that one who has seen the second mark will now view the famous mark as referring to anything other than the famous mark owner</w:t>
      </w:r>
      <w:r w:rsidR="0096524F" w:rsidRPr="0096524F">
        <w:t>.</w:t>
      </w:r>
      <w:r w:rsidR="0096524F" w:rsidRPr="0096524F">
        <w:t xml:space="preserve"> </w:t>
      </w:r>
      <w:r w:rsidR="0096524F" w:rsidRPr="0096524F">
        <w:t>I</w:t>
      </w:r>
      <w:r w:rsidRPr="0096524F">
        <w:t>f the famous mark still points uniquely to its owner, then, regardless of whether the second mark reminds us of the famous mark, the distinctiveness of the famous mark has not been diminished.</w:t>
      </w:r>
    </w:p>
    <w:p w14:paraId="1F4A51B0" w14:textId="11CD155D" w:rsidR="0096524F" w:rsidRPr="0096524F" w:rsidRDefault="00A60ADB" w:rsidP="0096524F">
      <w:pPr>
        <w:pStyle w:val="BNormal"/>
      </w:pPr>
      <w:r w:rsidRPr="0096524F">
        <w:t>This understanding is consistent with the TDRA definition of dilution by blurring</w:t>
      </w:r>
      <w:r w:rsidR="0096524F" w:rsidRPr="0096524F">
        <w:t>.</w:t>
      </w:r>
      <w:r w:rsidR="0096524F" w:rsidRPr="0096524F">
        <w:t xml:space="preserve"> </w:t>
      </w:r>
      <w:r w:rsidR="0096524F" w:rsidRPr="0096524F">
        <w:t>T</w:t>
      </w:r>
      <w:r w:rsidRPr="0096524F">
        <w:t>he definition does not just refer to association between the famous mark and a second mark</w:t>
      </w:r>
      <w:r w:rsidR="0096524F" w:rsidRPr="0096524F">
        <w:t>.</w:t>
      </w:r>
      <w:r w:rsidR="0096524F" w:rsidRPr="0096524F">
        <w:t xml:space="preserve"> </w:t>
      </w:r>
      <w:r w:rsidR="0096524F" w:rsidRPr="0096524F">
        <w:t>I</w:t>
      </w:r>
      <w:r w:rsidRPr="0096524F">
        <w:t>t refers to an association that harms the famous mark’s distinctiveness</w:t>
      </w:r>
      <w:r w:rsidR="0096524F" w:rsidRPr="0096524F">
        <w:t>.</w:t>
      </w:r>
      <w:r w:rsidR="0096524F" w:rsidRPr="0096524F">
        <w:t xml:space="preserve"> </w:t>
      </w:r>
      <w:r w:rsidR="0096524F" w:rsidRPr="0096524F">
        <w:t>T</w:t>
      </w:r>
      <w:r w:rsidRPr="0096524F">
        <w:t xml:space="preserve">hus, an association, while a necessary element of dilution, is not by itself </w:t>
      </w:r>
      <w:r w:rsidRPr="0096524F">
        <w:lastRenderedPageBreak/>
        <w:t>sufficient.</w:t>
      </w:r>
      <w:r w:rsidR="0096524F" w:rsidRPr="0096524F">
        <w:rPr>
          <w:vertAlign w:val="superscript"/>
        </w:rPr>
        <w:footnoteReference w:id="85"/>
      </w:r>
      <w:r w:rsidRPr="0096524F">
        <w:t xml:space="preserve"> The association must cause (or be likely to cause) a change in consumers’ perception of the famous mark.</w:t>
      </w:r>
      <w:r w:rsidR="0096524F" w:rsidRPr="0096524F">
        <w:rPr>
          <w:vertAlign w:val="superscript"/>
        </w:rPr>
        <w:footnoteReference w:id="86"/>
      </w:r>
    </w:p>
    <w:p w14:paraId="266C0FF8" w14:textId="6723B6A4" w:rsidR="0096524F" w:rsidRPr="0096524F" w:rsidRDefault="00A60ADB" w:rsidP="0096524F">
      <w:pPr>
        <w:pStyle w:val="BNormal"/>
      </w:pPr>
      <w:r w:rsidRPr="0096524F">
        <w:t>However, that still leaves one to consider how to separate those uses that are likely to lead to a loss of distinctiveness from those that are not.</w:t>
      </w:r>
      <w:r w:rsidR="0096524F" w:rsidRPr="0096524F">
        <w:rPr>
          <w:vertAlign w:val="superscript"/>
        </w:rPr>
        <w:footnoteReference w:id="87"/>
      </w:r>
      <w:r w:rsidRPr="0096524F">
        <w:t xml:space="preserve"> If the second mark does not even call to mind the famous mark—if there is no “association” between them—then no dilution will occur</w:t>
      </w:r>
      <w:r w:rsidR="0096524F" w:rsidRPr="0096524F">
        <w:t>.</w:t>
      </w:r>
      <w:r w:rsidR="0096524F" w:rsidRPr="0096524F">
        <w:t xml:space="preserve"> </w:t>
      </w:r>
      <w:r w:rsidR="0096524F" w:rsidRPr="0096524F">
        <w:t>B</w:t>
      </w:r>
      <w:r w:rsidRPr="0096524F">
        <w:t>ut for those marks that do conjure up a famous mark, there is the problem of separating the diluting ones from the non-diluting ones</w:t>
      </w:r>
      <w:r w:rsidR="0096524F" w:rsidRPr="0096524F">
        <w:t>.</w:t>
      </w:r>
      <w:r w:rsidR="0096524F" w:rsidRPr="0096524F">
        <w:t xml:space="preserve"> </w:t>
      </w:r>
      <w:r w:rsidR="0096524F" w:rsidRPr="0096524F">
        <w:t>I</w:t>
      </w:r>
      <w:r w:rsidRPr="0096524F">
        <w:t>n the background, we should keep in mind the often-expressed concern that making proof of dilution too easy will overprotect trademarks (leading perhaps to the mark being a “property right in gross”).</w:t>
      </w:r>
      <w:r w:rsidR="0096524F" w:rsidRPr="0096524F">
        <w:rPr>
          <w:vertAlign w:val="superscript"/>
        </w:rPr>
        <w:footnoteReference w:id="88"/>
      </w:r>
      <w:r w:rsidRPr="0096524F">
        <w:t xml:space="preserve"> Separating the diluting from the non-diluting requires a closer look at the relevant factors that may indicate likely dilution and at the courts’ implementation of the statutory definition.</w:t>
      </w:r>
    </w:p>
    <w:p w14:paraId="75936C26" w14:textId="4F66DAE5" w:rsidR="0096524F" w:rsidRPr="0096524F" w:rsidRDefault="00371CCB" w:rsidP="00175762">
      <w:pPr>
        <w:pStyle w:val="BHead3"/>
      </w:pPr>
      <w:r>
        <w:t>9.II.D.</w:t>
      </w:r>
      <w:r w:rsidR="0096524F" w:rsidRPr="00175762">
        <w:rPr>
          <w:rStyle w:val="BBNAidChar"/>
          <w:rFonts w:eastAsiaTheme="majorEastAsia"/>
        </w:rPr>
        <w:t>2</w:t>
      </w:r>
      <w:r w:rsidR="0096524F" w:rsidRPr="0096524F">
        <w:t>.</w:t>
      </w:r>
      <w:r>
        <w:t> </w:t>
      </w:r>
      <w:r w:rsidR="0096524F" w:rsidRPr="0096524F">
        <w:tab/>
        <w:t>Analysis of the TDRA Definition and the Statutory Guiding Factors</w:t>
      </w:r>
    </w:p>
    <w:p w14:paraId="22FA5B29" w14:textId="508A86D1" w:rsidR="0096524F" w:rsidRPr="0096524F" w:rsidRDefault="00A60ADB" w:rsidP="0096524F">
      <w:pPr>
        <w:pStyle w:val="BNormal"/>
      </w:pPr>
      <w:r w:rsidRPr="0096524F">
        <w:t>As amended by the TDRA, the federal dilution statute now contains a separate definition of “dilution by blurring”</w:t>
      </w:r>
      <w:r w:rsidR="0096524F" w:rsidRPr="0096524F">
        <w:rPr>
          <w:vertAlign w:val="superscript"/>
        </w:rPr>
        <w:footnoteReference w:id="89"/>
      </w:r>
      <w:r w:rsidRPr="0096524F">
        <w:t>:</w:t>
      </w:r>
    </w:p>
    <w:p w14:paraId="6FCF21A5" w14:textId="2F6655E4" w:rsidR="0096524F" w:rsidRPr="0096524F" w:rsidRDefault="00A60ADB" w:rsidP="0096524F">
      <w:pPr>
        <w:pStyle w:val="BQuotelong"/>
      </w:pPr>
      <w:r w:rsidRPr="0096524F">
        <w:t>“dilution by blurring” is association arising from the similarity between a mark or trade name and a famous mark that impairs the distinctiveness of the famous mark.</w:t>
      </w:r>
      <w:r w:rsidR="0096524F" w:rsidRPr="0096524F">
        <w:rPr>
          <w:vertAlign w:val="superscript"/>
        </w:rPr>
        <w:footnoteReference w:id="90"/>
      </w:r>
    </w:p>
    <w:p w14:paraId="6224FD6F" w14:textId="77777777" w:rsidR="0096524F" w:rsidRPr="0096524F" w:rsidRDefault="00A60ADB" w:rsidP="0096524F">
      <w:pPr>
        <w:pStyle w:val="BNormal"/>
      </w:pPr>
      <w:r w:rsidRPr="0096524F">
        <w:t>In addition to the basic definition, the TDRA states that courts may “consider all relevant factors” and then lists six non-exclusive factors to assist courts in determining likelihood of dilution by blurring:</w:t>
      </w:r>
    </w:p>
    <w:p w14:paraId="76A5C6AF" w14:textId="03F9CFA4" w:rsidR="0096524F" w:rsidRPr="0096524F" w:rsidRDefault="00A60ADB" w:rsidP="00175762">
      <w:pPr>
        <w:pStyle w:val="BListitemorig"/>
      </w:pPr>
      <w:r w:rsidRPr="0096524F">
        <w:t>(</w:t>
      </w:r>
      <w:proofErr w:type="spellStart"/>
      <w:r w:rsidRPr="0096524F">
        <w:t>i</w:t>
      </w:r>
      <w:proofErr w:type="spellEnd"/>
      <w:r w:rsidRPr="0096524F">
        <w:t>) The degree of similarity between the mark or trade name and the famous mark.</w:t>
      </w:r>
    </w:p>
    <w:p w14:paraId="100E90DB" w14:textId="219F88D1" w:rsidR="0096524F" w:rsidRPr="0096524F" w:rsidRDefault="00A60ADB" w:rsidP="00175762">
      <w:pPr>
        <w:pStyle w:val="BListitemorig"/>
      </w:pPr>
      <w:r w:rsidRPr="0096524F">
        <w:t>(ii) The degree of inherent or acquired distinctiveness of the famous mark.</w:t>
      </w:r>
    </w:p>
    <w:p w14:paraId="0634818B" w14:textId="00508349" w:rsidR="0096524F" w:rsidRPr="0096524F" w:rsidRDefault="00A60ADB" w:rsidP="00175762">
      <w:pPr>
        <w:pStyle w:val="BListitemorig"/>
      </w:pPr>
      <w:r w:rsidRPr="0096524F">
        <w:t>(iii) The extent to which the owner of the famous mark is engaging in substantially exclusive use of the mark.</w:t>
      </w:r>
    </w:p>
    <w:p w14:paraId="51761AEA" w14:textId="2BC93454" w:rsidR="0096524F" w:rsidRPr="0096524F" w:rsidRDefault="00A60ADB" w:rsidP="00175762">
      <w:pPr>
        <w:pStyle w:val="BListitemorig"/>
      </w:pPr>
      <w:r w:rsidRPr="0096524F">
        <w:t>(iv) The degree of recognition of the famous mark.</w:t>
      </w:r>
    </w:p>
    <w:p w14:paraId="250724F7" w14:textId="60E945D1" w:rsidR="0096524F" w:rsidRPr="0096524F" w:rsidRDefault="00A60ADB" w:rsidP="00175762">
      <w:pPr>
        <w:pStyle w:val="BListitemorig"/>
      </w:pPr>
      <w:r w:rsidRPr="0096524F">
        <w:t>(v) Whether the user of the mark or trade name intended to create an association with the famous mark.</w:t>
      </w:r>
    </w:p>
    <w:p w14:paraId="11A89FFD" w14:textId="70286034" w:rsidR="0096524F" w:rsidRPr="0096524F" w:rsidRDefault="00A60ADB" w:rsidP="00175762">
      <w:pPr>
        <w:pStyle w:val="BListitemorig"/>
      </w:pPr>
      <w:r w:rsidRPr="0096524F">
        <w:t>(vi) Any actual association between the mark or trade name and the famous mark.</w:t>
      </w:r>
      <w:r w:rsidR="0096524F" w:rsidRPr="0096524F">
        <w:rPr>
          <w:vertAlign w:val="superscript"/>
        </w:rPr>
        <w:footnoteReference w:id="91"/>
      </w:r>
    </w:p>
    <w:p w14:paraId="7DBF4EAC" w14:textId="3693BBF2" w:rsidR="0096524F" w:rsidRPr="0096524F" w:rsidRDefault="00A60ADB" w:rsidP="0096524F">
      <w:pPr>
        <w:pStyle w:val="BNormal"/>
      </w:pPr>
      <w:r w:rsidRPr="0096524F">
        <w:lastRenderedPageBreak/>
        <w:t>By including a number of factors, and by stating that they are non-exclusive,</w:t>
      </w:r>
      <w:r w:rsidR="0096524F" w:rsidRPr="0096524F">
        <w:rPr>
          <w:vertAlign w:val="superscript"/>
        </w:rPr>
        <w:footnoteReference w:id="92"/>
      </w:r>
      <w:r w:rsidRPr="0096524F">
        <w:t xml:space="preserve"> it appears that the drafters rejected the “any similar use equals dilution” approach to the problem</w:t>
      </w:r>
      <w:r w:rsidR="0096524F" w:rsidRPr="0096524F">
        <w:t>.</w:t>
      </w:r>
      <w:r w:rsidR="0096524F" w:rsidRPr="0096524F">
        <w:t xml:space="preserve"> </w:t>
      </w:r>
      <w:r w:rsidR="0096524F" w:rsidRPr="0096524F">
        <w:t>T</w:t>
      </w:r>
      <w:r w:rsidRPr="0096524F">
        <w:t>hey also appear to have rejected the assumption that confusion is highly relevant to dilution, as neither confusion nor similarity of products is a listed factor</w:t>
      </w:r>
      <w:r w:rsidR="0096524F" w:rsidRPr="0096524F">
        <w:t>.</w:t>
      </w:r>
      <w:r w:rsidR="0096524F" w:rsidRPr="0096524F">
        <w:t xml:space="preserve"> </w:t>
      </w:r>
      <w:r w:rsidR="0096524F" w:rsidRPr="0096524F">
        <w:t>N</w:t>
      </w:r>
      <w:r w:rsidRPr="0096524F">
        <w:t>othing prevents a court from considering confusion as a relevant factor.</w:t>
      </w:r>
      <w:r w:rsidR="0096524F" w:rsidRPr="0096524F">
        <w:rPr>
          <w:vertAlign w:val="superscript"/>
        </w:rPr>
        <w:footnoteReference w:id="93"/>
      </w:r>
      <w:r w:rsidRPr="0096524F">
        <w:t xml:space="preserve"> However, given the prevalence of judicial uses of confusion in dilution cases prior to the TDRA, its omission from the statutory list must be considered significant.</w:t>
      </w:r>
    </w:p>
    <w:p w14:paraId="64E3ECD1" w14:textId="73F04459" w:rsidR="0096524F" w:rsidRPr="0096524F" w:rsidRDefault="00A60ADB" w:rsidP="0096524F">
      <w:pPr>
        <w:pStyle w:val="BNormal"/>
      </w:pPr>
      <w:r w:rsidRPr="0096524F">
        <w:t>If the goal of the TDRA was to simplify the analysis and/or make the distinction between diluting and non-diluting uses easier to discern, then it is unclear whether the Act will prove to be successful</w:t>
      </w:r>
      <w:r w:rsidR="0096524F" w:rsidRPr="0096524F">
        <w:t>.</w:t>
      </w:r>
      <w:r w:rsidR="0096524F" w:rsidRPr="0096524F">
        <w:t xml:space="preserve"> </w:t>
      </w:r>
      <w:r w:rsidR="0096524F" w:rsidRPr="0096524F">
        <w:t>T</w:t>
      </w:r>
      <w:r w:rsidRPr="0096524F">
        <w:t>he statute makes no effort to prioritize the factors, leaving their application to a case-by-case analysis highly dependent on context</w:t>
      </w:r>
      <w:r w:rsidR="0096524F" w:rsidRPr="0096524F">
        <w:t>.</w:t>
      </w:r>
      <w:r w:rsidR="0096524F" w:rsidRPr="0096524F">
        <w:t xml:space="preserve"> </w:t>
      </w:r>
      <w:r w:rsidR="0096524F" w:rsidRPr="0096524F">
        <w:t>A</w:t>
      </w:r>
      <w:r w:rsidRPr="0096524F">
        <w:t>lthough this is consistent with the framework of confusion analysis, it makes advance prediction by potential users of their possible liability especially difficult</w:t>
      </w:r>
      <w:r w:rsidR="0096524F" w:rsidRPr="0096524F">
        <w:t>.</w:t>
      </w:r>
      <w:r w:rsidR="0096524F" w:rsidRPr="0096524F">
        <w:t xml:space="preserve"> </w:t>
      </w:r>
      <w:r w:rsidR="0096524F" w:rsidRPr="0096524F">
        <w:t>P</w:t>
      </w:r>
      <w:r w:rsidRPr="0096524F">
        <w:t xml:space="preserve">erhaps, as more cases are decided, a </w:t>
      </w:r>
      <w:r w:rsidR="0096524F" w:rsidRPr="0096524F">
        <w:rPr>
          <w:i/>
        </w:rPr>
        <w:t>de facto</w:t>
      </w:r>
      <w:r w:rsidRPr="0096524F">
        <w:t xml:space="preserve"> hierarchy of factors will appear.</w:t>
      </w:r>
      <w:r w:rsidR="0096524F" w:rsidRPr="0096524F">
        <w:rPr>
          <w:vertAlign w:val="superscript"/>
        </w:rPr>
        <w:footnoteReference w:id="94"/>
      </w:r>
    </w:p>
    <w:p w14:paraId="1A632962" w14:textId="38863EEF" w:rsidR="0096524F" w:rsidRPr="0096524F" w:rsidRDefault="00A60ADB" w:rsidP="0096524F">
      <w:pPr>
        <w:pStyle w:val="BNormal"/>
      </w:pPr>
      <w:r w:rsidRPr="0096524F">
        <w:t>The first factor, similarity, is obviously highly relevant to the analysis</w:t>
      </w:r>
      <w:r w:rsidR="0096524F" w:rsidRPr="0096524F">
        <w:t>.</w:t>
      </w:r>
      <w:r w:rsidR="0096524F" w:rsidRPr="0096524F">
        <w:t xml:space="preserve"> </w:t>
      </w:r>
      <w:r w:rsidR="0096524F" w:rsidRPr="0096524F">
        <w:t>W</w:t>
      </w:r>
      <w:r w:rsidRPr="0096524F">
        <w:t>ithout sufficient similarity, there will be no association between the two marks and, hence, no possible dilution</w:t>
      </w:r>
      <w:r w:rsidR="0096524F" w:rsidRPr="0096524F">
        <w:t>.</w:t>
      </w:r>
      <w:r w:rsidR="0096524F" w:rsidRPr="0096524F">
        <w:t xml:space="preserve"> </w:t>
      </w:r>
      <w:r w:rsidR="0096524F" w:rsidRPr="0096524F">
        <w:t>B</w:t>
      </w:r>
      <w:r w:rsidRPr="0096524F">
        <w:t>ut what degree of similarity should be relevant, how do we measure similarity, and what should be the effect of a lack of similarity on the analysis</w:t>
      </w:r>
      <w:r w:rsidR="0096524F" w:rsidRPr="0096524F">
        <w:t>?</w:t>
      </w:r>
      <w:r w:rsidR="0096524F" w:rsidRPr="0096524F">
        <w:t xml:space="preserve"> </w:t>
      </w:r>
      <w:r w:rsidR="0096524F" w:rsidRPr="0096524F">
        <w:t>A</w:t>
      </w:r>
      <w:r w:rsidRPr="0096524F">
        <w:t>lthough similarity has long played a central role in the analysis of blurring, recent cases have made its role less clear.</w:t>
      </w:r>
      <w:r w:rsidR="0096524F" w:rsidRPr="0096524F">
        <w:rPr>
          <w:vertAlign w:val="superscript"/>
        </w:rPr>
        <w:footnoteReference w:id="95"/>
      </w:r>
    </w:p>
    <w:p w14:paraId="0C6FAF6D" w14:textId="06055CCB" w:rsidR="0096524F" w:rsidRPr="0096524F" w:rsidRDefault="00A60ADB" w:rsidP="0096524F">
      <w:pPr>
        <w:pStyle w:val="BNormal"/>
      </w:pPr>
      <w:r w:rsidRPr="0096524F">
        <w:t>At first glance, the role of the next factor, degree of inherent or acquired distinctiveness, is uncertain</w:t>
      </w:r>
      <w:r w:rsidR="0096524F" w:rsidRPr="0096524F">
        <w:t>.</w:t>
      </w:r>
      <w:r w:rsidR="0096524F" w:rsidRPr="0096524F">
        <w:t xml:space="preserve"> </w:t>
      </w:r>
      <w:r w:rsidR="0096524F" w:rsidRPr="0096524F">
        <w:t>A</w:t>
      </w:r>
      <w:r w:rsidRPr="0096524F">
        <w:t>fter all, a famous mark must be highly distinctive, at least in acquired distinctiveness</w:t>
      </w:r>
      <w:r w:rsidR="0096524F" w:rsidRPr="0096524F">
        <w:t>.</w:t>
      </w:r>
      <w:r w:rsidR="0096524F" w:rsidRPr="0096524F">
        <w:t xml:space="preserve"> </w:t>
      </w:r>
      <w:r w:rsidR="0096524F" w:rsidRPr="0096524F">
        <w:t>B</w:t>
      </w:r>
      <w:r w:rsidRPr="0096524F">
        <w:t>ut, if this factor is a measure of uniqueness—particularly if the famous mark is highly inherently (or conceptually) distinctive—then its role is clearer</w:t>
      </w:r>
      <w:r w:rsidR="0096524F" w:rsidRPr="0096524F">
        <w:t>.</w:t>
      </w:r>
      <w:r w:rsidR="0096524F" w:rsidRPr="0096524F">
        <w:t xml:space="preserve"> </w:t>
      </w:r>
      <w:r w:rsidR="0096524F" w:rsidRPr="0096524F">
        <w:t>I</w:t>
      </w:r>
      <w:r w:rsidRPr="0096524F">
        <w:t>f a famous mark is highly unique, particularly if it is very strong conceptually (i.e., it is unusual and neither descriptive nor even suggestive) then another’s use of that mark will be more likely to distract those who view the famous mark and will be more likely to cause consumers to recall both the famous mark owner and the second mark owner when they hear or see the mark.</w:t>
      </w:r>
    </w:p>
    <w:p w14:paraId="0FBDD515" w14:textId="46863ED1" w:rsidR="0096524F" w:rsidRPr="0096524F" w:rsidRDefault="00A60ADB" w:rsidP="0096524F">
      <w:pPr>
        <w:pStyle w:val="BNormal"/>
      </w:pPr>
      <w:r w:rsidRPr="0096524F">
        <w:t>The third factor—substantially exclusive use—primarily indicates the mark’s level of uniqueness</w:t>
      </w:r>
      <w:r w:rsidR="0096524F" w:rsidRPr="0096524F">
        <w:t>.</w:t>
      </w:r>
      <w:r w:rsidR="0096524F" w:rsidRPr="0096524F">
        <w:t xml:space="preserve"> </w:t>
      </w:r>
      <w:r w:rsidR="0096524F" w:rsidRPr="0096524F">
        <w:t>A</w:t>
      </w:r>
      <w:r w:rsidRPr="0096524F">
        <w:t xml:space="preserve"> less than unique mark might be famous, but it would be less likely to be diluted by another similar mark, especially a non-competing one.</w:t>
      </w:r>
      <w:r w:rsidR="0096524F" w:rsidRPr="0096524F">
        <w:rPr>
          <w:vertAlign w:val="superscript"/>
        </w:rPr>
        <w:footnoteReference w:id="96"/>
      </w:r>
      <w:r w:rsidRPr="0096524F">
        <w:t xml:space="preserve"> A consumer would be less likely to think of a particular offending user upon seeing the non-unique mark when there are already other users of the mark to distract the consumer’s thought process</w:t>
      </w:r>
      <w:r w:rsidR="0096524F" w:rsidRPr="0096524F">
        <w:t>.</w:t>
      </w:r>
      <w:r w:rsidR="0096524F" w:rsidRPr="0096524F">
        <w:t xml:space="preserve"> </w:t>
      </w:r>
      <w:r w:rsidR="0096524F" w:rsidRPr="0096524F">
        <w:t>F</w:t>
      </w:r>
      <w:r w:rsidRPr="0096524F">
        <w:t>urthermore, a consumer may be less likely to make an association between the offending mark and any particular owner of the mark, unless the context points to a particular owner</w:t>
      </w:r>
      <w:r w:rsidR="0096524F" w:rsidRPr="0096524F">
        <w:t>.</w:t>
      </w:r>
      <w:r w:rsidR="0096524F" w:rsidRPr="0096524F">
        <w:t xml:space="preserve"> </w:t>
      </w:r>
      <w:r w:rsidR="0096524F" w:rsidRPr="0096524F">
        <w:t>I</w:t>
      </w:r>
      <w:r w:rsidRPr="0096524F">
        <w:t>f there is no association, then there can be no dilution.</w:t>
      </w:r>
    </w:p>
    <w:p w14:paraId="384A447D" w14:textId="0497C636" w:rsidR="0096524F" w:rsidRPr="0096524F" w:rsidRDefault="00A60ADB" w:rsidP="0096524F">
      <w:pPr>
        <w:pStyle w:val="BNormal"/>
      </w:pPr>
      <w:r w:rsidRPr="0096524F">
        <w:lastRenderedPageBreak/>
        <w:t>Although the fourth factor is relevant, the degree of recognition seems redundant as a stand-alone factor, in light of the threshold requirement that a mark be famous to be eligible for dilution protection</w:t>
      </w:r>
      <w:r w:rsidR="0096524F" w:rsidRPr="0096524F">
        <w:t>.</w:t>
      </w:r>
      <w:r w:rsidR="0096524F" w:rsidRPr="0096524F">
        <w:t xml:space="preserve"> </w:t>
      </w:r>
      <w:r w:rsidR="0096524F" w:rsidRPr="0096524F">
        <w:t>M</w:t>
      </w:r>
      <w:r w:rsidRPr="0096524F">
        <w:t>oreover, the relevance of this factor is tempered by an empirical question</w:t>
      </w:r>
      <w:r w:rsidR="0096524F" w:rsidRPr="0096524F">
        <w:t>:</w:t>
      </w:r>
      <w:r w:rsidR="0096524F" w:rsidRPr="0096524F">
        <w:t xml:space="preserve"> </w:t>
      </w:r>
      <w:r w:rsidR="0096524F" w:rsidRPr="0096524F">
        <w:t>I</w:t>
      </w:r>
      <w:r w:rsidRPr="0096524F">
        <w:t>s a mark more likely to be diluted if it is well recognized than if it is less well recognized?</w:t>
      </w:r>
      <w:r w:rsidR="0096524F" w:rsidRPr="0096524F">
        <w:rPr>
          <w:vertAlign w:val="superscript"/>
        </w:rPr>
        <w:footnoteReference w:id="97"/>
      </w:r>
      <w:r w:rsidRPr="0096524F">
        <w:t xml:space="preserve"> On the other hand, a highly recognized mark may be more likely to trigger an initial association between the offending mark and the famous mark.</w:t>
      </w:r>
    </w:p>
    <w:p w14:paraId="675F22D3" w14:textId="11E4EEED" w:rsidR="0096524F" w:rsidRPr="0096524F" w:rsidRDefault="00A60ADB" w:rsidP="0096524F">
      <w:pPr>
        <w:pStyle w:val="BNormal"/>
      </w:pPr>
      <w:r w:rsidRPr="0096524F">
        <w:t>The factor of intent to create an association appears to be a measure of “predatory intent.”</w:t>
      </w:r>
      <w:r w:rsidR="0096524F" w:rsidRPr="0096524F">
        <w:rPr>
          <w:vertAlign w:val="superscript"/>
        </w:rPr>
        <w:footnoteReference w:id="98"/>
      </w:r>
      <w:r w:rsidRPr="0096524F">
        <w:t xml:space="preserve"> In a confusion context, this would probably be seen as a measure of bad faith</w:t>
      </w:r>
      <w:r w:rsidR="0096524F" w:rsidRPr="0096524F">
        <w:t>.</w:t>
      </w:r>
      <w:r w:rsidR="0096524F" w:rsidRPr="0096524F">
        <w:t xml:space="preserve"> </w:t>
      </w:r>
      <w:r w:rsidR="0096524F" w:rsidRPr="0096524F">
        <w:t>H</w:t>
      </w:r>
      <w:r w:rsidRPr="0096524F">
        <w:t>owever, an intent to create an association may not be a sign of bad faith.</w:t>
      </w:r>
      <w:r w:rsidR="0096524F" w:rsidRPr="0096524F">
        <w:rPr>
          <w:vertAlign w:val="superscript"/>
        </w:rPr>
        <w:footnoteReference w:id="99"/>
      </w:r>
      <w:r w:rsidRPr="0096524F">
        <w:t xml:space="preserve"> A similar factor is used in the analysis of likelihood of confusion, and its presence tends to be dispositive.</w:t>
      </w:r>
      <w:r w:rsidR="0096524F" w:rsidRPr="0096524F">
        <w:rPr>
          <w:vertAlign w:val="superscript"/>
        </w:rPr>
        <w:footnoteReference w:id="100"/>
      </w:r>
      <w:r w:rsidRPr="0096524F">
        <w:t xml:space="preserve"> However, its relevance to confusion has been questioned,</w:t>
      </w:r>
      <w:r w:rsidR="0096524F" w:rsidRPr="0096524F">
        <w:rPr>
          <w:vertAlign w:val="superscript"/>
        </w:rPr>
        <w:footnoteReference w:id="101"/>
      </w:r>
      <w:r w:rsidRPr="0096524F">
        <w:t xml:space="preserve"> so it is fair to ask whether it actually is relevant to likelihood of dilution</w:t>
      </w:r>
      <w:r w:rsidR="0096524F" w:rsidRPr="0096524F">
        <w:t>.</w:t>
      </w:r>
      <w:r w:rsidR="0096524F" w:rsidRPr="0096524F">
        <w:t xml:space="preserve"> </w:t>
      </w:r>
      <w:r w:rsidR="0096524F" w:rsidRPr="0096524F">
        <w:t>I</w:t>
      </w:r>
      <w:r w:rsidRPr="0096524F">
        <w:t>nstinctively, one might think that if a person actively attempts to create an association between the two marks, then it is more likely that there will be an association</w:t>
      </w:r>
      <w:r w:rsidR="0096524F" w:rsidRPr="0096524F">
        <w:t>.</w:t>
      </w:r>
      <w:r w:rsidR="0096524F" w:rsidRPr="0096524F">
        <w:t xml:space="preserve"> </w:t>
      </w:r>
      <w:r w:rsidR="0096524F" w:rsidRPr="0096524F">
        <w:t>H</w:t>
      </w:r>
      <w:r w:rsidRPr="0096524F">
        <w:t>owever, this factor must be used with care, especially since many situations where this factor would favor the plaintiff involve a parody or a play on words, where courts are noticeably more reluctant to impose liability.</w:t>
      </w:r>
      <w:r w:rsidR="0096524F" w:rsidRPr="0096524F">
        <w:rPr>
          <w:vertAlign w:val="superscript"/>
        </w:rPr>
        <w:footnoteReference w:id="102"/>
      </w:r>
    </w:p>
    <w:p w14:paraId="5B751451" w14:textId="637AEF09" w:rsidR="0096524F" w:rsidRPr="0096524F" w:rsidRDefault="00A60ADB" w:rsidP="0096524F">
      <w:pPr>
        <w:pStyle w:val="BNormal"/>
      </w:pPr>
      <w:r w:rsidRPr="0096524F">
        <w:t>The sixth factor—</w:t>
      </w:r>
      <w:r w:rsidR="0096524F" w:rsidRPr="0096524F">
        <w:rPr>
          <w:i/>
        </w:rPr>
        <w:t>actual</w:t>
      </w:r>
      <w:r w:rsidRPr="0096524F">
        <w:t xml:space="preserve"> association by consumers between the two marks—was not expressly a part of prior tests, but it is a logical one</w:t>
      </w:r>
      <w:r w:rsidR="0096524F" w:rsidRPr="0096524F">
        <w:t>.</w:t>
      </w:r>
      <w:r w:rsidR="0096524F" w:rsidRPr="0096524F">
        <w:t xml:space="preserve"> </w:t>
      </w:r>
      <w:r w:rsidR="0096524F" w:rsidRPr="0096524F">
        <w:t>I</w:t>
      </w:r>
      <w:r w:rsidRPr="0096524F">
        <w:t>f dilution arises from an association between the two marks, then evidence of such association should be relevant</w:t>
      </w:r>
      <w:r w:rsidR="0096524F" w:rsidRPr="0096524F">
        <w:t>.</w:t>
      </w:r>
      <w:r w:rsidR="0096524F" w:rsidRPr="0096524F">
        <w:t xml:space="preserve"> </w:t>
      </w:r>
      <w:r w:rsidR="0096524F" w:rsidRPr="0096524F">
        <w:t>B</w:t>
      </w:r>
      <w:r w:rsidRPr="0096524F">
        <w:t>ut its inclusion as a factor also indicates that it is not dispositive</w:t>
      </w:r>
      <w:r w:rsidR="0096524F" w:rsidRPr="0096524F">
        <w:t>.</w:t>
      </w:r>
      <w:r w:rsidR="0096524F" w:rsidRPr="0096524F">
        <w:t xml:space="preserve"> </w:t>
      </w:r>
      <w:r w:rsidR="0096524F" w:rsidRPr="0096524F">
        <w:t>T</w:t>
      </w:r>
      <w:r w:rsidRPr="0096524F">
        <w:t>hat further suggests that dilution is more than a mental association, that it requires some change in the consumer’s perception of the famous mark (at the least, a perception that there is more than one user of the mark).</w:t>
      </w:r>
    </w:p>
    <w:p w14:paraId="582C688A" w14:textId="7E310AE7" w:rsidR="0096524F" w:rsidRPr="0096524F" w:rsidRDefault="00A60ADB" w:rsidP="0096524F">
      <w:pPr>
        <w:pStyle w:val="BNormal"/>
      </w:pPr>
      <w:r w:rsidRPr="0096524F">
        <w:t>Probably the most common evidence of an actual association would be a survey, asking, for example, what one thinks of when confronted with the offending mark</w:t>
      </w:r>
      <w:r w:rsidR="0096524F" w:rsidRPr="0096524F">
        <w:t>.</w:t>
      </w:r>
      <w:r w:rsidR="0096524F" w:rsidRPr="0096524F">
        <w:t xml:space="preserve"> </w:t>
      </w:r>
      <w:r w:rsidR="0096524F" w:rsidRPr="0096524F">
        <w:t>E</w:t>
      </w:r>
      <w:r w:rsidRPr="0096524F">
        <w:t>ven when such evidence exists, however, its probative value should not be overstated</w:t>
      </w:r>
      <w:r w:rsidR="0096524F" w:rsidRPr="0096524F">
        <w:t>.</w:t>
      </w:r>
      <w:r w:rsidR="0096524F" w:rsidRPr="0096524F">
        <w:t xml:space="preserve"> </w:t>
      </w:r>
      <w:r w:rsidR="0096524F" w:rsidRPr="0096524F">
        <w:t>A</w:t>
      </w:r>
      <w:r w:rsidRPr="0096524F">
        <w:t xml:space="preserve"> mental association is a </w:t>
      </w:r>
      <w:r w:rsidR="0096524F" w:rsidRPr="0096524F">
        <w:rPr>
          <w:i/>
        </w:rPr>
        <w:t>first</w:t>
      </w:r>
      <w:r w:rsidRPr="0096524F">
        <w:t xml:space="preserve"> step in the dilution process, but it is not the end result</w:t>
      </w:r>
      <w:r w:rsidR="0096524F" w:rsidRPr="0096524F">
        <w:t>.</w:t>
      </w:r>
      <w:r w:rsidR="0096524F" w:rsidRPr="0096524F">
        <w:t xml:space="preserve"> </w:t>
      </w:r>
      <w:r w:rsidR="0096524F" w:rsidRPr="0096524F">
        <w:t>D</w:t>
      </w:r>
      <w:r w:rsidRPr="0096524F">
        <w:t>ilution occurs when the mental association changes the consumer’s perception of the famous mark—i.e., when the diluting use distracts the consumer from the force of the famous mark</w:t>
      </w:r>
      <w:r w:rsidR="0096524F" w:rsidRPr="0096524F">
        <w:t>.</w:t>
      </w:r>
      <w:r w:rsidR="0096524F" w:rsidRPr="0096524F">
        <w:t xml:space="preserve"> </w:t>
      </w:r>
      <w:r w:rsidR="0096524F" w:rsidRPr="0096524F">
        <w:t>A</w:t>
      </w:r>
      <w:r w:rsidRPr="0096524F">
        <w:t xml:space="preserve"> second use that “calls to mind” the famous mark may have no effect on the famous mark’s unique ability to sell an image, or its ability to conjure up a unique association between the mark and a single owner</w:t>
      </w:r>
      <w:r w:rsidR="0096524F" w:rsidRPr="0096524F">
        <w:t>.</w:t>
      </w:r>
      <w:r w:rsidR="0096524F" w:rsidRPr="0096524F">
        <w:t xml:space="preserve"> </w:t>
      </w:r>
      <w:r w:rsidR="0096524F" w:rsidRPr="0096524F">
        <w:t>A</w:t>
      </w:r>
      <w:r w:rsidRPr="0096524F">
        <w:t>nd none of the factors attempts to measure this end result of dilution.</w:t>
      </w:r>
    </w:p>
    <w:p w14:paraId="0E9977E8" w14:textId="31181FA4" w:rsidR="0096524F" w:rsidRPr="0096524F" w:rsidRDefault="00A60ADB" w:rsidP="0096524F">
      <w:pPr>
        <w:pStyle w:val="BNormal"/>
      </w:pPr>
      <w:r w:rsidRPr="0096524F">
        <w:t>The other side of the actual-association factor is how to deal with its absence</w:t>
      </w:r>
      <w:r w:rsidR="0096524F" w:rsidRPr="0096524F">
        <w:t>.</w:t>
      </w:r>
      <w:r w:rsidR="0096524F" w:rsidRPr="0096524F">
        <w:t xml:space="preserve"> </w:t>
      </w:r>
      <w:r w:rsidR="0096524F" w:rsidRPr="0096524F">
        <w:t>B</w:t>
      </w:r>
      <w:r w:rsidRPr="0096524F">
        <w:t>ecause the applicable standard is likelihood of dilution, not actual dilution, courts do not insist on evidence of actual association</w:t>
      </w:r>
      <w:r w:rsidR="0096524F" w:rsidRPr="0096524F">
        <w:t>.</w:t>
      </w:r>
      <w:r w:rsidR="0096524F" w:rsidRPr="0096524F">
        <w:t xml:space="preserve"> </w:t>
      </w:r>
      <w:r w:rsidR="0096524F" w:rsidRPr="0096524F">
        <w:t>N</w:t>
      </w:r>
      <w:r w:rsidRPr="0096524F">
        <w:t>evertheless, its absence should not be ignored</w:t>
      </w:r>
      <w:r w:rsidR="0096524F" w:rsidRPr="0096524F">
        <w:t>.</w:t>
      </w:r>
      <w:r w:rsidR="0096524F" w:rsidRPr="0096524F">
        <w:t xml:space="preserve"> </w:t>
      </w:r>
      <w:r w:rsidR="0096524F" w:rsidRPr="0096524F">
        <w:t>I</w:t>
      </w:r>
      <w:r w:rsidRPr="0096524F">
        <w:t>n particular, where one would expect some evidence of association, its absence should be seen as some indication that there is no association or that any association is too weak to find a likelihood of dilution.</w:t>
      </w:r>
    </w:p>
    <w:p w14:paraId="11C2214B" w14:textId="3A7C2991" w:rsidR="0096524F" w:rsidRPr="0096524F" w:rsidRDefault="00A60ADB" w:rsidP="0096524F">
      <w:pPr>
        <w:pStyle w:val="BNormal"/>
      </w:pPr>
      <w:r w:rsidRPr="0096524F">
        <w:lastRenderedPageBreak/>
        <w:t>The key to the proper application of the new test is to remember that the factors do not define blurring</w:t>
      </w:r>
      <w:r w:rsidR="0096524F" w:rsidRPr="0096524F">
        <w:t>;</w:t>
      </w:r>
      <w:r w:rsidR="0096524F" w:rsidRPr="0096524F">
        <w:t xml:space="preserve"> </w:t>
      </w:r>
      <w:r w:rsidR="0096524F" w:rsidRPr="0096524F">
        <w:t>t</w:t>
      </w:r>
      <w:r w:rsidRPr="0096524F">
        <w:t>he definition defines blurring</w:t>
      </w:r>
      <w:r w:rsidR="0096524F" w:rsidRPr="0096524F">
        <w:t>.</w:t>
      </w:r>
      <w:r w:rsidR="0096524F" w:rsidRPr="0096524F">
        <w:t xml:space="preserve"> </w:t>
      </w:r>
      <w:r w:rsidR="0096524F" w:rsidRPr="0096524F">
        <w:t>T</w:t>
      </w:r>
      <w:r w:rsidRPr="0096524F">
        <w:t>hus, to succeed on a blurring claim, a famous mark owner must show that the defendant’s use is likely to cause an “association</w:t>
      </w:r>
      <w:r w:rsidR="0096524F" w:rsidRPr="0096524F">
        <w:t xml:space="preserve"> </w:t>
      </w:r>
      <w:r w:rsidRPr="0096524F">
        <w:t>…</w:t>
      </w:r>
      <w:r w:rsidR="0096524F" w:rsidRPr="0096524F">
        <w:t xml:space="preserve"> </w:t>
      </w:r>
      <w:r w:rsidRPr="0096524F">
        <w:t>that impairs the distinctiveness of the famous mark.” Although the factors certainly are intended to serve as helpful guides, the test must be more than a mechanical application of the factors</w:t>
      </w:r>
      <w:r w:rsidR="0096524F" w:rsidRPr="0096524F">
        <w:t>.</w:t>
      </w:r>
      <w:r w:rsidR="0096524F" w:rsidRPr="0096524F">
        <w:t xml:space="preserve"> </w:t>
      </w:r>
      <w:r w:rsidR="0096524F" w:rsidRPr="0096524F">
        <w:t>T</w:t>
      </w:r>
      <w:r w:rsidRPr="0096524F">
        <w:t>hat said, the factors obviously will play an important role in determining blurring</w:t>
      </w:r>
      <w:r w:rsidR="0096524F" w:rsidRPr="0096524F">
        <w:t>.</w:t>
      </w:r>
      <w:r w:rsidR="0096524F" w:rsidRPr="0096524F">
        <w:t xml:space="preserve"> </w:t>
      </w:r>
      <w:r w:rsidR="0096524F" w:rsidRPr="0096524F">
        <w:t>T</w:t>
      </w:r>
      <w:r w:rsidRPr="0096524F">
        <w:t>he keys to the efficacy of this new test will be how much weight is assigned to each factor, how courts determine the intent of the second user, and how the courts relate the factors back to the definition</w:t>
      </w:r>
      <w:r w:rsidR="0096524F" w:rsidRPr="0096524F">
        <w:t>.</w:t>
      </w:r>
      <w:r w:rsidR="0096524F" w:rsidRPr="0096524F">
        <w:t xml:space="preserve"> </w:t>
      </w:r>
      <w:r w:rsidR="0096524F" w:rsidRPr="0096524F">
        <w:t>W</w:t>
      </w:r>
      <w:r w:rsidRPr="0096524F">
        <w:t>hether this new test actually demands more than a showing of a high degree of fame and sufficient similarity is difficult to say</w:t>
      </w:r>
      <w:r w:rsidR="0096524F" w:rsidRPr="0096524F">
        <w:t>.</w:t>
      </w:r>
      <w:r w:rsidR="0096524F" w:rsidRPr="0096524F">
        <w:t xml:space="preserve"> </w:t>
      </w:r>
      <w:r w:rsidR="0096524F" w:rsidRPr="0096524F">
        <w:t>W</w:t>
      </w:r>
      <w:r w:rsidRPr="0096524F">
        <w:t xml:space="preserve">hen applying this test, courts should keep in mind that, although the TDRA overturned the requirement of actual dilution, it still requires a showing that dilution is </w:t>
      </w:r>
      <w:r w:rsidR="0096524F" w:rsidRPr="0096524F">
        <w:rPr>
          <w:i/>
        </w:rPr>
        <w:t>likely</w:t>
      </w:r>
      <w:r w:rsidRPr="0096524F">
        <w:t>, not just that it is possible</w:t>
      </w:r>
      <w:r w:rsidR="0096524F" w:rsidRPr="0096524F">
        <w:t>.</w:t>
      </w:r>
      <w:r w:rsidR="0096524F" w:rsidRPr="0096524F">
        <w:t xml:space="preserve"> </w:t>
      </w:r>
      <w:r w:rsidR="0096524F" w:rsidRPr="0096524F">
        <w:t>O</w:t>
      </w:r>
      <w:r w:rsidRPr="0096524F">
        <w:t>ne might infer a possibility from fame and similarity, but does that make dilution likely</w:t>
      </w:r>
      <w:r w:rsidR="0096524F" w:rsidRPr="0096524F">
        <w:t>?</w:t>
      </w:r>
      <w:r w:rsidR="0096524F" w:rsidRPr="0096524F">
        <w:t xml:space="preserve"> </w:t>
      </w:r>
      <w:r w:rsidR="0096524F" w:rsidRPr="0096524F">
        <w:t>P</w:t>
      </w:r>
      <w:r w:rsidRPr="0096524F">
        <w:t>erhaps this is where a combination of factors (iii) and (vi) will prove most useful.</w:t>
      </w:r>
    </w:p>
    <w:p w14:paraId="5B54060C" w14:textId="37E86D11" w:rsidR="0096524F" w:rsidRPr="0096524F" w:rsidRDefault="00371CCB" w:rsidP="00175762">
      <w:pPr>
        <w:pStyle w:val="BHead3"/>
      </w:pPr>
      <w:r>
        <w:t>9.II.D.</w:t>
      </w:r>
      <w:r w:rsidR="0096524F" w:rsidRPr="00175762">
        <w:rPr>
          <w:rStyle w:val="BBNAidChar"/>
          <w:rFonts w:eastAsiaTheme="majorEastAsia"/>
        </w:rPr>
        <w:t>3</w:t>
      </w:r>
      <w:r w:rsidR="0096524F" w:rsidRPr="0096524F">
        <w:t>.</w:t>
      </w:r>
      <w:r>
        <w:t> </w:t>
      </w:r>
      <w:r w:rsidR="0096524F" w:rsidRPr="0096524F">
        <w:tab/>
        <w:t>Tests for Likelihood of Dilution by Blurring Prior to the TDRA Are of Limited Use After the TDRA</w:t>
      </w:r>
    </w:p>
    <w:p w14:paraId="21AA3C75" w14:textId="461606DE" w:rsidR="0096524F" w:rsidRPr="0096524F" w:rsidRDefault="00A60ADB" w:rsidP="0096524F">
      <w:pPr>
        <w:pStyle w:val="BNormal"/>
      </w:pPr>
      <w:r w:rsidRPr="0096524F">
        <w:t>The most prominent feature of the TDRA was its clear statement that likelihood of dilution was the operative test under the amended statute</w:t>
      </w:r>
      <w:r w:rsidR="0096524F" w:rsidRPr="0096524F">
        <w:t>.</w:t>
      </w:r>
      <w:r w:rsidR="0096524F" w:rsidRPr="0096524F">
        <w:t xml:space="preserve"> </w:t>
      </w:r>
      <w:r w:rsidR="0096524F" w:rsidRPr="0096524F">
        <w:t>T</w:t>
      </w:r>
      <w:r w:rsidRPr="0096524F">
        <w:t xml:space="preserve">his was intended to overrule the Supreme Court’s interpretation in </w:t>
      </w:r>
      <w:r w:rsidR="0096524F" w:rsidRPr="0096524F">
        <w:rPr>
          <w:i/>
        </w:rPr>
        <w:t>Moseley</w:t>
      </w:r>
      <w:r w:rsidRPr="0096524F">
        <w:t xml:space="preserve"> of the language in the original FTDA, which the Court interpreted to require actual dilution in order to demonstrate a right to relief.</w:t>
      </w:r>
      <w:r w:rsidR="0096524F" w:rsidRPr="0096524F">
        <w:rPr>
          <w:vertAlign w:val="superscript"/>
        </w:rPr>
        <w:footnoteReference w:id="103"/>
      </w:r>
      <w:r w:rsidRPr="0096524F">
        <w:t xml:space="preserve"> However, in the seven years prior to the Supreme Court’s decision, several circuits applied a likelihood-of-dilution standard to FTDA cases</w:t>
      </w:r>
      <w:r w:rsidR="0096524F" w:rsidRPr="0096524F">
        <w:t>.</w:t>
      </w:r>
      <w:r w:rsidR="0096524F" w:rsidRPr="0096524F">
        <w:t xml:space="preserve"> </w:t>
      </w:r>
      <w:r w:rsidR="0096524F" w:rsidRPr="0096524F">
        <w:t>B</w:t>
      </w:r>
      <w:r w:rsidRPr="0096524F">
        <w:t>ecause the TDRA permits courts to use “all relevant factors,” it is appropriate to inquire whether any of the pre-TDRA case law can be of assistance after the TDRA.</w:t>
      </w:r>
    </w:p>
    <w:p w14:paraId="52A5BCB3" w14:textId="56123AF4" w:rsidR="0096524F" w:rsidRPr="0096524F" w:rsidRDefault="00A60ADB" w:rsidP="0096524F">
      <w:pPr>
        <w:pStyle w:val="BNormal"/>
      </w:pPr>
      <w:r w:rsidRPr="0096524F">
        <w:t>Before the TDRA was enacted, federal courts struggled to find a serviceable test for dilution under the FTDA</w:t>
      </w:r>
      <w:r w:rsidR="0096524F" w:rsidRPr="0096524F">
        <w:t>.</w:t>
      </w:r>
      <w:r w:rsidR="0096524F" w:rsidRPr="0096524F">
        <w:t xml:space="preserve"> </w:t>
      </w:r>
      <w:r w:rsidR="0096524F" w:rsidRPr="0096524F">
        <w:t>I</w:t>
      </w:r>
      <w:r w:rsidRPr="0096524F">
        <w:t>n large part, this was because the statute itself provided little guidance apart from its broad definition of dilution</w:t>
      </w:r>
      <w:r w:rsidR="0096524F" w:rsidRPr="0096524F">
        <w:t>.</w:t>
      </w:r>
      <w:r w:rsidR="0096524F" w:rsidRPr="0096524F">
        <w:t xml:space="preserve"> </w:t>
      </w:r>
      <w:r w:rsidR="0096524F" w:rsidRPr="0096524F">
        <w:t>P</w:t>
      </w:r>
      <w:r w:rsidRPr="0096524F">
        <w:t xml:space="preserve">rior to the Supreme Court’s </w:t>
      </w:r>
      <w:r w:rsidR="0096524F" w:rsidRPr="0096524F">
        <w:rPr>
          <w:i/>
        </w:rPr>
        <w:t>Moseley</w:t>
      </w:r>
      <w:r w:rsidRPr="0096524F">
        <w:t xml:space="preserve"> decision, courts had divided roughly into two groups when measuring blurring</w:t>
      </w:r>
      <w:r w:rsidR="0096524F" w:rsidRPr="0096524F">
        <w:t>.</w:t>
      </w:r>
      <w:r w:rsidR="0096524F" w:rsidRPr="0096524F">
        <w:t xml:space="preserve"> </w:t>
      </w:r>
      <w:r w:rsidR="0096524F" w:rsidRPr="0096524F">
        <w:t>O</w:t>
      </w:r>
      <w:r w:rsidRPr="0096524F">
        <w:t>ne group of courts used some form of multifactor test to determine the existence of blurring.</w:t>
      </w:r>
      <w:r w:rsidR="0096524F" w:rsidRPr="0096524F">
        <w:rPr>
          <w:vertAlign w:val="superscript"/>
        </w:rPr>
        <w:footnoteReference w:id="104"/>
      </w:r>
      <w:r w:rsidRPr="0096524F">
        <w:t xml:space="preserve"> Another group of courts, led by the Seventh Circuit, used a second test, focusing on only two factors</w:t>
      </w:r>
      <w:r w:rsidR="0096524F" w:rsidRPr="0096524F">
        <w:t>:</w:t>
      </w:r>
      <w:r w:rsidR="0096524F" w:rsidRPr="0096524F">
        <w:t xml:space="preserve"> </w:t>
      </w:r>
      <w:r w:rsidR="0096524F" w:rsidRPr="0096524F">
        <w:t>t</w:t>
      </w:r>
      <w:r w:rsidRPr="0096524F">
        <w:t>he similarity of the marks and the renown of the senior (famous) mark.</w:t>
      </w:r>
      <w:r w:rsidR="0096524F" w:rsidRPr="0096524F">
        <w:rPr>
          <w:vertAlign w:val="superscript"/>
        </w:rPr>
        <w:footnoteReference w:id="105"/>
      </w:r>
      <w:r w:rsidRPr="0096524F">
        <w:t xml:space="preserve"> Although these two tests predominated in the cases where some test was used, there were a number of cases in which courts evaluated blurring claims with little indication of how they reached their conclusion.</w:t>
      </w:r>
      <w:r w:rsidR="0096524F" w:rsidRPr="0096524F">
        <w:rPr>
          <w:vertAlign w:val="superscript"/>
        </w:rPr>
        <w:footnoteReference w:id="106"/>
      </w:r>
    </w:p>
    <w:p w14:paraId="6211970A" w14:textId="4BC57932" w:rsidR="0096524F" w:rsidRPr="0096524F" w:rsidRDefault="00A60ADB" w:rsidP="0096524F">
      <w:pPr>
        <w:pStyle w:val="BNormal"/>
      </w:pPr>
      <w:r w:rsidRPr="0096524F">
        <w:lastRenderedPageBreak/>
        <w:t>It seems clear that the TDRA did not endorse what might be called the “holistic” approach of the latter group of courts</w:t>
      </w:r>
      <w:r w:rsidR="0096524F" w:rsidRPr="0096524F">
        <w:t>.</w:t>
      </w:r>
      <w:r w:rsidR="0096524F" w:rsidRPr="0096524F">
        <w:t xml:space="preserve"> </w:t>
      </w:r>
      <w:r w:rsidR="0096524F" w:rsidRPr="0096524F">
        <w:t>B</w:t>
      </w:r>
      <w:r w:rsidRPr="0096524F">
        <w:t>y adding factors to the statutory definition of dilution by blurring, the drafters of the statute obviously intended that courts adopt a more structured approach to dilution claims, somewhat akin to that used in a likelihood-of-confusion analysis</w:t>
      </w:r>
      <w:r w:rsidR="0096524F" w:rsidRPr="0096524F">
        <w:t>.</w:t>
      </w:r>
      <w:r w:rsidR="0096524F" w:rsidRPr="0096524F">
        <w:t xml:space="preserve"> </w:t>
      </w:r>
      <w:r w:rsidR="0096524F" w:rsidRPr="0096524F">
        <w:t>I</w:t>
      </w:r>
      <w:r w:rsidRPr="0096524F">
        <w:t>t is also questionable whether the Seventh Circuit’s approach, which relied almost exclusively on fame and similarity, is an appropriate test under the TDRA</w:t>
      </w:r>
      <w:r w:rsidR="0096524F" w:rsidRPr="0096524F">
        <w:t>.</w:t>
      </w:r>
      <w:r w:rsidR="0096524F" w:rsidRPr="0096524F">
        <w:t xml:space="preserve"> </w:t>
      </w:r>
      <w:r w:rsidR="0096524F" w:rsidRPr="0096524F">
        <w:t>A</w:t>
      </w:r>
      <w:r w:rsidRPr="0096524F">
        <w:t>lthough both the degree of renown and degree of similarity are factors under the TDRA, it does not appear that they were intended to be the exclusive measures of likelihood of dilution</w:t>
      </w:r>
      <w:r w:rsidR="0096524F" w:rsidRPr="0096524F">
        <w:t>.</w:t>
      </w:r>
      <w:r w:rsidR="0096524F" w:rsidRPr="0096524F">
        <w:t xml:space="preserve"> </w:t>
      </w:r>
      <w:r w:rsidR="0096524F" w:rsidRPr="0096524F">
        <w:t>M</w:t>
      </w:r>
      <w:r w:rsidRPr="0096524F">
        <w:t>oreover, recent cases have held that the TDRA does not require any particular level of similarity as a prerequisite to a finding of likely dilution.</w:t>
      </w:r>
      <w:r w:rsidR="0096524F" w:rsidRPr="0096524F">
        <w:rPr>
          <w:vertAlign w:val="superscript"/>
        </w:rPr>
        <w:footnoteReference w:id="107"/>
      </w:r>
      <w:r w:rsidRPr="0096524F">
        <w:t xml:space="preserve"> Therefore, relying on these two factors alone would extend dilution beyond its intended boundaries.</w:t>
      </w:r>
    </w:p>
    <w:p w14:paraId="3995EC6F" w14:textId="146C8759" w:rsidR="0096524F" w:rsidRPr="0096524F" w:rsidRDefault="00A60ADB" w:rsidP="0096524F">
      <w:pPr>
        <w:pStyle w:val="BNormal"/>
      </w:pPr>
      <w:r w:rsidRPr="0096524F">
        <w:t>Two other pre-TDRA tests relied on additional factors</w:t>
      </w:r>
      <w:r w:rsidR="0096524F" w:rsidRPr="0096524F">
        <w:t>.</w:t>
      </w:r>
      <w:r w:rsidR="0096524F" w:rsidRPr="0096524F">
        <w:t xml:space="preserve"> </w:t>
      </w:r>
      <w:r w:rsidR="0096524F" w:rsidRPr="0096524F">
        <w:t>O</w:t>
      </w:r>
      <w:r w:rsidRPr="0096524F">
        <w:t>ne test, originally developed for use in cases applying New York law, relied on the following six factors</w:t>
      </w:r>
      <w:r w:rsidR="0096524F" w:rsidRPr="0096524F">
        <w:t>:</w:t>
      </w:r>
      <w:r w:rsidR="0096524F" w:rsidRPr="0096524F">
        <w:t xml:space="preserve"> </w:t>
      </w:r>
      <w:r w:rsidR="0096524F" w:rsidRPr="0096524F">
        <w:t>(</w:t>
      </w:r>
      <w:r w:rsidRPr="0096524F">
        <w:t>1) similarity of the marks</w:t>
      </w:r>
      <w:r w:rsidR="0096524F" w:rsidRPr="0096524F">
        <w:t>;</w:t>
      </w:r>
      <w:r w:rsidR="0096524F" w:rsidRPr="0096524F">
        <w:t xml:space="preserve"> </w:t>
      </w:r>
      <w:r w:rsidR="0096524F" w:rsidRPr="0096524F">
        <w:t>(</w:t>
      </w:r>
      <w:r w:rsidRPr="0096524F">
        <w:t>2) similarity of the products</w:t>
      </w:r>
      <w:r w:rsidR="0096524F" w:rsidRPr="0096524F">
        <w:t>;</w:t>
      </w:r>
      <w:r w:rsidR="0096524F" w:rsidRPr="0096524F">
        <w:t xml:space="preserve"> </w:t>
      </w:r>
      <w:r w:rsidR="0096524F" w:rsidRPr="0096524F">
        <w:t>(</w:t>
      </w:r>
      <w:r w:rsidRPr="0096524F">
        <w:t>3) sophistication of the consumers</w:t>
      </w:r>
      <w:r w:rsidR="0096524F" w:rsidRPr="0096524F">
        <w:t>;</w:t>
      </w:r>
      <w:r w:rsidR="0096524F" w:rsidRPr="0096524F">
        <w:t xml:space="preserve"> </w:t>
      </w:r>
      <w:r w:rsidR="0096524F" w:rsidRPr="0096524F">
        <w:t>(</w:t>
      </w:r>
      <w:r w:rsidRPr="0096524F">
        <w:t>4) predatory intent</w:t>
      </w:r>
      <w:r w:rsidR="0096524F" w:rsidRPr="0096524F">
        <w:t>;</w:t>
      </w:r>
      <w:r w:rsidR="0096524F" w:rsidRPr="0096524F">
        <w:t xml:space="preserve"> </w:t>
      </w:r>
      <w:r w:rsidR="0096524F" w:rsidRPr="0096524F">
        <w:t>(</w:t>
      </w:r>
      <w:r w:rsidRPr="0096524F">
        <w:t>5) renown of the senior mark</w:t>
      </w:r>
      <w:r w:rsidR="0096524F" w:rsidRPr="0096524F">
        <w:t>;</w:t>
      </w:r>
      <w:r w:rsidR="0096524F" w:rsidRPr="0096524F">
        <w:t xml:space="preserve"> </w:t>
      </w:r>
      <w:r w:rsidR="0096524F" w:rsidRPr="0096524F">
        <w:t>a</w:t>
      </w:r>
      <w:r w:rsidRPr="0096524F">
        <w:t>nd (6) renown of the junior mark.</w:t>
      </w:r>
      <w:r w:rsidR="0096524F" w:rsidRPr="0096524F">
        <w:rPr>
          <w:vertAlign w:val="superscript"/>
        </w:rPr>
        <w:footnoteReference w:id="108"/>
      </w:r>
      <w:r w:rsidRPr="0096524F">
        <w:t xml:space="preserve"> Quite obviously, this test looks very much like a test for likelihood of confusion</w:t>
      </w:r>
      <w:r w:rsidR="0096524F" w:rsidRPr="0096524F">
        <w:t>.</w:t>
      </w:r>
      <w:r w:rsidR="0096524F" w:rsidRPr="0096524F">
        <w:t xml:space="preserve"> </w:t>
      </w:r>
      <w:r w:rsidR="0096524F" w:rsidRPr="0096524F">
        <w:t>B</w:t>
      </w:r>
      <w:r w:rsidRPr="0096524F">
        <w:t xml:space="preserve">ut the classic dilution case is quite different from a likelihood of confusion case—it assumes that the consumer is </w:t>
      </w:r>
      <w:r w:rsidR="0096524F" w:rsidRPr="0096524F">
        <w:rPr>
          <w:i/>
        </w:rPr>
        <w:t>not</w:t>
      </w:r>
      <w:r w:rsidRPr="0096524F">
        <w:t xml:space="preserve"> confused, but that the mark has come to designate more than one source of goods or services, thus losing its unique identity</w:t>
      </w:r>
      <w:r w:rsidR="0096524F" w:rsidRPr="0096524F">
        <w:t>.</w:t>
      </w:r>
      <w:r w:rsidR="0096524F" w:rsidRPr="0096524F">
        <w:t xml:space="preserve"> </w:t>
      </w:r>
      <w:r w:rsidR="0096524F" w:rsidRPr="0096524F">
        <w:t>A</w:t>
      </w:r>
      <w:r w:rsidRPr="0096524F">
        <w:t>lthough a number of early cases cited this test,</w:t>
      </w:r>
      <w:r w:rsidR="0096524F" w:rsidRPr="0096524F">
        <w:rPr>
          <w:vertAlign w:val="superscript"/>
        </w:rPr>
        <w:footnoteReference w:id="109"/>
      </w:r>
      <w:r w:rsidRPr="0096524F">
        <w:t xml:space="preserve"> it was subject to a great deal of criticism, even from the circuit that developed it.</w:t>
      </w:r>
      <w:r w:rsidR="0096524F" w:rsidRPr="0096524F">
        <w:rPr>
          <w:vertAlign w:val="superscript"/>
        </w:rPr>
        <w:footnoteReference w:id="110"/>
      </w:r>
      <w:r w:rsidRPr="0096524F">
        <w:t xml:space="preserve"> Moreover, its efficacy as a guide for the TDRA is doubtful</w:t>
      </w:r>
      <w:r w:rsidR="0096524F" w:rsidRPr="0096524F">
        <w:t>.</w:t>
      </w:r>
      <w:r w:rsidR="0096524F" w:rsidRPr="0096524F">
        <w:t xml:space="preserve"> </w:t>
      </w:r>
      <w:r w:rsidR="0096524F" w:rsidRPr="0096524F">
        <w:t>T</w:t>
      </w:r>
      <w:r w:rsidRPr="0096524F">
        <w:t>he drafters of the TDRA were aware of this test and the omission of similarity of products, sophistication of customers (which is a strange factor in dilution, given its non-reliance on confusion), and renown of the junior mark indicates that those factors were not considered especially relevant in the analysis.</w:t>
      </w:r>
      <w:r w:rsidR="0096524F" w:rsidRPr="0096524F">
        <w:rPr>
          <w:vertAlign w:val="superscript"/>
        </w:rPr>
        <w:footnoteReference w:id="111"/>
      </w:r>
    </w:p>
    <w:p w14:paraId="4FC46DB0" w14:textId="195706B3" w:rsidR="0096524F" w:rsidRPr="0096524F" w:rsidRDefault="00A60ADB" w:rsidP="0096524F">
      <w:pPr>
        <w:pStyle w:val="BNormal"/>
      </w:pPr>
      <w:r w:rsidRPr="0096524F">
        <w:t>The other significant multifactor test was also developed by the Second Circuit</w:t>
      </w:r>
      <w:r w:rsidR="0096524F" w:rsidRPr="0096524F">
        <w:t>.</w:t>
      </w:r>
      <w:r w:rsidR="0096524F" w:rsidRPr="0096524F">
        <w:t xml:space="preserve"> </w:t>
      </w:r>
      <w:r w:rsidR="0096524F" w:rsidRPr="0096524F">
        <w:t>T</w:t>
      </w:r>
      <w:r w:rsidRPr="0096524F">
        <w:t>he court acknowledged the usefulness of several of its earlier factors but wished to include these additional factors:</w:t>
      </w:r>
    </w:p>
    <w:p w14:paraId="436AAFC7" w14:textId="049E9D21" w:rsidR="0096524F" w:rsidRPr="0096524F" w:rsidRDefault="00A60ADB" w:rsidP="0096524F">
      <w:pPr>
        <w:pStyle w:val="BQuotelong"/>
      </w:pPr>
      <w:r w:rsidRPr="0096524F">
        <w:lastRenderedPageBreak/>
        <w:t>Those [additional factors] include actual confusion and likelihood of confusion, shared consumers and geographic isolation, the adjectival quality of the junior use, and the interrelated factors of duration of the junior use, harm to the junior user, and delay by the senior in bringing the action.</w:t>
      </w:r>
      <w:r w:rsidR="0096524F" w:rsidRPr="0096524F">
        <w:rPr>
          <w:vertAlign w:val="superscript"/>
        </w:rPr>
        <w:footnoteReference w:id="112"/>
      </w:r>
    </w:p>
    <w:p w14:paraId="0F256EA7" w14:textId="2291199B" w:rsidR="0096524F" w:rsidRPr="0096524F" w:rsidRDefault="00A60ADB" w:rsidP="0096524F">
      <w:pPr>
        <w:pStyle w:val="BNormal"/>
      </w:pPr>
      <w:r w:rsidRPr="0096524F">
        <w:t>But these factors, if anything, increased the link between dilution and confusion, factors which the TDRA conspicuously omitted</w:t>
      </w:r>
      <w:r w:rsidR="0096524F" w:rsidRPr="0096524F">
        <w:t>.</w:t>
      </w:r>
      <w:r w:rsidR="0096524F" w:rsidRPr="0096524F">
        <w:t xml:space="preserve"> </w:t>
      </w:r>
      <w:r w:rsidR="0096524F" w:rsidRPr="0096524F">
        <w:t>T</w:t>
      </w:r>
      <w:r w:rsidRPr="0096524F">
        <w:t xml:space="preserve">hus, although this test was adopted by several other circuits before the Supreme Court’s decision in </w:t>
      </w:r>
      <w:r w:rsidR="0096524F" w:rsidRPr="0096524F">
        <w:rPr>
          <w:i/>
        </w:rPr>
        <w:t>Moseley</w:t>
      </w:r>
      <w:r w:rsidRPr="0096524F">
        <w:t>,</w:t>
      </w:r>
      <w:r w:rsidR="0096524F" w:rsidRPr="0096524F">
        <w:rPr>
          <w:vertAlign w:val="superscript"/>
        </w:rPr>
        <w:footnoteReference w:id="113"/>
      </w:r>
      <w:r w:rsidRPr="0096524F">
        <w:t xml:space="preserve"> it has not been used since the TDRA.</w:t>
      </w:r>
      <w:r w:rsidR="0096524F" w:rsidRPr="0096524F">
        <w:rPr>
          <w:vertAlign w:val="superscript"/>
        </w:rPr>
        <w:footnoteReference w:id="114"/>
      </w:r>
    </w:p>
    <w:p w14:paraId="2989524A" w14:textId="39262F68" w:rsidR="0096524F" w:rsidRPr="0096524F" w:rsidRDefault="00A60ADB" w:rsidP="0096524F">
      <w:pPr>
        <w:pStyle w:val="BNormal"/>
      </w:pPr>
      <w:r w:rsidRPr="0096524F">
        <w:t xml:space="preserve">Although some of the factors in the </w:t>
      </w:r>
      <w:r w:rsidR="0096524F" w:rsidRPr="0096524F">
        <w:rPr>
          <w:i/>
        </w:rPr>
        <w:t>Mead Data</w:t>
      </w:r>
      <w:r w:rsidRPr="0096524F">
        <w:t xml:space="preserve"> and </w:t>
      </w:r>
      <w:r w:rsidR="0096524F" w:rsidRPr="0096524F">
        <w:rPr>
          <w:i/>
        </w:rPr>
        <w:t>Nabisco</w:t>
      </w:r>
      <w:r w:rsidRPr="0096524F">
        <w:t xml:space="preserve"> cases are arguably relevant post-TDRA, courts should be careful when importing factors of which the TDRA drafters were aware and which were clearly omitted from the statute</w:t>
      </w:r>
      <w:r w:rsidR="0096524F" w:rsidRPr="0096524F">
        <w:t>.</w:t>
      </w:r>
      <w:r w:rsidR="0096524F" w:rsidRPr="0096524F">
        <w:t xml:space="preserve"> </w:t>
      </w:r>
      <w:r w:rsidR="0096524F" w:rsidRPr="0096524F">
        <w:t>T</w:t>
      </w:r>
      <w:r w:rsidRPr="0096524F">
        <w:t>his is particularly true of factors pointing directly at confusion.</w:t>
      </w:r>
    </w:p>
    <w:p w14:paraId="40C92FB1" w14:textId="6AACF1E6" w:rsidR="0096524F" w:rsidRPr="0096524F" w:rsidRDefault="00371CCB" w:rsidP="00175762">
      <w:pPr>
        <w:pStyle w:val="BHead3"/>
      </w:pPr>
      <w:r>
        <w:t>9.II.D.</w:t>
      </w:r>
      <w:r w:rsidR="0096524F" w:rsidRPr="00175762">
        <w:rPr>
          <w:rStyle w:val="BBNAidChar"/>
          <w:rFonts w:eastAsiaTheme="majorEastAsia"/>
        </w:rPr>
        <w:t>4</w:t>
      </w:r>
      <w:r w:rsidR="0096524F" w:rsidRPr="0096524F">
        <w:t>.</w:t>
      </w:r>
      <w:r>
        <w:t> </w:t>
      </w:r>
      <w:r w:rsidR="0096524F" w:rsidRPr="0096524F">
        <w:tab/>
        <w:t>Judicial Applications of the TDRA Definition and Factors</w:t>
      </w:r>
    </w:p>
    <w:p w14:paraId="582FBF00" w14:textId="370C538E" w:rsidR="0096524F" w:rsidRPr="0096524F" w:rsidRDefault="00A60ADB" w:rsidP="0096524F">
      <w:pPr>
        <w:pStyle w:val="BNormal"/>
      </w:pPr>
      <w:r w:rsidRPr="0096524F">
        <w:t>Although some of the post-TDRA cases have come to their conclusions with rather cursory explanations, other cases have made an effort to use the TDRA factors.</w:t>
      </w:r>
    </w:p>
    <w:p w14:paraId="56E10684" w14:textId="2B176803" w:rsidR="0096524F" w:rsidRPr="0096524F" w:rsidRDefault="00A60ADB" w:rsidP="0096524F">
      <w:pPr>
        <w:pStyle w:val="BNormal"/>
      </w:pPr>
      <w:r w:rsidRPr="0096524F">
        <w:t>In an early post-TDRA case, a court found against a dilution claim, primarily on the basis of a lack of similarity and a concomitant lack of mental association.</w:t>
      </w:r>
      <w:r w:rsidR="0096524F" w:rsidRPr="0096524F">
        <w:rPr>
          <w:vertAlign w:val="superscript"/>
        </w:rPr>
        <w:footnoteReference w:id="115"/>
      </w:r>
      <w:r w:rsidRPr="0096524F">
        <w:t xml:space="preserve"> Although all of the factors except predatory intent favored the plaintiff, the court was careful to note that the distinctive feature of the plaintiff’s mark was the combination of “Century” and “21,” not “Century” alone</w:t>
      </w:r>
      <w:r w:rsidR="0096524F" w:rsidRPr="0096524F">
        <w:t>.</w:t>
      </w:r>
      <w:r w:rsidR="0096524F" w:rsidRPr="0096524F">
        <w:t xml:space="preserve"> </w:t>
      </w:r>
      <w:r w:rsidR="0096524F" w:rsidRPr="0096524F">
        <w:t>T</w:t>
      </w:r>
      <w:r w:rsidRPr="0096524F">
        <w:t>he lack of overall similarity, which is a product of the fact that the core of each mark, “Century,” is a common word and the fact that overall the marks were somewhat different, meant that no dilution was likely.</w:t>
      </w:r>
      <w:r w:rsidR="0096524F" w:rsidRPr="0096524F">
        <w:rPr>
          <w:vertAlign w:val="superscript"/>
        </w:rPr>
        <w:footnoteReference w:id="116"/>
      </w:r>
    </w:p>
    <w:p w14:paraId="21D35BBA" w14:textId="7907F5AA" w:rsidR="0096524F" w:rsidRPr="0096524F" w:rsidRDefault="00A60ADB" w:rsidP="0096524F">
      <w:pPr>
        <w:pStyle w:val="BNormal"/>
      </w:pPr>
      <w:r w:rsidRPr="0096524F">
        <w:t xml:space="preserve">The first appellate case to apply the TDRA’s blurring factors was </w:t>
      </w:r>
      <w:r w:rsidR="0096524F" w:rsidRPr="0096524F">
        <w:rPr>
          <w:i/>
        </w:rPr>
        <w:t>Louis Vuitton Malletier, S</w:t>
      </w:r>
      <w:r w:rsidRPr="0096524F">
        <w:t>.</w:t>
      </w:r>
      <w:r w:rsidR="0096524F" w:rsidRPr="0096524F">
        <w:rPr>
          <w:i/>
        </w:rPr>
        <w:t>A</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 xml:space="preserve">Haute </w:t>
      </w:r>
      <w:proofErr w:type="spellStart"/>
      <w:r w:rsidR="0096524F" w:rsidRPr="0096524F">
        <w:rPr>
          <w:i/>
        </w:rPr>
        <w:t>Diggity</w:t>
      </w:r>
      <w:proofErr w:type="spellEnd"/>
      <w:r w:rsidR="0096524F" w:rsidRPr="0096524F">
        <w:rPr>
          <w:i/>
        </w:rPr>
        <w:t xml:space="preserve"> Dog, LLC</w:t>
      </w:r>
      <w:r w:rsidRPr="0096524F">
        <w:t>.</w:t>
      </w:r>
      <w:r w:rsidR="0096524F" w:rsidRPr="0096524F">
        <w:rPr>
          <w:vertAlign w:val="superscript"/>
        </w:rPr>
        <w:footnoteReference w:id="117"/>
      </w:r>
      <w:r w:rsidRPr="0096524F">
        <w:t xml:space="preserve"> As the court recognized, this case did not arise in the classic blurring context of a noncompetitor using the famous mark (or a nearly identical version) in an ordinary trademark manner for the defendant’s goods</w:t>
      </w:r>
      <w:r w:rsidR="0096524F" w:rsidRPr="0096524F">
        <w:t>.</w:t>
      </w:r>
      <w:r w:rsidR="0096524F" w:rsidRPr="0096524F">
        <w:t xml:space="preserve"> </w:t>
      </w:r>
      <w:r w:rsidR="0096524F" w:rsidRPr="0096524F">
        <w:t>R</w:t>
      </w:r>
      <w:r w:rsidRPr="0096524F">
        <w:t xml:space="preserve">ather, the defendant used a </w:t>
      </w:r>
      <w:r w:rsidR="0096524F" w:rsidRPr="0096524F">
        <w:rPr>
          <w:i/>
        </w:rPr>
        <w:t>parody</w:t>
      </w:r>
      <w:r w:rsidRPr="0096524F">
        <w:t xml:space="preserve"> of the plaintiff’s marks to denominate its goods</w:t>
      </w:r>
      <w:r w:rsidR="0096524F" w:rsidRPr="0096524F">
        <w:t>.</w:t>
      </w:r>
      <w:r w:rsidR="0096524F" w:rsidRPr="0096524F">
        <w:t xml:space="preserve"> </w:t>
      </w:r>
      <w:r w:rsidR="0096524F" w:rsidRPr="0096524F">
        <w:t>T</w:t>
      </w:r>
      <w:r w:rsidRPr="0096524F">
        <w:t xml:space="preserve">he defendant produced a line of dog toys that it called “Chewy </w:t>
      </w:r>
      <w:proofErr w:type="spellStart"/>
      <w:r w:rsidRPr="0096524F">
        <w:t>Vuiton</w:t>
      </w:r>
      <w:proofErr w:type="spellEnd"/>
      <w:r w:rsidRPr="0096524F">
        <w:t>,” an obvious play on the “Louis Vuitton” mark used on high fashion accessories.</w:t>
      </w:r>
      <w:r w:rsidR="0096524F" w:rsidRPr="0096524F">
        <w:rPr>
          <w:vertAlign w:val="superscript"/>
        </w:rPr>
        <w:footnoteReference w:id="118"/>
      </w:r>
    </w:p>
    <w:p w14:paraId="015A0303" w14:textId="61A39148" w:rsidR="0096524F" w:rsidRPr="0096524F" w:rsidRDefault="00A60ADB" w:rsidP="0096524F">
      <w:pPr>
        <w:pStyle w:val="BNormal"/>
      </w:pPr>
      <w:r w:rsidRPr="0096524F">
        <w:t xml:space="preserve">As the </w:t>
      </w:r>
      <w:r w:rsidR="0096524F" w:rsidRPr="0096524F">
        <w:rPr>
          <w:i/>
        </w:rPr>
        <w:t>Louis Vuitton</w:t>
      </w:r>
      <w:r w:rsidRPr="0096524F">
        <w:t xml:space="preserve"> court understood, applying the TDRA factors in a parody case requires careful attention to the underlying definition of dilution.</w:t>
      </w:r>
      <w:r w:rsidR="0096524F" w:rsidRPr="0096524F">
        <w:rPr>
          <w:vertAlign w:val="superscript"/>
        </w:rPr>
        <w:footnoteReference w:id="119"/>
      </w:r>
      <w:r w:rsidRPr="0096524F">
        <w:t xml:space="preserve"> A parody </w:t>
      </w:r>
      <w:r w:rsidR="0096524F" w:rsidRPr="0096524F">
        <w:rPr>
          <w:i/>
        </w:rPr>
        <w:t>must</w:t>
      </w:r>
      <w:r w:rsidRPr="0096524F">
        <w:t xml:space="preserve"> create an </w:t>
      </w:r>
      <w:r w:rsidRPr="0096524F">
        <w:lastRenderedPageBreak/>
        <w:t>association between itself and the famous mark in order to be successful</w:t>
      </w:r>
      <w:r w:rsidR="0096524F" w:rsidRPr="0096524F">
        <w:t>.</w:t>
      </w:r>
      <w:r w:rsidR="0096524F" w:rsidRPr="0096524F">
        <w:t xml:space="preserve"> </w:t>
      </w:r>
      <w:r w:rsidR="0096524F" w:rsidRPr="0096524F">
        <w:t>T</w:t>
      </w:r>
      <w:r w:rsidRPr="0096524F">
        <w:t>herefore, in a parody case several factors that might ordinarily implicate blurring will probably point in the plaintiff’s favor</w:t>
      </w:r>
      <w:r w:rsidR="0096524F" w:rsidRPr="0096524F">
        <w:t>:</w:t>
      </w:r>
      <w:r w:rsidR="0096524F" w:rsidRPr="0096524F">
        <w:t xml:space="preserve"> </w:t>
      </w:r>
      <w:r w:rsidR="0096524F" w:rsidRPr="0096524F">
        <w:t>d</w:t>
      </w:r>
      <w:r w:rsidRPr="0096524F">
        <w:t>egree of similarity, intent to create association, and actual association</w:t>
      </w:r>
      <w:r w:rsidR="0096524F" w:rsidRPr="0096524F">
        <w:t>.</w:t>
      </w:r>
      <w:r w:rsidR="0096524F" w:rsidRPr="0096524F">
        <w:t xml:space="preserve"> </w:t>
      </w:r>
      <w:r w:rsidR="0096524F" w:rsidRPr="0096524F">
        <w:t>M</w:t>
      </w:r>
      <w:r w:rsidRPr="0096524F">
        <w:t>oreover, because a successful parody depends on public recognition of the object of the parody, the other factors (degree of distinctiveness, exclusive use, and degree of recognition) are likely to point to the plaintiff as well</w:t>
      </w:r>
      <w:r w:rsidR="0096524F" w:rsidRPr="0096524F">
        <w:t>.</w:t>
      </w:r>
      <w:r w:rsidR="0096524F" w:rsidRPr="0096524F">
        <w:t xml:space="preserve"> </w:t>
      </w:r>
      <w:r w:rsidR="0096524F" w:rsidRPr="0096524F">
        <w:t>H</w:t>
      </w:r>
      <w:r w:rsidRPr="0096524F">
        <w:t>owever, as the court noted, the existence of an association (even one intentionally created) does not necessarily mean that the distinctiveness of the famous mark has been, or is likely to be, harmed.</w:t>
      </w:r>
      <w:r w:rsidR="0096524F" w:rsidRPr="0096524F">
        <w:rPr>
          <w:vertAlign w:val="superscript"/>
        </w:rPr>
        <w:footnoteReference w:id="120"/>
      </w:r>
      <w:r w:rsidRPr="0096524F">
        <w:t xml:space="preserve"> And it is the likely damage to distinctiveness, not simply association, which is the key to the definition of dilution.</w:t>
      </w:r>
    </w:p>
    <w:p w14:paraId="232038F9" w14:textId="5B095650" w:rsidR="0096524F" w:rsidRPr="0096524F" w:rsidRDefault="00A60ADB" w:rsidP="0096524F">
      <w:pPr>
        <w:pStyle w:val="BNormal"/>
      </w:pPr>
      <w:r w:rsidRPr="0096524F">
        <w:t xml:space="preserve">Thus, the court stated that “because the famous mark is particularly strong and distinctive, it becomes more likely that a parody will </w:t>
      </w:r>
      <w:r w:rsidR="0096524F" w:rsidRPr="0096524F">
        <w:rPr>
          <w:i/>
        </w:rPr>
        <w:t>not</w:t>
      </w:r>
      <w:r w:rsidRPr="0096524F">
        <w:t xml:space="preserve"> impair the distinctiveness of the mark.”</w:t>
      </w:r>
      <w:r w:rsidR="0096524F" w:rsidRPr="0096524F">
        <w:rPr>
          <w:vertAlign w:val="superscript"/>
        </w:rPr>
        <w:footnoteReference w:id="121"/>
      </w:r>
      <w:r w:rsidRPr="0096524F">
        <w:t xml:space="preserve"> In short, “parody is relevant to the overall question of” dilution by blurring.</w:t>
      </w:r>
      <w:r w:rsidR="0096524F" w:rsidRPr="0096524F">
        <w:rPr>
          <w:vertAlign w:val="superscript"/>
        </w:rPr>
        <w:footnoteReference w:id="122"/>
      </w:r>
      <w:r w:rsidRPr="0096524F">
        <w:t xml:space="preserve"> Because the defendant communicated both an association with the mark and a disassociation, the court found that the use would not impair the Louis Vuitton mark’s distinctiveness.</w:t>
      </w:r>
      <w:r w:rsidR="0096524F" w:rsidRPr="0096524F">
        <w:rPr>
          <w:vertAlign w:val="superscript"/>
        </w:rPr>
        <w:footnoteReference w:id="123"/>
      </w:r>
    </w:p>
    <w:p w14:paraId="10269DD7" w14:textId="517AB729" w:rsidR="0096524F" w:rsidRPr="0096524F" w:rsidRDefault="00A60ADB" w:rsidP="0096524F">
      <w:pPr>
        <w:pStyle w:val="BNormal"/>
      </w:pPr>
      <w:r w:rsidRPr="0096524F">
        <w:t xml:space="preserve">Louis Vuitton also failed in a dilution claim against a competitor in relation to its Monogram </w:t>
      </w:r>
      <w:proofErr w:type="spellStart"/>
      <w:r w:rsidRPr="0096524F">
        <w:t>Multicolore</w:t>
      </w:r>
      <w:proofErr w:type="spellEnd"/>
      <w:r w:rsidRPr="0096524F">
        <w:t xml:space="preserve"> mark.</w:t>
      </w:r>
      <w:r w:rsidR="0096524F" w:rsidRPr="0096524F">
        <w:rPr>
          <w:vertAlign w:val="superscript"/>
        </w:rPr>
        <w:footnoteReference w:id="124"/>
      </w:r>
      <w:r w:rsidRPr="0096524F">
        <w:t xml:space="preserve"> The court cited two reasons for ruling against Louis Vuitton</w:t>
      </w:r>
      <w:r w:rsidR="0096524F" w:rsidRPr="0096524F">
        <w:t>:</w:t>
      </w:r>
      <w:r w:rsidR="0096524F" w:rsidRPr="0096524F">
        <w:t xml:space="preserve"> </w:t>
      </w:r>
      <w:r w:rsidR="0096524F" w:rsidRPr="0096524F">
        <w:t>a</w:t>
      </w:r>
      <w:r w:rsidRPr="0096524F">
        <w:t xml:space="preserve"> lack of sufficient similarity</w:t>
      </w:r>
      <w:r w:rsidR="0096524F" w:rsidRPr="0096524F">
        <w:rPr>
          <w:vertAlign w:val="superscript"/>
        </w:rPr>
        <w:footnoteReference w:id="125"/>
      </w:r>
      <w:r w:rsidRPr="0096524F">
        <w:t xml:space="preserve"> and a lack of evidence of actual dilution.</w:t>
      </w:r>
      <w:r w:rsidR="0096524F" w:rsidRPr="0096524F">
        <w:rPr>
          <w:vertAlign w:val="superscript"/>
        </w:rPr>
        <w:footnoteReference w:id="126"/>
      </w:r>
      <w:r w:rsidRPr="0096524F">
        <w:t xml:space="preserve"> The court’s reasoning as to dilution is instructive, even under a likelihood-of-dilution standard</w:t>
      </w:r>
      <w:r w:rsidR="0096524F" w:rsidRPr="0096524F">
        <w:t>.</w:t>
      </w:r>
      <w:r w:rsidR="0096524F" w:rsidRPr="0096524F">
        <w:t xml:space="preserve"> </w:t>
      </w:r>
      <w:r w:rsidR="0096524F" w:rsidRPr="0096524F">
        <w:t>A</w:t>
      </w:r>
      <w:r w:rsidRPr="0096524F">
        <w:t xml:space="preserve">s the court noted, Louis Vuitton’s evidence showed, at most, that consumers made a mental association between the defendant’s mark and the Monogram </w:t>
      </w:r>
      <w:proofErr w:type="spellStart"/>
      <w:r w:rsidRPr="0096524F">
        <w:t>Multicolore</w:t>
      </w:r>
      <w:proofErr w:type="spellEnd"/>
      <w:r w:rsidRPr="0096524F">
        <w:t xml:space="preserve"> mark</w:t>
      </w:r>
      <w:r w:rsidR="0096524F" w:rsidRPr="0096524F">
        <w:t>.</w:t>
      </w:r>
      <w:r w:rsidR="0096524F" w:rsidRPr="0096524F">
        <w:t xml:space="preserve"> </w:t>
      </w:r>
      <w:r w:rsidR="0096524F" w:rsidRPr="0096524F">
        <w:t>T</w:t>
      </w:r>
      <w:r w:rsidRPr="0096524F">
        <w:t>hat, the court said, was not sufficient—it cited the Supreme Court’s statement that mental association alone does not show dilution.</w:t>
      </w:r>
      <w:r w:rsidR="0096524F" w:rsidRPr="0096524F">
        <w:rPr>
          <w:vertAlign w:val="superscript"/>
        </w:rPr>
        <w:footnoteReference w:id="127"/>
      </w:r>
      <w:r w:rsidRPr="0096524F">
        <w:t xml:space="preserve"> However, there was no evidence that the association caused any harm to the distinctiveness of the Monogram </w:t>
      </w:r>
      <w:proofErr w:type="spellStart"/>
      <w:r w:rsidRPr="0096524F">
        <w:t>Multicolore</w:t>
      </w:r>
      <w:proofErr w:type="spellEnd"/>
      <w:r w:rsidRPr="0096524F">
        <w:t xml:space="preserve"> mark</w:t>
      </w:r>
      <w:r w:rsidR="0096524F" w:rsidRPr="0096524F">
        <w:t>.</w:t>
      </w:r>
      <w:r w:rsidR="0096524F" w:rsidRPr="0096524F">
        <w:t xml:space="preserve"> </w:t>
      </w:r>
      <w:r w:rsidR="0096524F" w:rsidRPr="0096524F">
        <w:t>N</w:t>
      </w:r>
      <w:r w:rsidRPr="0096524F">
        <w:t>ot only were consumers able to distinguish the two, and properly attribute any detrimental associations to the defendant, but the evidence showed that the popularity of Louis Vuitton products had increased during the time that the defendant’s mark had been in use.</w:t>
      </w:r>
      <w:r w:rsidR="0096524F" w:rsidRPr="0096524F">
        <w:rPr>
          <w:vertAlign w:val="superscript"/>
        </w:rPr>
        <w:footnoteReference w:id="128"/>
      </w:r>
    </w:p>
    <w:p w14:paraId="7C5C5E16" w14:textId="0CC76C1E" w:rsidR="0096524F" w:rsidRPr="0096524F" w:rsidRDefault="00A60ADB" w:rsidP="0096524F">
      <w:pPr>
        <w:pStyle w:val="BNormal"/>
      </w:pPr>
      <w:r w:rsidRPr="0096524F">
        <w:lastRenderedPageBreak/>
        <w:t xml:space="preserve">Another case that denied a blurring claim was </w:t>
      </w:r>
      <w:r w:rsidR="0096524F" w:rsidRPr="0096524F">
        <w:rPr>
          <w:i/>
        </w:rPr>
        <w:t>Nissan Motor Co</w:t>
      </w:r>
      <w:r w:rsidRPr="0096524F">
        <w:t>.</w:t>
      </w:r>
      <w:r w:rsidR="0096524F" w:rsidRPr="0096524F">
        <w:rPr>
          <w:i/>
        </w:rPr>
        <w:t>, Ltd</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Nissan Computer Corp</w:t>
      </w:r>
      <w:r w:rsidRPr="0096524F">
        <w:t>.,</w:t>
      </w:r>
      <w:r w:rsidR="0096524F" w:rsidRPr="0096524F">
        <w:rPr>
          <w:vertAlign w:val="superscript"/>
        </w:rPr>
        <w:footnoteReference w:id="129"/>
      </w:r>
      <w:r w:rsidRPr="0096524F">
        <w:t xml:space="preserve"> a long-running suit that began years before the TDRA</w:t>
      </w:r>
      <w:r w:rsidR="0096524F" w:rsidRPr="0096524F">
        <w:t>.</w:t>
      </w:r>
      <w:r w:rsidR="0096524F" w:rsidRPr="0096524F">
        <w:t xml:space="preserve"> </w:t>
      </w:r>
      <w:r w:rsidR="0096524F" w:rsidRPr="0096524F">
        <w:t>N</w:t>
      </w:r>
      <w:r w:rsidRPr="0096524F">
        <w:t>issan Motor Company objected to Nissan Computer Corporation’s registration of nissan.com and nissan.net domain names for its business.</w:t>
      </w:r>
      <w:r w:rsidR="0096524F" w:rsidRPr="0096524F">
        <w:rPr>
          <w:vertAlign w:val="superscript"/>
        </w:rPr>
        <w:footnoteReference w:id="130"/>
      </w:r>
      <w:r w:rsidRPr="0096524F">
        <w:t xml:space="preserve"> Nissan Motor claimed both infringement and dilution.</w:t>
      </w:r>
      <w:r w:rsidR="0096524F" w:rsidRPr="0096524F">
        <w:rPr>
          <w:vertAlign w:val="superscript"/>
        </w:rPr>
        <w:footnoteReference w:id="131"/>
      </w:r>
      <w:r w:rsidRPr="0096524F">
        <w:t xml:space="preserve"> After determining that the Nissan mark was famous, and had been famous when Nissan Computer registered the domain names in 1991,</w:t>
      </w:r>
      <w:r w:rsidR="0096524F" w:rsidRPr="0096524F">
        <w:rPr>
          <w:vertAlign w:val="superscript"/>
        </w:rPr>
        <w:footnoteReference w:id="132"/>
      </w:r>
      <w:r w:rsidRPr="0096524F">
        <w:t xml:space="preserve"> the court turned to the analysis of blurring</w:t>
      </w:r>
      <w:r w:rsidR="0096524F" w:rsidRPr="0096524F">
        <w:t>.</w:t>
      </w:r>
      <w:r w:rsidR="0096524F" w:rsidRPr="0096524F">
        <w:t xml:space="preserve"> </w:t>
      </w:r>
      <w:r w:rsidR="0096524F" w:rsidRPr="0096524F">
        <w:t>I</w:t>
      </w:r>
      <w:r w:rsidRPr="0096524F">
        <w:t>n an interesting and possibly significant comment, the court stated that the six-factor TDRA test “sets a different standard” than the pre-</w:t>
      </w:r>
      <w:r w:rsidR="0096524F" w:rsidRPr="0096524F">
        <w:rPr>
          <w:i/>
        </w:rPr>
        <w:t>Moseley</w:t>
      </w:r>
      <w:r w:rsidRPr="0096524F">
        <w:t xml:space="preserve"> likelihood-of-dilution standard used by many circuits.</w:t>
      </w:r>
      <w:r w:rsidR="0096524F" w:rsidRPr="0096524F">
        <w:rPr>
          <w:vertAlign w:val="superscript"/>
        </w:rPr>
        <w:footnoteReference w:id="133"/>
      </w:r>
      <w:r w:rsidRPr="0096524F">
        <w:t xml:space="preserve"> The court also recognized that the blurring inquiry is distinct from the determination of fame.</w:t>
      </w:r>
      <w:r w:rsidR="0096524F" w:rsidRPr="0096524F">
        <w:rPr>
          <w:vertAlign w:val="superscript"/>
        </w:rPr>
        <w:footnoteReference w:id="134"/>
      </w:r>
      <w:r w:rsidRPr="0096524F">
        <w:t xml:space="preserve"> The court proceeded to review each of the TDRA factors</w:t>
      </w:r>
      <w:r w:rsidR="0096524F" w:rsidRPr="0096524F">
        <w:t>.</w:t>
      </w:r>
      <w:r w:rsidR="0096524F" w:rsidRPr="0096524F">
        <w:t xml:space="preserve"> </w:t>
      </w:r>
      <w:r w:rsidR="0096524F" w:rsidRPr="0096524F">
        <w:t>T</w:t>
      </w:r>
      <w:r w:rsidRPr="0096524F">
        <w:t>he nissan.net and nissan.com domain names were found to be identical to the Nissan mark while Nissan Computer Corp</w:t>
      </w:r>
      <w:r w:rsidR="0096524F" w:rsidRPr="0096524F">
        <w:t>.</w:t>
      </w:r>
      <w:r w:rsidR="0096524F" w:rsidRPr="0096524F">
        <w:t xml:space="preserve"> </w:t>
      </w:r>
      <w:r w:rsidR="0096524F" w:rsidRPr="0096524F">
        <w:t>l</w:t>
      </w:r>
      <w:r w:rsidRPr="0096524F">
        <w:t>ogo was “similar.”</w:t>
      </w:r>
      <w:r w:rsidR="0096524F" w:rsidRPr="0096524F">
        <w:rPr>
          <w:vertAlign w:val="superscript"/>
        </w:rPr>
        <w:footnoteReference w:id="135"/>
      </w:r>
      <w:r w:rsidRPr="0096524F">
        <w:t xml:space="preserve"> On the other hand, Nissan was found </w:t>
      </w:r>
      <w:r w:rsidR="0096524F" w:rsidRPr="0096524F">
        <w:rPr>
          <w:i/>
        </w:rPr>
        <w:t>not</w:t>
      </w:r>
      <w:r w:rsidRPr="0096524F">
        <w:t xml:space="preserve"> inherently distinctive—it is “a common Jewish surname,” the “seventh month of the Jewish calendar</w:t>
      </w:r>
      <w:r w:rsidR="0096524F" w:rsidRPr="0096524F">
        <w:t>.</w:t>
      </w:r>
      <w:r w:rsidR="0096524F" w:rsidRPr="0096524F">
        <w:t xml:space="preserve"> </w:t>
      </w:r>
      <w:r w:rsidR="0096524F" w:rsidRPr="0096524F">
        <w:t>…</w:t>
      </w:r>
      <w:r w:rsidR="0096524F" w:rsidRPr="0096524F">
        <w:t xml:space="preserve"> </w:t>
      </w:r>
      <w:r w:rsidRPr="0096524F">
        <w:t>Moreover, to a Japanese speaker, ‘Nissan’ is an easily-recognized abbreviation of the generic words ‘Japanese Industrial Companies, Ltd.’”</w:t>
      </w:r>
      <w:r w:rsidR="0096524F" w:rsidRPr="0096524F">
        <w:rPr>
          <w:vertAlign w:val="superscript"/>
        </w:rPr>
        <w:footnoteReference w:id="136"/>
      </w:r>
      <w:r w:rsidRPr="0096524F">
        <w:t xml:space="preserve"> Interestingly, the court only found “a medium-high degree of acquired distinctiveness”—one would expect more of a famous mark, especially one that is not inherently distinctive</w:t>
      </w:r>
      <w:r w:rsidR="0096524F" w:rsidRPr="0096524F">
        <w:t>.</w:t>
      </w:r>
      <w:r w:rsidR="0096524F" w:rsidRPr="0096524F">
        <w:t xml:space="preserve"> </w:t>
      </w:r>
      <w:r w:rsidR="0096524F" w:rsidRPr="0096524F">
        <w:t>T</w:t>
      </w:r>
      <w:r w:rsidRPr="0096524F">
        <w:t>he factor of exclusive use favored neither side because many other companies, including some “larger companies” and some with whom Nissan Motor had a name-sharing agreement, used Nissan in their names.</w:t>
      </w:r>
      <w:r w:rsidR="0096524F" w:rsidRPr="0096524F">
        <w:rPr>
          <w:vertAlign w:val="superscript"/>
        </w:rPr>
        <w:footnoteReference w:id="137"/>
      </w:r>
      <w:r w:rsidRPr="0096524F">
        <w:t xml:space="preserve"> The intent factor was also found to be neutral.</w:t>
      </w:r>
      <w:r w:rsidR="0096524F" w:rsidRPr="0096524F">
        <w:rPr>
          <w:vertAlign w:val="superscript"/>
        </w:rPr>
        <w:footnoteReference w:id="138"/>
      </w:r>
    </w:p>
    <w:p w14:paraId="515C4F1F" w14:textId="6606FB3E" w:rsidR="0096524F" w:rsidRPr="0096524F" w:rsidRDefault="00A60ADB" w:rsidP="0096524F">
      <w:pPr>
        <w:pStyle w:val="BNormal"/>
      </w:pPr>
      <w:r w:rsidRPr="0096524F">
        <w:t>The crucial factor was evidence of association between Nissan Computer and Nissan Motor.</w:t>
      </w:r>
      <w:r w:rsidR="0096524F" w:rsidRPr="0096524F">
        <w:rPr>
          <w:vertAlign w:val="superscript"/>
        </w:rPr>
        <w:footnoteReference w:id="139"/>
      </w:r>
      <w:r w:rsidRPr="0096524F">
        <w:t xml:space="preserve"> The court analyzed this factor in light of the evolution of Internet usage</w:t>
      </w:r>
      <w:r w:rsidR="0096524F" w:rsidRPr="0096524F">
        <w:t>.</w:t>
      </w:r>
      <w:r w:rsidR="0096524F" w:rsidRPr="0096524F">
        <w:t xml:space="preserve"> </w:t>
      </w:r>
      <w:r w:rsidR="0096524F" w:rsidRPr="0096524F">
        <w:t>I</w:t>
      </w:r>
      <w:r w:rsidRPr="0096524F">
        <w:t>n the court’s view, the widespread use of search engines made it unlikely that users automatically assume that “trademark.com” would lead to the proper Web site for the owner of a famous mark.</w:t>
      </w:r>
      <w:r w:rsidR="0096524F" w:rsidRPr="0096524F">
        <w:rPr>
          <w:vertAlign w:val="superscript"/>
        </w:rPr>
        <w:footnoteReference w:id="140"/>
      </w:r>
      <w:r w:rsidRPr="0096524F">
        <w:t xml:space="preserve"> Most significantly, the court noted that Nissan Motor failed to produce any evidence of association or blurring.</w:t>
      </w:r>
      <w:r w:rsidR="0096524F" w:rsidRPr="0096524F">
        <w:rPr>
          <w:vertAlign w:val="superscript"/>
        </w:rPr>
        <w:footnoteReference w:id="141"/>
      </w:r>
      <w:r w:rsidRPr="0096524F">
        <w:t xml:space="preserve"> Although the TDRA does not require actual dilution, the court indicated that without some evidence, an inference of likelihood of blurring (or of association) would be speculative.</w:t>
      </w:r>
      <w:r w:rsidR="0096524F" w:rsidRPr="0096524F">
        <w:rPr>
          <w:vertAlign w:val="superscript"/>
        </w:rPr>
        <w:footnoteReference w:id="142"/>
      </w:r>
      <w:r w:rsidRPr="0096524F">
        <w:t xml:space="preserve"> It chided Nissan Motor for failing to conduct even an association survey, and further indicated that it would have been desirable to have had a survey that might have demonstrated that consumers were likely </w:t>
      </w:r>
      <w:r w:rsidRPr="0096524F">
        <w:lastRenderedPageBreak/>
        <w:t>to have their association with Nissan Motor blurred after seeing the Nissan Computer marks.</w:t>
      </w:r>
      <w:r w:rsidR="0096524F" w:rsidRPr="0096524F">
        <w:rPr>
          <w:vertAlign w:val="superscript"/>
        </w:rPr>
        <w:footnoteReference w:id="143"/>
      </w:r>
      <w:r w:rsidRPr="0096524F">
        <w:t xml:space="preserve"> Notably, too, the court did not presume dilution simply because the nissan.com domain name was “identical” to the Nissan mark.</w:t>
      </w:r>
      <w:r w:rsidR="0096524F" w:rsidRPr="0096524F">
        <w:rPr>
          <w:vertAlign w:val="superscript"/>
        </w:rPr>
        <w:footnoteReference w:id="144"/>
      </w:r>
    </w:p>
    <w:p w14:paraId="00DC6F17" w14:textId="296156A6" w:rsidR="0096524F" w:rsidRPr="0096524F" w:rsidRDefault="00A60ADB" w:rsidP="0096524F">
      <w:pPr>
        <w:pStyle w:val="BNormal"/>
      </w:pPr>
      <w:r w:rsidRPr="0096524F">
        <w:t>Finally, the court discussed two other factors not listed in the TDRA that bolstered its conclusion of no dilution</w:t>
      </w:r>
      <w:r w:rsidR="0096524F" w:rsidRPr="0096524F">
        <w:t>.</w:t>
      </w:r>
      <w:r w:rsidR="0096524F" w:rsidRPr="0096524F">
        <w:t xml:space="preserve"> </w:t>
      </w:r>
      <w:r w:rsidR="0096524F" w:rsidRPr="0096524F">
        <w:t>F</w:t>
      </w:r>
      <w:r w:rsidRPr="0096524F">
        <w:t xml:space="preserve">irst, the passage of the </w:t>
      </w:r>
      <w:proofErr w:type="spellStart"/>
      <w:r w:rsidRPr="0096524F">
        <w:t>Anticybersquatting</w:t>
      </w:r>
      <w:proofErr w:type="spellEnd"/>
      <w:r w:rsidRPr="0096524F">
        <w:t xml:space="preserve"> Consumer Protection Act in 1999 relieved the pressure on courts to use dilution as a means of combating cybersquatting.</w:t>
      </w:r>
      <w:r w:rsidR="0096524F" w:rsidRPr="0096524F">
        <w:rPr>
          <w:vertAlign w:val="superscript"/>
        </w:rPr>
        <w:footnoteReference w:id="145"/>
      </w:r>
      <w:r w:rsidRPr="0096524F">
        <w:t xml:space="preserve"> Second, Nissan Motor’s “delay in bringing suit,” while not a bar, indicated that Nissan Motor did not believe that dilution was likely to occur.</w:t>
      </w:r>
      <w:r w:rsidR="0096524F" w:rsidRPr="0096524F">
        <w:rPr>
          <w:vertAlign w:val="superscript"/>
        </w:rPr>
        <w:footnoteReference w:id="146"/>
      </w:r>
      <w:r w:rsidRPr="0096524F">
        <w:t xml:space="preserve"> Thus, the court denied relief under a dilution-by-blurring theory.</w:t>
      </w:r>
      <w:r w:rsidR="0096524F" w:rsidRPr="0096524F">
        <w:rPr>
          <w:vertAlign w:val="superscript"/>
        </w:rPr>
        <w:footnoteReference w:id="147"/>
      </w:r>
    </w:p>
    <w:p w14:paraId="0F32B037" w14:textId="54548C1E" w:rsidR="0096524F" w:rsidRPr="0096524F" w:rsidRDefault="00A60ADB" w:rsidP="0096524F">
      <w:pPr>
        <w:pStyle w:val="BNormal"/>
      </w:pPr>
      <w:r w:rsidRPr="0096524F">
        <w:t>And for those who thought that the case of Victoria’s Secret against Victor’s Little Secret ended with the Supreme Court’s decision in 2003, think again</w:t>
      </w:r>
      <w:r w:rsidR="0096524F" w:rsidRPr="0096524F">
        <w:t>.</w:t>
      </w:r>
      <w:r w:rsidR="0096524F" w:rsidRPr="0096524F">
        <w:t xml:space="preserve"> </w:t>
      </w:r>
      <w:r w:rsidR="0096524F" w:rsidRPr="0096524F">
        <w:t>T</w:t>
      </w:r>
      <w:r w:rsidRPr="0096524F">
        <w:t>he Court did not order dismissal of the case</w:t>
      </w:r>
      <w:r w:rsidR="0096524F" w:rsidRPr="0096524F">
        <w:t>;</w:t>
      </w:r>
      <w:r w:rsidR="0096524F" w:rsidRPr="0096524F">
        <w:t xml:space="preserve"> </w:t>
      </w:r>
      <w:r w:rsidR="0096524F" w:rsidRPr="0096524F">
        <w:t>i</w:t>
      </w:r>
      <w:r w:rsidRPr="0096524F">
        <w:t>t remanded to the Sixth Circuit for application of the actual dilution standard</w:t>
      </w:r>
      <w:r w:rsidR="0096524F" w:rsidRPr="0096524F">
        <w:t>.</w:t>
      </w:r>
      <w:r w:rsidR="0096524F" w:rsidRPr="0096524F">
        <w:t xml:space="preserve"> </w:t>
      </w:r>
      <w:r w:rsidR="0096524F" w:rsidRPr="0096524F">
        <w:t>A</w:t>
      </w:r>
      <w:r w:rsidRPr="0096524F">
        <w:t>lthough it took more than three years for the TDRA to reverse the Court’s decision about actual dilution, the Sixth Circuit did not act on the remand until after the TDRA was enacted</w:t>
      </w:r>
      <w:r w:rsidR="0096524F" w:rsidRPr="0096524F">
        <w:t>.</w:t>
      </w:r>
      <w:r w:rsidR="0096524F" w:rsidRPr="0096524F">
        <w:t xml:space="preserve"> </w:t>
      </w:r>
      <w:r w:rsidR="0096524F" w:rsidRPr="0096524F">
        <w:t>I</w:t>
      </w:r>
      <w:r w:rsidRPr="0096524F">
        <w:t>t then sent the case back to the district court, which applied the now-applicable TDRA.</w:t>
      </w:r>
      <w:r w:rsidR="0096524F" w:rsidRPr="0096524F">
        <w:rPr>
          <w:vertAlign w:val="superscript"/>
        </w:rPr>
        <w:footnoteReference w:id="148"/>
      </w:r>
      <w:r w:rsidRPr="0096524F">
        <w:t xml:space="preserve"> Applying the six factors, the court found that all of them favored Victoria’s Secret</w:t>
      </w:r>
      <w:r w:rsidR="0096524F" w:rsidRPr="0096524F">
        <w:t>.</w:t>
      </w:r>
      <w:r w:rsidR="0096524F" w:rsidRPr="0096524F">
        <w:t xml:space="preserve"> </w:t>
      </w:r>
      <w:r w:rsidR="0096524F" w:rsidRPr="0096524F">
        <w:t>N</w:t>
      </w:r>
      <w:r w:rsidRPr="0096524F">
        <w:t>evertheless, the court found no likelihood of dilution by blurring</w:t>
      </w:r>
      <w:r w:rsidR="0096524F" w:rsidRPr="0096524F">
        <w:t>.</w:t>
      </w:r>
      <w:r w:rsidR="0096524F" w:rsidRPr="0096524F">
        <w:t xml:space="preserve"> </w:t>
      </w:r>
      <w:r w:rsidR="0096524F" w:rsidRPr="0096524F">
        <w:t>I</w:t>
      </w:r>
      <w:r w:rsidRPr="0096524F">
        <w:t>t reasoned that there was no evidence that the distinctiveness of the Victoria’s Secret mark had been harmed (or was likely to be harmed)</w:t>
      </w:r>
      <w:r w:rsidR="0096524F" w:rsidRPr="0096524F">
        <w:t>;</w:t>
      </w:r>
      <w:r w:rsidR="0096524F" w:rsidRPr="0096524F">
        <w:t xml:space="preserve"> </w:t>
      </w:r>
      <w:r w:rsidR="0096524F" w:rsidRPr="0096524F">
        <w:t>i</w:t>
      </w:r>
      <w:r w:rsidRPr="0096524F">
        <w:t xml:space="preserve">t noted that the association evidence—primarily the affidavit of an Army colonel who brought the </w:t>
      </w:r>
      <w:proofErr w:type="spellStart"/>
      <w:r w:rsidRPr="0096524F">
        <w:t>Moseleys</w:t>
      </w:r>
      <w:proofErr w:type="spellEnd"/>
      <w:r w:rsidRPr="0096524F">
        <w:t>’ store to the attention of Victoria’s Secret—did not show any harm to the distinctiveness of the mark</w:t>
      </w:r>
      <w:r w:rsidR="0096524F" w:rsidRPr="0096524F">
        <w:t>.</w:t>
      </w:r>
      <w:r w:rsidR="0096524F" w:rsidRPr="0096524F">
        <w:t xml:space="preserve"> </w:t>
      </w:r>
      <w:r w:rsidR="0096524F" w:rsidRPr="0096524F">
        <w:t>R</w:t>
      </w:r>
      <w:r w:rsidRPr="0096524F">
        <w:t xml:space="preserve">ather, it indicated possible harm to the mark’s reputation, which would not be blurring, but </w:t>
      </w:r>
      <w:proofErr w:type="spellStart"/>
      <w:r w:rsidRPr="0096524F">
        <w:t>tarnishment</w:t>
      </w:r>
      <w:proofErr w:type="spellEnd"/>
      <w:r w:rsidRPr="0096524F">
        <w:t>.</w:t>
      </w:r>
      <w:r w:rsidR="0096524F" w:rsidRPr="0096524F">
        <w:rPr>
          <w:vertAlign w:val="superscript"/>
        </w:rPr>
        <w:footnoteReference w:id="149"/>
      </w:r>
      <w:r w:rsidRPr="0096524F">
        <w:t xml:space="preserve"> The court cited with agreement the Supreme Court’s admonishment that a mental association does not necessarily mean that dilution is going to occur.</w:t>
      </w:r>
      <w:r w:rsidR="0096524F" w:rsidRPr="0096524F">
        <w:rPr>
          <w:vertAlign w:val="superscript"/>
        </w:rPr>
        <w:footnoteReference w:id="150"/>
      </w:r>
      <w:r w:rsidRPr="0096524F">
        <w:t xml:space="preserve"> Thus, the court did not simply mechanically apply the factors—it related them carefully to the definition of dilution by blurring.</w:t>
      </w:r>
    </w:p>
    <w:p w14:paraId="375A7154" w14:textId="490D5994" w:rsidR="0096524F" w:rsidRPr="0096524F" w:rsidRDefault="00A60ADB" w:rsidP="0096524F">
      <w:pPr>
        <w:pStyle w:val="BNormal"/>
      </w:pPr>
      <w:r w:rsidRPr="0096524F">
        <w:t>Another district court, granting a motion to dismiss a dilution claim, also cited the fact that association does not necessarily lead to blurring.</w:t>
      </w:r>
      <w:r w:rsidR="0096524F" w:rsidRPr="0096524F">
        <w:rPr>
          <w:vertAlign w:val="superscript"/>
        </w:rPr>
        <w:footnoteReference w:id="151"/>
      </w:r>
    </w:p>
    <w:p w14:paraId="43F37301" w14:textId="598B78DD" w:rsidR="0096524F" w:rsidRPr="0096524F" w:rsidRDefault="00A60ADB" w:rsidP="0096524F">
      <w:pPr>
        <w:pStyle w:val="BNormal"/>
      </w:pPr>
      <w:r w:rsidRPr="0096524F">
        <w:t>A dilution claim by jeans manufacturer Levi Strauss against Abercrombie &amp; Fitch originally failed as well, but that decision was reversed and remanded for reconsideration.</w:t>
      </w:r>
      <w:r w:rsidR="0096524F" w:rsidRPr="0096524F">
        <w:rPr>
          <w:vertAlign w:val="superscript"/>
        </w:rPr>
        <w:footnoteReference w:id="152"/>
      </w:r>
      <w:r w:rsidRPr="0096524F">
        <w:t xml:space="preserve"> As in the </w:t>
      </w:r>
      <w:r w:rsidR="0096524F" w:rsidRPr="0096524F">
        <w:rPr>
          <w:i/>
        </w:rPr>
        <w:t>Louis Vuitton</w:t>
      </w:r>
      <w:r w:rsidRPr="0096524F">
        <w:t xml:space="preserve"> case </w:t>
      </w:r>
      <w:r w:rsidRPr="0096524F">
        <w:lastRenderedPageBreak/>
        <w:t>discussed above,</w:t>
      </w:r>
      <w:r w:rsidR="0096524F" w:rsidRPr="0096524F">
        <w:rPr>
          <w:vertAlign w:val="superscript"/>
        </w:rPr>
        <w:footnoteReference w:id="153"/>
      </w:r>
      <w:r w:rsidRPr="0096524F">
        <w:t xml:space="preserve"> the district court found the marks of the two parties (consisting of stitching patterns on the back pocket of the jeans) to be insufficiently similar to be likely to cause dilution.</w:t>
      </w:r>
      <w:r w:rsidR="0096524F" w:rsidRPr="0096524F">
        <w:rPr>
          <w:vertAlign w:val="superscript"/>
        </w:rPr>
        <w:footnoteReference w:id="154"/>
      </w:r>
      <w:r w:rsidRPr="0096524F">
        <w:t xml:space="preserve"> In addition, the court found that other blurring factors did not support Levi’s claim</w:t>
      </w:r>
      <w:r w:rsidR="0096524F" w:rsidRPr="0096524F">
        <w:t>.</w:t>
      </w:r>
      <w:r w:rsidR="0096524F" w:rsidRPr="0096524F">
        <w:t xml:space="preserve"> </w:t>
      </w:r>
      <w:r w:rsidR="0096524F" w:rsidRPr="0096524F">
        <w:t>I</w:t>
      </w:r>
      <w:r w:rsidRPr="0096524F">
        <w:t>n particular, it found that the defendant did not intend to create an association with Levi’s mark, and it found Levi’s survey evidence unsatisfactory as evidence of actual association and dilution.</w:t>
      </w:r>
      <w:r w:rsidR="0096524F" w:rsidRPr="0096524F">
        <w:rPr>
          <w:vertAlign w:val="superscript"/>
        </w:rPr>
        <w:footnoteReference w:id="155"/>
      </w:r>
      <w:r w:rsidRPr="0096524F">
        <w:t xml:space="preserve"> The court’s analysis of the factor of substantially exclusive use was interesting</w:t>
      </w:r>
      <w:r w:rsidR="0096524F" w:rsidRPr="0096524F">
        <w:t>.</w:t>
      </w:r>
      <w:r w:rsidR="0096524F" w:rsidRPr="0096524F">
        <w:t xml:space="preserve"> </w:t>
      </w:r>
      <w:r w:rsidR="0096524F" w:rsidRPr="0096524F">
        <w:t>I</w:t>
      </w:r>
      <w:r w:rsidRPr="0096524F">
        <w:t>t pointed out that, although the particular stitching used by Levi’s may be unique, there were many other brands using back-pocket stitching, and that this had not diluted the uniqueness of the public’s recognition of the Levi’s stitching.</w:t>
      </w:r>
      <w:r w:rsidR="0096524F" w:rsidRPr="0096524F">
        <w:rPr>
          <w:vertAlign w:val="superscript"/>
        </w:rPr>
        <w:footnoteReference w:id="156"/>
      </w:r>
      <w:r w:rsidRPr="0096524F">
        <w:t xml:space="preserve"> Thus, the court found this factor to be “neutral”;</w:t>
      </w:r>
      <w:r w:rsidR="0096524F" w:rsidRPr="0096524F">
        <w:rPr>
          <w:vertAlign w:val="superscript"/>
        </w:rPr>
        <w:footnoteReference w:id="157"/>
      </w:r>
      <w:r w:rsidRPr="0096524F">
        <w:t xml:space="preserve"> it seemed to be saying (although it did not say this in fact) that Levi’s argument came close to arguing that the problem was back-pocket stitching in general, not the particular stitching.</w:t>
      </w:r>
    </w:p>
    <w:p w14:paraId="42524B1C" w14:textId="4E69040C" w:rsidR="0096524F" w:rsidRPr="0096524F" w:rsidRDefault="00A60ADB" w:rsidP="0096524F">
      <w:pPr>
        <w:pStyle w:val="BNormal"/>
      </w:pPr>
      <w:r w:rsidRPr="0096524F">
        <w:t>However, on appeal, the Ninth Circuit reversed.</w:t>
      </w:r>
      <w:r w:rsidR="0096524F" w:rsidRPr="0096524F">
        <w:rPr>
          <w:vertAlign w:val="superscript"/>
        </w:rPr>
        <w:footnoteReference w:id="158"/>
      </w:r>
      <w:r w:rsidRPr="0096524F">
        <w:t xml:space="preserve"> Although, in most respects, the court of appeals did not disturb the district court’s findings, it decided to reexamine whether the “identical or nearly identical” standard it had promulgated for determining sufficient similarity under the FTDA survived the TDRA.</w:t>
      </w:r>
      <w:r w:rsidR="0096524F" w:rsidRPr="0096524F">
        <w:rPr>
          <w:vertAlign w:val="superscript"/>
        </w:rPr>
        <w:footnoteReference w:id="159"/>
      </w:r>
      <w:r w:rsidRPr="0096524F">
        <w:t xml:space="preserve"> It decided that the standard no longer applied to dilution by blurring under the TDRA and remanded for further consideration using the proper standard.</w:t>
      </w:r>
      <w:r w:rsidR="0096524F" w:rsidRPr="0096524F">
        <w:rPr>
          <w:vertAlign w:val="superscript"/>
        </w:rPr>
        <w:footnoteReference w:id="160"/>
      </w:r>
    </w:p>
    <w:p w14:paraId="43136BF7" w14:textId="5B57E565" w:rsidR="0096524F" w:rsidRPr="0096524F" w:rsidRDefault="00A60ADB" w:rsidP="0096524F">
      <w:pPr>
        <w:pStyle w:val="BNormal"/>
      </w:pPr>
      <w:r w:rsidRPr="0096524F">
        <w:t xml:space="preserve">In </w:t>
      </w:r>
      <w:r w:rsidR="0096524F" w:rsidRPr="0096524F">
        <w:rPr>
          <w:i/>
        </w:rPr>
        <w:t>Gap,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G</w:t>
      </w:r>
      <w:r w:rsidRPr="0096524F">
        <w:t>.</w:t>
      </w:r>
      <w:r w:rsidR="0096524F" w:rsidRPr="0096524F">
        <w:rPr>
          <w:i/>
        </w:rPr>
        <w:t>A</w:t>
      </w:r>
      <w:r w:rsidRPr="0096524F">
        <w:t>.</w:t>
      </w:r>
      <w:r w:rsidR="0096524F" w:rsidRPr="0096524F">
        <w:rPr>
          <w:i/>
        </w:rPr>
        <w:t>P</w:t>
      </w:r>
      <w:r w:rsidR="0096524F" w:rsidRPr="0096524F">
        <w:t>.</w:t>
      </w:r>
      <w:r w:rsidR="0096524F" w:rsidRPr="0096524F">
        <w:t xml:space="preserve"> </w:t>
      </w:r>
      <w:r w:rsidR="0096524F" w:rsidRPr="0096524F">
        <w:rPr>
          <w:i/>
        </w:rPr>
        <w:t>Adventures, Inc</w:t>
      </w:r>
      <w:r w:rsidRPr="0096524F">
        <w:t>.,</w:t>
      </w:r>
      <w:r w:rsidR="0096524F" w:rsidRPr="0096524F">
        <w:rPr>
          <w:vertAlign w:val="superscript"/>
        </w:rPr>
        <w:footnoteReference w:id="161"/>
      </w:r>
      <w:r w:rsidRPr="0096524F">
        <w:t xml:space="preserve"> the court rejected a dilution claim, despite the fact that it found in favor of the plaintiff on a confusion claim,</w:t>
      </w:r>
      <w:r w:rsidR="0096524F" w:rsidRPr="0096524F">
        <w:rPr>
          <w:vertAlign w:val="superscript"/>
        </w:rPr>
        <w:footnoteReference w:id="162"/>
      </w:r>
      <w:r w:rsidRPr="0096524F">
        <w:t xml:space="preserve"> and despite the fact that the court found the blurring factors to favor the plaintiff.</w:t>
      </w:r>
      <w:r w:rsidR="0096524F" w:rsidRPr="0096524F">
        <w:rPr>
          <w:vertAlign w:val="superscript"/>
        </w:rPr>
        <w:footnoteReference w:id="163"/>
      </w:r>
      <w:r w:rsidRPr="0096524F">
        <w:t xml:space="preserve"> The court stated that “‘[t]he fact that people “associate” the accused mark with the famous mark does not itself prove the likelihood of dilution by blurring.’”</w:t>
      </w:r>
      <w:r w:rsidR="0096524F" w:rsidRPr="0096524F">
        <w:rPr>
          <w:vertAlign w:val="superscript"/>
        </w:rPr>
        <w:footnoteReference w:id="164"/>
      </w:r>
      <w:r w:rsidRPr="0096524F">
        <w:t xml:space="preserve"> It then held that the plaintiff “has not proved any injury to its trademarks,” and that an injunction against infringement would obviate any likelihood of dilution in the future.</w:t>
      </w:r>
      <w:r w:rsidR="0096524F" w:rsidRPr="0096524F">
        <w:rPr>
          <w:vertAlign w:val="superscript"/>
        </w:rPr>
        <w:footnoteReference w:id="165"/>
      </w:r>
    </w:p>
    <w:p w14:paraId="3993AFF8" w14:textId="1D1346EB" w:rsidR="0096524F" w:rsidRPr="0096524F" w:rsidRDefault="00A60ADB" w:rsidP="0096524F">
      <w:pPr>
        <w:pStyle w:val="BNormal"/>
      </w:pPr>
      <w:r w:rsidRPr="0096524F">
        <w:t xml:space="preserve">The </w:t>
      </w:r>
      <w:r w:rsidR="0096524F" w:rsidRPr="0096524F">
        <w:rPr>
          <w:i/>
        </w:rPr>
        <w:t>G</w:t>
      </w:r>
      <w:r w:rsidRPr="0096524F">
        <w:t>.</w:t>
      </w:r>
      <w:r w:rsidR="0096524F" w:rsidRPr="0096524F">
        <w:rPr>
          <w:i/>
        </w:rPr>
        <w:t>A</w:t>
      </w:r>
      <w:r w:rsidRPr="0096524F">
        <w:t>.</w:t>
      </w:r>
      <w:r w:rsidR="0096524F" w:rsidRPr="0096524F">
        <w:rPr>
          <w:i/>
        </w:rPr>
        <w:t>P</w:t>
      </w:r>
      <w:r w:rsidR="0096524F" w:rsidRPr="0096524F">
        <w:t>.</w:t>
      </w:r>
      <w:r w:rsidR="0096524F" w:rsidRPr="0096524F">
        <w:t xml:space="preserve"> </w:t>
      </w:r>
      <w:r w:rsidR="0096524F" w:rsidRPr="0096524F">
        <w:rPr>
          <w:i/>
        </w:rPr>
        <w:t>Adventures</w:t>
      </w:r>
      <w:r w:rsidRPr="0096524F">
        <w:t xml:space="preserve"> rationale was cited by the Trademark Trial and Appeal Board in </w:t>
      </w:r>
      <w:r w:rsidR="0096524F" w:rsidRPr="0096524F">
        <w:rPr>
          <w:i/>
        </w:rPr>
        <w:t>Rolex Watch U</w:t>
      </w:r>
      <w:r w:rsidRPr="0096524F">
        <w:t>.</w:t>
      </w:r>
      <w:r w:rsidR="0096524F" w:rsidRPr="0096524F">
        <w:rPr>
          <w:i/>
        </w:rPr>
        <w:t>S</w:t>
      </w:r>
      <w:r w:rsidRPr="0096524F">
        <w:t>.</w:t>
      </w:r>
      <w:r w:rsidR="0096524F" w:rsidRPr="0096524F">
        <w:rPr>
          <w:i/>
        </w:rPr>
        <w:t>A</w:t>
      </w:r>
      <w:r w:rsidRPr="0096524F">
        <w:t>.</w:t>
      </w:r>
      <w:r w:rsidR="0096524F" w:rsidRPr="0096524F">
        <w:rPr>
          <w:i/>
        </w:rPr>
        <w:t>,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AFP Imaging Corp</w:t>
      </w:r>
      <w:r w:rsidRPr="0096524F">
        <w:t>.,</w:t>
      </w:r>
      <w:r w:rsidR="0096524F" w:rsidRPr="0096524F">
        <w:rPr>
          <w:vertAlign w:val="superscript"/>
        </w:rPr>
        <w:footnoteReference w:id="166"/>
      </w:r>
      <w:r w:rsidRPr="0096524F">
        <w:t xml:space="preserve"> where the Board rejected an opposition by Rolex to the registration of Roll-X for “x-ray tables for medical and dental use.”</w:t>
      </w:r>
      <w:r w:rsidR="0096524F" w:rsidRPr="0096524F">
        <w:rPr>
          <w:vertAlign w:val="superscript"/>
        </w:rPr>
        <w:footnoteReference w:id="167"/>
      </w:r>
      <w:r w:rsidRPr="0096524F">
        <w:t xml:space="preserve"> After establishing that the Rolex mark was famous, the Board turned </w:t>
      </w:r>
      <w:r w:rsidRPr="0096524F">
        <w:lastRenderedPageBreak/>
        <w:t>to dilution</w:t>
      </w:r>
      <w:r w:rsidR="0096524F" w:rsidRPr="0096524F">
        <w:t>.</w:t>
      </w:r>
      <w:r w:rsidR="0096524F" w:rsidRPr="0096524F">
        <w:t xml:space="preserve"> </w:t>
      </w:r>
      <w:r w:rsidR="0096524F" w:rsidRPr="0096524F">
        <w:t>E</w:t>
      </w:r>
      <w:r w:rsidRPr="0096524F">
        <w:t xml:space="preserve">choing </w:t>
      </w:r>
      <w:r w:rsidR="0096524F" w:rsidRPr="0096524F">
        <w:rPr>
          <w:i/>
        </w:rPr>
        <w:t>G</w:t>
      </w:r>
      <w:r w:rsidRPr="0096524F">
        <w:t>.</w:t>
      </w:r>
      <w:r w:rsidR="0096524F" w:rsidRPr="0096524F">
        <w:rPr>
          <w:i/>
        </w:rPr>
        <w:t>A</w:t>
      </w:r>
      <w:r w:rsidRPr="0096524F">
        <w:t>.</w:t>
      </w:r>
      <w:r w:rsidR="0096524F" w:rsidRPr="0096524F">
        <w:rPr>
          <w:i/>
        </w:rPr>
        <w:t>P</w:t>
      </w:r>
      <w:r w:rsidR="0096524F" w:rsidRPr="0096524F">
        <w:t>.</w:t>
      </w:r>
      <w:r w:rsidR="0096524F" w:rsidRPr="0096524F">
        <w:t xml:space="preserve"> </w:t>
      </w:r>
      <w:r w:rsidR="0096524F" w:rsidRPr="0096524F">
        <w:rPr>
          <w:i/>
        </w:rPr>
        <w:t>Adventures</w:t>
      </w:r>
      <w:r w:rsidRPr="0096524F">
        <w:t>, it stated:</w:t>
      </w:r>
    </w:p>
    <w:p w14:paraId="3579B191" w14:textId="69951E23" w:rsidR="0096524F" w:rsidRPr="0096524F" w:rsidRDefault="00A60ADB" w:rsidP="0096524F">
      <w:pPr>
        <w:pStyle w:val="BQuotelong"/>
      </w:pPr>
      <w:r w:rsidRPr="0096524F">
        <w:t>“we must determine not only whether there is an ‘association’ arising from the similarity of the marks, but whether such association is likely to ‘impair’ the distinctiveness of the famous mark.”</w:t>
      </w:r>
      <w:r w:rsidR="0096524F" w:rsidRPr="0096524F">
        <w:rPr>
          <w:vertAlign w:val="superscript"/>
        </w:rPr>
        <w:footnoteReference w:id="168"/>
      </w:r>
    </w:p>
    <w:p w14:paraId="7CDE4B3E" w14:textId="0C39FDA5" w:rsidR="0096524F" w:rsidRPr="0096524F" w:rsidRDefault="00A60ADB" w:rsidP="0096524F">
      <w:pPr>
        <w:pStyle w:val="BNormal"/>
      </w:pPr>
      <w:r w:rsidRPr="0096524F">
        <w:t>Here, the Board found that the second through fourth factors (degree of distinctiveness, exclusivity of use, and degree of recognition of the famous mark) favored Rolex.</w:t>
      </w:r>
      <w:r w:rsidR="0096524F" w:rsidRPr="0096524F">
        <w:rPr>
          <w:vertAlign w:val="superscript"/>
        </w:rPr>
        <w:footnoteReference w:id="169"/>
      </w:r>
      <w:r w:rsidRPr="0096524F">
        <w:t xml:space="preserve"> However, the other three factors (similarity, intent, actual association) did not</w:t>
      </w:r>
      <w:r w:rsidR="0096524F" w:rsidRPr="0096524F">
        <w:t>.</w:t>
      </w:r>
      <w:r w:rsidR="0096524F" w:rsidRPr="0096524F">
        <w:t xml:space="preserve"> </w:t>
      </w:r>
      <w:r w:rsidR="0096524F" w:rsidRPr="0096524F">
        <w:t>(</w:t>
      </w:r>
      <w:r w:rsidRPr="0096524F">
        <w:t>There was a survey introduced to show actual association, but the Board found that its recognition percentage was relatively low.</w:t>
      </w:r>
      <w:r w:rsidR="0096524F" w:rsidRPr="0096524F">
        <w:rPr>
          <w:vertAlign w:val="superscript"/>
        </w:rPr>
        <w:footnoteReference w:id="170"/>
      </w:r>
      <w:r w:rsidRPr="0096524F">
        <w:t>) Similarity may be the most significant factor in this case</w:t>
      </w:r>
      <w:r w:rsidR="0096524F" w:rsidRPr="0096524F">
        <w:t>.</w:t>
      </w:r>
      <w:r w:rsidR="0096524F" w:rsidRPr="0096524F">
        <w:t xml:space="preserve"> </w:t>
      </w:r>
      <w:r w:rsidR="0096524F" w:rsidRPr="0096524F">
        <w:t>A</w:t>
      </w:r>
      <w:r w:rsidRPr="0096524F">
        <w:t>lthough they are pronounced the same, the Board found “a different appearance, meaning and commercial impression” between the marks.</w:t>
      </w:r>
      <w:r w:rsidR="0096524F" w:rsidRPr="0096524F">
        <w:rPr>
          <w:vertAlign w:val="superscript"/>
        </w:rPr>
        <w:footnoteReference w:id="171"/>
      </w:r>
    </w:p>
    <w:p w14:paraId="5B795518" w14:textId="647CC7D5" w:rsidR="0096524F" w:rsidRPr="0096524F" w:rsidRDefault="00A60ADB" w:rsidP="0096524F">
      <w:pPr>
        <w:pStyle w:val="BNormal"/>
      </w:pPr>
      <w:r w:rsidRPr="0096524F">
        <w:t xml:space="preserve">In </w:t>
      </w:r>
      <w:r w:rsidR="0096524F" w:rsidRPr="0096524F">
        <w:rPr>
          <w:i/>
        </w:rPr>
        <w:t>Virginia Polytechnic Institute &amp; State University v</w:t>
      </w:r>
      <w:r w:rsidR="0096524F" w:rsidRPr="0096524F">
        <w:t>.</w:t>
      </w:r>
      <w:r w:rsidR="0096524F" w:rsidRPr="0096524F">
        <w:t xml:space="preserve"> </w:t>
      </w:r>
      <w:r w:rsidR="0096524F" w:rsidRPr="0096524F">
        <w:rPr>
          <w:i/>
        </w:rPr>
        <w:t>Hokie Real Estate, Inc</w:t>
      </w:r>
      <w:r w:rsidRPr="0096524F">
        <w:t>.,</w:t>
      </w:r>
      <w:r w:rsidR="0096524F" w:rsidRPr="0096524F">
        <w:rPr>
          <w:vertAlign w:val="superscript"/>
        </w:rPr>
        <w:footnoteReference w:id="172"/>
      </w:r>
      <w:r w:rsidRPr="0096524F">
        <w:t xml:space="preserve"> the court refused to issue a preliminary injunction on blurring grounds on behalf of Virginia Tech (which uses the name Hokies for its athletic teams and alumni) against a real estate agency using Hokie in its name</w:t>
      </w:r>
      <w:r w:rsidR="0096524F" w:rsidRPr="0096524F">
        <w:t>.</w:t>
      </w:r>
      <w:r w:rsidR="0096524F" w:rsidRPr="0096524F">
        <w:t xml:space="preserve"> </w:t>
      </w:r>
      <w:r w:rsidR="0096524F" w:rsidRPr="0096524F">
        <w:t>I</w:t>
      </w:r>
      <w:r w:rsidRPr="0096524F">
        <w:t>n particular, the court emphasized that the third, fifth, and sixth factors (exclusivity, intent to create association, and actual association) weighed against dilution.</w:t>
      </w:r>
      <w:r w:rsidR="0096524F" w:rsidRPr="0096524F">
        <w:rPr>
          <w:vertAlign w:val="superscript"/>
        </w:rPr>
        <w:footnoteReference w:id="173"/>
      </w:r>
      <w:r w:rsidRPr="0096524F">
        <w:t xml:space="preserve"> With regard to the intent factor, the court separated a use designating the university from a use that designated one as an alumnus.</w:t>
      </w:r>
      <w:r w:rsidR="0096524F" w:rsidRPr="0096524F">
        <w:rPr>
          <w:vertAlign w:val="superscript"/>
        </w:rPr>
        <w:footnoteReference w:id="174"/>
      </w:r>
      <w:r w:rsidRPr="0096524F">
        <w:t xml:space="preserve"> And it found no evidence of actual association.</w:t>
      </w:r>
      <w:r w:rsidR="0096524F" w:rsidRPr="0096524F">
        <w:rPr>
          <w:vertAlign w:val="superscript"/>
        </w:rPr>
        <w:footnoteReference w:id="175"/>
      </w:r>
    </w:p>
    <w:p w14:paraId="364AF5BD" w14:textId="0B3DE9BA" w:rsidR="0096524F" w:rsidRPr="0096524F" w:rsidRDefault="00A60ADB" w:rsidP="0096524F">
      <w:pPr>
        <w:pStyle w:val="BNormal"/>
      </w:pPr>
      <w:r w:rsidRPr="0096524F">
        <w:t>Courts sometimes dismiss allegations of dilution on the pleadings for reasons apart from lack of fame</w:t>
      </w:r>
      <w:r w:rsidR="0096524F" w:rsidRPr="0096524F">
        <w:t>.</w:t>
      </w:r>
      <w:r w:rsidR="0096524F" w:rsidRPr="0096524F">
        <w:t xml:space="preserve"> </w:t>
      </w:r>
      <w:r w:rsidR="0096524F" w:rsidRPr="0096524F">
        <w:t>I</w:t>
      </w:r>
      <w:r w:rsidRPr="0096524F">
        <w:t xml:space="preserve">n </w:t>
      </w:r>
      <w:r w:rsidR="0096524F" w:rsidRPr="0096524F">
        <w:rPr>
          <w:rStyle w:val="BCasenamefull"/>
        </w:rPr>
        <w:t>Mintz v. Subaru of America, Inc.</w:t>
      </w:r>
      <w:r w:rsidRPr="0096524F">
        <w:t>,</w:t>
      </w:r>
      <w:r w:rsidR="0096524F" w:rsidRPr="0096524F">
        <w:rPr>
          <w:vertAlign w:val="superscript"/>
        </w:rPr>
        <w:footnoteReference w:id="176"/>
      </w:r>
      <w:r w:rsidRPr="0096524F">
        <w:t xml:space="preserve"> the Ninth Circuit upheld the dismissal of a complaint including allegations of dilution</w:t>
      </w:r>
      <w:r w:rsidR="0096524F" w:rsidRPr="0096524F">
        <w:t>.</w:t>
      </w:r>
      <w:r w:rsidR="0096524F" w:rsidRPr="0096524F">
        <w:t xml:space="preserve"> </w:t>
      </w:r>
      <w:r w:rsidR="0096524F" w:rsidRPr="0096524F">
        <w:t>T</w:t>
      </w:r>
      <w:r w:rsidRPr="0096524F">
        <w:t>he court stated that the clear dissimilarity between the marks precluded a dilution claim, which is based on an association arising from similarity.</w:t>
      </w:r>
      <w:r w:rsidR="0096524F" w:rsidRPr="0096524F">
        <w:rPr>
          <w:vertAlign w:val="superscript"/>
        </w:rPr>
        <w:footnoteReference w:id="177"/>
      </w:r>
    </w:p>
    <w:p w14:paraId="54CC020A" w14:textId="613C3A98" w:rsidR="0096524F" w:rsidRPr="0096524F" w:rsidRDefault="00A60ADB" w:rsidP="0096524F">
      <w:pPr>
        <w:pStyle w:val="BNormal"/>
      </w:pPr>
      <w:r w:rsidRPr="0096524F">
        <w:t xml:space="preserve">In </w:t>
      </w:r>
      <w:r w:rsidR="0096524F" w:rsidRPr="0096524F">
        <w:rPr>
          <w:rStyle w:val="BCasenamefull"/>
        </w:rPr>
        <w:t>Swatch S.A. v. Beehive Wholesale, LLC</w:t>
      </w:r>
      <w:r w:rsidRPr="0096524F">
        <w:t>,</w:t>
      </w:r>
      <w:r w:rsidR="0096524F" w:rsidRPr="0096524F">
        <w:rPr>
          <w:vertAlign w:val="superscript"/>
        </w:rPr>
        <w:footnoteReference w:id="178"/>
      </w:r>
      <w:r w:rsidRPr="0096524F">
        <w:t xml:space="preserve"> the court granted summary judgment against a blurring claim based on its findings of minimal similarity, lack of intent to cause association, and lack of evidence of actual association.</w:t>
      </w:r>
      <w:r w:rsidR="0096524F" w:rsidRPr="0096524F">
        <w:rPr>
          <w:vertAlign w:val="superscript"/>
        </w:rPr>
        <w:footnoteReference w:id="179"/>
      </w:r>
    </w:p>
    <w:p w14:paraId="3FD6DEC5" w14:textId="5EA0B1A2" w:rsidR="0096524F" w:rsidRPr="0096524F" w:rsidRDefault="00A60ADB" w:rsidP="0096524F">
      <w:pPr>
        <w:pStyle w:val="BNormal"/>
      </w:pPr>
      <w:r w:rsidRPr="0096524F">
        <w:lastRenderedPageBreak/>
        <w:t xml:space="preserve">In </w:t>
      </w:r>
      <w:r w:rsidR="0096524F" w:rsidRPr="0096524F">
        <w:rPr>
          <w:rStyle w:val="BCasenamefull"/>
        </w:rPr>
        <w:t>Hershey Co. v. Promotion in Motion, Inc.</w:t>
      </w:r>
      <w:r w:rsidRPr="0096524F">
        <w:t>,</w:t>
      </w:r>
      <w:r w:rsidR="0096524F" w:rsidRPr="0096524F">
        <w:rPr>
          <w:vertAlign w:val="superscript"/>
        </w:rPr>
        <w:footnoteReference w:id="180"/>
      </w:r>
      <w:r w:rsidRPr="0096524F">
        <w:t xml:space="preserve"> the court dismissed a dilution claim after a bench trial</w:t>
      </w:r>
      <w:r w:rsidR="0096524F" w:rsidRPr="0096524F">
        <w:t>.</w:t>
      </w:r>
      <w:r w:rsidR="0096524F" w:rsidRPr="0096524F">
        <w:t xml:space="preserve"> </w:t>
      </w:r>
      <w:r w:rsidR="0096524F" w:rsidRPr="0096524F">
        <w:t>A</w:t>
      </w:r>
      <w:r w:rsidRPr="0096524F">
        <w:t>nalyzing the factors, it found that defendant’s SWISSKISS mark would not be deemed sufficiently similar to the Hershey’s Kisses mark to be likely to cause dilution.</w:t>
      </w:r>
      <w:r w:rsidR="0096524F" w:rsidRPr="0096524F">
        <w:rPr>
          <w:vertAlign w:val="superscript"/>
        </w:rPr>
        <w:footnoteReference w:id="181"/>
      </w:r>
      <w:r w:rsidRPr="0096524F">
        <w:t xml:space="preserve"> It also found that Hershey did not demonstrate substantially exclusive use of the Kisses mark on chocolate.</w:t>
      </w:r>
      <w:r w:rsidR="0096524F" w:rsidRPr="0096524F">
        <w:rPr>
          <w:vertAlign w:val="superscript"/>
        </w:rPr>
        <w:footnoteReference w:id="182"/>
      </w:r>
      <w:r w:rsidRPr="0096524F">
        <w:t xml:space="preserve"> It found in favor of Hershey on the factor of public recognition, but in favor of defendant on the factor of intent to create association.</w:t>
      </w:r>
      <w:r w:rsidR="0096524F" w:rsidRPr="0096524F">
        <w:rPr>
          <w:vertAlign w:val="superscript"/>
        </w:rPr>
        <w:footnoteReference w:id="183"/>
      </w:r>
      <w:r w:rsidRPr="0096524F">
        <w:t xml:space="preserve"> As to actual association, the court was skeptical of Hershey’s survey methodology, and also believed that the level of association found (about one-third of respondents) was somewhat low compared with other cases.</w:t>
      </w:r>
      <w:r w:rsidR="0096524F" w:rsidRPr="0096524F">
        <w:rPr>
          <w:vertAlign w:val="superscript"/>
        </w:rPr>
        <w:footnoteReference w:id="184"/>
      </w:r>
      <w:r w:rsidRPr="0096524F">
        <w:t xml:space="preserve"> Notably, the court acknowledged that association itself was not sufficient—the association must harm the distinctiveness of the mark.</w:t>
      </w:r>
      <w:r w:rsidR="0096524F" w:rsidRPr="0096524F">
        <w:rPr>
          <w:vertAlign w:val="superscript"/>
        </w:rPr>
        <w:footnoteReference w:id="185"/>
      </w:r>
    </w:p>
    <w:p w14:paraId="3D011A93" w14:textId="220B3190" w:rsidR="0096524F" w:rsidRPr="0096524F" w:rsidRDefault="00A60ADB" w:rsidP="0096524F">
      <w:pPr>
        <w:pStyle w:val="BNormal"/>
      </w:pPr>
      <w:r w:rsidRPr="0096524F">
        <w:t xml:space="preserve">At both the district court level and the court of appeals level, </w:t>
      </w:r>
      <w:r w:rsidR="0096524F" w:rsidRPr="0096524F">
        <w:rPr>
          <w:rStyle w:val="BCasenamefull"/>
        </w:rPr>
        <w:t>Hugunin v. Land O’ Lakes</w:t>
      </w:r>
      <w:r w:rsidRPr="0096524F">
        <w:t xml:space="preserve">, </w:t>
      </w:r>
      <w:r w:rsidR="0096524F" w:rsidRPr="0096524F">
        <w:rPr>
          <w:i/>
        </w:rPr>
        <w:t>Inc</w:t>
      </w:r>
      <w:r w:rsidRPr="0096524F">
        <w:t>.,</w:t>
      </w:r>
      <w:r w:rsidR="0096524F" w:rsidRPr="0096524F">
        <w:rPr>
          <w:vertAlign w:val="superscript"/>
        </w:rPr>
        <w:footnoteReference w:id="186"/>
      </w:r>
      <w:r w:rsidRPr="0096524F">
        <w:t xml:space="preserve"> a suit by a fishing tackle company against a dairy company, is noteworthy for its discussion of association and dilution</w:t>
      </w:r>
      <w:r w:rsidR="0096524F" w:rsidRPr="0096524F">
        <w:t>.</w:t>
      </w:r>
      <w:r w:rsidR="0096524F" w:rsidRPr="0096524F">
        <w:t xml:space="preserve"> </w:t>
      </w:r>
      <w:r w:rsidR="0096524F" w:rsidRPr="0096524F">
        <w:t>T</w:t>
      </w:r>
      <w:r w:rsidRPr="0096524F">
        <w:t>he defendant counterclaimed for dilution</w:t>
      </w:r>
      <w:r w:rsidR="0096524F" w:rsidRPr="0096524F">
        <w:t>.</w:t>
      </w:r>
      <w:r w:rsidR="0096524F" w:rsidRPr="0096524F">
        <w:t xml:space="preserve"> </w:t>
      </w:r>
      <w:r w:rsidR="0096524F" w:rsidRPr="0096524F">
        <w:t>O</w:t>
      </w:r>
      <w:r w:rsidRPr="0096524F">
        <w:t>n a motion for summary judgment, while finding issues of fact, especially regarding the factors of intent to create association and actual association, the district court specifically stated that a jury was not required to find blurring even if it found association</w:t>
      </w:r>
      <w:r w:rsidR="0096524F" w:rsidRPr="0096524F">
        <w:t>;</w:t>
      </w:r>
      <w:r w:rsidR="0096524F" w:rsidRPr="0096524F">
        <w:t xml:space="preserve"> </w:t>
      </w:r>
      <w:r w:rsidR="0096524F" w:rsidRPr="0096524F">
        <w:t>a</w:t>
      </w:r>
      <w:r w:rsidRPr="0096524F">
        <w:t>ssociation does not necessarily mean that the distinctiveness of the famous mark is likely to be impaired.</w:t>
      </w:r>
      <w:r w:rsidR="0096524F" w:rsidRPr="0096524F">
        <w:rPr>
          <w:vertAlign w:val="superscript"/>
        </w:rPr>
        <w:footnoteReference w:id="187"/>
      </w:r>
      <w:r w:rsidRPr="0096524F">
        <w:t xml:space="preserve"> On appeal, the Seventh Circuit went a step further and dismissed the dilution claim, asserting:</w:t>
      </w:r>
    </w:p>
    <w:p w14:paraId="63417FCA" w14:textId="2C574C5C" w:rsidR="0096524F" w:rsidRPr="0096524F" w:rsidRDefault="00A60ADB" w:rsidP="00371CCB">
      <w:pPr>
        <w:pStyle w:val="BQuotelong"/>
      </w:pPr>
      <w:r w:rsidRPr="0096524F">
        <w:t>[W]e can’t see how the [defendant] company could be hurt by the use of the same name by a seller just of fishing tackle</w:t>
      </w:r>
      <w:r w:rsidR="0096524F" w:rsidRPr="0096524F">
        <w:t>.</w:t>
      </w:r>
      <w:r w:rsidR="0096524F" w:rsidRPr="0096524F">
        <w:t xml:space="preserve"> </w:t>
      </w:r>
      <w:r w:rsidR="0096524F" w:rsidRPr="0096524F">
        <w:t>T</w:t>
      </w:r>
      <w:r w:rsidRPr="0096524F">
        <w:t>he products of the two companies are too different, and the sale of fishing tackle is not so humble a business as the sale of hot dogs by street vendors</w:t>
      </w:r>
      <w:r w:rsidR="0096524F" w:rsidRPr="0096524F">
        <w:t>.</w:t>
      </w:r>
      <w:r w:rsidR="0096524F" w:rsidRPr="0096524F">
        <w:t xml:space="preserve"> </w:t>
      </w:r>
      <w:r w:rsidR="0096524F" w:rsidRPr="0096524F">
        <w:t>A</w:t>
      </w:r>
      <w:r w:rsidRPr="0096524F">
        <w:t>nd so it is beyond unlikely that someone dissatisfied with LAND O LAKES fishing tackle would take revenge on the dairy company by not buying any of its products, or that a customer would have difficulty identifying Land</w:t>
      </w:r>
      <w:r w:rsidR="00371CCB">
        <w:t xml:space="preserve"> </w:t>
      </w:r>
      <w:r w:rsidRPr="0096524F">
        <w:t>O’ Lakes’ dairy product because he had seen the LAND O LAKES mark used on Hugunin’s fishing tackle.</w:t>
      </w:r>
      <w:r w:rsidR="0096524F" w:rsidRPr="0096524F">
        <w:rPr>
          <w:vertAlign w:val="superscript"/>
        </w:rPr>
        <w:footnoteReference w:id="188"/>
      </w:r>
    </w:p>
    <w:p w14:paraId="6F4C1F8B" w14:textId="45E77F0A" w:rsidR="0096524F" w:rsidRPr="0096524F" w:rsidRDefault="00A60ADB" w:rsidP="0096524F">
      <w:pPr>
        <w:pStyle w:val="BNormal"/>
      </w:pPr>
      <w:r w:rsidRPr="0096524F">
        <w:lastRenderedPageBreak/>
        <w:t xml:space="preserve">In </w:t>
      </w:r>
      <w:r w:rsidR="0096524F" w:rsidRPr="0096524F">
        <w:rPr>
          <w:rStyle w:val="BCasenamefull"/>
        </w:rPr>
        <w:t>Louis Vuitton Malletier, S.A. v. My Other Bag, Inc.</w:t>
      </w:r>
      <w:r w:rsidRPr="0096524F">
        <w:t>,</w:t>
      </w:r>
      <w:r w:rsidR="0096524F" w:rsidRPr="0096524F">
        <w:rPr>
          <w:vertAlign w:val="superscript"/>
        </w:rPr>
        <w:footnoteReference w:id="189"/>
      </w:r>
      <w:r w:rsidRPr="0096524F">
        <w:t xml:space="preserve"> the court also dismissed a dilution claim, finding that mere association was insufficient to support dilution liability.</w:t>
      </w:r>
      <w:r w:rsidR="0096524F" w:rsidRPr="0096524F">
        <w:rPr>
          <w:vertAlign w:val="superscript"/>
        </w:rPr>
        <w:footnoteReference w:id="190"/>
      </w:r>
      <w:r w:rsidRPr="0096524F">
        <w:t xml:space="preserve"> Defendant, My Other Bag (MOB), made a line of canvas tote bags</w:t>
      </w:r>
      <w:r w:rsidR="0096524F" w:rsidRPr="0096524F">
        <w:t>.</w:t>
      </w:r>
      <w:r w:rsidR="0096524F" w:rsidRPr="0096524F">
        <w:t xml:space="preserve"> </w:t>
      </w:r>
      <w:r w:rsidR="0096524F" w:rsidRPr="0096524F">
        <w:t>O</w:t>
      </w:r>
      <w:r w:rsidRPr="0096524F">
        <w:t>n one side of each bag were the words “My Other Bag </w:t>
      </w:r>
      <w:r w:rsidR="0096524F" w:rsidRPr="0096524F">
        <w:t>...</w:t>
      </w:r>
      <w:r w:rsidRPr="0096524F">
        <w:t>”, and on the other side of the bag was a drawing of a handbag recognizably made by a famous maker such as Louis Vuitton</w:t>
      </w:r>
      <w:r w:rsidR="0096524F" w:rsidRPr="0096524F">
        <w:t>.</w:t>
      </w:r>
      <w:r w:rsidR="0096524F" w:rsidRPr="0096524F">
        <w:t xml:space="preserve"> </w:t>
      </w:r>
      <w:r w:rsidR="0096524F" w:rsidRPr="0096524F">
        <w:t>T</w:t>
      </w:r>
      <w:r w:rsidRPr="0096524F">
        <w:t>he court dismissed Louis Vuitton’s dilution claim, stating:</w:t>
      </w:r>
    </w:p>
    <w:p w14:paraId="2F5AE4C3" w14:textId="365A6905" w:rsidR="0096524F" w:rsidRPr="0096524F" w:rsidRDefault="00A60ADB" w:rsidP="0096524F">
      <w:pPr>
        <w:pStyle w:val="BQuotelong"/>
      </w:pPr>
      <w:r w:rsidRPr="0096524F">
        <w:t>Significantly, it is not enough to show—as Louis Vuitton indisputably can—that members of the public are likely to “associate” the defendant’s mark with the plaintiff’s mark (or that the defendant promotes such association).</w:t>
      </w:r>
      <w:r w:rsidR="0096524F" w:rsidRPr="0096524F">
        <w:rPr>
          <w:vertAlign w:val="superscript"/>
        </w:rPr>
        <w:footnoteReference w:id="191"/>
      </w:r>
    </w:p>
    <w:p w14:paraId="1C2E5A00" w14:textId="22792C78" w:rsidR="0096524F" w:rsidRPr="0096524F" w:rsidRDefault="00A60ADB" w:rsidP="0096524F">
      <w:pPr>
        <w:pStyle w:val="BNormal"/>
      </w:pPr>
      <w:r w:rsidRPr="0096524F">
        <w:t xml:space="preserve">The court went on to apply the Fourth Circuit’s opinion in </w:t>
      </w:r>
      <w:r w:rsidR="0096524F" w:rsidRPr="0096524F">
        <w:rPr>
          <w:i/>
        </w:rPr>
        <w:t xml:space="preserve">Haute </w:t>
      </w:r>
      <w:proofErr w:type="spellStart"/>
      <w:r w:rsidR="0096524F" w:rsidRPr="0096524F">
        <w:rPr>
          <w:i/>
        </w:rPr>
        <w:t>Diggity</w:t>
      </w:r>
      <w:proofErr w:type="spellEnd"/>
      <w:r w:rsidR="0096524F" w:rsidRPr="0096524F">
        <w:rPr>
          <w:i/>
        </w:rPr>
        <w:t xml:space="preserve"> Dog</w:t>
      </w:r>
      <w:r w:rsidRPr="0096524F">
        <w:t>,</w:t>
      </w:r>
      <w:r w:rsidR="0096524F" w:rsidRPr="0096524F">
        <w:rPr>
          <w:vertAlign w:val="superscript"/>
        </w:rPr>
        <w:footnoteReference w:id="192"/>
      </w:r>
      <w:r w:rsidRPr="0096524F">
        <w:t xml:space="preserve"> another case involving a parodic use of a Louis Vuitton mark, insisting that Louis Vuitton make a demonstration (which it failed to do) that MOB’s use of a drawing of its bag would harm the distinctiveness of the Louis Vuitton mark.</w:t>
      </w:r>
      <w:r w:rsidR="0096524F" w:rsidRPr="0096524F">
        <w:rPr>
          <w:vertAlign w:val="superscript"/>
        </w:rPr>
        <w:footnoteReference w:id="193"/>
      </w:r>
    </w:p>
    <w:p w14:paraId="4F8C71D9" w14:textId="1DABB231" w:rsidR="0096524F" w:rsidRPr="0096524F" w:rsidRDefault="00A60ADB" w:rsidP="0096524F">
      <w:pPr>
        <w:pStyle w:val="BNormal"/>
      </w:pPr>
      <w:r w:rsidRPr="0096524F">
        <w:t xml:space="preserve">These cases correctly apply the concept of dilution set forth by the Supreme Court in its </w:t>
      </w:r>
      <w:r w:rsidR="0096524F" w:rsidRPr="0096524F">
        <w:rPr>
          <w:i/>
        </w:rPr>
        <w:t>Moseley</w:t>
      </w:r>
      <w:r w:rsidRPr="0096524F">
        <w:t xml:space="preserve"> opinion, which is supported by the language of Section 43(c)</w:t>
      </w:r>
      <w:r w:rsidR="0096524F" w:rsidRPr="0096524F">
        <w:t>.</w:t>
      </w:r>
      <w:r w:rsidR="0096524F" w:rsidRPr="0096524F">
        <w:t xml:space="preserve"> </w:t>
      </w:r>
      <w:r w:rsidR="0096524F" w:rsidRPr="0096524F">
        <w:t>W</w:t>
      </w:r>
      <w:r w:rsidRPr="0096524F">
        <w:t>hile association is certainly necessary, it is not a sufficient condition for dilution.</w:t>
      </w:r>
      <w:r w:rsidR="0096524F" w:rsidRPr="0096524F">
        <w:rPr>
          <w:vertAlign w:val="superscript"/>
        </w:rPr>
        <w:footnoteReference w:id="194"/>
      </w:r>
    </w:p>
    <w:p w14:paraId="2872EC3D" w14:textId="4187DBAB" w:rsidR="0096524F" w:rsidRPr="0096524F" w:rsidRDefault="00A60ADB" w:rsidP="0096524F">
      <w:pPr>
        <w:pStyle w:val="BNormal"/>
      </w:pPr>
      <w:r w:rsidRPr="0096524F">
        <w:t>However, it is important to note that, at least at the pleading stage, it may be difficult to demonstrate that a parody should be deemed, as a matter of law, to eliminate the possibility of dilution</w:t>
      </w:r>
      <w:r w:rsidR="0096524F" w:rsidRPr="0096524F">
        <w:t>.</w:t>
      </w:r>
      <w:r w:rsidR="0096524F" w:rsidRPr="0096524F">
        <w:t xml:space="preserve"> </w:t>
      </w:r>
      <w:r w:rsidR="0096524F" w:rsidRPr="0096524F">
        <w:t>T</w:t>
      </w:r>
      <w:r w:rsidRPr="0096524F">
        <w:t xml:space="preserve">hus, in </w:t>
      </w:r>
      <w:r w:rsidR="0096524F" w:rsidRPr="0096524F">
        <w:rPr>
          <w:rStyle w:val="BCasenamefull"/>
        </w:rPr>
        <w:t>DC Comics v. Mad Engine, Inc.</w:t>
      </w:r>
      <w:r w:rsidRPr="0096524F">
        <w:t>,</w:t>
      </w:r>
      <w:r w:rsidR="0096524F" w:rsidRPr="0096524F">
        <w:rPr>
          <w:vertAlign w:val="superscript"/>
        </w:rPr>
        <w:footnoteReference w:id="195"/>
      </w:r>
      <w:r w:rsidRPr="0096524F">
        <w:t xml:space="preserve"> the defendant sold T-shirts with a Superman-like shield (five-sided yellow and red shield), with the word “Dad” in place of the usual “S.”</w:t>
      </w:r>
      <w:r w:rsidR="0096524F" w:rsidRPr="0096524F">
        <w:rPr>
          <w:vertAlign w:val="superscript"/>
        </w:rPr>
        <w:footnoteReference w:id="196"/>
      </w:r>
      <w:r w:rsidRPr="0096524F">
        <w:t xml:space="preserve"> The defendant claimed it was a parody </w:t>
      </w:r>
      <w:r w:rsidRPr="0096524F">
        <w:lastRenderedPageBreak/>
        <w:t>and thus not diluting, but the court held that, at the pleading stage, it could not determine whether consumers would view defendant’s use as a parody, and therefore denied a motion to dismiss.</w:t>
      </w:r>
      <w:r w:rsidR="0096524F" w:rsidRPr="0096524F">
        <w:rPr>
          <w:vertAlign w:val="superscript"/>
        </w:rPr>
        <w:footnoteReference w:id="197"/>
      </w:r>
    </w:p>
    <w:p w14:paraId="6152A4E8" w14:textId="7ECD6A2B" w:rsidR="0096524F" w:rsidRPr="0096524F" w:rsidRDefault="0096524F" w:rsidP="0096524F">
      <w:pPr>
        <w:pStyle w:val="BNormal"/>
      </w:pPr>
      <w:r w:rsidRPr="0096524F">
        <w:rPr>
          <w:i/>
        </w:rPr>
        <w:t>Starbucks Corp</w:t>
      </w:r>
      <w:r w:rsidRPr="0096524F">
        <w:t>.</w:t>
      </w:r>
      <w:r w:rsidRPr="0096524F">
        <w:t xml:space="preserve"> </w:t>
      </w:r>
      <w:r w:rsidRPr="0096524F">
        <w:rPr>
          <w:i/>
        </w:rPr>
        <w:t>v</w:t>
      </w:r>
      <w:r w:rsidRPr="0096524F">
        <w:t>.</w:t>
      </w:r>
      <w:r w:rsidRPr="0096524F">
        <w:t xml:space="preserve"> </w:t>
      </w:r>
      <w:r w:rsidRPr="0096524F">
        <w:rPr>
          <w:i/>
        </w:rPr>
        <w:t>Wolfe’s Borough Coffee, Inc</w:t>
      </w:r>
      <w:r w:rsidR="00A60ADB" w:rsidRPr="0096524F">
        <w:t>.</w:t>
      </w:r>
      <w:r w:rsidRPr="0096524F">
        <w:rPr>
          <w:vertAlign w:val="superscript"/>
        </w:rPr>
        <w:footnoteReference w:id="198"/>
      </w:r>
      <w:r w:rsidR="00A60ADB" w:rsidRPr="0096524F">
        <w:t xml:space="preserve"> was a very long-running case (it made three trips to the court of appeals</w:t>
      </w:r>
      <w:r w:rsidRPr="0096524F">
        <w:rPr>
          <w:vertAlign w:val="superscript"/>
        </w:rPr>
        <w:footnoteReference w:id="199"/>
      </w:r>
      <w:r w:rsidR="00A60ADB" w:rsidRPr="0096524F">
        <w:t>) that began before the TDRA and continued after it</w:t>
      </w:r>
      <w:r w:rsidRPr="0096524F">
        <w:t>.</w:t>
      </w:r>
      <w:r w:rsidRPr="0096524F">
        <w:t xml:space="preserve"> </w:t>
      </w:r>
      <w:r w:rsidRPr="0096524F">
        <w:t>T</w:t>
      </w:r>
      <w:r w:rsidR="00A60ADB" w:rsidRPr="0096524F">
        <w:t xml:space="preserve">his was a suit by Starbucks against a small coffee retailer that sells coffee under the names Mister </w:t>
      </w:r>
      <w:proofErr w:type="spellStart"/>
      <w:r w:rsidR="00A60ADB" w:rsidRPr="0096524F">
        <w:t>Charbucks</w:t>
      </w:r>
      <w:proofErr w:type="spellEnd"/>
      <w:r w:rsidR="00A60ADB" w:rsidRPr="0096524F">
        <w:t xml:space="preserve"> and </w:t>
      </w:r>
      <w:proofErr w:type="spellStart"/>
      <w:r w:rsidR="00A60ADB" w:rsidRPr="0096524F">
        <w:t>Charbucks</w:t>
      </w:r>
      <w:proofErr w:type="spellEnd"/>
      <w:r w:rsidR="00A60ADB" w:rsidRPr="0096524F">
        <w:t xml:space="preserve"> Blend</w:t>
      </w:r>
      <w:r w:rsidRPr="0096524F">
        <w:t>.</w:t>
      </w:r>
      <w:r w:rsidRPr="0096524F">
        <w:t xml:space="preserve"> </w:t>
      </w:r>
      <w:r w:rsidRPr="0096524F">
        <w:t>T</w:t>
      </w:r>
      <w:r w:rsidR="00A60ADB" w:rsidRPr="0096524F">
        <w:t>he latest opinion (</w:t>
      </w:r>
      <w:r w:rsidRPr="0096524F">
        <w:rPr>
          <w:i/>
        </w:rPr>
        <w:t>Starbucks VI</w:t>
      </w:r>
      <w:r w:rsidR="00A60ADB" w:rsidRPr="0096524F">
        <w:t>) would seem to have ended the case in favor of the defendant and, combined with the previous opinion (</w:t>
      </w:r>
      <w:r w:rsidRPr="0096524F">
        <w:rPr>
          <w:i/>
        </w:rPr>
        <w:t>Starbucks IV</w:t>
      </w:r>
      <w:r w:rsidR="00A60ADB" w:rsidRPr="0096524F">
        <w:t>), gives us some additional guidance as to application of the blurring factors</w:t>
      </w:r>
      <w:r w:rsidRPr="0096524F">
        <w:t>.</w:t>
      </w:r>
      <w:r w:rsidRPr="0096524F">
        <w:t xml:space="preserve"> </w:t>
      </w:r>
      <w:r w:rsidRPr="0096524F">
        <w:t>I</w:t>
      </w:r>
      <w:r w:rsidR="00A60ADB" w:rsidRPr="0096524F">
        <w:t xml:space="preserve">n a significant aspect of </w:t>
      </w:r>
      <w:r w:rsidRPr="0096524F">
        <w:rPr>
          <w:i/>
        </w:rPr>
        <w:t>Starbucks IV</w:t>
      </w:r>
      <w:r w:rsidR="00A60ADB" w:rsidRPr="0096524F">
        <w:t>, the court held that “substantial similarity” was no longer a threshold requirement of dilution</w:t>
      </w:r>
      <w:r w:rsidRPr="0096524F">
        <w:t>;</w:t>
      </w:r>
      <w:r w:rsidRPr="0096524F">
        <w:t xml:space="preserve"> </w:t>
      </w:r>
      <w:r w:rsidRPr="0096524F">
        <w:t>t</w:t>
      </w:r>
      <w:r w:rsidR="00A60ADB" w:rsidRPr="0096524F">
        <w:t>o the court, the inclusion of “degree of similarity” as a statutory factor meant that no threshold was intended by the drafters.</w:t>
      </w:r>
      <w:r w:rsidRPr="0096524F">
        <w:rPr>
          <w:vertAlign w:val="superscript"/>
        </w:rPr>
        <w:footnoteReference w:id="200"/>
      </w:r>
      <w:r w:rsidR="00A60ADB" w:rsidRPr="0096524F">
        <w:t xml:space="preserve"> (As in the </w:t>
      </w:r>
      <w:r w:rsidRPr="0096524F">
        <w:rPr>
          <w:i/>
        </w:rPr>
        <w:t>Levi Strauss</w:t>
      </w:r>
      <w:r w:rsidR="00A60ADB" w:rsidRPr="0096524F">
        <w:t xml:space="preserve"> case, the court of appeals in </w:t>
      </w:r>
      <w:r w:rsidRPr="0096524F">
        <w:rPr>
          <w:i/>
        </w:rPr>
        <w:t>Starbucks IV</w:t>
      </w:r>
      <w:r w:rsidR="00A60ADB" w:rsidRPr="0096524F">
        <w:t xml:space="preserve"> remanded after reconsidering the proper standard for evaluating similarity under the TDRA.) On the other hand, </w:t>
      </w:r>
      <w:r w:rsidRPr="0096524F">
        <w:rPr>
          <w:i/>
        </w:rPr>
        <w:t>Starbucks IV</w:t>
      </w:r>
      <w:r w:rsidR="00A60ADB" w:rsidRPr="0096524F">
        <w:t xml:space="preserve"> upheld the district court’s conclusion that similarity should be analyzed by comparing the marks as presented in the marketplace</w:t>
      </w:r>
      <w:r w:rsidRPr="0096524F">
        <w:t>.</w:t>
      </w:r>
      <w:r w:rsidRPr="0096524F">
        <w:t xml:space="preserve"> </w:t>
      </w:r>
      <w:r w:rsidRPr="0096524F">
        <w:t>T</w:t>
      </w:r>
      <w:r w:rsidR="00A60ADB" w:rsidRPr="0096524F">
        <w:t xml:space="preserve">hus, the significant differences in the packaging between Starbucks coffee and the defendant’s Mister </w:t>
      </w:r>
      <w:proofErr w:type="spellStart"/>
      <w:r w:rsidR="00A60ADB" w:rsidRPr="0096524F">
        <w:t>Charbucks</w:t>
      </w:r>
      <w:proofErr w:type="spellEnd"/>
      <w:r w:rsidR="00A60ADB" w:rsidRPr="0096524F">
        <w:t xml:space="preserve"> coffee, and the use of “Mister” or “Blend” with the “</w:t>
      </w:r>
      <w:proofErr w:type="spellStart"/>
      <w:r w:rsidR="00A60ADB" w:rsidRPr="0096524F">
        <w:t>Charbucks</w:t>
      </w:r>
      <w:proofErr w:type="spellEnd"/>
      <w:r w:rsidR="00A60ADB" w:rsidRPr="0096524F">
        <w:t>” name, were relevant to the analysis of similarity.</w:t>
      </w:r>
      <w:r w:rsidRPr="0096524F">
        <w:rPr>
          <w:vertAlign w:val="superscript"/>
        </w:rPr>
        <w:footnoteReference w:id="201"/>
      </w:r>
      <w:r w:rsidR="00A60ADB" w:rsidRPr="0096524F">
        <w:t xml:space="preserve"> The court of appeals upheld the finding of only “minimal” similarity, but held that minimal similarity did not disqualify a case from dilution.</w:t>
      </w:r>
      <w:r w:rsidRPr="0096524F">
        <w:rPr>
          <w:vertAlign w:val="superscript"/>
        </w:rPr>
        <w:footnoteReference w:id="202"/>
      </w:r>
      <w:r w:rsidR="00A60ADB" w:rsidRPr="0096524F">
        <w:t xml:space="preserve"> The court of appeals also commented on two other factors</w:t>
      </w:r>
      <w:r w:rsidRPr="0096524F">
        <w:t>:</w:t>
      </w:r>
      <w:r w:rsidRPr="0096524F">
        <w:t xml:space="preserve"> </w:t>
      </w:r>
      <w:r w:rsidRPr="0096524F">
        <w:t>i</w:t>
      </w:r>
      <w:r w:rsidR="00A60ADB" w:rsidRPr="0096524F">
        <w:t>ntent to cause an association and evidence of actual association</w:t>
      </w:r>
      <w:r w:rsidRPr="0096524F">
        <w:t>.</w:t>
      </w:r>
      <w:r w:rsidRPr="0096524F">
        <w:t xml:space="preserve"> </w:t>
      </w:r>
      <w:r w:rsidRPr="0096524F">
        <w:t>A</w:t>
      </w:r>
      <w:r w:rsidR="00A60ADB" w:rsidRPr="0096524F">
        <w:t xml:space="preserve">s to the former, the court held that bad faith was </w:t>
      </w:r>
      <w:r w:rsidRPr="0096524F">
        <w:rPr>
          <w:i/>
        </w:rPr>
        <w:t>not</w:t>
      </w:r>
      <w:r w:rsidR="00A60ADB" w:rsidRPr="0096524F">
        <w:t xml:space="preserve"> a necessary element of intent</w:t>
      </w:r>
      <w:r w:rsidRPr="0096524F">
        <w:t>;</w:t>
      </w:r>
      <w:r w:rsidRPr="0096524F">
        <w:t xml:space="preserve"> </w:t>
      </w:r>
      <w:r w:rsidRPr="0096524F">
        <w:t>a</w:t>
      </w:r>
      <w:r w:rsidR="00A60ADB" w:rsidRPr="0096524F">
        <w:t>n intent to associate, even if not in bad faith, would favor a finding of dilution.</w:t>
      </w:r>
      <w:r w:rsidRPr="0096524F">
        <w:rPr>
          <w:vertAlign w:val="superscript"/>
        </w:rPr>
        <w:footnoteReference w:id="203"/>
      </w:r>
    </w:p>
    <w:p w14:paraId="5935597D" w14:textId="296EF300" w:rsidR="0096524F" w:rsidRPr="0096524F" w:rsidRDefault="00A60ADB" w:rsidP="0096524F">
      <w:pPr>
        <w:pStyle w:val="BNormal"/>
      </w:pPr>
      <w:r w:rsidRPr="0096524F">
        <w:t>As to the actual association factor, the district court thought that actual association in the case favored the defendant, based on the evidence submitted</w:t>
      </w:r>
      <w:r w:rsidR="0096524F" w:rsidRPr="0096524F">
        <w:t>.</w:t>
      </w:r>
      <w:r w:rsidR="0096524F" w:rsidRPr="0096524F">
        <w:t xml:space="preserve"> </w:t>
      </w:r>
      <w:r w:rsidR="0096524F" w:rsidRPr="0096524F">
        <w:t>H</w:t>
      </w:r>
      <w:r w:rsidRPr="0096524F">
        <w:t xml:space="preserve">owever, the court of appeals indicated that the plaintiff’s survey, which showed that 30.5 percent of respondents thought of Starbucks first when told of the name </w:t>
      </w:r>
      <w:proofErr w:type="spellStart"/>
      <w:r w:rsidRPr="0096524F">
        <w:t>Charbucks</w:t>
      </w:r>
      <w:proofErr w:type="spellEnd"/>
      <w:r w:rsidRPr="0096524F">
        <w:t>, indicated the possibility of actual association.</w:t>
      </w:r>
      <w:r w:rsidR="0096524F" w:rsidRPr="0096524F">
        <w:rPr>
          <w:vertAlign w:val="superscript"/>
        </w:rPr>
        <w:footnoteReference w:id="204"/>
      </w:r>
      <w:r w:rsidRPr="0096524F">
        <w:t xml:space="preserve"> The court of appeals also pointed out that the district court’s </w:t>
      </w:r>
      <w:r w:rsidRPr="0096524F">
        <w:lastRenderedPageBreak/>
        <w:t>emphasis on a lack of confusion was error because dilution does not require confusion.</w:t>
      </w:r>
      <w:r w:rsidR="0096524F" w:rsidRPr="0096524F">
        <w:rPr>
          <w:vertAlign w:val="superscript"/>
        </w:rPr>
        <w:footnoteReference w:id="205"/>
      </w:r>
      <w:r w:rsidRPr="0096524F">
        <w:t xml:space="preserve"> Finally, the court stated that the factor of intent to cause association did </w:t>
      </w:r>
      <w:r w:rsidR="0096524F" w:rsidRPr="0096524F">
        <w:rPr>
          <w:i/>
        </w:rPr>
        <w:t xml:space="preserve">not </w:t>
      </w:r>
      <w:r w:rsidRPr="0096524F">
        <w:t>require “bad faith.”</w:t>
      </w:r>
      <w:r w:rsidR="0096524F" w:rsidRPr="0096524F">
        <w:rPr>
          <w:vertAlign w:val="superscript"/>
        </w:rPr>
        <w:footnoteReference w:id="206"/>
      </w:r>
      <w:r w:rsidRPr="0096524F">
        <w:t xml:space="preserve"> The case was remanded for a second time.</w:t>
      </w:r>
      <w:r w:rsidR="0096524F" w:rsidRPr="0096524F">
        <w:rPr>
          <w:vertAlign w:val="superscript"/>
        </w:rPr>
        <w:footnoteReference w:id="207"/>
      </w:r>
    </w:p>
    <w:p w14:paraId="7B8FFC0C" w14:textId="6427C35F" w:rsidR="0096524F" w:rsidRPr="0096524F" w:rsidRDefault="00A60ADB" w:rsidP="0096524F">
      <w:pPr>
        <w:pStyle w:val="BNormal"/>
      </w:pPr>
      <w:r w:rsidRPr="0096524F">
        <w:t>On remand, the district court continued to adhere to its original conclusion of no likelihood of dilution.</w:t>
      </w:r>
      <w:r w:rsidR="0096524F" w:rsidRPr="0096524F">
        <w:rPr>
          <w:vertAlign w:val="superscript"/>
        </w:rPr>
        <w:footnoteReference w:id="208"/>
      </w:r>
      <w:r w:rsidRPr="0096524F">
        <w:t xml:space="preserve"> As in the </w:t>
      </w:r>
      <w:r w:rsidR="0096524F" w:rsidRPr="0096524F">
        <w:rPr>
          <w:i/>
        </w:rPr>
        <w:t>G</w:t>
      </w:r>
      <w:r w:rsidRPr="0096524F">
        <w:t>.</w:t>
      </w:r>
      <w:r w:rsidR="0096524F" w:rsidRPr="0096524F">
        <w:rPr>
          <w:i/>
        </w:rPr>
        <w:t>A</w:t>
      </w:r>
      <w:r w:rsidRPr="0096524F">
        <w:t>.</w:t>
      </w:r>
      <w:r w:rsidR="0096524F" w:rsidRPr="0096524F">
        <w:rPr>
          <w:i/>
        </w:rPr>
        <w:t>P</w:t>
      </w:r>
      <w:r w:rsidR="0096524F" w:rsidRPr="0096524F">
        <w:t>.</w:t>
      </w:r>
      <w:r w:rsidR="0096524F" w:rsidRPr="0096524F">
        <w:t xml:space="preserve"> </w:t>
      </w:r>
      <w:r w:rsidR="0096524F" w:rsidRPr="0096524F">
        <w:rPr>
          <w:i/>
        </w:rPr>
        <w:t>Adventures</w:t>
      </w:r>
      <w:r w:rsidRPr="0096524F">
        <w:t xml:space="preserve"> and </w:t>
      </w:r>
      <w:r w:rsidR="0096524F" w:rsidRPr="0096524F">
        <w:rPr>
          <w:i/>
        </w:rPr>
        <w:t>Rolex</w:t>
      </w:r>
      <w:r w:rsidRPr="0096524F">
        <w:t xml:space="preserve"> cases discussed above, the court emphasized that there must be a likelihood of harm to the distinctiveness of the famous mark—association is not enough.</w:t>
      </w:r>
      <w:r w:rsidR="0096524F" w:rsidRPr="0096524F">
        <w:rPr>
          <w:vertAlign w:val="superscript"/>
        </w:rPr>
        <w:footnoteReference w:id="209"/>
      </w:r>
      <w:r w:rsidRPr="0096524F">
        <w:t xml:space="preserve"> As to the factors, the court noted that although Starbucks and </w:t>
      </w:r>
      <w:proofErr w:type="spellStart"/>
      <w:r w:rsidRPr="0096524F">
        <w:t>Charbucks</w:t>
      </w:r>
      <w:proofErr w:type="spellEnd"/>
      <w:r w:rsidRPr="0096524F">
        <w:t xml:space="preserve"> may be similar, the similarity was offset by the defendant’s use of “Mister,” “Mr.,” or “Blend” before </w:t>
      </w:r>
      <w:proofErr w:type="spellStart"/>
      <w:r w:rsidRPr="0096524F">
        <w:t>Charbucks</w:t>
      </w:r>
      <w:proofErr w:type="spellEnd"/>
      <w:r w:rsidRPr="0096524F">
        <w:t>, resulting in a “minimal degree” of similarity.</w:t>
      </w:r>
      <w:r w:rsidR="0096524F" w:rsidRPr="0096524F">
        <w:rPr>
          <w:vertAlign w:val="superscript"/>
        </w:rPr>
        <w:footnoteReference w:id="210"/>
      </w:r>
      <w:r w:rsidRPr="0096524F">
        <w:t xml:space="preserve"> On the issue of intent to associate, the court found in favor of the plaintiff, based on the defendant’s own admissions.</w:t>
      </w:r>
      <w:r w:rsidR="0096524F" w:rsidRPr="0096524F">
        <w:rPr>
          <w:vertAlign w:val="superscript"/>
        </w:rPr>
        <w:footnoteReference w:id="211"/>
      </w:r>
      <w:r w:rsidRPr="0096524F">
        <w:t xml:space="preserve"> Although the plaintiff submitted an association survey (discussed in the Second Circuit’s opinion), the court found that its 30.5 percent association only minimally favored the plaintiff.</w:t>
      </w:r>
      <w:r w:rsidR="0096524F" w:rsidRPr="0096524F">
        <w:rPr>
          <w:vertAlign w:val="superscript"/>
        </w:rPr>
        <w:footnoteReference w:id="212"/>
      </w:r>
      <w:r w:rsidRPr="0096524F">
        <w:t xml:space="preserve"> Finally, the court alluded to the general principle that dilution statutes should be applied with care, so as not to overly protect trademarks.</w:t>
      </w:r>
      <w:r w:rsidR="0096524F" w:rsidRPr="0096524F">
        <w:rPr>
          <w:vertAlign w:val="superscript"/>
        </w:rPr>
        <w:footnoteReference w:id="213"/>
      </w:r>
      <w:r w:rsidRPr="0096524F">
        <w:t xml:space="preserve"> Thus, although the factors of distinctiveness, recognition, exclusivity, and intent clearly favored Starbucks, the lack of similarity and the weak evidence of association led to the conclusion of no likelihood of blurring.</w:t>
      </w:r>
      <w:r w:rsidR="0096524F" w:rsidRPr="0096524F">
        <w:rPr>
          <w:vertAlign w:val="superscript"/>
        </w:rPr>
        <w:footnoteReference w:id="214"/>
      </w:r>
    </w:p>
    <w:p w14:paraId="74CCB61C" w14:textId="781EBC6E" w:rsidR="0096524F" w:rsidRPr="0096524F" w:rsidRDefault="00A60ADB" w:rsidP="0096524F">
      <w:pPr>
        <w:pStyle w:val="BNormal"/>
      </w:pPr>
      <w:r w:rsidRPr="0096524F">
        <w:t xml:space="preserve">In </w:t>
      </w:r>
      <w:r w:rsidR="0096524F" w:rsidRPr="0096524F">
        <w:rPr>
          <w:i/>
        </w:rPr>
        <w:t>Starbucks VI</w:t>
      </w:r>
      <w:r w:rsidRPr="0096524F">
        <w:t>, the Second Circuit upheld the findings of the district court.</w:t>
      </w:r>
      <w:r w:rsidR="0096524F" w:rsidRPr="0096524F">
        <w:rPr>
          <w:vertAlign w:val="superscript"/>
        </w:rPr>
        <w:footnoteReference w:id="215"/>
      </w:r>
      <w:r w:rsidRPr="0096524F">
        <w:t xml:space="preserve"> The court’s opinion focused on three of the blurring factors</w:t>
      </w:r>
      <w:r w:rsidR="0096524F" w:rsidRPr="0096524F">
        <w:t>:</w:t>
      </w:r>
      <w:r w:rsidR="0096524F" w:rsidRPr="0096524F">
        <w:t xml:space="preserve"> </w:t>
      </w:r>
      <w:r w:rsidR="0096524F" w:rsidRPr="0096524F">
        <w:t>d</w:t>
      </w:r>
      <w:r w:rsidRPr="0096524F">
        <w:t>egree of similarity (factor 1), intent to create association (factor 5), and actual association (factor 6)</w:t>
      </w:r>
      <w:r w:rsidR="0096524F" w:rsidRPr="0096524F">
        <w:t>.</w:t>
      </w:r>
      <w:r w:rsidR="0096524F" w:rsidRPr="0096524F">
        <w:t xml:space="preserve"> </w:t>
      </w:r>
      <w:r w:rsidR="0096524F" w:rsidRPr="0096524F">
        <w:t>T</w:t>
      </w:r>
      <w:r w:rsidRPr="0096524F">
        <w:t xml:space="preserve">hese are also the factors that relate to both marks, not just to the </w:t>
      </w:r>
      <w:r w:rsidRPr="0096524F">
        <w:lastRenderedPageBreak/>
        <w:t>famous mark</w:t>
      </w:r>
      <w:r w:rsidR="0096524F" w:rsidRPr="0096524F">
        <w:t>.</w:t>
      </w:r>
      <w:r w:rsidR="0096524F" w:rsidRPr="0096524F">
        <w:t xml:space="preserve"> </w:t>
      </w:r>
      <w:r w:rsidR="0096524F" w:rsidRPr="0096524F">
        <w:t>U</w:t>
      </w:r>
      <w:r w:rsidRPr="0096524F">
        <w:t xml:space="preserve">pholding the district court’s finding of minimal similarity, the court reiterated its conclusion from </w:t>
      </w:r>
      <w:r w:rsidR="0096524F" w:rsidRPr="0096524F">
        <w:rPr>
          <w:i/>
        </w:rPr>
        <w:t>Starbucks IV</w:t>
      </w:r>
      <w:r w:rsidRPr="0096524F">
        <w:t xml:space="preserve"> that the addition of “Mister” and “blend” to the </w:t>
      </w:r>
      <w:proofErr w:type="spellStart"/>
      <w:r w:rsidRPr="0096524F">
        <w:t>Charbucks</w:t>
      </w:r>
      <w:proofErr w:type="spellEnd"/>
      <w:r w:rsidRPr="0096524F">
        <w:t xml:space="preserve"> mark justified the district court’s conclusion that the marks were only minimally similar.</w:t>
      </w:r>
      <w:r w:rsidR="0096524F" w:rsidRPr="0096524F">
        <w:rPr>
          <w:vertAlign w:val="superscript"/>
        </w:rPr>
        <w:footnoteReference w:id="216"/>
      </w:r>
      <w:r w:rsidRPr="0096524F">
        <w:t xml:space="preserve"> As to the intent factor, the court rejected Starbucks’ argument that an intent to create association raises a presumption of dilution.</w:t>
      </w:r>
      <w:r w:rsidR="0096524F" w:rsidRPr="0096524F">
        <w:rPr>
          <w:vertAlign w:val="superscript"/>
        </w:rPr>
        <w:footnoteReference w:id="217"/>
      </w:r>
      <w:r w:rsidRPr="0096524F">
        <w:t xml:space="preserve"> Consistent with its view that each factor enjoys independent status, the court noted that a presumption “would effectively merge the intent to associate and the actual association factors, by making the former determinative of the latter.”</w:t>
      </w:r>
      <w:r w:rsidR="0096524F" w:rsidRPr="0096524F">
        <w:rPr>
          <w:vertAlign w:val="superscript"/>
        </w:rPr>
        <w:footnoteReference w:id="218"/>
      </w:r>
      <w:r w:rsidRPr="0096524F">
        <w:t xml:space="preserve"> Finally, the court examined Starbucks’ evidence of actual association, a telephone survey</w:t>
      </w:r>
      <w:r w:rsidR="0096524F" w:rsidRPr="0096524F">
        <w:t>.</w:t>
      </w:r>
      <w:r w:rsidR="0096524F" w:rsidRPr="0096524F">
        <w:t xml:space="preserve"> </w:t>
      </w:r>
      <w:r w:rsidR="0096524F" w:rsidRPr="0096524F">
        <w:t>T</w:t>
      </w:r>
      <w:r w:rsidRPr="0096524F">
        <w:t xml:space="preserve">he court first upheld the district court’s determination that the survey was flawed because it failed to present respondents with the </w:t>
      </w:r>
      <w:proofErr w:type="spellStart"/>
      <w:r w:rsidRPr="0096524F">
        <w:t>Charbucks</w:t>
      </w:r>
      <w:proofErr w:type="spellEnd"/>
      <w:r w:rsidRPr="0096524F">
        <w:t xml:space="preserve"> mark together with the “Mister” or “blend” additions, with which it was consistently associated on the defendant’s website and in its store.</w:t>
      </w:r>
      <w:r w:rsidR="0096524F" w:rsidRPr="0096524F">
        <w:rPr>
          <w:vertAlign w:val="superscript"/>
        </w:rPr>
        <w:footnoteReference w:id="219"/>
      </w:r>
      <w:r w:rsidRPr="0096524F">
        <w:t xml:space="preserve"> Next, it upheld the finding that the survey only showed “minimal” association</w:t>
      </w:r>
      <w:r w:rsidR="0096524F" w:rsidRPr="0096524F">
        <w:t>.</w:t>
      </w:r>
      <w:r w:rsidR="0096524F" w:rsidRPr="0096524F">
        <w:t xml:space="preserve"> </w:t>
      </w:r>
      <w:r w:rsidR="0096524F" w:rsidRPr="0096524F">
        <w:t>B</w:t>
      </w:r>
      <w:r w:rsidRPr="0096524F">
        <w:t xml:space="preserve">ecause of the presentation issues, and because when asked what company or store might sell a product called </w:t>
      </w:r>
      <w:proofErr w:type="spellStart"/>
      <w:r w:rsidRPr="0096524F">
        <w:t>Charbucks</w:t>
      </w:r>
      <w:proofErr w:type="spellEnd"/>
      <w:r w:rsidRPr="0096524F">
        <w:t xml:space="preserve"> only a small percentage of the respondents said Starbucks, the court of appeals affirmed</w:t>
      </w:r>
      <w:r w:rsidR="0096524F" w:rsidRPr="0096524F">
        <w:t>.</w:t>
      </w:r>
      <w:r w:rsidR="0096524F" w:rsidRPr="0096524F">
        <w:t xml:space="preserve"> </w:t>
      </w:r>
      <w:r w:rsidR="0096524F" w:rsidRPr="0096524F">
        <w:t>H</w:t>
      </w:r>
      <w:r w:rsidRPr="0096524F">
        <w:t>owever, it noted that if Starbucks had offered a properly conducted survey into evidence, it might have ruled otherwise on this factor.</w:t>
      </w:r>
      <w:r w:rsidR="0096524F" w:rsidRPr="0096524F">
        <w:rPr>
          <w:vertAlign w:val="superscript"/>
        </w:rPr>
        <w:footnoteReference w:id="220"/>
      </w:r>
    </w:p>
    <w:p w14:paraId="1FBC9A97" w14:textId="1E4D798E" w:rsidR="0096524F" w:rsidRPr="0096524F" w:rsidRDefault="00A60ADB" w:rsidP="0096524F">
      <w:pPr>
        <w:pStyle w:val="BNormal"/>
      </w:pPr>
      <w:r w:rsidRPr="0096524F">
        <w:t>The court of appeals also conducted its own balancing</w:t>
      </w:r>
      <w:r w:rsidR="0096524F" w:rsidRPr="0096524F">
        <w:t>.</w:t>
      </w:r>
      <w:r w:rsidR="0096524F" w:rsidRPr="0096524F">
        <w:t xml:space="preserve"> </w:t>
      </w:r>
      <w:r w:rsidR="0096524F" w:rsidRPr="0096524F">
        <w:t>I</w:t>
      </w:r>
      <w:r w:rsidRPr="0096524F">
        <w:t>t found that the three factors relating to the strength of the mark and exclusivity of use (which were largely uncontested in this case) were less compelling than the three factors bearing directly on the definition of dilution—similarity, intent to associate, and actual association.</w:t>
      </w:r>
      <w:r w:rsidR="0096524F" w:rsidRPr="0096524F">
        <w:rPr>
          <w:vertAlign w:val="superscript"/>
        </w:rPr>
        <w:footnoteReference w:id="221"/>
      </w:r>
      <w:r w:rsidRPr="0096524F">
        <w:t xml:space="preserve"> It stated that the first three may demonstrate “</w:t>
      </w:r>
      <w:r w:rsidR="0096524F" w:rsidRPr="0096524F">
        <w:rPr>
          <w:i/>
        </w:rPr>
        <w:t>susceptibility</w:t>
      </w:r>
      <w:r w:rsidRPr="0096524F">
        <w:t xml:space="preserve"> to dilution,” but do not show the crucial elements of association arising from similarity.</w:t>
      </w:r>
      <w:r w:rsidR="0096524F" w:rsidRPr="0096524F">
        <w:rPr>
          <w:vertAlign w:val="superscript"/>
        </w:rPr>
        <w:footnoteReference w:id="222"/>
      </w:r>
      <w:r w:rsidRPr="0096524F">
        <w:t xml:space="preserve"> As the court noted, “[u]</w:t>
      </w:r>
      <w:proofErr w:type="spellStart"/>
      <w:r w:rsidRPr="0096524F">
        <w:t>ltimately</w:t>
      </w:r>
      <w:proofErr w:type="spellEnd"/>
      <w:r w:rsidRPr="0096524F">
        <w:t xml:space="preserve"> what tips the balance in this case is that Starbucks bore the burden of showing that it was entitled to injunctive relief.”</w:t>
      </w:r>
      <w:r w:rsidR="0096524F" w:rsidRPr="0096524F">
        <w:rPr>
          <w:vertAlign w:val="superscript"/>
        </w:rPr>
        <w:footnoteReference w:id="223"/>
      </w:r>
      <w:r w:rsidRPr="0096524F">
        <w:t xml:space="preserve"> That, plus the weak evidence of actual association, allowed the court to affirm</w:t>
      </w:r>
      <w:r w:rsidR="0096524F" w:rsidRPr="0096524F">
        <w:t>.</w:t>
      </w:r>
      <w:r w:rsidR="0096524F" w:rsidRPr="0096524F">
        <w:t xml:space="preserve"> </w:t>
      </w:r>
      <w:r w:rsidR="0096524F" w:rsidRPr="0096524F">
        <w:t>B</w:t>
      </w:r>
      <w:r w:rsidRPr="0096524F">
        <w:t>ut it suggests that the case was a close one, and that proper evidence of association could have changed the outcome</w:t>
      </w:r>
      <w:r w:rsidR="0096524F" w:rsidRPr="0096524F">
        <w:t>.</w:t>
      </w:r>
      <w:r w:rsidR="0096524F" w:rsidRPr="0096524F">
        <w:t xml:space="preserve"> </w:t>
      </w:r>
      <w:r w:rsidR="0096524F" w:rsidRPr="0096524F">
        <w:t>O</w:t>
      </w:r>
      <w:r w:rsidRPr="0096524F">
        <w:t>ne missing aspect of the discussion was the final part of the definition of blurring—association “that impairs the distinctiveness of the famous mark.”</w:t>
      </w:r>
      <w:r w:rsidR="0096524F" w:rsidRPr="0096524F">
        <w:rPr>
          <w:vertAlign w:val="superscript"/>
        </w:rPr>
        <w:footnoteReference w:id="224"/>
      </w:r>
      <w:r w:rsidRPr="0096524F">
        <w:t xml:space="preserve"> It appears that the court assumed that sufficient similarity combined with sufficient association would mean that harm to the famous mark’s distinctiveness would be inevitable</w:t>
      </w:r>
      <w:r w:rsidR="0096524F" w:rsidRPr="0096524F">
        <w:t>.</w:t>
      </w:r>
      <w:r w:rsidR="0096524F" w:rsidRPr="0096524F">
        <w:t xml:space="preserve"> </w:t>
      </w:r>
      <w:r w:rsidR="0096524F" w:rsidRPr="0096524F">
        <w:t>B</w:t>
      </w:r>
      <w:r w:rsidRPr="0096524F">
        <w:t xml:space="preserve">ut that would seem to make the last phrase almost superfluous, since the definition already requires an “association </w:t>
      </w:r>
      <w:r w:rsidRPr="0096524F">
        <w:lastRenderedPageBreak/>
        <w:t>arising from the similarity between” the two marks.</w:t>
      </w:r>
      <w:r w:rsidR="0096524F" w:rsidRPr="0096524F">
        <w:rPr>
          <w:vertAlign w:val="superscript"/>
        </w:rPr>
        <w:footnoteReference w:id="225"/>
      </w:r>
      <w:r w:rsidRPr="0096524F">
        <w:t xml:space="preserve"> The difficulty of separating the blurring factors and the factors of confusion is illustrated in </w:t>
      </w:r>
      <w:r w:rsidR="0096524F" w:rsidRPr="0096524F">
        <w:rPr>
          <w:i/>
        </w:rPr>
        <w:t>New York City Triathlon, LLC v</w:t>
      </w:r>
      <w:r w:rsidR="0096524F" w:rsidRPr="0096524F">
        <w:t>.</w:t>
      </w:r>
      <w:r w:rsidR="0096524F" w:rsidRPr="0096524F">
        <w:t xml:space="preserve"> </w:t>
      </w:r>
      <w:r w:rsidR="0096524F" w:rsidRPr="0096524F">
        <w:rPr>
          <w:i/>
        </w:rPr>
        <w:t>NYC Triathlon Club, Inc</w:t>
      </w:r>
      <w:r w:rsidRPr="0096524F">
        <w:t>.</w:t>
      </w:r>
      <w:r w:rsidR="0096524F" w:rsidRPr="0096524F">
        <w:rPr>
          <w:vertAlign w:val="superscript"/>
        </w:rPr>
        <w:footnoteReference w:id="226"/>
      </w:r>
      <w:r w:rsidRPr="0096524F">
        <w:t xml:space="preserve"> As it began the analysis of blurring, the court stated that “[the blurring] factors have been discussed at length in connection with Plaintiffs’ §43(a) claim.”</w:t>
      </w:r>
      <w:r w:rsidR="0096524F" w:rsidRPr="0096524F">
        <w:rPr>
          <w:vertAlign w:val="superscript"/>
        </w:rPr>
        <w:footnoteReference w:id="227"/>
      </w:r>
      <w:r w:rsidRPr="0096524F">
        <w:t xml:space="preserve"> The court proceeded to reiterate much of the discussion of likelihood of confusion, though applying it to the blurring factors</w:t>
      </w:r>
      <w:r w:rsidR="0096524F" w:rsidRPr="0096524F">
        <w:t>.</w:t>
      </w:r>
      <w:r w:rsidR="0096524F" w:rsidRPr="0096524F">
        <w:t xml:space="preserve"> </w:t>
      </w:r>
      <w:r w:rsidR="0096524F" w:rsidRPr="0096524F">
        <w:t>T</w:t>
      </w:r>
      <w:r w:rsidRPr="0096524F">
        <w:t>he two marks differed only slightly (the word “club” in the defendant’s mark), the plaintiff had used the mark exclusively for 10 years, the court seemingly assumed “a high degree of acquired distinctiveness” from the fact of secondary meaning, there was an apparent bad-faith change of name by the defendant, and an incident of confusion, which the court interpreted as demonstrating “actual association,” even though it could be deemed isolated.</w:t>
      </w:r>
      <w:r w:rsidR="0096524F" w:rsidRPr="0096524F">
        <w:rPr>
          <w:vertAlign w:val="superscript"/>
        </w:rPr>
        <w:footnoteReference w:id="228"/>
      </w:r>
      <w:r w:rsidRPr="0096524F">
        <w:t xml:space="preserve"> But there was no effort to determine whether the mark’s association with the plaintiff was harmed—which is the definition of dilution—when in fact the existence of confusion suggests that the association with the plaintiff remained strong.</w:t>
      </w:r>
      <w:r w:rsidR="0096524F" w:rsidRPr="0096524F">
        <w:rPr>
          <w:vertAlign w:val="superscript"/>
        </w:rPr>
        <w:footnoteReference w:id="229"/>
      </w:r>
    </w:p>
    <w:p w14:paraId="484FCCF5" w14:textId="50A1C27D" w:rsidR="0096524F" w:rsidRPr="0096524F" w:rsidRDefault="00A60ADB" w:rsidP="0096524F">
      <w:pPr>
        <w:pStyle w:val="BNormal"/>
      </w:pPr>
      <w:r w:rsidRPr="0096524F">
        <w:t xml:space="preserve">A contrasting view of the blurring analysis is evident in </w:t>
      </w:r>
      <w:r w:rsidR="0096524F" w:rsidRPr="0096524F">
        <w:rPr>
          <w:i/>
        </w:rPr>
        <w:t>Miss Universe, L</w:t>
      </w:r>
      <w:r w:rsidRPr="0096524F">
        <w:t>.</w:t>
      </w:r>
      <w:r w:rsidR="0096524F" w:rsidRPr="0096524F">
        <w:rPr>
          <w:i/>
        </w:rPr>
        <w:t>P</w:t>
      </w:r>
      <w:r w:rsidRPr="0096524F">
        <w:t>.</w:t>
      </w:r>
      <w:r w:rsidR="0096524F" w:rsidRPr="0096524F">
        <w:rPr>
          <w:i/>
        </w:rPr>
        <w:t>, LLLP v</w:t>
      </w:r>
      <w:r w:rsidR="0096524F" w:rsidRPr="0096524F">
        <w:t>.</w:t>
      </w:r>
      <w:r w:rsidR="0096524F" w:rsidRPr="0096524F">
        <w:t xml:space="preserve"> </w:t>
      </w:r>
      <w:r w:rsidR="0096524F" w:rsidRPr="0096524F">
        <w:rPr>
          <w:i/>
        </w:rPr>
        <w:t>Villegas</w:t>
      </w:r>
      <w:r w:rsidRPr="0096524F">
        <w:t>,</w:t>
      </w:r>
      <w:r w:rsidR="0096524F" w:rsidRPr="0096524F">
        <w:rPr>
          <w:vertAlign w:val="superscript"/>
        </w:rPr>
        <w:footnoteReference w:id="230"/>
      </w:r>
      <w:r w:rsidRPr="0096524F">
        <w:t xml:space="preserve"> a suit by the owner of the Miss USA mark against the operator of a Miss Asia USA pageant</w:t>
      </w:r>
      <w:r w:rsidR="0096524F" w:rsidRPr="0096524F">
        <w:t>.</w:t>
      </w:r>
      <w:r w:rsidR="0096524F" w:rsidRPr="0096524F">
        <w:t xml:space="preserve"> </w:t>
      </w:r>
      <w:r w:rsidR="0096524F" w:rsidRPr="0096524F">
        <w:t>I</w:t>
      </w:r>
      <w:r w:rsidRPr="0096524F">
        <w:t xml:space="preserve">n contrast to the </w:t>
      </w:r>
      <w:r w:rsidR="0096524F" w:rsidRPr="0096524F">
        <w:rPr>
          <w:i/>
        </w:rPr>
        <w:t>New York City Triathlon</w:t>
      </w:r>
      <w:r w:rsidRPr="0096524F">
        <w:t xml:space="preserve"> case, here the court began by emphasizing the </w:t>
      </w:r>
      <w:r w:rsidR="0096524F" w:rsidRPr="0096524F">
        <w:rPr>
          <w:i/>
        </w:rPr>
        <w:t>dis</w:t>
      </w:r>
      <w:r w:rsidRPr="0096524F">
        <w:t>similarities between the two marks—namely, the “Asia” in Miss Asia USA.</w:t>
      </w:r>
      <w:r w:rsidR="0096524F" w:rsidRPr="0096524F">
        <w:rPr>
          <w:vertAlign w:val="superscript"/>
        </w:rPr>
        <w:footnoteReference w:id="231"/>
      </w:r>
      <w:r w:rsidRPr="0096524F">
        <w:t xml:space="preserve"> Regarding distinctiveness, this court emphasized a relative lack of </w:t>
      </w:r>
      <w:r w:rsidR="0096524F" w:rsidRPr="0096524F">
        <w:rPr>
          <w:i/>
        </w:rPr>
        <w:t>inherent</w:t>
      </w:r>
      <w:r w:rsidRPr="0096524F">
        <w:t xml:space="preserve"> distinctiveness, a matter essentially ignored in the following year in </w:t>
      </w:r>
      <w:r w:rsidR="0096524F" w:rsidRPr="0096524F">
        <w:rPr>
          <w:i/>
        </w:rPr>
        <w:t>New York City Triathlon</w:t>
      </w:r>
      <w:r w:rsidRPr="0096524F">
        <w:t>.</w:t>
      </w:r>
      <w:r w:rsidR="0096524F" w:rsidRPr="0096524F">
        <w:rPr>
          <w:vertAlign w:val="superscript"/>
        </w:rPr>
        <w:footnoteReference w:id="232"/>
      </w:r>
      <w:r w:rsidRPr="0096524F">
        <w:t xml:space="preserve"> The parties agreed that the plaintiff had substantially exclusive use of the mark and that the mark was highly recognized.</w:t>
      </w:r>
      <w:r w:rsidR="0096524F" w:rsidRPr="0096524F">
        <w:rPr>
          <w:vertAlign w:val="superscript"/>
        </w:rPr>
        <w:footnoteReference w:id="233"/>
      </w:r>
      <w:r w:rsidRPr="0096524F">
        <w:t xml:space="preserve"> Regarding intent, the court carefully distinguished “bad faith” from “intent to associate.”</w:t>
      </w:r>
      <w:r w:rsidR="0096524F" w:rsidRPr="0096524F">
        <w:rPr>
          <w:vertAlign w:val="superscript"/>
        </w:rPr>
        <w:footnoteReference w:id="234"/>
      </w:r>
      <w:r w:rsidRPr="0096524F">
        <w:t xml:space="preserve"> Here, it found no intent on the defendant’s part to cause an association.</w:t>
      </w:r>
      <w:r w:rsidR="0096524F" w:rsidRPr="0096524F">
        <w:rPr>
          <w:vertAlign w:val="superscript"/>
        </w:rPr>
        <w:footnoteReference w:id="235"/>
      </w:r>
      <w:r w:rsidRPr="0096524F">
        <w:t xml:space="preserve"> Finally, the only evidence of actual association, some emails asking about a possible association, was dismissed by the court as “isolated inquiries.”</w:t>
      </w:r>
      <w:r w:rsidR="0096524F" w:rsidRPr="0096524F">
        <w:rPr>
          <w:vertAlign w:val="superscript"/>
        </w:rPr>
        <w:footnoteReference w:id="236"/>
      </w:r>
      <w:r w:rsidRPr="0096524F">
        <w:t xml:space="preserve"> Overall, the lack of evidence convinced the court that there was no likelihood of dilution.</w:t>
      </w:r>
      <w:r w:rsidR="0096524F" w:rsidRPr="0096524F">
        <w:rPr>
          <w:vertAlign w:val="superscript"/>
        </w:rPr>
        <w:footnoteReference w:id="237"/>
      </w:r>
    </w:p>
    <w:p w14:paraId="3E724DE1" w14:textId="74E8175C" w:rsidR="0096524F" w:rsidRPr="0096524F" w:rsidRDefault="00A60ADB" w:rsidP="0096524F">
      <w:pPr>
        <w:pStyle w:val="BNormal"/>
      </w:pPr>
      <w:r w:rsidRPr="0096524F">
        <w:t>Other cases have found likelihood of dilution under the TDRA.</w:t>
      </w:r>
      <w:r w:rsidR="0096524F" w:rsidRPr="0096524F">
        <w:rPr>
          <w:vertAlign w:val="superscript"/>
        </w:rPr>
        <w:footnoteReference w:id="238"/>
      </w:r>
    </w:p>
    <w:p w14:paraId="4150AB44" w14:textId="273D3828" w:rsidR="0096524F" w:rsidRPr="0096524F" w:rsidRDefault="00A60ADB" w:rsidP="0096524F">
      <w:pPr>
        <w:pStyle w:val="BNormal"/>
      </w:pPr>
      <w:r w:rsidRPr="0096524F">
        <w:lastRenderedPageBreak/>
        <w:t xml:space="preserve">One of the earlier cases to find dilution after a review of the factors is </w:t>
      </w:r>
      <w:r w:rsidR="0096524F" w:rsidRPr="0096524F">
        <w:rPr>
          <w:i/>
        </w:rPr>
        <w:t>Nike, Inc</w:t>
      </w:r>
      <w:r w:rsidR="0096524F" w:rsidRPr="0096524F">
        <w:t>.</w:t>
      </w:r>
      <w:r w:rsidR="0096524F" w:rsidRPr="0096524F">
        <w:t xml:space="preserve"> </w:t>
      </w:r>
      <w:r w:rsidR="0096524F" w:rsidRPr="0096524F">
        <w:rPr>
          <w:i/>
        </w:rPr>
        <w:t>v</w:t>
      </w:r>
      <w:r w:rsidR="0096524F" w:rsidRPr="0096524F">
        <w:t>.</w:t>
      </w:r>
      <w:r w:rsidR="0096524F" w:rsidRPr="0096524F">
        <w:t xml:space="preserve"> </w:t>
      </w:r>
      <w:proofErr w:type="spellStart"/>
      <w:r w:rsidR="0096524F" w:rsidRPr="0096524F">
        <w:rPr>
          <w:i/>
        </w:rPr>
        <w:t>Nikepal</w:t>
      </w:r>
      <w:proofErr w:type="spellEnd"/>
      <w:r w:rsidR="0096524F" w:rsidRPr="0096524F">
        <w:rPr>
          <w:i/>
        </w:rPr>
        <w:t xml:space="preserve"> International, Inc</w:t>
      </w:r>
      <w:r w:rsidRPr="0096524F">
        <w:t>.</w:t>
      </w:r>
      <w:r w:rsidR="0096524F" w:rsidRPr="0096524F">
        <w:rPr>
          <w:vertAlign w:val="superscript"/>
        </w:rPr>
        <w:footnoteReference w:id="239"/>
      </w:r>
      <w:r w:rsidRPr="0096524F">
        <w:t xml:space="preserve"> This was a suit by the clothing manufacturer Nike against </w:t>
      </w:r>
      <w:proofErr w:type="spellStart"/>
      <w:r w:rsidRPr="0096524F">
        <w:t>Nikepal</w:t>
      </w:r>
      <w:proofErr w:type="spellEnd"/>
      <w:r w:rsidRPr="0096524F">
        <w:t>, which “provides services and products to analytical, environmental, and scientific laboratories.”</w:t>
      </w:r>
      <w:r w:rsidR="0096524F" w:rsidRPr="0096524F">
        <w:rPr>
          <w:vertAlign w:val="superscript"/>
        </w:rPr>
        <w:footnoteReference w:id="240"/>
      </w:r>
      <w:r w:rsidRPr="0096524F">
        <w:t xml:space="preserve"> After finding the Nike mark was famous before </w:t>
      </w:r>
      <w:proofErr w:type="spellStart"/>
      <w:r w:rsidRPr="0096524F">
        <w:t>Nikepal’s</w:t>
      </w:r>
      <w:proofErr w:type="spellEnd"/>
      <w:r w:rsidRPr="0096524F">
        <w:t xml:space="preserve"> first use of its mark, the court turned to dilution by blurring, analyzing each of the six factors in turn</w:t>
      </w:r>
      <w:r w:rsidR="0096524F" w:rsidRPr="0096524F">
        <w:t>.</w:t>
      </w:r>
      <w:r w:rsidR="0096524F" w:rsidRPr="0096524F">
        <w:t xml:space="preserve"> </w:t>
      </w:r>
      <w:r w:rsidR="0096524F" w:rsidRPr="0096524F">
        <w:t>I</w:t>
      </w:r>
      <w:r w:rsidRPr="0096524F">
        <w:t>t found that each of the factors favored Nike</w:t>
      </w:r>
      <w:r w:rsidR="0096524F" w:rsidRPr="0096524F">
        <w:t>:</w:t>
      </w:r>
      <w:r w:rsidR="0096524F" w:rsidRPr="0096524F">
        <w:t xml:space="preserve"> </w:t>
      </w:r>
      <w:r w:rsidR="0096524F" w:rsidRPr="0096524F">
        <w:t>t</w:t>
      </w:r>
      <w:r w:rsidRPr="0096524F">
        <w:t>he marks were deemed “nearly identical,”</w:t>
      </w:r>
      <w:r w:rsidR="0096524F" w:rsidRPr="0096524F">
        <w:rPr>
          <w:vertAlign w:val="superscript"/>
        </w:rPr>
        <w:footnoteReference w:id="241"/>
      </w:r>
      <w:r w:rsidRPr="0096524F">
        <w:t xml:space="preserve"> Nike is an inherently distinctive mark, Nike’s use of the Nike mark was “substantially exclusive,”</w:t>
      </w:r>
      <w:r w:rsidR="0096524F" w:rsidRPr="0096524F">
        <w:rPr>
          <w:vertAlign w:val="superscript"/>
        </w:rPr>
        <w:footnoteReference w:id="242"/>
      </w:r>
      <w:r w:rsidRPr="0096524F">
        <w:t xml:space="preserve"> the Nike mark is widely recognized, the defendant intended to create an association between the marks,</w:t>
      </w:r>
      <w:r w:rsidR="0096524F" w:rsidRPr="0096524F">
        <w:rPr>
          <w:vertAlign w:val="superscript"/>
        </w:rPr>
        <w:footnoteReference w:id="243"/>
      </w:r>
      <w:r w:rsidRPr="0096524F">
        <w:t xml:space="preserve"> and, based on a survey, the court found that people exhibited a high degree of association between </w:t>
      </w:r>
      <w:proofErr w:type="spellStart"/>
      <w:r w:rsidRPr="0096524F">
        <w:t>Nikepal</w:t>
      </w:r>
      <w:proofErr w:type="spellEnd"/>
      <w:r w:rsidRPr="0096524F">
        <w:t xml:space="preserve"> and Nike.</w:t>
      </w:r>
      <w:r w:rsidR="0096524F" w:rsidRPr="0096524F">
        <w:rPr>
          <w:vertAlign w:val="superscript"/>
        </w:rPr>
        <w:footnoteReference w:id="244"/>
      </w:r>
      <w:r w:rsidRPr="0096524F">
        <w:t xml:space="preserve"> Thus, the court concluded that dilution was “likely.” However, the court never related its analysis to the definition of dilution by blurring—harm to the distinctiveness of the famous mark—instead relying on the factors alone.</w:t>
      </w:r>
    </w:p>
    <w:p w14:paraId="4A71C115" w14:textId="7F018D3A" w:rsidR="0096524F" w:rsidRPr="0096524F" w:rsidRDefault="00A60ADB" w:rsidP="0096524F">
      <w:pPr>
        <w:pStyle w:val="BNormal"/>
      </w:pPr>
      <w:r w:rsidRPr="0096524F">
        <w:t xml:space="preserve">In </w:t>
      </w:r>
      <w:r w:rsidR="0096524F" w:rsidRPr="0096524F">
        <w:rPr>
          <w:rStyle w:val="BCasenamefull"/>
        </w:rPr>
        <w:t xml:space="preserve">Gianni Versace, S.P.A. v. Versace 19.69 </w:t>
      </w:r>
      <w:proofErr w:type="spellStart"/>
      <w:r w:rsidR="0096524F" w:rsidRPr="0096524F">
        <w:rPr>
          <w:rStyle w:val="BCasenamefull"/>
        </w:rPr>
        <w:t>Abbigliamento</w:t>
      </w:r>
      <w:proofErr w:type="spellEnd"/>
      <w:r w:rsidR="0096524F" w:rsidRPr="0096524F">
        <w:rPr>
          <w:rStyle w:val="BCasenamefull"/>
        </w:rPr>
        <w:t xml:space="preserve"> </w:t>
      </w:r>
      <w:proofErr w:type="spellStart"/>
      <w:r w:rsidR="0096524F" w:rsidRPr="0096524F">
        <w:rPr>
          <w:rStyle w:val="BCasenamefull"/>
        </w:rPr>
        <w:t>Sportivo</w:t>
      </w:r>
      <w:proofErr w:type="spellEnd"/>
      <w:r w:rsidR="0096524F" w:rsidRPr="0096524F">
        <w:rPr>
          <w:rStyle w:val="BCasenamefull"/>
        </w:rPr>
        <w:t xml:space="preserve"> SRL</w:t>
      </w:r>
      <w:r w:rsidRPr="0096524F">
        <w:t>,</w:t>
      </w:r>
      <w:r w:rsidR="0096524F" w:rsidRPr="0096524F">
        <w:rPr>
          <w:vertAlign w:val="superscript"/>
        </w:rPr>
        <w:footnoteReference w:id="245"/>
      </w:r>
      <w:r w:rsidRPr="0096524F">
        <w:t xml:space="preserve"> the court found that defendant’s use of a mark containing the Versace name caused both dilution by blurring and </w:t>
      </w:r>
      <w:proofErr w:type="spellStart"/>
      <w:r w:rsidRPr="0096524F">
        <w:t>tarnishment</w:t>
      </w:r>
      <w:proofErr w:type="spellEnd"/>
      <w:r w:rsidR="0096524F" w:rsidRPr="0096524F">
        <w:t>.</w:t>
      </w:r>
      <w:r w:rsidR="0096524F" w:rsidRPr="0096524F">
        <w:t xml:space="preserve"> </w:t>
      </w:r>
      <w:r w:rsidR="0096524F" w:rsidRPr="0096524F">
        <w:t>I</w:t>
      </w:r>
      <w:r w:rsidRPr="0096524F">
        <w:t>n the blurring analysis, the court found all of the factors to favor plaintiff</w:t>
      </w:r>
      <w:r w:rsidR="0096524F" w:rsidRPr="0096524F">
        <w:t>.</w:t>
      </w:r>
      <w:r w:rsidR="0096524F" w:rsidRPr="0096524F">
        <w:t xml:space="preserve"> </w:t>
      </w:r>
      <w:r w:rsidR="0096524F" w:rsidRPr="0096524F">
        <w:t>I</w:t>
      </w:r>
      <w:r w:rsidRPr="0096524F">
        <w:t>n particular, the court found the marks to be very similar, because “Versace” was the dominant part of both marks—despite defendant’s claim that it used “Versace” with other words.</w:t>
      </w:r>
      <w:r w:rsidR="0096524F" w:rsidRPr="0096524F">
        <w:rPr>
          <w:vertAlign w:val="superscript"/>
        </w:rPr>
        <w:footnoteReference w:id="246"/>
      </w:r>
      <w:r w:rsidRPr="0096524F">
        <w:t xml:space="preserve"> It found that plaintiff’s actions to police its marks indicated exclusivity,</w:t>
      </w:r>
      <w:r w:rsidR="0096524F" w:rsidRPr="0096524F">
        <w:rPr>
          <w:vertAlign w:val="superscript"/>
        </w:rPr>
        <w:footnoteReference w:id="247"/>
      </w:r>
      <w:r w:rsidRPr="0096524F">
        <w:t xml:space="preserve"> The court further found evidence of association and knowledge of that association by defendant.</w:t>
      </w:r>
      <w:r w:rsidR="0096524F" w:rsidRPr="0096524F">
        <w:rPr>
          <w:vertAlign w:val="superscript"/>
        </w:rPr>
        <w:footnoteReference w:id="248"/>
      </w:r>
    </w:p>
    <w:p w14:paraId="3B571322" w14:textId="0B50C7A6" w:rsidR="0096524F" w:rsidRPr="0096524F" w:rsidRDefault="00A60ADB" w:rsidP="0096524F">
      <w:pPr>
        <w:pStyle w:val="BNormal"/>
      </w:pPr>
      <w:r w:rsidRPr="0096524F">
        <w:t xml:space="preserve">In </w:t>
      </w:r>
      <w:r w:rsidR="0096524F" w:rsidRPr="0096524F">
        <w:rPr>
          <w:i/>
        </w:rPr>
        <w:t>Hershey Co</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Art Van Furniture, Inc</w:t>
      </w:r>
      <w:r w:rsidRPr="0096524F">
        <w:t>.,</w:t>
      </w:r>
      <w:r w:rsidR="0096524F" w:rsidRPr="0096524F">
        <w:rPr>
          <w:vertAlign w:val="superscript"/>
        </w:rPr>
        <w:footnoteReference w:id="249"/>
      </w:r>
      <w:r w:rsidRPr="0096524F">
        <w:t xml:space="preserve"> the court found that the defendant’s “couch wrapper” takeoff on Hershey’s candy bar wrapper was likely to dilute the Hershey packaging mark</w:t>
      </w:r>
      <w:r w:rsidR="0096524F" w:rsidRPr="0096524F">
        <w:t>.</w:t>
      </w:r>
      <w:r w:rsidR="0096524F" w:rsidRPr="0096524F">
        <w:t xml:space="preserve"> </w:t>
      </w:r>
      <w:r w:rsidR="0096524F" w:rsidRPr="0096524F">
        <w:t>I</w:t>
      </w:r>
      <w:r w:rsidRPr="0096524F">
        <w:t>n addition to finding exclusive use, the court found the uses highly similar and found an intent to cause an association.</w:t>
      </w:r>
      <w:r w:rsidR="0096524F" w:rsidRPr="0096524F">
        <w:rPr>
          <w:vertAlign w:val="superscript"/>
        </w:rPr>
        <w:footnoteReference w:id="250"/>
      </w:r>
      <w:r w:rsidRPr="0096524F">
        <w:t xml:space="preserve"> Interestingly, however, the court conceded that “whether such</w:t>
      </w:r>
      <w:r w:rsidR="0096524F" w:rsidRPr="0096524F">
        <w:t xml:space="preserve"> </w:t>
      </w:r>
      <w:r w:rsidRPr="0096524F">
        <w:t>…</w:t>
      </w:r>
      <w:r w:rsidR="0096524F" w:rsidRPr="0096524F">
        <w:t xml:space="preserve"> </w:t>
      </w:r>
      <w:r w:rsidRPr="0096524F">
        <w:t>association has actually been made is unclear.”</w:t>
      </w:r>
      <w:r w:rsidR="0096524F" w:rsidRPr="0096524F">
        <w:rPr>
          <w:vertAlign w:val="superscript"/>
        </w:rPr>
        <w:footnoteReference w:id="251"/>
      </w:r>
      <w:r w:rsidRPr="0096524F">
        <w:t xml:space="preserve"> Given the importance of the association—without it, by definition there is no dilution—this casts doubt on the court’s conclusion.</w:t>
      </w:r>
    </w:p>
    <w:p w14:paraId="24E1E165" w14:textId="0B61C02A" w:rsidR="0096524F" w:rsidRPr="0096524F" w:rsidRDefault="00A60ADB" w:rsidP="0096524F">
      <w:pPr>
        <w:pStyle w:val="BNormal"/>
      </w:pPr>
      <w:r w:rsidRPr="0096524F">
        <w:t xml:space="preserve">In </w:t>
      </w:r>
      <w:r w:rsidR="0096524F" w:rsidRPr="0096524F">
        <w:rPr>
          <w:i/>
        </w:rPr>
        <w:t xml:space="preserve">Visa International Service </w:t>
      </w:r>
      <w:proofErr w:type="spellStart"/>
      <w:r w:rsidR="0096524F" w:rsidRPr="0096524F">
        <w:rPr>
          <w:i/>
        </w:rPr>
        <w:t>Ass’n</w:t>
      </w:r>
      <w:proofErr w:type="spellEnd"/>
      <w:r w:rsidR="0096524F" w:rsidRPr="0096524F">
        <w:rPr>
          <w:i/>
        </w:rPr>
        <w:t xml:space="preserve"> v</w:t>
      </w:r>
      <w:r w:rsidR="0096524F" w:rsidRPr="0096524F">
        <w:t>.</w:t>
      </w:r>
      <w:r w:rsidR="0096524F" w:rsidRPr="0096524F">
        <w:t xml:space="preserve"> </w:t>
      </w:r>
      <w:r w:rsidR="0096524F" w:rsidRPr="0096524F">
        <w:rPr>
          <w:i/>
        </w:rPr>
        <w:t>JSL Corp</w:t>
      </w:r>
      <w:r w:rsidRPr="0096524F">
        <w:t>.,</w:t>
      </w:r>
      <w:r w:rsidR="0096524F" w:rsidRPr="0096524F">
        <w:rPr>
          <w:vertAlign w:val="superscript"/>
        </w:rPr>
        <w:footnoteReference w:id="252"/>
      </w:r>
      <w:r w:rsidRPr="0096524F">
        <w:t xml:space="preserve"> the district court found a likelihood of dilution of the plaintiff’s Visa mark by the defendant’s evisa.com Web site</w:t>
      </w:r>
      <w:r w:rsidR="0096524F" w:rsidRPr="0096524F">
        <w:t>.</w:t>
      </w:r>
      <w:r w:rsidR="0096524F" w:rsidRPr="0096524F">
        <w:t xml:space="preserve"> </w:t>
      </w:r>
      <w:r w:rsidR="0096524F" w:rsidRPr="0096524F">
        <w:t>T</w:t>
      </w:r>
      <w:r w:rsidRPr="0096524F">
        <w:t xml:space="preserve">he court found that four of the six factors—similarity, inherent and acquired distinctiveness, degree of recognition, and actual association (measured by a survey showing that 73 percent of respondents thought of another brand when shown the </w:t>
      </w:r>
      <w:proofErr w:type="spellStart"/>
      <w:r w:rsidRPr="0096524F">
        <w:t>evisa</w:t>
      </w:r>
      <w:proofErr w:type="spellEnd"/>
      <w:r w:rsidRPr="0096524F">
        <w:t xml:space="preserve"> mark)—favored the plaintiff</w:t>
      </w:r>
      <w:r w:rsidR="0096524F" w:rsidRPr="0096524F">
        <w:t>.</w:t>
      </w:r>
      <w:r w:rsidR="0096524F" w:rsidRPr="0096524F">
        <w:t xml:space="preserve"> </w:t>
      </w:r>
      <w:r w:rsidR="0096524F" w:rsidRPr="0096524F">
        <w:t>A</w:t>
      </w:r>
      <w:r w:rsidRPr="0096524F">
        <w:t xml:space="preserve">lthough the court found neither evidence of intent to create an </w:t>
      </w:r>
      <w:r w:rsidRPr="0096524F">
        <w:lastRenderedPageBreak/>
        <w:t>association nor evidence of exclusive use, it concluded that the plaintiff had made a sufficient showing of likelihood of dilution to warrant summary judgment.</w:t>
      </w:r>
      <w:r w:rsidR="0096524F" w:rsidRPr="0096524F">
        <w:rPr>
          <w:vertAlign w:val="superscript"/>
        </w:rPr>
        <w:footnoteReference w:id="253"/>
      </w:r>
    </w:p>
    <w:p w14:paraId="2D5F2AD0" w14:textId="31C275F4" w:rsidR="0096524F" w:rsidRPr="0096524F" w:rsidRDefault="00A60ADB" w:rsidP="0096524F">
      <w:pPr>
        <w:pStyle w:val="BNormal"/>
      </w:pPr>
      <w:r w:rsidRPr="0096524F">
        <w:t xml:space="preserve">On appeal, defendant JSL claimed that its </w:t>
      </w:r>
      <w:proofErr w:type="spellStart"/>
      <w:r w:rsidRPr="0096524F">
        <w:t>eVisa</w:t>
      </w:r>
      <w:proofErr w:type="spellEnd"/>
      <w:r w:rsidRPr="0096524F">
        <w:t xml:space="preserve"> mark used the word “visa” in a manner that mirrors the actual meaning of the word, and that this precluded any blurring claim.</w:t>
      </w:r>
      <w:r w:rsidR="0096524F" w:rsidRPr="0096524F">
        <w:rPr>
          <w:vertAlign w:val="superscript"/>
        </w:rPr>
        <w:footnoteReference w:id="254"/>
      </w:r>
      <w:r w:rsidRPr="0096524F">
        <w:t xml:space="preserve"> Although it acknowledged that such a use can make a blurring claim weaker, the Ninth Circuit affirmed the conclusion of likelihood of blurring in this case</w:t>
      </w:r>
      <w:r w:rsidR="0096524F" w:rsidRPr="0096524F">
        <w:t>.</w:t>
      </w:r>
      <w:r w:rsidR="0096524F" w:rsidRPr="0096524F">
        <w:t xml:space="preserve"> </w:t>
      </w:r>
      <w:r w:rsidR="0096524F" w:rsidRPr="0096524F">
        <w:t>T</w:t>
      </w:r>
      <w:r w:rsidRPr="0096524F">
        <w:t>he court emphasized two key distinctions between this case and others</w:t>
      </w:r>
      <w:r w:rsidR="0096524F" w:rsidRPr="0096524F">
        <w:t>.</w:t>
      </w:r>
      <w:r w:rsidR="0096524F" w:rsidRPr="0096524F">
        <w:t xml:space="preserve"> </w:t>
      </w:r>
      <w:r w:rsidR="0096524F" w:rsidRPr="0096524F">
        <w:t>F</w:t>
      </w:r>
      <w:r w:rsidRPr="0096524F">
        <w:t xml:space="preserve">irst, JSL was using the word </w:t>
      </w:r>
      <w:proofErr w:type="spellStart"/>
      <w:r w:rsidRPr="0096524F">
        <w:t>eVISA</w:t>
      </w:r>
      <w:proofErr w:type="spellEnd"/>
      <w:r w:rsidRPr="0096524F">
        <w:t xml:space="preserve"> as a trademark, not simply as a common English word.</w:t>
      </w:r>
      <w:r w:rsidR="0096524F" w:rsidRPr="0096524F">
        <w:rPr>
          <w:vertAlign w:val="superscript"/>
        </w:rPr>
        <w:footnoteReference w:id="255"/>
      </w:r>
      <w:r w:rsidRPr="0096524F">
        <w:t xml:space="preserve"> Second, Visa International’s Visa mark did not use the word in a manner that strongly evoked its common English meaning.</w:t>
      </w:r>
      <w:r w:rsidR="0096524F" w:rsidRPr="0096524F">
        <w:rPr>
          <w:vertAlign w:val="superscript"/>
        </w:rPr>
        <w:footnoteReference w:id="256"/>
      </w:r>
      <w:r w:rsidRPr="0096524F">
        <w:t xml:space="preserve"> The plaintiff’s use, therefore, allowed its mark to be considered very distinctive (as well as famous)</w:t>
      </w:r>
      <w:r w:rsidR="0096524F" w:rsidRPr="0096524F">
        <w:t>.</w:t>
      </w:r>
      <w:r w:rsidR="0096524F" w:rsidRPr="0096524F">
        <w:t xml:space="preserve"> </w:t>
      </w:r>
      <w:r w:rsidR="0096524F" w:rsidRPr="0096524F">
        <w:t>T</w:t>
      </w:r>
      <w:r w:rsidRPr="0096524F">
        <w:t>he court also noted that the two marks were “effectively identical,” citing case law to the effect that identical marks lead to a presumption of dilution,</w:t>
      </w:r>
      <w:r w:rsidR="0096524F" w:rsidRPr="0096524F">
        <w:rPr>
          <w:vertAlign w:val="superscript"/>
        </w:rPr>
        <w:footnoteReference w:id="257"/>
      </w:r>
      <w:r w:rsidRPr="0096524F">
        <w:t xml:space="preserve"> and, in an important gloss on the TDRA factors, stated that empirical evidence of likely dilution is not needed.</w:t>
      </w:r>
      <w:r w:rsidR="0096524F" w:rsidRPr="0096524F">
        <w:rPr>
          <w:vertAlign w:val="superscript"/>
        </w:rPr>
        <w:footnoteReference w:id="258"/>
      </w:r>
      <w:r w:rsidRPr="0096524F">
        <w:t xml:space="preserve"> The court concluded that the defendant’s trademark use of the word was deemed likely to diminish the distinctiveness of the trademark value of the Visa word mark.</w:t>
      </w:r>
      <w:r w:rsidR="0096524F" w:rsidRPr="0096524F">
        <w:rPr>
          <w:vertAlign w:val="superscript"/>
        </w:rPr>
        <w:footnoteReference w:id="259"/>
      </w:r>
    </w:p>
    <w:p w14:paraId="373972A1" w14:textId="4015D43D" w:rsidR="0096524F" w:rsidRPr="0096524F" w:rsidRDefault="00A60ADB" w:rsidP="0096524F">
      <w:pPr>
        <w:pStyle w:val="BNormal"/>
      </w:pPr>
      <w:r w:rsidRPr="0096524F">
        <w:t xml:space="preserve">Like </w:t>
      </w:r>
      <w:r w:rsidR="0096524F" w:rsidRPr="0096524F">
        <w:rPr>
          <w:i/>
        </w:rPr>
        <w:t>Visa International</w:t>
      </w:r>
      <w:r w:rsidRPr="0096524F">
        <w:t xml:space="preserve">, the case of </w:t>
      </w:r>
      <w:r w:rsidR="0096524F" w:rsidRPr="0096524F">
        <w:rPr>
          <w:rStyle w:val="BCasenamefull"/>
        </w:rPr>
        <w:t>Rolex Watch U.S.A., Inc. v. Rolex Deli Corp.</w:t>
      </w:r>
      <w:r w:rsidR="0096524F" w:rsidRPr="0096524F">
        <w:rPr>
          <w:vertAlign w:val="superscript"/>
        </w:rPr>
        <w:footnoteReference w:id="260"/>
      </w:r>
      <w:r w:rsidRPr="0096524F">
        <w:t xml:space="preserve"> involved an unauthorized use of an identical mark (Rolex)</w:t>
      </w:r>
      <w:r w:rsidR="0096524F" w:rsidRPr="0096524F">
        <w:t>.</w:t>
      </w:r>
      <w:r w:rsidR="0096524F" w:rsidRPr="0096524F">
        <w:t xml:space="preserve"> </w:t>
      </w:r>
      <w:r w:rsidR="0096524F" w:rsidRPr="0096524F">
        <w:t>R</w:t>
      </w:r>
      <w:r w:rsidRPr="0096524F">
        <w:t>elying largely on the identity of the marks, the court found dilution by blurring.</w:t>
      </w:r>
      <w:r w:rsidR="0096524F" w:rsidRPr="0096524F">
        <w:rPr>
          <w:vertAlign w:val="superscript"/>
        </w:rPr>
        <w:footnoteReference w:id="261"/>
      </w:r>
      <w:r w:rsidRPr="0096524F">
        <w:t xml:space="preserve"> In </w:t>
      </w:r>
      <w:r w:rsidR="0096524F" w:rsidRPr="0096524F">
        <w:rPr>
          <w:rStyle w:val="BCasenamefull"/>
        </w:rPr>
        <w:t xml:space="preserve">RE/MAX, LLC v. Shenzhen </w:t>
      </w:r>
      <w:proofErr w:type="spellStart"/>
      <w:r w:rsidR="0096524F" w:rsidRPr="0096524F">
        <w:rPr>
          <w:rStyle w:val="BCasenamefull"/>
        </w:rPr>
        <w:t>Remax</w:t>
      </w:r>
      <w:proofErr w:type="spellEnd"/>
      <w:r w:rsidR="0096524F" w:rsidRPr="0096524F">
        <w:rPr>
          <w:rStyle w:val="BCasenamefull"/>
        </w:rPr>
        <w:t xml:space="preserve"> Co.</w:t>
      </w:r>
      <w:r w:rsidRPr="0096524F">
        <w:t>,</w:t>
      </w:r>
      <w:r w:rsidR="0096524F" w:rsidRPr="0096524F">
        <w:rPr>
          <w:vertAlign w:val="superscript"/>
        </w:rPr>
        <w:footnoteReference w:id="262"/>
      </w:r>
      <w:r w:rsidRPr="0096524F">
        <w:t xml:space="preserve"> a magistrate judge found likely dilution by blurring, based in large part on the identity of the marks, as well as RE/MAX’s active policing of the mark, which the court found supported exclusivity of use.</w:t>
      </w:r>
      <w:r w:rsidR="0096524F" w:rsidRPr="0096524F">
        <w:rPr>
          <w:vertAlign w:val="superscript"/>
        </w:rPr>
        <w:footnoteReference w:id="263"/>
      </w:r>
      <w:r w:rsidRPr="0096524F">
        <w:t xml:space="preserve"> These factors were found to overcome a lack of intent to associate or evidence of actual association.</w:t>
      </w:r>
      <w:r w:rsidR="0096524F" w:rsidRPr="0096524F">
        <w:rPr>
          <w:vertAlign w:val="superscript"/>
        </w:rPr>
        <w:footnoteReference w:id="264"/>
      </w:r>
      <w:r w:rsidRPr="0096524F">
        <w:t xml:space="preserve"> In </w:t>
      </w:r>
      <w:r w:rsidR="0096524F" w:rsidRPr="0096524F">
        <w:rPr>
          <w:rStyle w:val="BCasenamefull"/>
        </w:rPr>
        <w:t>Juul Labs, Inc. v. Unincorporated Associations Identified in Schedule A</w:t>
      </w:r>
      <w:r w:rsidRPr="0096524F">
        <w:t>,</w:t>
      </w:r>
      <w:r w:rsidR="0096524F" w:rsidRPr="0096524F">
        <w:rPr>
          <w:vertAlign w:val="superscript"/>
        </w:rPr>
        <w:footnoteReference w:id="265"/>
      </w:r>
      <w:r w:rsidRPr="0096524F">
        <w:t xml:space="preserve"> the court determined that using a counterfeit mark constituted dilution “as a matter of law.”</w:t>
      </w:r>
      <w:r w:rsidR="0096524F" w:rsidRPr="0096524F">
        <w:rPr>
          <w:vertAlign w:val="superscript"/>
        </w:rPr>
        <w:footnoteReference w:id="266"/>
      </w:r>
      <w:r w:rsidRPr="0096524F">
        <w:t xml:space="preserve"> In </w:t>
      </w:r>
      <w:r w:rsidR="0096524F" w:rsidRPr="0096524F">
        <w:rPr>
          <w:rStyle w:val="BCasenamefull"/>
        </w:rPr>
        <w:t>H-D U.S.A., LLC v. Square Wear, LLC</w:t>
      </w:r>
      <w:r w:rsidRPr="0096524F">
        <w:t>,</w:t>
      </w:r>
      <w:r w:rsidR="0096524F" w:rsidRPr="0096524F">
        <w:rPr>
          <w:vertAlign w:val="superscript"/>
        </w:rPr>
        <w:footnoteReference w:id="267"/>
      </w:r>
      <w:r w:rsidRPr="0096524F">
        <w:t xml:space="preserve"> the court issued a preliminary injunction on blurring (and </w:t>
      </w:r>
      <w:proofErr w:type="spellStart"/>
      <w:r w:rsidRPr="0096524F">
        <w:t>tarnishment</w:t>
      </w:r>
      <w:proofErr w:type="spellEnd"/>
      <w:r w:rsidRPr="0096524F">
        <w:t xml:space="preserve">) grounds based on </w:t>
      </w:r>
      <w:r w:rsidRPr="0096524F">
        <w:lastRenderedPageBreak/>
        <w:t>defendant’s unauthorized sale of merchandise with plaintiff’s Harley-Davidson marks.</w:t>
      </w:r>
      <w:r w:rsidR="0096524F" w:rsidRPr="0096524F">
        <w:rPr>
          <w:vertAlign w:val="superscript"/>
        </w:rPr>
        <w:footnoteReference w:id="268"/>
      </w:r>
      <w:r w:rsidRPr="0096524F">
        <w:t xml:space="preserve"> In </w:t>
      </w:r>
      <w:r w:rsidR="0096524F" w:rsidRPr="0096524F">
        <w:rPr>
          <w:rStyle w:val="BCasenamefull"/>
        </w:rPr>
        <w:t>Hallmark Licensing LLC v. Dickens, Inc</w:t>
      </w:r>
      <w:r w:rsidRPr="0096524F">
        <w:t>.,</w:t>
      </w:r>
      <w:r w:rsidR="0096524F" w:rsidRPr="0096524F">
        <w:rPr>
          <w:vertAlign w:val="superscript"/>
        </w:rPr>
        <w:footnoteReference w:id="269"/>
      </w:r>
      <w:r w:rsidRPr="0096524F">
        <w:t xml:space="preserve"> a magistrate judge found blurring through the unauthorized distribution of outdated counter cards, though without analyzing how this could harm the distinctiveness of the mark.</w:t>
      </w:r>
      <w:r w:rsidR="0096524F" w:rsidRPr="0096524F">
        <w:rPr>
          <w:vertAlign w:val="superscript"/>
        </w:rPr>
        <w:footnoteReference w:id="270"/>
      </w:r>
      <w:r w:rsidR="0096524F" w:rsidRPr="0096524F">
        <w:t xml:space="preserve"> </w:t>
      </w:r>
      <w:r w:rsidRPr="0096524F">
        <w:t xml:space="preserve">In </w:t>
      </w:r>
      <w:r w:rsidR="0096524F" w:rsidRPr="0096524F">
        <w:rPr>
          <w:rStyle w:val="BCasenamefull"/>
        </w:rPr>
        <w:t>Patagonia, Inc. v. TP Apparel, LLC,</w:t>
      </w:r>
      <w:r w:rsidRPr="0096524F">
        <w:t xml:space="preserve"> the court found dilution by blurring (in a default situation) where defendant used parodies of plaintiff’s Patagonia mark, without any real examination of harm to the distinctiveness of the mark (though this may be the result of accepting plaintiff’s allegations in its complaint).</w:t>
      </w:r>
      <w:r w:rsidR="0096524F" w:rsidRPr="0096524F">
        <w:rPr>
          <w:vertAlign w:val="superscript"/>
        </w:rPr>
        <w:footnoteReference w:id="271"/>
      </w:r>
    </w:p>
    <w:p w14:paraId="47E8BC30" w14:textId="705DD51F" w:rsidR="0096524F" w:rsidRPr="0096524F" w:rsidRDefault="00A60ADB" w:rsidP="0096524F">
      <w:pPr>
        <w:pStyle w:val="BNormal"/>
      </w:pPr>
      <w:r w:rsidRPr="0096524F">
        <w:t xml:space="preserve">In </w:t>
      </w:r>
      <w:r w:rsidR="0096524F" w:rsidRPr="0096524F">
        <w:rPr>
          <w:rStyle w:val="BCasenamefull"/>
        </w:rPr>
        <w:t>Lorillard Tobacco Co. v. California Imports, Ltd.</w:t>
      </w:r>
      <w:r w:rsidRPr="0096524F">
        <w:t>,</w:t>
      </w:r>
      <w:r w:rsidR="0096524F" w:rsidRPr="0096524F">
        <w:rPr>
          <w:vertAlign w:val="superscript"/>
        </w:rPr>
        <w:footnoteReference w:id="272"/>
      </w:r>
      <w:r w:rsidRPr="0096524F">
        <w:t xml:space="preserve"> the court found dilution by blurring based on the high degree of similarity between the marks (Newport and </w:t>
      </w:r>
      <w:proofErr w:type="spellStart"/>
      <w:r w:rsidRPr="0096524F">
        <w:t>Newprot</w:t>
      </w:r>
      <w:proofErr w:type="spellEnd"/>
      <w:r w:rsidRPr="0096524F">
        <w:t>), an inference of intent to trade on plaintiff’s reputation based on the similarity of the products, and evidence that the defendants were concerned about possible association between the two marks.</w:t>
      </w:r>
      <w:r w:rsidR="0096524F" w:rsidRPr="0096524F">
        <w:rPr>
          <w:vertAlign w:val="superscript"/>
        </w:rPr>
        <w:footnoteReference w:id="273"/>
      </w:r>
    </w:p>
    <w:p w14:paraId="7777D13D" w14:textId="45A2B59F" w:rsidR="0096524F" w:rsidRPr="0096524F" w:rsidRDefault="00A60ADB" w:rsidP="0096524F">
      <w:pPr>
        <w:pStyle w:val="BNormal"/>
      </w:pPr>
      <w:r w:rsidRPr="0096524F">
        <w:t xml:space="preserve">In a case involving trade dress dilution, the District of Oregon found that the design of certain Skechers sneakers diluted both the adidas “Three </w:t>
      </w:r>
      <w:proofErr w:type="spellStart"/>
      <w:r w:rsidRPr="0096524F">
        <w:t>Stripes</w:t>
      </w:r>
      <w:proofErr w:type="spellEnd"/>
      <w:r w:rsidRPr="0096524F">
        <w:t>” mark and the design of adidas’s “Stan Smith” line of sneakers.</w:t>
      </w:r>
      <w:r w:rsidR="0096524F" w:rsidRPr="0096524F">
        <w:rPr>
          <w:vertAlign w:val="superscript"/>
        </w:rPr>
        <w:footnoteReference w:id="274"/>
      </w:r>
      <w:r w:rsidRPr="0096524F">
        <w:t xml:space="preserve"> (Stan Smith, for the uninitiated, was a famous U.S</w:t>
      </w:r>
      <w:r w:rsidR="0096524F" w:rsidRPr="0096524F">
        <w:t>.</w:t>
      </w:r>
      <w:r w:rsidR="0096524F" w:rsidRPr="0096524F">
        <w:t xml:space="preserve"> </w:t>
      </w:r>
      <w:r w:rsidR="0096524F" w:rsidRPr="0096524F">
        <w:t>t</w:t>
      </w:r>
      <w:r w:rsidRPr="0096524F">
        <w:t>ennis player in the 1970s.) The court found that the “striking similarity” between Skechers’ uses of stripes and the adidas mark, as well as the similarities between the look of the Skechers sneaker and that of adidas, indicated that Skechers intended to create an association with the adidas marks</w:t>
      </w:r>
      <w:r w:rsidR="0096524F" w:rsidRPr="0096524F">
        <w:t>.</w:t>
      </w:r>
      <w:r w:rsidR="0096524F" w:rsidRPr="0096524F">
        <w:t xml:space="preserve"> </w:t>
      </w:r>
      <w:r w:rsidR="0096524F" w:rsidRPr="0096524F">
        <w:t>I</w:t>
      </w:r>
      <w:r w:rsidRPr="0096524F">
        <w:t>n addition, the court found that a confusion survey could also be used to show association between the marks.</w:t>
      </w:r>
      <w:r w:rsidR="0096524F" w:rsidRPr="0096524F">
        <w:rPr>
          <w:vertAlign w:val="superscript"/>
        </w:rPr>
        <w:footnoteReference w:id="275"/>
      </w:r>
      <w:r w:rsidRPr="0096524F">
        <w:t xml:space="preserve"> On appeal, the Ninth Circuit upheld the District Court’s ruling on dilution with a rather cursory analysis that largely relied on its analysis of confusion.</w:t>
      </w:r>
      <w:r w:rsidR="0096524F" w:rsidRPr="0096524F">
        <w:rPr>
          <w:vertAlign w:val="superscript"/>
        </w:rPr>
        <w:footnoteReference w:id="276"/>
      </w:r>
      <w:r w:rsidRPr="0096524F">
        <w:t xml:space="preserve"> It is perhaps revealing that the Ninth Circuit noted the “substantial overlap” between the statutory dilution factors and the confusion factors used in the Ninth Circuit.</w:t>
      </w:r>
      <w:r w:rsidR="0096524F" w:rsidRPr="0096524F">
        <w:rPr>
          <w:vertAlign w:val="superscript"/>
        </w:rPr>
        <w:footnoteReference w:id="277"/>
      </w:r>
    </w:p>
    <w:p w14:paraId="6AC186D8" w14:textId="30717CD8" w:rsidR="0096524F" w:rsidRPr="0096524F" w:rsidRDefault="00A60ADB" w:rsidP="0096524F">
      <w:pPr>
        <w:pStyle w:val="BNormal"/>
      </w:pPr>
      <w:r w:rsidRPr="0096524F">
        <w:t>In another trade dress case, the Western District of Kentucky found that the green and yellow colors of John Deere farm equipment was diluted by defendant’s use of very similar colors on its farm equipment.</w:t>
      </w:r>
      <w:r w:rsidR="0096524F" w:rsidRPr="0096524F">
        <w:rPr>
          <w:vertAlign w:val="superscript"/>
        </w:rPr>
        <w:footnoteReference w:id="278"/>
      </w:r>
      <w:r w:rsidRPr="0096524F">
        <w:t xml:space="preserve"> The court found that all of the factors favored a finding of dilution.</w:t>
      </w:r>
      <w:r w:rsidR="0096524F" w:rsidRPr="0096524F">
        <w:rPr>
          <w:vertAlign w:val="superscript"/>
        </w:rPr>
        <w:footnoteReference w:id="279"/>
      </w:r>
      <w:r w:rsidRPr="0096524F">
        <w:t xml:space="preserve"> In particular, it found a high degree of similarity </w:t>
      </w:r>
      <w:r w:rsidRPr="0096524F">
        <w:lastRenderedPageBreak/>
        <w:t>between the uses, that Deere was essentially the exclusive user of those colors on farm equipment, that there was a high degree of recognition of Deere’s marks, that there was an intent to create an association, and that there was evidence of actual association (the latter based on surveys showing 38 percent and 43 percent association).</w:t>
      </w:r>
      <w:r w:rsidR="0096524F" w:rsidRPr="0096524F">
        <w:rPr>
          <w:vertAlign w:val="superscript"/>
        </w:rPr>
        <w:footnoteReference w:id="280"/>
      </w:r>
      <w:r w:rsidRPr="0096524F">
        <w:t xml:space="preserve"> The court did not reassess the findings concerning the factors in light of the definition of dilution by blurring (i.e., likely harm to the distinctiveness of the mark), resting its decision on the strength of the factors analysis.</w:t>
      </w:r>
      <w:r w:rsidR="0096524F" w:rsidRPr="0096524F">
        <w:rPr>
          <w:vertAlign w:val="superscript"/>
        </w:rPr>
        <w:footnoteReference w:id="281"/>
      </w:r>
    </w:p>
    <w:p w14:paraId="5ECFBE30" w14:textId="33FC9B33" w:rsidR="0096524F" w:rsidRPr="0096524F" w:rsidRDefault="00A60ADB" w:rsidP="0096524F">
      <w:pPr>
        <w:pStyle w:val="BNormal"/>
      </w:pPr>
      <w:r w:rsidRPr="0096524F">
        <w:t>In a somewhat unique case, a district court granted summary judgment to Louis Vuitton on a dilution claim against Hyundai, based on the latter’s use of a basketball with a Louis Vuitton-like mark on it in a Hyundai commercial.</w:t>
      </w:r>
      <w:r w:rsidR="0096524F" w:rsidRPr="0096524F">
        <w:rPr>
          <w:vertAlign w:val="superscript"/>
        </w:rPr>
        <w:footnoteReference w:id="282"/>
      </w:r>
      <w:r w:rsidRPr="0096524F">
        <w:t xml:space="preserve"> The court found that all six factors favored blurring.</w:t>
      </w:r>
      <w:r w:rsidR="0096524F" w:rsidRPr="0096524F">
        <w:rPr>
          <w:vertAlign w:val="superscript"/>
        </w:rPr>
        <w:footnoteReference w:id="283"/>
      </w:r>
      <w:r w:rsidRPr="0096524F">
        <w:t xml:space="preserve"> However, unlike the </w:t>
      </w:r>
      <w:r w:rsidR="0096524F" w:rsidRPr="0096524F">
        <w:rPr>
          <w:i/>
        </w:rPr>
        <w:t>G</w:t>
      </w:r>
      <w:r w:rsidRPr="0096524F">
        <w:t>.</w:t>
      </w:r>
      <w:r w:rsidR="0096524F" w:rsidRPr="0096524F">
        <w:rPr>
          <w:i/>
        </w:rPr>
        <w:t>A</w:t>
      </w:r>
      <w:r w:rsidRPr="0096524F">
        <w:t>.</w:t>
      </w:r>
      <w:r w:rsidR="0096524F" w:rsidRPr="0096524F">
        <w:rPr>
          <w:i/>
        </w:rPr>
        <w:t>P</w:t>
      </w:r>
      <w:r w:rsidR="0096524F" w:rsidRPr="0096524F">
        <w:t>.</w:t>
      </w:r>
      <w:r w:rsidR="0096524F" w:rsidRPr="0096524F">
        <w:t xml:space="preserve"> </w:t>
      </w:r>
      <w:r w:rsidR="0096524F" w:rsidRPr="0096524F">
        <w:rPr>
          <w:i/>
        </w:rPr>
        <w:t>Adventures</w:t>
      </w:r>
      <w:r w:rsidRPr="0096524F">
        <w:t xml:space="preserve"> case discussed above, the court made no attempt to ascertain whether there was any real likelihood of harm to the distinctiveness of the mark</w:t>
      </w:r>
      <w:r w:rsidR="0096524F" w:rsidRPr="0096524F">
        <w:t>.</w:t>
      </w:r>
      <w:r w:rsidR="0096524F" w:rsidRPr="0096524F">
        <w:t xml:space="preserve"> </w:t>
      </w:r>
      <w:r w:rsidR="0096524F" w:rsidRPr="0096524F">
        <w:t>H</w:t>
      </w:r>
      <w:r w:rsidRPr="0096524F">
        <w:t>yundai essentially conceded that it used the Vuitton mark to raise Hyundai’s brand status</w:t>
      </w:r>
      <w:r w:rsidR="0096524F" w:rsidRPr="0096524F">
        <w:t>.</w:t>
      </w:r>
      <w:r w:rsidR="0096524F" w:rsidRPr="0096524F">
        <w:t xml:space="preserve"> </w:t>
      </w:r>
      <w:r w:rsidR="0096524F" w:rsidRPr="0096524F">
        <w:t>H</w:t>
      </w:r>
      <w:r w:rsidRPr="0096524F">
        <w:t xml:space="preserve">owever, it is unclear how this would impair Vuitton’s </w:t>
      </w:r>
      <w:r w:rsidR="0096524F" w:rsidRPr="0096524F">
        <w:rPr>
          <w:i/>
        </w:rPr>
        <w:t>distinctiveness</w:t>
      </w:r>
      <w:r w:rsidR="0096524F" w:rsidRPr="0096524F">
        <w:t>;</w:t>
      </w:r>
      <w:r w:rsidR="0096524F" w:rsidRPr="0096524F">
        <w:t xml:space="preserve"> </w:t>
      </w:r>
      <w:r w:rsidR="0096524F" w:rsidRPr="0096524F">
        <w:t>H</w:t>
      </w:r>
      <w:r w:rsidRPr="0096524F">
        <w:t>yundai was counting on this distinctiveness and continued brand awareness to raise its own image</w:t>
      </w:r>
      <w:r w:rsidR="0096524F" w:rsidRPr="0096524F">
        <w:t>.</w:t>
      </w:r>
      <w:r w:rsidR="0096524F" w:rsidRPr="0096524F">
        <w:t xml:space="preserve"> </w:t>
      </w:r>
      <w:r w:rsidR="0096524F" w:rsidRPr="0096524F">
        <w:t>T</w:t>
      </w:r>
      <w:r w:rsidRPr="0096524F">
        <w:t>hus, the case appears to be one of free riding, not impairment of distinctiveness.</w:t>
      </w:r>
      <w:r w:rsidR="0096524F" w:rsidRPr="0096524F">
        <w:rPr>
          <w:vertAlign w:val="superscript"/>
        </w:rPr>
        <w:footnoteReference w:id="284"/>
      </w:r>
      <w:r w:rsidRPr="0096524F">
        <w:t xml:space="preserve"> But free riding is not one of the defined categories of dilution under the TDRA.</w:t>
      </w:r>
      <w:r w:rsidR="0096524F" w:rsidRPr="0096524F">
        <w:rPr>
          <w:vertAlign w:val="superscript"/>
        </w:rPr>
        <w:footnoteReference w:id="285"/>
      </w:r>
    </w:p>
    <w:p w14:paraId="7CD1090F" w14:textId="666E6286" w:rsidR="0096524F" w:rsidRPr="0096524F" w:rsidRDefault="00A60ADB" w:rsidP="0096524F">
      <w:pPr>
        <w:pStyle w:val="BNormal"/>
      </w:pPr>
      <w:r w:rsidRPr="0096524F">
        <w:t>The TTAB has upheld several post-TDRA dilution claims</w:t>
      </w:r>
      <w:r w:rsidR="0096524F" w:rsidRPr="0096524F">
        <w:t>.</w:t>
      </w:r>
      <w:r w:rsidR="0096524F" w:rsidRPr="0096524F">
        <w:t xml:space="preserve"> </w:t>
      </w:r>
      <w:r w:rsidR="0096524F" w:rsidRPr="0096524F">
        <w:t>T</w:t>
      </w:r>
      <w:r w:rsidRPr="0096524F">
        <w:t xml:space="preserve">he first such decision was </w:t>
      </w:r>
      <w:r w:rsidR="0096524F" w:rsidRPr="0096524F">
        <w:rPr>
          <w:i/>
        </w:rPr>
        <w:t>National Pork Board v</w:t>
      </w:r>
      <w:r w:rsidR="0096524F" w:rsidRPr="0096524F">
        <w:t>.</w:t>
      </w:r>
      <w:r w:rsidR="0096524F" w:rsidRPr="0096524F">
        <w:t xml:space="preserve"> </w:t>
      </w:r>
      <w:r w:rsidR="0096524F" w:rsidRPr="0096524F">
        <w:rPr>
          <w:i/>
        </w:rPr>
        <w:t>Supreme Lobster &amp; Seafood Co</w:t>
      </w:r>
      <w:r w:rsidRPr="0096524F">
        <w:t>.,</w:t>
      </w:r>
      <w:r w:rsidR="0096524F" w:rsidRPr="0096524F">
        <w:rPr>
          <w:vertAlign w:val="superscript"/>
        </w:rPr>
        <w:footnoteReference w:id="286"/>
      </w:r>
      <w:r w:rsidRPr="0096524F">
        <w:t xml:space="preserve"> where the TTAB found that the factors of degree of similarity (the marks were “highly similar”), degree of distinctiveness, exclusivity of use, degree of recognition, and intent to create association all favored the opposer</w:t>
      </w:r>
      <w:r w:rsidR="0096524F" w:rsidRPr="0096524F">
        <w:t>.</w:t>
      </w:r>
      <w:r w:rsidR="0096524F" w:rsidRPr="0096524F">
        <w:t xml:space="preserve"> </w:t>
      </w:r>
      <w:r w:rsidR="0096524F" w:rsidRPr="0096524F">
        <w:t>W</w:t>
      </w:r>
      <w:r w:rsidRPr="0096524F">
        <w:t xml:space="preserve">ith regard to degree of distinctiveness, the TTAB primarily examined </w:t>
      </w:r>
      <w:r w:rsidR="0096524F" w:rsidRPr="0096524F">
        <w:rPr>
          <w:i/>
        </w:rPr>
        <w:t>inherent</w:t>
      </w:r>
      <w:r w:rsidRPr="0096524F">
        <w:t xml:space="preserve"> distinctiveness, finding the mark The Other White Meat to be presumptively inherently distinctive, due to its registration without showing secondary meaning, and finding the mark to be suggestive.</w:t>
      </w:r>
      <w:r w:rsidR="0096524F" w:rsidRPr="0096524F">
        <w:rPr>
          <w:vertAlign w:val="superscript"/>
        </w:rPr>
        <w:footnoteReference w:id="287"/>
      </w:r>
      <w:r w:rsidRPr="0096524F">
        <w:t xml:space="preserve"> As to degree of recognition, the TTAB cited numerous pieces of evidence, including a recognition study that showed a very high degree of recognition—greater than almost all other slogans.</w:t>
      </w:r>
      <w:r w:rsidR="0096524F" w:rsidRPr="0096524F">
        <w:rPr>
          <w:vertAlign w:val="superscript"/>
        </w:rPr>
        <w:footnoteReference w:id="288"/>
      </w:r>
      <w:r w:rsidRPr="0096524F">
        <w:t xml:space="preserve"> With regard to intent to create an association, the TTAB was skeptical of the applicant’s testimony that it did not consider opposer’s slogan when creating its own slogan (The Other Red Meat, used for salmon), given the high degree of recognition of opposer’s slogan.</w:t>
      </w:r>
      <w:r w:rsidR="0096524F" w:rsidRPr="0096524F">
        <w:rPr>
          <w:vertAlign w:val="superscript"/>
        </w:rPr>
        <w:footnoteReference w:id="289"/>
      </w:r>
      <w:r w:rsidRPr="0096524F">
        <w:t xml:space="preserve"> On the other hand, the TTAB did not find bad faith, concluding that applicant may have believed that creating an association was permissible.</w:t>
      </w:r>
      <w:r w:rsidR="0096524F" w:rsidRPr="0096524F">
        <w:rPr>
          <w:vertAlign w:val="superscript"/>
        </w:rPr>
        <w:footnoteReference w:id="290"/>
      </w:r>
      <w:r w:rsidRPr="0096524F">
        <w:t xml:space="preserve"> Nevertheless, this factor counted in favor of dilution</w:t>
      </w:r>
      <w:r w:rsidR="0096524F" w:rsidRPr="0096524F">
        <w:t>.</w:t>
      </w:r>
      <w:r w:rsidR="0096524F" w:rsidRPr="0096524F">
        <w:t xml:space="preserve"> </w:t>
      </w:r>
      <w:r w:rsidR="0096524F" w:rsidRPr="0096524F">
        <w:t>I</w:t>
      </w:r>
      <w:r w:rsidRPr="0096524F">
        <w:t>nterestingly, the TTAB found the factor of actual association to be neutral, even in the face of a survey (which the TTAB found valid) that showed possible association</w:t>
      </w:r>
      <w:r w:rsidR="0096524F" w:rsidRPr="0096524F">
        <w:t>.</w:t>
      </w:r>
      <w:r w:rsidR="0096524F" w:rsidRPr="0096524F">
        <w:t xml:space="preserve"> </w:t>
      </w:r>
      <w:r w:rsidR="0096524F" w:rsidRPr="0096524F">
        <w:t>T</w:t>
      </w:r>
      <w:r w:rsidRPr="0096524F">
        <w:t xml:space="preserve">he TTAB took a </w:t>
      </w:r>
      <w:r w:rsidRPr="0096524F">
        <w:lastRenderedPageBreak/>
        <w:t>narrow view of “actual” association, stating that such a finding was not possible where applicant had not yet used its slogan in commerce.</w:t>
      </w:r>
      <w:r w:rsidR="0096524F" w:rsidRPr="0096524F">
        <w:rPr>
          <w:vertAlign w:val="superscript"/>
        </w:rPr>
        <w:footnoteReference w:id="291"/>
      </w:r>
      <w:r w:rsidRPr="0096524F">
        <w:t xml:space="preserve"> Although the TTAB upheld the dilution claim, it did not specifically explain whether its analysis led to the conclusion that there was a likelihood of a change in the perception of The Other White Meat slogan.</w:t>
      </w:r>
    </w:p>
    <w:p w14:paraId="3ABE0FCC" w14:textId="4922C5A4" w:rsidR="0096524F" w:rsidRPr="0096524F" w:rsidRDefault="00A60ADB" w:rsidP="0096524F">
      <w:pPr>
        <w:pStyle w:val="BNormal"/>
      </w:pPr>
      <w:r w:rsidRPr="0096524F">
        <w:t xml:space="preserve">In </w:t>
      </w:r>
      <w:r w:rsidR="0096524F" w:rsidRPr="0096524F">
        <w:rPr>
          <w:i/>
        </w:rPr>
        <w:t>Nike,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Maher</w:t>
      </w:r>
      <w:r w:rsidRPr="0096524F">
        <w:t>,</w:t>
      </w:r>
      <w:r w:rsidR="0096524F" w:rsidRPr="0096524F">
        <w:rPr>
          <w:vertAlign w:val="superscript"/>
        </w:rPr>
        <w:footnoteReference w:id="292"/>
      </w:r>
      <w:r w:rsidRPr="0096524F">
        <w:t xml:space="preserve"> Nike opposed an application to register Just Jesu It for clothing, based on Nike’s Just Do It mark</w:t>
      </w:r>
      <w:r w:rsidR="0096524F" w:rsidRPr="0096524F">
        <w:t>.</w:t>
      </w:r>
      <w:r w:rsidR="0096524F" w:rsidRPr="0096524F">
        <w:t xml:space="preserve"> </w:t>
      </w:r>
      <w:r w:rsidR="0096524F" w:rsidRPr="0096524F">
        <w:t>A</w:t>
      </w:r>
      <w:r w:rsidRPr="0096524F">
        <w:t>fter finding Nike’s mark to be famous, the Board turned to dilution by blurring.</w:t>
      </w:r>
      <w:r w:rsidR="0096524F" w:rsidRPr="0096524F">
        <w:rPr>
          <w:vertAlign w:val="superscript"/>
        </w:rPr>
        <w:footnoteReference w:id="293"/>
      </w:r>
      <w:r w:rsidRPr="0096524F">
        <w:t xml:space="preserve"> The second through fourth factors (distinctiveness, exclusive use, and recognition) easily favored Nike.</w:t>
      </w:r>
      <w:r w:rsidR="0096524F" w:rsidRPr="0096524F">
        <w:rPr>
          <w:vertAlign w:val="superscript"/>
        </w:rPr>
        <w:footnoteReference w:id="294"/>
      </w:r>
      <w:r w:rsidRPr="0096524F">
        <w:t xml:space="preserve"> As to similarity, the Board noted that it had found the marks similar for confusion purposes, and that it believed the applicant’s mark would “conjure up” the Nike mark.</w:t>
      </w:r>
      <w:r w:rsidR="0096524F" w:rsidRPr="0096524F">
        <w:rPr>
          <w:vertAlign w:val="superscript"/>
        </w:rPr>
        <w:footnoteReference w:id="295"/>
      </w:r>
      <w:r w:rsidRPr="0096524F">
        <w:t xml:space="preserve"> There was no evidence of intent to create an association (mere knowledge of the Nike mark was not enough), nor any evidence of actual association (the mark was not yet in use).</w:t>
      </w:r>
      <w:r w:rsidR="0096524F" w:rsidRPr="0096524F">
        <w:rPr>
          <w:vertAlign w:val="superscript"/>
        </w:rPr>
        <w:footnoteReference w:id="296"/>
      </w:r>
      <w:r w:rsidRPr="0096524F">
        <w:t xml:space="preserve"> The TTAB then considered three other non-listed factors</w:t>
      </w:r>
      <w:r w:rsidR="0096524F" w:rsidRPr="0096524F">
        <w:t>:</w:t>
      </w:r>
      <w:r w:rsidR="0096524F" w:rsidRPr="0096524F">
        <w:t xml:space="preserve"> </w:t>
      </w:r>
      <w:r w:rsidR="0096524F" w:rsidRPr="0096524F">
        <w:t>t</w:t>
      </w:r>
      <w:r w:rsidRPr="0096524F">
        <w:t>he size of applicant’s business, parody, and relatedness of goods.</w:t>
      </w:r>
      <w:r w:rsidR="0096524F" w:rsidRPr="0096524F">
        <w:rPr>
          <w:vertAlign w:val="superscript"/>
        </w:rPr>
        <w:footnoteReference w:id="297"/>
      </w:r>
      <w:r w:rsidRPr="0096524F">
        <w:t xml:space="preserve"> It indicated that business size was not truly relevant to whether dilution could occur.</w:t>
      </w:r>
      <w:r w:rsidR="0096524F" w:rsidRPr="0096524F">
        <w:rPr>
          <w:vertAlign w:val="superscript"/>
        </w:rPr>
        <w:footnoteReference w:id="298"/>
      </w:r>
      <w:r w:rsidRPr="0096524F">
        <w:t xml:space="preserve"> It rejected a parody claim, noting that applicant did not intend to comment on </w:t>
      </w:r>
      <w:r w:rsidR="0096524F" w:rsidRPr="0096524F">
        <w:rPr>
          <w:i/>
        </w:rPr>
        <w:t>opposer’s</w:t>
      </w:r>
      <w:r w:rsidRPr="0096524F">
        <w:t xml:space="preserve"> goods or services.</w:t>
      </w:r>
      <w:r w:rsidR="0096524F" w:rsidRPr="0096524F">
        <w:rPr>
          <w:vertAlign w:val="superscript"/>
        </w:rPr>
        <w:footnoteReference w:id="299"/>
      </w:r>
      <w:r w:rsidRPr="0096524F">
        <w:t xml:space="preserve"> And it viewed relatedness of goods as </w:t>
      </w:r>
      <w:r w:rsidR="0096524F" w:rsidRPr="0096524F">
        <w:rPr>
          <w:i/>
        </w:rPr>
        <w:t>favoring</w:t>
      </w:r>
      <w:r w:rsidRPr="0096524F">
        <w:t xml:space="preserve"> dilution—thus implying that confusion may play a role in dilution.</w:t>
      </w:r>
      <w:r w:rsidR="0096524F" w:rsidRPr="0096524F">
        <w:rPr>
          <w:vertAlign w:val="superscript"/>
        </w:rPr>
        <w:footnoteReference w:id="300"/>
      </w:r>
      <w:r w:rsidRPr="0096524F">
        <w:t xml:space="preserve"> On balance, the Board held that the factors favored a finding of likely dilution.</w:t>
      </w:r>
      <w:r w:rsidR="0096524F" w:rsidRPr="0096524F">
        <w:rPr>
          <w:vertAlign w:val="superscript"/>
        </w:rPr>
        <w:footnoteReference w:id="301"/>
      </w:r>
    </w:p>
    <w:p w14:paraId="0B4E772A" w14:textId="4EA6E3F1" w:rsidR="0096524F" w:rsidRPr="0096524F" w:rsidRDefault="00A60ADB" w:rsidP="0096524F">
      <w:pPr>
        <w:pStyle w:val="BNormal"/>
      </w:pPr>
      <w:r w:rsidRPr="0096524F">
        <w:t xml:space="preserve">In </w:t>
      </w:r>
      <w:r w:rsidR="0096524F" w:rsidRPr="0096524F">
        <w:rPr>
          <w:i/>
        </w:rPr>
        <w:t>UMG Recordings,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Mattel, Inc</w:t>
      </w:r>
      <w:r w:rsidRPr="0096524F">
        <w:t>.,</w:t>
      </w:r>
      <w:r w:rsidR="0096524F" w:rsidRPr="0096524F">
        <w:rPr>
          <w:vertAlign w:val="superscript"/>
        </w:rPr>
        <w:footnoteReference w:id="302"/>
      </w:r>
      <w:r w:rsidRPr="0096524F">
        <w:t xml:space="preserve"> the owner of the Motown mark opposed Mattel’s application to register Motown Metal for toys.</w:t>
      </w:r>
      <w:r w:rsidR="0096524F" w:rsidRPr="0096524F">
        <w:rPr>
          <w:vertAlign w:val="superscript"/>
        </w:rPr>
        <w:footnoteReference w:id="303"/>
      </w:r>
      <w:r w:rsidRPr="0096524F">
        <w:t xml:space="preserve"> In its discussion of blurring, the TTAB found that the first four factors favored the opposer, while the last two (intent and actual association) lacked any supporting evidence.</w:t>
      </w:r>
      <w:r w:rsidR="0096524F" w:rsidRPr="0096524F">
        <w:rPr>
          <w:vertAlign w:val="superscript"/>
        </w:rPr>
        <w:footnoteReference w:id="304"/>
      </w:r>
      <w:r w:rsidRPr="0096524F">
        <w:t xml:space="preserve"> The key factors appeared to be similarity and exclusivity of use</w:t>
      </w:r>
      <w:r w:rsidR="0096524F" w:rsidRPr="0096524F">
        <w:t>.</w:t>
      </w:r>
      <w:r w:rsidR="0096524F" w:rsidRPr="0096524F">
        <w:t xml:space="preserve"> </w:t>
      </w:r>
      <w:r w:rsidR="0096524F" w:rsidRPr="0096524F">
        <w:t>I</w:t>
      </w:r>
      <w:r w:rsidRPr="0096524F">
        <w:t>n a manner not unlike a confusion analysis, the TTAB looked at “appearance, sound, connotation and commercial impression” in its similarity analysis.</w:t>
      </w:r>
      <w:r w:rsidR="0096524F" w:rsidRPr="0096524F">
        <w:rPr>
          <w:vertAlign w:val="superscript"/>
        </w:rPr>
        <w:footnoteReference w:id="305"/>
      </w:r>
      <w:r w:rsidRPr="0096524F">
        <w:t xml:space="preserve"> Motown Metal was found sufficiently similar to conjure up Motown.</w:t>
      </w:r>
      <w:r w:rsidR="0096524F" w:rsidRPr="0096524F">
        <w:rPr>
          <w:vertAlign w:val="superscript"/>
        </w:rPr>
        <w:footnoteReference w:id="306"/>
      </w:r>
      <w:r w:rsidRPr="0096524F">
        <w:t xml:space="preserve"> With regard to exclusivity, the major stumbling block was the frequent use of Motown to refer to the city of Detroit</w:t>
      </w:r>
      <w:r w:rsidR="0096524F" w:rsidRPr="0096524F">
        <w:t>.</w:t>
      </w:r>
      <w:r w:rsidR="0096524F" w:rsidRPr="0096524F">
        <w:t xml:space="preserve"> </w:t>
      </w:r>
      <w:r w:rsidR="0096524F" w:rsidRPr="0096524F">
        <w:t>T</w:t>
      </w:r>
      <w:r w:rsidRPr="0096524F">
        <w:t>he TTAB found such use “insignificant,” and concluded that the opposer had established “substantially exclusive” use of the mark.</w:t>
      </w:r>
      <w:r w:rsidR="0096524F" w:rsidRPr="0096524F">
        <w:rPr>
          <w:vertAlign w:val="superscript"/>
        </w:rPr>
        <w:footnoteReference w:id="307"/>
      </w:r>
      <w:r w:rsidRPr="0096524F">
        <w:t xml:space="preserve"> On balance, the TTAB concluded that there was a likelihood of dilution.</w:t>
      </w:r>
      <w:r w:rsidR="0096524F" w:rsidRPr="0096524F">
        <w:rPr>
          <w:vertAlign w:val="superscript"/>
        </w:rPr>
        <w:footnoteReference w:id="308"/>
      </w:r>
    </w:p>
    <w:p w14:paraId="57F50D17" w14:textId="32074EBA" w:rsidR="0096524F" w:rsidRPr="0096524F" w:rsidRDefault="00A60ADB" w:rsidP="0096524F">
      <w:pPr>
        <w:pStyle w:val="BNormal"/>
      </w:pPr>
      <w:r w:rsidRPr="0096524F">
        <w:t xml:space="preserve">And in </w:t>
      </w:r>
      <w:r w:rsidR="0096524F" w:rsidRPr="0096524F">
        <w:rPr>
          <w:i/>
        </w:rPr>
        <w:t>Research in Motion Ltd</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Defining Presence Marketing Group, Inc</w:t>
      </w:r>
      <w:r w:rsidRPr="0096524F">
        <w:t>.,</w:t>
      </w:r>
      <w:r w:rsidR="0096524F" w:rsidRPr="0096524F">
        <w:rPr>
          <w:vertAlign w:val="superscript"/>
        </w:rPr>
        <w:footnoteReference w:id="309"/>
      </w:r>
      <w:r w:rsidRPr="0096524F">
        <w:t xml:space="preserve"> the TTAB upheld a dilution claim by the maker of BlackBerry mobile phones against an </w:t>
      </w:r>
      <w:r w:rsidRPr="0096524F">
        <w:lastRenderedPageBreak/>
        <w:t xml:space="preserve">application to register </w:t>
      </w:r>
      <w:proofErr w:type="spellStart"/>
      <w:r w:rsidRPr="0096524F">
        <w:t>CrackBerry</w:t>
      </w:r>
      <w:proofErr w:type="spellEnd"/>
      <w:r w:rsidRPr="0096524F">
        <w:t xml:space="preserve"> as a mark for a variety of services, including electronic and mobile phone related services.</w:t>
      </w:r>
      <w:r w:rsidR="0096524F" w:rsidRPr="0096524F">
        <w:rPr>
          <w:vertAlign w:val="superscript"/>
        </w:rPr>
        <w:footnoteReference w:id="310"/>
      </w:r>
      <w:r w:rsidRPr="0096524F">
        <w:t xml:space="preserve"> Regarding the dilution factors, the applicant virtually conceded the main factors, including similarity, relying instead on a parody claim.</w:t>
      </w:r>
      <w:r w:rsidR="0096524F" w:rsidRPr="0096524F">
        <w:rPr>
          <w:vertAlign w:val="superscript"/>
        </w:rPr>
        <w:footnoteReference w:id="311"/>
      </w:r>
      <w:r w:rsidRPr="0096524F">
        <w:t xml:space="preserve"> However, the Board rejected the parody claim</w:t>
      </w:r>
      <w:r w:rsidR="0096524F" w:rsidRPr="0096524F">
        <w:t>.</w:t>
      </w:r>
      <w:r w:rsidR="0096524F" w:rsidRPr="0096524F">
        <w:t xml:space="preserve"> </w:t>
      </w:r>
      <w:r w:rsidR="0096524F" w:rsidRPr="0096524F">
        <w:t>B</w:t>
      </w:r>
      <w:r w:rsidRPr="0096524F">
        <w:t xml:space="preserve">ecause </w:t>
      </w:r>
      <w:proofErr w:type="spellStart"/>
      <w:r w:rsidRPr="0096524F">
        <w:t>CrackBerry</w:t>
      </w:r>
      <w:proofErr w:type="spellEnd"/>
      <w:r w:rsidRPr="0096524F">
        <w:t xml:space="preserve"> would be used as a trademark, it could not claim to be covered by the fair use exclusion.</w:t>
      </w:r>
      <w:r w:rsidR="0096524F" w:rsidRPr="0096524F">
        <w:rPr>
          <w:vertAlign w:val="superscript"/>
        </w:rPr>
        <w:footnoteReference w:id="312"/>
      </w:r>
      <w:r w:rsidRPr="0096524F">
        <w:t xml:space="preserve"> Moreover, because </w:t>
      </w:r>
      <w:proofErr w:type="spellStart"/>
      <w:r w:rsidRPr="0096524F">
        <w:t>CrackBerry</w:t>
      </w:r>
      <w:proofErr w:type="spellEnd"/>
      <w:r w:rsidRPr="0096524F">
        <w:t xml:space="preserve"> had become a popular nickname for a BlackBerry phone, the kind of separation between the famous mark and the parody necessary to obviate dilution was not found.</w:t>
      </w:r>
      <w:r w:rsidR="0096524F" w:rsidRPr="0096524F">
        <w:rPr>
          <w:vertAlign w:val="superscript"/>
        </w:rPr>
        <w:footnoteReference w:id="313"/>
      </w:r>
      <w:r w:rsidRPr="0096524F">
        <w:t xml:space="preserve"> Therefore, the Board found that likelihood of dilution had been shown.</w:t>
      </w:r>
      <w:r w:rsidR="0096524F" w:rsidRPr="0096524F">
        <w:rPr>
          <w:vertAlign w:val="superscript"/>
        </w:rPr>
        <w:footnoteReference w:id="314"/>
      </w:r>
    </w:p>
    <w:p w14:paraId="0C3BF351" w14:textId="041D43DA" w:rsidR="0096524F" w:rsidRPr="0096524F" w:rsidRDefault="00A60ADB" w:rsidP="0096524F">
      <w:pPr>
        <w:pStyle w:val="BNormal"/>
      </w:pPr>
      <w:r w:rsidRPr="0096524F">
        <w:t xml:space="preserve">In each of the </w:t>
      </w:r>
      <w:r w:rsidR="0096524F" w:rsidRPr="0096524F">
        <w:rPr>
          <w:i/>
        </w:rPr>
        <w:t>Nike</w:t>
      </w:r>
      <w:r w:rsidRPr="0096524F">
        <w:t xml:space="preserve">, </w:t>
      </w:r>
      <w:r w:rsidR="0096524F" w:rsidRPr="0096524F">
        <w:rPr>
          <w:i/>
        </w:rPr>
        <w:t>UMG</w:t>
      </w:r>
      <w:r w:rsidRPr="0096524F">
        <w:t xml:space="preserve">, and </w:t>
      </w:r>
      <w:r w:rsidR="0096524F" w:rsidRPr="0096524F">
        <w:rPr>
          <w:i/>
        </w:rPr>
        <w:t>Research in Motion</w:t>
      </w:r>
      <w:r w:rsidRPr="0096524F">
        <w:t xml:space="preserve"> decisions, it should be noted that the TTAB also found likelihood of confusion, which is often the case in dilution cases.</w:t>
      </w:r>
    </w:p>
    <w:p w14:paraId="4E7A6CB1" w14:textId="72D3D94A" w:rsidR="0096524F" w:rsidRPr="0096524F" w:rsidRDefault="00A60ADB" w:rsidP="0096524F">
      <w:pPr>
        <w:pStyle w:val="BNormal"/>
      </w:pPr>
      <w:r w:rsidRPr="0096524F">
        <w:t xml:space="preserve">Another TTAB decision, </w:t>
      </w:r>
      <w:r w:rsidR="0096524F" w:rsidRPr="0096524F">
        <w:rPr>
          <w:rStyle w:val="BCasenamefull"/>
        </w:rPr>
        <w:t xml:space="preserve">Chanel, Inc. v. </w:t>
      </w:r>
      <w:proofErr w:type="spellStart"/>
      <w:r w:rsidR="0096524F" w:rsidRPr="0096524F">
        <w:rPr>
          <w:rStyle w:val="BCasenamefull"/>
        </w:rPr>
        <w:t>Makarczyk</w:t>
      </w:r>
      <w:proofErr w:type="spellEnd"/>
      <w:r w:rsidRPr="0096524F">
        <w:t>,</w:t>
      </w:r>
      <w:r w:rsidR="0096524F" w:rsidRPr="0096524F">
        <w:rPr>
          <w:vertAlign w:val="superscript"/>
        </w:rPr>
        <w:footnoteReference w:id="315"/>
      </w:r>
      <w:r w:rsidRPr="0096524F">
        <w:t xml:space="preserve"> found dilution by blurring without ever reaching the issue of confusion</w:t>
      </w:r>
      <w:r w:rsidR="0096524F" w:rsidRPr="0096524F">
        <w:t>.</w:t>
      </w:r>
      <w:r w:rsidR="0096524F" w:rsidRPr="0096524F">
        <w:t xml:space="preserve"> </w:t>
      </w:r>
      <w:r w:rsidR="0096524F" w:rsidRPr="0096524F">
        <w:t>A</w:t>
      </w:r>
      <w:r w:rsidRPr="0096524F">
        <w:t>fter determining that the Chanel mark was famous, the Board turned to the multifactor analysis of blurring</w:t>
      </w:r>
      <w:r w:rsidR="0096524F" w:rsidRPr="0096524F">
        <w:t>.</w:t>
      </w:r>
      <w:r w:rsidR="0096524F" w:rsidRPr="0096524F">
        <w:t xml:space="preserve"> </w:t>
      </w:r>
      <w:r w:rsidR="0096524F" w:rsidRPr="0096524F">
        <w:t>T</w:t>
      </w:r>
      <w:r w:rsidRPr="0096524F">
        <w:t>he application for registration was for the identical mark—Chanel—so there was no question that this favored a finding of dilution.</w:t>
      </w:r>
      <w:r w:rsidR="0096524F" w:rsidRPr="0096524F">
        <w:rPr>
          <w:vertAlign w:val="superscript"/>
        </w:rPr>
        <w:footnoteReference w:id="316"/>
      </w:r>
      <w:r w:rsidRPr="0096524F">
        <w:t xml:space="preserve"> Interestingly, however, the Board did not invoke any presumption of dilution from the identity of the marks.</w:t>
      </w:r>
      <w:r w:rsidR="0096524F" w:rsidRPr="0096524F">
        <w:rPr>
          <w:vertAlign w:val="superscript"/>
        </w:rPr>
        <w:footnoteReference w:id="317"/>
      </w:r>
      <w:r w:rsidRPr="0096524F">
        <w:t xml:space="preserve"> In light of the Board’s findings in connection with the analysis of fame,</w:t>
      </w:r>
      <w:r w:rsidR="0096524F" w:rsidRPr="0096524F">
        <w:rPr>
          <w:vertAlign w:val="superscript"/>
        </w:rPr>
        <w:footnoteReference w:id="318"/>
      </w:r>
      <w:r w:rsidRPr="0096524F">
        <w:t xml:space="preserve"> there was little question that the factors of degree of inherent or acquired distinctiveness and recognition (factors 2 and 4) would favor Chanel.</w:t>
      </w:r>
      <w:r w:rsidR="0096524F" w:rsidRPr="0096524F">
        <w:rPr>
          <w:vertAlign w:val="superscript"/>
        </w:rPr>
        <w:footnoteReference w:id="319"/>
      </w:r>
      <w:r w:rsidRPr="0096524F">
        <w:t xml:space="preserve"> As to factor 3, degree of exclusivity of use, the Board noted that the evidence showed no other users (apart from one user licensed by Chanel under stringent controls), and an aggressive policing policy on the part of Chanel.</w:t>
      </w:r>
      <w:r w:rsidR="0096524F" w:rsidRPr="0096524F">
        <w:rPr>
          <w:vertAlign w:val="superscript"/>
        </w:rPr>
        <w:footnoteReference w:id="320"/>
      </w:r>
      <w:r w:rsidRPr="0096524F">
        <w:t xml:space="preserve"> Factor five, intent to create an association, was also found to favor Chanel</w:t>
      </w:r>
      <w:r w:rsidR="0096524F" w:rsidRPr="0096524F">
        <w:t>.</w:t>
      </w:r>
      <w:r w:rsidR="0096524F" w:rsidRPr="0096524F">
        <w:t xml:space="preserve"> </w:t>
      </w:r>
      <w:r w:rsidR="0096524F" w:rsidRPr="0096524F">
        <w:t>A</w:t>
      </w:r>
      <w:r w:rsidRPr="0096524F">
        <w:t xml:space="preserve">pplicant’s business model evidently involved using famous luxury brands—including Chanel—as the names of his apartment buildings, and his websites indicated that the purpose was to connect his </w:t>
      </w:r>
      <w:r w:rsidRPr="0096524F">
        <w:lastRenderedPageBreak/>
        <w:t>apartments with luxury represented by the brands.</w:t>
      </w:r>
      <w:r w:rsidR="0096524F" w:rsidRPr="0096524F">
        <w:rPr>
          <w:vertAlign w:val="superscript"/>
        </w:rPr>
        <w:footnoteReference w:id="321"/>
      </w:r>
      <w:r w:rsidRPr="0096524F">
        <w:t xml:space="preserve"> There was no evidence of actual association, so this factor was neutral</w:t>
      </w:r>
      <w:r w:rsidR="0096524F" w:rsidRPr="0096524F">
        <w:t>.</w:t>
      </w:r>
      <w:r w:rsidR="0096524F" w:rsidRPr="0096524F">
        <w:t xml:space="preserve"> </w:t>
      </w:r>
      <w:r w:rsidR="0096524F" w:rsidRPr="0096524F">
        <w:t>T</w:t>
      </w:r>
      <w:r w:rsidRPr="0096524F">
        <w:t>he Board then analyzed whether there was a likelihood of impairment of the distinctiveness of the mark</w:t>
      </w:r>
      <w:r w:rsidR="0096524F" w:rsidRPr="0096524F">
        <w:t>.</w:t>
      </w:r>
      <w:r w:rsidR="0096524F" w:rsidRPr="0096524F">
        <w:t xml:space="preserve"> </w:t>
      </w:r>
      <w:r w:rsidR="0096524F" w:rsidRPr="0096524F">
        <w:t>A</w:t>
      </w:r>
      <w:r w:rsidRPr="0096524F">
        <w:t>nalytically, this was proper—the definition of dilution by blurring is not mere association</w:t>
      </w:r>
      <w:r w:rsidR="0096524F" w:rsidRPr="0096524F">
        <w:t>;</w:t>
      </w:r>
      <w:r w:rsidR="0096524F" w:rsidRPr="0096524F">
        <w:t xml:space="preserve"> </w:t>
      </w:r>
      <w:r w:rsidR="0096524F" w:rsidRPr="0096524F">
        <w:t>i</w:t>
      </w:r>
      <w:r w:rsidRPr="0096524F">
        <w:t>t is harm to the distinctiveness of the mark resulting from the association</w:t>
      </w:r>
      <w:r w:rsidR="0096524F" w:rsidRPr="0096524F">
        <w:t>.</w:t>
      </w:r>
      <w:r w:rsidR="0096524F" w:rsidRPr="0096524F">
        <w:t xml:space="preserve"> </w:t>
      </w:r>
      <w:r w:rsidR="0096524F" w:rsidRPr="0096524F">
        <w:t>H</w:t>
      </w:r>
      <w:r w:rsidRPr="0096524F">
        <w:t>owever, the Board’s treatment of this aspect of dilution leaves much to be desired and illustrates the difficulty of defining dilution</w:t>
      </w:r>
      <w:r w:rsidR="0096524F" w:rsidRPr="0096524F">
        <w:t>.</w:t>
      </w:r>
      <w:r w:rsidR="0096524F" w:rsidRPr="0096524F">
        <w:t xml:space="preserve"> </w:t>
      </w:r>
      <w:r w:rsidR="0096524F" w:rsidRPr="0096524F">
        <w:t>T</w:t>
      </w:r>
      <w:r w:rsidRPr="0096524F">
        <w:t>he Board cited a conclusory affidavit from a Chanel official, asserting that registration of another Chanel mark would dilute the brand’s distinctiveness.</w:t>
      </w:r>
      <w:r w:rsidR="0096524F" w:rsidRPr="0096524F">
        <w:rPr>
          <w:vertAlign w:val="superscript"/>
        </w:rPr>
        <w:footnoteReference w:id="322"/>
      </w:r>
      <w:r w:rsidRPr="0096524F">
        <w:t xml:space="preserve"> The Board then asserted that many luxury brands (though not Chanel) had licensed their marks for use in connection with hotels and interior design features.</w:t>
      </w:r>
      <w:r w:rsidR="0096524F" w:rsidRPr="0096524F">
        <w:rPr>
          <w:vertAlign w:val="superscript"/>
        </w:rPr>
        <w:footnoteReference w:id="323"/>
      </w:r>
      <w:r w:rsidRPr="0096524F">
        <w:t xml:space="preserve"> Based on these pieces of evidence, the Board found a likelihood of impairment, and concluded that there was a likelihood of dilution.</w:t>
      </w:r>
    </w:p>
    <w:p w14:paraId="651BDB81" w14:textId="71C0B1C6" w:rsidR="0096524F" w:rsidRPr="0096524F" w:rsidRDefault="00A60ADB" w:rsidP="0096524F">
      <w:pPr>
        <w:pStyle w:val="BNormal"/>
      </w:pPr>
      <w:r w:rsidRPr="0096524F">
        <w:t xml:space="preserve">The impairment analysis in </w:t>
      </w:r>
      <w:r w:rsidR="0096524F" w:rsidRPr="0096524F">
        <w:rPr>
          <w:i/>
        </w:rPr>
        <w:t>Chanel</w:t>
      </w:r>
      <w:r w:rsidRPr="0096524F">
        <w:t xml:space="preserve"> is somewhat odd</w:t>
      </w:r>
      <w:r w:rsidR="0096524F" w:rsidRPr="0096524F">
        <w:t>.</w:t>
      </w:r>
      <w:r w:rsidR="0096524F" w:rsidRPr="0096524F">
        <w:t xml:space="preserve"> </w:t>
      </w:r>
      <w:r w:rsidR="0096524F" w:rsidRPr="0096524F">
        <w:t>T</w:t>
      </w:r>
      <w:r w:rsidRPr="0096524F">
        <w:t>he Board did not discuss how the fact that luxury brands license their marks for various ventures leads to a conclusion of impairment of distinctiveness</w:t>
      </w:r>
      <w:r w:rsidR="0096524F" w:rsidRPr="0096524F">
        <w:t>.</w:t>
      </w:r>
      <w:r w:rsidR="0096524F" w:rsidRPr="0096524F">
        <w:t xml:space="preserve"> </w:t>
      </w:r>
      <w:r w:rsidR="0096524F" w:rsidRPr="0096524F">
        <w:t>I</w:t>
      </w:r>
      <w:r w:rsidRPr="0096524F">
        <w:t>t would appear that the Board’s discussion is more relevant to a finding of likelihood of confusion than impairment of distinctiveness</w:t>
      </w:r>
      <w:r w:rsidR="0096524F" w:rsidRPr="0096524F">
        <w:t>.</w:t>
      </w:r>
      <w:r w:rsidR="0096524F" w:rsidRPr="0096524F">
        <w:t xml:space="preserve"> </w:t>
      </w:r>
      <w:r w:rsidR="0096524F" w:rsidRPr="0096524F">
        <w:t>(</w:t>
      </w:r>
      <w:r w:rsidRPr="0096524F">
        <w:t>If consumers are confused about whether the applicant licensed the use of the Chanel name for his buildings, that would be evidence of the continued distinctiveness of the mark, not evidence that the mark now signifies two different sources.)</w:t>
      </w:r>
    </w:p>
    <w:p w14:paraId="1AD1F3A9" w14:textId="78698BEA" w:rsidR="0096524F" w:rsidRPr="0096524F" w:rsidRDefault="00A60ADB" w:rsidP="0096524F">
      <w:pPr>
        <w:pStyle w:val="BNormal"/>
      </w:pPr>
      <w:r w:rsidRPr="0096524F">
        <w:t xml:space="preserve">In </w:t>
      </w:r>
      <w:r w:rsidR="0096524F" w:rsidRPr="0096524F">
        <w:rPr>
          <w:rStyle w:val="BCasenamefull"/>
        </w:rPr>
        <w:t>New York Yankees Partnership v. IET Products and Services, Inc</w:t>
      </w:r>
      <w:r w:rsidRPr="0096524F">
        <w:t>.,</w:t>
      </w:r>
      <w:r w:rsidR="0096524F" w:rsidRPr="0096524F">
        <w:rPr>
          <w:vertAlign w:val="superscript"/>
        </w:rPr>
        <w:footnoteReference w:id="324"/>
      </w:r>
      <w:r w:rsidRPr="0096524F">
        <w:t xml:space="preserve"> the TTAB sustained an opposition to two applications solely on the grounds of dilution by blurring (without even considering confusion).</w:t>
      </w:r>
      <w:r w:rsidR="0096524F" w:rsidRPr="0096524F">
        <w:rPr>
          <w:vertAlign w:val="superscript"/>
        </w:rPr>
        <w:footnoteReference w:id="325"/>
      </w:r>
      <w:r w:rsidRPr="0096524F">
        <w:t xml:space="preserve"> Both marks were parodic takeoffs on marks used by the New York Yankees baseball team</w:t>
      </w:r>
      <w:r w:rsidR="0096524F" w:rsidRPr="0096524F">
        <w:t>:</w:t>
      </w:r>
      <w:r w:rsidR="0096524F" w:rsidRPr="0096524F">
        <w:t xml:space="preserve"> </w:t>
      </w:r>
      <w:r w:rsidR="0096524F" w:rsidRPr="0096524F">
        <w:t>t</w:t>
      </w:r>
      <w:r w:rsidRPr="0096524F">
        <w:t>he “</w:t>
      </w:r>
      <w:proofErr w:type="spellStart"/>
      <w:r w:rsidRPr="0096524F">
        <w:t>TopHat</w:t>
      </w:r>
      <w:proofErr w:type="spellEnd"/>
      <w:r w:rsidRPr="0096524F">
        <w:t xml:space="preserve"> logo” (a top hat on a baseball bat surrounded by a baseball with the Yankees’ name across it), and The House That Ruth Built, a reference to the original Yankee Stadium</w:t>
      </w:r>
      <w:r w:rsidR="0096524F" w:rsidRPr="0096524F">
        <w:t>.</w:t>
      </w:r>
      <w:r w:rsidR="0096524F" w:rsidRPr="0096524F">
        <w:t xml:space="preserve"> </w:t>
      </w:r>
      <w:r w:rsidR="0096524F" w:rsidRPr="0096524F">
        <w:t>O</w:t>
      </w:r>
      <w:r w:rsidRPr="0096524F">
        <w:t>ne of the proposed marks was a top hat similar to the Yankees’ one, but with a syringe substituting for the baseball bat, and a prohibition sign across it</w:t>
      </w:r>
      <w:r w:rsidR="0096524F" w:rsidRPr="0096524F">
        <w:t>.</w:t>
      </w:r>
      <w:r w:rsidR="0096524F" w:rsidRPr="0096524F">
        <w:t xml:space="preserve"> </w:t>
      </w:r>
      <w:r w:rsidR="0096524F" w:rsidRPr="0096524F">
        <w:t>T</w:t>
      </w:r>
      <w:r w:rsidRPr="0096524F">
        <w:t>he two marks are pictured below:</w:t>
      </w:r>
    </w:p>
    <w:p w14:paraId="2153AE00" w14:textId="37D9E202" w:rsidR="0096524F" w:rsidRPr="0096524F" w:rsidRDefault="0096524F" w:rsidP="0096524F">
      <w:pPr>
        <w:pStyle w:val="BNormal"/>
        <w:rPr>
          <w:b/>
        </w:rPr>
      </w:pPr>
      <w:r w:rsidRPr="0096524F">
        <w:rPr>
          <w:b/>
        </w:rPr>
        <w:t>Fig.</w:t>
      </w:r>
      <w:r w:rsidRPr="0096524F">
        <w:rPr>
          <w:b/>
        </w:rPr>
        <w:t xml:space="preserve"> </w:t>
      </w:r>
      <w:r w:rsidRPr="0096524F">
        <w:rPr>
          <w:b/>
        </w:rPr>
        <w:t>9-1:</w:t>
      </w:r>
      <w:r w:rsidR="00175762">
        <w:rPr>
          <w:b/>
        </w:rPr>
        <w:t xml:space="preserve"> </w:t>
      </w:r>
      <w:r w:rsidRPr="0096524F">
        <w:rPr>
          <w:b/>
        </w:rPr>
        <w:t xml:space="preserve">The Yankees’ </w:t>
      </w:r>
      <w:proofErr w:type="spellStart"/>
      <w:r w:rsidRPr="0096524F">
        <w:rPr>
          <w:b/>
        </w:rPr>
        <w:t>TopHat</w:t>
      </w:r>
      <w:proofErr w:type="spellEnd"/>
      <w:r w:rsidRPr="0096524F">
        <w:rPr>
          <w:b/>
        </w:rPr>
        <w:t xml:space="preserve"> logo and the applicant’s parody logo</w:t>
      </w:r>
    </w:p>
    <w:p w14:paraId="2E61EC21" w14:textId="2641F7A1" w:rsidR="0096524F" w:rsidRPr="0096524F" w:rsidRDefault="0096524F" w:rsidP="0096524F">
      <w:pPr>
        <w:pStyle w:val="BNormal"/>
      </w:pPr>
      <w:r w:rsidRPr="0096524F">
        <w:tab/>
      </w:r>
      <w:r w:rsidR="00175762">
        <w:t>Insert image here</w:t>
      </w:r>
    </w:p>
    <w:p w14:paraId="5D0F16C4" w14:textId="6D49AAC1" w:rsidR="0096524F" w:rsidRPr="0096524F" w:rsidRDefault="00A60ADB" w:rsidP="0096524F">
      <w:pPr>
        <w:pStyle w:val="BNormal"/>
      </w:pPr>
      <w:r w:rsidRPr="0096524F">
        <w:t>The other proposed mark, following the same theme, was The House That Juice Built (an obvious reference to performance-enhancing drugs)</w:t>
      </w:r>
      <w:r w:rsidR="0096524F" w:rsidRPr="0096524F">
        <w:t>.</w:t>
      </w:r>
      <w:r w:rsidR="0096524F" w:rsidRPr="0096524F">
        <w:t xml:space="preserve"> </w:t>
      </w:r>
      <w:r w:rsidR="0096524F" w:rsidRPr="0096524F">
        <w:t>I</w:t>
      </w:r>
      <w:r w:rsidRPr="0096524F">
        <w:t xml:space="preserve">n each case, the Yankees claimed dilution by </w:t>
      </w:r>
      <w:r w:rsidR="0096524F" w:rsidRPr="0096524F">
        <w:rPr>
          <w:i/>
        </w:rPr>
        <w:t>blurring</w:t>
      </w:r>
      <w:r w:rsidR="0096524F" w:rsidRPr="0096524F">
        <w:t>;</w:t>
      </w:r>
      <w:r w:rsidR="0096524F" w:rsidRPr="0096524F">
        <w:t xml:space="preserve"> </w:t>
      </w:r>
      <w:r w:rsidR="0096524F" w:rsidRPr="0096524F">
        <w:t>t</w:t>
      </w:r>
      <w:r w:rsidRPr="0096524F">
        <w:t xml:space="preserve">he Board never discussed possible dilution by </w:t>
      </w:r>
      <w:proofErr w:type="spellStart"/>
      <w:r w:rsidRPr="0096524F">
        <w:t>tarnishment</w:t>
      </w:r>
      <w:proofErr w:type="spellEnd"/>
      <w:r w:rsidR="0096524F" w:rsidRPr="0096524F">
        <w:t>.</w:t>
      </w:r>
      <w:r w:rsidR="0096524F" w:rsidRPr="0096524F">
        <w:t xml:space="preserve"> </w:t>
      </w:r>
      <w:r w:rsidR="0096524F" w:rsidRPr="0096524F">
        <w:t>A</w:t>
      </w:r>
      <w:r w:rsidRPr="0096524F">
        <w:t>fter establishing the prerequisite elements of dilution—famous marks,</w:t>
      </w:r>
      <w:r w:rsidR="0096524F" w:rsidRPr="0096524F">
        <w:rPr>
          <w:vertAlign w:val="superscript"/>
        </w:rPr>
        <w:footnoteReference w:id="326"/>
      </w:r>
      <w:r w:rsidRPr="0096524F">
        <w:t xml:space="preserve"> use in commerce, and use by the applicant after the marks became famous</w:t>
      </w:r>
      <w:r w:rsidR="0096524F" w:rsidRPr="0096524F">
        <w:rPr>
          <w:vertAlign w:val="superscript"/>
        </w:rPr>
        <w:footnoteReference w:id="327"/>
      </w:r>
      <w:r w:rsidRPr="0096524F">
        <w:t xml:space="preserve">—the </w:t>
      </w:r>
      <w:r w:rsidRPr="0096524F">
        <w:lastRenderedPageBreak/>
        <w:t>Board turned to the issue of dilution</w:t>
      </w:r>
      <w:r w:rsidR="0096524F" w:rsidRPr="0096524F">
        <w:t>.</w:t>
      </w:r>
      <w:r w:rsidR="0096524F" w:rsidRPr="0096524F">
        <w:t xml:space="preserve"> </w:t>
      </w:r>
      <w:r w:rsidR="0096524F" w:rsidRPr="0096524F">
        <w:t>G</w:t>
      </w:r>
      <w:r w:rsidRPr="0096524F">
        <w:t>iven the fact that the point of the marks was to poke fun at the Yankees, it is not surprising that the Board found virtually all of the factors to favor the Yankees.</w:t>
      </w:r>
      <w:r w:rsidR="0096524F" w:rsidRPr="0096524F">
        <w:rPr>
          <w:vertAlign w:val="superscript"/>
        </w:rPr>
        <w:footnoteReference w:id="328"/>
      </w:r>
      <w:r w:rsidRPr="0096524F">
        <w:t xml:space="preserve"> However, certain aspects of its analysis deserve closer examination</w:t>
      </w:r>
      <w:r w:rsidR="0096524F" w:rsidRPr="0096524F">
        <w:t>.</w:t>
      </w:r>
      <w:r w:rsidR="0096524F" w:rsidRPr="0096524F">
        <w:t xml:space="preserve"> </w:t>
      </w:r>
      <w:r w:rsidR="0096524F" w:rsidRPr="0096524F">
        <w:t>T</w:t>
      </w:r>
      <w:r w:rsidRPr="0096524F">
        <w:t xml:space="preserve">he Board began with the </w:t>
      </w:r>
      <w:proofErr w:type="spellStart"/>
      <w:r w:rsidRPr="0096524F">
        <w:t>TopHat</w:t>
      </w:r>
      <w:proofErr w:type="spellEnd"/>
      <w:r w:rsidRPr="0096524F">
        <w:t xml:space="preserve"> logo</w:t>
      </w:r>
      <w:r w:rsidR="0096524F" w:rsidRPr="0096524F">
        <w:t>.</w:t>
      </w:r>
      <w:r w:rsidR="0096524F" w:rsidRPr="0096524F">
        <w:t xml:space="preserve"> </w:t>
      </w:r>
      <w:r w:rsidR="0096524F" w:rsidRPr="0096524F">
        <w:t>O</w:t>
      </w:r>
      <w:r w:rsidRPr="0096524F">
        <w:t xml:space="preserve">n the issue of similarity, the Board conceded several items of </w:t>
      </w:r>
      <w:r w:rsidR="0096524F" w:rsidRPr="0096524F">
        <w:rPr>
          <w:i/>
        </w:rPr>
        <w:t>dis</w:t>
      </w:r>
      <w:r w:rsidRPr="0096524F">
        <w:t>similarity</w:t>
      </w:r>
      <w:r w:rsidR="0096524F" w:rsidRPr="0096524F">
        <w:t>:</w:t>
      </w:r>
      <w:r w:rsidR="0096524F" w:rsidRPr="0096524F">
        <w:t xml:space="preserve"> </w:t>
      </w:r>
      <w:r w:rsidR="0096524F" w:rsidRPr="0096524F">
        <w:t>t</w:t>
      </w:r>
      <w:r w:rsidRPr="0096524F">
        <w:t>he syringe, the lack of a baseball background (which the Board somewhat misdescribed as a “circle”), and the lack of the word “Yankees,” as well as the existence of a prohibition sign on the applicant’s mark.</w:t>
      </w:r>
      <w:r w:rsidR="0096524F" w:rsidRPr="0096524F">
        <w:rPr>
          <w:vertAlign w:val="superscript"/>
        </w:rPr>
        <w:footnoteReference w:id="329"/>
      </w:r>
      <w:r w:rsidRPr="0096524F">
        <w:t xml:space="preserve"> As for intent to create an association, the applicant conceded that its purpose was to create a parody, which can only succeed if there is an association.</w:t>
      </w:r>
      <w:r w:rsidR="0096524F" w:rsidRPr="0096524F">
        <w:rPr>
          <w:vertAlign w:val="superscript"/>
        </w:rPr>
        <w:footnoteReference w:id="330"/>
      </w:r>
    </w:p>
    <w:p w14:paraId="5ED1518F" w14:textId="3E289D28" w:rsidR="0096524F" w:rsidRPr="0096524F" w:rsidRDefault="00A60ADB" w:rsidP="0096524F">
      <w:pPr>
        <w:pStyle w:val="BNormal"/>
      </w:pPr>
      <w:r w:rsidRPr="0096524F">
        <w:t>The most critical issue, however, was largely overlooked in the Board’s opinion</w:t>
      </w:r>
      <w:r w:rsidR="0096524F" w:rsidRPr="0096524F">
        <w:t>:</w:t>
      </w:r>
      <w:r w:rsidR="0096524F" w:rsidRPr="0096524F">
        <w:t xml:space="preserve"> </w:t>
      </w:r>
      <w:r w:rsidR="0096524F" w:rsidRPr="0096524F">
        <w:t>w</w:t>
      </w:r>
      <w:r w:rsidRPr="0096524F">
        <w:t xml:space="preserve">hether the association was likely to harm the </w:t>
      </w:r>
      <w:r w:rsidR="0096524F" w:rsidRPr="0096524F">
        <w:rPr>
          <w:i/>
        </w:rPr>
        <w:t>distinctiveness</w:t>
      </w:r>
      <w:r w:rsidRPr="0096524F">
        <w:t xml:space="preserve"> of the Yankees’ marks</w:t>
      </w:r>
      <w:r w:rsidR="0096524F" w:rsidRPr="0096524F">
        <w:t>.</w:t>
      </w:r>
      <w:r w:rsidR="0096524F" w:rsidRPr="0096524F">
        <w:t xml:space="preserve"> </w:t>
      </w:r>
      <w:r w:rsidR="0096524F" w:rsidRPr="0096524F">
        <w:t>H</w:t>
      </w:r>
      <w:r w:rsidRPr="0096524F">
        <w:t>ere, the Board’s reasoning was unfortunate</w:t>
      </w:r>
      <w:r w:rsidR="0096524F" w:rsidRPr="0096524F">
        <w:t>.</w:t>
      </w:r>
      <w:r w:rsidR="0096524F" w:rsidRPr="0096524F">
        <w:t xml:space="preserve"> </w:t>
      </w:r>
      <w:r w:rsidR="0096524F" w:rsidRPr="0096524F">
        <w:t>I</w:t>
      </w:r>
      <w:r w:rsidRPr="0096524F">
        <w:t>n a prior opinion, the Board had indicated support for the Fourth Circuit’s approach to parodies as trademarks</w:t>
      </w:r>
      <w:r w:rsidR="0096524F" w:rsidRPr="0096524F">
        <w:t>;</w:t>
      </w:r>
      <w:r w:rsidR="0096524F" w:rsidRPr="0096524F">
        <w:t xml:space="preserve"> </w:t>
      </w:r>
      <w:r w:rsidR="0096524F" w:rsidRPr="0096524F">
        <w:t>n</w:t>
      </w:r>
      <w:r w:rsidRPr="0096524F">
        <w:t>amely, that a successful parody could negate harm to distinctiveness.</w:t>
      </w:r>
      <w:r w:rsidR="0096524F" w:rsidRPr="0096524F">
        <w:rPr>
          <w:vertAlign w:val="superscript"/>
        </w:rPr>
        <w:footnoteReference w:id="331"/>
      </w:r>
      <w:r w:rsidRPr="0096524F">
        <w:t xml:space="preserve"> However, the Board now has decided to reject this possibility:</w:t>
      </w:r>
    </w:p>
    <w:p w14:paraId="7A1D1AB8" w14:textId="457BB238" w:rsidR="0096524F" w:rsidRPr="0096524F" w:rsidRDefault="00A60ADB" w:rsidP="0096524F">
      <w:pPr>
        <w:pStyle w:val="BQuotelong"/>
      </w:pPr>
      <w:r w:rsidRPr="0096524F">
        <w:t xml:space="preserve">We take this opportunity to modify our prior suggestion in </w:t>
      </w:r>
      <w:r w:rsidR="0096524F" w:rsidRPr="0096524F">
        <w:rPr>
          <w:i/>
        </w:rPr>
        <w:t>Research in Motion</w:t>
      </w:r>
      <w:r w:rsidRPr="0096524F">
        <w:t xml:space="preserve"> that an alleged parody should be considered as part of our dilution analysis even when parody does not provide a safe harbor for a defendant</w:t>
      </w:r>
      <w:r w:rsidR="0096524F" w:rsidRPr="0096524F">
        <w:t>.</w:t>
      </w:r>
      <w:r w:rsidR="0096524F" w:rsidRPr="0096524F">
        <w:t xml:space="preserve"> </w:t>
      </w:r>
      <w:r w:rsidR="0096524F" w:rsidRPr="0096524F">
        <w:t>W</w:t>
      </w:r>
      <w:r w:rsidRPr="0096524F">
        <w:t xml:space="preserve">e now choose to not consider the parody defense as part of the assessment of the dilution claim, because, as discussed </w:t>
      </w:r>
      <w:r w:rsidR="0096524F" w:rsidRPr="0096524F">
        <w:rPr>
          <w:i/>
        </w:rPr>
        <w:t>supra,</w:t>
      </w:r>
      <w:r w:rsidRPr="0096524F">
        <w:t xml:space="preserve"> a mark that identifies source—which it must for registration—will not concurrently qualify for a statutory exclusion to a dilution claim</w:t>
      </w:r>
      <w:r w:rsidR="0096524F" w:rsidRPr="0096524F">
        <w:t>.</w:t>
      </w:r>
      <w:r w:rsidR="0096524F" w:rsidRPr="0096524F">
        <w:t xml:space="preserve"> </w:t>
      </w:r>
      <w:r w:rsidR="0096524F" w:rsidRPr="0096524F">
        <w:t>S</w:t>
      </w:r>
      <w:r w:rsidRPr="0096524F">
        <w:t>tated another way, when an applicant’s mark is registrable, because it is being used in commerce to indicate source, such use is not a noncommercial use or fair use</w:t>
      </w:r>
      <w:r w:rsidR="0096524F" w:rsidRPr="0096524F">
        <w:t>.</w:t>
      </w:r>
      <w:r w:rsidR="0096524F" w:rsidRPr="0096524F">
        <w:t xml:space="preserve"> </w:t>
      </w:r>
      <w:r w:rsidR="0096524F" w:rsidRPr="0096524F">
        <w:t>T</w:t>
      </w:r>
      <w:r w:rsidRPr="0096524F">
        <w:t>hus, given the circumstances generally presented by opposition and cancellation proceedings based on allegations of dilution, we find it virtually impossible to conceive of a situation where a parody defense to a dilution claim can succeed in a case before the Board.</w:t>
      </w:r>
      <w:r w:rsidR="0096524F" w:rsidRPr="0096524F">
        <w:rPr>
          <w:vertAlign w:val="superscript"/>
        </w:rPr>
        <w:footnoteReference w:id="332"/>
      </w:r>
    </w:p>
    <w:p w14:paraId="426CE650" w14:textId="5EBF8099" w:rsidR="0096524F" w:rsidRPr="0096524F" w:rsidRDefault="00A60ADB" w:rsidP="0096524F">
      <w:pPr>
        <w:pStyle w:val="BNormal"/>
      </w:pPr>
      <w:r w:rsidRPr="0096524F">
        <w:t>There are two significant problems with the Board’s statement</w:t>
      </w:r>
      <w:r w:rsidR="0096524F" w:rsidRPr="0096524F">
        <w:t>.</w:t>
      </w:r>
      <w:r w:rsidR="0096524F" w:rsidRPr="0096524F">
        <w:t xml:space="preserve"> </w:t>
      </w:r>
      <w:r w:rsidR="0096524F" w:rsidRPr="0096524F">
        <w:t>F</w:t>
      </w:r>
      <w:r w:rsidRPr="0096524F">
        <w:t>irst, it seemingly conflates the fair use and noncommercial use exclusions with non-diluting uses</w:t>
      </w:r>
      <w:r w:rsidR="0096524F" w:rsidRPr="0096524F">
        <w:t>.</w:t>
      </w:r>
      <w:r w:rsidR="0096524F" w:rsidRPr="0096524F">
        <w:t xml:space="preserve"> </w:t>
      </w:r>
      <w:r w:rsidR="0096524F" w:rsidRPr="0096524F">
        <w:t>T</w:t>
      </w:r>
      <w:r w:rsidRPr="0096524F">
        <w:t xml:space="preserve">he point of the exclusions is that they prevent liability </w:t>
      </w:r>
      <w:r w:rsidR="0096524F" w:rsidRPr="0096524F">
        <w:rPr>
          <w:i/>
        </w:rPr>
        <w:t>even if dilution would otherwise be likely to occur.</w:t>
      </w:r>
      <w:r w:rsidR="0096524F" w:rsidRPr="0096524F">
        <w:rPr>
          <w:i/>
        </w:rPr>
        <w:t xml:space="preserve"> </w:t>
      </w:r>
      <w:r w:rsidR="0096524F" w:rsidRPr="0096524F">
        <w:t>T</w:t>
      </w:r>
      <w:r w:rsidRPr="0096524F">
        <w:t>hus, they do not necessarily address the threshold question of likelihood of dilution</w:t>
      </w:r>
      <w:r w:rsidR="0096524F" w:rsidRPr="0096524F">
        <w:t>.</w:t>
      </w:r>
      <w:r w:rsidR="0096524F" w:rsidRPr="0096524F">
        <w:t xml:space="preserve"> </w:t>
      </w:r>
      <w:r w:rsidR="0096524F" w:rsidRPr="0096524F">
        <w:t>T</w:t>
      </w:r>
      <w:r w:rsidRPr="0096524F">
        <w:t xml:space="preserve">he point of the Fourth Circuit’s </w:t>
      </w:r>
      <w:r w:rsidR="0096524F" w:rsidRPr="0096524F">
        <w:rPr>
          <w:i/>
        </w:rPr>
        <w:t xml:space="preserve">Haute </w:t>
      </w:r>
      <w:proofErr w:type="spellStart"/>
      <w:r w:rsidR="0096524F" w:rsidRPr="0096524F">
        <w:rPr>
          <w:i/>
        </w:rPr>
        <w:t>Diggity</w:t>
      </w:r>
      <w:proofErr w:type="spellEnd"/>
      <w:r w:rsidR="0096524F" w:rsidRPr="0096524F">
        <w:rPr>
          <w:i/>
        </w:rPr>
        <w:t xml:space="preserve"> Dog</w:t>
      </w:r>
      <w:r w:rsidRPr="0096524F">
        <w:t xml:space="preserve"> opinion was that parody may prevent dilution from occurring—it was not intended to create a </w:t>
      </w:r>
      <w:r w:rsidRPr="0096524F">
        <w:lastRenderedPageBreak/>
        <w:t>“defense.”</w:t>
      </w:r>
      <w:r w:rsidR="0096524F" w:rsidRPr="0096524F">
        <w:rPr>
          <w:vertAlign w:val="superscript"/>
        </w:rPr>
        <w:footnoteReference w:id="333"/>
      </w:r>
      <w:r w:rsidRPr="0096524F">
        <w:t xml:space="preserve"> Second, even to the extent that the Board did not conflate likely dilution with exclusions from liability, its rejection of the premise of the Fourth Circuit’s opinion, combined with a lack of discussion of how the parody would harm the Yankees’ mark’s </w:t>
      </w:r>
      <w:r w:rsidR="0096524F" w:rsidRPr="0096524F">
        <w:rPr>
          <w:i/>
        </w:rPr>
        <w:t>distinctiveness</w:t>
      </w:r>
      <w:r w:rsidRPr="0096524F">
        <w:t>, ignores a crucial part of the definition of dilution by blurring</w:t>
      </w:r>
      <w:r w:rsidR="0096524F" w:rsidRPr="0096524F">
        <w:t>.</w:t>
      </w:r>
      <w:r w:rsidR="0096524F" w:rsidRPr="0096524F">
        <w:t xml:space="preserve"> </w:t>
      </w:r>
      <w:r w:rsidR="0096524F" w:rsidRPr="0096524F">
        <w:t>A</w:t>
      </w:r>
      <w:r w:rsidRPr="0096524F">
        <w:t>s is also the case with confusion, the formalism of the factor structure cannot trump the core inquiry, which in dilution is harm to the famous mark’s distinctiveness</w:t>
      </w:r>
      <w:r w:rsidR="0096524F" w:rsidRPr="0096524F">
        <w:t>.</w:t>
      </w:r>
      <w:r w:rsidR="0096524F" w:rsidRPr="0096524F">
        <w:t xml:space="preserve"> </w:t>
      </w:r>
      <w:r w:rsidR="0096524F" w:rsidRPr="0096524F">
        <w:t>A</w:t>
      </w:r>
      <w:r w:rsidRPr="0096524F">
        <w:t xml:space="preserve">s the Fourth Circuit pointed out in its </w:t>
      </w:r>
      <w:r w:rsidR="0096524F" w:rsidRPr="0096524F">
        <w:rPr>
          <w:i/>
        </w:rPr>
        <w:t xml:space="preserve">Haute </w:t>
      </w:r>
      <w:proofErr w:type="spellStart"/>
      <w:r w:rsidR="0096524F" w:rsidRPr="0096524F">
        <w:rPr>
          <w:i/>
        </w:rPr>
        <w:t>Diggity</w:t>
      </w:r>
      <w:proofErr w:type="spellEnd"/>
      <w:r w:rsidR="0096524F" w:rsidRPr="0096524F">
        <w:rPr>
          <w:i/>
        </w:rPr>
        <w:t xml:space="preserve"> Dog</w:t>
      </w:r>
      <w:r w:rsidRPr="0096524F">
        <w:t xml:space="preserve"> opinion, rather than harming a famous mark’s distinctiveness, a successful parody may reinforce its distinctiveness.</w:t>
      </w:r>
      <w:r w:rsidR="0096524F" w:rsidRPr="0096524F">
        <w:rPr>
          <w:vertAlign w:val="superscript"/>
        </w:rPr>
        <w:footnoteReference w:id="334"/>
      </w:r>
      <w:r w:rsidRPr="0096524F">
        <w:t xml:space="preserve"> Indeed, the parody depends for its value on the continued distinctiveness of the mark</w:t>
      </w:r>
      <w:r w:rsidR="0096524F" w:rsidRPr="0096524F">
        <w:t>.</w:t>
      </w:r>
      <w:r w:rsidR="0096524F" w:rsidRPr="0096524F">
        <w:t xml:space="preserve"> </w:t>
      </w:r>
      <w:r w:rsidR="0096524F" w:rsidRPr="0096524F">
        <w:t>T</w:t>
      </w:r>
      <w:r w:rsidRPr="0096524F">
        <w:t xml:space="preserve">hus, it would seem that for a successful parody the logical dilution claim (if any exists) is for </w:t>
      </w:r>
      <w:proofErr w:type="spellStart"/>
      <w:r w:rsidRPr="0096524F">
        <w:t>tarnishment</w:t>
      </w:r>
      <w:proofErr w:type="spellEnd"/>
      <w:r w:rsidRPr="0096524F">
        <w:t>, not blurring.</w:t>
      </w:r>
    </w:p>
    <w:p w14:paraId="49816C83" w14:textId="0CE38783" w:rsidR="0096524F" w:rsidRPr="0096524F" w:rsidRDefault="00A60ADB" w:rsidP="0096524F">
      <w:pPr>
        <w:pStyle w:val="BNormal"/>
      </w:pPr>
      <w:r w:rsidRPr="0096524F">
        <w:t xml:space="preserve">Having found blurring with respect to the </w:t>
      </w:r>
      <w:proofErr w:type="spellStart"/>
      <w:r w:rsidRPr="0096524F">
        <w:t>TopHat</w:t>
      </w:r>
      <w:proofErr w:type="spellEnd"/>
      <w:r w:rsidRPr="0096524F">
        <w:t xml:space="preserve"> logo, the Board turned to THE HOUSE THAT JUICE BUILT mark</w:t>
      </w:r>
      <w:r w:rsidR="0096524F" w:rsidRPr="0096524F">
        <w:t>.</w:t>
      </w:r>
      <w:r w:rsidR="0096524F" w:rsidRPr="0096524F">
        <w:t xml:space="preserve"> </w:t>
      </w:r>
      <w:r w:rsidR="0096524F" w:rsidRPr="0096524F">
        <w:t>S</w:t>
      </w:r>
      <w:r w:rsidRPr="0096524F">
        <w:t xml:space="preserve">imilar to the </w:t>
      </w:r>
      <w:proofErr w:type="spellStart"/>
      <w:r w:rsidRPr="0096524F">
        <w:t>TopHat</w:t>
      </w:r>
      <w:proofErr w:type="spellEnd"/>
      <w:r w:rsidRPr="0096524F">
        <w:t xml:space="preserve"> logo mark, the Board found all factors except actual association and exclusivity of use to favor the Yankees, with the other two being neutral.</w:t>
      </w:r>
      <w:r w:rsidR="0096524F" w:rsidRPr="0096524F">
        <w:rPr>
          <w:vertAlign w:val="superscript"/>
        </w:rPr>
        <w:footnoteReference w:id="335"/>
      </w:r>
      <w:r w:rsidRPr="0096524F">
        <w:t xml:space="preserve"> The Board then applied the same reasoning from the </w:t>
      </w:r>
      <w:proofErr w:type="spellStart"/>
      <w:r w:rsidRPr="0096524F">
        <w:t>TopHat</w:t>
      </w:r>
      <w:proofErr w:type="spellEnd"/>
      <w:r w:rsidRPr="0096524F">
        <w:t xml:space="preserve"> logo mark to THE HOUSE THAT JUICE BUILT mark and found dilution by blurring.</w:t>
      </w:r>
      <w:r w:rsidR="0096524F" w:rsidRPr="0096524F">
        <w:rPr>
          <w:vertAlign w:val="superscript"/>
        </w:rPr>
        <w:footnoteReference w:id="336"/>
      </w:r>
      <w:r w:rsidRPr="0096524F">
        <w:t xml:space="preserve"> It appears that the Board’s analysis presumes harm from association </w:t>
      </w:r>
      <w:r w:rsidR="0096524F" w:rsidRPr="0096524F">
        <w:rPr>
          <w:i/>
        </w:rPr>
        <w:t>or</w:t>
      </w:r>
      <w:r w:rsidRPr="0096524F">
        <w:t xml:space="preserve"> intent to cause association</w:t>
      </w:r>
      <w:r w:rsidR="0096524F" w:rsidRPr="0096524F">
        <w:t>.</w:t>
      </w:r>
      <w:r w:rsidR="0096524F" w:rsidRPr="0096524F">
        <w:t xml:space="preserve"> </w:t>
      </w:r>
      <w:r w:rsidR="0096524F" w:rsidRPr="0096524F">
        <w:t>H</w:t>
      </w:r>
      <w:r w:rsidRPr="0096524F">
        <w:t>owever, the Board does not cite any empirical evidence to support that conclusion</w:t>
      </w:r>
      <w:r w:rsidR="0096524F" w:rsidRPr="0096524F">
        <w:t>.</w:t>
      </w:r>
      <w:r w:rsidR="0096524F" w:rsidRPr="0096524F">
        <w:t xml:space="preserve"> </w:t>
      </w:r>
      <w:r w:rsidR="0096524F" w:rsidRPr="0096524F">
        <w:t>(</w:t>
      </w:r>
      <w:r w:rsidRPr="0096524F">
        <w:t xml:space="preserve">The Board’s opinion in this regard may be contrasted with the opinion of the Southern District of New York in </w:t>
      </w:r>
      <w:r w:rsidR="0096524F" w:rsidRPr="0096524F">
        <w:rPr>
          <w:rStyle w:val="BCasenamefull"/>
        </w:rPr>
        <w:t>Louis Vuitton Malletier, S.A. v. My Other Bag, Inc.</w:t>
      </w:r>
      <w:r w:rsidRPr="0096524F">
        <w:t>, discussed above, which emphasized the need for more than just association, and which applied the Fourth Circuit’s parody analysis.) In a non-precedential opinion, the TTAB found dilution by blurring in an opposition to an intent-to-use application that incorporated the design of the Empire State Building in a logo for NYC Beer.</w:t>
      </w:r>
      <w:r w:rsidR="0096524F" w:rsidRPr="0096524F">
        <w:rPr>
          <w:vertAlign w:val="superscript"/>
        </w:rPr>
        <w:footnoteReference w:id="337"/>
      </w:r>
      <w:r w:rsidRPr="0096524F">
        <w:t xml:space="preserve"> Opposer owned registered trademarks in a design drawing of the Empire State Building and asserted that the applicant’s proposed logo was likely to cause dilution</w:t>
      </w:r>
      <w:r w:rsidR="0096524F" w:rsidRPr="0096524F">
        <w:t>.</w:t>
      </w:r>
      <w:r w:rsidR="0096524F" w:rsidRPr="0096524F">
        <w:t xml:space="preserve"> </w:t>
      </w:r>
      <w:r w:rsidR="0096524F" w:rsidRPr="0096524F">
        <w:t>A</w:t>
      </w:r>
      <w:r w:rsidRPr="0096524F">
        <w:t>fter finding the design to be famous, the Board examined the six statutory factors</w:t>
      </w:r>
      <w:r w:rsidR="0096524F" w:rsidRPr="0096524F">
        <w:t>.</w:t>
      </w:r>
      <w:r w:rsidR="0096524F" w:rsidRPr="0096524F">
        <w:t xml:space="preserve"> </w:t>
      </w:r>
      <w:r w:rsidR="0096524F" w:rsidRPr="0096524F">
        <w:t>W</w:t>
      </w:r>
      <w:r w:rsidRPr="0096524F">
        <w:t>ith regard to similarity, although the applicant’s logo included other design features and words, the TTAB found that it “prominently features” the Empire State Building</w:t>
      </w:r>
      <w:r w:rsidR="0096524F" w:rsidRPr="0096524F">
        <w:rPr>
          <w:vertAlign w:val="superscript"/>
        </w:rPr>
        <w:footnoteReference w:id="338"/>
      </w:r>
      <w:r w:rsidRPr="0096524F">
        <w:t xml:space="preserve"> (and applicant admitted that it was used to evoke New York City)</w:t>
      </w:r>
      <w:r w:rsidR="0096524F" w:rsidRPr="0096524F">
        <w:t>.</w:t>
      </w:r>
      <w:r w:rsidR="0096524F" w:rsidRPr="0096524F">
        <w:t xml:space="preserve"> </w:t>
      </w:r>
      <w:r w:rsidR="0096524F" w:rsidRPr="0096524F">
        <w:t>T</w:t>
      </w:r>
      <w:r w:rsidRPr="0096524F">
        <w:t>hus, the differences “do not serve to diminish the similarity of the building design therein to Opposer’s design mark.”</w:t>
      </w:r>
      <w:r w:rsidR="0096524F" w:rsidRPr="0096524F">
        <w:rPr>
          <w:vertAlign w:val="superscript"/>
        </w:rPr>
        <w:footnoteReference w:id="339"/>
      </w:r>
      <w:r w:rsidRPr="0096524F">
        <w:t xml:space="preserve"> Distinctiveness and level of recognition (factors two and four) favored the opposer as well—not surprising, given the finding of fame</w:t>
      </w:r>
      <w:r w:rsidR="0096524F" w:rsidRPr="0096524F">
        <w:t>.</w:t>
      </w:r>
      <w:r w:rsidR="0096524F" w:rsidRPr="0096524F">
        <w:t xml:space="preserve"> </w:t>
      </w:r>
      <w:r w:rsidR="0096524F" w:rsidRPr="0096524F">
        <w:t>T</w:t>
      </w:r>
      <w:r w:rsidRPr="0096524F">
        <w:t xml:space="preserve">he third factor, substantially exclusive use, also </w:t>
      </w:r>
      <w:r w:rsidRPr="0096524F">
        <w:lastRenderedPageBreak/>
        <w:t>favored opposer.</w:t>
      </w:r>
      <w:r w:rsidR="0096524F" w:rsidRPr="0096524F">
        <w:rPr>
          <w:vertAlign w:val="superscript"/>
        </w:rPr>
        <w:footnoteReference w:id="340"/>
      </w:r>
      <w:r w:rsidRPr="0096524F">
        <w:t xml:space="preserve"> Unlike the </w:t>
      </w:r>
      <w:r w:rsidR="0096524F" w:rsidRPr="0096524F">
        <w:rPr>
          <w:i/>
        </w:rPr>
        <w:t xml:space="preserve">New York Yankees Partnership </w:t>
      </w:r>
      <w:r w:rsidRPr="0096524F">
        <w:t>case, there was no evidence of intent-to-cause association.</w:t>
      </w:r>
      <w:r w:rsidR="0096524F" w:rsidRPr="0096524F">
        <w:rPr>
          <w:vertAlign w:val="superscript"/>
        </w:rPr>
        <w:footnoteReference w:id="341"/>
      </w:r>
      <w:r w:rsidRPr="0096524F">
        <w:t xml:space="preserve"> And, given that the mark had not yet been used, there was no evidence of actual association.</w:t>
      </w:r>
      <w:r w:rsidR="0096524F" w:rsidRPr="0096524F">
        <w:rPr>
          <w:vertAlign w:val="superscript"/>
        </w:rPr>
        <w:footnoteReference w:id="342"/>
      </w:r>
      <w:r w:rsidRPr="0096524F">
        <w:t xml:space="preserve"> Nevertheless, the Board found sufficient evidence of likelihood of dilution.</w:t>
      </w:r>
      <w:r w:rsidR="0096524F" w:rsidRPr="0096524F">
        <w:rPr>
          <w:vertAlign w:val="superscript"/>
        </w:rPr>
        <w:footnoteReference w:id="343"/>
      </w:r>
      <w:r w:rsidRPr="0096524F">
        <w:t xml:space="preserve"> Although at the outset of its analysis the Board emphasized the need not just for association but for harm—likelihood of impairment of distinctiveness</w:t>
      </w:r>
      <w:r w:rsidR="0096524F" w:rsidRPr="0096524F">
        <w:rPr>
          <w:vertAlign w:val="superscript"/>
        </w:rPr>
        <w:footnoteReference w:id="344"/>
      </w:r>
      <w:r w:rsidRPr="0096524F">
        <w:t>—the Board did not attempt to explain how the four factors that favored opposer led to the conclusion that harm was likely to occur</w:t>
      </w:r>
      <w:r w:rsidR="0096524F" w:rsidRPr="0096524F">
        <w:t>.</w:t>
      </w:r>
      <w:r w:rsidR="0096524F" w:rsidRPr="0096524F">
        <w:t xml:space="preserve"> </w:t>
      </w:r>
      <w:r w:rsidR="0096524F" w:rsidRPr="0096524F">
        <w:t>I</w:t>
      </w:r>
      <w:r w:rsidRPr="0096524F">
        <w:t>t would appear that fame and similarity were deemed sufficient, at least with a very recognizable mark that was exclusively used by one party.</w:t>
      </w:r>
    </w:p>
    <w:p w14:paraId="21D30E20" w14:textId="33EDDF24" w:rsidR="0096524F" w:rsidRPr="0096524F" w:rsidRDefault="00A60ADB" w:rsidP="0096524F">
      <w:pPr>
        <w:pStyle w:val="BNormal"/>
      </w:pPr>
      <w:r w:rsidRPr="0096524F">
        <w:t xml:space="preserve">A somewhat similar situation occurred in </w:t>
      </w:r>
      <w:r w:rsidR="0096524F" w:rsidRPr="0096524F">
        <w:rPr>
          <w:rStyle w:val="BCasenamefull"/>
        </w:rPr>
        <w:t>Nike, Inc. v. Capital E Finance Co.</w:t>
      </w:r>
      <w:r w:rsidRPr="0096524F">
        <w:t>,</w:t>
      </w:r>
      <w:r w:rsidR="0096524F" w:rsidRPr="0096524F">
        <w:rPr>
          <w:vertAlign w:val="superscript"/>
        </w:rPr>
        <w:footnoteReference w:id="345"/>
      </w:r>
      <w:r w:rsidRPr="0096524F">
        <w:t xml:space="preserve"> also a non-precedential opinion, where the Board allowed a dilution claim by Nike against the application for the mark Just Did It (an obvious play on Nike’s “Just Do It” mark).</w:t>
      </w:r>
      <w:r w:rsidR="0096524F" w:rsidRPr="0096524F">
        <w:rPr>
          <w:vertAlign w:val="superscript"/>
        </w:rPr>
        <w:footnoteReference w:id="346"/>
      </w:r>
      <w:r w:rsidRPr="0096524F">
        <w:t xml:space="preserve"> The Board followed the six-factor analysis for blurring, finding the first four factors favored likely blurring, but found the other two factors—intent to create association and actual association—neutral (noting that the applicant had not yet used the mark).</w:t>
      </w:r>
      <w:r w:rsidR="0096524F" w:rsidRPr="0096524F">
        <w:rPr>
          <w:vertAlign w:val="superscript"/>
        </w:rPr>
        <w:footnoteReference w:id="347"/>
      </w:r>
      <w:r w:rsidRPr="0096524F">
        <w:t xml:space="preserve"> The Board then discussed the requirement that the applicant’s mark be likely to impair the distinctiveness of the opposer’s mark, but found this satisfied because “Applicant’s mark would be used in direct competition with Opposer.”</w:t>
      </w:r>
      <w:r w:rsidR="0096524F" w:rsidRPr="0096524F">
        <w:rPr>
          <w:vertAlign w:val="superscript"/>
        </w:rPr>
        <w:footnoteReference w:id="348"/>
      </w:r>
      <w:r w:rsidRPr="0096524F">
        <w:t xml:space="preserve"> It is unclear why that would necessarily harm the mark’s distinctiveness, especially in light of the Board’s later finding that there was a likelihood of confusion.</w:t>
      </w:r>
      <w:r w:rsidR="0096524F" w:rsidRPr="0096524F">
        <w:rPr>
          <w:vertAlign w:val="superscript"/>
        </w:rPr>
        <w:footnoteReference w:id="349"/>
      </w:r>
      <w:r w:rsidRPr="0096524F">
        <w:t xml:space="preserve"> One thing is clear</w:t>
      </w:r>
      <w:r w:rsidR="0096524F" w:rsidRPr="0096524F">
        <w:t>:</w:t>
      </w:r>
      <w:r w:rsidR="0096524F" w:rsidRPr="0096524F">
        <w:t xml:space="preserve"> </w:t>
      </w:r>
      <w:r w:rsidR="0096524F" w:rsidRPr="0096524F">
        <w:t>A</w:t>
      </w:r>
      <w:r w:rsidRPr="0096524F">
        <w:t xml:space="preserve"> play on a famous mark will not fare well before the TTAB.</w:t>
      </w:r>
    </w:p>
    <w:p w14:paraId="664FAD48" w14:textId="07C904C3" w:rsidR="0096524F" w:rsidRPr="0096524F" w:rsidRDefault="00371CCB" w:rsidP="00175762">
      <w:pPr>
        <w:pStyle w:val="BHead3"/>
      </w:pPr>
      <w:r>
        <w:t>9.II.D.</w:t>
      </w:r>
      <w:r w:rsidR="0096524F" w:rsidRPr="00175762">
        <w:rPr>
          <w:rStyle w:val="BBNAidChar"/>
          <w:rFonts w:eastAsiaTheme="majorEastAsia"/>
        </w:rPr>
        <w:t>5</w:t>
      </w:r>
      <w:r w:rsidR="0096524F" w:rsidRPr="0096524F">
        <w:t>.</w:t>
      </w:r>
      <w:r>
        <w:t> </w:t>
      </w:r>
      <w:r w:rsidR="0096524F" w:rsidRPr="0096524F">
        <w:tab/>
        <w:t>The Importance of Similarity and its Role in the Analysis of Blurring</w:t>
      </w:r>
    </w:p>
    <w:p w14:paraId="131E21AA" w14:textId="2BECAC6B" w:rsidR="0096524F" w:rsidRPr="0096524F" w:rsidRDefault="00A60ADB" w:rsidP="0096524F">
      <w:pPr>
        <w:pStyle w:val="BNormal"/>
      </w:pPr>
      <w:r w:rsidRPr="0096524F">
        <w:t>The concept of similarity is central to an analysis of dilution</w:t>
      </w:r>
      <w:r w:rsidR="0096524F" w:rsidRPr="0096524F">
        <w:t>.</w:t>
      </w:r>
      <w:r w:rsidR="0096524F" w:rsidRPr="0096524F">
        <w:t xml:space="preserve"> </w:t>
      </w:r>
      <w:r w:rsidR="0096524F" w:rsidRPr="0096524F">
        <w:t>D</w:t>
      </w:r>
      <w:r w:rsidRPr="0096524F">
        <w:t>ilution requires, in the first instance, that the second user’s mark conjure up the famous mark</w:t>
      </w:r>
      <w:r w:rsidR="0096524F" w:rsidRPr="0096524F">
        <w:t>.</w:t>
      </w:r>
      <w:r w:rsidR="0096524F" w:rsidRPr="0096524F">
        <w:t xml:space="preserve"> </w:t>
      </w:r>
      <w:r w:rsidR="0096524F" w:rsidRPr="0096524F">
        <w:t>I</w:t>
      </w:r>
      <w:r w:rsidRPr="0096524F">
        <w:t xml:space="preserve">f the marks are not sufficiently similar, that mental </w:t>
      </w:r>
      <w:r w:rsidRPr="0096524F">
        <w:lastRenderedPageBreak/>
        <w:t>association will not occur.</w:t>
      </w:r>
      <w:r w:rsidR="0096524F" w:rsidRPr="0096524F">
        <w:rPr>
          <w:vertAlign w:val="superscript"/>
        </w:rPr>
        <w:footnoteReference w:id="350"/>
      </w:r>
      <w:r w:rsidRPr="0096524F">
        <w:t xml:space="preserve"> Moreover, it is important that the second </w:t>
      </w:r>
      <w:r w:rsidR="0096524F" w:rsidRPr="0096524F">
        <w:rPr>
          <w:i/>
        </w:rPr>
        <w:t>mark</w:t>
      </w:r>
      <w:r w:rsidRPr="0096524F">
        <w:t xml:space="preserve"> triggers an association with the famous </w:t>
      </w:r>
      <w:r w:rsidR="0096524F" w:rsidRPr="0096524F">
        <w:rPr>
          <w:i/>
        </w:rPr>
        <w:t>mark</w:t>
      </w:r>
      <w:r w:rsidR="0096524F" w:rsidRPr="0096524F">
        <w:t>.</w:t>
      </w:r>
      <w:r w:rsidR="0096524F" w:rsidRPr="0096524F">
        <w:t xml:space="preserve"> </w:t>
      </w:r>
      <w:r w:rsidR="0096524F" w:rsidRPr="0096524F">
        <w:t>I</w:t>
      </w:r>
      <w:r w:rsidRPr="0096524F">
        <w:t>t is not sufficient for the second mark to trigger an association with the type of products or services sold under the first mark.</w:t>
      </w:r>
      <w:r w:rsidR="0096524F" w:rsidRPr="0096524F">
        <w:rPr>
          <w:vertAlign w:val="superscript"/>
        </w:rPr>
        <w:footnoteReference w:id="351"/>
      </w:r>
    </w:p>
    <w:p w14:paraId="03C3A4AB" w14:textId="319F46CF" w:rsidR="0096524F" w:rsidRPr="0096524F" w:rsidRDefault="00A60ADB" w:rsidP="0096524F">
      <w:pPr>
        <w:pStyle w:val="BNormal"/>
      </w:pPr>
      <w:r w:rsidRPr="0096524F">
        <w:t>The TDRA puts similarity at the center of any evaluation of likelihood of dilution</w:t>
      </w:r>
      <w:r w:rsidR="0096524F" w:rsidRPr="0096524F">
        <w:t>.</w:t>
      </w:r>
      <w:r w:rsidR="0096524F" w:rsidRPr="0096524F">
        <w:t xml:space="preserve"> </w:t>
      </w:r>
      <w:r w:rsidR="0096524F" w:rsidRPr="0096524F">
        <w:t>N</w:t>
      </w:r>
      <w:r w:rsidRPr="0096524F">
        <w:t>either the original state laws patterned after the 1964 Model Bill, nor the original FTDA (and similarly worded state laws) said anything about the required level of similarity</w:t>
      </w:r>
      <w:r w:rsidR="0096524F" w:rsidRPr="0096524F">
        <w:t>.</w:t>
      </w:r>
      <w:r w:rsidR="0096524F" w:rsidRPr="0096524F">
        <w:t xml:space="preserve"> </w:t>
      </w:r>
      <w:r w:rsidR="0096524F" w:rsidRPr="0096524F">
        <w:t>C</w:t>
      </w:r>
      <w:r w:rsidRPr="0096524F">
        <w:t>ourts interpreting those statutes generally required that the two marks be “substantially similar” for dilution to occur.</w:t>
      </w:r>
      <w:r w:rsidR="0096524F" w:rsidRPr="0096524F">
        <w:rPr>
          <w:vertAlign w:val="superscript"/>
        </w:rPr>
        <w:footnoteReference w:id="352"/>
      </w:r>
      <w:r w:rsidRPr="0096524F">
        <w:t xml:space="preserve"> Under the TDRA, both the definition of blurring and </w:t>
      </w:r>
      <w:proofErr w:type="spellStart"/>
      <w:r w:rsidRPr="0096524F">
        <w:t>tarnishment</w:t>
      </w:r>
      <w:proofErr w:type="spellEnd"/>
      <w:r w:rsidRPr="0096524F">
        <w:t xml:space="preserve"> invoke similarity.</w:t>
      </w:r>
      <w:r w:rsidR="0096524F" w:rsidRPr="0096524F">
        <w:rPr>
          <w:vertAlign w:val="superscript"/>
        </w:rPr>
        <w:footnoteReference w:id="353"/>
      </w:r>
      <w:r w:rsidRPr="0096524F">
        <w:t xml:space="preserve"> Obviously, similarity will play a critical role in dilution cases under federal law</w:t>
      </w:r>
      <w:r w:rsidR="0096524F" w:rsidRPr="0096524F">
        <w:t>.</w:t>
      </w:r>
      <w:r w:rsidR="0096524F" w:rsidRPr="0096524F">
        <w:t xml:space="preserve"> </w:t>
      </w:r>
      <w:r w:rsidR="0096524F" w:rsidRPr="0096524F">
        <w:t>I</w:t>
      </w:r>
      <w:r w:rsidRPr="0096524F">
        <w:t xml:space="preserve">ndeed, it may end up being </w:t>
      </w:r>
      <w:r w:rsidR="0096524F" w:rsidRPr="0096524F">
        <w:rPr>
          <w:i/>
        </w:rPr>
        <w:t>the</w:t>
      </w:r>
      <w:r w:rsidRPr="0096524F">
        <w:t xml:space="preserve"> critical factor in many cases</w:t>
      </w:r>
      <w:r w:rsidR="0096524F" w:rsidRPr="0096524F">
        <w:t>;</w:t>
      </w:r>
      <w:r w:rsidR="0096524F" w:rsidRPr="0096524F">
        <w:t xml:space="preserve"> </w:t>
      </w:r>
      <w:r w:rsidR="0096524F" w:rsidRPr="0096524F">
        <w:t>t</w:t>
      </w:r>
      <w:r w:rsidRPr="0096524F">
        <w:t>he mental association needed to demonstrate likelihood of dilution could depend on the existence of sufficient similarity.</w:t>
      </w:r>
      <w:r w:rsidR="0096524F" w:rsidRPr="0096524F">
        <w:rPr>
          <w:vertAlign w:val="superscript"/>
        </w:rPr>
        <w:footnoteReference w:id="354"/>
      </w:r>
      <w:r w:rsidRPr="0096524F">
        <w:t xml:space="preserve"> However, the TDRA has complicated the issue of similarity and its place in the analysis of dilution, particularly dilution by blurring</w:t>
      </w:r>
      <w:r w:rsidR="0096524F" w:rsidRPr="0096524F">
        <w:t>.</w:t>
      </w:r>
      <w:r w:rsidR="0096524F" w:rsidRPr="0096524F">
        <w:t xml:space="preserve"> </w:t>
      </w:r>
      <w:r w:rsidR="0096524F" w:rsidRPr="0096524F">
        <w:t>P</w:t>
      </w:r>
      <w:r w:rsidRPr="0096524F">
        <w:t>rior to the TDRA, courts (analyzing both federal and state law) viewed similarity as a threshold issue</w:t>
      </w:r>
      <w:r w:rsidR="0096524F" w:rsidRPr="0096524F">
        <w:t>;</w:t>
      </w:r>
      <w:r w:rsidR="0096524F" w:rsidRPr="0096524F">
        <w:t xml:space="preserve"> </w:t>
      </w:r>
      <w:r w:rsidR="0096524F" w:rsidRPr="0096524F">
        <w:t>i</w:t>
      </w:r>
      <w:r w:rsidRPr="0096524F">
        <w:t>f the marks were insufficiently similar, the analysis effectively ended</w:t>
      </w:r>
      <w:r w:rsidR="0096524F" w:rsidRPr="0096524F">
        <w:t>.</w:t>
      </w:r>
      <w:r w:rsidR="0096524F" w:rsidRPr="0096524F">
        <w:t xml:space="preserve"> </w:t>
      </w:r>
      <w:r w:rsidR="0096524F" w:rsidRPr="0096524F">
        <w:t>M</w:t>
      </w:r>
      <w:r w:rsidRPr="0096524F">
        <w:t>oreover, courts generally required a high level of similarity—either “substantial” similarity</w:t>
      </w:r>
      <w:r w:rsidR="0096524F" w:rsidRPr="0096524F">
        <w:rPr>
          <w:vertAlign w:val="superscript"/>
        </w:rPr>
        <w:footnoteReference w:id="355"/>
      </w:r>
      <w:r w:rsidRPr="0096524F">
        <w:t xml:space="preserve"> or a similarity such that the marks were deemed “identical or nearly identical.”</w:t>
      </w:r>
      <w:r w:rsidR="0096524F" w:rsidRPr="0096524F">
        <w:rPr>
          <w:vertAlign w:val="superscript"/>
        </w:rPr>
        <w:footnoteReference w:id="356"/>
      </w:r>
      <w:r w:rsidRPr="0096524F">
        <w:t xml:space="preserve"> However, the TDRA’s use of the concept of similarity in the definition of blurring makes its role in the analysis less clear.</w:t>
      </w:r>
    </w:p>
    <w:p w14:paraId="6B19F2D8" w14:textId="27D803B8" w:rsidR="0096524F" w:rsidRPr="0096524F" w:rsidRDefault="00A60ADB" w:rsidP="0096524F">
      <w:pPr>
        <w:pStyle w:val="BNormal"/>
      </w:pPr>
      <w:r w:rsidRPr="0096524F">
        <w:lastRenderedPageBreak/>
        <w:t>The TDRA defines dilution by blurring as an “association arising from the similarity between a mark or trade name and a famous mark that impairs the distinctiveness of the famous mark.”</w:t>
      </w:r>
      <w:r w:rsidR="0096524F" w:rsidRPr="0096524F">
        <w:rPr>
          <w:vertAlign w:val="superscript"/>
        </w:rPr>
        <w:footnoteReference w:id="357"/>
      </w:r>
      <w:r w:rsidRPr="0096524F">
        <w:t xml:space="preserve"> It goes on to list six factors to help courts analyze blurring, the first of which is “[t]he degree of similarity between the mark or trade name and the famous mark.”</w:t>
      </w:r>
      <w:r w:rsidR="0096524F" w:rsidRPr="0096524F">
        <w:rPr>
          <w:vertAlign w:val="superscript"/>
        </w:rPr>
        <w:footnoteReference w:id="358"/>
      </w:r>
      <w:r w:rsidRPr="0096524F">
        <w:t xml:space="preserve"> Thus, the question arises</w:t>
      </w:r>
      <w:r w:rsidR="0096524F" w:rsidRPr="0096524F">
        <w:t>:</w:t>
      </w:r>
      <w:r w:rsidR="0096524F" w:rsidRPr="0096524F">
        <w:t xml:space="preserve"> </w:t>
      </w:r>
      <w:r w:rsidR="0096524F" w:rsidRPr="0096524F">
        <w:t>i</w:t>
      </w:r>
      <w:r w:rsidRPr="0096524F">
        <w:t>s similarity a threshold element, as suggested by the definition, or is it merely a factor, and, if the latter, is there still a required threshold of similarity</w:t>
      </w:r>
      <w:r w:rsidR="0096524F" w:rsidRPr="0096524F">
        <w:t>?</w:t>
      </w:r>
      <w:r w:rsidR="0096524F" w:rsidRPr="0096524F">
        <w:t xml:space="preserve"> </w:t>
      </w:r>
      <w:r w:rsidR="0096524F" w:rsidRPr="0096524F">
        <w:t>T</w:t>
      </w:r>
      <w:r w:rsidRPr="0096524F">
        <w:t>his question was addressed by the Second and Ninth Circuits.</w:t>
      </w:r>
    </w:p>
    <w:p w14:paraId="0100FE71" w14:textId="4C325479" w:rsidR="0096524F" w:rsidRPr="0096524F" w:rsidRDefault="00A60ADB" w:rsidP="0096524F">
      <w:pPr>
        <w:pStyle w:val="BNormal"/>
      </w:pPr>
      <w:r w:rsidRPr="0096524F">
        <w:t xml:space="preserve">The Second Circuit addressed the issue in </w:t>
      </w:r>
      <w:r w:rsidR="0096524F" w:rsidRPr="0096524F">
        <w:rPr>
          <w:i/>
        </w:rPr>
        <w:t>Starbucks Corp</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Wolfe’s Borough Coffee, Inc</w:t>
      </w:r>
      <w:r w:rsidRPr="0096524F">
        <w:t>.</w:t>
      </w:r>
      <w:r w:rsidR="0096524F" w:rsidRPr="0096524F">
        <w:rPr>
          <w:vertAlign w:val="superscript"/>
        </w:rPr>
        <w:footnoteReference w:id="359"/>
      </w:r>
      <w:r w:rsidRPr="0096524F">
        <w:t xml:space="preserve"> The court first noted that the TDRA does not expressly address the required level of similarity, but also noted that the TDRA does not require “substantial” similarity in the definition of dilution by blurring.</w:t>
      </w:r>
      <w:r w:rsidR="0096524F" w:rsidRPr="0096524F">
        <w:rPr>
          <w:vertAlign w:val="superscript"/>
        </w:rPr>
        <w:footnoteReference w:id="360"/>
      </w:r>
      <w:r w:rsidRPr="0096524F">
        <w:t xml:space="preserve"> Second, the court reasoned that because the first blurring factor looks only at the “degree of similarity,” without requiring any threshold, the other five factors would be rendered immaterial if there were a required level of similarity that was not met.</w:t>
      </w:r>
      <w:r w:rsidR="0096524F" w:rsidRPr="0096524F">
        <w:rPr>
          <w:vertAlign w:val="superscript"/>
        </w:rPr>
        <w:footnoteReference w:id="361"/>
      </w:r>
      <w:r w:rsidRPr="0096524F">
        <w:t xml:space="preserve"> Thus, the court jettisoned its existing framework, which required “substantial similarity” between the marks, in favor of making similarity only one of the factors to consider.</w:t>
      </w:r>
      <w:r w:rsidR="0096524F" w:rsidRPr="0096524F">
        <w:rPr>
          <w:vertAlign w:val="superscript"/>
        </w:rPr>
        <w:footnoteReference w:id="362"/>
      </w:r>
    </w:p>
    <w:p w14:paraId="646EDB7F" w14:textId="12B4A1DE" w:rsidR="0096524F" w:rsidRPr="0096524F" w:rsidRDefault="00A60ADB" w:rsidP="0096524F">
      <w:pPr>
        <w:pStyle w:val="BNormal"/>
      </w:pPr>
      <w:r w:rsidRPr="0096524F">
        <w:t xml:space="preserve">The Ninth Circuit followed a similar approach in </w:t>
      </w:r>
      <w:r w:rsidR="0096524F" w:rsidRPr="0096524F">
        <w:rPr>
          <w:i/>
        </w:rPr>
        <w:t>Levi Strauss &amp; Co</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Abercrombie &amp; Fitch Trading Co</w:t>
      </w:r>
      <w:r w:rsidRPr="0096524F">
        <w:t>.</w:t>
      </w:r>
      <w:r w:rsidR="0096524F" w:rsidRPr="0096524F">
        <w:rPr>
          <w:vertAlign w:val="superscript"/>
        </w:rPr>
        <w:footnoteReference w:id="363"/>
      </w:r>
      <w:r w:rsidRPr="0096524F">
        <w:t xml:space="preserve"> Until its decision in </w:t>
      </w:r>
      <w:r w:rsidR="0096524F" w:rsidRPr="0096524F">
        <w:rPr>
          <w:i/>
        </w:rPr>
        <w:t>Levi Strauss</w:t>
      </w:r>
      <w:r w:rsidRPr="0096524F">
        <w:t>, the Ninth Circuit had required marks to be “identical or nearly identical” in order to be considered sufficiently similar for dilution purposes.</w:t>
      </w:r>
      <w:r w:rsidR="0096524F" w:rsidRPr="0096524F">
        <w:rPr>
          <w:vertAlign w:val="superscript"/>
        </w:rPr>
        <w:footnoteReference w:id="364"/>
      </w:r>
      <w:r w:rsidRPr="0096524F">
        <w:t xml:space="preserve"> Although this formulation had not proven as formidable as it might appear,</w:t>
      </w:r>
      <w:r w:rsidR="0096524F" w:rsidRPr="0096524F">
        <w:rPr>
          <w:vertAlign w:val="superscript"/>
        </w:rPr>
        <w:footnoteReference w:id="365"/>
      </w:r>
      <w:r w:rsidRPr="0096524F">
        <w:t xml:space="preserve"> it had been consistently applied, and was even referenced by the Ninth Circuit, without apparent objection, in some post-TDRA opinions.</w:t>
      </w:r>
      <w:r w:rsidR="0096524F" w:rsidRPr="0096524F">
        <w:rPr>
          <w:vertAlign w:val="superscript"/>
        </w:rPr>
        <w:footnoteReference w:id="366"/>
      </w:r>
      <w:r w:rsidRPr="0096524F">
        <w:t xml:space="preserve"> However, after analyzing those post-TDRA cases, the court concluded that it had </w:t>
      </w:r>
      <w:r w:rsidRPr="0096524F">
        <w:lastRenderedPageBreak/>
        <w:t>never squarely faced the issue of the continuing viability of its identical or nearly identical test, and decided to reexamine it.</w:t>
      </w:r>
      <w:r w:rsidR="0096524F" w:rsidRPr="0096524F">
        <w:rPr>
          <w:vertAlign w:val="superscript"/>
        </w:rPr>
        <w:footnoteReference w:id="367"/>
      </w:r>
    </w:p>
    <w:p w14:paraId="4ADB91E3" w14:textId="67747141" w:rsidR="0096524F" w:rsidRPr="0096524F" w:rsidRDefault="00A60ADB" w:rsidP="0096524F">
      <w:pPr>
        <w:pStyle w:val="BNormal"/>
      </w:pPr>
      <w:r w:rsidRPr="0096524F">
        <w:t>Like the Second Circuit, the Ninth Circuit noted that the TDRA constituted a wholesale revision of the dilution statute, rather than a minor amendment to change the operative standard.</w:t>
      </w:r>
      <w:r w:rsidR="0096524F" w:rsidRPr="0096524F">
        <w:rPr>
          <w:vertAlign w:val="superscript"/>
        </w:rPr>
        <w:footnoteReference w:id="368"/>
      </w:r>
      <w:r w:rsidRPr="0096524F">
        <w:t xml:space="preserve"> The amended statute now contained separate definitions of dilution by blurring and dilution by </w:t>
      </w:r>
      <w:proofErr w:type="spellStart"/>
      <w:r w:rsidRPr="0096524F">
        <w:t>tarnishment</w:t>
      </w:r>
      <w:proofErr w:type="spellEnd"/>
      <w:r w:rsidRPr="0096524F">
        <w:t>, and, most important, contained several factors to guide the analysis of dilution by blurring.</w:t>
      </w:r>
      <w:r w:rsidR="0096524F" w:rsidRPr="0096524F">
        <w:rPr>
          <w:vertAlign w:val="superscript"/>
        </w:rPr>
        <w:footnoteReference w:id="369"/>
      </w:r>
      <w:r w:rsidRPr="0096524F">
        <w:t xml:space="preserve"> As the Second Circuit noted, the first of those factors is “the degree of similarity” between the marks, with no indication of any particular threshold.</w:t>
      </w:r>
      <w:r w:rsidR="0096524F" w:rsidRPr="0096524F">
        <w:rPr>
          <w:vertAlign w:val="superscript"/>
        </w:rPr>
        <w:footnoteReference w:id="370"/>
      </w:r>
      <w:r w:rsidRPr="0096524F">
        <w:t xml:space="preserve"> Although Abercrombie argued that the legislative history of the TDRA indicated that Congress did not intend to disturb prior case law on this issue, the court declined to use legislative history, citing what it felt was the clear language of the statute and the lack of clarity in the legislative history.</w:t>
      </w:r>
      <w:r w:rsidR="0096524F" w:rsidRPr="0096524F">
        <w:rPr>
          <w:vertAlign w:val="superscript"/>
        </w:rPr>
        <w:footnoteReference w:id="371"/>
      </w:r>
      <w:r w:rsidRPr="0096524F">
        <w:t xml:space="preserve"> Therefore, the court concluded that the “identical or nearly identical” standard would no longer govern claims alleging dilution by blurring.</w:t>
      </w:r>
      <w:r w:rsidR="0096524F" w:rsidRPr="0096524F">
        <w:rPr>
          <w:vertAlign w:val="superscript"/>
        </w:rPr>
        <w:footnoteReference w:id="372"/>
      </w:r>
      <w:r w:rsidRPr="0096524F">
        <w:t xml:space="preserve"> The court did note that similarity is a “necessary predicate for dilution analysis” and that “greater degrees of similarity manifestly are more likely to support a finding of dilution.”</w:t>
      </w:r>
      <w:r w:rsidR="0096524F" w:rsidRPr="0096524F">
        <w:rPr>
          <w:vertAlign w:val="superscript"/>
        </w:rPr>
        <w:footnoteReference w:id="373"/>
      </w:r>
    </w:p>
    <w:p w14:paraId="006536ED" w14:textId="350AC086" w:rsidR="0096524F" w:rsidRPr="0096524F" w:rsidRDefault="00A60ADB" w:rsidP="0096524F">
      <w:pPr>
        <w:pStyle w:val="BNormal"/>
      </w:pPr>
      <w:r w:rsidRPr="0096524F">
        <w:t xml:space="preserve">After some uncertainty, the TTAB accepted </w:t>
      </w:r>
      <w:r w:rsidR="0096524F" w:rsidRPr="0096524F">
        <w:rPr>
          <w:i/>
        </w:rPr>
        <w:t>Starbucks</w:t>
      </w:r>
      <w:r w:rsidRPr="0096524F">
        <w:t xml:space="preserve"> and </w:t>
      </w:r>
      <w:r w:rsidR="0096524F" w:rsidRPr="0096524F">
        <w:rPr>
          <w:i/>
        </w:rPr>
        <w:t>Levi Strauss</w:t>
      </w:r>
      <w:r w:rsidR="0096524F" w:rsidRPr="0096524F">
        <w:t>.</w:t>
      </w:r>
      <w:r w:rsidR="0096524F" w:rsidRPr="0096524F">
        <w:t xml:space="preserve"> </w:t>
      </w:r>
      <w:r w:rsidR="0096524F" w:rsidRPr="0096524F">
        <w:t>I</w:t>
      </w:r>
      <w:r w:rsidRPr="0096524F">
        <w:t xml:space="preserve">n </w:t>
      </w:r>
      <w:r w:rsidR="0096524F" w:rsidRPr="0096524F">
        <w:rPr>
          <w:i/>
        </w:rPr>
        <w:t>Citigroup,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Capital City Bank Group, Inc</w:t>
      </w:r>
      <w:r w:rsidRPr="0096524F">
        <w:t>.,</w:t>
      </w:r>
      <w:r w:rsidR="0096524F" w:rsidRPr="0096524F">
        <w:rPr>
          <w:vertAlign w:val="superscript"/>
        </w:rPr>
        <w:footnoteReference w:id="374"/>
      </w:r>
      <w:r w:rsidRPr="0096524F">
        <w:t xml:space="preserve"> the Board noted the Second Circuit’s analysis in </w:t>
      </w:r>
      <w:r w:rsidR="0096524F" w:rsidRPr="0096524F">
        <w:rPr>
          <w:i/>
        </w:rPr>
        <w:t>Starbucks</w:t>
      </w:r>
      <w:r w:rsidRPr="0096524F">
        <w:t>, but decided to adhere to its requirement that the marks must be “substantially similar.”</w:t>
      </w:r>
      <w:r w:rsidR="0096524F" w:rsidRPr="0096524F">
        <w:rPr>
          <w:vertAlign w:val="superscript"/>
        </w:rPr>
        <w:footnoteReference w:id="375"/>
      </w:r>
      <w:r w:rsidRPr="0096524F">
        <w:t xml:space="preserve"> It reasoned that the </w:t>
      </w:r>
      <w:r w:rsidR="0096524F" w:rsidRPr="0096524F">
        <w:rPr>
          <w:i/>
        </w:rPr>
        <w:t>weight</w:t>
      </w:r>
      <w:r w:rsidRPr="0096524F">
        <w:t xml:space="preserve"> of any factor could vary with the facts and that the Second Circuit’s fear that emphasizing similarity would deemphasize the other factors was unwarranted.</w:t>
      </w:r>
      <w:r w:rsidR="0096524F" w:rsidRPr="0096524F">
        <w:rPr>
          <w:vertAlign w:val="superscript"/>
        </w:rPr>
        <w:footnoteReference w:id="376"/>
      </w:r>
      <w:r w:rsidRPr="0096524F">
        <w:t xml:space="preserve"> However, in </w:t>
      </w:r>
      <w:r w:rsidR="0096524F" w:rsidRPr="0096524F">
        <w:rPr>
          <w:i/>
        </w:rPr>
        <w:t>Nike,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Maher</w:t>
      </w:r>
      <w:r w:rsidRPr="0096524F">
        <w:t>,</w:t>
      </w:r>
      <w:r w:rsidR="0096524F" w:rsidRPr="0096524F">
        <w:rPr>
          <w:vertAlign w:val="superscript"/>
        </w:rPr>
        <w:footnoteReference w:id="377"/>
      </w:r>
      <w:r w:rsidRPr="0096524F">
        <w:t xml:space="preserve"> the TTAB quoted extensively from </w:t>
      </w:r>
      <w:r w:rsidR="0096524F" w:rsidRPr="0096524F">
        <w:rPr>
          <w:i/>
        </w:rPr>
        <w:t>Levi Strauss</w:t>
      </w:r>
      <w:r w:rsidRPr="0096524F">
        <w:t xml:space="preserve"> and appeared to approve its reasoning (though it could have made its intent clearer),</w:t>
      </w:r>
      <w:r w:rsidR="0096524F" w:rsidRPr="0096524F">
        <w:rPr>
          <w:vertAlign w:val="superscript"/>
        </w:rPr>
        <w:footnoteReference w:id="378"/>
      </w:r>
      <w:r w:rsidRPr="0096524F">
        <w:t xml:space="preserve"> and subsequent cases made clear that the TTAB no longer requires substantial similarity.</w:t>
      </w:r>
      <w:r w:rsidR="0096524F" w:rsidRPr="0096524F">
        <w:rPr>
          <w:vertAlign w:val="superscript"/>
        </w:rPr>
        <w:footnoteReference w:id="379"/>
      </w:r>
      <w:r w:rsidRPr="0096524F">
        <w:t xml:space="preserve"> In other circuits, the issue has yet to be resolved.</w:t>
      </w:r>
      <w:r w:rsidR="0096524F" w:rsidRPr="0096524F">
        <w:rPr>
          <w:vertAlign w:val="superscript"/>
        </w:rPr>
        <w:footnoteReference w:id="380"/>
      </w:r>
    </w:p>
    <w:p w14:paraId="73E753F0" w14:textId="020F39D6" w:rsidR="0096524F" w:rsidRPr="0096524F" w:rsidRDefault="00A60ADB" w:rsidP="0096524F">
      <w:pPr>
        <w:pStyle w:val="BNormal"/>
      </w:pPr>
      <w:r w:rsidRPr="0096524F">
        <w:lastRenderedPageBreak/>
        <w:t>Although the approach of the Second and Ninth Circuits is justifiable on the face of the statute, it should be interpreted with caution</w:t>
      </w:r>
      <w:r w:rsidR="0096524F" w:rsidRPr="0096524F">
        <w:t>.</w:t>
      </w:r>
      <w:r w:rsidR="0096524F" w:rsidRPr="0096524F">
        <w:t xml:space="preserve"> </w:t>
      </w:r>
      <w:r w:rsidR="0096524F" w:rsidRPr="0096524F">
        <w:t>S</w:t>
      </w:r>
      <w:r w:rsidRPr="0096524F">
        <w:t>imilarity is a critical element of dilution, and it would normally be inappropriate to permit a dilution claim to succeed when there is not a high degree of similarity</w:t>
      </w:r>
      <w:r w:rsidR="0096524F" w:rsidRPr="0096524F">
        <w:t>.</w:t>
      </w:r>
      <w:r w:rsidR="0096524F" w:rsidRPr="0096524F">
        <w:t xml:space="preserve"> </w:t>
      </w:r>
      <w:r w:rsidR="0096524F" w:rsidRPr="0096524F">
        <w:t>G</w:t>
      </w:r>
      <w:r w:rsidRPr="0096524F">
        <w:t>iving extra weight to this factor is not inconsistent with the apparent intent of the drafters to make dilution a limited remedy</w:t>
      </w:r>
      <w:r w:rsidR="0096524F" w:rsidRPr="0096524F">
        <w:t>.</w:t>
      </w:r>
      <w:r w:rsidR="0096524F" w:rsidRPr="0096524F">
        <w:t xml:space="preserve"> </w:t>
      </w:r>
      <w:r w:rsidR="0096524F" w:rsidRPr="0096524F">
        <w:t>B</w:t>
      </w:r>
      <w:r w:rsidRPr="0096524F">
        <w:t>ut there is a danger that courts will interpret the Second Circuit’s standard as permitting dilution recovery even when the marks are quite dissimilar.</w:t>
      </w:r>
      <w:r w:rsidR="0096524F" w:rsidRPr="0096524F">
        <w:rPr>
          <w:vertAlign w:val="superscript"/>
        </w:rPr>
        <w:footnoteReference w:id="381"/>
      </w:r>
    </w:p>
    <w:p w14:paraId="75967E29" w14:textId="38177AB7" w:rsidR="0096524F" w:rsidRPr="0096524F" w:rsidRDefault="00A60ADB" w:rsidP="0096524F">
      <w:pPr>
        <w:pStyle w:val="BNormal"/>
      </w:pPr>
      <w:r w:rsidRPr="0096524F">
        <w:t>On the other hand, even after the TDRA, courts tend to regard the use of an identical mark by defendant to be presumptively diluting.</w:t>
      </w:r>
      <w:r w:rsidR="0096524F" w:rsidRPr="0096524F">
        <w:rPr>
          <w:vertAlign w:val="superscript"/>
        </w:rPr>
        <w:footnoteReference w:id="382"/>
      </w:r>
      <w:r w:rsidRPr="0096524F">
        <w:t xml:space="preserve"> Moreover, courts have used the existence of a high degree of similarity as evidence of intent to create association.</w:t>
      </w:r>
      <w:r w:rsidR="0096524F" w:rsidRPr="0096524F">
        <w:rPr>
          <w:vertAlign w:val="superscript"/>
        </w:rPr>
        <w:footnoteReference w:id="383"/>
      </w:r>
    </w:p>
    <w:p w14:paraId="3619EDA1" w14:textId="28F2341E" w:rsidR="0096524F" w:rsidRPr="0096524F" w:rsidRDefault="00A60ADB" w:rsidP="0096524F">
      <w:pPr>
        <w:pStyle w:val="BNormal"/>
      </w:pPr>
      <w:r w:rsidRPr="0096524F">
        <w:t>In any event, it is clear from the cases discussed in Section II.D.4</w:t>
      </w:r>
      <w:r w:rsidR="0096524F" w:rsidRPr="0096524F">
        <w:t>.</w:t>
      </w:r>
      <w:r w:rsidR="0096524F" w:rsidRPr="0096524F">
        <w:t xml:space="preserve"> </w:t>
      </w:r>
      <w:r w:rsidR="0096524F" w:rsidRPr="0096524F">
        <w:t>a</w:t>
      </w:r>
      <w:r w:rsidRPr="0096524F">
        <w:t>bove that similarity often plays a pivotal role in the analysis of blurring and courts should not lightly find that an offending mark sufficiently “conjures up” the famous mark.</w:t>
      </w:r>
    </w:p>
    <w:p w14:paraId="477A45D6" w14:textId="45C85826" w:rsidR="0096524F" w:rsidRPr="0096524F" w:rsidRDefault="00371CCB" w:rsidP="00175762">
      <w:pPr>
        <w:pStyle w:val="BHead3"/>
      </w:pPr>
      <w:r>
        <w:t>9.II.D.</w:t>
      </w:r>
      <w:r w:rsidR="0096524F" w:rsidRPr="00175762">
        <w:rPr>
          <w:rStyle w:val="BBNAidChar"/>
          <w:rFonts w:eastAsiaTheme="majorEastAsia"/>
        </w:rPr>
        <w:t>6</w:t>
      </w:r>
      <w:r w:rsidR="0096524F" w:rsidRPr="0096524F">
        <w:t>.</w:t>
      </w:r>
      <w:r>
        <w:t> </w:t>
      </w:r>
      <w:r w:rsidR="0096524F" w:rsidRPr="0096524F">
        <w:tab/>
        <w:t>Summary:</w:t>
      </w:r>
      <w:r w:rsidR="0096524F" w:rsidRPr="0096524F">
        <w:t xml:space="preserve"> </w:t>
      </w:r>
      <w:r w:rsidR="0096524F" w:rsidRPr="0096524F">
        <w:t>Judicial Application of the Factors of Blurring</w:t>
      </w:r>
    </w:p>
    <w:p w14:paraId="711D97C2" w14:textId="09DBA7E3" w:rsidR="0096524F" w:rsidRPr="0096524F" w:rsidRDefault="00A60ADB" w:rsidP="0096524F">
      <w:pPr>
        <w:pStyle w:val="BNormal"/>
      </w:pPr>
      <w:r w:rsidRPr="0096524F">
        <w:t>In the absence of significant appellate guidance, any conclusions about the importance of various factors are necessarily somewhat speculative</w:t>
      </w:r>
      <w:r w:rsidR="0096524F" w:rsidRPr="0096524F">
        <w:t>.</w:t>
      </w:r>
      <w:r w:rsidR="0096524F" w:rsidRPr="0096524F">
        <w:t xml:space="preserve"> </w:t>
      </w:r>
      <w:r w:rsidR="0096524F" w:rsidRPr="0096524F">
        <w:t>H</w:t>
      </w:r>
      <w:r w:rsidRPr="0096524F">
        <w:t>owever, from the cases discussed in Section II.D.4</w:t>
      </w:r>
      <w:r w:rsidR="0096524F" w:rsidRPr="0096524F">
        <w:t>.</w:t>
      </w:r>
      <w:r w:rsidR="0096524F" w:rsidRPr="0096524F">
        <w:t xml:space="preserve"> </w:t>
      </w:r>
      <w:r w:rsidR="0096524F" w:rsidRPr="0096524F">
        <w:t>a</w:t>
      </w:r>
      <w:r w:rsidRPr="0096524F">
        <w:t>bove, we may draw a few tentative conclusions about the way courts are applying the TDRA blurring factors.</w:t>
      </w:r>
    </w:p>
    <w:p w14:paraId="0945329C" w14:textId="0BA3F3E9" w:rsidR="0096524F" w:rsidRPr="0096524F" w:rsidRDefault="00A60ADB" w:rsidP="0096524F">
      <w:pPr>
        <w:pStyle w:val="BNormal"/>
      </w:pPr>
      <w:r w:rsidRPr="0096524F">
        <w:t>It is clear that similarity of the marks at issue plays a critical role in the outcome of cases</w:t>
      </w:r>
      <w:r w:rsidR="0096524F" w:rsidRPr="0096524F">
        <w:t>.</w:t>
      </w:r>
      <w:r w:rsidR="0096524F" w:rsidRPr="0096524F">
        <w:t xml:space="preserve"> </w:t>
      </w:r>
      <w:r w:rsidR="0096524F" w:rsidRPr="0096524F">
        <w:t>I</w:t>
      </w:r>
      <w:r w:rsidRPr="0096524F">
        <w:t>n several cases denying liability, courts have cited a lack of similarity as a primary reason</w:t>
      </w:r>
      <w:r w:rsidR="0096524F" w:rsidRPr="0096524F">
        <w:t>.</w:t>
      </w:r>
      <w:r w:rsidR="0096524F" w:rsidRPr="0096524F">
        <w:t xml:space="preserve"> </w:t>
      </w:r>
      <w:r w:rsidR="0096524F" w:rsidRPr="0096524F">
        <w:t>C</w:t>
      </w:r>
      <w:r w:rsidRPr="0096524F">
        <w:t>onversely, when courts find similarity they usually find likelihood of dilution</w:t>
      </w:r>
      <w:r w:rsidR="0096524F" w:rsidRPr="0096524F">
        <w:t>.</w:t>
      </w:r>
      <w:r w:rsidR="0096524F" w:rsidRPr="0096524F">
        <w:t xml:space="preserve"> </w:t>
      </w:r>
      <w:r w:rsidR="0096524F" w:rsidRPr="0096524F">
        <w:t>T</w:t>
      </w:r>
      <w:r w:rsidRPr="0096524F">
        <w:t>he TTAB cases discussed in Section II.D.4</w:t>
      </w:r>
      <w:r w:rsidR="0096524F" w:rsidRPr="0096524F">
        <w:t>.</w:t>
      </w:r>
      <w:r w:rsidR="0096524F" w:rsidRPr="0096524F">
        <w:t xml:space="preserve"> </w:t>
      </w:r>
      <w:r w:rsidR="0096524F" w:rsidRPr="0096524F">
        <w:t>a</w:t>
      </w:r>
      <w:r w:rsidRPr="0096524F">
        <w:t>bove illustrate this well—the one case rejecting a dilution claim was the one where similarity was not sufficient to favor the opposer.</w:t>
      </w:r>
    </w:p>
    <w:p w14:paraId="7E1EE111" w14:textId="22C85265" w:rsidR="0096524F" w:rsidRPr="0096524F" w:rsidRDefault="00A60ADB" w:rsidP="0096524F">
      <w:pPr>
        <w:pStyle w:val="BNormal"/>
      </w:pPr>
      <w:r w:rsidRPr="0096524F">
        <w:t xml:space="preserve">As is the case with an analogous factor in the conventional confusion analysis, intent to create an association tends to greatly favor the plaintiff, except where the defendant can show a clearly successful parody, such as in the Chewy </w:t>
      </w:r>
      <w:proofErr w:type="spellStart"/>
      <w:r w:rsidRPr="0096524F">
        <w:t>Vuiton</w:t>
      </w:r>
      <w:proofErr w:type="spellEnd"/>
      <w:r w:rsidRPr="0096524F">
        <w:t xml:space="preserve"> case</w:t>
      </w:r>
      <w:r w:rsidR="0096524F" w:rsidRPr="0096524F">
        <w:t>.</w:t>
      </w:r>
      <w:r w:rsidR="0096524F" w:rsidRPr="0096524F">
        <w:t xml:space="preserve"> </w:t>
      </w:r>
      <w:r w:rsidR="0096524F" w:rsidRPr="0096524F">
        <w:t>B</w:t>
      </w:r>
      <w:r w:rsidRPr="0096524F">
        <w:t>ut, as was evident in the case of the Hershey candy wrapper, unless a court can reasonably connect the intent to some actual association (or at least likelihood of actual association), then there is no predicate for a dilution claim</w:t>
      </w:r>
      <w:r w:rsidR="0096524F" w:rsidRPr="0096524F">
        <w:t>.</w:t>
      </w:r>
      <w:r w:rsidR="0096524F" w:rsidRPr="0096524F">
        <w:t xml:space="preserve"> </w:t>
      </w:r>
      <w:r w:rsidR="0096524F" w:rsidRPr="0096524F">
        <w:t>M</w:t>
      </w:r>
      <w:r w:rsidRPr="0096524F">
        <w:t>oreover, it is worth remembering that the definition requires more than association—it requires an association that is likely to cause some harm to the mark’s distinctiveness.</w:t>
      </w:r>
    </w:p>
    <w:p w14:paraId="6FED7FAB" w14:textId="51E526ED" w:rsidR="0096524F" w:rsidRPr="0096524F" w:rsidRDefault="00A60ADB" w:rsidP="0096524F">
      <w:pPr>
        <w:pStyle w:val="BNormal"/>
      </w:pPr>
      <w:r w:rsidRPr="0096524F">
        <w:lastRenderedPageBreak/>
        <w:t>Obviously, any mark eligible for dilution protection must be famous, so a high degree of distinctiveness and recognition should be expected</w:t>
      </w:r>
      <w:r w:rsidR="0096524F" w:rsidRPr="0096524F">
        <w:t>.</w:t>
      </w:r>
      <w:r w:rsidR="0096524F" w:rsidRPr="0096524F">
        <w:t xml:space="preserve"> </w:t>
      </w:r>
      <w:r w:rsidR="0096524F" w:rsidRPr="0096524F">
        <w:t>U</w:t>
      </w:r>
      <w:r w:rsidRPr="0096524F">
        <w:t>niqueness has been cited in some of the cases, and this can come in two different contexts</w:t>
      </w:r>
      <w:r w:rsidR="0096524F" w:rsidRPr="0096524F">
        <w:t>.</w:t>
      </w:r>
      <w:r w:rsidR="0096524F" w:rsidRPr="0096524F">
        <w:t xml:space="preserve"> </w:t>
      </w:r>
      <w:r w:rsidR="0096524F" w:rsidRPr="0096524F">
        <w:t>T</w:t>
      </w:r>
      <w:r w:rsidRPr="0096524F">
        <w:t>he factor of exclusive usage is a measure of uniqueness</w:t>
      </w:r>
      <w:r w:rsidR="0096524F" w:rsidRPr="0096524F">
        <w:t>.</w:t>
      </w:r>
      <w:r w:rsidR="0096524F" w:rsidRPr="0096524F">
        <w:t xml:space="preserve"> </w:t>
      </w:r>
      <w:r w:rsidR="0096524F" w:rsidRPr="0096524F">
        <w:t>I</w:t>
      </w:r>
      <w:r w:rsidRPr="0096524F">
        <w:t>n addition, an inherently distinctive mark is more likely to be unique, and thus affected by an association, than a non-inherently distinctive mark</w:t>
      </w:r>
      <w:r w:rsidR="0096524F" w:rsidRPr="0096524F">
        <w:t>.</w:t>
      </w:r>
      <w:r w:rsidR="0096524F" w:rsidRPr="0096524F">
        <w:t xml:space="preserve"> </w:t>
      </w:r>
      <w:r w:rsidR="0096524F" w:rsidRPr="0096524F">
        <w:t>A</w:t>
      </w:r>
      <w:r w:rsidRPr="0096524F">
        <w:t>t least two cases have pointed to this latter factor as being important to the decision.</w:t>
      </w:r>
      <w:r w:rsidR="0096524F" w:rsidRPr="0096524F">
        <w:rPr>
          <w:vertAlign w:val="superscript"/>
        </w:rPr>
        <w:footnoteReference w:id="384"/>
      </w:r>
    </w:p>
    <w:p w14:paraId="2D484DF7" w14:textId="1A8EB4F5" w:rsidR="0096524F" w:rsidRPr="0096524F" w:rsidRDefault="00A60ADB" w:rsidP="0096524F">
      <w:pPr>
        <w:pStyle w:val="BNormal"/>
      </w:pPr>
      <w:r w:rsidRPr="0096524F">
        <w:t>Ultimately, two critical questions remain unanswered</w:t>
      </w:r>
      <w:r w:rsidR="0096524F" w:rsidRPr="0096524F">
        <w:t>.</w:t>
      </w:r>
      <w:r w:rsidR="0096524F" w:rsidRPr="0096524F">
        <w:t xml:space="preserve"> </w:t>
      </w:r>
      <w:r w:rsidR="0096524F" w:rsidRPr="0096524F">
        <w:t>F</w:t>
      </w:r>
      <w:r w:rsidRPr="0096524F">
        <w:t>irst, there is a serious question of the degree to which some of the closest cases (such as those involving New York City Triathlon, America’s Team, and a Hershey candy bar wrapper) are influenced by a finding of confusion</w:t>
      </w:r>
      <w:r w:rsidR="0096524F" w:rsidRPr="0096524F">
        <w:t>.</w:t>
      </w:r>
      <w:r w:rsidR="0096524F" w:rsidRPr="0096524F">
        <w:t xml:space="preserve"> </w:t>
      </w:r>
      <w:r w:rsidR="0096524F" w:rsidRPr="0096524F">
        <w:t>I</w:t>
      </w:r>
      <w:r w:rsidRPr="0096524F">
        <w:t>n several cases, courts have referred back to their discussions of confusion in their analyses of the dilution claim</w:t>
      </w:r>
      <w:r w:rsidR="0096524F" w:rsidRPr="0096524F">
        <w:t>.</w:t>
      </w:r>
      <w:r w:rsidR="0096524F" w:rsidRPr="0096524F">
        <w:t xml:space="preserve"> </w:t>
      </w:r>
      <w:r w:rsidR="0096524F" w:rsidRPr="0096524F">
        <w:t>S</w:t>
      </w:r>
      <w:r w:rsidRPr="0096524F">
        <w:t>econd, there is still a question whether courts can, in a principled fashion, apply a test that requires more than just a famous mark and a very similar second use</w:t>
      </w:r>
      <w:r w:rsidR="0096524F" w:rsidRPr="0096524F">
        <w:t>.</w:t>
      </w:r>
      <w:r w:rsidR="0096524F" w:rsidRPr="0096524F">
        <w:t xml:space="preserve"> </w:t>
      </w:r>
      <w:r w:rsidR="0096524F" w:rsidRPr="0096524F">
        <w:t>T</w:t>
      </w:r>
      <w:r w:rsidRPr="0096524F">
        <w:t>he two forms of uniqueness and a greater insistence on at least evidence of association may be important if the test is to be applied appropriately.</w:t>
      </w:r>
    </w:p>
    <w:p w14:paraId="40C5FD96" w14:textId="2FCF8827" w:rsidR="0096524F" w:rsidRPr="0096524F" w:rsidRDefault="00A60ADB" w:rsidP="0096524F">
      <w:pPr>
        <w:pStyle w:val="BNormal"/>
      </w:pPr>
      <w:r w:rsidRPr="0096524F">
        <w:t>One final issue is the standard of appellate review of a district court’s evaluation of dilution by blurring.</w:t>
      </w:r>
      <w:r w:rsidR="0096524F" w:rsidRPr="0096524F">
        <w:rPr>
          <w:vertAlign w:val="superscript"/>
        </w:rPr>
        <w:footnoteReference w:id="385"/>
      </w:r>
      <w:r w:rsidRPr="0096524F">
        <w:t xml:space="preserve"> As is the case with respect to ordinary infringement, the circuits are not uniform on this issue</w:t>
      </w:r>
      <w:r w:rsidR="0096524F" w:rsidRPr="0096524F">
        <w:t>.</w:t>
      </w:r>
      <w:r w:rsidR="0096524F" w:rsidRPr="0096524F">
        <w:t xml:space="preserve"> </w:t>
      </w:r>
      <w:r w:rsidR="0096524F" w:rsidRPr="0096524F">
        <w:t>T</w:t>
      </w:r>
      <w:r w:rsidRPr="0096524F">
        <w:t xml:space="preserve">he Second Circuit “review[s] the [district] court’s determination as to each factor for clear error and its balancing of those factors </w:t>
      </w:r>
      <w:r w:rsidR="0096524F" w:rsidRPr="0096524F">
        <w:rPr>
          <w:i/>
        </w:rPr>
        <w:t>de novo</w:t>
      </w:r>
      <w:r w:rsidRPr="0096524F">
        <w:t>.”</w:t>
      </w:r>
      <w:r w:rsidR="0096524F" w:rsidRPr="0096524F">
        <w:rPr>
          <w:vertAlign w:val="superscript"/>
        </w:rPr>
        <w:footnoteReference w:id="386"/>
      </w:r>
      <w:r w:rsidRPr="0096524F">
        <w:t xml:space="preserve"> The Fourth Circuit has held that “likelihood of dilution, like likelihood of confusion, is a fact-intensive inquiry, so the appropriate standard of review is clear error.”</w:t>
      </w:r>
      <w:r w:rsidR="0096524F" w:rsidRPr="0096524F">
        <w:rPr>
          <w:vertAlign w:val="superscript"/>
        </w:rPr>
        <w:footnoteReference w:id="387"/>
      </w:r>
      <w:r w:rsidRPr="0096524F">
        <w:t xml:space="preserve"> Both of these holdings mirror those circuits’ review of likelihood of confusion</w:t>
      </w:r>
      <w:r w:rsidR="0096524F" w:rsidRPr="0096524F">
        <w:t>.</w:t>
      </w:r>
      <w:r w:rsidR="0096524F" w:rsidRPr="0096524F">
        <w:t xml:space="preserve"> </w:t>
      </w:r>
      <w:r w:rsidR="0096524F" w:rsidRPr="0096524F">
        <w:t>T</w:t>
      </w:r>
      <w:r w:rsidRPr="0096524F">
        <w:t>hus, one would expect most circuits to follow that template and use the standard of review applied to ordinary infringement—which is not uniform.</w:t>
      </w:r>
    </w:p>
    <w:p w14:paraId="43B59B15" w14:textId="31EA8332" w:rsidR="0096524F" w:rsidRPr="0096524F" w:rsidRDefault="00371CCB" w:rsidP="00175762">
      <w:pPr>
        <w:pStyle w:val="BHead2"/>
      </w:pPr>
      <w:r>
        <w:t>9.II.</w:t>
      </w:r>
      <w:r w:rsidR="0096524F" w:rsidRPr="00175762">
        <w:rPr>
          <w:rStyle w:val="BBNAidChar"/>
          <w:rFonts w:eastAsiaTheme="majorEastAsia"/>
        </w:rPr>
        <w:t>E</w:t>
      </w:r>
      <w:r w:rsidR="0096524F" w:rsidRPr="0096524F">
        <w:t>.</w:t>
      </w:r>
      <w:r>
        <w:t> </w:t>
      </w:r>
      <w:r w:rsidR="0096524F" w:rsidRPr="0096524F">
        <w:tab/>
        <w:t xml:space="preserve">Determining Dilution by </w:t>
      </w:r>
      <w:proofErr w:type="spellStart"/>
      <w:r w:rsidR="0096524F" w:rsidRPr="0096524F">
        <w:t>Tarnishment</w:t>
      </w:r>
      <w:proofErr w:type="spellEnd"/>
    </w:p>
    <w:p w14:paraId="10643B75" w14:textId="0CB7E365" w:rsidR="0096524F" w:rsidRPr="0096524F" w:rsidRDefault="00371CCB" w:rsidP="00175762">
      <w:pPr>
        <w:pStyle w:val="BHead3"/>
      </w:pPr>
      <w:r>
        <w:t>9.II.E.</w:t>
      </w:r>
      <w:r w:rsidR="0096524F" w:rsidRPr="00175762">
        <w:rPr>
          <w:rStyle w:val="BBNAidChar"/>
          <w:rFonts w:eastAsiaTheme="majorEastAsia"/>
        </w:rPr>
        <w:t>1</w:t>
      </w:r>
      <w:r w:rsidR="0096524F" w:rsidRPr="0096524F">
        <w:t>.</w:t>
      </w:r>
      <w:r>
        <w:t> </w:t>
      </w:r>
      <w:r w:rsidR="0096524F" w:rsidRPr="0096524F">
        <w:tab/>
        <w:t xml:space="preserve">Defining </w:t>
      </w:r>
      <w:proofErr w:type="spellStart"/>
      <w:r w:rsidR="0096524F" w:rsidRPr="0096524F">
        <w:t>Tarnishment</w:t>
      </w:r>
      <w:proofErr w:type="spellEnd"/>
    </w:p>
    <w:p w14:paraId="2755FD06" w14:textId="6011BCCF" w:rsidR="0096524F" w:rsidRPr="0096524F" w:rsidRDefault="00A60ADB" w:rsidP="0096524F">
      <w:pPr>
        <w:pStyle w:val="BNormal"/>
      </w:pPr>
      <w:r w:rsidRPr="0096524F">
        <w:t xml:space="preserve">As discussed earlier in this book, </w:t>
      </w:r>
      <w:proofErr w:type="spellStart"/>
      <w:r w:rsidRPr="0096524F">
        <w:t>tarnishment</w:t>
      </w:r>
      <w:proofErr w:type="spellEnd"/>
      <w:r w:rsidRPr="0096524F">
        <w:t xml:space="preserve"> occurs when a trademark is associated with unwholesome or shoddy products or circumstances.</w:t>
      </w:r>
      <w:r w:rsidR="0096524F" w:rsidRPr="0096524F">
        <w:rPr>
          <w:vertAlign w:val="superscript"/>
        </w:rPr>
        <w:footnoteReference w:id="388"/>
      </w:r>
      <w:r w:rsidRPr="0096524F">
        <w:t xml:space="preserve"> Very often, but not exclusively, these associations involve sex or drugs.</w:t>
      </w:r>
      <w:r w:rsidR="0096524F" w:rsidRPr="0096524F">
        <w:rPr>
          <w:vertAlign w:val="superscript"/>
        </w:rPr>
        <w:footnoteReference w:id="389"/>
      </w:r>
      <w:r w:rsidRPr="0096524F">
        <w:t xml:space="preserve"> When a famous mark is associated with such unwelcome situations, the positive associations consumers originally had with the mark may become degraded by the new association of the mark with the unsavory activity.</w:t>
      </w:r>
      <w:r w:rsidR="0096524F" w:rsidRPr="0096524F">
        <w:rPr>
          <w:vertAlign w:val="superscript"/>
        </w:rPr>
        <w:footnoteReference w:id="390"/>
      </w:r>
      <w:r w:rsidRPr="0096524F">
        <w:t xml:space="preserve"> This may diminish the mark’s value as a marketing tool and reduce its selling power </w:t>
      </w:r>
      <w:r w:rsidRPr="0096524F">
        <w:lastRenderedPageBreak/>
        <w:t>among consumers.</w:t>
      </w:r>
      <w:r w:rsidR="0096524F" w:rsidRPr="0096524F">
        <w:rPr>
          <w:vertAlign w:val="superscript"/>
        </w:rPr>
        <w:footnoteReference w:id="391"/>
      </w:r>
      <w:r w:rsidRPr="0096524F">
        <w:t xml:space="preserve">However, the TDRA definition of </w:t>
      </w:r>
      <w:proofErr w:type="spellStart"/>
      <w:r w:rsidRPr="0096524F">
        <w:t>tarnishment</w:t>
      </w:r>
      <w:proofErr w:type="spellEnd"/>
      <w:r w:rsidRPr="0096524F">
        <w:t xml:space="preserve"> only indirectly relates to the marketing value of the trademark, focusing on the reputation, not distinctiveness, of the mark.</w:t>
      </w:r>
    </w:p>
    <w:p w14:paraId="15D1306E" w14:textId="5A1BBF57" w:rsidR="0096524F" w:rsidRPr="0096524F" w:rsidRDefault="00A60ADB" w:rsidP="0096524F">
      <w:pPr>
        <w:pStyle w:val="BNormal"/>
      </w:pPr>
      <w:r w:rsidRPr="0096524F">
        <w:t xml:space="preserve">The TDRA makes clear that claims for </w:t>
      </w:r>
      <w:proofErr w:type="spellStart"/>
      <w:r w:rsidRPr="0096524F">
        <w:t>tarnishment</w:t>
      </w:r>
      <w:proofErr w:type="spellEnd"/>
      <w:r w:rsidRPr="0096524F">
        <w:t xml:space="preserve"> are included in the federal dilution statute</w:t>
      </w:r>
      <w:r w:rsidR="0096524F" w:rsidRPr="0096524F">
        <w:t>;</w:t>
      </w:r>
      <w:r w:rsidR="0096524F" w:rsidRPr="0096524F">
        <w:t xml:space="preserve"> </w:t>
      </w:r>
      <w:r w:rsidR="0096524F" w:rsidRPr="0096524F">
        <w:t>t</w:t>
      </w:r>
      <w:r w:rsidRPr="0096524F">
        <w:t>he original FTDA language was not so clear.</w:t>
      </w:r>
      <w:r w:rsidR="0096524F" w:rsidRPr="0096524F">
        <w:rPr>
          <w:vertAlign w:val="superscript"/>
        </w:rPr>
        <w:footnoteReference w:id="392"/>
      </w:r>
      <w:r w:rsidRPr="0096524F">
        <w:t xml:space="preserve"> Moreover, unlike any previous dilution statutes, the TDRA actually defines dilution by </w:t>
      </w:r>
      <w:proofErr w:type="spellStart"/>
      <w:r w:rsidRPr="0096524F">
        <w:t>tarnishment</w:t>
      </w:r>
      <w:proofErr w:type="spellEnd"/>
      <w:r w:rsidRPr="0096524F">
        <w:t xml:space="preserve"> as an “association arising from the similarity between a mark or trade name and a famous mark that harms the reputation of the famous mark.”</w:t>
      </w:r>
      <w:r w:rsidR="0096524F" w:rsidRPr="0096524F">
        <w:rPr>
          <w:vertAlign w:val="superscript"/>
        </w:rPr>
        <w:footnoteReference w:id="393"/>
      </w:r>
      <w:r w:rsidRPr="0096524F">
        <w:t xml:space="preserve"> Potentially, this is broader than the existing case law, because it looks only at the result—harm to the reputation of the famous mark—and not to the situations causing such harm</w:t>
      </w:r>
      <w:r w:rsidR="0096524F" w:rsidRPr="0096524F">
        <w:t>.</w:t>
      </w:r>
      <w:r w:rsidR="0096524F" w:rsidRPr="0096524F">
        <w:t xml:space="preserve"> </w:t>
      </w:r>
      <w:r w:rsidR="0096524F" w:rsidRPr="0096524F">
        <w:t>A</w:t>
      </w:r>
      <w:r w:rsidRPr="0096524F">
        <w:t>gain, it does not focus on the distinctiveness of the famous mark but, rather, on its message</w:t>
      </w:r>
      <w:r w:rsidR="0096524F" w:rsidRPr="0096524F">
        <w:t>.</w:t>
      </w:r>
      <w:r w:rsidR="0096524F" w:rsidRPr="0096524F">
        <w:t xml:space="preserve"> </w:t>
      </w:r>
      <w:r w:rsidR="0096524F" w:rsidRPr="0096524F">
        <w:t>T</w:t>
      </w:r>
      <w:r w:rsidRPr="0096524F">
        <w:t xml:space="preserve">hat is, even if the reputational harm is caused by something other than an association with unsavory conduct or items, and even if it does not diminish the uniqueness (or distinctiveness) of the famous mark, the TDRA definition seems to include such harm within the definition of </w:t>
      </w:r>
      <w:proofErr w:type="spellStart"/>
      <w:r w:rsidRPr="0096524F">
        <w:t>tarnishment</w:t>
      </w:r>
      <w:proofErr w:type="spellEnd"/>
      <w:r w:rsidR="0096524F" w:rsidRPr="0096524F">
        <w:t>.</w:t>
      </w:r>
      <w:r w:rsidR="0096524F" w:rsidRPr="0096524F">
        <w:t xml:space="preserve"> </w:t>
      </w:r>
      <w:r w:rsidR="0096524F" w:rsidRPr="0096524F">
        <w:t>T</w:t>
      </w:r>
      <w:r w:rsidRPr="0096524F">
        <w:t>his may place greater emphasis on the exclusions from liability</w:t>
      </w:r>
      <w:r w:rsidR="0096524F" w:rsidRPr="0096524F">
        <w:rPr>
          <w:vertAlign w:val="superscript"/>
        </w:rPr>
        <w:footnoteReference w:id="394"/>
      </w:r>
      <w:r w:rsidRPr="0096524F">
        <w:t xml:space="preserve"> as the limiting factors in a </w:t>
      </w:r>
      <w:proofErr w:type="spellStart"/>
      <w:r w:rsidRPr="0096524F">
        <w:t>tarnishment</w:t>
      </w:r>
      <w:proofErr w:type="spellEnd"/>
      <w:r w:rsidRPr="0096524F">
        <w:t xml:space="preserve"> case.</w:t>
      </w:r>
    </w:p>
    <w:p w14:paraId="2C0715DC" w14:textId="47378DE1" w:rsidR="0096524F" w:rsidRPr="0096524F" w:rsidRDefault="00A60ADB" w:rsidP="0096524F">
      <w:pPr>
        <w:pStyle w:val="BNormal"/>
      </w:pPr>
      <w:r w:rsidRPr="0096524F">
        <w:t>Unlike under the TDRA’s definition of blurring, the statute provides no guiding factors for courts to consider</w:t>
      </w:r>
      <w:r w:rsidR="0096524F" w:rsidRPr="0096524F">
        <w:t>.</w:t>
      </w:r>
      <w:r w:rsidR="0096524F" w:rsidRPr="0096524F">
        <w:t xml:space="preserve"> </w:t>
      </w:r>
      <w:r w:rsidR="0096524F" w:rsidRPr="0096524F">
        <w:t>T</w:t>
      </w:r>
      <w:r w:rsidRPr="0096524F">
        <w:t>hus, the courts are left to sort out the proper way to determine whether a particular use is likely to harm the famous mark’s reputation.</w:t>
      </w:r>
    </w:p>
    <w:p w14:paraId="7971C501" w14:textId="059B3F16" w:rsidR="0096524F" w:rsidRPr="0096524F" w:rsidRDefault="00371CCB" w:rsidP="00175762">
      <w:pPr>
        <w:pStyle w:val="BHead3"/>
      </w:pPr>
      <w:r>
        <w:t>9.II.E.</w:t>
      </w:r>
      <w:r w:rsidR="0096524F" w:rsidRPr="00175762">
        <w:rPr>
          <w:rStyle w:val="BBNAidChar"/>
          <w:rFonts w:eastAsiaTheme="majorEastAsia"/>
        </w:rPr>
        <w:t>2</w:t>
      </w:r>
      <w:r w:rsidR="0096524F" w:rsidRPr="0096524F">
        <w:t>.</w:t>
      </w:r>
      <w:r>
        <w:t> </w:t>
      </w:r>
      <w:r w:rsidR="0096524F" w:rsidRPr="0096524F">
        <w:tab/>
        <w:t xml:space="preserve">Conduct Constituting </w:t>
      </w:r>
      <w:proofErr w:type="spellStart"/>
      <w:r w:rsidR="0096524F" w:rsidRPr="0096524F">
        <w:t>Tarnishment</w:t>
      </w:r>
      <w:proofErr w:type="spellEnd"/>
      <w:r w:rsidR="0096524F" w:rsidRPr="0096524F">
        <w:t>:</w:t>
      </w:r>
      <w:r w:rsidR="0096524F" w:rsidRPr="0096524F">
        <w:t xml:space="preserve"> </w:t>
      </w:r>
      <w:r w:rsidR="0096524F" w:rsidRPr="0096524F">
        <w:t>Judicial Evaluations</w:t>
      </w:r>
    </w:p>
    <w:p w14:paraId="03EFF845" w14:textId="4926D568" w:rsidR="0096524F" w:rsidRPr="0096524F" w:rsidRDefault="00A60ADB" w:rsidP="0096524F">
      <w:pPr>
        <w:pStyle w:val="BNormal"/>
      </w:pPr>
      <w:r w:rsidRPr="0096524F">
        <w:t xml:space="preserve">Now that it is clear that dilution by </w:t>
      </w:r>
      <w:proofErr w:type="spellStart"/>
      <w:r w:rsidRPr="0096524F">
        <w:t>tarnishment</w:t>
      </w:r>
      <w:proofErr w:type="spellEnd"/>
      <w:r w:rsidRPr="0096524F">
        <w:t xml:space="preserve"> is actionable under the TDRA, judicial evaluations should be the most helpful guides to this category of dilution</w:t>
      </w:r>
      <w:r w:rsidR="0096524F" w:rsidRPr="0096524F">
        <w:t>.</w:t>
      </w:r>
      <w:r w:rsidR="0096524F" w:rsidRPr="0096524F">
        <w:t xml:space="preserve"> </w:t>
      </w:r>
      <w:r w:rsidR="0096524F" w:rsidRPr="0096524F">
        <w:t>A</w:t>
      </w:r>
      <w:r w:rsidRPr="0096524F">
        <w:t xml:space="preserve">s indicated in the discussion of dilution under state law, courts have found </w:t>
      </w:r>
      <w:proofErr w:type="spellStart"/>
      <w:r w:rsidRPr="0096524F">
        <w:t>tarnishment</w:t>
      </w:r>
      <w:proofErr w:type="spellEnd"/>
      <w:r w:rsidRPr="0096524F">
        <w:t xml:space="preserve"> to occur in several different types of situations.</w:t>
      </w:r>
      <w:r w:rsidR="0096524F" w:rsidRPr="0096524F">
        <w:rPr>
          <w:vertAlign w:val="superscript"/>
        </w:rPr>
        <w:footnoteReference w:id="395"/>
      </w:r>
      <w:r w:rsidRPr="0096524F">
        <w:t xml:space="preserve"> These situations include</w:t>
      </w:r>
      <w:r w:rsidR="0096524F" w:rsidRPr="0096524F">
        <w:t>:</w:t>
      </w:r>
      <w:r w:rsidR="0096524F" w:rsidRPr="0096524F">
        <w:t xml:space="preserve"> </w:t>
      </w:r>
      <w:r w:rsidR="0096524F" w:rsidRPr="0096524F">
        <w:t>(</w:t>
      </w:r>
      <w:r w:rsidRPr="0096524F">
        <w:t>1) association of the senior mark with unwholesome activity, such as drugs or pornography</w:t>
      </w:r>
      <w:r w:rsidR="0096524F" w:rsidRPr="0096524F">
        <w:t>;</w:t>
      </w:r>
      <w:r w:rsidR="0096524F" w:rsidRPr="0096524F">
        <w:t xml:space="preserve"> </w:t>
      </w:r>
      <w:r w:rsidR="0096524F" w:rsidRPr="0096524F">
        <w:t>(</w:t>
      </w:r>
      <w:r w:rsidRPr="0096524F">
        <w:t>2) association of the senior mark with goods of poor quality</w:t>
      </w:r>
      <w:r w:rsidR="0096524F" w:rsidRPr="0096524F">
        <w:t>;</w:t>
      </w:r>
      <w:r w:rsidR="0096524F" w:rsidRPr="0096524F">
        <w:t xml:space="preserve"> </w:t>
      </w:r>
      <w:r w:rsidR="0096524F" w:rsidRPr="0096524F">
        <w:t>a</w:t>
      </w:r>
      <w:r w:rsidRPr="0096524F">
        <w:t>nd (3) subjection of the mark to ridicule (as for example, by a parody or satire)</w:t>
      </w:r>
      <w:r w:rsidR="0096524F" w:rsidRPr="0096524F">
        <w:t>.</w:t>
      </w:r>
      <w:r w:rsidR="0096524F" w:rsidRPr="0096524F">
        <w:t xml:space="preserve"> </w:t>
      </w:r>
      <w:r w:rsidR="0096524F" w:rsidRPr="0096524F">
        <w:t>F</w:t>
      </w:r>
      <w:r w:rsidRPr="0096524F">
        <w:t xml:space="preserve">ederal courts deciding FTDA claims prior to the TDRA appear to have been using state-law </w:t>
      </w:r>
      <w:proofErr w:type="spellStart"/>
      <w:r w:rsidRPr="0096524F">
        <w:t>tarnishment</w:t>
      </w:r>
      <w:proofErr w:type="spellEnd"/>
      <w:r w:rsidRPr="0096524F">
        <w:t xml:space="preserve"> claims as a guide to federal claims</w:t>
      </w:r>
      <w:r w:rsidR="0096524F" w:rsidRPr="0096524F">
        <w:t>.</w:t>
      </w:r>
      <w:r w:rsidR="0096524F" w:rsidRPr="0096524F">
        <w:t xml:space="preserve"> </w:t>
      </w:r>
      <w:r w:rsidR="0096524F" w:rsidRPr="0096524F">
        <w:t>I</w:t>
      </w:r>
      <w:r w:rsidRPr="0096524F">
        <w:t>n some ways, this is consistent with the TDRA because the state laws that they were following made “injury to business reputation” actionable</w:t>
      </w:r>
      <w:r w:rsidR="0096524F" w:rsidRPr="0096524F">
        <w:t>.</w:t>
      </w:r>
      <w:r w:rsidR="0096524F" w:rsidRPr="0096524F">
        <w:t xml:space="preserve"> </w:t>
      </w:r>
      <w:r w:rsidR="0096524F" w:rsidRPr="0096524F">
        <w:t>H</w:t>
      </w:r>
      <w:r w:rsidRPr="0096524F">
        <w:t xml:space="preserve">owever, as discussed below, the existence of specific exclusions in the TDRA may circumscribe the application of </w:t>
      </w:r>
      <w:proofErr w:type="spellStart"/>
      <w:r w:rsidRPr="0096524F">
        <w:t>tarnishment</w:t>
      </w:r>
      <w:proofErr w:type="spellEnd"/>
      <w:r w:rsidRPr="0096524F">
        <w:t xml:space="preserve"> in ways that are not applicable under state laws.</w:t>
      </w:r>
      <w:r w:rsidR="0096524F" w:rsidRPr="0096524F">
        <w:rPr>
          <w:vertAlign w:val="superscript"/>
        </w:rPr>
        <w:footnoteReference w:id="396"/>
      </w:r>
      <w:r w:rsidRPr="0096524F">
        <w:t xml:space="preserve"> In addition, the TDRA’s rather broad definition of dilution by </w:t>
      </w:r>
      <w:proofErr w:type="spellStart"/>
      <w:r w:rsidRPr="0096524F">
        <w:t>tarnishment</w:t>
      </w:r>
      <w:proofErr w:type="spellEnd"/>
      <w:r w:rsidRPr="0096524F">
        <w:t xml:space="preserve">, which focuses on harm to reputation rather than the activity causing that harm, may in some cases </w:t>
      </w:r>
      <w:r w:rsidRPr="0096524F">
        <w:lastRenderedPageBreak/>
        <w:t xml:space="preserve">broaden the scope of </w:t>
      </w:r>
      <w:proofErr w:type="spellStart"/>
      <w:r w:rsidRPr="0096524F">
        <w:t>tarnishment</w:t>
      </w:r>
      <w:proofErr w:type="spellEnd"/>
      <w:r w:rsidR="0096524F" w:rsidRPr="0096524F">
        <w:t>.</w:t>
      </w:r>
      <w:r w:rsidR="0096524F" w:rsidRPr="0096524F">
        <w:t xml:space="preserve"> </w:t>
      </w:r>
      <w:r w:rsidR="0096524F" w:rsidRPr="0096524F">
        <w:t>F</w:t>
      </w:r>
      <w:r w:rsidRPr="0096524F">
        <w:t xml:space="preserve">inally, courts seeking to regularize the analysis of </w:t>
      </w:r>
      <w:proofErr w:type="spellStart"/>
      <w:r w:rsidRPr="0096524F">
        <w:t>tarnishment</w:t>
      </w:r>
      <w:proofErr w:type="spellEnd"/>
      <w:r w:rsidRPr="0096524F">
        <w:t xml:space="preserve"> under the TDRA may impose new tests not previously used in </w:t>
      </w:r>
      <w:proofErr w:type="spellStart"/>
      <w:r w:rsidRPr="0096524F">
        <w:t>tarnishment</w:t>
      </w:r>
      <w:proofErr w:type="spellEnd"/>
      <w:r w:rsidRPr="0096524F">
        <w:t xml:space="preserve"> cases under federal law.</w:t>
      </w:r>
      <w:r w:rsidR="0096524F" w:rsidRPr="0096524F">
        <w:rPr>
          <w:vertAlign w:val="superscript"/>
        </w:rPr>
        <w:footnoteReference w:id="397"/>
      </w:r>
    </w:p>
    <w:p w14:paraId="2794FF23" w14:textId="2FCFD49C" w:rsidR="0096524F" w:rsidRPr="0096524F" w:rsidRDefault="00371CCB" w:rsidP="00175762">
      <w:pPr>
        <w:pStyle w:val="BHead4"/>
      </w:pPr>
      <w:r>
        <w:t>9.II.E.2.</w:t>
      </w:r>
      <w:r w:rsidR="0096524F" w:rsidRPr="00175762">
        <w:rPr>
          <w:rStyle w:val="BBNAidChar"/>
          <w:rFonts w:eastAsiaTheme="majorEastAsia"/>
        </w:rPr>
        <w:t>a</w:t>
      </w:r>
      <w:r w:rsidR="0096524F" w:rsidRPr="0096524F">
        <w:t>.</w:t>
      </w:r>
      <w:r>
        <w:t> </w:t>
      </w:r>
      <w:r w:rsidR="0096524F" w:rsidRPr="0096524F">
        <w:tab/>
        <w:t>Sexually Oriented and Other Unwholesome Uses of a Famous Mark</w:t>
      </w:r>
    </w:p>
    <w:p w14:paraId="708201EF" w14:textId="2A3AAB1F" w:rsidR="0096524F" w:rsidRPr="0096524F" w:rsidRDefault="00A60ADB" w:rsidP="0096524F">
      <w:pPr>
        <w:pStyle w:val="BNormal"/>
      </w:pPr>
      <w:r w:rsidRPr="0096524F">
        <w:t xml:space="preserve">One of the most common situations in which courts invoke </w:t>
      </w:r>
      <w:proofErr w:type="spellStart"/>
      <w:r w:rsidRPr="0096524F">
        <w:t>tarnishment</w:t>
      </w:r>
      <w:proofErr w:type="spellEnd"/>
      <w:r w:rsidRPr="0096524F">
        <w:t xml:space="preserve"> is when the allegedly diluting mark is used in connection with conduct deemed unwholesome, particularly sexually oriented uses</w:t>
      </w:r>
      <w:r w:rsidR="0096524F" w:rsidRPr="0096524F">
        <w:t>.</w:t>
      </w:r>
      <w:r w:rsidR="0096524F" w:rsidRPr="0096524F">
        <w:t xml:space="preserve"> </w:t>
      </w:r>
      <w:r w:rsidR="0096524F" w:rsidRPr="0096524F">
        <w:t>T</w:t>
      </w:r>
      <w:r w:rsidRPr="0096524F">
        <w:t>he most common examples of sexually oriented uses of famous marks are on the Internet, either as domain names or on the Web sites themselves,</w:t>
      </w:r>
      <w:r w:rsidR="0096524F" w:rsidRPr="0096524F">
        <w:rPr>
          <w:vertAlign w:val="superscript"/>
        </w:rPr>
        <w:footnoteReference w:id="398"/>
      </w:r>
      <w:r w:rsidRPr="0096524F">
        <w:t xml:space="preserve"> although other such uses have been found tarnishing as well.</w:t>
      </w:r>
      <w:r w:rsidR="0096524F" w:rsidRPr="0096524F">
        <w:rPr>
          <w:vertAlign w:val="superscript"/>
        </w:rPr>
        <w:footnoteReference w:id="399"/>
      </w:r>
      <w:r w:rsidRPr="0096524F">
        <w:t xml:space="preserve"> Sexually oriented uses have also been the subject of a separate analysis by at least one court of appeals, as discussed below in Section II.E.2.a.ii</w:t>
      </w:r>
      <w:r w:rsidR="0096524F" w:rsidRPr="0096524F">
        <w:t>.</w:t>
      </w:r>
      <w:r w:rsidR="0096524F" w:rsidRPr="0096524F">
        <w:t xml:space="preserve"> </w:t>
      </w:r>
      <w:r w:rsidR="0096524F" w:rsidRPr="0096524F">
        <w:t>T</w:t>
      </w:r>
      <w:r w:rsidRPr="0096524F">
        <w:t>he panoply of case law relating to sexually oriented and other unwholesome uses will be discussed in Section II.E.2.a.iii</w:t>
      </w:r>
      <w:r w:rsidR="0096524F" w:rsidRPr="0096524F">
        <w:t>.</w:t>
      </w:r>
      <w:r w:rsidR="0096524F" w:rsidRPr="0096524F">
        <w:t xml:space="preserve"> </w:t>
      </w:r>
      <w:r w:rsidR="0096524F" w:rsidRPr="0096524F">
        <w:t>b</w:t>
      </w:r>
      <w:r w:rsidRPr="0096524F">
        <w:t>elow.</w:t>
      </w:r>
    </w:p>
    <w:p w14:paraId="4A0A1B04" w14:textId="531C1F31" w:rsidR="0096524F" w:rsidRPr="0096524F" w:rsidRDefault="00371CCB" w:rsidP="00175762">
      <w:pPr>
        <w:pStyle w:val="BHead5"/>
      </w:pPr>
      <w:r>
        <w:t>9.II.E.2.a.</w:t>
      </w:r>
      <w:r w:rsidR="0096524F" w:rsidRPr="00175762">
        <w:rPr>
          <w:rStyle w:val="BBNAidChar"/>
        </w:rPr>
        <w:t>i</w:t>
      </w:r>
      <w:r w:rsidR="0096524F" w:rsidRPr="0096524F">
        <w:t>.</w:t>
      </w:r>
      <w:r>
        <w:t> </w:t>
      </w:r>
      <w:r w:rsidR="0096524F" w:rsidRPr="0096524F">
        <w:tab/>
        <w:t>The TDRA Definitional Requirements</w:t>
      </w:r>
    </w:p>
    <w:p w14:paraId="2983B916" w14:textId="64F3E080" w:rsidR="0096524F" w:rsidRPr="0096524F" w:rsidRDefault="00A60ADB" w:rsidP="0096524F">
      <w:pPr>
        <w:pStyle w:val="BNormal"/>
      </w:pPr>
      <w:r w:rsidRPr="0096524F">
        <w:t xml:space="preserve">Under the TDRA definition of dilution by </w:t>
      </w:r>
      <w:proofErr w:type="spellStart"/>
      <w:r w:rsidRPr="0096524F">
        <w:t>tarnishment</w:t>
      </w:r>
      <w:proofErr w:type="spellEnd"/>
      <w:r w:rsidRPr="0096524F">
        <w:t>, a mark owner must show that the offending use is likely to harm the reputation of the famous mark.</w:t>
      </w:r>
      <w:r w:rsidR="0096524F" w:rsidRPr="0096524F">
        <w:rPr>
          <w:vertAlign w:val="superscript"/>
        </w:rPr>
        <w:footnoteReference w:id="400"/>
      </w:r>
      <w:r w:rsidRPr="0096524F">
        <w:t xml:space="preserve"> Although courts prior to, and even post-TDRA, generally have not required mark owners to submit evidence of potential harm to the mark in order to succeed, the specific definition in the TDRA, focusing on harm to reputation, suggests that some mechanism for linking association to harm ought to be required</w:t>
      </w:r>
      <w:r w:rsidR="0096524F" w:rsidRPr="0096524F">
        <w:t>.</w:t>
      </w:r>
      <w:r w:rsidR="0096524F" w:rsidRPr="0096524F">
        <w:t xml:space="preserve"> </w:t>
      </w:r>
      <w:r w:rsidR="0096524F" w:rsidRPr="0096524F">
        <w:t>T</w:t>
      </w:r>
      <w:r w:rsidRPr="0096524F">
        <w:t>hat a use is particularly offensive should not alter this perspective</w:t>
      </w:r>
      <w:r w:rsidR="0096524F" w:rsidRPr="0096524F">
        <w:t>.</w:t>
      </w:r>
      <w:r w:rsidR="0096524F" w:rsidRPr="0096524F">
        <w:t xml:space="preserve"> </w:t>
      </w:r>
      <w:r w:rsidR="0096524F" w:rsidRPr="0096524F">
        <w:t>A</w:t>
      </w:r>
      <w:r w:rsidRPr="0096524F">
        <w:t>lthough the statute specifically states that no economic harm need be shown to demonstrate dilution,</w:t>
      </w:r>
      <w:r w:rsidR="0096524F" w:rsidRPr="0096524F">
        <w:rPr>
          <w:vertAlign w:val="superscript"/>
        </w:rPr>
        <w:footnoteReference w:id="401"/>
      </w:r>
      <w:r w:rsidRPr="0096524F">
        <w:t xml:space="preserve"> it may be possible to show reputational harm in noneconomic terms, such as by a survey</w:t>
      </w:r>
      <w:r w:rsidR="0096524F" w:rsidRPr="0096524F">
        <w:t>.</w:t>
      </w:r>
      <w:r w:rsidR="0096524F" w:rsidRPr="0096524F">
        <w:t xml:space="preserve"> </w:t>
      </w:r>
      <w:r w:rsidR="0096524F" w:rsidRPr="0096524F">
        <w:t>M</w:t>
      </w:r>
      <w:r w:rsidRPr="0096524F">
        <w:t>oreover, when evaluating the harm, courts should note that merely conjuring up the famous mark is not sufficient, nor is it sufficient that the consumer view the offending use with disfavor</w:t>
      </w:r>
      <w:r w:rsidR="0096524F" w:rsidRPr="0096524F">
        <w:t>;</w:t>
      </w:r>
      <w:r w:rsidR="0096524F" w:rsidRPr="0096524F">
        <w:t xml:space="preserve"> </w:t>
      </w:r>
      <w:r w:rsidR="0096524F" w:rsidRPr="0096524F">
        <w:t>t</w:t>
      </w:r>
      <w:r w:rsidRPr="0096524F">
        <w:t>he offending use must be likely to cause harm to the reputation of the famous mark—that is, it must be likely to change the consumer’s perception of the famous mark.</w:t>
      </w:r>
    </w:p>
    <w:p w14:paraId="312E0139" w14:textId="6A0842E4" w:rsidR="0096524F" w:rsidRPr="0096524F" w:rsidRDefault="00A60ADB" w:rsidP="0096524F">
      <w:pPr>
        <w:pStyle w:val="BNormal"/>
      </w:pPr>
      <w:r w:rsidRPr="0096524F">
        <w:t xml:space="preserve">Most courts have taken what appears to be a holistic approach to </w:t>
      </w:r>
      <w:proofErr w:type="spellStart"/>
      <w:r w:rsidRPr="0096524F">
        <w:t>tarnishment</w:t>
      </w:r>
      <w:proofErr w:type="spellEnd"/>
      <w:r w:rsidR="0096524F" w:rsidRPr="0096524F">
        <w:t>.</w:t>
      </w:r>
      <w:r w:rsidR="0096524F" w:rsidRPr="0096524F">
        <w:t xml:space="preserve"> </w:t>
      </w:r>
      <w:r w:rsidR="0096524F" w:rsidRPr="0096524F">
        <w:t>T</w:t>
      </w:r>
      <w:r w:rsidRPr="0096524F">
        <w:t>hat is, they do not employ any particular analytical approach, instead relying on their own sensibilities and, if available, any evidence of harm to the reputation of the famous mark</w:t>
      </w:r>
      <w:r w:rsidR="0096524F" w:rsidRPr="0096524F">
        <w:t>.</w:t>
      </w:r>
      <w:r w:rsidR="0096524F" w:rsidRPr="0096524F">
        <w:t xml:space="preserve"> </w:t>
      </w:r>
      <w:r w:rsidR="0096524F" w:rsidRPr="0096524F">
        <w:t>S</w:t>
      </w:r>
      <w:r w:rsidRPr="0096524F">
        <w:t xml:space="preserve">exually oriented and drug-related uses will tend to offend the judges’ sensibilities and often lead to findings of </w:t>
      </w:r>
      <w:proofErr w:type="spellStart"/>
      <w:r w:rsidRPr="0096524F">
        <w:t>tarnishment</w:t>
      </w:r>
      <w:proofErr w:type="spellEnd"/>
      <w:r w:rsidR="0096524F" w:rsidRPr="0096524F">
        <w:t>.</w:t>
      </w:r>
      <w:r w:rsidR="0096524F" w:rsidRPr="0096524F">
        <w:t xml:space="preserve"> </w:t>
      </w:r>
      <w:r w:rsidR="0096524F" w:rsidRPr="0096524F">
        <w:t>H</w:t>
      </w:r>
      <w:r w:rsidRPr="0096524F">
        <w:t>owever, one appellate court has adopted a formal approach in cases involving sexually oriented uses of famous marks, which will be discussed in Section II.E.2.a.ii below.</w:t>
      </w:r>
    </w:p>
    <w:p w14:paraId="6EACAB48" w14:textId="78E56F51" w:rsidR="0096524F" w:rsidRPr="0096524F" w:rsidRDefault="00371CCB" w:rsidP="00175762">
      <w:pPr>
        <w:pStyle w:val="BHead5"/>
      </w:pPr>
      <w:r>
        <w:t>9.II.E.2.a.</w:t>
      </w:r>
      <w:r w:rsidR="0096524F" w:rsidRPr="00175762">
        <w:rPr>
          <w:rStyle w:val="BBNAidChar"/>
        </w:rPr>
        <w:t>ii</w:t>
      </w:r>
      <w:r w:rsidR="0096524F" w:rsidRPr="0096524F">
        <w:t>.</w:t>
      </w:r>
      <w:r>
        <w:t> </w:t>
      </w:r>
      <w:r w:rsidR="0096524F" w:rsidRPr="0096524F">
        <w:tab/>
        <w:t xml:space="preserve">Presumption of </w:t>
      </w:r>
      <w:proofErr w:type="spellStart"/>
      <w:r w:rsidR="0096524F" w:rsidRPr="0096524F">
        <w:t>Tarnishment</w:t>
      </w:r>
      <w:proofErr w:type="spellEnd"/>
      <w:r w:rsidR="0096524F" w:rsidRPr="0096524F">
        <w:t xml:space="preserve"> in Sexually Oriented Cases</w:t>
      </w:r>
    </w:p>
    <w:p w14:paraId="6FB19E69" w14:textId="06251B28" w:rsidR="0096524F" w:rsidRPr="0096524F" w:rsidRDefault="00A60ADB" w:rsidP="0096524F">
      <w:pPr>
        <w:pStyle w:val="BNormal"/>
      </w:pPr>
      <w:r w:rsidRPr="0096524F">
        <w:lastRenderedPageBreak/>
        <w:t>The long-running litigation between Victoria’s Secret and the owners of an adult novelty store named Victor’s Little Secret</w:t>
      </w:r>
      <w:r w:rsidR="0096524F" w:rsidRPr="0096524F">
        <w:rPr>
          <w:vertAlign w:val="superscript"/>
        </w:rPr>
        <w:footnoteReference w:id="402"/>
      </w:r>
      <w:r w:rsidRPr="0096524F">
        <w:t xml:space="preserve"> has already produced the Supreme Court’s only dilution opinion.</w:t>
      </w:r>
      <w:r w:rsidR="0096524F" w:rsidRPr="0096524F">
        <w:rPr>
          <w:vertAlign w:val="superscript"/>
        </w:rPr>
        <w:footnoteReference w:id="403"/>
      </w:r>
      <w:r w:rsidRPr="0096524F">
        <w:t xml:space="preserve"> Subsequently, it produced an appellate decision announcing a new approach to the issue of </w:t>
      </w:r>
      <w:proofErr w:type="spellStart"/>
      <w:r w:rsidRPr="0096524F">
        <w:t>tarnishment</w:t>
      </w:r>
      <w:proofErr w:type="spellEnd"/>
      <w:r w:rsidRPr="0096524F">
        <w:t xml:space="preserve"> in sexually oriented situations</w:t>
      </w:r>
      <w:r w:rsidR="0096524F" w:rsidRPr="0096524F">
        <w:t>.</w:t>
      </w:r>
      <w:r w:rsidR="0096524F" w:rsidRPr="0096524F">
        <w:t xml:space="preserve"> </w:t>
      </w:r>
      <w:r w:rsidR="0096524F" w:rsidRPr="0096524F">
        <w:t>I</w:t>
      </w:r>
      <w:r w:rsidRPr="0096524F">
        <w:t xml:space="preserve">n </w:t>
      </w:r>
      <w:r w:rsidR="0096524F" w:rsidRPr="0096524F">
        <w:rPr>
          <w:i/>
        </w:rPr>
        <w:t>V Secret Catalogue,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Moseley</w:t>
      </w:r>
      <w:r w:rsidRPr="0096524F">
        <w:t>,</w:t>
      </w:r>
      <w:r w:rsidR="0096524F" w:rsidRPr="0096524F">
        <w:rPr>
          <w:vertAlign w:val="superscript"/>
        </w:rPr>
        <w:footnoteReference w:id="404"/>
      </w:r>
      <w:r w:rsidRPr="0096524F">
        <w:t xml:space="preserve"> the Sixth Circuit addressed the question of how to analyze </w:t>
      </w:r>
      <w:proofErr w:type="spellStart"/>
      <w:r w:rsidRPr="0096524F">
        <w:t>tarnishment</w:t>
      </w:r>
      <w:proofErr w:type="spellEnd"/>
      <w:r w:rsidRPr="0096524F">
        <w:t xml:space="preserve"> in such situations</w:t>
      </w:r>
      <w:r w:rsidR="0096524F" w:rsidRPr="0096524F">
        <w:t>.</w:t>
      </w:r>
      <w:r w:rsidR="0096524F" w:rsidRPr="0096524F">
        <w:t xml:space="preserve"> </w:t>
      </w:r>
      <w:r w:rsidR="0096524F" w:rsidRPr="0096524F">
        <w:t>T</w:t>
      </w:r>
      <w:r w:rsidRPr="0096524F">
        <w:t>he court held that in cases involving “sex-related products,” where there is “a clear semantic association between” the offending mark and the famous mark, a rebuttable presumption</w:t>
      </w:r>
      <w:r w:rsidR="0096524F" w:rsidRPr="0096524F">
        <w:rPr>
          <w:vertAlign w:val="superscript"/>
        </w:rPr>
        <w:footnoteReference w:id="405"/>
      </w:r>
      <w:r w:rsidRPr="0096524F">
        <w:t xml:space="preserve"> of </w:t>
      </w:r>
      <w:proofErr w:type="spellStart"/>
      <w:r w:rsidRPr="0096524F">
        <w:t>tarnishment</w:t>
      </w:r>
      <w:proofErr w:type="spellEnd"/>
      <w:r w:rsidRPr="0096524F">
        <w:t xml:space="preserve"> arises</w:t>
      </w:r>
      <w:r w:rsidR="0096524F" w:rsidRPr="0096524F">
        <w:t>.</w:t>
      </w:r>
      <w:r w:rsidR="0096524F" w:rsidRPr="0096524F">
        <w:t xml:space="preserve"> </w:t>
      </w:r>
      <w:r w:rsidR="0096524F" w:rsidRPr="0096524F">
        <w:t>T</w:t>
      </w:r>
      <w:r w:rsidRPr="0096524F">
        <w:t xml:space="preserve">his presumption, which the court likened to </w:t>
      </w:r>
      <w:r w:rsidR="0096524F" w:rsidRPr="0096524F">
        <w:rPr>
          <w:i/>
        </w:rPr>
        <w:t xml:space="preserve">res </w:t>
      </w:r>
      <w:proofErr w:type="spellStart"/>
      <w:r w:rsidR="0096524F" w:rsidRPr="0096524F">
        <w:rPr>
          <w:i/>
        </w:rPr>
        <w:t>ipsa</w:t>
      </w:r>
      <w:proofErr w:type="spellEnd"/>
      <w:r w:rsidR="0096524F" w:rsidRPr="0096524F">
        <w:rPr>
          <w:i/>
        </w:rPr>
        <w:t xml:space="preserve"> loquitor</w:t>
      </w:r>
      <w:r w:rsidRPr="0096524F">
        <w:t xml:space="preserve">, shifts the burden to the defendant to “com[e] forward with evidence that there is no likelihood or probability of </w:t>
      </w:r>
      <w:proofErr w:type="spellStart"/>
      <w:r w:rsidRPr="0096524F">
        <w:t>tarnishment</w:t>
      </w:r>
      <w:proofErr w:type="spellEnd"/>
      <w:r w:rsidRPr="0096524F">
        <w:t>.”</w:t>
      </w:r>
      <w:r w:rsidR="0096524F" w:rsidRPr="0096524F">
        <w:rPr>
          <w:vertAlign w:val="superscript"/>
        </w:rPr>
        <w:footnoteReference w:id="406"/>
      </w:r>
    </w:p>
    <w:p w14:paraId="6C379CFA" w14:textId="588F93E3" w:rsidR="0096524F" w:rsidRPr="0096524F" w:rsidRDefault="00A60ADB" w:rsidP="0096524F">
      <w:pPr>
        <w:pStyle w:val="BNormal"/>
      </w:pPr>
      <w:r w:rsidRPr="0096524F">
        <w:t>The court grounded its creation of the presumption on three bases</w:t>
      </w:r>
      <w:r w:rsidR="0096524F" w:rsidRPr="0096524F">
        <w:t>.</w:t>
      </w:r>
      <w:r w:rsidR="0096524F" w:rsidRPr="0096524F">
        <w:t xml:space="preserve"> </w:t>
      </w:r>
      <w:r w:rsidR="0096524F" w:rsidRPr="0096524F">
        <w:t>F</w:t>
      </w:r>
      <w:r w:rsidRPr="0096524F">
        <w:t xml:space="preserve">irst, the court pointed to Section 25 of the </w:t>
      </w:r>
      <w:r w:rsidR="0096524F" w:rsidRPr="0096524F">
        <w:rPr>
          <w:i/>
        </w:rPr>
        <w:t>Restatement (Third) of Unfair Competition</w:t>
      </w:r>
      <w:r w:rsidRPr="0096524F">
        <w:t xml:space="preserve"> (and which the court erroneously referred to as the “Restatement of Trademarks 3d”), to the effect that an “‘association’ between a famous mark and lewd or bawdy sexual activity disparages and defiles the famous mark.”</w:t>
      </w:r>
      <w:r w:rsidR="0096524F" w:rsidRPr="0096524F">
        <w:rPr>
          <w:vertAlign w:val="superscript"/>
        </w:rPr>
        <w:footnoteReference w:id="407"/>
      </w:r>
      <w:r w:rsidRPr="0096524F">
        <w:t xml:space="preserve"> Second, the court cited several cases in which sexually oriented uses of famous marks had been found tarnishing.</w:t>
      </w:r>
      <w:r w:rsidR="0096524F" w:rsidRPr="0096524F">
        <w:rPr>
          <w:vertAlign w:val="superscript"/>
        </w:rPr>
        <w:footnoteReference w:id="408"/>
      </w:r>
      <w:r w:rsidRPr="0096524F">
        <w:t xml:space="preserve"> However, the court’s statement that it found “no exceptions” to the sexual-use-as-</w:t>
      </w:r>
      <w:proofErr w:type="spellStart"/>
      <w:r w:rsidRPr="0096524F">
        <w:t>tarnishment</w:t>
      </w:r>
      <w:proofErr w:type="spellEnd"/>
      <w:r w:rsidRPr="0096524F">
        <w:t xml:space="preserve"> regime may have overlooked some cases.</w:t>
      </w:r>
      <w:r w:rsidR="0096524F" w:rsidRPr="0096524F">
        <w:rPr>
          <w:vertAlign w:val="superscript"/>
        </w:rPr>
        <w:footnoteReference w:id="409"/>
      </w:r>
      <w:r w:rsidRPr="0096524F">
        <w:t xml:space="preserve"> The third, and perhaps most crucial, piece of support was the change in the law via the TDRA from actual dilution to likelihood of dilution</w:t>
      </w:r>
      <w:r w:rsidR="0096524F" w:rsidRPr="0096524F">
        <w:t>.</w:t>
      </w:r>
      <w:r w:rsidR="0096524F" w:rsidRPr="0096524F">
        <w:t xml:space="preserve"> </w:t>
      </w:r>
      <w:r w:rsidR="0096524F" w:rsidRPr="0096524F">
        <w:t>T</w:t>
      </w:r>
      <w:r w:rsidRPr="0096524F">
        <w:t>he court opined that Congress intended that the new standard should lower the burden of proof for the plaintiff in a dilution case, and viewed its approach as consistent with that intent.</w:t>
      </w:r>
      <w:r w:rsidR="0096524F" w:rsidRPr="0096524F">
        <w:rPr>
          <w:vertAlign w:val="superscript"/>
        </w:rPr>
        <w:footnoteReference w:id="410"/>
      </w:r>
    </w:p>
    <w:p w14:paraId="6116AF34" w14:textId="5DBB5583" w:rsidR="0096524F" w:rsidRPr="0096524F" w:rsidRDefault="00A60ADB" w:rsidP="0096524F">
      <w:pPr>
        <w:pStyle w:val="BNormal"/>
      </w:pPr>
      <w:r w:rsidRPr="0096524F">
        <w:t>Judge Gibbons’ concurring opinion muddies the analysis a bit by insisting that the “presumption” be called an “inference”—though one that shifts the burden of producing evidence—and that it not shift the burden of persuasion to the defendant.</w:t>
      </w:r>
      <w:r w:rsidR="0096524F" w:rsidRPr="0096524F">
        <w:rPr>
          <w:vertAlign w:val="superscript"/>
        </w:rPr>
        <w:footnoteReference w:id="411"/>
      </w:r>
      <w:r w:rsidRPr="0096524F">
        <w:t xml:space="preserve"> This is consistent with the Federal Rules of Evidence concept of presumptions, under which presumptions do not shift the burden of persuasion.</w:t>
      </w:r>
      <w:r w:rsidR="0096524F" w:rsidRPr="0096524F">
        <w:rPr>
          <w:vertAlign w:val="superscript"/>
        </w:rPr>
        <w:footnoteReference w:id="412"/>
      </w:r>
      <w:r w:rsidRPr="0096524F">
        <w:t xml:space="preserve"> Because Judge Gibbons provided the deciding vote on the panel, her statement ought to govern the outcome.</w:t>
      </w:r>
    </w:p>
    <w:p w14:paraId="0D956C03" w14:textId="5A232607" w:rsidR="0096524F" w:rsidRPr="0096524F" w:rsidRDefault="00A60ADB" w:rsidP="0096524F">
      <w:pPr>
        <w:pStyle w:val="BNormal"/>
      </w:pPr>
      <w:r w:rsidRPr="0096524F">
        <w:t>Judge Moore issued a vigorous dissent</w:t>
      </w:r>
      <w:r w:rsidR="0096524F" w:rsidRPr="0096524F">
        <w:t>.</w:t>
      </w:r>
      <w:r w:rsidR="0096524F" w:rsidRPr="0096524F">
        <w:t xml:space="preserve"> </w:t>
      </w:r>
      <w:r w:rsidR="0096524F" w:rsidRPr="0096524F">
        <w:t>S</w:t>
      </w:r>
      <w:r w:rsidRPr="0096524F">
        <w:t>he disagreed with the majority’s conclusion that Congress intended to shift the burden of production of evidence—she viewed Congress as simply lessening the plaintiff’s burden by reducing the necessary showing from actual dilution to likelihood of dilution.</w:t>
      </w:r>
      <w:r w:rsidR="0096524F" w:rsidRPr="0096524F">
        <w:rPr>
          <w:vertAlign w:val="superscript"/>
        </w:rPr>
        <w:footnoteReference w:id="413"/>
      </w:r>
      <w:r w:rsidRPr="0096524F">
        <w:t xml:space="preserve"> She further pointed out that the </w:t>
      </w:r>
      <w:r w:rsidRPr="0096524F">
        <w:lastRenderedPageBreak/>
        <w:t>Supreme Court and post-TDRA courts have agreed that mental association alone does not constitute dilution, whether measured by an actual-dilution or likelihood-of-dilution standard.</w:t>
      </w:r>
      <w:r w:rsidR="0096524F" w:rsidRPr="0096524F">
        <w:rPr>
          <w:vertAlign w:val="superscript"/>
        </w:rPr>
        <w:footnoteReference w:id="414"/>
      </w:r>
      <w:r w:rsidRPr="0096524F">
        <w:t xml:space="preserve"> The critical element, she maintained, is not whether the new mark is mentally associated with the famous one, but whether that association is likely to change one’s perception of the famous mark</w:t>
      </w:r>
      <w:r w:rsidR="0096524F" w:rsidRPr="0096524F">
        <w:t>.</w:t>
      </w:r>
      <w:r w:rsidR="0096524F" w:rsidRPr="0096524F">
        <w:t xml:space="preserve"> </w:t>
      </w:r>
      <w:r w:rsidR="0096524F" w:rsidRPr="0096524F">
        <w:t>M</w:t>
      </w:r>
      <w:r w:rsidRPr="0096524F">
        <w:t xml:space="preserve">oreover, in the very case before the Sixth Circuit, the Supreme Court had pointed out that the critical piece of evidence of dilution—the affidavit of an Army colonel—contained no evidence that his view of the Victoria’s Secret mark had been affected by the </w:t>
      </w:r>
      <w:proofErr w:type="spellStart"/>
      <w:r w:rsidRPr="0096524F">
        <w:t>Moseleys</w:t>
      </w:r>
      <w:proofErr w:type="spellEnd"/>
      <w:r w:rsidRPr="0096524F">
        <w:t>’ store</w:t>
      </w:r>
      <w:r w:rsidR="0096524F" w:rsidRPr="0096524F">
        <w:t>.</w:t>
      </w:r>
      <w:r w:rsidR="0096524F" w:rsidRPr="0096524F">
        <w:t xml:space="preserve"> </w:t>
      </w:r>
      <w:r w:rsidR="0096524F" w:rsidRPr="0096524F">
        <w:t>I</w:t>
      </w:r>
      <w:r w:rsidRPr="0096524F">
        <w:t xml:space="preserve">nstead, he harbored bad feelings toward the </w:t>
      </w:r>
      <w:proofErr w:type="spellStart"/>
      <w:r w:rsidRPr="0096524F">
        <w:t>Moseleys</w:t>
      </w:r>
      <w:proofErr w:type="spellEnd"/>
      <w:r w:rsidRPr="0096524F">
        <w:t>.</w:t>
      </w:r>
      <w:r w:rsidR="0096524F" w:rsidRPr="0096524F">
        <w:rPr>
          <w:vertAlign w:val="superscript"/>
        </w:rPr>
        <w:footnoteReference w:id="415"/>
      </w:r>
      <w:r w:rsidRPr="0096524F">
        <w:t xml:space="preserve"> In short, she disputed the majority’s assertion that the new law permitted shifting the burden of production or persuasion to the defendant.</w:t>
      </w:r>
    </w:p>
    <w:p w14:paraId="74896497" w14:textId="5AF6490B" w:rsidR="0096524F" w:rsidRPr="0096524F" w:rsidRDefault="00A60ADB" w:rsidP="0096524F">
      <w:pPr>
        <w:pStyle w:val="BNormal"/>
      </w:pPr>
      <w:r w:rsidRPr="0096524F">
        <w:t>Judge Moore also pointed out that the majority ignored the context of the famous mark</w:t>
      </w:r>
      <w:r w:rsidR="0096524F" w:rsidRPr="0096524F">
        <w:t>.</w:t>
      </w:r>
      <w:r w:rsidR="0096524F" w:rsidRPr="0096524F">
        <w:t xml:space="preserve"> </w:t>
      </w:r>
      <w:r w:rsidR="0096524F" w:rsidRPr="0096524F">
        <w:t>V</w:t>
      </w:r>
      <w:r w:rsidRPr="0096524F">
        <w:t>ictoria’s Secret flaunts sexuality as part of its advertising, which may decrease the likelihood that the use of a similar mark in a sexual context would tarnish the reputation of the mark.</w:t>
      </w:r>
      <w:r w:rsidR="0096524F" w:rsidRPr="0096524F">
        <w:rPr>
          <w:vertAlign w:val="superscript"/>
        </w:rPr>
        <w:footnoteReference w:id="416"/>
      </w:r>
    </w:p>
    <w:p w14:paraId="4B523581" w14:textId="0C8101E8" w:rsidR="0096524F" w:rsidRPr="0096524F" w:rsidRDefault="00A60ADB" w:rsidP="0096524F">
      <w:pPr>
        <w:pStyle w:val="BNormal"/>
      </w:pPr>
      <w:r w:rsidRPr="0096524F">
        <w:t xml:space="preserve">A district court in the Sixth Circuit has relied on this presumption to find dilution by </w:t>
      </w:r>
      <w:proofErr w:type="spellStart"/>
      <w:r w:rsidRPr="0096524F">
        <w:t>tarnishment</w:t>
      </w:r>
      <w:proofErr w:type="spellEnd"/>
      <w:r w:rsidRPr="0096524F">
        <w:t xml:space="preserve"> in a 2023 case.</w:t>
      </w:r>
      <w:r w:rsidR="0096524F" w:rsidRPr="0096524F">
        <w:rPr>
          <w:vertAlign w:val="superscript"/>
        </w:rPr>
        <w:footnoteReference w:id="417"/>
      </w:r>
    </w:p>
    <w:p w14:paraId="1C8FBB9C" w14:textId="38BCB868" w:rsidR="0096524F" w:rsidRPr="0096524F" w:rsidRDefault="0096524F" w:rsidP="0096524F">
      <w:pPr>
        <w:pStyle w:val="BNormal"/>
      </w:pPr>
      <w:r w:rsidRPr="0096524F">
        <w:rPr>
          <w:b/>
        </w:rPr>
        <w:t>Commentary on the presumption.</w:t>
      </w:r>
      <w:r w:rsidRPr="0096524F">
        <w:rPr>
          <w:b/>
        </w:rPr>
        <w:t xml:space="preserve"> </w:t>
      </w:r>
      <w:r w:rsidRPr="0096524F">
        <w:t>T</w:t>
      </w:r>
      <w:r w:rsidR="00A60ADB" w:rsidRPr="0096524F">
        <w:t>o Judge Moore’s cogent dissent one can add a few observations about the majority’s opinion</w:t>
      </w:r>
      <w:r w:rsidRPr="0096524F">
        <w:t>.</w:t>
      </w:r>
      <w:r w:rsidRPr="0096524F">
        <w:t xml:space="preserve"> </w:t>
      </w:r>
      <w:r w:rsidRPr="0096524F">
        <w:t>F</w:t>
      </w:r>
      <w:r w:rsidR="00A60ADB" w:rsidRPr="0096524F">
        <w:t>irst, it is difficult to see how a defendant would rebut the presumption or inference</w:t>
      </w:r>
      <w:r w:rsidRPr="0096524F">
        <w:t>.</w:t>
      </w:r>
      <w:r w:rsidRPr="0096524F">
        <w:t xml:space="preserve"> </w:t>
      </w:r>
      <w:r w:rsidRPr="0096524F">
        <w:t>T</w:t>
      </w:r>
      <w:r w:rsidR="00A60ADB" w:rsidRPr="0096524F">
        <w:t>he most obvious method would be a survey, but a survey would pose practical problems</w:t>
      </w:r>
      <w:r w:rsidRPr="0096524F">
        <w:t>.</w:t>
      </w:r>
      <w:r w:rsidRPr="0096524F">
        <w:t xml:space="preserve"> </w:t>
      </w:r>
      <w:r w:rsidRPr="0096524F">
        <w:t>W</w:t>
      </w:r>
      <w:r w:rsidR="00A60ADB" w:rsidRPr="0096524F">
        <w:t>hat sort of question could one pose to an audience that would distinguish between an association between the marks and a change in perceived reputation (especially when dilution is premised on often subtle changes in perception)</w:t>
      </w:r>
      <w:r w:rsidRPr="0096524F">
        <w:t>?</w:t>
      </w:r>
      <w:r w:rsidRPr="0096524F">
        <w:t xml:space="preserve"> </w:t>
      </w:r>
      <w:r w:rsidRPr="0096524F">
        <w:t>A</w:t>
      </w:r>
      <w:r w:rsidR="00A60ADB" w:rsidRPr="0096524F">
        <w:t>sking outright whether the second mark changes one’s view of the famous mark might work, but it would seem likely that many respondents would not be able to separate the two concepts</w:t>
      </w:r>
      <w:r w:rsidRPr="0096524F">
        <w:t>.</w:t>
      </w:r>
      <w:r w:rsidRPr="0096524F">
        <w:t xml:space="preserve"> </w:t>
      </w:r>
      <w:r w:rsidRPr="0096524F">
        <w:t>B</w:t>
      </w:r>
      <w:r w:rsidR="00A60ADB" w:rsidRPr="0096524F">
        <w:t>ecause the panel stated the burden extremely broadly—“[t]he inference must be overcome by evidence that rebuts the probability that some consumers will find the new mark both offensive and harmful to the reputation and the favorable symbolism of the famous mark”</w:t>
      </w:r>
      <w:r w:rsidRPr="0096524F">
        <w:rPr>
          <w:vertAlign w:val="superscript"/>
        </w:rPr>
        <w:footnoteReference w:id="418"/>
      </w:r>
      <w:r w:rsidR="00A60ADB" w:rsidRPr="0096524F">
        <w:t>—it seems that such a burden could not be overcome by most surveys, since some consumers probably will find it harmful to the reputation of the famous mark, even if most do not.</w:t>
      </w:r>
    </w:p>
    <w:p w14:paraId="60C0FDF7" w14:textId="6FE09C30" w:rsidR="0096524F" w:rsidRPr="0096524F" w:rsidRDefault="00A60ADB" w:rsidP="0096524F">
      <w:pPr>
        <w:pStyle w:val="BNormal"/>
      </w:pPr>
      <w:r w:rsidRPr="0096524F">
        <w:t xml:space="preserve">A second point raised by the opinion is the court’s implication that one need only show that “some consumers” would change their perceptions in order to support a </w:t>
      </w:r>
      <w:proofErr w:type="spellStart"/>
      <w:r w:rsidRPr="0096524F">
        <w:t>tarnishment</w:t>
      </w:r>
      <w:proofErr w:type="spellEnd"/>
      <w:r w:rsidRPr="0096524F">
        <w:t xml:space="preserve"> claim</w:t>
      </w:r>
      <w:r w:rsidR="0096524F" w:rsidRPr="0096524F">
        <w:t>.</w:t>
      </w:r>
      <w:r w:rsidR="0096524F" w:rsidRPr="0096524F">
        <w:t xml:space="preserve"> </w:t>
      </w:r>
      <w:r w:rsidR="0096524F" w:rsidRPr="0096524F">
        <w:t>T</w:t>
      </w:r>
      <w:r w:rsidRPr="0096524F">
        <w:t>hat, of course, begs the question of how many of such consumers is sufficient</w:t>
      </w:r>
      <w:r w:rsidR="0096524F" w:rsidRPr="0096524F">
        <w:t>.</w:t>
      </w:r>
      <w:r w:rsidR="0096524F" w:rsidRPr="0096524F">
        <w:t xml:space="preserve"> </w:t>
      </w:r>
      <w:r w:rsidR="0096524F" w:rsidRPr="0096524F">
        <w:t>I</w:t>
      </w:r>
      <w:r w:rsidRPr="0096524F">
        <w:t>n likelihood-of-confusion cases, a relatively low level of confusion has been deemed sufficient.</w:t>
      </w:r>
      <w:r w:rsidR="0096524F" w:rsidRPr="0096524F">
        <w:rPr>
          <w:vertAlign w:val="superscript"/>
        </w:rPr>
        <w:footnoteReference w:id="419"/>
      </w:r>
      <w:r w:rsidRPr="0096524F">
        <w:t xml:space="preserve"> The issue is problematic in dilution cases</w:t>
      </w:r>
      <w:r w:rsidR="0096524F" w:rsidRPr="0096524F">
        <w:t>.</w:t>
      </w:r>
      <w:r w:rsidR="0096524F" w:rsidRPr="0096524F">
        <w:t xml:space="preserve"> </w:t>
      </w:r>
      <w:r w:rsidR="0096524F" w:rsidRPr="0096524F">
        <w:t>O</w:t>
      </w:r>
      <w:r w:rsidRPr="0096524F">
        <w:t>n the one hand, dilution is often described as a problem of many very small changes eventually leading to a large problem, which could support a fairly low level of change in order to support a dilution claim</w:t>
      </w:r>
      <w:r w:rsidR="0096524F" w:rsidRPr="0096524F">
        <w:t>.</w:t>
      </w:r>
      <w:r w:rsidR="0096524F" w:rsidRPr="0096524F">
        <w:t xml:space="preserve"> </w:t>
      </w:r>
      <w:r w:rsidR="0096524F" w:rsidRPr="0096524F">
        <w:t>O</w:t>
      </w:r>
      <w:r w:rsidRPr="0096524F">
        <w:t xml:space="preserve">n the other hand, dilution is not a protection against deception, and there is a danger that creating too low a barrier, particularly for </w:t>
      </w:r>
      <w:proofErr w:type="spellStart"/>
      <w:r w:rsidRPr="0096524F">
        <w:t>tarnishment</w:t>
      </w:r>
      <w:proofErr w:type="spellEnd"/>
      <w:r w:rsidRPr="0096524F">
        <w:t xml:space="preserve"> claims, could stifle many communicative uses which may not be automatically excluded by the statute</w:t>
      </w:r>
      <w:r w:rsidR="0096524F" w:rsidRPr="0096524F">
        <w:t>.</w:t>
      </w:r>
      <w:r w:rsidR="0096524F" w:rsidRPr="0096524F">
        <w:t xml:space="preserve"> </w:t>
      </w:r>
      <w:r w:rsidR="0096524F" w:rsidRPr="0096524F">
        <w:t>M</w:t>
      </w:r>
      <w:r w:rsidRPr="0096524F">
        <w:t>oreover, if the barrier is set very low, then it will be virtually impossible for a defendant to overcome the presumption.</w:t>
      </w:r>
    </w:p>
    <w:p w14:paraId="1D7985DF" w14:textId="598943BC" w:rsidR="0096524F" w:rsidRPr="0096524F" w:rsidRDefault="00A60ADB" w:rsidP="0096524F">
      <w:pPr>
        <w:pStyle w:val="BNormal"/>
      </w:pPr>
      <w:r w:rsidRPr="0096524F">
        <w:t>A more fundamental issue with the presumption is whether it is legitimately grounded in fact</w:t>
      </w:r>
      <w:r w:rsidR="0096524F" w:rsidRPr="0096524F">
        <w:t>.</w:t>
      </w:r>
      <w:r w:rsidR="0096524F" w:rsidRPr="0096524F">
        <w:t xml:space="preserve"> </w:t>
      </w:r>
      <w:r w:rsidR="0096524F" w:rsidRPr="0096524F">
        <w:t>A</w:t>
      </w:r>
      <w:r w:rsidRPr="0096524F">
        <w:t xml:space="preserve">lthough the court analogized the situation to </w:t>
      </w:r>
      <w:r w:rsidR="0096524F" w:rsidRPr="0096524F">
        <w:rPr>
          <w:i/>
        </w:rPr>
        <w:t xml:space="preserve">res </w:t>
      </w:r>
      <w:proofErr w:type="spellStart"/>
      <w:r w:rsidR="0096524F" w:rsidRPr="0096524F">
        <w:rPr>
          <w:i/>
        </w:rPr>
        <w:t>ipsa</w:t>
      </w:r>
      <w:proofErr w:type="spellEnd"/>
      <w:r w:rsidR="0096524F" w:rsidRPr="0096524F">
        <w:rPr>
          <w:i/>
        </w:rPr>
        <w:t xml:space="preserve"> loquitor</w:t>
      </w:r>
      <w:r w:rsidRPr="0096524F">
        <w:t xml:space="preserve">, it is by no means evident that sexually </w:t>
      </w:r>
      <w:r w:rsidRPr="0096524F">
        <w:lastRenderedPageBreak/>
        <w:t>oriented uses of a famous mark necessarily tarnish an observer’s view of the mark</w:t>
      </w:r>
      <w:r w:rsidR="0096524F" w:rsidRPr="0096524F">
        <w:t>.</w:t>
      </w:r>
      <w:r w:rsidR="0096524F" w:rsidRPr="0096524F">
        <w:t xml:space="preserve"> </w:t>
      </w:r>
      <w:r w:rsidR="0096524F" w:rsidRPr="0096524F">
        <w:t>T</w:t>
      </w:r>
      <w:r w:rsidRPr="0096524F">
        <w:t>he court cited only case law holding such uses to be tarnishing, but did not cite (and the cases they cited similarly do not cite) empirical evidence to support the presumption</w:t>
      </w:r>
      <w:r w:rsidR="0096524F" w:rsidRPr="0096524F">
        <w:t>.</w:t>
      </w:r>
      <w:r w:rsidR="0096524F" w:rsidRPr="0096524F">
        <w:t xml:space="preserve"> </w:t>
      </w:r>
      <w:r w:rsidR="0096524F" w:rsidRPr="0096524F">
        <w:t>I</w:t>
      </w:r>
      <w:r w:rsidRPr="0096524F">
        <w:t>ndeed, there is empirical evidence indicating that sexually oriented uses may not tarnish a famous mark.</w:t>
      </w:r>
      <w:r w:rsidR="0096524F" w:rsidRPr="0096524F">
        <w:rPr>
          <w:vertAlign w:val="superscript"/>
        </w:rPr>
        <w:footnoteReference w:id="420"/>
      </w:r>
      <w:r w:rsidRPr="0096524F">
        <w:t xml:space="preserve"> Furthermore, a presumption that bans uses associating a famous mark with sex might be vulnerable to attack under the Supreme Court’s decisions in </w:t>
      </w:r>
      <w:r w:rsidR="0096524F" w:rsidRPr="0096524F">
        <w:rPr>
          <w:rStyle w:val="BCasenamefull"/>
        </w:rPr>
        <w:t>Matal v. Tam</w:t>
      </w:r>
      <w:r w:rsidR="0096524F" w:rsidRPr="0096524F">
        <w:rPr>
          <w:vertAlign w:val="superscript"/>
        </w:rPr>
        <w:footnoteReference w:id="421"/>
      </w:r>
      <w:r w:rsidRPr="0096524F">
        <w:t xml:space="preserve"> and </w:t>
      </w:r>
      <w:r w:rsidR="0096524F" w:rsidRPr="0096524F">
        <w:rPr>
          <w:rStyle w:val="BCasenamefull"/>
        </w:rPr>
        <w:t>Iancu v. Brunetti</w:t>
      </w:r>
      <w:r w:rsidRPr="0096524F">
        <w:t>.</w:t>
      </w:r>
      <w:r w:rsidR="0096524F" w:rsidRPr="0096524F">
        <w:rPr>
          <w:vertAlign w:val="superscript"/>
        </w:rPr>
        <w:footnoteReference w:id="422"/>
      </w:r>
      <w:r w:rsidRPr="0096524F">
        <w:t xml:space="preserve"> Although in </w:t>
      </w:r>
      <w:r w:rsidR="0096524F" w:rsidRPr="0096524F">
        <w:rPr>
          <w:i/>
        </w:rPr>
        <w:t>Tam</w:t>
      </w:r>
      <w:r w:rsidRPr="0096524F">
        <w:t xml:space="preserve"> the Justices did not fully agree on the First Amendment rationale for striking down a ban on disparaging remarks, both plurality opinions suggest that the presumption could be deemed viewpoint discrimination.</w:t>
      </w:r>
      <w:r w:rsidR="0096524F" w:rsidRPr="0096524F">
        <w:rPr>
          <w:vertAlign w:val="superscript"/>
        </w:rPr>
        <w:footnoteReference w:id="423"/>
      </w:r>
      <w:r w:rsidRPr="0096524F">
        <w:t xml:space="preserve"> In </w:t>
      </w:r>
      <w:r w:rsidR="0096524F" w:rsidRPr="0096524F">
        <w:rPr>
          <w:i/>
        </w:rPr>
        <w:t>Brunetti</w:t>
      </w:r>
      <w:r w:rsidRPr="0096524F">
        <w:t>, a majority agreed that the ban on registering “immoral or scandalous” marks constituted viewpoint discrimination,</w:t>
      </w:r>
      <w:r w:rsidR="0096524F" w:rsidRPr="0096524F">
        <w:rPr>
          <w:vertAlign w:val="superscript"/>
        </w:rPr>
        <w:footnoteReference w:id="424"/>
      </w:r>
      <w:r w:rsidRPr="0096524F">
        <w:t xml:space="preserve"> also suggesting that a presumption that automatically disfavors certain associations with sex could be deemed viewpoint discrimination.</w:t>
      </w:r>
    </w:p>
    <w:p w14:paraId="6A92B8B5" w14:textId="410C98B3" w:rsidR="0096524F" w:rsidRPr="0096524F" w:rsidRDefault="00A60ADB" w:rsidP="0096524F">
      <w:pPr>
        <w:pStyle w:val="BNormal"/>
      </w:pPr>
      <w:r w:rsidRPr="0096524F">
        <w:t>Another point about the majority’s opinion is its subtle mischaracterization of the Supreme Court’s opinion in the case</w:t>
      </w:r>
      <w:r w:rsidR="0096524F" w:rsidRPr="0096524F">
        <w:t>.</w:t>
      </w:r>
      <w:r w:rsidR="0096524F" w:rsidRPr="0096524F">
        <w:t xml:space="preserve"> </w:t>
      </w:r>
      <w:r w:rsidR="0096524F" w:rsidRPr="0096524F">
        <w:t>T</w:t>
      </w:r>
      <w:r w:rsidRPr="0096524F">
        <w:t xml:space="preserve">he majority states that “the Supreme Court held that ‘actual harm’ rather than merely the ‘likelihood of </w:t>
      </w:r>
      <w:proofErr w:type="spellStart"/>
      <w:r w:rsidRPr="0096524F">
        <w:t>tarnishment</w:t>
      </w:r>
      <w:proofErr w:type="spellEnd"/>
      <w:r w:rsidRPr="0096524F">
        <w:t>’ is necessary.”</w:t>
      </w:r>
      <w:r w:rsidR="0096524F" w:rsidRPr="0096524F">
        <w:rPr>
          <w:vertAlign w:val="superscript"/>
        </w:rPr>
        <w:footnoteReference w:id="425"/>
      </w:r>
      <w:r w:rsidRPr="0096524F">
        <w:t xml:space="preserve"> In fact, the Court did not separate blurring and </w:t>
      </w:r>
      <w:proofErr w:type="spellStart"/>
      <w:r w:rsidRPr="0096524F">
        <w:t>tarnishment</w:t>
      </w:r>
      <w:proofErr w:type="spellEnd"/>
      <w:r w:rsidRPr="0096524F">
        <w:t xml:space="preserve"> in most of its discussion and never used the phrase “likelihood of </w:t>
      </w:r>
      <w:proofErr w:type="spellStart"/>
      <w:r w:rsidRPr="0096524F">
        <w:t>tarnishment</w:t>
      </w:r>
      <w:proofErr w:type="spellEnd"/>
      <w:r w:rsidRPr="0096524F">
        <w:t xml:space="preserve">.” The Court’s main reference to </w:t>
      </w:r>
      <w:proofErr w:type="spellStart"/>
      <w:r w:rsidRPr="0096524F">
        <w:t>tarnishment</w:t>
      </w:r>
      <w:proofErr w:type="spellEnd"/>
      <w:r w:rsidRPr="0096524F">
        <w:t xml:space="preserve"> was an observation that </w:t>
      </w:r>
      <w:proofErr w:type="spellStart"/>
      <w:r w:rsidRPr="0096524F">
        <w:t>tarnishment</w:t>
      </w:r>
      <w:proofErr w:type="spellEnd"/>
      <w:r w:rsidRPr="0096524F">
        <w:t xml:space="preserve"> may not be within the definition of dilution in the original federal law (a proposition not raised by the defendant).</w:t>
      </w:r>
      <w:r w:rsidR="0096524F" w:rsidRPr="0096524F">
        <w:rPr>
          <w:vertAlign w:val="superscript"/>
        </w:rPr>
        <w:footnoteReference w:id="426"/>
      </w:r>
      <w:r w:rsidRPr="0096524F">
        <w:t xml:space="preserve"> When discussing the relationship between dilution and mental association, the Court commented that “‘[b]</w:t>
      </w:r>
      <w:proofErr w:type="spellStart"/>
      <w:r w:rsidRPr="0096524F">
        <w:t>lurring</w:t>
      </w:r>
      <w:proofErr w:type="spellEnd"/>
      <w:r w:rsidRPr="0096524F">
        <w:t>’ is not a necessary consequence of mental association</w:t>
      </w:r>
      <w:r w:rsidR="0096524F" w:rsidRPr="0096524F">
        <w:t>.</w:t>
      </w:r>
      <w:r w:rsidR="0096524F" w:rsidRPr="0096524F">
        <w:t xml:space="preserve"> </w:t>
      </w:r>
      <w:r w:rsidR="0096524F" w:rsidRPr="0096524F">
        <w:t>(</w:t>
      </w:r>
      <w:r w:rsidRPr="0096524F">
        <w:t>Nor, for that matter, is ‘tarnishing.’)”</w:t>
      </w:r>
      <w:r w:rsidR="0096524F" w:rsidRPr="0096524F">
        <w:rPr>
          <w:vertAlign w:val="superscript"/>
        </w:rPr>
        <w:footnoteReference w:id="427"/>
      </w:r>
      <w:r w:rsidRPr="0096524F">
        <w:t xml:space="preserve"> Thus, the Court indicated that it had not focused primarily on the </w:t>
      </w:r>
      <w:proofErr w:type="spellStart"/>
      <w:r w:rsidRPr="0096524F">
        <w:t>tarnishment</w:t>
      </w:r>
      <w:proofErr w:type="spellEnd"/>
      <w:r w:rsidRPr="0096524F">
        <w:t xml:space="preserve"> aspects of the claim</w:t>
      </w:r>
      <w:r w:rsidR="0096524F" w:rsidRPr="0096524F">
        <w:t>.</w:t>
      </w:r>
      <w:r w:rsidR="0096524F" w:rsidRPr="0096524F">
        <w:t xml:space="preserve"> </w:t>
      </w:r>
      <w:r w:rsidR="0096524F" w:rsidRPr="0096524F">
        <w:t>B</w:t>
      </w:r>
      <w:r w:rsidRPr="0096524F">
        <w:t xml:space="preserve">ut, to the extent that it did, its opinion does not support a presumption of likely </w:t>
      </w:r>
      <w:proofErr w:type="spellStart"/>
      <w:r w:rsidRPr="0096524F">
        <w:t>tarnishment</w:t>
      </w:r>
      <w:proofErr w:type="spellEnd"/>
      <w:r w:rsidRPr="0096524F">
        <w:t xml:space="preserve"> from mental association.</w:t>
      </w:r>
    </w:p>
    <w:p w14:paraId="33A2EC9A" w14:textId="14EC726F" w:rsidR="0096524F" w:rsidRPr="0096524F" w:rsidRDefault="00371CCB" w:rsidP="00175762">
      <w:pPr>
        <w:pStyle w:val="BHead5"/>
      </w:pPr>
      <w:r>
        <w:t>9.II.E.2.a.</w:t>
      </w:r>
      <w:r w:rsidR="0096524F" w:rsidRPr="00175762">
        <w:rPr>
          <w:rStyle w:val="BBNAidChar"/>
        </w:rPr>
        <w:t>iii</w:t>
      </w:r>
      <w:r w:rsidR="0096524F" w:rsidRPr="0096524F">
        <w:t>.</w:t>
      </w:r>
      <w:r>
        <w:t> </w:t>
      </w:r>
      <w:r w:rsidR="0096524F" w:rsidRPr="0096524F">
        <w:tab/>
        <w:t>Unwholesome Uses of Famous Marks in General (Including Sexually Oriented Uses):</w:t>
      </w:r>
      <w:r w:rsidR="0096524F" w:rsidRPr="0096524F">
        <w:t xml:space="preserve"> </w:t>
      </w:r>
      <w:r w:rsidR="0096524F" w:rsidRPr="0096524F">
        <w:t>Case Law Favors Plaintiffs</w:t>
      </w:r>
    </w:p>
    <w:p w14:paraId="301ADD65" w14:textId="3B07E34D" w:rsidR="0096524F" w:rsidRPr="0096524F" w:rsidRDefault="00A60ADB" w:rsidP="0096524F">
      <w:pPr>
        <w:pStyle w:val="BNormal"/>
      </w:pPr>
      <w:r w:rsidRPr="0096524F">
        <w:t xml:space="preserve">Certainly the most common situation for courts to invoke </w:t>
      </w:r>
      <w:proofErr w:type="spellStart"/>
      <w:r w:rsidRPr="0096524F">
        <w:t>tarnishment</w:t>
      </w:r>
      <w:proofErr w:type="spellEnd"/>
      <w:r w:rsidRPr="0096524F">
        <w:t xml:space="preserve"> is where the famous mark is used in connection with unwholesome activity, usually pornography</w:t>
      </w:r>
      <w:r w:rsidR="0096524F" w:rsidRPr="0096524F">
        <w:t>.</w:t>
      </w:r>
      <w:r w:rsidR="0096524F" w:rsidRPr="0096524F">
        <w:t xml:space="preserve"> </w:t>
      </w:r>
      <w:r w:rsidR="0096524F" w:rsidRPr="0096524F">
        <w:t>I</w:t>
      </w:r>
      <w:r w:rsidRPr="0096524F">
        <w:t xml:space="preserve">n cases under the FTDA, the most common circumstance was on the Internet, where marks have been used in connection with sexually oriented sites, either </w:t>
      </w:r>
      <w:r w:rsidRPr="0096524F">
        <w:lastRenderedPageBreak/>
        <w:t>as domain names or on the sites themselves</w:t>
      </w:r>
      <w:r w:rsidR="0096524F" w:rsidRPr="0096524F">
        <w:t>.</w:t>
      </w:r>
      <w:r w:rsidR="0096524F" w:rsidRPr="0096524F">
        <w:t xml:space="preserve"> </w:t>
      </w:r>
      <w:r w:rsidR="0096524F" w:rsidRPr="0096524F">
        <w:t>I</w:t>
      </w:r>
      <w:r w:rsidRPr="0096524F">
        <w:t xml:space="preserve">n a number of such cases, the courts found </w:t>
      </w:r>
      <w:proofErr w:type="spellStart"/>
      <w:r w:rsidRPr="0096524F">
        <w:t>tarnishment</w:t>
      </w:r>
      <w:proofErr w:type="spellEnd"/>
      <w:r w:rsidRPr="0096524F">
        <w:t>.</w:t>
      </w:r>
      <w:r w:rsidR="0096524F" w:rsidRPr="0096524F">
        <w:rPr>
          <w:vertAlign w:val="superscript"/>
        </w:rPr>
        <w:footnoteReference w:id="428"/>
      </w:r>
      <w:r w:rsidRPr="0096524F">
        <w:t xml:space="preserve"> Similarly, where the plaintiff’s famous mark is otherwise used by the defendant in an association with sexually oriented material, </w:t>
      </w:r>
      <w:proofErr w:type="spellStart"/>
      <w:r w:rsidRPr="0096524F">
        <w:t>tarnishment</w:t>
      </w:r>
      <w:proofErr w:type="spellEnd"/>
      <w:r w:rsidRPr="0096524F">
        <w:t xml:space="preserve"> has been found.</w:t>
      </w:r>
      <w:r w:rsidR="0096524F" w:rsidRPr="0096524F">
        <w:rPr>
          <w:vertAlign w:val="superscript"/>
        </w:rPr>
        <w:footnoteReference w:id="429"/>
      </w:r>
      <w:r w:rsidRPr="0096524F">
        <w:t xml:space="preserve"> However, not all such situations lead to a finding of dilution</w:t>
      </w:r>
      <w:r w:rsidR="0096524F" w:rsidRPr="0096524F">
        <w:t>.</w:t>
      </w:r>
      <w:r w:rsidR="0096524F" w:rsidRPr="0096524F">
        <w:t xml:space="preserve"> </w:t>
      </w:r>
      <w:r w:rsidR="0096524F" w:rsidRPr="0096524F">
        <w:t>I</w:t>
      </w:r>
      <w:r w:rsidRPr="0096524F">
        <w:t>n particular, Playboy Enterprises has lost suits because some courts apparently believe Playboy’s actions promoting sexually oriented material make it “tarnish-proof.”</w:t>
      </w:r>
      <w:r w:rsidR="0096524F" w:rsidRPr="0096524F">
        <w:rPr>
          <w:vertAlign w:val="superscript"/>
        </w:rPr>
        <w:footnoteReference w:id="430"/>
      </w:r>
      <w:r w:rsidRPr="0096524F">
        <w:t xml:space="preserve"> Similarly, a court refused to find </w:t>
      </w:r>
      <w:proofErr w:type="spellStart"/>
      <w:r w:rsidRPr="0096524F">
        <w:t>tarnishment</w:t>
      </w:r>
      <w:proofErr w:type="spellEnd"/>
      <w:r w:rsidRPr="0096524F">
        <w:t xml:space="preserve"> when a bar used the name Greatest Bar on Earth, citing sales of alcoholic beverages at the circuses featuring the mark Greatest Show on Earth.</w:t>
      </w:r>
      <w:r w:rsidR="0096524F" w:rsidRPr="0096524F">
        <w:rPr>
          <w:vertAlign w:val="superscript"/>
        </w:rPr>
        <w:footnoteReference w:id="431"/>
      </w:r>
    </w:p>
    <w:p w14:paraId="18C36648" w14:textId="1CF3B033" w:rsidR="0096524F" w:rsidRPr="0096524F" w:rsidRDefault="00A60ADB" w:rsidP="0096524F">
      <w:pPr>
        <w:pStyle w:val="BNormal"/>
      </w:pPr>
      <w:r w:rsidRPr="0096524F">
        <w:t xml:space="preserve">In </w:t>
      </w:r>
      <w:r w:rsidR="0096524F" w:rsidRPr="0096524F">
        <w:rPr>
          <w:i/>
        </w:rPr>
        <w:t>V Secret Catalogue,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Moseley</w:t>
      </w:r>
      <w:r w:rsidRPr="0096524F">
        <w:t>,</w:t>
      </w:r>
      <w:r w:rsidR="0096524F" w:rsidRPr="0096524F">
        <w:rPr>
          <w:vertAlign w:val="superscript"/>
        </w:rPr>
        <w:footnoteReference w:id="432"/>
      </w:r>
      <w:r w:rsidRPr="0096524F">
        <w:t xml:space="preserve"> the Sixth Circuit upheld a finding of </w:t>
      </w:r>
      <w:proofErr w:type="spellStart"/>
      <w:r w:rsidRPr="0096524F">
        <w:t>tarnishment</w:t>
      </w:r>
      <w:proofErr w:type="spellEnd"/>
      <w:r w:rsidRPr="0096524F">
        <w:t xml:space="preserve"> based on an adult novelty store’s use of the name Victor’s Little Secret.</w:t>
      </w:r>
      <w:r w:rsidR="0096524F" w:rsidRPr="0096524F">
        <w:rPr>
          <w:vertAlign w:val="superscript"/>
        </w:rPr>
        <w:footnoteReference w:id="433"/>
      </w:r>
      <w:r w:rsidRPr="0096524F">
        <w:t xml:space="preserve"> The district court had cited evidence that the Army colonel who brought the matter to Victoria’s Secret’s attention was offended and that this would harm the reputation of Victoria’s Secret.</w:t>
      </w:r>
      <w:r w:rsidR="0096524F" w:rsidRPr="0096524F">
        <w:rPr>
          <w:vertAlign w:val="superscript"/>
        </w:rPr>
        <w:footnoteReference w:id="434"/>
      </w:r>
      <w:r w:rsidRPr="0096524F">
        <w:t xml:space="preserve"> Moreover, in what may be termed an ironic evidentiary move, the district court cited Victoria’s Secret’s statements that it carefully drew the line between “sexy and playful” and explicitly sexual in its advertising, whereas Victor’s Little Secret (the defendant’s store) sold adult sex toys in addition to its line of lingerie and other items.</w:t>
      </w:r>
      <w:r w:rsidR="0096524F" w:rsidRPr="0096524F">
        <w:rPr>
          <w:vertAlign w:val="superscript"/>
        </w:rPr>
        <w:footnoteReference w:id="435"/>
      </w:r>
      <w:r w:rsidRPr="0096524F">
        <w:t xml:space="preserve"> Most notably, the Sixth Circuit imposed a presumption of </w:t>
      </w:r>
      <w:proofErr w:type="spellStart"/>
      <w:r w:rsidRPr="0096524F">
        <w:t>tarnishment</w:t>
      </w:r>
      <w:proofErr w:type="spellEnd"/>
      <w:r w:rsidRPr="0096524F">
        <w:t xml:space="preserve"> where the unauthorized use is sexually oriented.</w:t>
      </w:r>
      <w:r w:rsidR="0096524F" w:rsidRPr="0096524F">
        <w:rPr>
          <w:vertAlign w:val="superscript"/>
        </w:rPr>
        <w:footnoteReference w:id="436"/>
      </w:r>
    </w:p>
    <w:p w14:paraId="3BE383CF" w14:textId="2B16273F" w:rsidR="0096524F" w:rsidRPr="0096524F" w:rsidRDefault="00A60ADB" w:rsidP="0096524F">
      <w:pPr>
        <w:pStyle w:val="BNormal"/>
      </w:pPr>
      <w:r w:rsidRPr="0096524F">
        <w:t xml:space="preserve">In an even more ironic twist on sexually oriented marks being tarnished, the maker of Viagra obtained a preliminary injunction on the grounds of </w:t>
      </w:r>
      <w:proofErr w:type="spellStart"/>
      <w:r w:rsidRPr="0096524F">
        <w:t>tarnishment</w:t>
      </w:r>
      <w:proofErr w:type="spellEnd"/>
      <w:r w:rsidRPr="0096524F">
        <w:t xml:space="preserve"> against a defendant who sold advertising space on decommissioned military equipment.</w:t>
      </w:r>
      <w:r w:rsidR="0096524F" w:rsidRPr="0096524F">
        <w:rPr>
          <w:vertAlign w:val="superscript"/>
        </w:rPr>
        <w:footnoteReference w:id="437"/>
      </w:r>
      <w:r w:rsidRPr="0096524F">
        <w:t xml:space="preserve"> The defendant put the plaintiff’s “Viva Viagra” slogan on a decommissioned missile displayed in New York City and was proposing to exhibit it at various adult conventions where women would distribute condoms.</w:t>
      </w:r>
      <w:r w:rsidR="0096524F" w:rsidRPr="0096524F">
        <w:rPr>
          <w:vertAlign w:val="superscript"/>
        </w:rPr>
        <w:footnoteReference w:id="438"/>
      </w:r>
      <w:r w:rsidRPr="0096524F">
        <w:t xml:space="preserve"> The court, in a brief and conclusory fashion, decided that this was likely to tarnish the reputation of the plaintiff’s mark.</w:t>
      </w:r>
    </w:p>
    <w:p w14:paraId="388DC281" w14:textId="0D480CFE" w:rsidR="0096524F" w:rsidRPr="0096524F" w:rsidRDefault="00A60ADB" w:rsidP="0096524F">
      <w:pPr>
        <w:pStyle w:val="BNormal"/>
      </w:pPr>
      <w:r w:rsidRPr="0096524F">
        <w:lastRenderedPageBreak/>
        <w:t xml:space="preserve">In </w:t>
      </w:r>
      <w:r w:rsidR="0096524F" w:rsidRPr="0096524F">
        <w:rPr>
          <w:rStyle w:val="BCasenamefull"/>
        </w:rPr>
        <w:t>Lorillard Tobacco Co. v. California Imports, Ltd.</w:t>
      </w:r>
      <w:r w:rsidRPr="0096524F">
        <w:t>,</w:t>
      </w:r>
      <w:r w:rsidR="0096524F" w:rsidRPr="0096524F">
        <w:rPr>
          <w:vertAlign w:val="superscript"/>
        </w:rPr>
        <w:footnoteReference w:id="439"/>
      </w:r>
      <w:r w:rsidRPr="0096524F">
        <w:t xml:space="preserve"> the court found </w:t>
      </w:r>
      <w:proofErr w:type="spellStart"/>
      <w:r w:rsidRPr="0096524F">
        <w:t>tarnishment</w:t>
      </w:r>
      <w:proofErr w:type="spellEnd"/>
      <w:r w:rsidRPr="0096524F">
        <w:t xml:space="preserve"> based on the similarity of the marks (Newport and </w:t>
      </w:r>
      <w:proofErr w:type="spellStart"/>
      <w:r w:rsidRPr="0096524F">
        <w:t>Newprot</w:t>
      </w:r>
      <w:proofErr w:type="spellEnd"/>
      <w:r w:rsidRPr="0096524F">
        <w:t>), the similarity of the products, and the fact that defendant’s product was associated with “spice,” or synthetic marijuana.</w:t>
      </w:r>
      <w:r w:rsidR="0096524F" w:rsidRPr="0096524F">
        <w:rPr>
          <w:vertAlign w:val="superscript"/>
        </w:rPr>
        <w:footnoteReference w:id="440"/>
      </w:r>
      <w:r w:rsidRPr="0096524F">
        <w:t xml:space="preserve"> In </w:t>
      </w:r>
      <w:r w:rsidR="0096524F" w:rsidRPr="0096524F">
        <w:rPr>
          <w:rStyle w:val="BCasenamefull"/>
        </w:rPr>
        <w:t>3M Co. v. Christian Investments, LLC</w:t>
      </w:r>
      <w:r w:rsidRPr="0096524F">
        <w:t>,</w:t>
      </w:r>
      <w:r w:rsidR="0096524F" w:rsidRPr="0096524F">
        <w:rPr>
          <w:vertAlign w:val="superscript"/>
        </w:rPr>
        <w:footnoteReference w:id="441"/>
      </w:r>
      <w:r w:rsidRPr="0096524F">
        <w:t xml:space="preserve"> the court, entering a default judgment, found that the use of plaintiff’s mark in a domain name that offered online gambling services constituted </w:t>
      </w:r>
      <w:proofErr w:type="spellStart"/>
      <w:r w:rsidRPr="0096524F">
        <w:t>tarnishment</w:t>
      </w:r>
      <w:proofErr w:type="spellEnd"/>
      <w:r w:rsidRPr="0096524F">
        <w:t>.</w:t>
      </w:r>
      <w:r w:rsidR="0096524F" w:rsidRPr="0096524F">
        <w:rPr>
          <w:vertAlign w:val="superscript"/>
        </w:rPr>
        <w:footnoteReference w:id="442"/>
      </w:r>
    </w:p>
    <w:p w14:paraId="067C5DE0" w14:textId="5AE4A32D" w:rsidR="0096524F" w:rsidRPr="0096524F" w:rsidRDefault="00A60ADB" w:rsidP="0096524F">
      <w:pPr>
        <w:pStyle w:val="BNormal"/>
      </w:pPr>
      <w:r w:rsidRPr="0096524F">
        <w:t>In a somewhat questionable decision, a federal district court found that a movie entitled “Dairy Queens” tarnished the Dairy Queen trademark.</w:t>
      </w:r>
      <w:r w:rsidR="0096524F" w:rsidRPr="0096524F">
        <w:rPr>
          <w:vertAlign w:val="superscript"/>
        </w:rPr>
        <w:footnoteReference w:id="443"/>
      </w:r>
      <w:r w:rsidRPr="0096524F">
        <w:t xml:space="preserve"> The movie was intended to be a satire of “dairy country” and would have portrayed it in an unflattering (and occasionally off-color) manner.</w:t>
      </w:r>
      <w:r w:rsidR="0096524F" w:rsidRPr="0096524F">
        <w:rPr>
          <w:vertAlign w:val="superscript"/>
        </w:rPr>
        <w:footnoteReference w:id="444"/>
      </w:r>
      <w:r w:rsidRPr="0096524F">
        <w:t xml:space="preserve"> The court rejected a First Amendment defense, rejecting the defendant’s argument that its commentary should have permitted the use of the title.</w:t>
      </w:r>
      <w:r w:rsidR="0096524F" w:rsidRPr="0096524F">
        <w:rPr>
          <w:vertAlign w:val="superscript"/>
        </w:rPr>
        <w:footnoteReference w:id="445"/>
      </w:r>
    </w:p>
    <w:p w14:paraId="21C47401" w14:textId="15C6D0F0" w:rsidR="0096524F" w:rsidRPr="0096524F" w:rsidRDefault="00A60ADB" w:rsidP="0096524F">
      <w:pPr>
        <w:pStyle w:val="BNormal"/>
      </w:pPr>
      <w:r w:rsidRPr="0096524F">
        <w:t xml:space="preserve">Bulk e-mailers, or “spammers,” on the Internet also have been cited for </w:t>
      </w:r>
      <w:proofErr w:type="spellStart"/>
      <w:r w:rsidRPr="0096524F">
        <w:t>tarnishment</w:t>
      </w:r>
      <w:proofErr w:type="spellEnd"/>
      <w:r w:rsidR="0096524F" w:rsidRPr="0096524F">
        <w:t>.</w:t>
      </w:r>
      <w:r w:rsidR="0096524F" w:rsidRPr="0096524F">
        <w:t xml:space="preserve"> </w:t>
      </w:r>
      <w:r w:rsidR="0096524F" w:rsidRPr="0096524F">
        <w:t>I</w:t>
      </w:r>
      <w:r w:rsidRPr="0096524F">
        <w:t>n one case, a bulk e-mailer sent unsolicited e-mail to thousands of America Online (AOL) subscribers, many of which contained aol.com in the header, engendering numerous complaints to AOL</w:t>
      </w:r>
      <w:r w:rsidR="0096524F" w:rsidRPr="0096524F">
        <w:t>.</w:t>
      </w:r>
      <w:r w:rsidR="0096524F" w:rsidRPr="0096524F">
        <w:t xml:space="preserve"> </w:t>
      </w:r>
      <w:r w:rsidR="0096524F" w:rsidRPr="0096524F">
        <w:t>T</w:t>
      </w:r>
      <w:r w:rsidRPr="0096524F">
        <w:t>he court found that this tarnished AOL’s mark.</w:t>
      </w:r>
      <w:r w:rsidR="0096524F" w:rsidRPr="0096524F">
        <w:rPr>
          <w:vertAlign w:val="superscript"/>
        </w:rPr>
        <w:footnoteReference w:id="446"/>
      </w:r>
      <w:r w:rsidRPr="0096524F">
        <w:t xml:space="preserve"> In another case, a bulk e-mailer used a false return e-mail address indicating that the e-mail came from an AOL subscriber</w:t>
      </w:r>
      <w:r w:rsidR="0096524F" w:rsidRPr="0096524F">
        <w:t>.</w:t>
      </w:r>
      <w:r w:rsidR="0096524F" w:rsidRPr="0096524F">
        <w:t xml:space="preserve"> </w:t>
      </w:r>
      <w:r w:rsidR="0096524F" w:rsidRPr="0096524F">
        <w:t>T</w:t>
      </w:r>
      <w:r w:rsidRPr="0096524F">
        <w:t xml:space="preserve">his, too, was found to cause </w:t>
      </w:r>
      <w:proofErr w:type="spellStart"/>
      <w:r w:rsidRPr="0096524F">
        <w:t>tarnishment</w:t>
      </w:r>
      <w:proofErr w:type="spellEnd"/>
      <w:r w:rsidRPr="0096524F">
        <w:t>.</w:t>
      </w:r>
      <w:r w:rsidR="0096524F" w:rsidRPr="0096524F">
        <w:rPr>
          <w:vertAlign w:val="superscript"/>
        </w:rPr>
        <w:footnoteReference w:id="447"/>
      </w:r>
      <w:r w:rsidRPr="0096524F">
        <w:t xml:space="preserve"> Although certainly reprehensible and probably tortious, such uses of the FTDA were at the outer limits of dilution claims</w:t>
      </w:r>
      <w:r w:rsidR="0096524F" w:rsidRPr="0096524F">
        <w:t>.</w:t>
      </w:r>
      <w:r w:rsidR="0096524F" w:rsidRPr="0096524F">
        <w:t xml:space="preserve"> </w:t>
      </w:r>
      <w:r w:rsidR="0096524F" w:rsidRPr="0096524F">
        <w:t>T</w:t>
      </w:r>
      <w:r w:rsidRPr="0096524F">
        <w:t>he bulk e-mail senders did not use AOL as a trademark, although they may cause an association of AOL with the unwelcome spam.</w:t>
      </w:r>
    </w:p>
    <w:p w14:paraId="700DB17B" w14:textId="37395BFB" w:rsidR="0096524F" w:rsidRPr="0096524F" w:rsidRDefault="00A60ADB" w:rsidP="0096524F">
      <w:pPr>
        <w:pStyle w:val="BNormal"/>
      </w:pPr>
      <w:r w:rsidRPr="0096524F">
        <w:t xml:space="preserve">When evaluating claims of </w:t>
      </w:r>
      <w:proofErr w:type="spellStart"/>
      <w:r w:rsidRPr="0096524F">
        <w:t>tarnishment</w:t>
      </w:r>
      <w:proofErr w:type="spellEnd"/>
      <w:r w:rsidRPr="0096524F">
        <w:t>, one must also consider the noncommercial use exemption in Section 43(c)(3)(C)</w:t>
      </w:r>
      <w:r w:rsidR="0096524F" w:rsidRPr="0096524F">
        <w:t>;</w:t>
      </w:r>
      <w:r w:rsidR="0096524F" w:rsidRPr="0096524F">
        <w:t xml:space="preserve"> </w:t>
      </w:r>
      <w:r w:rsidR="0096524F" w:rsidRPr="0096524F">
        <w:t>a</w:t>
      </w:r>
      <w:r w:rsidRPr="0096524F">
        <w:t xml:space="preserve"> sexually oriented parody can be considered a noncommercial use.</w:t>
      </w:r>
      <w:r w:rsidR="0096524F" w:rsidRPr="0096524F">
        <w:rPr>
          <w:vertAlign w:val="superscript"/>
        </w:rPr>
        <w:footnoteReference w:id="448"/>
      </w:r>
    </w:p>
    <w:p w14:paraId="44DC4AE7" w14:textId="4DEED77A" w:rsidR="0096524F" w:rsidRPr="0096524F" w:rsidRDefault="00371CCB" w:rsidP="00175762">
      <w:pPr>
        <w:pStyle w:val="BHead4"/>
      </w:pPr>
      <w:r>
        <w:t>9.II.E.2.</w:t>
      </w:r>
      <w:r w:rsidR="0096524F" w:rsidRPr="00175762">
        <w:rPr>
          <w:rStyle w:val="BBNAidChar"/>
          <w:rFonts w:eastAsiaTheme="majorEastAsia"/>
        </w:rPr>
        <w:t>b</w:t>
      </w:r>
      <w:r w:rsidR="0096524F" w:rsidRPr="0096524F">
        <w:t>.</w:t>
      </w:r>
      <w:r>
        <w:t> </w:t>
      </w:r>
      <w:r w:rsidR="0096524F" w:rsidRPr="0096524F">
        <w:tab/>
        <w:t>Poor Quality Goods or Services</w:t>
      </w:r>
    </w:p>
    <w:p w14:paraId="7011E000" w14:textId="6F4D269D" w:rsidR="0096524F" w:rsidRPr="0096524F" w:rsidRDefault="00A60ADB" w:rsidP="0096524F">
      <w:pPr>
        <w:pStyle w:val="BNormal"/>
      </w:pPr>
      <w:r w:rsidRPr="0096524F">
        <w:t xml:space="preserve">Mark owners have had mixed success attempting to claim </w:t>
      </w:r>
      <w:proofErr w:type="spellStart"/>
      <w:r w:rsidRPr="0096524F">
        <w:t>tarnishment</w:t>
      </w:r>
      <w:proofErr w:type="spellEnd"/>
      <w:r w:rsidRPr="0096524F">
        <w:t xml:space="preserve"> where the defendant used the mark in connection with goods or services that the mark owner believed were of poor quality and reflected badly on its brand</w:t>
      </w:r>
      <w:r w:rsidR="0096524F" w:rsidRPr="0096524F">
        <w:t>.</w:t>
      </w:r>
      <w:r w:rsidR="0096524F" w:rsidRPr="0096524F">
        <w:t xml:space="preserve"> </w:t>
      </w:r>
      <w:r w:rsidR="0096524F" w:rsidRPr="0096524F">
        <w:t>T</w:t>
      </w:r>
      <w:r w:rsidRPr="0096524F">
        <w:t>his category has some overlap with the unwholesome activity, especially where services are involved</w:t>
      </w:r>
      <w:r w:rsidR="0096524F" w:rsidRPr="0096524F">
        <w:t>.</w:t>
      </w:r>
      <w:r w:rsidR="0096524F" w:rsidRPr="0096524F">
        <w:t xml:space="preserve"> </w:t>
      </w:r>
      <w:r w:rsidR="0096524F" w:rsidRPr="0096524F">
        <w:t>I</w:t>
      </w:r>
      <w:r w:rsidRPr="0096524F">
        <w:t>n fact, mark owners have been more successful portraying alleged infringers’ services as tarnishing than portraying goods as tarnishing.</w:t>
      </w:r>
    </w:p>
    <w:p w14:paraId="2B61F1A5" w14:textId="7E12E7C3" w:rsidR="0096524F" w:rsidRPr="0096524F" w:rsidRDefault="00A60ADB" w:rsidP="0096524F">
      <w:pPr>
        <w:pStyle w:val="BNormal"/>
      </w:pPr>
      <w:r w:rsidRPr="0096524F">
        <w:lastRenderedPageBreak/>
        <w:t xml:space="preserve">In </w:t>
      </w:r>
      <w:r w:rsidR="0096524F" w:rsidRPr="0096524F">
        <w:rPr>
          <w:i/>
        </w:rPr>
        <w:t>Gideon’s International,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Gideon 300 Ministries, Inc</w:t>
      </w:r>
      <w:r w:rsidRPr="0096524F">
        <w:t>.,</w:t>
      </w:r>
      <w:r w:rsidR="0096524F" w:rsidRPr="0096524F">
        <w:rPr>
          <w:vertAlign w:val="superscript"/>
        </w:rPr>
        <w:footnoteReference w:id="449"/>
      </w:r>
      <w:r w:rsidRPr="0096524F">
        <w:t xml:space="preserve"> the plaintiff contended that the defendant, a Christian ministry, tarnished the Gideon mark by soliciting donations.</w:t>
      </w:r>
      <w:r w:rsidR="0096524F" w:rsidRPr="0096524F">
        <w:rPr>
          <w:vertAlign w:val="superscript"/>
        </w:rPr>
        <w:footnoteReference w:id="450"/>
      </w:r>
      <w:r w:rsidRPr="0096524F">
        <w:t xml:space="preserve"> The court upheld this claim, noting that the plaintiff’s members do not solicit donations.</w:t>
      </w:r>
      <w:r w:rsidR="0096524F" w:rsidRPr="0096524F">
        <w:rPr>
          <w:vertAlign w:val="superscript"/>
        </w:rPr>
        <w:footnoteReference w:id="451"/>
      </w:r>
      <w:r w:rsidRPr="0096524F">
        <w:t xml:space="preserve"> Similarly, in </w:t>
      </w:r>
      <w:r w:rsidR="0096524F" w:rsidRPr="0096524F">
        <w:rPr>
          <w:i/>
        </w:rPr>
        <w:t>New York State Society of Certified Public Accountants v</w:t>
      </w:r>
      <w:r w:rsidR="0096524F" w:rsidRPr="0096524F">
        <w:t>.</w:t>
      </w:r>
      <w:r w:rsidR="0096524F" w:rsidRPr="0096524F">
        <w:t xml:space="preserve"> </w:t>
      </w:r>
      <w:r w:rsidR="0096524F" w:rsidRPr="0096524F">
        <w:rPr>
          <w:i/>
        </w:rPr>
        <w:t>Eric Louis Associates, Inc</w:t>
      </w:r>
      <w:r w:rsidRPr="0096524F">
        <w:t>.,</w:t>
      </w:r>
      <w:r w:rsidR="0096524F" w:rsidRPr="0096524F">
        <w:rPr>
          <w:vertAlign w:val="superscript"/>
        </w:rPr>
        <w:footnoteReference w:id="452"/>
      </w:r>
      <w:r w:rsidRPr="0096524F">
        <w:t xml:space="preserve"> the court credited a </w:t>
      </w:r>
      <w:proofErr w:type="spellStart"/>
      <w:r w:rsidRPr="0096524F">
        <w:t>tarnishment</w:t>
      </w:r>
      <w:proofErr w:type="spellEnd"/>
      <w:r w:rsidRPr="0096524F">
        <w:t xml:space="preserve"> claim, where the plaintiff alleged that the defendant’s for-profit activity would reflect badly on the plaintiff’s not-for-profit organization.</w:t>
      </w:r>
      <w:r w:rsidR="0096524F" w:rsidRPr="0096524F">
        <w:rPr>
          <w:vertAlign w:val="superscript"/>
        </w:rPr>
        <w:footnoteReference w:id="453"/>
      </w:r>
      <w:r w:rsidRPr="0096524F">
        <w:t xml:space="preserve"> However, the court was skeptical of another </w:t>
      </w:r>
      <w:proofErr w:type="spellStart"/>
      <w:r w:rsidRPr="0096524F">
        <w:t>tarnishment</w:t>
      </w:r>
      <w:proofErr w:type="spellEnd"/>
      <w:r w:rsidRPr="0096524F">
        <w:t xml:space="preserve"> claim, that the defendant’s method of doing business (as a “headhunter” firm) was viewed as “unscrupulous” and harmful to the plaintiff.</w:t>
      </w:r>
      <w:r w:rsidR="0096524F" w:rsidRPr="0096524F">
        <w:rPr>
          <w:vertAlign w:val="superscript"/>
        </w:rPr>
        <w:footnoteReference w:id="454"/>
      </w:r>
      <w:r w:rsidRPr="0096524F">
        <w:t xml:space="preserve"> In </w:t>
      </w:r>
      <w:r w:rsidR="0096524F" w:rsidRPr="0096524F">
        <w:rPr>
          <w:rStyle w:val="BCasenamefull"/>
        </w:rPr>
        <w:t>TotalEnergies Marketing Puerto Rico Corp. v. Rivera-Robles</w:t>
      </w:r>
      <w:r w:rsidRPr="0096524F">
        <w:t>,</w:t>
      </w:r>
      <w:r w:rsidR="0096524F" w:rsidRPr="0096524F">
        <w:rPr>
          <w:vertAlign w:val="superscript"/>
        </w:rPr>
        <w:footnoteReference w:id="455"/>
      </w:r>
      <w:r w:rsidRPr="0096524F">
        <w:t xml:space="preserve"> the court granted a preliminary injunction for </w:t>
      </w:r>
      <w:proofErr w:type="spellStart"/>
      <w:r w:rsidRPr="0096524F">
        <w:t>tarnishment</w:t>
      </w:r>
      <w:proofErr w:type="spellEnd"/>
      <w:r w:rsidRPr="0096524F">
        <w:t xml:space="preserve"> where the evidence was that defendant covered up signage plaintiff’s mark and sold another brand of gasoline at its stations.</w:t>
      </w:r>
      <w:r w:rsidR="0096524F" w:rsidRPr="0096524F">
        <w:rPr>
          <w:vertAlign w:val="superscript"/>
        </w:rPr>
        <w:footnoteReference w:id="456"/>
      </w:r>
      <w:r w:rsidRPr="0096524F">
        <w:t xml:space="preserve"> And in </w:t>
      </w:r>
      <w:r w:rsidR="0096524F" w:rsidRPr="0096524F">
        <w:rPr>
          <w:i/>
        </w:rPr>
        <w:t>New York City Triathlon, LLC v</w:t>
      </w:r>
      <w:r w:rsidR="0096524F" w:rsidRPr="0096524F">
        <w:t>.</w:t>
      </w:r>
      <w:r w:rsidR="0096524F" w:rsidRPr="0096524F">
        <w:t xml:space="preserve"> </w:t>
      </w:r>
      <w:r w:rsidR="0096524F" w:rsidRPr="0096524F">
        <w:rPr>
          <w:i/>
        </w:rPr>
        <w:t>NYC Triathlon Club, Inc</w:t>
      </w:r>
      <w:r w:rsidRPr="0096524F">
        <w:t>.,</w:t>
      </w:r>
      <w:r w:rsidR="0096524F" w:rsidRPr="0096524F">
        <w:rPr>
          <w:vertAlign w:val="superscript"/>
        </w:rPr>
        <w:footnoteReference w:id="457"/>
      </w:r>
      <w:r w:rsidRPr="0096524F">
        <w:t xml:space="preserve"> the court upheld a </w:t>
      </w:r>
      <w:proofErr w:type="spellStart"/>
      <w:r w:rsidRPr="0096524F">
        <w:t>tarnishment</w:t>
      </w:r>
      <w:proofErr w:type="spellEnd"/>
      <w:r w:rsidRPr="0096524F">
        <w:t xml:space="preserve"> claim based on the defendant’s poor reputation for providing services related to running a triathlon.</w:t>
      </w:r>
      <w:r w:rsidR="0096524F" w:rsidRPr="0096524F">
        <w:rPr>
          <w:vertAlign w:val="superscript"/>
        </w:rPr>
        <w:footnoteReference w:id="458"/>
      </w:r>
    </w:p>
    <w:p w14:paraId="36968B70" w14:textId="0CFF4452" w:rsidR="0096524F" w:rsidRPr="0096524F" w:rsidRDefault="00A60ADB" w:rsidP="0096524F">
      <w:pPr>
        <w:pStyle w:val="BNormal"/>
      </w:pPr>
      <w:r w:rsidRPr="0096524F">
        <w:t xml:space="preserve">In </w:t>
      </w:r>
      <w:r w:rsidR="0096524F" w:rsidRPr="0096524F">
        <w:rPr>
          <w:rStyle w:val="BCasenamefull"/>
        </w:rPr>
        <w:t>Hilton Worldwide, Inc. v. Global Advertising, Inc.</w:t>
      </w:r>
      <w:r w:rsidRPr="0096524F">
        <w:t>,</w:t>
      </w:r>
      <w:r w:rsidR="0096524F" w:rsidRPr="0096524F">
        <w:rPr>
          <w:vertAlign w:val="superscript"/>
        </w:rPr>
        <w:footnoteReference w:id="459"/>
      </w:r>
      <w:r w:rsidRPr="0096524F">
        <w:t xml:space="preserve"> also a default judgment, the court found that defendant’s telemarketing services, which used the Hilton trademarks and falsely represented a connection, were tarnishing.</w:t>
      </w:r>
      <w:r w:rsidR="0096524F" w:rsidRPr="0096524F">
        <w:rPr>
          <w:vertAlign w:val="superscript"/>
        </w:rPr>
        <w:footnoteReference w:id="460"/>
      </w:r>
      <w:r w:rsidR="0096524F" w:rsidRPr="0096524F">
        <w:t xml:space="preserve"> </w:t>
      </w:r>
      <w:r w:rsidRPr="0096524F">
        <w:t xml:space="preserve">In </w:t>
      </w:r>
      <w:r w:rsidR="0096524F" w:rsidRPr="0096524F">
        <w:rPr>
          <w:rStyle w:val="BCasenamefull"/>
        </w:rPr>
        <w:t xml:space="preserve">Abbott Laboratories v. </w:t>
      </w:r>
      <w:proofErr w:type="spellStart"/>
      <w:r w:rsidR="0096524F" w:rsidRPr="0096524F">
        <w:rPr>
          <w:rStyle w:val="BCasenamefull"/>
        </w:rPr>
        <w:t>Revitalyte</w:t>
      </w:r>
      <w:proofErr w:type="spellEnd"/>
      <w:r w:rsidR="0096524F" w:rsidRPr="0096524F">
        <w:rPr>
          <w:rStyle w:val="BCasenamefull"/>
        </w:rPr>
        <w:t xml:space="preserve"> LLC</w:t>
      </w:r>
      <w:r w:rsidRPr="0096524F">
        <w:t>,</w:t>
      </w:r>
      <w:r w:rsidR="0096524F" w:rsidRPr="0096524F">
        <w:rPr>
          <w:vertAlign w:val="superscript"/>
        </w:rPr>
        <w:footnoteReference w:id="461"/>
      </w:r>
      <w:r w:rsidRPr="0096524F">
        <w:t xml:space="preserve"> the court denied a motion for judgment on the pleadings, finding that plaintiff had made out a claim for </w:t>
      </w:r>
      <w:proofErr w:type="spellStart"/>
      <w:r w:rsidRPr="0096524F">
        <w:t>tarnishment</w:t>
      </w:r>
      <w:proofErr w:type="spellEnd"/>
      <w:r w:rsidRPr="0096524F">
        <w:t xml:space="preserve"> by alleging that defendant’s “advertisements [the offending use] feature references to heavy drinking by young adults, encourage excessive consumption of alcohol, and often feature other conduct that could be described as vulgar and crass, including the use of expletives and suggestive placement of the product.”</w:t>
      </w:r>
      <w:r w:rsidR="0096524F" w:rsidRPr="0096524F">
        <w:rPr>
          <w:vertAlign w:val="superscript"/>
        </w:rPr>
        <w:footnoteReference w:id="462"/>
      </w:r>
    </w:p>
    <w:p w14:paraId="0DD1EB9A" w14:textId="37ECB024" w:rsidR="0096524F" w:rsidRPr="0096524F" w:rsidRDefault="00A60ADB" w:rsidP="0096524F">
      <w:pPr>
        <w:pStyle w:val="BNormal"/>
      </w:pPr>
      <w:r w:rsidRPr="0096524F">
        <w:t xml:space="preserve">In </w:t>
      </w:r>
      <w:r w:rsidR="0096524F" w:rsidRPr="0096524F">
        <w:rPr>
          <w:rStyle w:val="BCasenamefull"/>
        </w:rPr>
        <w:t xml:space="preserve">Gianni Versace, S.P.A. v. Versace 19.69 </w:t>
      </w:r>
      <w:proofErr w:type="spellStart"/>
      <w:r w:rsidR="0096524F" w:rsidRPr="0096524F">
        <w:rPr>
          <w:rStyle w:val="BCasenamefull"/>
        </w:rPr>
        <w:t>Abbigliamento</w:t>
      </w:r>
      <w:proofErr w:type="spellEnd"/>
      <w:r w:rsidR="0096524F" w:rsidRPr="0096524F">
        <w:rPr>
          <w:rStyle w:val="BCasenamefull"/>
        </w:rPr>
        <w:t xml:space="preserve"> </w:t>
      </w:r>
      <w:proofErr w:type="spellStart"/>
      <w:r w:rsidR="0096524F" w:rsidRPr="0096524F">
        <w:rPr>
          <w:rStyle w:val="BCasenamefull"/>
        </w:rPr>
        <w:t>Sportivo</w:t>
      </w:r>
      <w:proofErr w:type="spellEnd"/>
      <w:r w:rsidR="0096524F" w:rsidRPr="0096524F">
        <w:rPr>
          <w:rStyle w:val="BCasenamefull"/>
        </w:rPr>
        <w:t xml:space="preserve"> SRL</w:t>
      </w:r>
      <w:r w:rsidRPr="0096524F">
        <w:t>,</w:t>
      </w:r>
      <w:r w:rsidR="0096524F" w:rsidRPr="0096524F">
        <w:rPr>
          <w:vertAlign w:val="superscript"/>
        </w:rPr>
        <w:footnoteReference w:id="463"/>
      </w:r>
      <w:r w:rsidRPr="0096524F">
        <w:t xml:space="preserve"> the court found dilution by </w:t>
      </w:r>
      <w:proofErr w:type="spellStart"/>
      <w:r w:rsidRPr="0096524F">
        <w:t>tarnishment</w:t>
      </w:r>
      <w:proofErr w:type="spellEnd"/>
      <w:r w:rsidRPr="0096524F">
        <w:t>, citing evidence of the poor quality of defendant’s goods</w:t>
      </w:r>
      <w:r w:rsidR="0096524F" w:rsidRPr="0096524F">
        <w:rPr>
          <w:vertAlign w:val="superscript"/>
        </w:rPr>
        <w:footnoteReference w:id="464"/>
      </w:r>
      <w:r w:rsidRPr="0096524F">
        <w:t xml:space="preserve"> (the court also found dilution by blurring)</w:t>
      </w:r>
      <w:r w:rsidR="0096524F" w:rsidRPr="0096524F">
        <w:t>.</w:t>
      </w:r>
      <w:r w:rsidR="0096524F" w:rsidRPr="0096524F">
        <w:t xml:space="preserve"> </w:t>
      </w:r>
      <w:r w:rsidR="0096524F" w:rsidRPr="0096524F">
        <w:t>T</w:t>
      </w:r>
      <w:r w:rsidRPr="0096524F">
        <w:t xml:space="preserve">his is an instance in which </w:t>
      </w:r>
      <w:proofErr w:type="spellStart"/>
      <w:r w:rsidRPr="0096524F">
        <w:t>tarnishment</w:t>
      </w:r>
      <w:proofErr w:type="spellEnd"/>
      <w:r w:rsidRPr="0096524F">
        <w:t xml:space="preserve"> was from poor quality goods, not services.</w:t>
      </w:r>
    </w:p>
    <w:p w14:paraId="70BA461C" w14:textId="06240433" w:rsidR="0096524F" w:rsidRPr="0096524F" w:rsidRDefault="00A60ADB" w:rsidP="0096524F">
      <w:pPr>
        <w:pStyle w:val="BNormal"/>
      </w:pPr>
      <w:r w:rsidRPr="0096524F">
        <w:t xml:space="preserve">Several other cases, although accepting the general proposition that poor quality goods or services can lead to </w:t>
      </w:r>
      <w:proofErr w:type="spellStart"/>
      <w:r w:rsidRPr="0096524F">
        <w:t>tarnishment</w:t>
      </w:r>
      <w:proofErr w:type="spellEnd"/>
      <w:r w:rsidRPr="0096524F">
        <w:t>, have rejected such claims on the given facts</w:t>
      </w:r>
      <w:r w:rsidR="0096524F" w:rsidRPr="0096524F">
        <w:t>.</w:t>
      </w:r>
      <w:r w:rsidR="0096524F" w:rsidRPr="0096524F">
        <w:t xml:space="preserve"> </w:t>
      </w:r>
      <w:r w:rsidR="0096524F" w:rsidRPr="0096524F">
        <w:t>I</w:t>
      </w:r>
      <w:r w:rsidRPr="0096524F">
        <w:t xml:space="preserve">n </w:t>
      </w:r>
      <w:r w:rsidR="0096524F" w:rsidRPr="0096524F">
        <w:rPr>
          <w:i/>
        </w:rPr>
        <w:t xml:space="preserve">Sony Computer Entertainment, </w:t>
      </w:r>
      <w:r w:rsidR="0096524F" w:rsidRPr="0096524F">
        <w:rPr>
          <w:i/>
        </w:rPr>
        <w:lastRenderedPageBreak/>
        <w:t>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Connectix Corp</w:t>
      </w:r>
      <w:r w:rsidRPr="0096524F">
        <w:t>.,</w:t>
      </w:r>
      <w:r w:rsidR="0096524F" w:rsidRPr="0096524F">
        <w:rPr>
          <w:vertAlign w:val="superscript"/>
        </w:rPr>
        <w:footnoteReference w:id="465"/>
      </w:r>
      <w:r w:rsidRPr="0096524F">
        <w:t xml:space="preserve"> the Ninth Circuit reversed a district court finding of </w:t>
      </w:r>
      <w:proofErr w:type="spellStart"/>
      <w:r w:rsidRPr="0096524F">
        <w:t>tarnishment</w:t>
      </w:r>
      <w:proofErr w:type="spellEnd"/>
      <w:r w:rsidRPr="0096524F">
        <w:t>, which was based on poor-quality goods</w:t>
      </w:r>
      <w:r w:rsidR="0096524F" w:rsidRPr="0096524F">
        <w:t>.</w:t>
      </w:r>
      <w:r w:rsidR="0096524F" w:rsidRPr="0096524F">
        <w:t xml:space="preserve"> </w:t>
      </w:r>
      <w:r w:rsidR="0096524F" w:rsidRPr="0096524F">
        <w:t>T</w:t>
      </w:r>
      <w:r w:rsidRPr="0096524F">
        <w:t>he plaintiff claimed that the defendant’s device, which allowed computer users to play Sony PlayStation games without a dedicated console, gave users a bad experience and tarnished the PlayStation mark.</w:t>
      </w:r>
      <w:r w:rsidR="0096524F" w:rsidRPr="0096524F">
        <w:rPr>
          <w:vertAlign w:val="superscript"/>
        </w:rPr>
        <w:footnoteReference w:id="466"/>
      </w:r>
      <w:r w:rsidRPr="0096524F">
        <w:t xml:space="preserve"> The Ninth Circuit actually rejected two possible </w:t>
      </w:r>
      <w:proofErr w:type="spellStart"/>
      <w:r w:rsidRPr="0096524F">
        <w:t>tarnishment</w:t>
      </w:r>
      <w:proofErr w:type="spellEnd"/>
      <w:r w:rsidRPr="0096524F">
        <w:t xml:space="preserve"> claims</w:t>
      </w:r>
      <w:r w:rsidR="0096524F" w:rsidRPr="0096524F">
        <w:t>.</w:t>
      </w:r>
      <w:r w:rsidR="0096524F" w:rsidRPr="0096524F">
        <w:t xml:space="preserve"> </w:t>
      </w:r>
      <w:r w:rsidR="0096524F" w:rsidRPr="0096524F">
        <w:t>I</w:t>
      </w:r>
      <w:r w:rsidRPr="0096524F">
        <w:t>t found insufficient evidence of misattribution—that is, the defendant’s users attributing poor playability to Sony—and also insufficient evidence that the defendant’s product gave players a poor experience.</w:t>
      </w:r>
      <w:r w:rsidR="0096524F" w:rsidRPr="0096524F">
        <w:rPr>
          <w:vertAlign w:val="superscript"/>
        </w:rPr>
        <w:footnoteReference w:id="467"/>
      </w:r>
      <w:r w:rsidRPr="0096524F">
        <w:t xml:space="preserve"> Another example is </w:t>
      </w:r>
      <w:r w:rsidR="0096524F" w:rsidRPr="0096524F">
        <w:rPr>
          <w:i/>
        </w:rPr>
        <w:t>Ace Technology Corp</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GFM Corp</w:t>
      </w:r>
      <w:r w:rsidRPr="0096524F">
        <w:t>.,</w:t>
      </w:r>
      <w:r w:rsidR="0096524F" w:rsidRPr="0096524F">
        <w:rPr>
          <w:vertAlign w:val="superscript"/>
        </w:rPr>
        <w:footnoteReference w:id="468"/>
      </w:r>
      <w:r w:rsidRPr="0096524F">
        <w:t xml:space="preserve"> where the court rejected a </w:t>
      </w:r>
      <w:proofErr w:type="spellStart"/>
      <w:r w:rsidRPr="0096524F">
        <w:t>tarnishment</w:t>
      </w:r>
      <w:proofErr w:type="spellEnd"/>
      <w:r w:rsidRPr="0096524F">
        <w:t xml:space="preserve"> claim based on the defendant’s failure to use a patented process in the manufacture of licensed tools bearing the plaintiff’s mark</w:t>
      </w:r>
      <w:r w:rsidR="0096524F" w:rsidRPr="0096524F">
        <w:t>.</w:t>
      </w:r>
      <w:r w:rsidR="0096524F" w:rsidRPr="0096524F">
        <w:t xml:space="preserve"> </w:t>
      </w:r>
      <w:r w:rsidR="0096524F" w:rsidRPr="0096524F">
        <w:t>T</w:t>
      </w:r>
      <w:r w:rsidRPr="0096524F">
        <w:t>he court found no evidence that the defendant’s tools were, in fact, inferior, or that any customers had complained about their quality.</w:t>
      </w:r>
      <w:r w:rsidR="0096524F" w:rsidRPr="0096524F">
        <w:rPr>
          <w:vertAlign w:val="superscript"/>
        </w:rPr>
        <w:footnoteReference w:id="469"/>
      </w:r>
    </w:p>
    <w:p w14:paraId="3DE3A993" w14:textId="2EC1CABB" w:rsidR="0096524F" w:rsidRPr="0096524F" w:rsidRDefault="00A60ADB" w:rsidP="0096524F">
      <w:pPr>
        <w:pStyle w:val="BNormal"/>
      </w:pPr>
      <w:r w:rsidRPr="0096524F">
        <w:t xml:space="preserve">In </w:t>
      </w:r>
      <w:r w:rsidR="0096524F" w:rsidRPr="0096524F">
        <w:rPr>
          <w:rStyle w:val="BCasenamefull"/>
        </w:rPr>
        <w:t xml:space="preserve">Nordstrom, Inc. v. </w:t>
      </w:r>
      <w:proofErr w:type="spellStart"/>
      <w:r w:rsidR="0096524F" w:rsidRPr="0096524F">
        <w:rPr>
          <w:rStyle w:val="BCasenamefull"/>
        </w:rPr>
        <w:t>Nomorerack</w:t>
      </w:r>
      <w:proofErr w:type="spellEnd"/>
      <w:r w:rsidR="0096524F" w:rsidRPr="0096524F">
        <w:rPr>
          <w:rStyle w:val="BCasenamefull"/>
        </w:rPr>
        <w:t>, Inc.</w:t>
      </w:r>
      <w:r w:rsidRPr="0096524F">
        <w:t>,</w:t>
      </w:r>
      <w:r w:rsidR="0096524F" w:rsidRPr="0096524F">
        <w:rPr>
          <w:vertAlign w:val="superscript"/>
        </w:rPr>
        <w:footnoteReference w:id="470"/>
      </w:r>
      <w:r w:rsidRPr="0096524F">
        <w:t xml:space="preserve"> the court found that evidence of poor reviews of defendant’s service on various complaint websites was insufficient to demonstrate a reputation for poor service that was likely to cause dilution by </w:t>
      </w:r>
      <w:proofErr w:type="spellStart"/>
      <w:r w:rsidRPr="0096524F">
        <w:t>tarnishment</w:t>
      </w:r>
      <w:proofErr w:type="spellEnd"/>
      <w:r w:rsidRPr="0096524F">
        <w:t xml:space="preserve"> of plaintiff’s Nordstrom mark.</w:t>
      </w:r>
      <w:r w:rsidR="0096524F" w:rsidRPr="0096524F">
        <w:rPr>
          <w:vertAlign w:val="superscript"/>
        </w:rPr>
        <w:footnoteReference w:id="471"/>
      </w:r>
      <w:r w:rsidRPr="0096524F">
        <w:t xml:space="preserve"> And in </w:t>
      </w:r>
      <w:r w:rsidR="0096524F" w:rsidRPr="0096524F">
        <w:rPr>
          <w:rStyle w:val="BCasenamefull"/>
        </w:rPr>
        <w:t>ArcelorMittal USA, LLC v. Arillotta</w:t>
      </w:r>
      <w:r w:rsidRPr="0096524F">
        <w:t>,</w:t>
      </w:r>
      <w:r w:rsidR="0096524F" w:rsidRPr="0096524F">
        <w:rPr>
          <w:vertAlign w:val="superscript"/>
        </w:rPr>
        <w:footnoteReference w:id="472"/>
      </w:r>
      <w:r w:rsidRPr="0096524F">
        <w:t xml:space="preserve"> where defendants defaulted, the court refused to find </w:t>
      </w:r>
      <w:proofErr w:type="spellStart"/>
      <w:r w:rsidRPr="0096524F">
        <w:t>tarnishment</w:t>
      </w:r>
      <w:proofErr w:type="spellEnd"/>
      <w:r w:rsidRPr="0096524F">
        <w:t xml:space="preserve"> where the main defendant was alleged to have fraudulently represented to third parties that it had a contract with plaintiff.</w:t>
      </w:r>
      <w:r w:rsidR="0096524F" w:rsidRPr="0096524F">
        <w:rPr>
          <w:vertAlign w:val="superscript"/>
        </w:rPr>
        <w:footnoteReference w:id="473"/>
      </w:r>
      <w:r w:rsidRPr="0096524F">
        <w:t xml:space="preserve"> Similarly, in </w:t>
      </w:r>
      <w:proofErr w:type="spellStart"/>
      <w:r w:rsidR="0096524F" w:rsidRPr="0096524F">
        <w:rPr>
          <w:rStyle w:val="BCasenamefull"/>
        </w:rPr>
        <w:t>Crossfit</w:t>
      </w:r>
      <w:proofErr w:type="spellEnd"/>
      <w:r w:rsidR="0096524F" w:rsidRPr="0096524F">
        <w:rPr>
          <w:rStyle w:val="BCasenamefull"/>
        </w:rPr>
        <w:t>, Inc. v. Quinnie</w:t>
      </w:r>
      <w:r w:rsidRPr="0096524F">
        <w:t>,</w:t>
      </w:r>
      <w:r w:rsidR="0096524F" w:rsidRPr="0096524F">
        <w:rPr>
          <w:vertAlign w:val="superscript"/>
        </w:rPr>
        <w:footnoteReference w:id="474"/>
      </w:r>
      <w:r w:rsidRPr="0096524F">
        <w:t xml:space="preserve"> another default case, the court (citing </w:t>
      </w:r>
      <w:r w:rsidR="0096524F" w:rsidRPr="0096524F">
        <w:rPr>
          <w:i/>
        </w:rPr>
        <w:t>ArcelorMittal</w:t>
      </w:r>
      <w:r w:rsidRPr="0096524F">
        <w:t xml:space="preserve">) refused to find </w:t>
      </w:r>
      <w:proofErr w:type="spellStart"/>
      <w:r w:rsidRPr="0096524F">
        <w:t>tarnishment</w:t>
      </w:r>
      <w:proofErr w:type="spellEnd"/>
      <w:r w:rsidRPr="0096524F">
        <w:t xml:space="preserve"> where plaintiff did not allege that the quality of defendant’s services (as opposed to other peripheral issues) was inferior.</w:t>
      </w:r>
      <w:r w:rsidR="0096524F" w:rsidRPr="0096524F">
        <w:rPr>
          <w:vertAlign w:val="superscript"/>
        </w:rPr>
        <w:footnoteReference w:id="475"/>
      </w:r>
    </w:p>
    <w:p w14:paraId="64370684" w14:textId="335E4549" w:rsidR="0096524F" w:rsidRPr="0096524F" w:rsidRDefault="00A60ADB" w:rsidP="0096524F">
      <w:pPr>
        <w:pStyle w:val="BNormal"/>
      </w:pPr>
      <w:r w:rsidRPr="0096524F">
        <w:t xml:space="preserve">Similarly, in </w:t>
      </w:r>
      <w:r w:rsidR="0096524F" w:rsidRPr="0096524F">
        <w:rPr>
          <w:i/>
        </w:rPr>
        <w:t>Starbucks Corp</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Wolfe’s Borough Coffee, Inc</w:t>
      </w:r>
      <w:r w:rsidRPr="0096524F">
        <w:t>.,</w:t>
      </w:r>
      <w:r w:rsidR="0096524F" w:rsidRPr="0096524F">
        <w:rPr>
          <w:vertAlign w:val="superscript"/>
        </w:rPr>
        <w:footnoteReference w:id="476"/>
      </w:r>
      <w:r w:rsidRPr="0096524F">
        <w:t xml:space="preserve"> the Second Circuit affirmed the district court’s rejection of a </w:t>
      </w:r>
      <w:proofErr w:type="spellStart"/>
      <w:r w:rsidRPr="0096524F">
        <w:t>tarnishment</w:t>
      </w:r>
      <w:proofErr w:type="spellEnd"/>
      <w:r w:rsidRPr="0096524F">
        <w:t xml:space="preserve"> claim based on the defendant’s use of Mr</w:t>
      </w:r>
      <w:r w:rsidR="0096524F" w:rsidRPr="0096524F">
        <w:t>.</w:t>
      </w:r>
      <w:r w:rsidR="0096524F" w:rsidRPr="0096524F">
        <w:t xml:space="preserve"> </w:t>
      </w:r>
      <w:proofErr w:type="spellStart"/>
      <w:r w:rsidR="0096524F" w:rsidRPr="0096524F">
        <w:t>C</w:t>
      </w:r>
      <w:r w:rsidRPr="0096524F">
        <w:t>harbucks</w:t>
      </w:r>
      <w:proofErr w:type="spellEnd"/>
      <w:r w:rsidRPr="0096524F">
        <w:t xml:space="preserve"> as a coffee name, pointing out that the defendant’s coffee was of “very high quality.”</w:t>
      </w:r>
      <w:r w:rsidR="0096524F" w:rsidRPr="0096524F">
        <w:rPr>
          <w:vertAlign w:val="superscript"/>
        </w:rPr>
        <w:footnoteReference w:id="477"/>
      </w:r>
      <w:r w:rsidRPr="0096524F">
        <w:t xml:space="preserve"> In </w:t>
      </w:r>
      <w:r w:rsidR="0096524F" w:rsidRPr="0096524F">
        <w:rPr>
          <w:i/>
        </w:rPr>
        <w:t>Lexington Management Corp</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Lexington Capital Partners,</w:t>
      </w:r>
      <w:r w:rsidR="0096524F" w:rsidRPr="0096524F">
        <w:rPr>
          <w:vertAlign w:val="superscript"/>
        </w:rPr>
        <w:footnoteReference w:id="478"/>
      </w:r>
      <w:r w:rsidRPr="0096524F">
        <w:t xml:space="preserve"> the court refused to find </w:t>
      </w:r>
      <w:proofErr w:type="spellStart"/>
      <w:r w:rsidRPr="0096524F">
        <w:t>tarnishment</w:t>
      </w:r>
      <w:proofErr w:type="spellEnd"/>
      <w:r w:rsidRPr="0096524F">
        <w:t xml:space="preserve">, despite the plaintiff’s claims that the defendant’s manner of doing business (aggressive “cold calling”) and allegations of regulatory investigations of the </w:t>
      </w:r>
      <w:r w:rsidRPr="0096524F">
        <w:lastRenderedPageBreak/>
        <w:t xml:space="preserve">defendant caused </w:t>
      </w:r>
      <w:proofErr w:type="spellStart"/>
      <w:r w:rsidRPr="0096524F">
        <w:t>tarnishment</w:t>
      </w:r>
      <w:proofErr w:type="spellEnd"/>
      <w:r w:rsidRPr="0096524F">
        <w:t xml:space="preserve"> of the plaintiff’s business.</w:t>
      </w:r>
      <w:r w:rsidR="0096524F" w:rsidRPr="0096524F">
        <w:rPr>
          <w:vertAlign w:val="superscript"/>
        </w:rPr>
        <w:footnoteReference w:id="479"/>
      </w:r>
      <w:r w:rsidRPr="0096524F">
        <w:t xml:space="preserve"> And in </w:t>
      </w:r>
      <w:r w:rsidR="0096524F" w:rsidRPr="0096524F">
        <w:rPr>
          <w:i/>
        </w:rPr>
        <w:t>Libbey Glass,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Oneida, Ltd</w:t>
      </w:r>
      <w:r w:rsidRPr="0096524F">
        <w:t>.,</w:t>
      </w:r>
      <w:r w:rsidR="0096524F" w:rsidRPr="0096524F">
        <w:rPr>
          <w:vertAlign w:val="superscript"/>
        </w:rPr>
        <w:footnoteReference w:id="480"/>
      </w:r>
      <w:r w:rsidRPr="0096524F">
        <w:t xml:space="preserve"> the court denied both sides’ motions for summary judgment on the issue of </w:t>
      </w:r>
      <w:proofErr w:type="spellStart"/>
      <w:r w:rsidRPr="0096524F">
        <w:t>tarnishment</w:t>
      </w:r>
      <w:proofErr w:type="spellEnd"/>
      <w:r w:rsidRPr="0096524F">
        <w:t>, finding an issue of fact as to the inferior quality of the defendant’s product.</w:t>
      </w:r>
      <w:r w:rsidR="0096524F" w:rsidRPr="0096524F">
        <w:rPr>
          <w:vertAlign w:val="superscript"/>
        </w:rPr>
        <w:footnoteReference w:id="481"/>
      </w:r>
      <w:r w:rsidRPr="0096524F">
        <w:t xml:space="preserve"> The mark at issue in this case was the design of the plaintiff’s product, not a logo or word mark.</w:t>
      </w:r>
    </w:p>
    <w:p w14:paraId="19816E68" w14:textId="204EAE5D" w:rsidR="0096524F" w:rsidRPr="0096524F" w:rsidRDefault="0096524F" w:rsidP="0096524F">
      <w:pPr>
        <w:pStyle w:val="BNormal"/>
      </w:pPr>
      <w:r w:rsidRPr="0096524F">
        <w:rPr>
          <w:i/>
        </w:rPr>
        <w:t>Calvin Klein Trademark Trust v</w:t>
      </w:r>
      <w:r w:rsidRPr="0096524F">
        <w:t>.</w:t>
      </w:r>
      <w:r w:rsidRPr="0096524F">
        <w:t xml:space="preserve"> </w:t>
      </w:r>
      <w:r w:rsidRPr="0096524F">
        <w:rPr>
          <w:i/>
        </w:rPr>
        <w:t>Wachner</w:t>
      </w:r>
      <w:r w:rsidRPr="0096524F">
        <w:rPr>
          <w:vertAlign w:val="superscript"/>
        </w:rPr>
        <w:footnoteReference w:id="482"/>
      </w:r>
      <w:r w:rsidR="00A60ADB" w:rsidRPr="0096524F">
        <w:t xml:space="preserve"> raised some interesting </w:t>
      </w:r>
      <w:proofErr w:type="spellStart"/>
      <w:r w:rsidR="00A60ADB" w:rsidRPr="0096524F">
        <w:t>tarnishment</w:t>
      </w:r>
      <w:proofErr w:type="spellEnd"/>
      <w:r w:rsidR="00A60ADB" w:rsidRPr="0096524F">
        <w:t xml:space="preserve"> issues in connection with poor quality goods</w:t>
      </w:r>
      <w:r w:rsidRPr="0096524F">
        <w:t>.</w:t>
      </w:r>
      <w:r w:rsidRPr="0096524F">
        <w:t xml:space="preserve"> </w:t>
      </w:r>
      <w:r w:rsidRPr="0096524F">
        <w:t>T</w:t>
      </w:r>
      <w:r w:rsidR="00A60ADB" w:rsidRPr="0096524F">
        <w:t xml:space="preserve">he court dismissed a </w:t>
      </w:r>
      <w:proofErr w:type="spellStart"/>
      <w:r w:rsidR="00A60ADB" w:rsidRPr="0096524F">
        <w:t>tarnishment</w:t>
      </w:r>
      <w:proofErr w:type="spellEnd"/>
      <w:r w:rsidR="00A60ADB" w:rsidRPr="0096524F">
        <w:t xml:space="preserve"> claim that was based on allegations that the defendant had made unauthorized distributions of authentic Calvin Klein merchandise.</w:t>
      </w:r>
      <w:r w:rsidRPr="0096524F">
        <w:rPr>
          <w:vertAlign w:val="superscript"/>
        </w:rPr>
        <w:footnoteReference w:id="483"/>
      </w:r>
      <w:r w:rsidR="00A60ADB" w:rsidRPr="0096524F">
        <w:t xml:space="preserve"> However, it permitted a trial on the plaintiff’s claim that the defendant had not followed prescribed packaging and design requirements.</w:t>
      </w:r>
      <w:r w:rsidRPr="0096524F">
        <w:rPr>
          <w:vertAlign w:val="superscript"/>
        </w:rPr>
        <w:footnoteReference w:id="484"/>
      </w:r>
      <w:r w:rsidR="00A60ADB" w:rsidRPr="0096524F">
        <w:t xml:space="preserve"> In a somewhat similar case, </w:t>
      </w:r>
      <w:r w:rsidRPr="0096524F">
        <w:rPr>
          <w:i/>
        </w:rPr>
        <w:t>Four Seasons Hotels &amp; Resorts B</w:t>
      </w:r>
      <w:r w:rsidR="00A60ADB" w:rsidRPr="0096524F">
        <w:t>.</w:t>
      </w:r>
      <w:r w:rsidRPr="0096524F">
        <w:rPr>
          <w:i/>
        </w:rPr>
        <w:t>V</w:t>
      </w:r>
      <w:r w:rsidRPr="0096524F">
        <w:t>.</w:t>
      </w:r>
      <w:r w:rsidRPr="0096524F">
        <w:t xml:space="preserve"> </w:t>
      </w:r>
      <w:r w:rsidRPr="0096524F">
        <w:rPr>
          <w:i/>
        </w:rPr>
        <w:t>v</w:t>
      </w:r>
      <w:r w:rsidRPr="0096524F">
        <w:t>.</w:t>
      </w:r>
      <w:r w:rsidRPr="0096524F">
        <w:t xml:space="preserve"> </w:t>
      </w:r>
      <w:r w:rsidRPr="0096524F">
        <w:rPr>
          <w:i/>
        </w:rPr>
        <w:t>Consorcio Barr, S</w:t>
      </w:r>
      <w:r w:rsidR="00A60ADB" w:rsidRPr="0096524F">
        <w:t>.</w:t>
      </w:r>
      <w:r w:rsidRPr="0096524F">
        <w:rPr>
          <w:i/>
        </w:rPr>
        <w:t>A</w:t>
      </w:r>
      <w:r w:rsidR="00A60ADB" w:rsidRPr="0096524F">
        <w:t>.,</w:t>
      </w:r>
      <w:r w:rsidRPr="0096524F">
        <w:rPr>
          <w:vertAlign w:val="superscript"/>
        </w:rPr>
        <w:footnoteReference w:id="485"/>
      </w:r>
      <w:r w:rsidR="00A60ADB" w:rsidRPr="0096524F">
        <w:t xml:space="preserve"> the court imposed liability under the FTDA and the Florida dilution statute where the defendant was licensed to use the Four Seasons mark for its hotel in Caracas, Venezuela, and did not operate the hotel according to the standards of a Four Seasons hotel</w:t>
      </w:r>
      <w:r w:rsidRPr="0096524F">
        <w:t>.</w:t>
      </w:r>
      <w:r w:rsidRPr="0096524F">
        <w:t xml:space="preserve"> </w:t>
      </w:r>
      <w:r w:rsidRPr="0096524F">
        <w:t>A</w:t>
      </w:r>
      <w:r w:rsidR="00A60ADB" w:rsidRPr="0096524F">
        <w:t>lthough a suit against a licensee is not a suit against a wholly unauthorized user, such suits are often used when the licensee/franchisee continues to use the mark after the franchise agreement has been terminated.</w:t>
      </w:r>
      <w:r w:rsidRPr="0096524F">
        <w:rPr>
          <w:vertAlign w:val="superscript"/>
        </w:rPr>
        <w:footnoteReference w:id="486"/>
      </w:r>
      <w:r w:rsidR="00A60ADB" w:rsidRPr="0096524F">
        <w:t xml:space="preserve"> In a somewhat contrasting case, a court dismissed a dilution claim arising from the defendant’s unauthorized distribution of the plaintiff’s goods.</w:t>
      </w:r>
      <w:r w:rsidRPr="0096524F">
        <w:rPr>
          <w:vertAlign w:val="superscript"/>
        </w:rPr>
        <w:footnoteReference w:id="487"/>
      </w:r>
      <w:r w:rsidR="00A60ADB" w:rsidRPr="0096524F">
        <w:t xml:space="preserve"> The court acknowledged that the defendant’s distribution of expired goods “may cause reputational damage to [defendant],” but held that a diluting use must be one on non-competing goods.</w:t>
      </w:r>
      <w:r w:rsidRPr="0096524F">
        <w:rPr>
          <w:vertAlign w:val="superscript"/>
        </w:rPr>
        <w:footnoteReference w:id="488"/>
      </w:r>
    </w:p>
    <w:p w14:paraId="3F70EC1E" w14:textId="28EA6157" w:rsidR="0096524F" w:rsidRPr="0096524F" w:rsidRDefault="00A60ADB" w:rsidP="0096524F">
      <w:pPr>
        <w:pStyle w:val="BNormal"/>
      </w:pPr>
      <w:r w:rsidRPr="0096524F">
        <w:t xml:space="preserve">Even apart from a licensee or franchisee, the unauthorized use of the plaintiff’s mark on identical goods, particularly counterfeit goods, is a situation in which </w:t>
      </w:r>
      <w:proofErr w:type="spellStart"/>
      <w:r w:rsidRPr="0096524F">
        <w:t>tarnishment</w:t>
      </w:r>
      <w:proofErr w:type="spellEnd"/>
      <w:r w:rsidRPr="0096524F">
        <w:t xml:space="preserve"> claims are often successful.</w:t>
      </w:r>
      <w:r w:rsidR="0096524F" w:rsidRPr="0096524F">
        <w:rPr>
          <w:vertAlign w:val="superscript"/>
        </w:rPr>
        <w:footnoteReference w:id="489"/>
      </w:r>
      <w:r w:rsidRPr="0096524F">
        <w:t xml:space="preserve"> There are two variations on these cases</w:t>
      </w:r>
      <w:r w:rsidR="0096524F" w:rsidRPr="0096524F">
        <w:t>:</w:t>
      </w:r>
      <w:r w:rsidR="0096524F" w:rsidRPr="0096524F">
        <w:t xml:space="preserve"> </w:t>
      </w:r>
      <w:r w:rsidR="0096524F" w:rsidRPr="0096524F">
        <w:t>(</w:t>
      </w:r>
      <w:r w:rsidRPr="0096524F">
        <w:t xml:space="preserve">1) unauthorized sales of actual branded goods (as in gray market situations) and (2) </w:t>
      </w:r>
      <w:r w:rsidRPr="0096524F">
        <w:lastRenderedPageBreak/>
        <w:t>counterfeit goods</w:t>
      </w:r>
      <w:r w:rsidR="0096524F" w:rsidRPr="0096524F">
        <w:t>.</w:t>
      </w:r>
      <w:r w:rsidR="0096524F" w:rsidRPr="0096524F">
        <w:t xml:space="preserve"> </w:t>
      </w:r>
      <w:r w:rsidR="0096524F" w:rsidRPr="0096524F">
        <w:t>B</w:t>
      </w:r>
      <w:r w:rsidRPr="0096524F">
        <w:t xml:space="preserve">oth types of cases can rely on the statement in </w:t>
      </w:r>
      <w:r w:rsidR="0096524F" w:rsidRPr="0096524F">
        <w:rPr>
          <w:i/>
        </w:rPr>
        <w:t>Moseley</w:t>
      </w:r>
      <w:r w:rsidRPr="0096524F">
        <w:t xml:space="preserve"> that the use of identical marks may be circumstantial evidence of actual dilution.</w:t>
      </w:r>
      <w:r w:rsidR="0096524F" w:rsidRPr="0096524F">
        <w:rPr>
          <w:vertAlign w:val="superscript"/>
        </w:rPr>
        <w:footnoteReference w:id="490"/>
      </w:r>
      <w:r w:rsidRPr="0096524F">
        <w:t xml:space="preserve"> Both rely on the underlying notion that the trademark owner’s loss of control threatens the quality-signal function of the trademark</w:t>
      </w:r>
      <w:r w:rsidR="0096524F" w:rsidRPr="0096524F">
        <w:t>.</w:t>
      </w:r>
      <w:r w:rsidR="0096524F" w:rsidRPr="0096524F">
        <w:t xml:space="preserve"> </w:t>
      </w:r>
      <w:r w:rsidR="0096524F" w:rsidRPr="0096524F">
        <w:t>S</w:t>
      </w:r>
      <w:r w:rsidRPr="0096524F">
        <w:t>uch uses do not directly attack the source-identifying function of the mark, since they use the mark on the same goods as the famous mark owner, and the public presumably assumes that the goods come from the famous mark owner.</w:t>
      </w:r>
      <w:r w:rsidR="0096524F" w:rsidRPr="0096524F">
        <w:rPr>
          <w:vertAlign w:val="superscript"/>
        </w:rPr>
        <w:footnoteReference w:id="491"/>
      </w:r>
      <w:r w:rsidRPr="0096524F">
        <w:t xml:space="preserve"> However, they do raise the possibility of harm to the trademark owner’s reputation, consistent with the TDRA’s definition of </w:t>
      </w:r>
      <w:proofErr w:type="spellStart"/>
      <w:r w:rsidRPr="0096524F">
        <w:t>tarnishment</w:t>
      </w:r>
      <w:proofErr w:type="spellEnd"/>
      <w:r w:rsidR="0096524F" w:rsidRPr="0096524F">
        <w:t>.</w:t>
      </w:r>
      <w:r w:rsidR="0096524F" w:rsidRPr="0096524F">
        <w:t xml:space="preserve"> </w:t>
      </w:r>
      <w:r w:rsidR="0096524F" w:rsidRPr="0096524F">
        <w:t>O</w:t>
      </w:r>
      <w:r w:rsidRPr="0096524F">
        <w:t>n the other hand, “unauthorized” sales are not necessarily sales of poor quality goods</w:t>
      </w:r>
      <w:r w:rsidR="0096524F" w:rsidRPr="0096524F">
        <w:t>.</w:t>
      </w:r>
      <w:r w:rsidR="0096524F" w:rsidRPr="0096524F">
        <w:t xml:space="preserve"> </w:t>
      </w:r>
      <w:r w:rsidR="0096524F" w:rsidRPr="0096524F">
        <w:t>I</w:t>
      </w:r>
      <w:r w:rsidRPr="0096524F">
        <w:t xml:space="preserve">ndeed, in </w:t>
      </w:r>
      <w:r w:rsidR="0096524F" w:rsidRPr="0096524F">
        <w:rPr>
          <w:i/>
        </w:rPr>
        <w:t>Scott Fetzer Co</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House of Vacuums, Inc</w:t>
      </w:r>
      <w:r w:rsidRPr="0096524F">
        <w:t>.,</w:t>
      </w:r>
      <w:r w:rsidR="0096524F" w:rsidRPr="0096524F">
        <w:rPr>
          <w:vertAlign w:val="superscript"/>
        </w:rPr>
        <w:footnoteReference w:id="492"/>
      </w:r>
      <w:r w:rsidRPr="0096524F">
        <w:t xml:space="preserve"> the court rejected a </w:t>
      </w:r>
      <w:proofErr w:type="spellStart"/>
      <w:r w:rsidRPr="0096524F">
        <w:t>tarnishment</w:t>
      </w:r>
      <w:proofErr w:type="spellEnd"/>
      <w:r w:rsidRPr="0096524F">
        <w:t xml:space="preserve"> claim based on alleged unauthorized sales and reconditioning of the plaintiff’s branded merchandise, noting that “[t]</w:t>
      </w:r>
      <w:proofErr w:type="spellStart"/>
      <w:r w:rsidRPr="0096524F">
        <w:t>rademark</w:t>
      </w:r>
      <w:proofErr w:type="spellEnd"/>
      <w:r w:rsidRPr="0096524F">
        <w:t xml:space="preserve"> law does not entitle </w:t>
      </w:r>
      <w:proofErr w:type="spellStart"/>
      <w:r w:rsidRPr="0096524F">
        <w:t>markholders</w:t>
      </w:r>
      <w:proofErr w:type="spellEnd"/>
      <w:r w:rsidRPr="0096524F">
        <w:t xml:space="preserve"> to control the aftermarket in marked products.”</w:t>
      </w:r>
      <w:r w:rsidR="0096524F" w:rsidRPr="0096524F">
        <w:rPr>
          <w:vertAlign w:val="superscript"/>
        </w:rPr>
        <w:footnoteReference w:id="493"/>
      </w:r>
    </w:p>
    <w:p w14:paraId="71AB2454" w14:textId="6942A2A6" w:rsidR="0096524F" w:rsidRPr="0096524F" w:rsidRDefault="00A60ADB" w:rsidP="0096524F">
      <w:pPr>
        <w:pStyle w:val="BNormal"/>
      </w:pPr>
      <w:r w:rsidRPr="0096524F">
        <w:t xml:space="preserve">This sentiment was reiterated in another case, </w:t>
      </w:r>
      <w:r w:rsidR="0096524F" w:rsidRPr="0096524F">
        <w:rPr>
          <w:rStyle w:val="BCasenamefull"/>
        </w:rPr>
        <w:t>American Airlines, Inc. v. Despegar.com USA, Inc.</w:t>
      </w:r>
      <w:r w:rsidRPr="0096524F">
        <w:t>,</w:t>
      </w:r>
      <w:r w:rsidR="0096524F" w:rsidRPr="0096524F">
        <w:rPr>
          <w:vertAlign w:val="superscript"/>
        </w:rPr>
        <w:footnoteReference w:id="494"/>
      </w:r>
      <w:r w:rsidRPr="0096524F">
        <w:t xml:space="preserve"> where the court dismissed a dilution claim based on defendant’s alleged sale of seats on American flights at higher fares than those charged by American itself, and the perception that American endorsed such activity.</w:t>
      </w:r>
      <w:r w:rsidR="0096524F" w:rsidRPr="0096524F">
        <w:rPr>
          <w:vertAlign w:val="superscript"/>
        </w:rPr>
        <w:footnoteReference w:id="495"/>
      </w:r>
      <w:r w:rsidRPr="0096524F">
        <w:t xml:space="preserve"> The court noted that defendant did not use its own mark, but rather was using American’s mark to refer to American (essentially a nominative use, although the court did not cite the nominative use exclusion).</w:t>
      </w:r>
      <w:r w:rsidR="0096524F" w:rsidRPr="0096524F">
        <w:rPr>
          <w:vertAlign w:val="superscript"/>
        </w:rPr>
        <w:footnoteReference w:id="496"/>
      </w:r>
      <w:r w:rsidRPr="0096524F">
        <w:t xml:space="preserve"> However, another court, in a default judgment situation, upheld a dilution-by-</w:t>
      </w:r>
      <w:proofErr w:type="spellStart"/>
      <w:r w:rsidRPr="0096524F">
        <w:t>tarnishment</w:t>
      </w:r>
      <w:proofErr w:type="spellEnd"/>
      <w:r w:rsidRPr="0096524F">
        <w:t xml:space="preserve"> claim by Hilton hotels against a telemarketer that falsely represented that it was partnering with Hilton to sell vacation packages.</w:t>
      </w:r>
      <w:r w:rsidR="0096524F" w:rsidRPr="0096524F">
        <w:rPr>
          <w:vertAlign w:val="superscript"/>
        </w:rPr>
        <w:footnoteReference w:id="497"/>
      </w:r>
    </w:p>
    <w:p w14:paraId="34D084D6" w14:textId="4FEE8112" w:rsidR="0096524F" w:rsidRPr="0096524F" w:rsidRDefault="00A60ADB" w:rsidP="0096524F">
      <w:pPr>
        <w:pStyle w:val="BNormal"/>
      </w:pPr>
      <w:r w:rsidRPr="0096524F">
        <w:t xml:space="preserve">Microsoft received a default judgment in its favor where it claimed dilution and </w:t>
      </w:r>
      <w:proofErr w:type="spellStart"/>
      <w:r w:rsidRPr="0096524F">
        <w:t>tarnishment</w:t>
      </w:r>
      <w:proofErr w:type="spellEnd"/>
      <w:r w:rsidRPr="0096524F">
        <w:t xml:space="preserve"> as a result of defendant’s use of various Microsoft marks to engage in hacking and cybertheft.</w:t>
      </w:r>
      <w:r w:rsidR="0096524F" w:rsidRPr="0096524F">
        <w:rPr>
          <w:vertAlign w:val="superscript"/>
        </w:rPr>
        <w:footnoteReference w:id="498"/>
      </w:r>
    </w:p>
    <w:p w14:paraId="082963D5" w14:textId="506DCE88" w:rsidR="0096524F" w:rsidRPr="0096524F" w:rsidRDefault="00A60ADB" w:rsidP="0096524F">
      <w:pPr>
        <w:pStyle w:val="BNormal"/>
      </w:pPr>
      <w:r w:rsidRPr="0096524F">
        <w:lastRenderedPageBreak/>
        <w:t xml:space="preserve">However, a post-TDRA case indicates how broadly </w:t>
      </w:r>
      <w:proofErr w:type="spellStart"/>
      <w:r w:rsidRPr="0096524F">
        <w:t>tarnishment</w:t>
      </w:r>
      <w:proofErr w:type="spellEnd"/>
      <w:r w:rsidRPr="0096524F">
        <w:t xml:space="preserve"> can apply in gray market goods cases</w:t>
      </w:r>
      <w:r w:rsidR="0096524F" w:rsidRPr="0096524F">
        <w:t>.</w:t>
      </w:r>
      <w:r w:rsidR="0096524F" w:rsidRPr="0096524F">
        <w:t xml:space="preserve"> </w:t>
      </w:r>
      <w:r w:rsidR="0096524F" w:rsidRPr="0096524F">
        <w:t>I</w:t>
      </w:r>
      <w:r w:rsidRPr="0096524F">
        <w:t xml:space="preserve">n </w:t>
      </w:r>
      <w:r w:rsidR="0096524F" w:rsidRPr="0096524F">
        <w:rPr>
          <w:i/>
        </w:rPr>
        <w:t>Dan-Foam A/S v</w:t>
      </w:r>
      <w:r w:rsidR="0096524F" w:rsidRPr="0096524F">
        <w:t>.</w:t>
      </w:r>
      <w:r w:rsidR="0096524F" w:rsidRPr="0096524F">
        <w:t xml:space="preserve"> </w:t>
      </w:r>
      <w:r w:rsidR="0096524F" w:rsidRPr="0096524F">
        <w:rPr>
          <w:i/>
        </w:rPr>
        <w:t>Brand Named Beds, LLC</w:t>
      </w:r>
      <w:r w:rsidRPr="0096524F">
        <w:t>,</w:t>
      </w:r>
      <w:r w:rsidR="0096524F" w:rsidRPr="0096524F">
        <w:rPr>
          <w:vertAlign w:val="superscript"/>
        </w:rPr>
        <w:footnoteReference w:id="499"/>
      </w:r>
      <w:r w:rsidRPr="0096524F">
        <w:t xml:space="preserve"> the court upheld a dilution claim where there were “material differences” in the goods such that the sale of the gray market goods could harm the reputation of the famous mark.</w:t>
      </w:r>
      <w:r w:rsidR="0096524F" w:rsidRPr="0096524F">
        <w:rPr>
          <w:vertAlign w:val="superscript"/>
        </w:rPr>
        <w:footnoteReference w:id="500"/>
      </w:r>
      <w:r w:rsidRPr="0096524F">
        <w:t xml:space="preserve"> Furthermore, the “likelihood of dilution” standard and the broad definition of </w:t>
      </w:r>
      <w:proofErr w:type="spellStart"/>
      <w:r w:rsidRPr="0096524F">
        <w:t>tarnishment</w:t>
      </w:r>
      <w:proofErr w:type="spellEnd"/>
      <w:r w:rsidRPr="0096524F">
        <w:t xml:space="preserve"> in the TDRA make claims against counterfeit marks a more defensible fit within the dilution statute, despite the fact that a confusion claim would seem to be the most logical one.</w:t>
      </w:r>
      <w:r w:rsidR="0096524F" w:rsidRPr="0096524F">
        <w:rPr>
          <w:vertAlign w:val="superscript"/>
        </w:rPr>
        <w:footnoteReference w:id="501"/>
      </w:r>
    </w:p>
    <w:p w14:paraId="6FF38721" w14:textId="30ABFED0" w:rsidR="0096524F" w:rsidRPr="0096524F" w:rsidRDefault="00A60ADB" w:rsidP="0096524F">
      <w:pPr>
        <w:pStyle w:val="BNormal"/>
      </w:pPr>
      <w:r w:rsidRPr="0096524F">
        <w:t xml:space="preserve">Not surprisingly, courts have continued to find dilution by </w:t>
      </w:r>
      <w:proofErr w:type="spellStart"/>
      <w:r w:rsidRPr="0096524F">
        <w:t>tarnishment</w:t>
      </w:r>
      <w:proofErr w:type="spellEnd"/>
      <w:r w:rsidRPr="0096524F">
        <w:t xml:space="preserve"> in counterfeiting cases, though rarely do they seriously attempt to fit it within the statutory language (many of the claims are resolved by default judgments).</w:t>
      </w:r>
      <w:r w:rsidR="0096524F" w:rsidRPr="0096524F">
        <w:rPr>
          <w:vertAlign w:val="superscript"/>
        </w:rPr>
        <w:footnoteReference w:id="502"/>
      </w:r>
    </w:p>
    <w:p w14:paraId="0359BEA7" w14:textId="6735E936" w:rsidR="0096524F" w:rsidRPr="0096524F" w:rsidRDefault="00A60ADB" w:rsidP="0096524F">
      <w:pPr>
        <w:pStyle w:val="BNormal"/>
      </w:pPr>
      <w:r w:rsidRPr="0096524F">
        <w:t>In the area of use on poor quality goods, the key issue is the actual quality of the defendant’s goods</w:t>
      </w:r>
      <w:r w:rsidR="0096524F" w:rsidRPr="0096524F">
        <w:t>.</w:t>
      </w:r>
      <w:r w:rsidR="0096524F" w:rsidRPr="0096524F">
        <w:t xml:space="preserve"> </w:t>
      </w:r>
      <w:r w:rsidR="0096524F" w:rsidRPr="0096524F">
        <w:t>E</w:t>
      </w:r>
      <w:r w:rsidRPr="0096524F">
        <w:t>xcept in counterfeiting cases, courts are reluctant to assume that the second user’s goods are not of good quality.</w:t>
      </w:r>
    </w:p>
    <w:p w14:paraId="3819065A" w14:textId="5ECD4447" w:rsidR="0096524F" w:rsidRPr="0096524F" w:rsidRDefault="00371CCB" w:rsidP="00175762">
      <w:pPr>
        <w:pStyle w:val="BHead4"/>
      </w:pPr>
      <w:r>
        <w:t>9.II.E.2.</w:t>
      </w:r>
      <w:r w:rsidR="0096524F" w:rsidRPr="00175762">
        <w:rPr>
          <w:rStyle w:val="BBNAidChar"/>
          <w:rFonts w:eastAsiaTheme="majorEastAsia"/>
        </w:rPr>
        <w:t>c</w:t>
      </w:r>
      <w:r w:rsidR="0096524F" w:rsidRPr="0096524F">
        <w:t>.</w:t>
      </w:r>
      <w:r>
        <w:t> </w:t>
      </w:r>
      <w:r w:rsidR="0096524F" w:rsidRPr="0096524F">
        <w:tab/>
        <w:t>Subjecting the Mark to Ridicule or Criticism</w:t>
      </w:r>
    </w:p>
    <w:p w14:paraId="5C030802" w14:textId="4CCA5FFC" w:rsidR="0096524F" w:rsidRPr="0096524F" w:rsidRDefault="00A60ADB" w:rsidP="0096524F">
      <w:pPr>
        <w:pStyle w:val="BNormal"/>
      </w:pPr>
      <w:r w:rsidRPr="0096524F">
        <w:t xml:space="preserve">This is perhaps the most controversial form of </w:t>
      </w:r>
      <w:proofErr w:type="spellStart"/>
      <w:r w:rsidRPr="0096524F">
        <w:t>tarnishment</w:t>
      </w:r>
      <w:proofErr w:type="spellEnd"/>
      <w:r w:rsidR="0096524F" w:rsidRPr="0096524F">
        <w:t>.</w:t>
      </w:r>
      <w:r w:rsidR="0096524F" w:rsidRPr="0096524F">
        <w:t xml:space="preserve"> </w:t>
      </w:r>
      <w:r w:rsidR="0096524F" w:rsidRPr="0096524F">
        <w:t>I</w:t>
      </w:r>
      <w:r w:rsidRPr="0096524F">
        <w:t>n large part, the problem stems from the fact that this type of use is a directly communicative use and therefore implicates free speech values</w:t>
      </w:r>
      <w:r w:rsidR="0096524F" w:rsidRPr="0096524F">
        <w:t>.</w:t>
      </w:r>
      <w:r w:rsidR="0096524F" w:rsidRPr="0096524F">
        <w:t xml:space="preserve"> </w:t>
      </w:r>
      <w:r w:rsidR="0096524F" w:rsidRPr="0096524F">
        <w:t>T</w:t>
      </w:r>
      <w:r w:rsidRPr="0096524F">
        <w:t>he TDRA provides explicit avenues of defending against liability for many such uses, primarily in the exclusions of “noncommercial” uses, and “fair use” for parody and commentary.</w:t>
      </w:r>
      <w:r w:rsidR="0096524F" w:rsidRPr="0096524F">
        <w:rPr>
          <w:vertAlign w:val="superscript"/>
        </w:rPr>
        <w:footnoteReference w:id="503"/>
      </w:r>
      <w:r w:rsidRPr="0096524F">
        <w:t xml:space="preserve"> These exclusions are discussed in detail elsewhere in this book.</w:t>
      </w:r>
      <w:r w:rsidR="0096524F" w:rsidRPr="0096524F">
        <w:rPr>
          <w:vertAlign w:val="superscript"/>
        </w:rPr>
        <w:footnoteReference w:id="504"/>
      </w:r>
      <w:r w:rsidRPr="0096524F">
        <w:t xml:space="preserve"> Suffice it to say that in several cases courts have applied the noncommercial use exclusion to thwart </w:t>
      </w:r>
      <w:proofErr w:type="spellStart"/>
      <w:r w:rsidRPr="0096524F">
        <w:t>tarnishment</w:t>
      </w:r>
      <w:proofErr w:type="spellEnd"/>
      <w:r w:rsidRPr="0096524F">
        <w:t xml:space="preserve"> claims,</w:t>
      </w:r>
      <w:r w:rsidR="0096524F" w:rsidRPr="0096524F">
        <w:rPr>
          <w:vertAlign w:val="superscript"/>
        </w:rPr>
        <w:footnoteReference w:id="505"/>
      </w:r>
      <w:r w:rsidRPr="0096524F">
        <w:t xml:space="preserve"> and one would expect an increasing use of the fair use exclusion</w:t>
      </w:r>
      <w:r w:rsidR="0096524F" w:rsidRPr="0096524F">
        <w:t>.</w:t>
      </w:r>
      <w:r w:rsidR="0096524F" w:rsidRPr="0096524F">
        <w:t xml:space="preserve"> </w:t>
      </w:r>
      <w:r w:rsidR="0096524F" w:rsidRPr="0096524F">
        <w:t>M</w:t>
      </w:r>
      <w:r w:rsidRPr="0096524F">
        <w:t xml:space="preserve">oreover, it was clearly the intent of Congress that the FTDA and TDRA </w:t>
      </w:r>
      <w:r w:rsidR="0096524F" w:rsidRPr="0096524F">
        <w:rPr>
          <w:i/>
        </w:rPr>
        <w:t>not</w:t>
      </w:r>
      <w:r w:rsidRPr="0096524F">
        <w:t xml:space="preserve"> be used to prevent the dissemination of satire, parody, or commentary.</w:t>
      </w:r>
      <w:r w:rsidR="0096524F" w:rsidRPr="0096524F">
        <w:rPr>
          <w:vertAlign w:val="superscript"/>
        </w:rPr>
        <w:footnoteReference w:id="506"/>
      </w:r>
      <w:r w:rsidRPr="0096524F">
        <w:t xml:space="preserve"> As discussed in connection with state-law claims, the success of this type of claim may turn on the “commercial” nature of the use, and thus the level of protection it can claim under the First Amendment</w:t>
      </w:r>
      <w:r w:rsidR="0096524F" w:rsidRPr="0096524F">
        <w:t>.</w:t>
      </w:r>
      <w:r w:rsidR="0096524F" w:rsidRPr="0096524F">
        <w:t xml:space="preserve"> </w:t>
      </w:r>
      <w:r w:rsidR="0096524F" w:rsidRPr="0096524F">
        <w:t>M</w:t>
      </w:r>
      <w:r w:rsidRPr="0096524F">
        <w:t xml:space="preserve">oreover, the Supreme Court’s decision in </w:t>
      </w:r>
      <w:r w:rsidR="0096524F" w:rsidRPr="0096524F">
        <w:rPr>
          <w:rStyle w:val="BCasenamefull"/>
        </w:rPr>
        <w:t xml:space="preserve">Matal v. </w:t>
      </w:r>
      <w:r w:rsidR="0096524F" w:rsidRPr="0096524F">
        <w:rPr>
          <w:rStyle w:val="BCasenamefull"/>
        </w:rPr>
        <w:lastRenderedPageBreak/>
        <w:t>Tam</w:t>
      </w:r>
      <w:r w:rsidRPr="0096524F">
        <w:t>,</w:t>
      </w:r>
      <w:r w:rsidR="0096524F" w:rsidRPr="0096524F">
        <w:rPr>
          <w:vertAlign w:val="superscript"/>
        </w:rPr>
        <w:footnoteReference w:id="507"/>
      </w:r>
      <w:r w:rsidRPr="0096524F">
        <w:t xml:space="preserve"> striking down the Lanham Act’s ban on registering disparaging trademarks, could be applied to prevent dilution by </w:t>
      </w:r>
      <w:proofErr w:type="spellStart"/>
      <w:r w:rsidRPr="0096524F">
        <w:t>tarnishment</w:t>
      </w:r>
      <w:proofErr w:type="spellEnd"/>
      <w:r w:rsidRPr="0096524F">
        <w:t xml:space="preserve"> claims against disparaging uses of another’s mark</w:t>
      </w:r>
      <w:r w:rsidR="0096524F" w:rsidRPr="0096524F">
        <w:t>.</w:t>
      </w:r>
      <w:r w:rsidR="0096524F" w:rsidRPr="0096524F">
        <w:t xml:space="preserve"> </w:t>
      </w:r>
      <w:r w:rsidR="0096524F" w:rsidRPr="0096524F">
        <w:t>S</w:t>
      </w:r>
      <w:r w:rsidRPr="0096524F">
        <w:t xml:space="preserve">imilarly, the Court’s decision in </w:t>
      </w:r>
      <w:r w:rsidR="0096524F" w:rsidRPr="0096524F">
        <w:rPr>
          <w:rStyle w:val="BCasenamefull"/>
        </w:rPr>
        <w:t>Iancu v. Brunetti</w:t>
      </w:r>
      <w:r w:rsidRPr="0096524F">
        <w:t>,</w:t>
      </w:r>
      <w:r w:rsidR="0096524F" w:rsidRPr="0096524F">
        <w:rPr>
          <w:vertAlign w:val="superscript"/>
        </w:rPr>
        <w:footnoteReference w:id="508"/>
      </w:r>
      <w:r w:rsidRPr="0096524F">
        <w:t xml:space="preserve"> striking down the “immoral or scandalous” bar to registration, could be applied to bar </w:t>
      </w:r>
      <w:proofErr w:type="spellStart"/>
      <w:r w:rsidRPr="0096524F">
        <w:t>tarnishment</w:t>
      </w:r>
      <w:proofErr w:type="spellEnd"/>
      <w:r w:rsidRPr="0096524F">
        <w:t xml:space="preserve"> claims against uses in unwholesome contexts.</w:t>
      </w:r>
      <w:r w:rsidR="0096524F" w:rsidRPr="0096524F">
        <w:rPr>
          <w:vertAlign w:val="superscript"/>
        </w:rPr>
        <w:footnoteReference w:id="509"/>
      </w:r>
      <w:r w:rsidRPr="0096524F">
        <w:t xml:space="preserve"> It is not surprising, therefore, that such claims have been relatively unsuccessful outside of a narrow set of circumstances.</w:t>
      </w:r>
    </w:p>
    <w:p w14:paraId="589402CA" w14:textId="71B902F8" w:rsidR="0096524F" w:rsidRPr="0096524F" w:rsidRDefault="00A60ADB" w:rsidP="0096524F">
      <w:pPr>
        <w:pStyle w:val="BNormal"/>
      </w:pPr>
      <w:r w:rsidRPr="0096524F">
        <w:t xml:space="preserve">The most successful invocations of this form of </w:t>
      </w:r>
      <w:proofErr w:type="spellStart"/>
      <w:r w:rsidRPr="0096524F">
        <w:t>tarnishment</w:t>
      </w:r>
      <w:proofErr w:type="spellEnd"/>
      <w:r w:rsidRPr="0096524F">
        <w:t xml:space="preserve"> have been in Internet cases, in which a critical Web site uses the exact trademark of the well-known organization as its domain name.</w:t>
      </w:r>
      <w:r w:rsidR="0096524F" w:rsidRPr="0096524F">
        <w:rPr>
          <w:vertAlign w:val="superscript"/>
        </w:rPr>
        <w:footnoteReference w:id="510"/>
      </w:r>
      <w:r w:rsidRPr="0096524F">
        <w:t xml:space="preserve"> In </w:t>
      </w:r>
      <w:r w:rsidR="0096524F" w:rsidRPr="0096524F">
        <w:rPr>
          <w:i/>
        </w:rPr>
        <w:t>Jews for Jesus v</w:t>
      </w:r>
      <w:r w:rsidR="0096524F" w:rsidRPr="0096524F">
        <w:t>.</w:t>
      </w:r>
      <w:r w:rsidR="0096524F" w:rsidRPr="0096524F">
        <w:t xml:space="preserve"> </w:t>
      </w:r>
      <w:r w:rsidR="0096524F" w:rsidRPr="0096524F">
        <w:rPr>
          <w:i/>
        </w:rPr>
        <w:t>Brodsky</w:t>
      </w:r>
      <w:r w:rsidRPr="0096524F">
        <w:t>,</w:t>
      </w:r>
      <w:r w:rsidR="0096524F" w:rsidRPr="0096524F">
        <w:rPr>
          <w:vertAlign w:val="superscript"/>
        </w:rPr>
        <w:footnoteReference w:id="511"/>
      </w:r>
      <w:r w:rsidRPr="0096524F">
        <w:t xml:space="preserve"> for example, the court found both blurring and </w:t>
      </w:r>
      <w:proofErr w:type="spellStart"/>
      <w:r w:rsidRPr="0096524F">
        <w:t>tarnishment</w:t>
      </w:r>
      <w:proofErr w:type="spellEnd"/>
      <w:r w:rsidRPr="0096524F">
        <w:t xml:space="preserve"> by a Web site critical of the plaintiff organization.</w:t>
      </w:r>
      <w:r w:rsidR="0096524F" w:rsidRPr="0096524F">
        <w:rPr>
          <w:vertAlign w:val="superscript"/>
        </w:rPr>
        <w:footnoteReference w:id="512"/>
      </w:r>
      <w:r w:rsidRPr="0096524F">
        <w:t xml:space="preserve"> In </w:t>
      </w:r>
      <w:r w:rsidR="0096524F" w:rsidRPr="0096524F">
        <w:rPr>
          <w:i/>
        </w:rPr>
        <w:t>Kraft Foods Holdings,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Helm</w:t>
      </w:r>
      <w:r w:rsidRPr="0096524F">
        <w:t>,</w:t>
      </w:r>
      <w:r w:rsidR="0096524F" w:rsidRPr="0096524F">
        <w:rPr>
          <w:vertAlign w:val="superscript"/>
        </w:rPr>
        <w:footnoteReference w:id="513"/>
      </w:r>
      <w:r w:rsidRPr="0096524F">
        <w:t xml:space="preserve"> the court rejected a parody claim in which the defendant used the nickname “King </w:t>
      </w:r>
      <w:proofErr w:type="spellStart"/>
      <w:r w:rsidRPr="0096524F">
        <w:t>VelVeeda</w:t>
      </w:r>
      <w:proofErr w:type="spellEnd"/>
      <w:r w:rsidRPr="0096524F">
        <w:t>” on a Web site offering sexually oriented material (though it did not use the plaintiff’s Velveeta mark as part of the domain name)</w:t>
      </w:r>
      <w:r w:rsidR="0096524F" w:rsidRPr="0096524F">
        <w:t>.</w:t>
      </w:r>
      <w:r w:rsidR="0096524F" w:rsidRPr="0096524F">
        <w:t xml:space="preserve"> </w:t>
      </w:r>
      <w:r w:rsidR="0096524F" w:rsidRPr="0096524F">
        <w:t>T</w:t>
      </w:r>
      <w:r w:rsidRPr="0096524F">
        <w:t>he defendant claimed that, in addition to commercial services, his site offered commentary and protectable art and therefore was entitled to protection</w:t>
      </w:r>
      <w:r w:rsidR="0096524F" w:rsidRPr="0096524F">
        <w:t>.</w:t>
      </w:r>
      <w:r w:rsidR="0096524F" w:rsidRPr="0096524F">
        <w:t xml:space="preserve"> </w:t>
      </w:r>
      <w:r w:rsidR="0096524F" w:rsidRPr="0096524F">
        <w:t>H</w:t>
      </w:r>
      <w:r w:rsidRPr="0096524F">
        <w:t xml:space="preserve">owever, the court found that the commercial aspects of his site, and the use of the “King </w:t>
      </w:r>
      <w:proofErr w:type="spellStart"/>
      <w:r w:rsidRPr="0096524F">
        <w:t>VelVeeda</w:t>
      </w:r>
      <w:proofErr w:type="spellEnd"/>
      <w:r w:rsidRPr="0096524F">
        <w:t>” name, could be separated from the noncommercial aspects and rejected his defense.</w:t>
      </w:r>
      <w:r w:rsidR="0096524F" w:rsidRPr="0096524F">
        <w:rPr>
          <w:vertAlign w:val="superscript"/>
        </w:rPr>
        <w:footnoteReference w:id="514"/>
      </w:r>
      <w:r w:rsidRPr="0096524F">
        <w:t xml:space="preserve"> However, even on the Internet, </w:t>
      </w:r>
      <w:proofErr w:type="spellStart"/>
      <w:r w:rsidRPr="0096524F">
        <w:t>tarnishment</w:t>
      </w:r>
      <w:proofErr w:type="spellEnd"/>
      <w:r w:rsidRPr="0096524F">
        <w:t xml:space="preserve"> claims in this situation are often unsuccessful</w:t>
      </w:r>
      <w:r w:rsidR="0096524F" w:rsidRPr="0096524F">
        <w:t>.</w:t>
      </w:r>
      <w:r w:rsidR="0096524F" w:rsidRPr="0096524F">
        <w:t xml:space="preserve"> </w:t>
      </w:r>
      <w:r w:rsidR="0096524F" w:rsidRPr="0096524F">
        <w:t>F</w:t>
      </w:r>
      <w:r w:rsidRPr="0096524F">
        <w:t xml:space="preserve">or example, a </w:t>
      </w:r>
      <w:proofErr w:type="spellStart"/>
      <w:r w:rsidRPr="0096524F">
        <w:t>tarnishment</w:t>
      </w:r>
      <w:proofErr w:type="spellEnd"/>
      <w:r w:rsidRPr="0096524F">
        <w:t xml:space="preserve"> claim was rejected in </w:t>
      </w:r>
      <w:r w:rsidR="0096524F" w:rsidRPr="0096524F">
        <w:rPr>
          <w:i/>
        </w:rPr>
        <w:t>Bally Total Fitness Holding Corp</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Faber</w:t>
      </w:r>
      <w:r w:rsidRPr="0096524F">
        <w:t>.</w:t>
      </w:r>
      <w:r w:rsidR="0096524F" w:rsidRPr="0096524F">
        <w:rPr>
          <w:vertAlign w:val="superscript"/>
        </w:rPr>
        <w:footnoteReference w:id="515"/>
      </w:r>
      <w:r w:rsidRPr="0096524F">
        <w:t xml:space="preserve"> The defendant created a Web site critical of Bally, called “Bally sucks.”</w:t>
      </w:r>
      <w:r w:rsidR="0096524F" w:rsidRPr="0096524F">
        <w:rPr>
          <w:vertAlign w:val="superscript"/>
        </w:rPr>
        <w:footnoteReference w:id="516"/>
      </w:r>
      <w:r w:rsidRPr="0096524F">
        <w:t xml:space="preserve"> The court held that the use of the Bally mark was for commentary purposes and should not be considered </w:t>
      </w:r>
      <w:proofErr w:type="spellStart"/>
      <w:r w:rsidRPr="0096524F">
        <w:t>tarnishment</w:t>
      </w:r>
      <w:proofErr w:type="spellEnd"/>
      <w:r w:rsidRPr="0096524F">
        <w:t>.</w:t>
      </w:r>
      <w:r w:rsidR="0096524F" w:rsidRPr="0096524F">
        <w:rPr>
          <w:vertAlign w:val="superscript"/>
        </w:rPr>
        <w:footnoteReference w:id="517"/>
      </w:r>
      <w:r w:rsidRPr="0096524F">
        <w:t xml:space="preserve"> Unlike other Internet cases, such as </w:t>
      </w:r>
      <w:r w:rsidR="0096524F" w:rsidRPr="0096524F">
        <w:rPr>
          <w:i/>
        </w:rPr>
        <w:t>Jews for Jesus</w:t>
      </w:r>
      <w:r w:rsidRPr="0096524F">
        <w:t>, the defendant did not use BALLY.COM or another confusingly similar name as its domain name address</w:t>
      </w:r>
      <w:r w:rsidR="0096524F" w:rsidRPr="0096524F">
        <w:t>.</w:t>
      </w:r>
      <w:r w:rsidR="0096524F" w:rsidRPr="0096524F">
        <w:t xml:space="preserve"> </w:t>
      </w:r>
      <w:r w:rsidR="0096524F" w:rsidRPr="0096524F">
        <w:t>T</w:t>
      </w:r>
      <w:r w:rsidRPr="0096524F">
        <w:t xml:space="preserve">hus, </w:t>
      </w:r>
      <w:proofErr w:type="spellStart"/>
      <w:r w:rsidRPr="0096524F">
        <w:t>tarnishment</w:t>
      </w:r>
      <w:proofErr w:type="spellEnd"/>
      <w:r w:rsidRPr="0096524F">
        <w:t xml:space="preserve"> had to be based on the associations made by a person who made more than a minimal effort to view the “Bally sucks” site, since one would not ordinarily reach the site by accident.</w:t>
      </w:r>
    </w:p>
    <w:p w14:paraId="3486FDA6" w14:textId="6DA971A3" w:rsidR="0096524F" w:rsidRPr="0096524F" w:rsidRDefault="00A60ADB" w:rsidP="0096524F">
      <w:pPr>
        <w:pStyle w:val="BNormal"/>
      </w:pPr>
      <w:r w:rsidRPr="0096524F">
        <w:lastRenderedPageBreak/>
        <w:t xml:space="preserve">In an unusual case of a successful </w:t>
      </w:r>
      <w:proofErr w:type="spellStart"/>
      <w:r w:rsidRPr="0096524F">
        <w:t>tarnishment</w:t>
      </w:r>
      <w:proofErr w:type="spellEnd"/>
      <w:r w:rsidRPr="0096524F">
        <w:t xml:space="preserve"> claim against a parodic use, a district court upheld a jury finding of actual dilution via defendant’s sale of T-shirts containing allegedly offensive uses of a university mascot and other trademarks.</w:t>
      </w:r>
      <w:r w:rsidR="0096524F" w:rsidRPr="0096524F">
        <w:rPr>
          <w:vertAlign w:val="superscript"/>
        </w:rPr>
        <w:footnoteReference w:id="518"/>
      </w:r>
      <w:r w:rsidRPr="0096524F">
        <w:t xml:space="preserve"> Another successful </w:t>
      </w:r>
      <w:proofErr w:type="spellStart"/>
      <w:r w:rsidRPr="0096524F">
        <w:t>tarnishment</w:t>
      </w:r>
      <w:proofErr w:type="spellEnd"/>
      <w:r w:rsidRPr="0096524F">
        <w:t xml:space="preserve"> claim in a parody-type case was </w:t>
      </w:r>
      <w:r w:rsidR="0096524F" w:rsidRPr="0096524F">
        <w:rPr>
          <w:i/>
        </w:rPr>
        <w:t>Pfizer,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Sachs</w:t>
      </w:r>
      <w:r w:rsidRPr="0096524F">
        <w:t>.</w:t>
      </w:r>
      <w:r w:rsidR="0096524F" w:rsidRPr="0096524F">
        <w:rPr>
          <w:vertAlign w:val="superscript"/>
        </w:rPr>
        <w:footnoteReference w:id="519"/>
      </w:r>
      <w:r w:rsidRPr="0096524F">
        <w:t xml:space="preserve"> The defendants put the plaintiff’s Viagra and Viva Viagra marks on a missile, which they exhibited publicly—including in front of Pfizer’s New York headquarters—as a means of publicizing their outdoor advertising business</w:t>
      </w:r>
      <w:r w:rsidR="0096524F" w:rsidRPr="0096524F">
        <w:t>.</w:t>
      </w:r>
      <w:r w:rsidR="0096524F" w:rsidRPr="0096524F">
        <w:t xml:space="preserve"> </w:t>
      </w:r>
      <w:r w:rsidR="0096524F" w:rsidRPr="0096524F">
        <w:t>B</w:t>
      </w:r>
      <w:r w:rsidRPr="0096524F">
        <w:t>ut this was not the only place that the missile was displayed</w:t>
      </w:r>
      <w:r w:rsidR="0096524F" w:rsidRPr="0096524F">
        <w:t>.</w:t>
      </w:r>
      <w:r w:rsidR="0096524F" w:rsidRPr="0096524F">
        <w:t xml:space="preserve"> </w:t>
      </w:r>
      <w:r w:rsidR="0096524F" w:rsidRPr="0096524F">
        <w:t>A</w:t>
      </w:r>
      <w:r w:rsidRPr="0096524F">
        <w:t>s stated by the court</w:t>
      </w:r>
      <w:r w:rsidR="0096524F" w:rsidRPr="0096524F">
        <w:t>:</w:t>
      </w:r>
      <w:r w:rsidR="0096524F" w:rsidRPr="0096524F">
        <w:t xml:space="preserve"> </w:t>
      </w:r>
      <w:r w:rsidR="0096524F" w:rsidRPr="0096524F">
        <w:t>“</w:t>
      </w:r>
      <w:r w:rsidRPr="0096524F">
        <w:t>Defendants exhibited the Viagra-branded missile at an adult entertainment exhibition, and informed Pfizer that the missile would be displayed again, with two models ‘riding’ the missile and distributing condoms.”</w:t>
      </w:r>
      <w:r w:rsidR="0096524F" w:rsidRPr="0096524F">
        <w:rPr>
          <w:vertAlign w:val="superscript"/>
        </w:rPr>
        <w:footnoteReference w:id="520"/>
      </w:r>
      <w:r w:rsidRPr="0096524F">
        <w:t xml:space="preserve"> This was found (with no discussion) to be a tarnishing use</w:t>
      </w:r>
      <w:r w:rsidR="0096524F" w:rsidRPr="0096524F">
        <w:t>;</w:t>
      </w:r>
      <w:r w:rsidR="0096524F" w:rsidRPr="0096524F">
        <w:t xml:space="preserve"> </w:t>
      </w:r>
      <w:r w:rsidR="0096524F" w:rsidRPr="0096524F">
        <w:t>h</w:t>
      </w:r>
      <w:r w:rsidRPr="0096524F">
        <w:t>owever, the sexual context clearly influenced the court’s decision.</w:t>
      </w:r>
      <w:r w:rsidR="0096524F" w:rsidRPr="0096524F">
        <w:rPr>
          <w:vertAlign w:val="superscript"/>
        </w:rPr>
        <w:footnoteReference w:id="521"/>
      </w:r>
      <w:r w:rsidRPr="0096524F">
        <w:t xml:space="preserve"> This also was a somewhat unusual case in that the defendant’s commercial purpose was clearly the primary reason for the use.</w:t>
      </w:r>
    </w:p>
    <w:p w14:paraId="3B4552D2" w14:textId="692E3500" w:rsidR="0096524F" w:rsidRPr="0096524F" w:rsidRDefault="00A60ADB" w:rsidP="0096524F">
      <w:pPr>
        <w:pStyle w:val="BNormal"/>
      </w:pPr>
      <w:r w:rsidRPr="0096524F">
        <w:t xml:space="preserve">In another somewhat unusual case, a district court found dilution by </w:t>
      </w:r>
      <w:proofErr w:type="spellStart"/>
      <w:r w:rsidRPr="0096524F">
        <w:t>tarnishment</w:t>
      </w:r>
      <w:proofErr w:type="spellEnd"/>
      <w:r w:rsidRPr="0096524F">
        <w:t xml:space="preserve"> in a party’s use of “National Association for the Abortion of Colored People” in conjunction with the NAACP mark on a website criticizing what it believed was the position of the NAACP on abortion.</w:t>
      </w:r>
      <w:r w:rsidR="0096524F" w:rsidRPr="0096524F">
        <w:rPr>
          <w:vertAlign w:val="superscript"/>
        </w:rPr>
        <w:footnoteReference w:id="522"/>
      </w:r>
      <w:r w:rsidRPr="0096524F">
        <w:t xml:space="preserve"> However, that ruling, and its rejection of a claim of protected speech, was reversed on appeal to the Fourth Circuit.</w:t>
      </w:r>
      <w:r w:rsidR="0096524F" w:rsidRPr="0096524F">
        <w:rPr>
          <w:vertAlign w:val="superscript"/>
        </w:rPr>
        <w:footnoteReference w:id="523"/>
      </w:r>
      <w:r w:rsidRPr="0096524F">
        <w:t xml:space="preserve"> Although the appeals court agreed that there was a prima facie case of </w:t>
      </w:r>
      <w:proofErr w:type="spellStart"/>
      <w:r w:rsidRPr="0096524F">
        <w:t>tarnishment</w:t>
      </w:r>
      <w:proofErr w:type="spellEnd"/>
      <w:r w:rsidRPr="0096524F">
        <w:t>,</w:t>
      </w:r>
      <w:r w:rsidR="0096524F" w:rsidRPr="0096524F">
        <w:rPr>
          <w:vertAlign w:val="superscript"/>
        </w:rPr>
        <w:footnoteReference w:id="524"/>
      </w:r>
      <w:r w:rsidRPr="0096524F">
        <w:t xml:space="preserve"> it found the use in question to fall within the statutory exclusions for fair use and noncommercial use.</w:t>
      </w:r>
      <w:r w:rsidR="0096524F" w:rsidRPr="0096524F">
        <w:rPr>
          <w:vertAlign w:val="superscript"/>
        </w:rPr>
        <w:footnoteReference w:id="525"/>
      </w:r>
    </w:p>
    <w:p w14:paraId="47BB8DB1" w14:textId="6AE5B2CB" w:rsidR="0096524F" w:rsidRPr="0096524F" w:rsidRDefault="00A60ADB" w:rsidP="0096524F">
      <w:pPr>
        <w:pStyle w:val="BNormal"/>
      </w:pPr>
      <w:r w:rsidRPr="0096524F">
        <w:t xml:space="preserve">In </w:t>
      </w:r>
      <w:r w:rsidR="0096524F" w:rsidRPr="0096524F">
        <w:rPr>
          <w:rStyle w:val="BCasenamefull"/>
        </w:rPr>
        <w:t>VIP Products, LLC v. Jack Daniel’s Properties, Inc.</w:t>
      </w:r>
      <w:r w:rsidRPr="0096524F">
        <w:t>,</w:t>
      </w:r>
      <w:r w:rsidR="0096524F" w:rsidRPr="0096524F">
        <w:rPr>
          <w:vertAlign w:val="superscript"/>
        </w:rPr>
        <w:footnoteReference w:id="526"/>
      </w:r>
      <w:r w:rsidRPr="0096524F">
        <w:t xml:space="preserve"> the court found dilution by </w:t>
      </w:r>
      <w:proofErr w:type="spellStart"/>
      <w:r w:rsidRPr="0096524F">
        <w:t>tarnishment</w:t>
      </w:r>
      <w:proofErr w:type="spellEnd"/>
      <w:r w:rsidRPr="0096524F">
        <w:t xml:space="preserve"> where the offending use was a line of dog toys called “Bad Spaniels,” described by the court as “in the shape of a liquor bottle and features a wide-eyed spaniel over the words ‘Bad Spaniels’, ‘the Old No</w:t>
      </w:r>
      <w:r w:rsidR="0096524F" w:rsidRPr="0096524F">
        <w:t>.</w:t>
      </w:r>
      <w:r w:rsidR="0096524F" w:rsidRPr="0096524F">
        <w:t xml:space="preserve"> </w:t>
      </w:r>
      <w:r w:rsidR="0096524F" w:rsidRPr="0096524F">
        <w:t>2</w:t>
      </w:r>
      <w:r w:rsidRPr="0096524F">
        <w:t>, on your Tennessee Carpet.’ … At the bottom of the ‘Bad Spaniels’ toy, it reads</w:t>
      </w:r>
      <w:r w:rsidR="0096524F" w:rsidRPr="0096524F">
        <w:t>:</w:t>
      </w:r>
      <w:r w:rsidR="0096524F" w:rsidRPr="0096524F">
        <w:t xml:space="preserve"> </w:t>
      </w:r>
      <w:r w:rsidR="0096524F" w:rsidRPr="0096524F">
        <w:t>‘</w:t>
      </w:r>
      <w:r w:rsidRPr="0096524F">
        <w:t>43% POO BY VOL.’ and ‘100% SMELLY’.”</w:t>
      </w:r>
      <w:r w:rsidR="0096524F" w:rsidRPr="0096524F">
        <w:rPr>
          <w:vertAlign w:val="superscript"/>
        </w:rPr>
        <w:footnoteReference w:id="527"/>
      </w:r>
      <w:r w:rsidRPr="0096524F">
        <w:t xml:space="preserve"> The court credited the expert for Jack Daniel’s, who found that consumers would acquire negative associations with the Jack Daniel’s brand from seeing the “Bad Spaniels” toys.</w:t>
      </w:r>
      <w:r w:rsidR="0096524F" w:rsidRPr="0096524F">
        <w:rPr>
          <w:vertAlign w:val="superscript"/>
        </w:rPr>
        <w:footnoteReference w:id="528"/>
      </w:r>
      <w:r w:rsidRPr="0096524F">
        <w:t xml:space="preserve"> </w:t>
      </w:r>
    </w:p>
    <w:p w14:paraId="31E58724" w14:textId="05EFFCEB" w:rsidR="0096524F" w:rsidRPr="0096524F" w:rsidRDefault="00A60ADB" w:rsidP="0096524F">
      <w:pPr>
        <w:pStyle w:val="BNormal"/>
      </w:pPr>
      <w:r w:rsidRPr="0096524F">
        <w:lastRenderedPageBreak/>
        <w:t xml:space="preserve">In other cases, </w:t>
      </w:r>
      <w:proofErr w:type="spellStart"/>
      <w:r w:rsidRPr="0096524F">
        <w:t>tarnishment</w:t>
      </w:r>
      <w:proofErr w:type="spellEnd"/>
      <w:r w:rsidRPr="0096524F">
        <w:t xml:space="preserve"> claims based on ridicule have been less successful</w:t>
      </w:r>
      <w:r w:rsidR="0096524F" w:rsidRPr="0096524F">
        <w:t>.</w:t>
      </w:r>
      <w:r w:rsidR="0096524F" w:rsidRPr="0096524F">
        <w:t xml:space="preserve"> </w:t>
      </w:r>
      <w:r w:rsidR="0096524F" w:rsidRPr="0096524F">
        <w:t>O</w:t>
      </w:r>
      <w:r w:rsidRPr="0096524F">
        <w:t xml:space="preserve">ne prominent example is </w:t>
      </w:r>
      <w:r w:rsidR="0096524F" w:rsidRPr="0096524F">
        <w:rPr>
          <w:i/>
        </w:rPr>
        <w:t>Lyons Partnership v</w:t>
      </w:r>
      <w:r w:rsidR="0096524F" w:rsidRPr="0096524F">
        <w:t>.</w:t>
      </w:r>
      <w:r w:rsidR="0096524F" w:rsidRPr="0096524F">
        <w:t xml:space="preserve"> </w:t>
      </w:r>
      <w:proofErr w:type="spellStart"/>
      <w:r w:rsidR="0096524F" w:rsidRPr="0096524F">
        <w:rPr>
          <w:i/>
        </w:rPr>
        <w:t>Giannoulas</w:t>
      </w:r>
      <w:proofErr w:type="spellEnd"/>
      <w:r w:rsidRPr="0096524F">
        <w:t>,</w:t>
      </w:r>
      <w:r w:rsidR="0096524F" w:rsidRPr="0096524F">
        <w:rPr>
          <w:vertAlign w:val="superscript"/>
        </w:rPr>
        <w:footnoteReference w:id="529"/>
      </w:r>
      <w:r w:rsidRPr="0096524F">
        <w:t xml:space="preserve"> in which the owner of the Barney dinosaur character sued the creator of the Famous Chicken (a character that entertains at sporting events)</w:t>
      </w:r>
      <w:r w:rsidR="0096524F" w:rsidRPr="0096524F">
        <w:t>.</w:t>
      </w:r>
      <w:r w:rsidR="0096524F" w:rsidRPr="0096524F">
        <w:t xml:space="preserve"> </w:t>
      </w:r>
      <w:r w:rsidR="0096524F" w:rsidRPr="0096524F">
        <w:t>T</w:t>
      </w:r>
      <w:r w:rsidRPr="0096524F">
        <w:t>he chicken performed a skit with a “putative Barney” that portrayed Barney in an unflattering manner.</w:t>
      </w:r>
      <w:r w:rsidR="0096524F" w:rsidRPr="0096524F">
        <w:rPr>
          <w:vertAlign w:val="superscript"/>
        </w:rPr>
        <w:footnoteReference w:id="530"/>
      </w:r>
      <w:r w:rsidRPr="0096524F">
        <w:t xml:space="preserve"> The court rejected a </w:t>
      </w:r>
      <w:proofErr w:type="spellStart"/>
      <w:r w:rsidRPr="0096524F">
        <w:t>tarnishment</w:t>
      </w:r>
      <w:proofErr w:type="spellEnd"/>
      <w:r w:rsidRPr="0096524F">
        <w:t xml:space="preserve"> claim, finding no “shoddy quality” or “unwholesome or unsavory context” in the defendant’s parody.</w:t>
      </w:r>
      <w:r w:rsidR="0096524F" w:rsidRPr="0096524F">
        <w:rPr>
          <w:vertAlign w:val="superscript"/>
        </w:rPr>
        <w:footnoteReference w:id="531"/>
      </w:r>
    </w:p>
    <w:p w14:paraId="7ED2C5F7" w14:textId="29E2FC43" w:rsidR="0096524F" w:rsidRPr="0096524F" w:rsidRDefault="00A60ADB" w:rsidP="0096524F">
      <w:pPr>
        <w:pStyle w:val="BNormal"/>
      </w:pPr>
      <w:r w:rsidRPr="0096524F">
        <w:t xml:space="preserve">In </w:t>
      </w:r>
      <w:r w:rsidR="0096524F" w:rsidRPr="0096524F">
        <w:rPr>
          <w:i/>
        </w:rPr>
        <w:t>Tommy Hilfiger Licensing,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Nature Labs, LLC</w:t>
      </w:r>
      <w:r w:rsidRPr="0096524F">
        <w:t>,</w:t>
      </w:r>
      <w:r w:rsidR="0096524F" w:rsidRPr="0096524F">
        <w:rPr>
          <w:vertAlign w:val="superscript"/>
        </w:rPr>
        <w:footnoteReference w:id="532"/>
      </w:r>
      <w:r w:rsidRPr="0096524F">
        <w:t xml:space="preserve"> the defendant created a line of “pet perfumes,” whose names parodied those of actual perfumes</w:t>
      </w:r>
      <w:r w:rsidR="0096524F" w:rsidRPr="0096524F">
        <w:t>.</w:t>
      </w:r>
      <w:r w:rsidR="0096524F" w:rsidRPr="0096524F">
        <w:t xml:space="preserve"> </w:t>
      </w:r>
      <w:r w:rsidR="0096524F" w:rsidRPr="0096524F">
        <w:t>T</w:t>
      </w:r>
      <w:r w:rsidRPr="0096524F">
        <w:t>he one in question was called Timmy Holedigger</w:t>
      </w:r>
      <w:r w:rsidR="0096524F" w:rsidRPr="0096524F">
        <w:t>.</w:t>
      </w:r>
      <w:r w:rsidR="0096524F" w:rsidRPr="0096524F">
        <w:t xml:space="preserve"> </w:t>
      </w:r>
      <w:r w:rsidR="0096524F" w:rsidRPr="0096524F">
        <w:t>N</w:t>
      </w:r>
      <w:r w:rsidRPr="0096524F">
        <w:t xml:space="preserve">oting a lack of any evidence of harm to the Tommy Hilfiger mark, the court rejected a </w:t>
      </w:r>
      <w:proofErr w:type="spellStart"/>
      <w:r w:rsidRPr="0096524F">
        <w:t>tarnishment</w:t>
      </w:r>
      <w:proofErr w:type="spellEnd"/>
      <w:r w:rsidRPr="0096524F">
        <w:t xml:space="preserve"> claim by Tommy Hilfiger’s licensing arm.</w:t>
      </w:r>
      <w:r w:rsidR="0096524F" w:rsidRPr="0096524F">
        <w:rPr>
          <w:vertAlign w:val="superscript"/>
        </w:rPr>
        <w:footnoteReference w:id="533"/>
      </w:r>
      <w:r w:rsidRPr="0096524F">
        <w:t xml:space="preserve"> In </w:t>
      </w:r>
      <w:r w:rsidR="0096524F" w:rsidRPr="0096524F">
        <w:rPr>
          <w:i/>
        </w:rPr>
        <w:t>Louis Vuitton Malletier, S</w:t>
      </w:r>
      <w:r w:rsidRPr="0096524F">
        <w:t>.</w:t>
      </w:r>
      <w:r w:rsidR="0096524F" w:rsidRPr="0096524F">
        <w:rPr>
          <w:i/>
        </w:rPr>
        <w:t>A</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 xml:space="preserve">Haute </w:t>
      </w:r>
      <w:proofErr w:type="spellStart"/>
      <w:r w:rsidR="0096524F" w:rsidRPr="0096524F">
        <w:rPr>
          <w:i/>
        </w:rPr>
        <w:t>Diggity</w:t>
      </w:r>
      <w:proofErr w:type="spellEnd"/>
      <w:r w:rsidR="0096524F" w:rsidRPr="0096524F">
        <w:rPr>
          <w:i/>
        </w:rPr>
        <w:t xml:space="preserve"> Dog, LLC</w:t>
      </w:r>
      <w:r w:rsidRPr="0096524F">
        <w:t>,</w:t>
      </w:r>
      <w:r w:rsidR="0096524F" w:rsidRPr="0096524F">
        <w:rPr>
          <w:vertAlign w:val="superscript"/>
        </w:rPr>
        <w:footnoteReference w:id="534"/>
      </w:r>
      <w:r w:rsidRPr="0096524F">
        <w:t xml:space="preserve"> the Fourth Circuit rejected a </w:t>
      </w:r>
      <w:proofErr w:type="spellStart"/>
      <w:r w:rsidRPr="0096524F">
        <w:t>tarnishment</w:t>
      </w:r>
      <w:proofErr w:type="spellEnd"/>
      <w:r w:rsidRPr="0096524F">
        <w:t xml:space="preserve"> claim under the TDRA brought against the maker of a Chewy </w:t>
      </w:r>
      <w:proofErr w:type="spellStart"/>
      <w:r w:rsidRPr="0096524F">
        <w:t>Vuiton</w:t>
      </w:r>
      <w:proofErr w:type="spellEnd"/>
      <w:r w:rsidRPr="0096524F">
        <w:t xml:space="preserve"> dog toy.</w:t>
      </w:r>
    </w:p>
    <w:p w14:paraId="11EF4FAE" w14:textId="2B6FC7E5" w:rsidR="0096524F" w:rsidRPr="0096524F" w:rsidRDefault="00A60ADB" w:rsidP="0096524F">
      <w:pPr>
        <w:pStyle w:val="BNormal"/>
      </w:pPr>
      <w:r w:rsidRPr="0096524F">
        <w:t xml:space="preserve">In </w:t>
      </w:r>
      <w:r w:rsidR="0096524F" w:rsidRPr="0096524F">
        <w:rPr>
          <w:i/>
        </w:rPr>
        <w:t>Ford Motor Co</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2600 Enterprises</w:t>
      </w:r>
      <w:r w:rsidRPr="0096524F">
        <w:t>,</w:t>
      </w:r>
      <w:r w:rsidR="0096524F" w:rsidRPr="0096524F">
        <w:rPr>
          <w:vertAlign w:val="superscript"/>
        </w:rPr>
        <w:footnoteReference w:id="535"/>
      </w:r>
      <w:r w:rsidRPr="0096524F">
        <w:t xml:space="preserve"> the court rejected a </w:t>
      </w:r>
      <w:proofErr w:type="spellStart"/>
      <w:r w:rsidRPr="0096524F">
        <w:t>tarnishment</w:t>
      </w:r>
      <w:proofErr w:type="spellEnd"/>
      <w:r w:rsidRPr="0096524F">
        <w:t xml:space="preserve"> claim in which the defendant owned the Web site “fuckgeneralmotors.com” which automatically redirected users to the “ford.com” Web site of the Ford Motor Company</w:t>
      </w:r>
      <w:r w:rsidR="0096524F" w:rsidRPr="0096524F">
        <w:t>.</w:t>
      </w:r>
      <w:r w:rsidR="0096524F" w:rsidRPr="0096524F">
        <w:t xml:space="preserve"> </w:t>
      </w:r>
      <w:r w:rsidR="0096524F" w:rsidRPr="0096524F">
        <w:t>T</w:t>
      </w:r>
      <w:r w:rsidRPr="0096524F">
        <w:t>he court noted that the domain name did not use any of Ford’s marks, and the court did not believe the use “in any way hampers [Ford’s] commercial success in an unlawful manner.”</w:t>
      </w:r>
      <w:r w:rsidR="0096524F" w:rsidRPr="0096524F">
        <w:rPr>
          <w:vertAlign w:val="superscript"/>
        </w:rPr>
        <w:footnoteReference w:id="536"/>
      </w:r>
      <w:r w:rsidRPr="0096524F">
        <w:t xml:space="preserve"> The court further stated that the FTDA was not intended to be “a tool for eliminating Internet links that, in the trademark holder’s subjective view, somehow disparage its trademark.”</w:t>
      </w:r>
      <w:r w:rsidR="0096524F" w:rsidRPr="0096524F">
        <w:rPr>
          <w:vertAlign w:val="superscript"/>
        </w:rPr>
        <w:footnoteReference w:id="537"/>
      </w:r>
    </w:p>
    <w:p w14:paraId="70657DBD" w14:textId="172AC0B5" w:rsidR="0096524F" w:rsidRPr="0096524F" w:rsidRDefault="00A60ADB" w:rsidP="0096524F">
      <w:pPr>
        <w:pStyle w:val="BNormal"/>
      </w:pPr>
      <w:r w:rsidRPr="0096524F">
        <w:t xml:space="preserve">In </w:t>
      </w:r>
      <w:r w:rsidR="0096524F" w:rsidRPr="0096524F">
        <w:rPr>
          <w:i/>
        </w:rPr>
        <w:t>Mattel,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MCA Records, Inc</w:t>
      </w:r>
      <w:r w:rsidRPr="0096524F">
        <w:t>.,</w:t>
      </w:r>
      <w:r w:rsidR="0096524F" w:rsidRPr="0096524F">
        <w:rPr>
          <w:vertAlign w:val="superscript"/>
        </w:rPr>
        <w:footnoteReference w:id="538"/>
      </w:r>
      <w:r w:rsidRPr="0096524F">
        <w:t xml:space="preserve"> the court rejected a dilution claim against the distributor of a song entitled “Barbie Girl” that denigrated the lifestyle symbolized by the Barbie doll.</w:t>
      </w:r>
      <w:r w:rsidR="0096524F" w:rsidRPr="0096524F">
        <w:rPr>
          <w:vertAlign w:val="superscript"/>
        </w:rPr>
        <w:footnoteReference w:id="539"/>
      </w:r>
      <w:r w:rsidRPr="0096524F">
        <w:t xml:space="preserve"> Although primarily based on the noncommercial use exclusion of the FTDA,</w:t>
      </w:r>
      <w:r w:rsidR="0096524F" w:rsidRPr="0096524F">
        <w:rPr>
          <w:vertAlign w:val="superscript"/>
        </w:rPr>
        <w:footnoteReference w:id="540"/>
      </w:r>
      <w:r w:rsidRPr="0096524F">
        <w:t xml:space="preserve"> the court’s opinion was generally cautious about applying the FTDA to a parody such as the song in question</w:t>
      </w:r>
      <w:r w:rsidR="0096524F" w:rsidRPr="0096524F">
        <w:t>.</w:t>
      </w:r>
      <w:r w:rsidR="0096524F" w:rsidRPr="0096524F">
        <w:t xml:space="preserve"> </w:t>
      </w:r>
      <w:r w:rsidR="0096524F" w:rsidRPr="0096524F">
        <w:t>T</w:t>
      </w:r>
      <w:r w:rsidRPr="0096524F">
        <w:t xml:space="preserve">he court indicated that it doubted even that </w:t>
      </w:r>
      <w:proofErr w:type="spellStart"/>
      <w:r w:rsidRPr="0096524F">
        <w:t>tarnishment</w:t>
      </w:r>
      <w:proofErr w:type="spellEnd"/>
      <w:r w:rsidRPr="0096524F">
        <w:t xml:space="preserve"> would occur, noting that the alleged “wholesome” image of Barbie already had been degraded by identification with less-than-perfect values.</w:t>
      </w:r>
      <w:r w:rsidR="0096524F" w:rsidRPr="0096524F">
        <w:rPr>
          <w:vertAlign w:val="superscript"/>
        </w:rPr>
        <w:footnoteReference w:id="541"/>
      </w:r>
      <w:r w:rsidRPr="0096524F">
        <w:t xml:space="preserve"> Moreover, the court stated </w:t>
      </w:r>
      <w:r w:rsidRPr="0096524F">
        <w:lastRenderedPageBreak/>
        <w:t>that it “must be wary of applying anti-dilution statutes to permit ‘a trademark owner to enjoin the use of his mark in a noncommercial context’ simply because they [sic] find such parodies ‘negative or offensive.’”</w:t>
      </w:r>
      <w:r w:rsidR="0096524F" w:rsidRPr="0096524F">
        <w:rPr>
          <w:vertAlign w:val="superscript"/>
        </w:rPr>
        <w:footnoteReference w:id="542"/>
      </w:r>
    </w:p>
    <w:p w14:paraId="0B941C31" w14:textId="0D59B596" w:rsidR="0096524F" w:rsidRPr="0096524F" w:rsidRDefault="00A60ADB" w:rsidP="0096524F">
      <w:pPr>
        <w:pStyle w:val="BNormal"/>
      </w:pPr>
      <w:r w:rsidRPr="0096524F">
        <w:t xml:space="preserve">After the Supreme Court’s decision in </w:t>
      </w:r>
      <w:r w:rsidR="0096524F" w:rsidRPr="0096524F">
        <w:rPr>
          <w:i/>
        </w:rPr>
        <w:t>Moseley v</w:t>
      </w:r>
      <w:r w:rsidR="0096524F" w:rsidRPr="0096524F">
        <w:t>.</w:t>
      </w:r>
      <w:r w:rsidR="0096524F" w:rsidRPr="0096524F">
        <w:t xml:space="preserve"> </w:t>
      </w:r>
      <w:r w:rsidR="0096524F" w:rsidRPr="0096524F">
        <w:rPr>
          <w:i/>
        </w:rPr>
        <w:t>V Secret Catalogue, Inc</w:t>
      </w:r>
      <w:r w:rsidRPr="0096524F">
        <w:t>.,</w:t>
      </w:r>
      <w:r w:rsidR="0096524F" w:rsidRPr="0096524F">
        <w:rPr>
          <w:vertAlign w:val="superscript"/>
        </w:rPr>
        <w:footnoteReference w:id="543"/>
      </w:r>
      <w:r w:rsidRPr="0096524F">
        <w:t xml:space="preserve"> and prior to the TDRA, several courts rejected </w:t>
      </w:r>
      <w:proofErr w:type="spellStart"/>
      <w:r w:rsidRPr="0096524F">
        <w:t>tarnishment</w:t>
      </w:r>
      <w:proofErr w:type="spellEnd"/>
      <w:r w:rsidRPr="0096524F">
        <w:t xml:space="preserve"> claims of this nature on the merits</w:t>
      </w:r>
      <w:r w:rsidR="0096524F" w:rsidRPr="0096524F">
        <w:t>.</w:t>
      </w:r>
      <w:r w:rsidR="0096524F" w:rsidRPr="0096524F">
        <w:t xml:space="preserve"> </w:t>
      </w:r>
      <w:r w:rsidR="0096524F" w:rsidRPr="0096524F">
        <w:t>I</w:t>
      </w:r>
      <w:r w:rsidRPr="0096524F">
        <w:t xml:space="preserve">n </w:t>
      </w:r>
      <w:r w:rsidR="0096524F" w:rsidRPr="0096524F">
        <w:rPr>
          <w:i/>
        </w:rPr>
        <w:t>Caterpillar,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Walt Disney Co</w:t>
      </w:r>
      <w:r w:rsidRPr="0096524F">
        <w:t>.,</w:t>
      </w:r>
      <w:r w:rsidR="0096524F" w:rsidRPr="0096524F">
        <w:rPr>
          <w:vertAlign w:val="superscript"/>
        </w:rPr>
        <w:footnoteReference w:id="544"/>
      </w:r>
      <w:r w:rsidRPr="0096524F">
        <w:t xml:space="preserve"> the court denied Caterpillar’s attempt to enjoin the movie </w:t>
      </w:r>
      <w:r w:rsidR="0096524F" w:rsidRPr="0096524F">
        <w:rPr>
          <w:i/>
        </w:rPr>
        <w:t>George of the Jungle 2</w:t>
      </w:r>
      <w:r w:rsidRPr="0096524F">
        <w:t>, which, in one scene, prominently portrayed a Caterpillar bulldozer being used by people to destroy the jungle</w:t>
      </w:r>
      <w:r w:rsidR="0096524F" w:rsidRPr="0096524F">
        <w:t>.</w:t>
      </w:r>
      <w:r w:rsidR="0096524F" w:rsidRPr="0096524F">
        <w:t xml:space="preserve"> </w:t>
      </w:r>
      <w:r w:rsidR="0096524F" w:rsidRPr="0096524F">
        <w:t>T</w:t>
      </w:r>
      <w:r w:rsidRPr="0096524F">
        <w:t>he court rejected the claim, noting that “even the most credulous viewer or child” would not attribute the bad acts of the users to Caterpillar.</w:t>
      </w:r>
      <w:r w:rsidR="0096524F" w:rsidRPr="0096524F">
        <w:rPr>
          <w:vertAlign w:val="superscript"/>
        </w:rPr>
        <w:footnoteReference w:id="545"/>
      </w:r>
      <w:r w:rsidRPr="0096524F">
        <w:t xml:space="preserve"> Similarly, in </w:t>
      </w:r>
      <w:r w:rsidR="0096524F" w:rsidRPr="0096524F">
        <w:rPr>
          <w:i/>
        </w:rPr>
        <w:t>Wham-O,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Paramount Pictures Corp</w:t>
      </w:r>
      <w:r w:rsidRPr="0096524F">
        <w:t>.,</w:t>
      </w:r>
      <w:r w:rsidR="0096524F" w:rsidRPr="0096524F">
        <w:rPr>
          <w:vertAlign w:val="superscript"/>
        </w:rPr>
        <w:footnoteReference w:id="546"/>
      </w:r>
      <w:r w:rsidRPr="0096524F">
        <w:t xml:space="preserve"> the court rejected a </w:t>
      </w:r>
      <w:proofErr w:type="spellStart"/>
      <w:r w:rsidRPr="0096524F">
        <w:t>tarnishment</w:t>
      </w:r>
      <w:proofErr w:type="spellEnd"/>
      <w:r w:rsidRPr="0096524F">
        <w:t xml:space="preserve"> claim based on a misuse of the plaintiff’s Slip ’N Slide toy in a movie.</w:t>
      </w:r>
      <w:r w:rsidR="0096524F" w:rsidRPr="0096524F">
        <w:rPr>
          <w:vertAlign w:val="superscript"/>
        </w:rPr>
        <w:footnoteReference w:id="547"/>
      </w:r>
      <w:r w:rsidRPr="0096524F">
        <w:t xml:space="preserve"> In neither of these cases was the ridicule directly aimed at the product, but it is submitted that the courts correctly understood that they were used as “cultural props” and therefore were important parts of the commentary incorporated into the movies</w:t>
      </w:r>
      <w:r w:rsidR="0096524F" w:rsidRPr="0096524F">
        <w:t>.</w:t>
      </w:r>
      <w:r w:rsidR="0096524F" w:rsidRPr="0096524F">
        <w:t xml:space="preserve"> </w:t>
      </w:r>
      <w:r w:rsidR="0096524F" w:rsidRPr="0096524F">
        <w:t>A</w:t>
      </w:r>
      <w:r w:rsidRPr="0096524F">
        <w:t xml:space="preserve">nd in </w:t>
      </w:r>
      <w:r w:rsidR="0096524F" w:rsidRPr="0096524F">
        <w:rPr>
          <w:i/>
        </w:rPr>
        <w:t>World Wrestling Federation Entertainment,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Big Dog Holdings, Inc</w:t>
      </w:r>
      <w:r w:rsidRPr="0096524F">
        <w:t>.,</w:t>
      </w:r>
      <w:r w:rsidR="0096524F" w:rsidRPr="0096524F">
        <w:rPr>
          <w:vertAlign w:val="superscript"/>
        </w:rPr>
        <w:footnoteReference w:id="548"/>
      </w:r>
      <w:r w:rsidRPr="0096524F">
        <w:t xml:space="preserve"> the court rejected a dilution claim based on the defendant’s parody T-shirts, noting that the plaintiff’s own T-shirts contained far more offensive material than the T-shirts of the defendant.</w:t>
      </w:r>
      <w:r w:rsidR="0096524F" w:rsidRPr="0096524F">
        <w:rPr>
          <w:vertAlign w:val="superscript"/>
        </w:rPr>
        <w:footnoteReference w:id="549"/>
      </w:r>
      <w:r w:rsidRPr="0096524F">
        <w:t xml:space="preserve"> Although these cases were decided under an actual-dilution standard, it is probable that they would be decided the same way under the likelihood-of-dilution standard</w:t>
      </w:r>
      <w:r w:rsidR="0096524F" w:rsidRPr="0096524F">
        <w:t>.</w:t>
      </w:r>
      <w:r w:rsidR="0096524F" w:rsidRPr="0096524F">
        <w:t xml:space="preserve"> </w:t>
      </w:r>
      <w:r w:rsidR="0096524F" w:rsidRPr="0096524F">
        <w:t>I</w:t>
      </w:r>
      <w:r w:rsidRPr="0096524F">
        <w:t>n all of these cases, it appeared that the court did not believe that the second use harmed the reputation of a famous mark</w:t>
      </w:r>
      <w:r w:rsidR="0096524F" w:rsidRPr="0096524F">
        <w:t>.</w:t>
      </w:r>
      <w:r w:rsidR="0096524F" w:rsidRPr="0096524F">
        <w:t xml:space="preserve"> </w:t>
      </w:r>
      <w:r w:rsidR="0096524F" w:rsidRPr="0096524F">
        <w:t>T</w:t>
      </w:r>
      <w:r w:rsidRPr="0096524F">
        <w:t xml:space="preserve">hat is a requirement for dilution by </w:t>
      </w:r>
      <w:proofErr w:type="spellStart"/>
      <w:r w:rsidRPr="0096524F">
        <w:t>tarnishment</w:t>
      </w:r>
      <w:proofErr w:type="spellEnd"/>
      <w:r w:rsidR="0096524F" w:rsidRPr="0096524F">
        <w:t>.</w:t>
      </w:r>
      <w:r w:rsidR="0096524F" w:rsidRPr="0096524F">
        <w:t xml:space="preserve"> </w:t>
      </w:r>
      <w:r w:rsidR="0096524F" w:rsidRPr="0096524F">
        <w:t>(</w:t>
      </w:r>
      <w:r w:rsidRPr="0096524F">
        <w:t>These uses probably would be exempt under Section 43(c)(3)(A)(ii) or (c)(3)(C).</w:t>
      </w:r>
      <w:r w:rsidR="0096524F" w:rsidRPr="0096524F">
        <w:rPr>
          <w:vertAlign w:val="superscript"/>
        </w:rPr>
        <w:footnoteReference w:id="550"/>
      </w:r>
      <w:r w:rsidRPr="0096524F">
        <w:t>)</w:t>
      </w:r>
    </w:p>
    <w:p w14:paraId="3DDAE8C5" w14:textId="7142348D" w:rsidR="0096524F" w:rsidRPr="0096524F" w:rsidRDefault="0096524F" w:rsidP="0096524F">
      <w:pPr>
        <w:pStyle w:val="BNormal"/>
      </w:pPr>
      <w:r w:rsidRPr="0096524F">
        <w:rPr>
          <w:i/>
        </w:rPr>
        <w:t>Louis Vuitton Malletier, S</w:t>
      </w:r>
      <w:r w:rsidR="00A60ADB" w:rsidRPr="0096524F">
        <w:t>.</w:t>
      </w:r>
      <w:r w:rsidRPr="0096524F">
        <w:rPr>
          <w:i/>
        </w:rPr>
        <w:t>A</w:t>
      </w:r>
      <w:r w:rsidRPr="0096524F">
        <w:t>.</w:t>
      </w:r>
      <w:r w:rsidRPr="0096524F">
        <w:t xml:space="preserve"> </w:t>
      </w:r>
      <w:r w:rsidRPr="0096524F">
        <w:rPr>
          <w:i/>
        </w:rPr>
        <w:t>v</w:t>
      </w:r>
      <w:r w:rsidRPr="0096524F">
        <w:t>.</w:t>
      </w:r>
      <w:r w:rsidRPr="0096524F">
        <w:t xml:space="preserve"> </w:t>
      </w:r>
      <w:r w:rsidRPr="0096524F">
        <w:rPr>
          <w:i/>
        </w:rPr>
        <w:t xml:space="preserve">Haute </w:t>
      </w:r>
      <w:proofErr w:type="spellStart"/>
      <w:r w:rsidRPr="0096524F">
        <w:rPr>
          <w:i/>
        </w:rPr>
        <w:t>Diggity</w:t>
      </w:r>
      <w:proofErr w:type="spellEnd"/>
      <w:r w:rsidRPr="0096524F">
        <w:rPr>
          <w:i/>
        </w:rPr>
        <w:t xml:space="preserve"> Dog, LLC</w:t>
      </w:r>
      <w:r w:rsidRPr="0096524F">
        <w:t xml:space="preserve"> </w:t>
      </w:r>
      <w:r w:rsidRPr="0096524F">
        <w:rPr>
          <w:vertAlign w:val="superscript"/>
        </w:rPr>
        <w:footnoteReference w:id="551"/>
      </w:r>
      <w:r w:rsidR="00A60ADB" w:rsidRPr="0096524F">
        <w:t xml:space="preserve"> is one example of an unsuccessful post-TDRA </w:t>
      </w:r>
      <w:proofErr w:type="spellStart"/>
      <w:r w:rsidR="00A60ADB" w:rsidRPr="0096524F">
        <w:t>tarnishment</w:t>
      </w:r>
      <w:proofErr w:type="spellEnd"/>
      <w:r w:rsidR="00A60ADB" w:rsidRPr="0096524F">
        <w:t xml:space="preserve"> claim</w:t>
      </w:r>
      <w:r w:rsidRPr="0096524F">
        <w:t>.</w:t>
      </w:r>
      <w:r w:rsidRPr="0096524F">
        <w:t xml:space="preserve"> </w:t>
      </w:r>
      <w:r w:rsidRPr="0096524F">
        <w:t>T</w:t>
      </w:r>
      <w:r w:rsidR="00A60ADB" w:rsidRPr="0096524F">
        <w:t xml:space="preserve">he court rejected an allegation that an inexpensive Chewy </w:t>
      </w:r>
      <w:proofErr w:type="spellStart"/>
      <w:r w:rsidR="00A60ADB" w:rsidRPr="0096524F">
        <w:t>Vuiton</w:t>
      </w:r>
      <w:proofErr w:type="spellEnd"/>
      <w:r w:rsidR="00A60ADB" w:rsidRPr="0096524F">
        <w:t xml:space="preserve"> dog toy in the shape of a woman’s handbag tarnished the Louis Vuitton trademark.</w:t>
      </w:r>
      <w:r w:rsidRPr="0096524F">
        <w:rPr>
          <w:vertAlign w:val="superscript"/>
        </w:rPr>
        <w:footnoteReference w:id="552"/>
      </w:r>
      <w:r w:rsidR="00A60ADB" w:rsidRPr="0096524F">
        <w:t xml:space="preserve"> Another is </w:t>
      </w:r>
      <w:r w:rsidRPr="0096524F">
        <w:rPr>
          <w:i/>
        </w:rPr>
        <w:t>Anheuser-Busch, Inc</w:t>
      </w:r>
      <w:r w:rsidRPr="0096524F">
        <w:t>.</w:t>
      </w:r>
      <w:r w:rsidRPr="0096524F">
        <w:t xml:space="preserve"> </w:t>
      </w:r>
      <w:r w:rsidRPr="0096524F">
        <w:rPr>
          <w:i/>
        </w:rPr>
        <w:t>v</w:t>
      </w:r>
      <w:r w:rsidRPr="0096524F">
        <w:t>.</w:t>
      </w:r>
      <w:r w:rsidRPr="0096524F">
        <w:t xml:space="preserve"> </w:t>
      </w:r>
      <w:r w:rsidRPr="0096524F">
        <w:rPr>
          <w:i/>
        </w:rPr>
        <w:t>VIP Products, LLC</w:t>
      </w:r>
      <w:r w:rsidR="00A60ADB" w:rsidRPr="0096524F">
        <w:t>,</w:t>
      </w:r>
      <w:r w:rsidRPr="0096524F">
        <w:rPr>
          <w:vertAlign w:val="superscript"/>
        </w:rPr>
        <w:footnoteReference w:id="553"/>
      </w:r>
      <w:r w:rsidR="00A60ADB" w:rsidRPr="0096524F">
        <w:t xml:space="preserve"> which also involved a dog toy, this one containing a replica of a Budweiser label, but with the word “</w:t>
      </w:r>
      <w:proofErr w:type="spellStart"/>
      <w:r w:rsidR="00A60ADB" w:rsidRPr="0096524F">
        <w:t>Buttwiper</w:t>
      </w:r>
      <w:proofErr w:type="spellEnd"/>
      <w:r w:rsidR="00A60ADB" w:rsidRPr="0096524F">
        <w:t>” substituted for Budweiser</w:t>
      </w:r>
      <w:r w:rsidRPr="0096524F">
        <w:t>.</w:t>
      </w:r>
      <w:r w:rsidRPr="0096524F">
        <w:t xml:space="preserve"> </w:t>
      </w:r>
      <w:r w:rsidRPr="0096524F">
        <w:t>A</w:t>
      </w:r>
      <w:r w:rsidR="00A60ADB" w:rsidRPr="0096524F">
        <w:t>lthough there was some evidence of possible unwelcome associations, the court rejected the claim, citing a lack of any evidence of harm to the mark’s reputation.</w:t>
      </w:r>
      <w:r w:rsidRPr="0096524F">
        <w:rPr>
          <w:vertAlign w:val="superscript"/>
        </w:rPr>
        <w:footnoteReference w:id="554"/>
      </w:r>
    </w:p>
    <w:p w14:paraId="09CBB212" w14:textId="6FFA9CB0" w:rsidR="0096524F" w:rsidRPr="0096524F" w:rsidRDefault="00A60ADB" w:rsidP="0096524F">
      <w:pPr>
        <w:pStyle w:val="BNormal"/>
      </w:pPr>
      <w:r w:rsidRPr="0096524F">
        <w:lastRenderedPageBreak/>
        <w:t xml:space="preserve">In </w:t>
      </w:r>
      <w:r w:rsidR="0096524F" w:rsidRPr="0096524F">
        <w:rPr>
          <w:rStyle w:val="BCasenamefull"/>
        </w:rPr>
        <w:t>Allied Interstate, LLC v. Kimmel &amp; Silverman P.C</w:t>
      </w:r>
      <w:r w:rsidRPr="0096524F">
        <w:t>.,</w:t>
      </w:r>
      <w:r w:rsidR="0096524F" w:rsidRPr="0096524F">
        <w:rPr>
          <w:vertAlign w:val="superscript"/>
        </w:rPr>
        <w:footnoteReference w:id="555"/>
      </w:r>
      <w:r w:rsidRPr="0096524F">
        <w:t xml:space="preserve"> the court rejected a </w:t>
      </w:r>
      <w:proofErr w:type="spellStart"/>
      <w:r w:rsidRPr="0096524F">
        <w:t>tarnishment</w:t>
      </w:r>
      <w:proofErr w:type="spellEnd"/>
      <w:r w:rsidRPr="0096524F">
        <w:t xml:space="preserve"> claim based on defendant’s use of plaintiff’s mark in keyword advertising and on defendant’s website</w:t>
      </w:r>
      <w:r w:rsidR="0096524F" w:rsidRPr="0096524F">
        <w:t>.</w:t>
      </w:r>
      <w:r w:rsidR="0096524F" w:rsidRPr="0096524F">
        <w:t xml:space="preserve"> </w:t>
      </w:r>
      <w:r w:rsidR="0096524F" w:rsidRPr="0096524F">
        <w:t>T</w:t>
      </w:r>
      <w:r w:rsidRPr="0096524F">
        <w:t>he references were all to plaintiff, not to any products or services of defendant</w:t>
      </w:r>
      <w:r w:rsidR="0096524F" w:rsidRPr="0096524F">
        <w:t>;</w:t>
      </w:r>
      <w:r w:rsidR="0096524F" w:rsidRPr="0096524F">
        <w:t xml:space="preserve"> </w:t>
      </w:r>
      <w:r w:rsidR="0096524F" w:rsidRPr="0096524F">
        <w:t>t</w:t>
      </w:r>
      <w:r w:rsidRPr="0096524F">
        <w:t>he court held that such uses did not constitute dilution.</w:t>
      </w:r>
      <w:r w:rsidR="0096524F" w:rsidRPr="0096524F">
        <w:rPr>
          <w:vertAlign w:val="superscript"/>
        </w:rPr>
        <w:footnoteReference w:id="556"/>
      </w:r>
    </w:p>
    <w:p w14:paraId="1836B13E" w14:textId="37B8731F" w:rsidR="0096524F" w:rsidRPr="0096524F" w:rsidRDefault="00A60ADB" w:rsidP="0096524F">
      <w:pPr>
        <w:pStyle w:val="BNormal"/>
      </w:pPr>
      <w:r w:rsidRPr="0096524F">
        <w:t>The caution shown by most courts in this area is appropriate</w:t>
      </w:r>
      <w:r w:rsidR="0096524F" w:rsidRPr="0096524F">
        <w:t>.</w:t>
      </w:r>
      <w:r w:rsidR="0096524F" w:rsidRPr="0096524F">
        <w:t xml:space="preserve"> </w:t>
      </w:r>
      <w:r w:rsidR="0096524F" w:rsidRPr="0096524F">
        <w:t>C</w:t>
      </w:r>
      <w:r w:rsidRPr="0096524F">
        <w:t>ongress had indicated that it does not wish dilution claims to be used to suppress legitimate communication</w:t>
      </w:r>
      <w:r w:rsidR="0096524F" w:rsidRPr="0096524F">
        <w:t>.</w:t>
      </w:r>
      <w:r w:rsidR="0096524F" w:rsidRPr="0096524F">
        <w:t xml:space="preserve"> </w:t>
      </w:r>
      <w:r w:rsidR="0096524F" w:rsidRPr="0096524F">
        <w:t>P</w:t>
      </w:r>
      <w:r w:rsidRPr="0096524F">
        <w:t>articularly where confusion is absent, courts must carefully balance the communicative rights of the second user against the trademark owner’s rights</w:t>
      </w:r>
      <w:r w:rsidR="0096524F" w:rsidRPr="0096524F">
        <w:t>.</w:t>
      </w:r>
      <w:r w:rsidR="0096524F" w:rsidRPr="0096524F">
        <w:t xml:space="preserve"> </w:t>
      </w:r>
      <w:r w:rsidR="0096524F" w:rsidRPr="0096524F">
        <w:t>M</w:t>
      </w:r>
      <w:r w:rsidRPr="0096524F">
        <w:t>oreover, as more than one court has commented, a successful parody can reinforce the tie between the famous mark and the single source—indeed, it relies on the connection for its success.</w:t>
      </w:r>
      <w:r w:rsidR="0096524F" w:rsidRPr="0096524F">
        <w:rPr>
          <w:vertAlign w:val="superscript"/>
        </w:rPr>
        <w:footnoteReference w:id="557"/>
      </w:r>
    </w:p>
    <w:p w14:paraId="2A6A1902" w14:textId="1C55AB8F" w:rsidR="0096524F" w:rsidRPr="0096524F" w:rsidRDefault="00A60ADB" w:rsidP="0096524F">
      <w:pPr>
        <w:pStyle w:val="BNormal"/>
      </w:pPr>
      <w:r w:rsidRPr="0096524F">
        <w:t xml:space="preserve">Still unknown is whether a humorous alteration of a trademark used in a comparative advertisement will constitute </w:t>
      </w:r>
      <w:proofErr w:type="spellStart"/>
      <w:r w:rsidRPr="0096524F">
        <w:t>tarnishment</w:t>
      </w:r>
      <w:proofErr w:type="spellEnd"/>
      <w:r w:rsidRPr="0096524F">
        <w:t xml:space="preserve"> under the TDRA</w:t>
      </w:r>
      <w:r w:rsidR="0096524F" w:rsidRPr="0096524F">
        <w:t>.</w:t>
      </w:r>
      <w:r w:rsidR="0096524F" w:rsidRPr="0096524F">
        <w:t xml:space="preserve"> </w:t>
      </w:r>
      <w:r w:rsidR="0096524F" w:rsidRPr="0096524F">
        <w:t>T</w:t>
      </w:r>
      <w:r w:rsidRPr="0096524F">
        <w:t xml:space="preserve">he Second Circuit, interpreting New York law, held that this constituted </w:t>
      </w:r>
      <w:proofErr w:type="spellStart"/>
      <w:r w:rsidRPr="0096524F">
        <w:t>tarnishment</w:t>
      </w:r>
      <w:proofErr w:type="spellEnd"/>
      <w:r w:rsidRPr="0096524F">
        <w:t>.</w:t>
      </w:r>
      <w:r w:rsidR="0096524F" w:rsidRPr="0096524F">
        <w:rPr>
          <w:vertAlign w:val="superscript"/>
        </w:rPr>
        <w:footnoteReference w:id="558"/>
      </w:r>
      <w:r w:rsidRPr="0096524F">
        <w:t xml:space="preserve"> It may be argued that an alteration of the mark is not a “fair” use</w:t>
      </w:r>
      <w:r w:rsidR="0096524F" w:rsidRPr="0096524F">
        <w:t>.</w:t>
      </w:r>
      <w:r w:rsidR="0096524F" w:rsidRPr="0096524F">
        <w:t xml:space="preserve"> </w:t>
      </w:r>
      <w:r w:rsidR="0096524F" w:rsidRPr="0096524F">
        <w:t>B</w:t>
      </w:r>
      <w:r w:rsidRPr="0096524F">
        <w:t xml:space="preserve">ut when the alteration does not associate the mark with some clearly unwholesome activity, courts should grant greater leeway in the </w:t>
      </w:r>
      <w:proofErr w:type="spellStart"/>
      <w:r w:rsidRPr="0096524F">
        <w:t>tarnishment</w:t>
      </w:r>
      <w:proofErr w:type="spellEnd"/>
      <w:r w:rsidRPr="0096524F">
        <w:t xml:space="preserve"> analysis for comparative advertising, in accordance with Congress’s mandate.</w:t>
      </w:r>
      <w:r w:rsidR="0096524F" w:rsidRPr="0096524F">
        <w:rPr>
          <w:vertAlign w:val="superscript"/>
        </w:rPr>
        <w:footnoteReference w:id="559"/>
      </w:r>
      <w:r w:rsidRPr="0096524F">
        <w:t xml:space="preserve"> In the final analysis, the test is whether the defendant’s use is </w:t>
      </w:r>
      <w:r w:rsidR="0096524F" w:rsidRPr="0096524F">
        <w:rPr>
          <w:i/>
        </w:rPr>
        <w:t>likely</w:t>
      </w:r>
      <w:r w:rsidRPr="0096524F">
        <w:t xml:space="preserve"> to harm the reputation of the famous mark, not whether it is </w:t>
      </w:r>
      <w:r w:rsidR="0096524F" w:rsidRPr="0096524F">
        <w:rPr>
          <w:i/>
        </w:rPr>
        <w:t>possible</w:t>
      </w:r>
      <w:r w:rsidRPr="0096524F">
        <w:t xml:space="preserve"> that the use will be harmful</w:t>
      </w:r>
      <w:r w:rsidR="0096524F" w:rsidRPr="0096524F">
        <w:t>.</w:t>
      </w:r>
      <w:r w:rsidR="0096524F" w:rsidRPr="0096524F">
        <w:t xml:space="preserve"> </w:t>
      </w:r>
      <w:r w:rsidR="0096524F" w:rsidRPr="0096524F">
        <w:t>A</w:t>
      </w:r>
      <w:r w:rsidRPr="0096524F">
        <w:t xml:space="preserve"> “broad” view of </w:t>
      </w:r>
      <w:proofErr w:type="spellStart"/>
      <w:r w:rsidRPr="0096524F">
        <w:t>tarnishment</w:t>
      </w:r>
      <w:proofErr w:type="spellEnd"/>
      <w:r w:rsidRPr="0096524F">
        <w:t xml:space="preserve"> is not consistent with the TDRA’s limited definition of </w:t>
      </w:r>
      <w:proofErr w:type="spellStart"/>
      <w:r w:rsidRPr="0096524F">
        <w:t>tarnishment</w:t>
      </w:r>
      <w:proofErr w:type="spellEnd"/>
      <w:r w:rsidRPr="0096524F">
        <w:t xml:space="preserve">, nor is it consistent with the TDRA’s exclusions, which further indicate an intent to narrow the use of </w:t>
      </w:r>
      <w:proofErr w:type="spellStart"/>
      <w:r w:rsidRPr="0096524F">
        <w:t>tarnishment</w:t>
      </w:r>
      <w:proofErr w:type="spellEnd"/>
      <w:r w:rsidRPr="0096524F">
        <w:t>.</w:t>
      </w:r>
      <w:r w:rsidR="0096524F" w:rsidRPr="0096524F">
        <w:rPr>
          <w:vertAlign w:val="superscript"/>
        </w:rPr>
        <w:footnoteReference w:id="560"/>
      </w:r>
    </w:p>
    <w:p w14:paraId="277607B5" w14:textId="5082A2F5" w:rsidR="0096524F" w:rsidRPr="0096524F" w:rsidRDefault="00A60ADB" w:rsidP="0096524F">
      <w:pPr>
        <w:pStyle w:val="BNormal"/>
      </w:pPr>
      <w:r w:rsidRPr="0096524F">
        <w:t xml:space="preserve">In various </w:t>
      </w:r>
      <w:proofErr w:type="spellStart"/>
      <w:r w:rsidRPr="0096524F">
        <w:t>tarnishment</w:t>
      </w:r>
      <w:proofErr w:type="spellEnd"/>
      <w:r w:rsidRPr="0096524F">
        <w:t xml:space="preserve"> cases decided under state and federal laws, courts have required some evidence of </w:t>
      </w:r>
      <w:proofErr w:type="spellStart"/>
      <w:r w:rsidRPr="0096524F">
        <w:t>tarnishment</w:t>
      </w:r>
      <w:proofErr w:type="spellEnd"/>
      <w:r w:rsidRPr="0096524F">
        <w:t>, rather than relying on an assumption of harm.</w:t>
      </w:r>
      <w:r w:rsidR="0096524F" w:rsidRPr="0096524F">
        <w:rPr>
          <w:vertAlign w:val="superscript"/>
        </w:rPr>
        <w:footnoteReference w:id="561"/>
      </w:r>
      <w:r w:rsidRPr="0096524F">
        <w:t xml:space="preserve"> This is particularly true of cases not involving pornography or drug-related references</w:t>
      </w:r>
      <w:r w:rsidR="0096524F" w:rsidRPr="0096524F">
        <w:t>.</w:t>
      </w:r>
      <w:r w:rsidR="0096524F" w:rsidRPr="0096524F">
        <w:t xml:space="preserve"> </w:t>
      </w:r>
      <w:r w:rsidR="0096524F" w:rsidRPr="0096524F">
        <w:t>T</w:t>
      </w:r>
      <w:r w:rsidRPr="0096524F">
        <w:t>his requirement is not illogical</w:t>
      </w:r>
      <w:r w:rsidR="0096524F" w:rsidRPr="0096524F">
        <w:t>.</w:t>
      </w:r>
      <w:r w:rsidR="0096524F" w:rsidRPr="0096524F">
        <w:t xml:space="preserve"> </w:t>
      </w:r>
      <w:r w:rsidR="0096524F" w:rsidRPr="0096524F">
        <w:t>A</w:t>
      </w:r>
      <w:r w:rsidRPr="0096524F">
        <w:t xml:space="preserve">s the USTA noted when it proposed a federal dilution statute, </w:t>
      </w:r>
      <w:proofErr w:type="spellStart"/>
      <w:r w:rsidRPr="0096524F">
        <w:t>tarnishment</w:t>
      </w:r>
      <w:proofErr w:type="spellEnd"/>
      <w:r w:rsidRPr="0096524F">
        <w:t xml:space="preserve"> is a different sort of wrong than dilution.</w:t>
      </w:r>
      <w:r w:rsidR="0096524F" w:rsidRPr="0096524F">
        <w:rPr>
          <w:vertAlign w:val="superscript"/>
        </w:rPr>
        <w:footnoteReference w:id="562"/>
      </w:r>
      <w:r w:rsidRPr="0096524F">
        <w:t xml:space="preserve"> If one views </w:t>
      </w:r>
      <w:proofErr w:type="spellStart"/>
      <w:r w:rsidRPr="0096524F">
        <w:t>tarnishment</w:t>
      </w:r>
      <w:proofErr w:type="spellEnd"/>
      <w:r w:rsidRPr="0096524F">
        <w:t xml:space="preserve"> as </w:t>
      </w:r>
      <w:r w:rsidRPr="0096524F">
        <w:lastRenderedPageBreak/>
        <w:t>similar to a claim for trade disparagement, then a requirement of evidence would be analogous to a requirement of special damages.</w:t>
      </w:r>
    </w:p>
    <w:p w14:paraId="3E8137E2" w14:textId="3C4763D9" w:rsidR="0096524F" w:rsidRPr="0096524F" w:rsidRDefault="00A60ADB" w:rsidP="0096524F">
      <w:pPr>
        <w:pStyle w:val="BNormal"/>
      </w:pPr>
      <w:r w:rsidRPr="0096524F">
        <w:t xml:space="preserve">The importance of actual evidence of </w:t>
      </w:r>
      <w:proofErr w:type="spellStart"/>
      <w:r w:rsidRPr="0096524F">
        <w:t>tarnishment</w:t>
      </w:r>
      <w:proofErr w:type="spellEnd"/>
      <w:r w:rsidRPr="0096524F">
        <w:t xml:space="preserve"> in parody cases was illustrated in </w:t>
      </w:r>
      <w:r w:rsidR="0096524F" w:rsidRPr="0096524F">
        <w:rPr>
          <w:i/>
        </w:rPr>
        <w:t>Tommy Hilfiger Licensing,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Nature Labs, LLC</w:t>
      </w:r>
      <w:r w:rsidRPr="0096524F">
        <w:t>.</w:t>
      </w:r>
      <w:r w:rsidR="0096524F" w:rsidRPr="0096524F">
        <w:rPr>
          <w:vertAlign w:val="superscript"/>
        </w:rPr>
        <w:footnoteReference w:id="563"/>
      </w:r>
      <w:r w:rsidRPr="0096524F">
        <w:t xml:space="preserve"> The court found no </w:t>
      </w:r>
      <w:proofErr w:type="spellStart"/>
      <w:r w:rsidRPr="0096524F">
        <w:t>tarnishment</w:t>
      </w:r>
      <w:proofErr w:type="spellEnd"/>
      <w:r w:rsidRPr="0096524F">
        <w:t xml:space="preserve"> of the plaintiff’s Tommy Hilfiger mark from the defendant’s “pet perfume” parodies, noting a lack of any evidence of harm to the mark.</w:t>
      </w:r>
      <w:r w:rsidR="0096524F" w:rsidRPr="0096524F">
        <w:rPr>
          <w:vertAlign w:val="superscript"/>
        </w:rPr>
        <w:footnoteReference w:id="564"/>
      </w:r>
      <w:r w:rsidRPr="0096524F">
        <w:t xml:space="preserve"> Even after the TDRA, courts should not lightly assume that any seemingly undesirable association would be </w:t>
      </w:r>
      <w:r w:rsidR="0096524F" w:rsidRPr="0096524F">
        <w:rPr>
          <w:i/>
        </w:rPr>
        <w:t>likely</w:t>
      </w:r>
      <w:r w:rsidRPr="0096524F">
        <w:t xml:space="preserve"> to harm the reputation of a famous mark</w:t>
      </w:r>
      <w:r w:rsidR="0096524F" w:rsidRPr="0096524F">
        <w:t>.</w:t>
      </w:r>
      <w:r w:rsidR="0096524F" w:rsidRPr="0096524F">
        <w:t xml:space="preserve"> </w:t>
      </w:r>
      <w:r w:rsidR="0096524F" w:rsidRPr="0096524F">
        <w:t>I</w:t>
      </w:r>
      <w:r w:rsidRPr="0096524F">
        <w:t>ndeed, the first post-TDRA appellate decision appeared to agree</w:t>
      </w:r>
      <w:r w:rsidR="0096524F" w:rsidRPr="0096524F">
        <w:t>.</w:t>
      </w:r>
      <w:r w:rsidR="0096524F" w:rsidRPr="0096524F">
        <w:t xml:space="preserve"> </w:t>
      </w:r>
      <w:r w:rsidR="0096524F" w:rsidRPr="0096524F">
        <w:t>I</w:t>
      </w:r>
      <w:r w:rsidRPr="0096524F">
        <w:t xml:space="preserve">n </w:t>
      </w:r>
      <w:r w:rsidR="0096524F" w:rsidRPr="0096524F">
        <w:rPr>
          <w:i/>
        </w:rPr>
        <w:t>Louis Vuitton Malletier, S</w:t>
      </w:r>
      <w:r w:rsidRPr="0096524F">
        <w:t>.</w:t>
      </w:r>
      <w:r w:rsidR="0096524F" w:rsidRPr="0096524F">
        <w:rPr>
          <w:i/>
        </w:rPr>
        <w:t>A</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 xml:space="preserve">Haute </w:t>
      </w:r>
      <w:proofErr w:type="spellStart"/>
      <w:r w:rsidR="0096524F" w:rsidRPr="0096524F">
        <w:rPr>
          <w:i/>
        </w:rPr>
        <w:t>Diggity</w:t>
      </w:r>
      <w:proofErr w:type="spellEnd"/>
      <w:r w:rsidR="0096524F" w:rsidRPr="0096524F">
        <w:rPr>
          <w:i/>
        </w:rPr>
        <w:t xml:space="preserve"> Dog, LLC</w:t>
      </w:r>
      <w:r w:rsidRPr="0096524F">
        <w:t>,</w:t>
      </w:r>
      <w:r w:rsidR="0096524F" w:rsidRPr="0096524F">
        <w:rPr>
          <w:vertAlign w:val="superscript"/>
        </w:rPr>
        <w:footnoteReference w:id="565"/>
      </w:r>
      <w:r w:rsidRPr="0096524F">
        <w:t xml:space="preserve"> the court rejected a </w:t>
      </w:r>
      <w:proofErr w:type="spellStart"/>
      <w:r w:rsidRPr="0096524F">
        <w:t>tarnishment</w:t>
      </w:r>
      <w:proofErr w:type="spellEnd"/>
      <w:r w:rsidRPr="0096524F">
        <w:t xml:space="preserve"> claim brought against the maker of a Chewy </w:t>
      </w:r>
      <w:proofErr w:type="spellStart"/>
      <w:r w:rsidRPr="0096524F">
        <w:t>Vuiton</w:t>
      </w:r>
      <w:proofErr w:type="spellEnd"/>
      <w:r w:rsidRPr="0096524F">
        <w:t xml:space="preserve"> dog toy</w:t>
      </w:r>
      <w:r w:rsidR="0096524F" w:rsidRPr="0096524F">
        <w:t>.</w:t>
      </w:r>
      <w:r w:rsidR="0096524F" w:rsidRPr="0096524F">
        <w:t xml:space="preserve"> </w:t>
      </w:r>
      <w:r w:rsidR="0096524F" w:rsidRPr="0096524F">
        <w:t>T</w:t>
      </w:r>
      <w:r w:rsidRPr="0096524F">
        <w:t>he court found nothing in the record to suggest that the toys would harm the reputation of the Louis Vuitton mark.</w:t>
      </w:r>
      <w:r w:rsidR="0096524F" w:rsidRPr="0096524F">
        <w:rPr>
          <w:vertAlign w:val="superscript"/>
        </w:rPr>
        <w:footnoteReference w:id="566"/>
      </w:r>
      <w:r w:rsidRPr="0096524F">
        <w:t xml:space="preserve"> In </w:t>
      </w:r>
      <w:r w:rsidR="0096524F" w:rsidRPr="0096524F">
        <w:rPr>
          <w:i/>
        </w:rPr>
        <w:t>Starbucks Corp</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Wolfe’s Borough Coffee, Inc</w:t>
      </w:r>
      <w:r w:rsidRPr="0096524F">
        <w:t>.,</w:t>
      </w:r>
      <w:r w:rsidR="0096524F" w:rsidRPr="0096524F">
        <w:rPr>
          <w:vertAlign w:val="superscript"/>
        </w:rPr>
        <w:footnoteReference w:id="567"/>
      </w:r>
      <w:r w:rsidRPr="0096524F">
        <w:t xml:space="preserve"> the court rejected a </w:t>
      </w:r>
      <w:proofErr w:type="spellStart"/>
      <w:r w:rsidRPr="0096524F">
        <w:t>tarnishment</w:t>
      </w:r>
      <w:proofErr w:type="spellEnd"/>
      <w:r w:rsidRPr="0096524F">
        <w:t xml:space="preserve"> claim against Mr</w:t>
      </w:r>
      <w:r w:rsidR="0096524F" w:rsidRPr="0096524F">
        <w:t>.</w:t>
      </w:r>
      <w:r w:rsidR="0096524F" w:rsidRPr="0096524F">
        <w:t xml:space="preserve"> </w:t>
      </w:r>
      <w:proofErr w:type="spellStart"/>
      <w:r w:rsidR="0096524F" w:rsidRPr="0096524F">
        <w:t>C</w:t>
      </w:r>
      <w:r w:rsidRPr="0096524F">
        <w:t>harbucks</w:t>
      </w:r>
      <w:proofErr w:type="spellEnd"/>
      <w:r w:rsidRPr="0096524F">
        <w:t xml:space="preserve"> coffee, and rejected the plaintiff’s interpretation of its survey evidence</w:t>
      </w:r>
      <w:r w:rsidR="0096524F" w:rsidRPr="0096524F">
        <w:t>.</w:t>
      </w:r>
      <w:r w:rsidR="0096524F" w:rsidRPr="0096524F">
        <w:t xml:space="preserve"> </w:t>
      </w:r>
      <w:r w:rsidR="0096524F" w:rsidRPr="0096524F">
        <w:t>E</w:t>
      </w:r>
      <w:r w:rsidRPr="0096524F">
        <w:t xml:space="preserve">ven though there was some evidence that people may have a negative reaction to </w:t>
      </w:r>
      <w:proofErr w:type="spellStart"/>
      <w:r w:rsidRPr="0096524F">
        <w:t>Charbucks</w:t>
      </w:r>
      <w:proofErr w:type="spellEnd"/>
      <w:r w:rsidRPr="0096524F">
        <w:t xml:space="preserve"> coffee, the court found no indication that this attitude affected the survey respondents’ reaction to the Starbucks mark.</w:t>
      </w:r>
      <w:r w:rsidR="0096524F" w:rsidRPr="0096524F">
        <w:rPr>
          <w:vertAlign w:val="superscript"/>
        </w:rPr>
        <w:footnoteReference w:id="568"/>
      </w:r>
      <w:r w:rsidRPr="0096524F">
        <w:t xml:space="preserve"> Although actual evidence of harm may not be a prerequisite, the conclusion that the reputation of the famous mark is likely to be harmed should not be based simply on speculation.</w:t>
      </w:r>
    </w:p>
    <w:p w14:paraId="6D14D134" w14:textId="03C13349" w:rsidR="0096524F" w:rsidRPr="0096524F" w:rsidRDefault="00371CCB" w:rsidP="00175762">
      <w:pPr>
        <w:pStyle w:val="BHead3"/>
      </w:pPr>
      <w:r>
        <w:t>9.II.E.</w:t>
      </w:r>
      <w:r w:rsidR="0096524F" w:rsidRPr="00175762">
        <w:rPr>
          <w:rStyle w:val="BBNAidChar"/>
          <w:rFonts w:eastAsiaTheme="majorEastAsia"/>
        </w:rPr>
        <w:t>3</w:t>
      </w:r>
      <w:r w:rsidR="0096524F" w:rsidRPr="0096524F">
        <w:t>.</w:t>
      </w:r>
      <w:r>
        <w:t> </w:t>
      </w:r>
      <w:r w:rsidR="0096524F" w:rsidRPr="0096524F">
        <w:tab/>
        <w:t xml:space="preserve">First Amendment Concerns With Dilution by </w:t>
      </w:r>
      <w:proofErr w:type="spellStart"/>
      <w:r w:rsidR="0096524F" w:rsidRPr="0096524F">
        <w:t>Tarnishment</w:t>
      </w:r>
      <w:proofErr w:type="spellEnd"/>
    </w:p>
    <w:p w14:paraId="76886EF3" w14:textId="1C1854E4" w:rsidR="0096524F" w:rsidRPr="0096524F" w:rsidRDefault="00A60ADB" w:rsidP="0096524F">
      <w:pPr>
        <w:pStyle w:val="BNormal"/>
      </w:pPr>
      <w:r w:rsidRPr="0096524F">
        <w:t xml:space="preserve">The Supreme Court’s decisions in </w:t>
      </w:r>
      <w:r w:rsidR="0096524F" w:rsidRPr="0096524F">
        <w:rPr>
          <w:rStyle w:val="BCasenamefull"/>
        </w:rPr>
        <w:t>Matal v. Tam</w:t>
      </w:r>
      <w:r w:rsidRPr="0096524F">
        <w:t>,</w:t>
      </w:r>
      <w:r w:rsidR="0096524F" w:rsidRPr="0096524F">
        <w:rPr>
          <w:vertAlign w:val="superscript"/>
        </w:rPr>
        <w:footnoteReference w:id="569"/>
      </w:r>
      <w:r w:rsidRPr="0096524F">
        <w:t xml:space="preserve"> striking down the Lanham Act’s bar to registering disparaging marks, and  </w:t>
      </w:r>
      <w:r w:rsidR="0096524F" w:rsidRPr="0096524F">
        <w:rPr>
          <w:rStyle w:val="BCasenamefull"/>
        </w:rPr>
        <w:t>Iancu v. Brunetti</w:t>
      </w:r>
      <w:r w:rsidRPr="0096524F">
        <w:t>,</w:t>
      </w:r>
      <w:r w:rsidR="0096524F" w:rsidRPr="0096524F">
        <w:rPr>
          <w:vertAlign w:val="superscript"/>
        </w:rPr>
        <w:footnoteReference w:id="570"/>
      </w:r>
      <w:r w:rsidRPr="0096524F">
        <w:t xml:space="preserve"> striking down the bar to registering immoral or scandalous marks, raise the issue of whether dilution—particularly dilution by </w:t>
      </w:r>
      <w:proofErr w:type="spellStart"/>
      <w:r w:rsidRPr="0096524F">
        <w:t>tarnishment</w:t>
      </w:r>
      <w:proofErr w:type="spellEnd"/>
      <w:r w:rsidRPr="0096524F">
        <w:t>—might run afoul of the First Amendment, notwithstanding the statutory exclusions</w:t>
      </w:r>
      <w:r w:rsidR="0096524F" w:rsidRPr="0096524F">
        <w:t>.</w:t>
      </w:r>
      <w:r w:rsidR="0096524F" w:rsidRPr="0096524F">
        <w:t xml:space="preserve"> </w:t>
      </w:r>
      <w:r w:rsidR="0096524F" w:rsidRPr="0096524F">
        <w:t>I</w:t>
      </w:r>
      <w:r w:rsidRPr="0096524F">
        <w:t xml:space="preserve">n </w:t>
      </w:r>
      <w:r w:rsidR="0096524F" w:rsidRPr="0096524F">
        <w:rPr>
          <w:i/>
        </w:rPr>
        <w:t>Tam</w:t>
      </w:r>
      <w:r w:rsidRPr="0096524F">
        <w:t>, the Court found that the ban on disparaging trademarks constituted improper viewpoint discrimination</w:t>
      </w:r>
      <w:r w:rsidR="0096524F" w:rsidRPr="0096524F">
        <w:t>.</w:t>
      </w:r>
      <w:r w:rsidR="0096524F" w:rsidRPr="0096524F">
        <w:t xml:space="preserve"> </w:t>
      </w:r>
      <w:r w:rsidR="0096524F" w:rsidRPr="0096524F">
        <w:t>A</w:t>
      </w:r>
      <w:r w:rsidRPr="0096524F">
        <w:t>part from that, the Court was unable to reach consensus on an overarching rationale.</w:t>
      </w:r>
      <w:r w:rsidR="0096524F" w:rsidRPr="0096524F">
        <w:rPr>
          <w:vertAlign w:val="superscript"/>
        </w:rPr>
        <w:footnoteReference w:id="571"/>
      </w:r>
      <w:r w:rsidRPr="0096524F">
        <w:t xml:space="preserve"> However, some of the language in the </w:t>
      </w:r>
      <w:r w:rsidRPr="0096524F">
        <w:lastRenderedPageBreak/>
        <w:t xml:space="preserve">Justices’ opinions, if applied to dilution, could make many </w:t>
      </w:r>
      <w:proofErr w:type="spellStart"/>
      <w:r w:rsidRPr="0096524F">
        <w:t>tarnishment</w:t>
      </w:r>
      <w:proofErr w:type="spellEnd"/>
      <w:r w:rsidRPr="0096524F">
        <w:t xml:space="preserve"> claims susceptible to First Amendment challenge</w:t>
      </w:r>
      <w:r w:rsidR="0096524F" w:rsidRPr="0096524F">
        <w:t>.</w:t>
      </w:r>
      <w:r w:rsidR="0096524F" w:rsidRPr="0096524F">
        <w:t xml:space="preserve"> </w:t>
      </w:r>
      <w:r w:rsidR="0096524F" w:rsidRPr="0096524F">
        <w:t>F</w:t>
      </w:r>
      <w:r w:rsidRPr="0096524F">
        <w:t>or example, Justice Alito, writing for all eight Justices, said of the ban on disparaging marks, “Speech may not be banned on the ground that it expresses ideas that offend.”</w:t>
      </w:r>
      <w:r w:rsidR="0096524F" w:rsidRPr="0096524F">
        <w:rPr>
          <w:vertAlign w:val="superscript"/>
        </w:rPr>
        <w:footnoteReference w:id="572"/>
      </w:r>
      <w:r w:rsidRPr="0096524F">
        <w:t xml:space="preserve"> Thus, the fact that another’s use of a famous mark causes offense—either to the mark owner or to consumers—cannot be the basis for banning that use</w:t>
      </w:r>
      <w:r w:rsidR="0096524F" w:rsidRPr="0096524F">
        <w:t>.</w:t>
      </w:r>
      <w:r w:rsidR="0096524F" w:rsidRPr="0096524F">
        <w:t xml:space="preserve"> </w:t>
      </w:r>
      <w:r w:rsidR="0096524F" w:rsidRPr="0096524F">
        <w:t>I</w:t>
      </w:r>
      <w:r w:rsidRPr="0096524F">
        <w:t>n his concurring opinion (written on behalf of four Justices), Justice Kennedy went even further:</w:t>
      </w:r>
    </w:p>
    <w:p w14:paraId="2ED8385C" w14:textId="2AE11D9E" w:rsidR="0096524F" w:rsidRPr="0096524F" w:rsidRDefault="00A60ADB" w:rsidP="0096524F">
      <w:pPr>
        <w:pStyle w:val="BQuotelong"/>
      </w:pPr>
      <w:r w:rsidRPr="0096524F">
        <w:t>The Government may not insulate a law from charges of viewpoint discrimination by tying censorship to the reaction of the speaker’s audience. … The danger of viewpoint discrimination is that the government is attempting to remove certain ideas or perspectives from a broader debate</w:t>
      </w:r>
      <w:r w:rsidR="0096524F" w:rsidRPr="0096524F">
        <w:t>.</w:t>
      </w:r>
      <w:r w:rsidR="0096524F" w:rsidRPr="0096524F">
        <w:t xml:space="preserve"> </w:t>
      </w:r>
      <w:r w:rsidR="0096524F" w:rsidRPr="0096524F">
        <w:t>T</w:t>
      </w:r>
      <w:r w:rsidRPr="0096524F">
        <w:t>hat danger is all the greater if the ideas or perspectives are ones a particular audience might think offensive, at least at first hearing</w:t>
      </w:r>
      <w:r w:rsidR="0096524F" w:rsidRPr="0096524F">
        <w:t>.</w:t>
      </w:r>
      <w:r w:rsidR="0096524F" w:rsidRPr="0096524F">
        <w:t xml:space="preserve"> </w:t>
      </w:r>
      <w:r w:rsidR="0096524F" w:rsidRPr="0096524F">
        <w:t>A</w:t>
      </w:r>
      <w:r w:rsidRPr="0096524F">
        <w:t>n initial reaction may prompt further reflection, leading to a more reasoned, more tolerant position.</w:t>
      </w:r>
    </w:p>
    <w:p w14:paraId="16B0A66E" w14:textId="193A090C" w:rsidR="0096524F" w:rsidRPr="0096524F" w:rsidRDefault="00A60ADB" w:rsidP="0096524F">
      <w:pPr>
        <w:pStyle w:val="BQuotelong"/>
      </w:pPr>
      <w:r w:rsidRPr="0096524F">
        <w:t>Indeed, a speech burden based on audience reactions is simply government hostility and intervention in a different guise</w:t>
      </w:r>
      <w:r w:rsidR="0096524F" w:rsidRPr="0096524F">
        <w:t>.</w:t>
      </w:r>
      <w:r w:rsidR="0096524F" w:rsidRPr="0096524F">
        <w:t xml:space="preserve"> </w:t>
      </w:r>
      <w:r w:rsidR="0096524F" w:rsidRPr="0096524F">
        <w:t>T</w:t>
      </w:r>
      <w:r w:rsidRPr="0096524F">
        <w:t>he speech is targeted, after all, based on the government’s disapproval of the speaker’s choice of message. …</w:t>
      </w:r>
    </w:p>
    <w:p w14:paraId="635310EC" w14:textId="6279D23F" w:rsidR="0096524F" w:rsidRPr="0096524F" w:rsidRDefault="00A60ADB" w:rsidP="0096524F">
      <w:pPr>
        <w:pStyle w:val="BQuotelong"/>
      </w:pPr>
      <w:r w:rsidRPr="0096524F">
        <w:t>…</w:t>
      </w:r>
    </w:p>
    <w:p w14:paraId="63625DDD" w14:textId="7683A043" w:rsidR="0096524F" w:rsidRPr="0096524F" w:rsidRDefault="00A60ADB" w:rsidP="0096524F">
      <w:pPr>
        <w:pStyle w:val="BQuotelong"/>
      </w:pPr>
      <w:r w:rsidRPr="0096524F">
        <w:t>A law that can be directed against speech found offensive to some portion of the public can be turned against minority and dissenting views to the detriment of all</w:t>
      </w:r>
      <w:r w:rsidR="0096524F" w:rsidRPr="0096524F">
        <w:t>.</w:t>
      </w:r>
      <w:r w:rsidR="0096524F" w:rsidRPr="0096524F">
        <w:t xml:space="preserve"> </w:t>
      </w:r>
      <w:r w:rsidR="0096524F" w:rsidRPr="0096524F">
        <w:t>T</w:t>
      </w:r>
      <w:r w:rsidRPr="0096524F">
        <w:t>he First Amendment does not entrust that power to the government’s benevolence</w:t>
      </w:r>
      <w:r w:rsidR="0096524F" w:rsidRPr="0096524F">
        <w:t>.</w:t>
      </w:r>
      <w:r w:rsidR="0096524F" w:rsidRPr="0096524F">
        <w:t xml:space="preserve"> </w:t>
      </w:r>
      <w:r w:rsidR="0096524F" w:rsidRPr="0096524F">
        <w:t>I</w:t>
      </w:r>
      <w:r w:rsidRPr="0096524F">
        <w:t>nstead, our reliance must be on the substantial safeguards of free and open discussion in a democratic society.</w:t>
      </w:r>
      <w:r w:rsidR="0096524F" w:rsidRPr="0096524F">
        <w:rPr>
          <w:vertAlign w:val="superscript"/>
        </w:rPr>
        <w:footnoteReference w:id="573"/>
      </w:r>
    </w:p>
    <w:p w14:paraId="5C414334" w14:textId="04651507" w:rsidR="0096524F" w:rsidRPr="0096524F" w:rsidRDefault="00A60ADB" w:rsidP="0096524F">
      <w:pPr>
        <w:pStyle w:val="BNormal"/>
      </w:pPr>
      <w:r w:rsidRPr="0096524F">
        <w:t xml:space="preserve">In </w:t>
      </w:r>
      <w:r w:rsidR="0096524F" w:rsidRPr="0096524F">
        <w:rPr>
          <w:i/>
        </w:rPr>
        <w:t>Brunetti</w:t>
      </w:r>
      <w:r w:rsidRPr="0096524F">
        <w:t>, a majority found that the ban on registering “immoral or scandalous” marks was viewpoint discrimination.</w:t>
      </w:r>
      <w:r w:rsidR="0096524F" w:rsidRPr="0096524F">
        <w:rPr>
          <w:vertAlign w:val="superscript"/>
        </w:rPr>
        <w:footnoteReference w:id="574"/>
      </w:r>
      <w:r w:rsidRPr="0096524F">
        <w:t xml:space="preserve"> That the ban precluded “offensive” marks meant that it regulated differently depending on the point of view expressed by the mark.</w:t>
      </w:r>
      <w:r w:rsidR="0096524F" w:rsidRPr="0096524F">
        <w:rPr>
          <w:vertAlign w:val="superscript"/>
        </w:rPr>
        <w:footnoteReference w:id="575"/>
      </w:r>
      <w:r w:rsidR="0096524F" w:rsidRPr="0096524F">
        <w:t xml:space="preserve"> </w:t>
      </w:r>
      <w:r w:rsidRPr="0096524F">
        <w:t xml:space="preserve">Dilution by </w:t>
      </w:r>
      <w:proofErr w:type="spellStart"/>
      <w:r w:rsidRPr="0096524F">
        <w:t>tarnishment</w:t>
      </w:r>
      <w:proofErr w:type="spellEnd"/>
      <w:r w:rsidRPr="0096524F">
        <w:t xml:space="preserve"> may well cross this line, at least in some circumstances</w:t>
      </w:r>
      <w:r w:rsidR="0096524F" w:rsidRPr="0096524F">
        <w:t>.</w:t>
      </w:r>
      <w:r w:rsidR="0096524F" w:rsidRPr="0096524F">
        <w:t xml:space="preserve"> </w:t>
      </w:r>
      <w:r w:rsidR="0096524F" w:rsidRPr="0096524F">
        <w:t>T</w:t>
      </w:r>
      <w:r w:rsidRPr="0096524F">
        <w:t xml:space="preserve">hus, the kind of use at issue in </w:t>
      </w:r>
      <w:r w:rsidR="0096524F" w:rsidRPr="0096524F">
        <w:rPr>
          <w:rStyle w:val="BCasenamefull"/>
        </w:rPr>
        <w:t>University of Kansas v. Sinks</w:t>
      </w:r>
      <w:r w:rsidRPr="0096524F">
        <w:t>,</w:t>
      </w:r>
      <w:r w:rsidR="0096524F" w:rsidRPr="0096524F">
        <w:rPr>
          <w:vertAlign w:val="superscript"/>
        </w:rPr>
        <w:footnoteReference w:id="576"/>
      </w:r>
      <w:r w:rsidRPr="0096524F">
        <w:t xml:space="preserve"> where the university was offended by nasty parodies of its mascot on T-shirts, could be categorized as viewpoint discrimination (it is unlikely that a </w:t>
      </w:r>
      <w:proofErr w:type="spellStart"/>
      <w:r w:rsidRPr="0096524F">
        <w:t>tarnishment</w:t>
      </w:r>
      <w:proofErr w:type="spellEnd"/>
      <w:r w:rsidRPr="0096524F">
        <w:t xml:space="preserve"> claim would be brought against someone making T-shirts praising the university, although a blurring claim might be brought)</w:t>
      </w:r>
      <w:r w:rsidR="0096524F" w:rsidRPr="0096524F">
        <w:t>.</w:t>
      </w:r>
      <w:r w:rsidR="0096524F" w:rsidRPr="0096524F">
        <w:t xml:space="preserve"> </w:t>
      </w:r>
      <w:r w:rsidR="0096524F" w:rsidRPr="0096524F">
        <w:t>I</w:t>
      </w:r>
      <w:r w:rsidRPr="0096524F">
        <w:t>n cases where one creates a mark that ridicules another mark (the “</w:t>
      </w:r>
      <w:proofErr w:type="spellStart"/>
      <w:r w:rsidRPr="0096524F">
        <w:t>Lardashe</w:t>
      </w:r>
      <w:proofErr w:type="spellEnd"/>
      <w:r w:rsidRPr="0096524F">
        <w:t>” mark might be an example;</w:t>
      </w:r>
      <w:r w:rsidR="0096524F" w:rsidRPr="0096524F">
        <w:rPr>
          <w:vertAlign w:val="superscript"/>
        </w:rPr>
        <w:footnoteReference w:id="577"/>
      </w:r>
      <w:r w:rsidRPr="0096524F">
        <w:t xml:space="preserve"> another could be a mark like “Coke sucks”), one could also defend a </w:t>
      </w:r>
      <w:proofErr w:type="spellStart"/>
      <w:r w:rsidRPr="0096524F">
        <w:t>tarnishment</w:t>
      </w:r>
      <w:proofErr w:type="spellEnd"/>
      <w:r w:rsidRPr="0096524F">
        <w:t xml:space="preserve"> claim by asserting that banning the use constitutes viewpoint </w:t>
      </w:r>
      <w:r w:rsidRPr="0096524F">
        <w:lastRenderedPageBreak/>
        <w:t>discrimination</w:t>
      </w:r>
      <w:r w:rsidR="0096524F" w:rsidRPr="0096524F">
        <w:t>.</w:t>
      </w:r>
      <w:r w:rsidR="0096524F" w:rsidRPr="0096524F">
        <w:t xml:space="preserve"> </w:t>
      </w:r>
      <w:r w:rsidR="0096524F" w:rsidRPr="0096524F">
        <w:t>A</w:t>
      </w:r>
      <w:r w:rsidRPr="0096524F">
        <w:t xml:space="preserve">s noted earlier, a presumption that associating a famous mark with sex or drugs constitutes </w:t>
      </w:r>
      <w:proofErr w:type="spellStart"/>
      <w:r w:rsidRPr="0096524F">
        <w:t>tarnishment</w:t>
      </w:r>
      <w:proofErr w:type="spellEnd"/>
      <w:r w:rsidRPr="0096524F">
        <w:t xml:space="preserve"> could also be deemed viewpoint discrimination</w:t>
      </w:r>
      <w:r w:rsidR="0096524F" w:rsidRPr="0096524F">
        <w:t>.</w:t>
      </w:r>
      <w:r w:rsidR="0096524F" w:rsidRPr="0096524F">
        <w:t xml:space="preserve"> </w:t>
      </w:r>
      <w:r w:rsidR="0096524F" w:rsidRPr="0096524F">
        <w:t>H</w:t>
      </w:r>
      <w:r w:rsidRPr="0096524F">
        <w:t xml:space="preserve">owever, under </w:t>
      </w:r>
      <w:r w:rsidR="0096524F" w:rsidRPr="0096524F">
        <w:rPr>
          <w:i/>
        </w:rPr>
        <w:t>Brunetti</w:t>
      </w:r>
      <w:r w:rsidRPr="0096524F">
        <w:t>, the fact that such unwholesome associations might simply be offensive is similar to the viewpoint-based regulation problem found by the Court.</w:t>
      </w:r>
      <w:r w:rsidR="0096524F" w:rsidRPr="0096524F">
        <w:rPr>
          <w:vertAlign w:val="superscript"/>
        </w:rPr>
        <w:footnoteReference w:id="578"/>
      </w:r>
      <w:r w:rsidRPr="0096524F">
        <w:t xml:space="preserve"> In many cases, the fair use or noncommercial use exclusion would prevent liability</w:t>
      </w:r>
      <w:r w:rsidR="0096524F" w:rsidRPr="0096524F">
        <w:t>.</w:t>
      </w:r>
      <w:r w:rsidR="0096524F" w:rsidRPr="0096524F">
        <w:t xml:space="preserve"> </w:t>
      </w:r>
      <w:r w:rsidR="0096524F" w:rsidRPr="0096524F">
        <w:t>I</w:t>
      </w:r>
      <w:r w:rsidRPr="0096524F">
        <w:t>n others, a court could find that the parody itself precludes a dilution claim</w:t>
      </w:r>
      <w:r w:rsidR="0096524F" w:rsidRPr="0096524F">
        <w:t>.</w:t>
      </w:r>
      <w:r w:rsidR="0096524F" w:rsidRPr="0096524F">
        <w:t xml:space="preserve"> </w:t>
      </w:r>
      <w:r w:rsidR="0096524F" w:rsidRPr="0096524F">
        <w:t>H</w:t>
      </w:r>
      <w:r w:rsidRPr="0096524F">
        <w:t xml:space="preserve">owever, all courts may not agree, and </w:t>
      </w:r>
      <w:r w:rsidR="0096524F" w:rsidRPr="0096524F">
        <w:rPr>
          <w:i/>
        </w:rPr>
        <w:t>Tam</w:t>
      </w:r>
      <w:r w:rsidRPr="0096524F">
        <w:t xml:space="preserve">’s and </w:t>
      </w:r>
      <w:r w:rsidR="0096524F" w:rsidRPr="0096524F">
        <w:rPr>
          <w:i/>
        </w:rPr>
        <w:t>Brunetti</w:t>
      </w:r>
      <w:r w:rsidRPr="0096524F">
        <w:t xml:space="preserve">’s implications of the First Amendment are powerful reminders that courts must tread lightly when considering </w:t>
      </w:r>
      <w:proofErr w:type="spellStart"/>
      <w:r w:rsidRPr="0096524F">
        <w:t>tarnishment</w:t>
      </w:r>
      <w:proofErr w:type="spellEnd"/>
      <w:r w:rsidRPr="0096524F">
        <w:t xml:space="preserve"> claims.</w:t>
      </w:r>
      <w:r w:rsidR="0096524F" w:rsidRPr="0096524F">
        <w:rPr>
          <w:vertAlign w:val="superscript"/>
        </w:rPr>
        <w:footnoteReference w:id="579"/>
      </w:r>
    </w:p>
    <w:p w14:paraId="1E02779B" w14:textId="34E45508" w:rsidR="0096524F" w:rsidRPr="0096524F" w:rsidRDefault="00A60ADB" w:rsidP="0096524F">
      <w:pPr>
        <w:pStyle w:val="BNormal"/>
      </w:pPr>
      <w:r w:rsidRPr="0096524F">
        <w:t>Dilution by blurring is more complicated</w:t>
      </w:r>
      <w:r w:rsidR="0096524F" w:rsidRPr="0096524F">
        <w:t>.</w:t>
      </w:r>
      <w:r w:rsidR="0096524F" w:rsidRPr="0096524F">
        <w:t xml:space="preserve"> </w:t>
      </w:r>
      <w:r w:rsidR="0096524F" w:rsidRPr="0096524F">
        <w:t>J</w:t>
      </w:r>
      <w:r w:rsidRPr="0096524F">
        <w:t xml:space="preserve">ustice Kennedy’s concurring opinion carefully avoided opining on the effect of </w:t>
      </w:r>
      <w:r w:rsidR="0096524F" w:rsidRPr="0096524F">
        <w:rPr>
          <w:i/>
        </w:rPr>
        <w:t>Tam</w:t>
      </w:r>
      <w:r w:rsidRPr="0096524F">
        <w:t xml:space="preserve"> on other trademark issues.</w:t>
      </w:r>
      <w:r w:rsidR="0096524F" w:rsidRPr="0096524F">
        <w:rPr>
          <w:vertAlign w:val="superscript"/>
        </w:rPr>
        <w:footnoteReference w:id="580"/>
      </w:r>
      <w:r w:rsidRPr="0096524F">
        <w:t xml:space="preserve"> Depending on how the Court views dilution by blurring, it may see such claims as more analogous to infringement claims that “protect consumers and trademark owners.”</w:t>
      </w:r>
      <w:r w:rsidR="0096524F" w:rsidRPr="0096524F">
        <w:rPr>
          <w:vertAlign w:val="superscript"/>
        </w:rPr>
        <w:footnoteReference w:id="581"/>
      </w:r>
      <w:r w:rsidRPr="0096524F">
        <w:t xml:space="preserve"> Moreover, to strike down blurring, the Court would have to distinguish its opinion in </w:t>
      </w:r>
      <w:r w:rsidR="0096524F" w:rsidRPr="0096524F">
        <w:rPr>
          <w:rStyle w:val="BCasenamefull"/>
        </w:rPr>
        <w:t>San Francisco Arts &amp; Athletics, Inc. v. United States Olympic Committee</w:t>
      </w:r>
      <w:r w:rsidRPr="0096524F">
        <w:t>,</w:t>
      </w:r>
      <w:r w:rsidR="0096524F" w:rsidRPr="0096524F">
        <w:rPr>
          <w:vertAlign w:val="superscript"/>
        </w:rPr>
        <w:footnoteReference w:id="582"/>
      </w:r>
      <w:r w:rsidRPr="0096524F">
        <w:t xml:space="preserve"> where the Court upheld the grant of dilution protection of the word “Olympic” for the United States Olympic Committee</w:t>
      </w:r>
      <w:r w:rsidR="0096524F" w:rsidRPr="0096524F">
        <w:t>.</w:t>
      </w:r>
      <w:r w:rsidR="0096524F" w:rsidRPr="0096524F">
        <w:t xml:space="preserve"> </w:t>
      </w:r>
      <w:r w:rsidR="0096524F" w:rsidRPr="0096524F">
        <w:t>A</w:t>
      </w:r>
      <w:r w:rsidRPr="0096524F">
        <w:t>nd the most recent pronouncement of the Court on that case suggests that such a distinction may not be forthcoming, particularly if the Court determines that blurring is viewpoint-neutral.</w:t>
      </w:r>
      <w:r w:rsidR="0096524F" w:rsidRPr="0096524F">
        <w:rPr>
          <w:vertAlign w:val="superscript"/>
        </w:rPr>
        <w:footnoteReference w:id="583"/>
      </w:r>
    </w:p>
    <w:p w14:paraId="4BA3276C" w14:textId="25D922AE" w:rsidR="0096524F" w:rsidRPr="0096524F" w:rsidRDefault="00371CCB" w:rsidP="00175762">
      <w:pPr>
        <w:pStyle w:val="BHead2"/>
      </w:pPr>
      <w:r>
        <w:t>9.II.</w:t>
      </w:r>
      <w:r w:rsidR="0096524F" w:rsidRPr="00175762">
        <w:rPr>
          <w:rStyle w:val="BBNAidChar"/>
          <w:rFonts w:eastAsiaTheme="majorEastAsia"/>
        </w:rPr>
        <w:t>F</w:t>
      </w:r>
      <w:r w:rsidR="0096524F" w:rsidRPr="0096524F">
        <w:t>.</w:t>
      </w:r>
      <w:r>
        <w:t> </w:t>
      </w:r>
      <w:r w:rsidR="0096524F" w:rsidRPr="0096524F">
        <w:tab/>
        <w:t>Dilution by Confusion</w:t>
      </w:r>
    </w:p>
    <w:p w14:paraId="0181F9A0" w14:textId="161438AB" w:rsidR="0096524F" w:rsidRPr="0096524F" w:rsidRDefault="00371CCB" w:rsidP="00175762">
      <w:pPr>
        <w:pStyle w:val="BHead3"/>
      </w:pPr>
      <w:r>
        <w:t>9.II.F.</w:t>
      </w:r>
      <w:r w:rsidR="0096524F" w:rsidRPr="00175762">
        <w:rPr>
          <w:rStyle w:val="BBNAidChar"/>
          <w:rFonts w:eastAsiaTheme="majorEastAsia"/>
        </w:rPr>
        <w:t>1</w:t>
      </w:r>
      <w:r w:rsidR="0096524F" w:rsidRPr="0096524F">
        <w:t>.</w:t>
      </w:r>
      <w:r>
        <w:t> </w:t>
      </w:r>
      <w:r w:rsidR="0096524F" w:rsidRPr="0096524F">
        <w:tab/>
        <w:t>Discussion and Commentary</w:t>
      </w:r>
    </w:p>
    <w:p w14:paraId="13EB4DB8" w14:textId="087E3C4C" w:rsidR="0096524F" w:rsidRPr="0096524F" w:rsidRDefault="00A60ADB" w:rsidP="0096524F">
      <w:pPr>
        <w:pStyle w:val="BNormal"/>
      </w:pPr>
      <w:r w:rsidRPr="0096524F">
        <w:t>Almost all courts, state and federal, have assumed that the existence (or likelihood) of confusion means that dilution also exists.</w:t>
      </w:r>
      <w:r w:rsidR="0096524F" w:rsidRPr="0096524F">
        <w:rPr>
          <w:vertAlign w:val="superscript"/>
        </w:rPr>
        <w:footnoteReference w:id="584"/>
      </w:r>
      <w:r w:rsidRPr="0096524F">
        <w:t xml:space="preserve"> However, if a court is inclined to give the TDRA a close reading, it could come to a </w:t>
      </w:r>
      <w:r w:rsidRPr="0096524F">
        <w:lastRenderedPageBreak/>
        <w:t>different conclusion</w:t>
      </w:r>
      <w:r w:rsidR="0096524F" w:rsidRPr="0096524F">
        <w:t>.</w:t>
      </w:r>
      <w:r w:rsidR="0096524F" w:rsidRPr="0096524F">
        <w:t xml:space="preserve"> </w:t>
      </w:r>
      <w:r w:rsidR="0096524F" w:rsidRPr="0096524F">
        <w:t>T</w:t>
      </w:r>
      <w:r w:rsidRPr="0096524F">
        <w:t>he issue arises from the definition of dilution</w:t>
      </w:r>
      <w:r w:rsidR="0096524F" w:rsidRPr="0096524F">
        <w:t>.</w:t>
      </w:r>
      <w:r w:rsidR="0096524F" w:rsidRPr="0096524F">
        <w:t xml:space="preserve"> </w:t>
      </w:r>
      <w:r w:rsidR="0096524F" w:rsidRPr="0096524F">
        <w:t>U</w:t>
      </w:r>
      <w:r w:rsidRPr="0096524F">
        <w:t xml:space="preserve">nder the TDRA, dilution by blurring is an “association [between the famous mark and the second user’s mark] that impairs the distinctiveness of the famous mark.” That normally means that consumers view the trademark as signifying another source </w:t>
      </w:r>
      <w:r w:rsidR="0096524F" w:rsidRPr="0096524F">
        <w:rPr>
          <w:i/>
        </w:rPr>
        <w:t>in addition to</w:t>
      </w:r>
      <w:r w:rsidRPr="0096524F">
        <w:t xml:space="preserve"> the owner of the famous mark</w:t>
      </w:r>
      <w:r w:rsidR="0096524F" w:rsidRPr="0096524F">
        <w:t>.</w:t>
      </w:r>
      <w:r w:rsidR="0096524F" w:rsidRPr="0096524F">
        <w:t xml:space="preserve"> </w:t>
      </w:r>
      <w:r w:rsidR="0096524F" w:rsidRPr="0096524F">
        <w:t>B</w:t>
      </w:r>
      <w:r w:rsidRPr="0096524F">
        <w:t>ut consider what confusion implies</w:t>
      </w:r>
      <w:r w:rsidR="0096524F" w:rsidRPr="0096524F">
        <w:t>.</w:t>
      </w:r>
      <w:r w:rsidR="0096524F" w:rsidRPr="0096524F">
        <w:t xml:space="preserve"> </w:t>
      </w:r>
      <w:r w:rsidR="0096524F" w:rsidRPr="0096524F">
        <w:t>I</w:t>
      </w:r>
      <w:r w:rsidRPr="0096524F">
        <w:t>f a consumer is confused, he or she believes that the use of the famous mark by a second user means that the second user has some connection with the famous mark’s owner</w:t>
      </w:r>
      <w:r w:rsidR="0096524F" w:rsidRPr="0096524F">
        <w:t>.</w:t>
      </w:r>
      <w:r w:rsidR="0096524F" w:rsidRPr="0096524F">
        <w:t xml:space="preserve"> </w:t>
      </w:r>
      <w:r w:rsidR="0096524F" w:rsidRPr="0096524F">
        <w:t>I</w:t>
      </w:r>
      <w:r w:rsidRPr="0096524F">
        <w:t>n other words, the consumer does not believe that the famous mark signifies more than one source</w:t>
      </w:r>
      <w:r w:rsidR="0096524F" w:rsidRPr="0096524F">
        <w:t>.</w:t>
      </w:r>
      <w:r w:rsidR="0096524F" w:rsidRPr="0096524F">
        <w:t xml:space="preserve"> </w:t>
      </w:r>
      <w:r w:rsidR="0096524F" w:rsidRPr="0096524F">
        <w:t>R</w:t>
      </w:r>
      <w:r w:rsidRPr="0096524F">
        <w:t>ather, the consumer believes that the second use of the famous mark denotes the famous mark owner</w:t>
      </w:r>
      <w:r w:rsidR="0096524F" w:rsidRPr="0096524F">
        <w:t>.</w:t>
      </w:r>
      <w:r w:rsidR="0096524F" w:rsidRPr="0096524F">
        <w:t xml:space="preserve"> </w:t>
      </w:r>
      <w:r w:rsidR="0096524F" w:rsidRPr="0096524F">
        <w:t>B</w:t>
      </w:r>
      <w:r w:rsidRPr="0096524F">
        <w:t>ecause the consumer continues to believe that the famous mark signifies only the famous mark owner, the distinctiveness of the famous mark (in the sense that it signifies a unique source) is not weakened</w:t>
      </w:r>
      <w:r w:rsidR="0096524F" w:rsidRPr="0096524F">
        <w:t>.</w:t>
      </w:r>
      <w:r w:rsidR="0096524F" w:rsidRPr="0096524F">
        <w:t xml:space="preserve"> </w:t>
      </w:r>
      <w:r w:rsidR="0096524F" w:rsidRPr="0096524F">
        <w:t>I</w:t>
      </w:r>
      <w:r w:rsidRPr="0096524F">
        <w:t>f anything, it reveals how strong this distinctiveness continues to be in the face of a second use</w:t>
      </w:r>
      <w:r w:rsidR="0096524F" w:rsidRPr="0096524F">
        <w:t>.</w:t>
      </w:r>
      <w:r w:rsidR="0096524F" w:rsidRPr="0096524F">
        <w:t xml:space="preserve"> </w:t>
      </w:r>
      <w:r w:rsidR="0096524F" w:rsidRPr="0096524F">
        <w:t>O</w:t>
      </w:r>
      <w:r w:rsidRPr="0096524F">
        <w:t>ne may conclude, then, that dilution by blurring is not a subset of (or a result of) confusion.</w:t>
      </w:r>
      <w:r w:rsidR="0096524F" w:rsidRPr="0096524F">
        <w:rPr>
          <w:vertAlign w:val="superscript"/>
        </w:rPr>
        <w:footnoteReference w:id="585"/>
      </w:r>
    </w:p>
    <w:p w14:paraId="43E1C580" w14:textId="6DDBE841" w:rsidR="0096524F" w:rsidRPr="0096524F" w:rsidRDefault="00A60ADB" w:rsidP="0096524F">
      <w:pPr>
        <w:pStyle w:val="BNormal"/>
      </w:pPr>
      <w:r w:rsidRPr="0096524F">
        <w:t>On the other hand, if one considers dilution to mean a loss of “distinctiveness” in a broader sense, or a loss of selling power, then confusion may be said to result in dilution</w:t>
      </w:r>
      <w:r w:rsidR="0096524F" w:rsidRPr="0096524F">
        <w:t>.</w:t>
      </w:r>
      <w:r w:rsidR="0096524F" w:rsidRPr="0096524F">
        <w:t xml:space="preserve"> </w:t>
      </w:r>
      <w:r w:rsidR="0096524F" w:rsidRPr="0096524F">
        <w:t>T</w:t>
      </w:r>
      <w:r w:rsidRPr="0096524F">
        <w:t>he unauthorized use is beyond the control of the mark owner</w:t>
      </w:r>
      <w:r w:rsidR="0096524F" w:rsidRPr="0096524F">
        <w:t>.</w:t>
      </w:r>
      <w:r w:rsidR="0096524F" w:rsidRPr="0096524F">
        <w:t xml:space="preserve"> </w:t>
      </w:r>
      <w:r w:rsidR="0096524F" w:rsidRPr="0096524F">
        <w:t>P</w:t>
      </w:r>
      <w:r w:rsidRPr="0096524F">
        <w:t>articularly when the mark is used on non-competing products, it may alter the consumer’s perception of the “message” conveyed by the mark.</w:t>
      </w:r>
      <w:r w:rsidR="0096524F" w:rsidRPr="0096524F">
        <w:rPr>
          <w:vertAlign w:val="superscript"/>
        </w:rPr>
        <w:footnoteReference w:id="586"/>
      </w:r>
      <w:r w:rsidRPr="0096524F">
        <w:t xml:space="preserve"> In that way, it changes the “distinctive quality” of the mark by altering the distinctive message it previously conveyed.</w:t>
      </w:r>
      <w:r w:rsidR="0096524F" w:rsidRPr="0096524F">
        <w:rPr>
          <w:vertAlign w:val="superscript"/>
        </w:rPr>
        <w:footnoteReference w:id="587"/>
      </w:r>
      <w:r w:rsidRPr="0096524F">
        <w:t xml:space="preserve"> This may cause a loss of selling power as well</w:t>
      </w:r>
      <w:r w:rsidR="0096524F" w:rsidRPr="0096524F">
        <w:t>.</w:t>
      </w:r>
      <w:r w:rsidR="0096524F" w:rsidRPr="0096524F">
        <w:t xml:space="preserve"> </w:t>
      </w:r>
      <w:r w:rsidR="0096524F" w:rsidRPr="0096524F">
        <w:t>A</w:t>
      </w:r>
      <w:r w:rsidRPr="0096524F">
        <w:t xml:space="preserve">lternatively, if one interprets the TDRA definition of blurring as referring to a famous mark’s capacity to signify </w:t>
      </w:r>
      <w:r w:rsidR="0096524F" w:rsidRPr="0096524F">
        <w:rPr>
          <w:i/>
        </w:rPr>
        <w:t>particular</w:t>
      </w:r>
      <w:r w:rsidRPr="0096524F">
        <w:t xml:space="preserve"> products or services, then confusion (in which consumers erroneously view </w:t>
      </w:r>
      <w:r w:rsidRPr="0096524F">
        <w:lastRenderedPageBreak/>
        <w:t>the mark as signifying products not connected with the famous mark owner) would reduce the “particularity” of the mark.</w:t>
      </w:r>
      <w:r w:rsidR="0096524F" w:rsidRPr="0096524F">
        <w:rPr>
          <w:vertAlign w:val="superscript"/>
        </w:rPr>
        <w:footnoteReference w:id="588"/>
      </w:r>
    </w:p>
    <w:p w14:paraId="2E19FF56" w14:textId="2869EBBE" w:rsidR="0096524F" w:rsidRPr="0096524F" w:rsidRDefault="00A60ADB" w:rsidP="0096524F">
      <w:pPr>
        <w:pStyle w:val="BNormal"/>
      </w:pPr>
      <w:r w:rsidRPr="0096524F">
        <w:t xml:space="preserve">Focusing on the message of the mark rather than on its distinctiveness might be more likely to fit the definition of dilution by </w:t>
      </w:r>
      <w:proofErr w:type="spellStart"/>
      <w:r w:rsidRPr="0096524F">
        <w:t>tarnishment</w:t>
      </w:r>
      <w:proofErr w:type="spellEnd"/>
      <w:r w:rsidRPr="0096524F">
        <w:t xml:space="preserve">, which focuses on harm to the </w:t>
      </w:r>
      <w:r w:rsidR="0096524F" w:rsidRPr="0096524F">
        <w:rPr>
          <w:i/>
        </w:rPr>
        <w:t>reputation</w:t>
      </w:r>
      <w:r w:rsidRPr="0096524F">
        <w:t xml:space="preserve"> of the famous mark.</w:t>
      </w:r>
      <w:r w:rsidR="0096524F" w:rsidRPr="0096524F">
        <w:rPr>
          <w:vertAlign w:val="superscript"/>
        </w:rPr>
        <w:footnoteReference w:id="589"/>
      </w:r>
    </w:p>
    <w:p w14:paraId="69A83CDC" w14:textId="2042F154" w:rsidR="0096524F" w:rsidRPr="0096524F" w:rsidRDefault="00A60ADB" w:rsidP="0096524F">
      <w:pPr>
        <w:pStyle w:val="BNormal"/>
      </w:pPr>
      <w:r w:rsidRPr="0096524F">
        <w:t>Originally, Congress probably intended that whatever had been recognized as diluting under various state laws (with the exception of uses covered by the exclusions in Section 43(c)(4)—now 43(c)(3)) would be considered diluting under the FTDA.</w:t>
      </w:r>
      <w:r w:rsidR="0096524F" w:rsidRPr="0096524F">
        <w:rPr>
          <w:vertAlign w:val="superscript"/>
        </w:rPr>
        <w:footnoteReference w:id="590"/>
      </w:r>
      <w:r w:rsidRPr="0096524F">
        <w:t xml:space="preserve"> However, the TDRA comes after court opinions reading the statute strictly,</w:t>
      </w:r>
      <w:r w:rsidR="0096524F" w:rsidRPr="0096524F">
        <w:rPr>
          <w:vertAlign w:val="superscript"/>
        </w:rPr>
        <w:footnoteReference w:id="591"/>
      </w:r>
      <w:r w:rsidRPr="0096524F">
        <w:t xml:space="preserve"> so one must assume its terms were drafted carefully</w:t>
      </w:r>
      <w:r w:rsidR="0096524F" w:rsidRPr="0096524F">
        <w:t>.</w:t>
      </w:r>
      <w:r w:rsidR="0096524F" w:rsidRPr="0096524F">
        <w:t xml:space="preserve"> </w:t>
      </w:r>
      <w:r w:rsidR="0096524F" w:rsidRPr="0096524F">
        <w:t>T</w:t>
      </w:r>
      <w:r w:rsidRPr="0096524F">
        <w:t>hus, an interpretation that is both narrow and consistent with the plain language of the statute should not be surprising.</w:t>
      </w:r>
    </w:p>
    <w:p w14:paraId="0BA0BDDC" w14:textId="20CEA83A" w:rsidR="0096524F" w:rsidRPr="0096524F" w:rsidRDefault="00371CCB" w:rsidP="00175762">
      <w:pPr>
        <w:pStyle w:val="BHead3"/>
      </w:pPr>
      <w:r>
        <w:t>9.II.F.</w:t>
      </w:r>
      <w:r w:rsidR="0096524F" w:rsidRPr="00175762">
        <w:rPr>
          <w:rStyle w:val="BBNAidChar"/>
          <w:rFonts w:eastAsiaTheme="majorEastAsia"/>
        </w:rPr>
        <w:t>2</w:t>
      </w:r>
      <w:r w:rsidR="0096524F" w:rsidRPr="0096524F">
        <w:t>.</w:t>
      </w:r>
      <w:r>
        <w:t> </w:t>
      </w:r>
      <w:r w:rsidR="0096524F" w:rsidRPr="0096524F">
        <w:tab/>
        <w:t>Confusion Usually Viewed as Tantamount to Dilution</w:t>
      </w:r>
    </w:p>
    <w:p w14:paraId="25E0F757" w14:textId="0B21531F" w:rsidR="0096524F" w:rsidRPr="0096524F" w:rsidRDefault="00A60ADB" w:rsidP="0096524F">
      <w:pPr>
        <w:pStyle w:val="BNormal"/>
      </w:pPr>
      <w:r w:rsidRPr="0096524F">
        <w:t>Despite the theoretical problems raised by confusion and dilution, courts tend to regard a finding of confusion as tantamount to dilution.</w:t>
      </w:r>
      <w:r w:rsidR="0096524F" w:rsidRPr="0096524F">
        <w:rPr>
          <w:vertAlign w:val="superscript"/>
        </w:rPr>
        <w:footnoteReference w:id="592"/>
      </w:r>
      <w:r w:rsidRPr="0096524F">
        <w:t xml:space="preserve"> In </w:t>
      </w:r>
      <w:r w:rsidR="0096524F" w:rsidRPr="0096524F">
        <w:rPr>
          <w:i/>
        </w:rPr>
        <w:t>Nabisco,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 xml:space="preserve">PF </w:t>
      </w:r>
      <w:r w:rsidR="0096524F" w:rsidRPr="0096524F">
        <w:rPr>
          <w:i/>
        </w:rPr>
        <w:lastRenderedPageBreak/>
        <w:t>Brands, Inc</w:t>
      </w:r>
      <w:r w:rsidRPr="0096524F">
        <w:t>.,</w:t>
      </w:r>
      <w:r w:rsidR="0096524F" w:rsidRPr="0096524F">
        <w:rPr>
          <w:vertAlign w:val="superscript"/>
        </w:rPr>
        <w:footnoteReference w:id="593"/>
      </w:r>
      <w:r w:rsidRPr="0096524F">
        <w:t xml:space="preserve"> for example, the Second Circuit, although recognizing that confusion was not </w:t>
      </w:r>
      <w:r w:rsidR="0096524F" w:rsidRPr="0096524F">
        <w:rPr>
          <w:i/>
        </w:rPr>
        <w:t>necessary</w:t>
      </w:r>
      <w:r w:rsidRPr="0096524F">
        <w:t xml:space="preserve"> for dilution, clearly regarded it as </w:t>
      </w:r>
      <w:r w:rsidR="0096524F" w:rsidRPr="0096524F">
        <w:rPr>
          <w:i/>
        </w:rPr>
        <w:t>sufficient</w:t>
      </w:r>
      <w:r w:rsidR="0096524F" w:rsidRPr="0096524F">
        <w:t>.</w:t>
      </w:r>
      <w:r w:rsidR="0096524F" w:rsidRPr="0096524F">
        <w:t xml:space="preserve"> </w:t>
      </w:r>
      <w:r w:rsidR="0096524F" w:rsidRPr="0096524F">
        <w:t>“</w:t>
      </w:r>
      <w:r w:rsidRPr="0096524F">
        <w:t>Consumer confusion would undoubtedly dilute the distinctive selling power of the mark</w:t>
      </w:r>
      <w:r w:rsidR="0096524F" w:rsidRPr="0096524F">
        <w:t>.</w:t>
      </w:r>
      <w:r w:rsidR="0096524F" w:rsidRPr="0096524F">
        <w:t xml:space="preserve"> </w:t>
      </w:r>
      <w:r w:rsidR="0096524F" w:rsidRPr="0096524F">
        <w:t>…</w:t>
      </w:r>
      <w:r w:rsidR="0096524F" w:rsidRPr="0096524F">
        <w:t xml:space="preserve"> </w:t>
      </w:r>
      <w:r w:rsidRPr="0096524F">
        <w:t>A junior use that confuses consumers as to which mark is which surely dilutes the distinctiveness of the senior mark.”</w:t>
      </w:r>
      <w:r w:rsidR="0096524F" w:rsidRPr="0096524F">
        <w:rPr>
          <w:vertAlign w:val="superscript"/>
        </w:rPr>
        <w:footnoteReference w:id="594"/>
      </w:r>
      <w:r w:rsidRPr="0096524F">
        <w:t xml:space="preserve"> That is not necessarily correct, however</w:t>
      </w:r>
      <w:r w:rsidR="0096524F" w:rsidRPr="0096524F">
        <w:t>;</w:t>
      </w:r>
      <w:r w:rsidR="0096524F" w:rsidRPr="0096524F">
        <w:t xml:space="preserve"> </w:t>
      </w:r>
      <w:r w:rsidR="0096524F" w:rsidRPr="0096524F">
        <w:t>i</w:t>
      </w:r>
      <w:r w:rsidRPr="0096524F">
        <w:t>f the consumer misidentifies the defendant’s mark as the plaintiff’s, that may not translate into a reduction in the plaintiff’s mark’s selling power, or its uniqueness</w:t>
      </w:r>
      <w:r w:rsidR="0096524F" w:rsidRPr="0096524F">
        <w:t>.</w:t>
      </w:r>
      <w:r w:rsidR="0096524F" w:rsidRPr="0096524F">
        <w:t xml:space="preserve"> </w:t>
      </w:r>
      <w:r w:rsidR="0096524F" w:rsidRPr="0096524F">
        <w:t>T</w:t>
      </w:r>
      <w:r w:rsidRPr="0096524F">
        <w:t>he mistaken consumer still believes that the mark signifies a single source.</w:t>
      </w:r>
    </w:p>
    <w:p w14:paraId="6811CEA3" w14:textId="187E849C" w:rsidR="0096524F" w:rsidRPr="0096524F" w:rsidRDefault="00A60ADB" w:rsidP="0096524F">
      <w:pPr>
        <w:pStyle w:val="BNormal"/>
      </w:pPr>
      <w:r w:rsidRPr="0096524F">
        <w:t xml:space="preserve">In a district court case following </w:t>
      </w:r>
      <w:r w:rsidR="0096524F" w:rsidRPr="0096524F">
        <w:rPr>
          <w:i/>
        </w:rPr>
        <w:t>Nabisco</w:t>
      </w:r>
      <w:r w:rsidRPr="0096524F">
        <w:t>, the court determined that the existence of a form of confusion was highly relevant to a finding of dilution.</w:t>
      </w:r>
      <w:r w:rsidR="0096524F" w:rsidRPr="0096524F">
        <w:rPr>
          <w:vertAlign w:val="superscript"/>
        </w:rPr>
        <w:footnoteReference w:id="595"/>
      </w:r>
      <w:r w:rsidRPr="0096524F">
        <w:t xml:space="preserve"> One can find similar sentiments expressed in other cases.</w:t>
      </w:r>
      <w:r w:rsidR="0096524F" w:rsidRPr="0096524F">
        <w:rPr>
          <w:vertAlign w:val="superscript"/>
        </w:rPr>
        <w:footnoteReference w:id="596"/>
      </w:r>
      <w:r w:rsidRPr="0096524F">
        <w:t xml:space="preserve"> Indeed, in an unpublished opinion, the Fifth Circuit specifically rejected an argument that dilution and confusion were mutually exclusive claims.</w:t>
      </w:r>
      <w:r w:rsidR="0096524F" w:rsidRPr="0096524F">
        <w:rPr>
          <w:vertAlign w:val="superscript"/>
        </w:rPr>
        <w:footnoteReference w:id="597"/>
      </w:r>
      <w:r w:rsidRPr="0096524F">
        <w:t xml:space="preserve"> However, the Sixth Circuit found confusion to be “irrelevant” to dilution.</w:t>
      </w:r>
      <w:r w:rsidR="0096524F" w:rsidRPr="0096524F">
        <w:rPr>
          <w:vertAlign w:val="superscript"/>
        </w:rPr>
        <w:footnoteReference w:id="598"/>
      </w:r>
    </w:p>
    <w:p w14:paraId="0ECCA166" w14:textId="0B741A55" w:rsidR="0096524F" w:rsidRPr="0096524F" w:rsidRDefault="00A60ADB" w:rsidP="0096524F">
      <w:pPr>
        <w:pStyle w:val="BNormal"/>
      </w:pPr>
      <w:r w:rsidRPr="0096524F">
        <w:t xml:space="preserve">In </w:t>
      </w:r>
      <w:r w:rsidR="0096524F" w:rsidRPr="0096524F">
        <w:rPr>
          <w:rStyle w:val="BCasenamefull"/>
        </w:rPr>
        <w:t>Apple, Inc. v. Samsung Electronics Co.</w:t>
      </w:r>
      <w:r w:rsidRPr="0096524F">
        <w:t>,</w:t>
      </w:r>
      <w:r w:rsidR="0096524F" w:rsidRPr="0096524F">
        <w:rPr>
          <w:vertAlign w:val="superscript"/>
        </w:rPr>
        <w:footnoteReference w:id="599"/>
      </w:r>
      <w:r w:rsidRPr="0096524F">
        <w:t xml:space="preserve"> the court excluded a confusion survey conducted by defendant Samsung on the grounds that it would be irrelevant to a dilution claim (Apple had dismissed its infringement-by-confusion claims).</w:t>
      </w:r>
      <w:r w:rsidR="0096524F" w:rsidRPr="0096524F">
        <w:rPr>
          <w:vertAlign w:val="superscript"/>
        </w:rPr>
        <w:footnoteReference w:id="600"/>
      </w:r>
      <w:r w:rsidRPr="0096524F">
        <w:t xml:space="preserve"> The exclusion was somewhat unusual in that the survey was proffered by the defendant, not the plaintiff</w:t>
      </w:r>
      <w:r w:rsidR="0096524F" w:rsidRPr="0096524F">
        <w:t>.</w:t>
      </w:r>
      <w:r w:rsidR="0096524F" w:rsidRPr="0096524F">
        <w:t xml:space="preserve"> </w:t>
      </w:r>
      <w:r w:rsidR="0096524F" w:rsidRPr="0096524F">
        <w:t>T</w:t>
      </w:r>
      <w:r w:rsidRPr="0096524F">
        <w:t>his demonstrates a one-way effect of confusion</w:t>
      </w:r>
      <w:r w:rsidR="0096524F" w:rsidRPr="0096524F">
        <w:t>;</w:t>
      </w:r>
      <w:r w:rsidR="0096524F" w:rsidRPr="0096524F">
        <w:t xml:space="preserve"> </w:t>
      </w:r>
      <w:r w:rsidR="0096524F" w:rsidRPr="0096524F">
        <w:t>c</w:t>
      </w:r>
      <w:r w:rsidRPr="0096524F">
        <w:t>onfusion would be deemed relevant to dilution, but the lack of confusion is irrelevant.</w:t>
      </w:r>
    </w:p>
    <w:p w14:paraId="6AB439AA" w14:textId="07DE8E61" w:rsidR="0096524F" w:rsidRPr="0096524F" w:rsidRDefault="00A60ADB" w:rsidP="0096524F">
      <w:pPr>
        <w:pStyle w:val="BNormal"/>
      </w:pPr>
      <w:r w:rsidRPr="0096524F">
        <w:t>Dilution does not follow from every confusing use</w:t>
      </w:r>
      <w:r w:rsidR="0096524F" w:rsidRPr="0096524F">
        <w:t>;</w:t>
      </w:r>
      <w:r w:rsidR="0096524F" w:rsidRPr="0096524F">
        <w:t xml:space="preserve"> </w:t>
      </w:r>
      <w:r w:rsidR="0096524F" w:rsidRPr="0096524F">
        <w:t>t</w:t>
      </w:r>
      <w:r w:rsidRPr="0096524F">
        <w:t>he requirement of a famous mark limits dilution claims where infringement could still exist</w:t>
      </w:r>
      <w:r w:rsidR="0096524F" w:rsidRPr="0096524F">
        <w:t>.</w:t>
      </w:r>
      <w:r w:rsidR="0096524F" w:rsidRPr="0096524F">
        <w:t xml:space="preserve"> </w:t>
      </w:r>
      <w:r w:rsidR="0096524F" w:rsidRPr="0096524F">
        <w:t>M</w:t>
      </w:r>
      <w:r w:rsidRPr="0096524F">
        <w:t>oreover, it is worth repeating that dilution should not be used as a fallback for a weak claim of infringement.</w:t>
      </w:r>
      <w:r w:rsidR="0096524F" w:rsidRPr="0096524F">
        <w:rPr>
          <w:vertAlign w:val="superscript"/>
        </w:rPr>
        <w:footnoteReference w:id="601"/>
      </w:r>
    </w:p>
    <w:p w14:paraId="4C45E093" w14:textId="33188413" w:rsidR="0096524F" w:rsidRPr="0096524F" w:rsidRDefault="00371CCB" w:rsidP="00175762">
      <w:pPr>
        <w:pStyle w:val="BHead2"/>
      </w:pPr>
      <w:r>
        <w:t>9.II.</w:t>
      </w:r>
      <w:r w:rsidR="0096524F" w:rsidRPr="00175762">
        <w:rPr>
          <w:rStyle w:val="BBNAidChar"/>
          <w:rFonts w:eastAsiaTheme="majorEastAsia"/>
        </w:rPr>
        <w:t>G</w:t>
      </w:r>
      <w:r w:rsidR="0096524F" w:rsidRPr="0096524F">
        <w:t>.</w:t>
      </w:r>
      <w:r>
        <w:t> </w:t>
      </w:r>
      <w:r w:rsidR="0096524F" w:rsidRPr="0096524F">
        <w:tab/>
        <w:t>Dilution by Genericide</w:t>
      </w:r>
    </w:p>
    <w:p w14:paraId="13A0CCA3" w14:textId="0022E701" w:rsidR="0096524F" w:rsidRPr="0096524F" w:rsidRDefault="00A60ADB" w:rsidP="0096524F">
      <w:pPr>
        <w:pStyle w:val="BNormal"/>
      </w:pPr>
      <w:r w:rsidRPr="0096524F">
        <w:lastRenderedPageBreak/>
        <w:t>“Genericide” refers to the destruction of a mark’s source-identifying power, resulting in a generic term, rather than a trademark.</w:t>
      </w:r>
      <w:r w:rsidR="0096524F" w:rsidRPr="0096524F">
        <w:rPr>
          <w:vertAlign w:val="superscript"/>
        </w:rPr>
        <w:footnoteReference w:id="602"/>
      </w:r>
      <w:r w:rsidRPr="0096524F">
        <w:t xml:space="preserve"> Even if it results from some action on the part of another, such as generic use in a commercial, or generic use in a dictionary,</w:t>
      </w:r>
      <w:r w:rsidR="0096524F" w:rsidRPr="0096524F">
        <w:rPr>
          <w:vertAlign w:val="superscript"/>
        </w:rPr>
        <w:footnoteReference w:id="603"/>
      </w:r>
      <w:r w:rsidRPr="0096524F">
        <w:t xml:space="preserve"> it does not fit the classic mold of dilution by use on a non-competing product or service</w:t>
      </w:r>
      <w:r w:rsidR="0096524F" w:rsidRPr="0096524F">
        <w:t>.</w:t>
      </w:r>
      <w:r w:rsidR="0096524F" w:rsidRPr="0096524F">
        <w:t xml:space="preserve"> </w:t>
      </w:r>
      <w:r w:rsidR="0096524F" w:rsidRPr="0096524F">
        <w:t>N</w:t>
      </w:r>
      <w:r w:rsidRPr="0096524F">
        <w:t xml:space="preserve">ormally, uses that cause genericide would be either an advertisement by a competitor or a </w:t>
      </w:r>
      <w:proofErr w:type="spellStart"/>
      <w:r w:rsidRPr="0096524F">
        <w:t>nontrademark</w:t>
      </w:r>
      <w:proofErr w:type="spellEnd"/>
      <w:r w:rsidRPr="0096524F">
        <w:t xml:space="preserve"> use of some sort</w:t>
      </w:r>
      <w:r w:rsidR="0096524F" w:rsidRPr="0096524F">
        <w:t>.</w:t>
      </w:r>
      <w:r w:rsidR="0096524F" w:rsidRPr="0096524F">
        <w:t xml:space="preserve"> </w:t>
      </w:r>
      <w:r w:rsidR="0096524F" w:rsidRPr="0096524F">
        <w:t>T</w:t>
      </w:r>
      <w:r w:rsidRPr="0096524F">
        <w:t>he legislative history of the original FTDA included “diminishment” among the categories of dilution Congress believed it was including in the definition.</w:t>
      </w:r>
      <w:r w:rsidR="0096524F" w:rsidRPr="0096524F">
        <w:rPr>
          <w:vertAlign w:val="superscript"/>
        </w:rPr>
        <w:footnoteReference w:id="604"/>
      </w:r>
      <w:r w:rsidRPr="0096524F">
        <w:t xml:space="preserve"> Although there is no discussion of what was intended by “diminishment,” it is not unreasonable to assume that genericide was included</w:t>
      </w:r>
      <w:r w:rsidR="0096524F" w:rsidRPr="0096524F">
        <w:t>.</w:t>
      </w:r>
      <w:r w:rsidR="0096524F" w:rsidRPr="0096524F">
        <w:t xml:space="preserve"> </w:t>
      </w:r>
      <w:r w:rsidR="0096524F" w:rsidRPr="0096524F">
        <w:t>A</w:t>
      </w:r>
      <w:r w:rsidRPr="0096524F">
        <w:t xml:space="preserve">fter all, most other forms of dilution would be included in the other listed categories of blurring and </w:t>
      </w:r>
      <w:proofErr w:type="spellStart"/>
      <w:r w:rsidRPr="0096524F">
        <w:t>tarnishment</w:t>
      </w:r>
      <w:proofErr w:type="spellEnd"/>
      <w:r w:rsidRPr="0096524F">
        <w:t>.</w:t>
      </w:r>
      <w:r w:rsidR="0096524F" w:rsidRPr="0096524F">
        <w:rPr>
          <w:vertAlign w:val="superscript"/>
        </w:rPr>
        <w:footnoteReference w:id="605"/>
      </w:r>
      <w:r w:rsidRPr="0096524F">
        <w:t xml:space="preserve"> The TDRA has now narrowed dilution to two categories</w:t>
      </w:r>
      <w:r w:rsidR="0096524F" w:rsidRPr="0096524F">
        <w:t>:</w:t>
      </w:r>
      <w:r w:rsidR="0096524F" w:rsidRPr="0096524F">
        <w:t xml:space="preserve"> </w:t>
      </w:r>
      <w:r w:rsidR="0096524F" w:rsidRPr="0096524F">
        <w:t>d</w:t>
      </w:r>
      <w:r w:rsidRPr="0096524F">
        <w:t xml:space="preserve">ilution by blurring and dilution by </w:t>
      </w:r>
      <w:proofErr w:type="spellStart"/>
      <w:r w:rsidRPr="0096524F">
        <w:t>tarnishment</w:t>
      </w:r>
      <w:proofErr w:type="spellEnd"/>
      <w:r w:rsidR="0096524F" w:rsidRPr="0096524F">
        <w:t>.</w:t>
      </w:r>
      <w:r w:rsidR="0096524F" w:rsidRPr="0096524F">
        <w:t xml:space="preserve"> </w:t>
      </w:r>
      <w:r w:rsidR="0096524F" w:rsidRPr="0096524F">
        <w:t>I</w:t>
      </w:r>
      <w:r w:rsidRPr="0096524F">
        <w:t>f genericide cannot be made to fit the current definitions of one of those categories, then it would not be actionable</w:t>
      </w:r>
      <w:r w:rsidR="0096524F" w:rsidRPr="0096524F">
        <w:t>.</w:t>
      </w:r>
      <w:r w:rsidR="0096524F" w:rsidRPr="0096524F">
        <w:t xml:space="preserve"> </w:t>
      </w:r>
      <w:r w:rsidR="0096524F" w:rsidRPr="0096524F">
        <w:t>I</w:t>
      </w:r>
      <w:r w:rsidRPr="0096524F">
        <w:t>t may be possible to fit genericide into dilution by blurring</w:t>
      </w:r>
      <w:r w:rsidR="0096524F" w:rsidRPr="0096524F">
        <w:t>.</w:t>
      </w:r>
      <w:r w:rsidR="0096524F" w:rsidRPr="0096524F">
        <w:t xml:space="preserve"> </w:t>
      </w:r>
      <w:r w:rsidR="0096524F" w:rsidRPr="0096524F">
        <w:t>A</w:t>
      </w:r>
      <w:r w:rsidRPr="0096524F">
        <w:t>fter all, it does attack the distinctiveness of the mark by making it completely nondistinctive</w:t>
      </w:r>
      <w:r w:rsidR="0096524F" w:rsidRPr="0096524F">
        <w:t>.</w:t>
      </w:r>
      <w:r w:rsidR="0096524F" w:rsidRPr="0096524F">
        <w:t xml:space="preserve"> </w:t>
      </w:r>
      <w:r w:rsidR="0096524F" w:rsidRPr="0096524F">
        <w:t>H</w:t>
      </w:r>
      <w:r w:rsidRPr="0096524F">
        <w:t>owever, it is not clear that genericide operates by creating an “association” in the mind of the consumer between the second mark and the famous mark.</w:t>
      </w:r>
      <w:r w:rsidR="0096524F" w:rsidRPr="0096524F">
        <w:rPr>
          <w:vertAlign w:val="superscript"/>
        </w:rPr>
        <w:footnoteReference w:id="606"/>
      </w:r>
    </w:p>
    <w:p w14:paraId="5164FFC3" w14:textId="43F17A34" w:rsidR="0096524F" w:rsidRPr="0096524F" w:rsidRDefault="00A60ADB" w:rsidP="0096524F">
      <w:pPr>
        <w:pStyle w:val="BNormal"/>
      </w:pPr>
      <w:r w:rsidRPr="0096524F">
        <w:t>Thus far, cases decided under the FTDA and TDRA have largely avoided this category of dilution</w:t>
      </w:r>
      <w:r w:rsidR="0096524F" w:rsidRPr="0096524F">
        <w:t>.</w:t>
      </w:r>
      <w:r w:rsidR="0096524F" w:rsidRPr="0096524F">
        <w:t xml:space="preserve"> </w:t>
      </w:r>
      <w:r w:rsidR="0096524F" w:rsidRPr="0096524F">
        <w:t>A</w:t>
      </w:r>
      <w:r w:rsidRPr="0096524F">
        <w:t xml:space="preserve"> few cases decided under state laws appear to have recognized this category.</w:t>
      </w:r>
      <w:r w:rsidR="0096524F" w:rsidRPr="0096524F">
        <w:rPr>
          <w:vertAlign w:val="superscript"/>
        </w:rPr>
        <w:footnoteReference w:id="607"/>
      </w:r>
      <w:r w:rsidRPr="0096524F">
        <w:t xml:space="preserve"> Some cases arose in connection with comparative advertisements or advertisements that involved compatible products.</w:t>
      </w:r>
      <w:r w:rsidR="0096524F" w:rsidRPr="0096524F">
        <w:rPr>
          <w:vertAlign w:val="superscript"/>
        </w:rPr>
        <w:footnoteReference w:id="608"/>
      </w:r>
      <w:r w:rsidRPr="0096524F">
        <w:t xml:space="preserve"> Such suits face two obvious obstacles</w:t>
      </w:r>
      <w:r w:rsidR="0096524F" w:rsidRPr="0096524F">
        <w:t>.</w:t>
      </w:r>
      <w:r w:rsidR="0096524F" w:rsidRPr="0096524F">
        <w:t xml:space="preserve"> </w:t>
      </w:r>
      <w:r w:rsidR="0096524F" w:rsidRPr="0096524F">
        <w:t>F</w:t>
      </w:r>
      <w:r w:rsidRPr="0096524F">
        <w:t>irst, there is the familiar principle that collateral, nondeceptive uses of another’s mark are permissible in comparative advertising under a fair use or nominative use rationale.</w:t>
      </w:r>
      <w:r w:rsidR="0096524F" w:rsidRPr="0096524F">
        <w:rPr>
          <w:vertAlign w:val="superscript"/>
        </w:rPr>
        <w:footnoteReference w:id="609"/>
      </w:r>
      <w:r w:rsidRPr="0096524F">
        <w:t xml:space="preserve"> Second, the TDRA excludes “[a]</w:t>
      </w:r>
      <w:proofErr w:type="spellStart"/>
      <w:r w:rsidRPr="0096524F">
        <w:t>ny</w:t>
      </w:r>
      <w:proofErr w:type="spellEnd"/>
      <w:r w:rsidRPr="0096524F">
        <w:t xml:space="preserve"> fair use</w:t>
      </w:r>
      <w:r w:rsidR="0096524F" w:rsidRPr="0096524F">
        <w:t xml:space="preserve"> </w:t>
      </w:r>
      <w:r w:rsidRPr="0096524F">
        <w:t>…</w:t>
      </w:r>
      <w:r w:rsidR="0096524F" w:rsidRPr="0096524F">
        <w:t xml:space="preserve"> </w:t>
      </w:r>
      <w:r w:rsidRPr="0096524F">
        <w:t>of a famous mark</w:t>
      </w:r>
      <w:r w:rsidR="0096524F" w:rsidRPr="0096524F">
        <w:t xml:space="preserve"> </w:t>
      </w:r>
      <w:r w:rsidRPr="0096524F">
        <w:t>…</w:t>
      </w:r>
      <w:r w:rsidR="0096524F" w:rsidRPr="0096524F">
        <w:t xml:space="preserve"> </w:t>
      </w:r>
      <w:r w:rsidRPr="0096524F">
        <w:t>including use in connection with [] advertising or promotion that permits consumers to compare goods or services” from liability.</w:t>
      </w:r>
      <w:r w:rsidR="0096524F" w:rsidRPr="0096524F">
        <w:rPr>
          <w:vertAlign w:val="superscript"/>
        </w:rPr>
        <w:footnoteReference w:id="610"/>
      </w:r>
      <w:r w:rsidRPr="0096524F">
        <w:t xml:space="preserve"> Although one could argue that a deliberate use of a mark as a generic term in a comparative advertisement would not be a “fair” use, this may </w:t>
      </w:r>
      <w:r w:rsidRPr="0096524F">
        <w:lastRenderedPageBreak/>
        <w:t>depend on how close the famous mark is to being the only way to describe the goods or services.</w:t>
      </w:r>
      <w:r w:rsidR="0096524F" w:rsidRPr="0096524F">
        <w:rPr>
          <w:vertAlign w:val="superscript"/>
        </w:rPr>
        <w:footnoteReference w:id="611"/>
      </w:r>
      <w:r w:rsidRPr="0096524F">
        <w:t xml:space="preserve"> If it is a descriptive use, then the fair use exclusion would apply as well.</w:t>
      </w:r>
      <w:r w:rsidR="0096524F" w:rsidRPr="0096524F">
        <w:rPr>
          <w:vertAlign w:val="superscript"/>
        </w:rPr>
        <w:footnoteReference w:id="612"/>
      </w:r>
    </w:p>
    <w:p w14:paraId="71266BD4" w14:textId="59716871" w:rsidR="0096524F" w:rsidRPr="0096524F" w:rsidRDefault="00A60ADB" w:rsidP="0096524F">
      <w:pPr>
        <w:pStyle w:val="BNormal"/>
      </w:pPr>
      <w:r w:rsidRPr="0096524F">
        <w:t>A third problem with genericide is that prohibiting uses in dictionaries, books, or other similar works would raise serious free speech issues</w:t>
      </w:r>
      <w:r w:rsidR="0096524F" w:rsidRPr="0096524F">
        <w:t>.</w:t>
      </w:r>
      <w:r w:rsidR="0096524F" w:rsidRPr="0096524F">
        <w:t xml:space="preserve"> </w:t>
      </w:r>
      <w:r w:rsidR="0096524F" w:rsidRPr="0096524F">
        <w:t>S</w:t>
      </w:r>
      <w:r w:rsidRPr="0096524F">
        <w:t>uch uses also dovetail with the noncommercial use exclusion of the TDRA,</w:t>
      </w:r>
      <w:r w:rsidR="0096524F" w:rsidRPr="0096524F">
        <w:rPr>
          <w:vertAlign w:val="superscript"/>
        </w:rPr>
        <w:footnoteReference w:id="613"/>
      </w:r>
      <w:r w:rsidRPr="0096524F">
        <w:t xml:space="preserve"> which was intended to preserve free speech values by excluding problematic uses (those not deemed “commercial”) from liability</w:t>
      </w:r>
      <w:r w:rsidR="0096524F" w:rsidRPr="0096524F">
        <w:t>.</w:t>
      </w:r>
      <w:r w:rsidR="0096524F" w:rsidRPr="0096524F">
        <w:t xml:space="preserve"> </w:t>
      </w:r>
      <w:r w:rsidR="0096524F" w:rsidRPr="0096524F">
        <w:t>T</w:t>
      </w:r>
      <w:r w:rsidRPr="0096524F">
        <w:t>hus, the lack of cases discussing this category is not surprising.</w:t>
      </w:r>
    </w:p>
    <w:p w14:paraId="28584EBF" w14:textId="1F98BF79" w:rsidR="0096524F" w:rsidRPr="0096524F" w:rsidRDefault="00A60ADB" w:rsidP="0096524F">
      <w:pPr>
        <w:pStyle w:val="BNormal"/>
      </w:pPr>
      <w:r w:rsidRPr="0096524F">
        <w:t>A panel of the Seventh Circuit expressed skepticism about whether genericide was even covered by the (pre-TDRA) FTDA</w:t>
      </w:r>
      <w:r w:rsidR="0096524F" w:rsidRPr="0096524F">
        <w:t>.</w:t>
      </w:r>
      <w:r w:rsidR="0096524F" w:rsidRPr="0096524F">
        <w:t xml:space="preserve"> </w:t>
      </w:r>
      <w:r w:rsidR="0096524F" w:rsidRPr="0096524F">
        <w:t>W</w:t>
      </w:r>
      <w:r w:rsidRPr="0096524F">
        <w:t xml:space="preserve">riting for the court in </w:t>
      </w:r>
      <w:r w:rsidR="0096524F" w:rsidRPr="0096524F">
        <w:rPr>
          <w:i/>
        </w:rPr>
        <w:t>Ty,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Perryman</w:t>
      </w:r>
      <w:r w:rsidRPr="0096524F">
        <w:t>,</w:t>
      </w:r>
      <w:r w:rsidR="0096524F" w:rsidRPr="0096524F">
        <w:rPr>
          <w:vertAlign w:val="superscript"/>
        </w:rPr>
        <w:footnoteReference w:id="614"/>
      </w:r>
      <w:r w:rsidRPr="0096524F">
        <w:t xml:space="preserve"> Judge Posner surmised that the plaintiff’s dilution claim against the defendant’s “bargainbeanies.com” Web site was intended to prevent the Beanie Babies trademark from becoming generic.</w:t>
      </w:r>
      <w:r w:rsidR="0096524F" w:rsidRPr="0096524F">
        <w:rPr>
          <w:vertAlign w:val="superscript"/>
        </w:rPr>
        <w:footnoteReference w:id="615"/>
      </w:r>
      <w:r w:rsidRPr="0096524F">
        <w:t xml:space="preserve"> He noted that there are both costs (the mark owner must search for a new mark) and benefits (“an addition to ordinary language”) that result from a mark’s becoming generic.</w:t>
      </w:r>
      <w:r w:rsidR="0096524F" w:rsidRPr="0096524F">
        <w:rPr>
          <w:vertAlign w:val="superscript"/>
        </w:rPr>
        <w:footnoteReference w:id="616"/>
      </w:r>
      <w:r w:rsidRPr="0096524F">
        <w:t xml:space="preserve"> Ultimately, the court found the extension of dilution law in this context could threaten “the public interest” and rejected it.</w:t>
      </w:r>
      <w:r w:rsidR="0096524F" w:rsidRPr="0096524F">
        <w:rPr>
          <w:vertAlign w:val="superscript"/>
        </w:rPr>
        <w:footnoteReference w:id="617"/>
      </w:r>
      <w:r w:rsidRPr="0096524F">
        <w:t xml:space="preserve"> A later Ninth Circuit case also found genericide not actionable, although it was in a case that did not raise the issue as a dilution claim.</w:t>
      </w:r>
      <w:r w:rsidR="0096524F" w:rsidRPr="0096524F">
        <w:rPr>
          <w:vertAlign w:val="superscript"/>
        </w:rPr>
        <w:footnoteReference w:id="618"/>
      </w:r>
    </w:p>
    <w:p w14:paraId="14ECBFA1" w14:textId="4E8F9FEC" w:rsidR="0096524F" w:rsidRPr="0096524F" w:rsidRDefault="00371CCB" w:rsidP="00175762">
      <w:pPr>
        <w:pStyle w:val="BHead2"/>
      </w:pPr>
      <w:r>
        <w:t>9.II.</w:t>
      </w:r>
      <w:r w:rsidR="0096524F" w:rsidRPr="00175762">
        <w:rPr>
          <w:rStyle w:val="BBNAidChar"/>
          <w:rFonts w:eastAsiaTheme="majorEastAsia"/>
        </w:rPr>
        <w:t>H</w:t>
      </w:r>
      <w:r w:rsidR="0096524F" w:rsidRPr="0096524F">
        <w:t>.</w:t>
      </w:r>
      <w:r>
        <w:t> </w:t>
      </w:r>
      <w:r w:rsidR="0096524F" w:rsidRPr="0096524F">
        <w:tab/>
        <w:t>Dilution and Internet Domain Names</w:t>
      </w:r>
    </w:p>
    <w:p w14:paraId="35952956" w14:textId="76F70476" w:rsidR="0096524F" w:rsidRPr="0096524F" w:rsidRDefault="00371CCB" w:rsidP="00175762">
      <w:pPr>
        <w:pStyle w:val="BHead3"/>
      </w:pPr>
      <w:r>
        <w:t>9.II.H.</w:t>
      </w:r>
      <w:r w:rsidR="0096524F" w:rsidRPr="00175762">
        <w:rPr>
          <w:rStyle w:val="BBNAidChar"/>
          <w:rFonts w:eastAsiaTheme="majorEastAsia"/>
        </w:rPr>
        <w:t>1</w:t>
      </w:r>
      <w:r w:rsidR="0096524F" w:rsidRPr="0096524F">
        <w:t>.</w:t>
      </w:r>
      <w:r>
        <w:t> </w:t>
      </w:r>
      <w:r w:rsidR="0096524F" w:rsidRPr="0096524F">
        <w:tab/>
        <w:t>“Cybersquatting” and the Challenge for Dilution</w:t>
      </w:r>
    </w:p>
    <w:p w14:paraId="2CCA5CEC" w14:textId="4E4FF675" w:rsidR="0096524F" w:rsidRPr="0096524F" w:rsidRDefault="00A60ADB" w:rsidP="0096524F">
      <w:pPr>
        <w:pStyle w:val="BNormal"/>
      </w:pPr>
      <w:r w:rsidRPr="0096524F">
        <w:t>The use of famous trademarks as components of Internet domain names has caused considerable difficulty for courts</w:t>
      </w:r>
      <w:r w:rsidR="0096524F" w:rsidRPr="0096524F">
        <w:t>.</w:t>
      </w:r>
      <w:r w:rsidR="0096524F" w:rsidRPr="0096524F">
        <w:t xml:space="preserve"> </w:t>
      </w:r>
      <w:r w:rsidR="0096524F" w:rsidRPr="0096524F">
        <w:t>A</w:t>
      </w:r>
      <w:r w:rsidRPr="0096524F">
        <w:t xml:space="preserve"> typical situation involves someone who is not the trademark owner but who registers a domain name in the form of “trademark.com” or “trademark.net” with a domain name registrar</w:t>
      </w:r>
      <w:r w:rsidR="0096524F" w:rsidRPr="0096524F">
        <w:t>.</w:t>
      </w:r>
      <w:r w:rsidR="0096524F" w:rsidRPr="0096524F">
        <w:t xml:space="preserve"> </w:t>
      </w:r>
      <w:r w:rsidR="0096524F" w:rsidRPr="0096524F">
        <w:t>I</w:t>
      </w:r>
      <w:r w:rsidRPr="0096524F">
        <w:t>n some instances, people have registered domain names with numerous variations on the trademark.</w:t>
      </w:r>
      <w:r w:rsidR="0096524F" w:rsidRPr="0096524F">
        <w:rPr>
          <w:vertAlign w:val="superscript"/>
        </w:rPr>
        <w:footnoteReference w:id="619"/>
      </w:r>
      <w:r w:rsidRPr="0096524F">
        <w:t xml:space="preserve"> The purpose is often to attempt to sell the domain name to the trademark owner at a high price</w:t>
      </w:r>
      <w:r w:rsidR="0096524F" w:rsidRPr="0096524F">
        <w:t>.</w:t>
      </w:r>
      <w:r w:rsidR="0096524F" w:rsidRPr="0096524F">
        <w:t xml:space="preserve"> </w:t>
      </w:r>
      <w:r w:rsidR="0096524F" w:rsidRPr="0096524F">
        <w:t>T</w:t>
      </w:r>
      <w:r w:rsidRPr="0096524F">
        <w:t>he legislative history of the FTDA indicates some concern about this type of activity, often termed “cybersquatting.”</w:t>
      </w:r>
      <w:r w:rsidR="0096524F" w:rsidRPr="0096524F">
        <w:rPr>
          <w:vertAlign w:val="superscript"/>
        </w:rPr>
        <w:footnoteReference w:id="620"/>
      </w:r>
      <w:r w:rsidRPr="0096524F">
        <w:t xml:space="preserve"> Most notable is this observation by Senator Patrick Leahy:</w:t>
      </w:r>
    </w:p>
    <w:p w14:paraId="5942E8B4" w14:textId="02A76D3B" w:rsidR="0096524F" w:rsidRPr="0096524F" w:rsidRDefault="00A60ADB" w:rsidP="0096524F">
      <w:pPr>
        <w:pStyle w:val="BQuotelong"/>
      </w:pPr>
      <w:r w:rsidRPr="0096524F">
        <w:lastRenderedPageBreak/>
        <w:t>[I]t is my hope that this antidilution statute can help stem the use of deceptive Internet addresses taken by those who are choosing marks that are associated with the products and reputations of others.</w:t>
      </w:r>
      <w:r w:rsidR="0096524F" w:rsidRPr="0096524F">
        <w:rPr>
          <w:vertAlign w:val="superscript"/>
        </w:rPr>
        <w:footnoteReference w:id="621"/>
      </w:r>
    </w:p>
    <w:p w14:paraId="73E92107" w14:textId="2C11DAAA" w:rsidR="0096524F" w:rsidRPr="0096524F" w:rsidRDefault="00A60ADB" w:rsidP="0096524F">
      <w:pPr>
        <w:pStyle w:val="BNormal"/>
      </w:pPr>
      <w:r w:rsidRPr="0096524F">
        <w:t>When the FTDA became effective in 1996, many trademark owners attempted to use it to remedy cybersquatting</w:t>
      </w:r>
      <w:r w:rsidR="0096524F" w:rsidRPr="0096524F">
        <w:t>.</w:t>
      </w:r>
      <w:r w:rsidR="0096524F" w:rsidRPr="0096524F">
        <w:t xml:space="preserve"> </w:t>
      </w:r>
      <w:r w:rsidR="0096524F" w:rsidRPr="0096524F">
        <w:t>H</w:t>
      </w:r>
      <w:r w:rsidRPr="0096524F">
        <w:t xml:space="preserve">owever, courts have not always found it easy to fit domain name registration problems into the traditional dilution categories of blurring and </w:t>
      </w:r>
      <w:proofErr w:type="spellStart"/>
      <w:r w:rsidRPr="0096524F">
        <w:t>tarnishment</w:t>
      </w:r>
      <w:proofErr w:type="spellEnd"/>
      <w:r w:rsidR="0096524F" w:rsidRPr="0096524F">
        <w:t>.</w:t>
      </w:r>
      <w:r w:rsidR="0096524F" w:rsidRPr="0096524F">
        <w:t xml:space="preserve"> </w:t>
      </w:r>
      <w:r w:rsidR="0096524F" w:rsidRPr="0096524F">
        <w:t>W</w:t>
      </w:r>
      <w:r w:rsidRPr="0096524F">
        <w:t xml:space="preserve">here the domain name registrant uses the famous mark to lure Internet users to a pornographic site, courts were fairly receptive to a </w:t>
      </w:r>
      <w:proofErr w:type="spellStart"/>
      <w:r w:rsidRPr="0096524F">
        <w:t>tarnishment</w:t>
      </w:r>
      <w:proofErr w:type="spellEnd"/>
      <w:r w:rsidRPr="0096524F">
        <w:t xml:space="preserve"> claim.</w:t>
      </w:r>
      <w:r w:rsidR="0096524F" w:rsidRPr="0096524F">
        <w:rPr>
          <w:vertAlign w:val="superscript"/>
        </w:rPr>
        <w:footnoteReference w:id="622"/>
      </w:r>
      <w:r w:rsidRPr="0096524F">
        <w:t xml:space="preserve"> Cases not involving pornography, drugs, or other unwholesome activity are more difficult to categorize</w:t>
      </w:r>
      <w:r w:rsidR="0096524F" w:rsidRPr="0096524F">
        <w:t>.</w:t>
      </w:r>
      <w:r w:rsidR="0096524F" w:rsidRPr="0096524F">
        <w:t xml:space="preserve"> </w:t>
      </w:r>
      <w:r w:rsidR="0096524F" w:rsidRPr="0096524F">
        <w:t>T</w:t>
      </w:r>
      <w:r w:rsidRPr="0096524F">
        <w:t>he act of registering a “blocking” or even confusing domain name does not, by itself, tarnish the famous mark</w:t>
      </w:r>
      <w:r w:rsidR="0096524F" w:rsidRPr="0096524F">
        <w:t>.</w:t>
      </w:r>
      <w:r w:rsidR="0096524F" w:rsidRPr="0096524F">
        <w:t xml:space="preserve"> </w:t>
      </w:r>
      <w:r w:rsidR="0096524F" w:rsidRPr="0096524F">
        <w:t>U</w:t>
      </w:r>
      <w:r w:rsidRPr="0096524F">
        <w:t>nless the registrant uses the domain to purvey an unsavory setting,</w:t>
      </w:r>
      <w:r w:rsidR="0096524F" w:rsidRPr="0096524F">
        <w:rPr>
          <w:vertAlign w:val="superscript"/>
        </w:rPr>
        <w:footnoteReference w:id="623"/>
      </w:r>
      <w:r w:rsidRPr="0096524F">
        <w:t xml:space="preserve"> </w:t>
      </w:r>
      <w:proofErr w:type="spellStart"/>
      <w:r w:rsidRPr="0096524F">
        <w:t>tarnishment</w:t>
      </w:r>
      <w:proofErr w:type="spellEnd"/>
      <w:r w:rsidRPr="0096524F">
        <w:t xml:space="preserve"> does not fit the situation</w:t>
      </w:r>
      <w:r w:rsidR="0096524F" w:rsidRPr="0096524F">
        <w:t>.</w:t>
      </w:r>
      <w:r w:rsidR="0096524F" w:rsidRPr="0096524F">
        <w:t xml:space="preserve"> </w:t>
      </w:r>
      <w:r w:rsidR="0096524F" w:rsidRPr="0096524F">
        <w:t>B</w:t>
      </w:r>
      <w:r w:rsidRPr="0096524F">
        <w:t>lurring also is not an appropriate description of the problem</w:t>
      </w:r>
      <w:r w:rsidR="0096524F" w:rsidRPr="0096524F">
        <w:t>.</w:t>
      </w:r>
      <w:r w:rsidR="0096524F" w:rsidRPr="0096524F">
        <w:t xml:space="preserve"> </w:t>
      </w:r>
      <w:r w:rsidR="0096524F" w:rsidRPr="0096524F">
        <w:t>T</w:t>
      </w:r>
      <w:r w:rsidRPr="0096524F">
        <w:t>he domain name itself seldom is used in a trademark sense, particularly when the issue is cybersquatting (registering a domain name in order to profit by selling it to the famous mark owner)</w:t>
      </w:r>
      <w:r w:rsidR="0096524F" w:rsidRPr="0096524F">
        <w:t>.</w:t>
      </w:r>
      <w:r w:rsidR="0096524F" w:rsidRPr="0096524F">
        <w:t xml:space="preserve"> </w:t>
      </w:r>
      <w:r w:rsidR="0096524F" w:rsidRPr="0096524F">
        <w:t>I</w:t>
      </w:r>
      <w:r w:rsidRPr="0096524F">
        <w:t>n such situations, consumers will not be likely to associate the famous mark with two sources or two products, since the registrant is not trying to use the mark as a source identifier</w:t>
      </w:r>
      <w:r w:rsidR="0096524F" w:rsidRPr="0096524F">
        <w:t>.</w:t>
      </w:r>
      <w:r w:rsidR="0096524F" w:rsidRPr="0096524F">
        <w:t xml:space="preserve"> </w:t>
      </w:r>
      <w:r w:rsidR="0096524F" w:rsidRPr="0096524F">
        <w:t>I</w:t>
      </w:r>
      <w:r w:rsidRPr="0096524F">
        <w:t>t has also been held that registering the domain names, or providing a forum for buying and selling them, does not constitute a “use” of the marks as required by the FTDA or the TDRA.</w:t>
      </w:r>
      <w:r w:rsidR="0096524F" w:rsidRPr="0096524F">
        <w:rPr>
          <w:vertAlign w:val="superscript"/>
        </w:rPr>
        <w:footnoteReference w:id="624"/>
      </w:r>
    </w:p>
    <w:p w14:paraId="40041DB5" w14:textId="7BE4723F" w:rsidR="0096524F" w:rsidRPr="0096524F" w:rsidRDefault="00A60ADB" w:rsidP="0096524F">
      <w:pPr>
        <w:pStyle w:val="BNormal"/>
      </w:pPr>
      <w:r w:rsidRPr="0096524F">
        <w:t xml:space="preserve">In 1999, Congress, recognizing some of the unique difficulties that this problem causes for conventional trademark and dilution analyses, enacted the </w:t>
      </w:r>
      <w:proofErr w:type="spellStart"/>
      <w:r w:rsidRPr="0096524F">
        <w:t>Anticybersquatting</w:t>
      </w:r>
      <w:proofErr w:type="spellEnd"/>
      <w:r w:rsidRPr="0096524F">
        <w:t xml:space="preserve"> Consumer Protection Act (ACPA).</w:t>
      </w:r>
      <w:r w:rsidR="0096524F" w:rsidRPr="0096524F">
        <w:rPr>
          <w:vertAlign w:val="superscript"/>
        </w:rPr>
        <w:footnoteReference w:id="625"/>
      </w:r>
      <w:r w:rsidRPr="0096524F">
        <w:t xml:space="preserve"> The ACPA provides a cause of action to trademark owners against those who register trademarks as domain names with a “bad faith intent to profit” from this activity.</w:t>
      </w:r>
      <w:r w:rsidR="0096524F" w:rsidRPr="0096524F">
        <w:rPr>
          <w:vertAlign w:val="superscript"/>
        </w:rPr>
        <w:footnoteReference w:id="626"/>
      </w:r>
    </w:p>
    <w:p w14:paraId="577F302C" w14:textId="7A4D15A3" w:rsidR="0096524F" w:rsidRPr="0096524F" w:rsidRDefault="00A60ADB" w:rsidP="0096524F">
      <w:pPr>
        <w:pStyle w:val="BNormal"/>
      </w:pPr>
      <w:r w:rsidRPr="0096524F">
        <w:t>The ACPA supplies a more direct method of remedying the problem than dilution or infringement, and it incorporates certain dilution standards in its analysis.</w:t>
      </w:r>
      <w:r w:rsidR="0096524F" w:rsidRPr="0096524F">
        <w:rPr>
          <w:vertAlign w:val="superscript"/>
        </w:rPr>
        <w:footnoteReference w:id="627"/>
      </w:r>
      <w:r w:rsidRPr="0096524F">
        <w:t xml:space="preserve"> However, the ACPA does not exclude other remedies</w:t>
      </w:r>
      <w:r w:rsidR="0096524F" w:rsidRPr="0096524F">
        <w:t>;</w:t>
      </w:r>
      <w:r w:rsidR="0096524F" w:rsidRPr="0096524F">
        <w:t xml:space="preserve"> </w:t>
      </w:r>
      <w:r w:rsidR="0096524F" w:rsidRPr="0096524F">
        <w:t>o</w:t>
      </w:r>
      <w:r w:rsidRPr="0096524F">
        <w:t>ne still may bring a dilution claim in addition to a claim under the ACPA.</w:t>
      </w:r>
      <w:r w:rsidR="0096524F" w:rsidRPr="0096524F">
        <w:rPr>
          <w:vertAlign w:val="superscript"/>
        </w:rPr>
        <w:footnoteReference w:id="628"/>
      </w:r>
      <w:r w:rsidRPr="0096524F">
        <w:t xml:space="preserve"> Moreover, the analysis of dilution in these cases may be relevant to certain issues under the ACPA.</w:t>
      </w:r>
    </w:p>
    <w:p w14:paraId="4187FCB3" w14:textId="3AA943B1" w:rsidR="0096524F" w:rsidRPr="0096524F" w:rsidRDefault="00A60ADB" w:rsidP="0096524F">
      <w:pPr>
        <w:pStyle w:val="BNormal"/>
      </w:pPr>
      <w:r w:rsidRPr="0096524F">
        <w:t xml:space="preserve">Indeed, in </w:t>
      </w:r>
      <w:r w:rsidR="0096524F" w:rsidRPr="0096524F">
        <w:rPr>
          <w:i/>
        </w:rPr>
        <w:t>Porsche Cars North America,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Porsche</w:t>
      </w:r>
      <w:r w:rsidRPr="0096524F">
        <w:t>.</w:t>
      </w:r>
      <w:r w:rsidR="0096524F" w:rsidRPr="0096524F">
        <w:rPr>
          <w:i/>
        </w:rPr>
        <w:t>net</w:t>
      </w:r>
      <w:r w:rsidRPr="0096524F">
        <w:t>,</w:t>
      </w:r>
      <w:r w:rsidR="0096524F" w:rsidRPr="0096524F">
        <w:rPr>
          <w:vertAlign w:val="superscript"/>
        </w:rPr>
        <w:footnoteReference w:id="629"/>
      </w:r>
      <w:r w:rsidRPr="0096524F">
        <w:t xml:space="preserve"> the Fourth Circuit held that one cannot maintain an </w:t>
      </w:r>
      <w:r w:rsidR="0096524F" w:rsidRPr="0096524F">
        <w:rPr>
          <w:i/>
        </w:rPr>
        <w:t>in rem</w:t>
      </w:r>
      <w:r w:rsidRPr="0096524F">
        <w:t xml:space="preserve"> action for violation of the FTDA by cybersquatting</w:t>
      </w:r>
      <w:r w:rsidR="0096524F" w:rsidRPr="0096524F">
        <w:t>.</w:t>
      </w:r>
      <w:r w:rsidR="0096524F" w:rsidRPr="0096524F">
        <w:t xml:space="preserve"> </w:t>
      </w:r>
      <w:r w:rsidR="0096524F" w:rsidRPr="0096524F">
        <w:t>T</w:t>
      </w:r>
      <w:r w:rsidRPr="0096524F">
        <w:t xml:space="preserve">he court noted that Congress had </w:t>
      </w:r>
      <w:r w:rsidRPr="0096524F">
        <w:lastRenderedPageBreak/>
        <w:t xml:space="preserve">provided a specific remedy in the ACPA for cybersquatting that included an </w:t>
      </w:r>
      <w:r w:rsidR="0096524F" w:rsidRPr="0096524F">
        <w:rPr>
          <w:i/>
        </w:rPr>
        <w:t>in rem</w:t>
      </w:r>
      <w:r w:rsidRPr="0096524F">
        <w:t xml:space="preserve"> procedure, and that a contrary result would permit the plaintiffs to circumvent the specific requirements of the ACPA.</w:t>
      </w:r>
      <w:r w:rsidR="0096524F" w:rsidRPr="0096524F">
        <w:rPr>
          <w:vertAlign w:val="superscript"/>
        </w:rPr>
        <w:footnoteReference w:id="630"/>
      </w:r>
    </w:p>
    <w:p w14:paraId="36A048F6" w14:textId="4F85B331" w:rsidR="0096524F" w:rsidRPr="0096524F" w:rsidRDefault="00A60ADB" w:rsidP="0096524F">
      <w:pPr>
        <w:pStyle w:val="BNormal"/>
      </w:pPr>
      <w:r w:rsidRPr="0096524F">
        <w:t>The lack of a trademark use may be decisive after the TDRA</w:t>
      </w:r>
      <w:r w:rsidR="0096524F" w:rsidRPr="0096524F">
        <w:t>.</w:t>
      </w:r>
      <w:r w:rsidR="0096524F" w:rsidRPr="0096524F">
        <w:t xml:space="preserve"> </w:t>
      </w:r>
      <w:r w:rsidR="0096524F" w:rsidRPr="0096524F">
        <w:t>A</w:t>
      </w:r>
      <w:r w:rsidRPr="0096524F">
        <w:t>s noted elsewhere in this chapter,</w:t>
      </w:r>
      <w:r w:rsidR="0096524F" w:rsidRPr="0096524F">
        <w:rPr>
          <w:vertAlign w:val="superscript"/>
        </w:rPr>
        <w:footnoteReference w:id="631"/>
      </w:r>
      <w:r w:rsidRPr="0096524F">
        <w:t xml:space="preserve"> it appears that the statute (for both dilution by blurring and dilution by </w:t>
      </w:r>
      <w:proofErr w:type="spellStart"/>
      <w:r w:rsidRPr="0096524F">
        <w:t>tarnishment</w:t>
      </w:r>
      <w:proofErr w:type="spellEnd"/>
      <w:r w:rsidRPr="0096524F">
        <w:t>) requires that the diluting use be “use of a mark.” If uses on the Internet are not considered uses as trademarks, then there may be no actionable dilution.</w:t>
      </w:r>
    </w:p>
    <w:p w14:paraId="313B3DD4" w14:textId="7D731A00" w:rsidR="0096524F" w:rsidRPr="0096524F" w:rsidRDefault="00371CCB" w:rsidP="00175762">
      <w:pPr>
        <w:pStyle w:val="BHead3"/>
      </w:pPr>
      <w:r>
        <w:t>9.II.H.</w:t>
      </w:r>
      <w:r w:rsidR="0096524F" w:rsidRPr="00175762">
        <w:rPr>
          <w:rStyle w:val="BBNAidChar"/>
          <w:rFonts w:eastAsiaTheme="majorEastAsia"/>
        </w:rPr>
        <w:t>2</w:t>
      </w:r>
      <w:r w:rsidR="0096524F" w:rsidRPr="0096524F">
        <w:t>.</w:t>
      </w:r>
      <w:r>
        <w:t> </w:t>
      </w:r>
      <w:r w:rsidR="0096524F" w:rsidRPr="0096524F">
        <w:tab/>
        <w:t>Development of a “Per Se” Dilution Test for Internet Cases</w:t>
      </w:r>
    </w:p>
    <w:p w14:paraId="0DABCBCE" w14:textId="5275AED5" w:rsidR="0096524F" w:rsidRPr="0096524F" w:rsidRDefault="00A60ADB" w:rsidP="0096524F">
      <w:pPr>
        <w:pStyle w:val="BNormal"/>
      </w:pPr>
      <w:r w:rsidRPr="0096524F">
        <w:t xml:space="preserve">Prior to the TDRA, several courts, when faced with an Internet domain name dilution claim, fashioned an analysis that used neither blurring nor </w:t>
      </w:r>
      <w:proofErr w:type="spellStart"/>
      <w:r w:rsidRPr="0096524F">
        <w:t>tarnishment</w:t>
      </w:r>
      <w:proofErr w:type="spellEnd"/>
      <w:r w:rsidRPr="0096524F">
        <w:t xml:space="preserve"> analyses</w:t>
      </w:r>
      <w:r w:rsidR="0096524F" w:rsidRPr="0096524F">
        <w:t>.</w:t>
      </w:r>
      <w:r w:rsidR="0096524F" w:rsidRPr="0096524F">
        <w:t xml:space="preserve"> </w:t>
      </w:r>
      <w:r w:rsidR="0096524F" w:rsidRPr="0096524F">
        <w:t>S</w:t>
      </w:r>
      <w:r w:rsidRPr="0096524F">
        <w:t xml:space="preserve">ome of these courts stated that blurring and </w:t>
      </w:r>
      <w:proofErr w:type="spellStart"/>
      <w:r w:rsidRPr="0096524F">
        <w:t>tarnishment</w:t>
      </w:r>
      <w:proofErr w:type="spellEnd"/>
      <w:r w:rsidRPr="0096524F">
        <w:t xml:space="preserve"> are not the only possible dilution categories.</w:t>
      </w:r>
      <w:r w:rsidR="0096524F" w:rsidRPr="0096524F">
        <w:rPr>
          <w:vertAlign w:val="superscript"/>
        </w:rPr>
        <w:footnoteReference w:id="632"/>
      </w:r>
      <w:r w:rsidRPr="0096524F">
        <w:t xml:space="preserve"> With that premise, a number of courts concluded that the inability of the famous mark owner to use the domain name and/or the owner’s loss of control over its use constituted dilution.</w:t>
      </w:r>
      <w:r w:rsidR="0096524F" w:rsidRPr="0096524F">
        <w:rPr>
          <w:vertAlign w:val="superscript"/>
        </w:rPr>
        <w:footnoteReference w:id="633"/>
      </w:r>
      <w:r w:rsidRPr="0096524F">
        <w:t xml:space="preserve"> This analysis created a virtual </w:t>
      </w:r>
      <w:r w:rsidR="0096524F" w:rsidRPr="0096524F">
        <w:rPr>
          <w:i/>
        </w:rPr>
        <w:t>per se</w:t>
      </w:r>
      <w:r w:rsidRPr="0096524F">
        <w:t xml:space="preserve"> rule that using another’s famous mark as the primary component of one’s domain name constitutes dilution.</w:t>
      </w:r>
    </w:p>
    <w:p w14:paraId="78123374" w14:textId="3CA4CB40" w:rsidR="0096524F" w:rsidRPr="0096524F" w:rsidRDefault="00A60ADB" w:rsidP="0096524F">
      <w:pPr>
        <w:pStyle w:val="BNormal"/>
      </w:pPr>
      <w:r w:rsidRPr="0096524F">
        <w:t xml:space="preserve">The leading cases in the use of the (pre-TDRA) FTDA against Internet domain name registrants are </w:t>
      </w:r>
      <w:r w:rsidR="0096524F" w:rsidRPr="0096524F">
        <w:rPr>
          <w:i/>
        </w:rPr>
        <w:t>Panavision International, L</w:t>
      </w:r>
      <w:r w:rsidRPr="0096524F">
        <w:t>.</w:t>
      </w:r>
      <w:r w:rsidR="0096524F" w:rsidRPr="0096524F">
        <w:rPr>
          <w:i/>
        </w:rPr>
        <w:t>P</w:t>
      </w:r>
      <w:r w:rsidR="0096524F" w:rsidRPr="0096524F">
        <w:t>.</w:t>
      </w:r>
      <w:r w:rsidR="0096524F" w:rsidRPr="0096524F">
        <w:t xml:space="preserve"> </w:t>
      </w:r>
      <w:r w:rsidR="0096524F" w:rsidRPr="0096524F">
        <w:rPr>
          <w:i/>
        </w:rPr>
        <w:t>v</w:t>
      </w:r>
      <w:r w:rsidR="0096524F" w:rsidRPr="0096524F">
        <w:t>.</w:t>
      </w:r>
      <w:r w:rsidR="0096524F" w:rsidRPr="0096524F">
        <w:t xml:space="preserve"> </w:t>
      </w:r>
      <w:proofErr w:type="spellStart"/>
      <w:r w:rsidR="0096524F" w:rsidRPr="0096524F">
        <w:rPr>
          <w:i/>
        </w:rPr>
        <w:t>Toeppen</w:t>
      </w:r>
      <w:proofErr w:type="spellEnd"/>
      <w:r w:rsidRPr="0096524F">
        <w:t>,</w:t>
      </w:r>
      <w:r w:rsidR="0096524F" w:rsidRPr="0096524F">
        <w:rPr>
          <w:vertAlign w:val="superscript"/>
        </w:rPr>
        <w:footnoteReference w:id="634"/>
      </w:r>
      <w:r w:rsidRPr="0096524F">
        <w:t xml:space="preserve"> and </w:t>
      </w:r>
      <w:proofErr w:type="spellStart"/>
      <w:r w:rsidR="0096524F" w:rsidRPr="0096524F">
        <w:rPr>
          <w:i/>
        </w:rPr>
        <w:t>Intermatic</w:t>
      </w:r>
      <w:proofErr w:type="spellEnd"/>
      <w:r w:rsidR="0096524F" w:rsidRPr="0096524F">
        <w:rPr>
          <w:i/>
        </w:rPr>
        <w:t>, Inc</w:t>
      </w:r>
      <w:r w:rsidR="0096524F" w:rsidRPr="0096524F">
        <w:t>.</w:t>
      </w:r>
      <w:r w:rsidR="0096524F" w:rsidRPr="0096524F">
        <w:t xml:space="preserve"> </w:t>
      </w:r>
      <w:r w:rsidR="0096524F" w:rsidRPr="0096524F">
        <w:rPr>
          <w:i/>
        </w:rPr>
        <w:t>v</w:t>
      </w:r>
      <w:r w:rsidR="0096524F" w:rsidRPr="0096524F">
        <w:t>.</w:t>
      </w:r>
      <w:r w:rsidR="0096524F" w:rsidRPr="0096524F">
        <w:t xml:space="preserve"> </w:t>
      </w:r>
      <w:proofErr w:type="spellStart"/>
      <w:r w:rsidR="0096524F" w:rsidRPr="0096524F">
        <w:rPr>
          <w:i/>
        </w:rPr>
        <w:t>Toeppen</w:t>
      </w:r>
      <w:proofErr w:type="spellEnd"/>
      <w:r w:rsidRPr="0096524F">
        <w:t>.</w:t>
      </w:r>
      <w:r w:rsidR="0096524F" w:rsidRPr="0096524F">
        <w:rPr>
          <w:vertAlign w:val="superscript"/>
        </w:rPr>
        <w:footnoteReference w:id="635"/>
      </w:r>
      <w:r w:rsidRPr="0096524F">
        <w:t xml:space="preserve"> Both involved the same defendant, Dennis Toeppen, who registered a number of domain names incorporating various trademarks</w:t>
      </w:r>
      <w:r w:rsidR="0096524F" w:rsidRPr="0096524F">
        <w:t>.</w:t>
      </w:r>
      <w:r w:rsidR="0096524F" w:rsidRPr="0096524F">
        <w:t xml:space="preserve"> </w:t>
      </w:r>
      <w:r w:rsidR="0096524F" w:rsidRPr="0096524F">
        <w:t>I</w:t>
      </w:r>
      <w:r w:rsidRPr="0096524F">
        <w:t xml:space="preserve">n </w:t>
      </w:r>
      <w:r w:rsidR="0096524F" w:rsidRPr="0096524F">
        <w:rPr>
          <w:i/>
        </w:rPr>
        <w:t xml:space="preserve">Panavision, </w:t>
      </w:r>
      <w:r w:rsidRPr="0096524F">
        <w:t xml:space="preserve">the Ninth Circuit stated that dilution need not fit into the blurring or </w:t>
      </w:r>
      <w:proofErr w:type="spellStart"/>
      <w:r w:rsidRPr="0096524F">
        <w:t>tarnishment</w:t>
      </w:r>
      <w:proofErr w:type="spellEnd"/>
      <w:r w:rsidRPr="0096524F">
        <w:t xml:space="preserve"> categories to be actionable.</w:t>
      </w:r>
      <w:r w:rsidR="0096524F" w:rsidRPr="0096524F">
        <w:rPr>
          <w:vertAlign w:val="superscript"/>
        </w:rPr>
        <w:footnoteReference w:id="636"/>
      </w:r>
      <w:r w:rsidRPr="0096524F">
        <w:t xml:space="preserve"> The court affirmed the district court’s determination that diminishing Panavision’s ability to use the Internet to sell its goods and services (because only one person can register a particular domain name) constituted dilution under the FTDA.</w:t>
      </w:r>
      <w:r w:rsidR="0096524F" w:rsidRPr="0096524F">
        <w:rPr>
          <w:vertAlign w:val="superscript"/>
        </w:rPr>
        <w:footnoteReference w:id="637"/>
      </w:r>
      <w:r w:rsidRPr="0096524F">
        <w:t xml:space="preserve"> In the court’s terms, the inability of Panavision to use the panavision.com domain name “‘lessens the capacity of the Panavision marks to identify and distinguish goods and services on the Internet.’”</w:t>
      </w:r>
      <w:r w:rsidR="0096524F" w:rsidRPr="0096524F">
        <w:rPr>
          <w:vertAlign w:val="superscript"/>
        </w:rPr>
        <w:footnoteReference w:id="638"/>
      </w:r>
      <w:r w:rsidRPr="0096524F">
        <w:t xml:space="preserve"> The court noted that allowing others to register domain names with Panavision’s trademark makes it more difficult for consumers to find Panavision’s own site and may deter consumers.</w:t>
      </w:r>
      <w:r w:rsidR="0096524F" w:rsidRPr="0096524F">
        <w:rPr>
          <w:vertAlign w:val="superscript"/>
        </w:rPr>
        <w:footnoteReference w:id="639"/>
      </w:r>
    </w:p>
    <w:p w14:paraId="3B475F37" w14:textId="01234C58" w:rsidR="0096524F" w:rsidRPr="0096524F" w:rsidRDefault="00A60ADB" w:rsidP="0096524F">
      <w:pPr>
        <w:pStyle w:val="BNormal"/>
      </w:pPr>
      <w:r w:rsidRPr="0096524F">
        <w:lastRenderedPageBreak/>
        <w:t xml:space="preserve">A similar analysis was used in </w:t>
      </w:r>
      <w:proofErr w:type="spellStart"/>
      <w:r w:rsidR="0096524F" w:rsidRPr="0096524F">
        <w:rPr>
          <w:i/>
        </w:rPr>
        <w:t>Intermatic</w:t>
      </w:r>
      <w:proofErr w:type="spellEnd"/>
      <w:r w:rsidR="0096524F" w:rsidRPr="0096524F">
        <w:t>.</w:t>
      </w:r>
      <w:r w:rsidR="0096524F" w:rsidRPr="0096524F">
        <w:t xml:space="preserve"> </w:t>
      </w:r>
      <w:proofErr w:type="spellStart"/>
      <w:r w:rsidR="0096524F" w:rsidRPr="0096524F">
        <w:t>T</w:t>
      </w:r>
      <w:r w:rsidRPr="0096524F">
        <w:t>oeppen</w:t>
      </w:r>
      <w:proofErr w:type="spellEnd"/>
      <w:r w:rsidRPr="0096524F">
        <w:t xml:space="preserve"> had registered intermatic.com as a domain name.</w:t>
      </w:r>
      <w:r w:rsidR="0096524F" w:rsidRPr="0096524F">
        <w:rPr>
          <w:vertAlign w:val="superscript"/>
        </w:rPr>
        <w:footnoteReference w:id="640"/>
      </w:r>
      <w:r w:rsidRPr="0096524F">
        <w:t xml:space="preserve"> As in the later </w:t>
      </w:r>
      <w:r w:rsidR="0096524F" w:rsidRPr="0096524F">
        <w:rPr>
          <w:i/>
        </w:rPr>
        <w:t>Panavision</w:t>
      </w:r>
      <w:r w:rsidRPr="0096524F">
        <w:t xml:space="preserve"> case, the court held that </w:t>
      </w:r>
      <w:proofErr w:type="spellStart"/>
      <w:r w:rsidRPr="0096524F">
        <w:t>Intermatic’s</w:t>
      </w:r>
      <w:proofErr w:type="spellEnd"/>
      <w:r w:rsidRPr="0096524F">
        <w:t xml:space="preserve"> loss of the ability to use the Internet site most conducive to its </w:t>
      </w:r>
      <w:proofErr w:type="spellStart"/>
      <w:r w:rsidRPr="0096524F">
        <w:t>Intermatic</w:t>
      </w:r>
      <w:proofErr w:type="spellEnd"/>
      <w:r w:rsidRPr="0096524F">
        <w:t xml:space="preserve"> mark constituted dilution by hindering </w:t>
      </w:r>
      <w:proofErr w:type="spellStart"/>
      <w:r w:rsidRPr="0096524F">
        <w:t>Intermatic’s</w:t>
      </w:r>
      <w:proofErr w:type="spellEnd"/>
      <w:r w:rsidRPr="0096524F">
        <w:t xml:space="preserve"> ability to use the Internet to promote its products.</w:t>
      </w:r>
      <w:r w:rsidR="0096524F" w:rsidRPr="0096524F">
        <w:rPr>
          <w:vertAlign w:val="superscript"/>
        </w:rPr>
        <w:footnoteReference w:id="641"/>
      </w:r>
      <w:r w:rsidRPr="0096524F">
        <w:t xml:space="preserve"> The court also cited </w:t>
      </w:r>
      <w:proofErr w:type="spellStart"/>
      <w:r w:rsidRPr="0096524F">
        <w:t>Intermatic’s</w:t>
      </w:r>
      <w:proofErr w:type="spellEnd"/>
      <w:r w:rsidRPr="0096524F">
        <w:t xml:space="preserve"> potential loss of control over its mark and reputation as supporting the finding of dilution.</w:t>
      </w:r>
      <w:r w:rsidR="0096524F" w:rsidRPr="0096524F">
        <w:rPr>
          <w:vertAlign w:val="superscript"/>
        </w:rPr>
        <w:footnoteReference w:id="642"/>
      </w:r>
    </w:p>
    <w:p w14:paraId="3015FFD8" w14:textId="6902BDA3" w:rsidR="0096524F" w:rsidRPr="0096524F" w:rsidRDefault="00A60ADB" w:rsidP="0096524F">
      <w:pPr>
        <w:pStyle w:val="BNormal"/>
      </w:pPr>
      <w:r w:rsidRPr="0096524F">
        <w:t>Following these two cases, a number of courts found that virtually any unauthorized use of a domain name containing a famous mark constitutes dilution.</w:t>
      </w:r>
      <w:r w:rsidR="0096524F" w:rsidRPr="0096524F">
        <w:rPr>
          <w:vertAlign w:val="superscript"/>
        </w:rPr>
        <w:footnoteReference w:id="643"/>
      </w:r>
      <w:r w:rsidRPr="0096524F">
        <w:t xml:space="preserve"> A typical example is </w:t>
      </w:r>
      <w:r w:rsidR="0096524F" w:rsidRPr="0096524F">
        <w:rPr>
          <w:i/>
        </w:rPr>
        <w:t>Virtual Works,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Network Solutions, Inc</w:t>
      </w:r>
      <w:r w:rsidRPr="0096524F">
        <w:t>.,</w:t>
      </w:r>
      <w:r w:rsidR="0096524F" w:rsidRPr="0096524F">
        <w:rPr>
          <w:vertAlign w:val="superscript"/>
        </w:rPr>
        <w:footnoteReference w:id="644"/>
      </w:r>
      <w:r w:rsidRPr="0096524F">
        <w:t xml:space="preserve"> a suit involving the plaintiff’s registration of the domain name vw.net</w:t>
      </w:r>
      <w:r w:rsidR="0096524F" w:rsidRPr="0096524F">
        <w:t>.</w:t>
      </w:r>
      <w:r w:rsidR="0096524F" w:rsidRPr="0096524F">
        <w:t xml:space="preserve"> </w:t>
      </w:r>
      <w:r w:rsidR="0096524F" w:rsidRPr="0096524F">
        <w:t>T</w:t>
      </w:r>
      <w:r w:rsidRPr="0096524F">
        <w:t>he plaintiff sued for tortious interference with its use of the domain name, and Volkswagen counterclaimed for infringement and dilution of its VW marks as well as for violations of the ACPA.</w:t>
      </w:r>
      <w:r w:rsidR="0096524F" w:rsidRPr="0096524F">
        <w:rPr>
          <w:vertAlign w:val="superscript"/>
        </w:rPr>
        <w:footnoteReference w:id="645"/>
      </w:r>
      <w:r w:rsidRPr="0096524F">
        <w:t xml:space="preserve"> Discussing Volkswagen’s dilution claim, the district court said simply, “[r]</w:t>
      </w:r>
      <w:proofErr w:type="spellStart"/>
      <w:r w:rsidRPr="0096524F">
        <w:t>ecent</w:t>
      </w:r>
      <w:proofErr w:type="spellEnd"/>
      <w:r w:rsidRPr="0096524F">
        <w:t xml:space="preserve"> case law holds that internet cyberpiracy constitutes per se trademark dilution.”</w:t>
      </w:r>
      <w:r w:rsidR="0096524F" w:rsidRPr="0096524F">
        <w:rPr>
          <w:vertAlign w:val="superscript"/>
        </w:rPr>
        <w:footnoteReference w:id="646"/>
      </w:r>
      <w:r w:rsidRPr="0096524F">
        <w:t xml:space="preserve"> Similarly, in </w:t>
      </w:r>
      <w:r w:rsidR="0096524F" w:rsidRPr="0096524F">
        <w:rPr>
          <w:i/>
        </w:rPr>
        <w:t>Lozano Enterprises v</w:t>
      </w:r>
      <w:r w:rsidR="0096524F" w:rsidRPr="0096524F">
        <w:t>.</w:t>
      </w:r>
      <w:r w:rsidR="0096524F" w:rsidRPr="0096524F">
        <w:t xml:space="preserve"> </w:t>
      </w:r>
      <w:r w:rsidR="0096524F" w:rsidRPr="0096524F">
        <w:rPr>
          <w:i/>
        </w:rPr>
        <w:t>La Opinion Publishing Co</w:t>
      </w:r>
      <w:r w:rsidRPr="0096524F">
        <w:t>.,</w:t>
      </w:r>
      <w:r w:rsidR="0096524F" w:rsidRPr="0096524F">
        <w:rPr>
          <w:vertAlign w:val="superscript"/>
        </w:rPr>
        <w:footnoteReference w:id="647"/>
      </w:r>
      <w:r w:rsidRPr="0096524F">
        <w:t xml:space="preserve"> the court stated flatly that “[a] defendant who uses Plaintiff’s name as defendant’s Internet domain name violates the Federal Anti-Dilution Act.”</w:t>
      </w:r>
      <w:r w:rsidR="0096524F" w:rsidRPr="0096524F">
        <w:rPr>
          <w:vertAlign w:val="superscript"/>
        </w:rPr>
        <w:footnoteReference w:id="648"/>
      </w:r>
      <w:r w:rsidRPr="0096524F">
        <w:t xml:space="preserve"> The </w:t>
      </w:r>
      <w:r w:rsidR="0096524F" w:rsidRPr="0096524F">
        <w:rPr>
          <w:i/>
        </w:rPr>
        <w:t>Panavision</w:t>
      </w:r>
      <w:r w:rsidRPr="0096524F">
        <w:t xml:space="preserve"> analysis was also followed in </w:t>
      </w:r>
      <w:r w:rsidR="0096524F" w:rsidRPr="0096524F">
        <w:rPr>
          <w:i/>
        </w:rPr>
        <w:t>Toys “R” Us,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Abir</w:t>
      </w:r>
      <w:r w:rsidRPr="0096524F">
        <w:t>.</w:t>
      </w:r>
      <w:r w:rsidR="0096524F" w:rsidRPr="0096524F">
        <w:rPr>
          <w:vertAlign w:val="superscript"/>
        </w:rPr>
        <w:footnoteReference w:id="649"/>
      </w:r>
    </w:p>
    <w:p w14:paraId="6BD4EB9E" w14:textId="3483A6DC" w:rsidR="0096524F" w:rsidRPr="0096524F" w:rsidRDefault="00A60ADB" w:rsidP="0096524F">
      <w:pPr>
        <w:pStyle w:val="BNormal"/>
      </w:pPr>
      <w:r w:rsidRPr="0096524F">
        <w:lastRenderedPageBreak/>
        <w:t xml:space="preserve">Not all courts agreed with the </w:t>
      </w:r>
      <w:r w:rsidR="0096524F" w:rsidRPr="0096524F">
        <w:rPr>
          <w:i/>
        </w:rPr>
        <w:t>per se</w:t>
      </w:r>
      <w:r w:rsidRPr="0096524F">
        <w:t xml:space="preserve"> approach</w:t>
      </w:r>
      <w:r w:rsidR="0096524F" w:rsidRPr="0096524F">
        <w:t>.</w:t>
      </w:r>
      <w:r w:rsidR="0096524F" w:rsidRPr="0096524F">
        <w:t xml:space="preserve"> </w:t>
      </w:r>
      <w:r w:rsidR="0096524F" w:rsidRPr="0096524F">
        <w:t>I</w:t>
      </w:r>
      <w:r w:rsidRPr="0096524F">
        <w:t>n some cases, courts have rejected it outright.</w:t>
      </w:r>
      <w:r w:rsidR="0096524F" w:rsidRPr="0096524F">
        <w:rPr>
          <w:vertAlign w:val="superscript"/>
        </w:rPr>
        <w:footnoteReference w:id="650"/>
      </w:r>
      <w:r w:rsidRPr="0096524F">
        <w:t xml:space="preserve"> In </w:t>
      </w:r>
      <w:r w:rsidR="0096524F" w:rsidRPr="0096524F">
        <w:rPr>
          <w:i/>
        </w:rPr>
        <w:t>Hasbro,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Clue Computing, Inc</w:t>
      </w:r>
      <w:r w:rsidRPr="0096524F">
        <w:t>.,</w:t>
      </w:r>
      <w:r w:rsidR="0096524F" w:rsidRPr="0096524F">
        <w:rPr>
          <w:vertAlign w:val="superscript"/>
        </w:rPr>
        <w:footnoteReference w:id="651"/>
      </w:r>
      <w:r w:rsidRPr="0096524F">
        <w:t xml:space="preserve"> the court rejected the use of a </w:t>
      </w:r>
      <w:r w:rsidR="0096524F" w:rsidRPr="0096524F">
        <w:rPr>
          <w:i/>
        </w:rPr>
        <w:t>per se</w:t>
      </w:r>
      <w:r w:rsidRPr="0096524F">
        <w:t xml:space="preserve"> rule for Internet cases</w:t>
      </w:r>
      <w:r w:rsidR="0096524F" w:rsidRPr="0096524F">
        <w:t>.</w:t>
      </w:r>
      <w:r w:rsidR="0096524F" w:rsidRPr="0096524F">
        <w:t xml:space="preserve"> </w:t>
      </w:r>
      <w:r w:rsidR="0096524F" w:rsidRPr="0096524F">
        <w:t>H</w:t>
      </w:r>
      <w:r w:rsidRPr="0096524F">
        <w:t>owever, it cautioned that its ruling was in the context of a mark owner whose mark was a common term (Clue) and where another party may have a legitimate reason to use the term as a domain name.</w:t>
      </w:r>
      <w:r w:rsidR="0096524F" w:rsidRPr="0096524F">
        <w:rPr>
          <w:vertAlign w:val="superscript"/>
        </w:rPr>
        <w:footnoteReference w:id="652"/>
      </w:r>
      <w:r w:rsidRPr="0096524F">
        <w:t xml:space="preserve"> Thus, </w:t>
      </w:r>
      <w:r w:rsidR="0096524F" w:rsidRPr="0096524F">
        <w:rPr>
          <w:i/>
        </w:rPr>
        <w:t>Hasbro</w:t>
      </w:r>
      <w:r w:rsidRPr="0096524F">
        <w:t xml:space="preserve"> was not a classic cybersquatting case</w:t>
      </w:r>
      <w:r w:rsidR="0096524F" w:rsidRPr="0096524F">
        <w:t>.</w:t>
      </w:r>
      <w:r w:rsidR="0096524F" w:rsidRPr="0096524F">
        <w:t xml:space="preserve"> </w:t>
      </w:r>
      <w:r w:rsidR="0096524F" w:rsidRPr="0096524F">
        <w:t>H</w:t>
      </w:r>
      <w:r w:rsidRPr="0096524F">
        <w:t xml:space="preserve">ad the registration been made to extort money from the plaintiff or block the use of the domain name by the plaintiff, a different result (though perhaps not by a </w:t>
      </w:r>
      <w:r w:rsidR="0096524F" w:rsidRPr="0096524F">
        <w:rPr>
          <w:i/>
        </w:rPr>
        <w:t>per se</w:t>
      </w:r>
      <w:r w:rsidRPr="0096524F">
        <w:t xml:space="preserve"> rule) may have ensued.</w:t>
      </w:r>
      <w:r w:rsidR="0096524F" w:rsidRPr="0096524F">
        <w:rPr>
          <w:vertAlign w:val="superscript"/>
        </w:rPr>
        <w:footnoteReference w:id="653"/>
      </w:r>
    </w:p>
    <w:p w14:paraId="1649AA4E" w14:textId="26B06E97" w:rsidR="0096524F" w:rsidRPr="0096524F" w:rsidRDefault="0096524F" w:rsidP="0096524F">
      <w:pPr>
        <w:pStyle w:val="BNormal"/>
      </w:pPr>
      <w:r w:rsidRPr="0096524F">
        <w:rPr>
          <w:i/>
        </w:rPr>
        <w:t>HQM, Ltd</w:t>
      </w:r>
      <w:r w:rsidRPr="0096524F">
        <w:t>.</w:t>
      </w:r>
      <w:r w:rsidRPr="0096524F">
        <w:t xml:space="preserve"> </w:t>
      </w:r>
      <w:r w:rsidRPr="0096524F">
        <w:rPr>
          <w:i/>
        </w:rPr>
        <w:t>v</w:t>
      </w:r>
      <w:r w:rsidRPr="0096524F">
        <w:t>.</w:t>
      </w:r>
      <w:r w:rsidRPr="0096524F">
        <w:t xml:space="preserve"> </w:t>
      </w:r>
      <w:r w:rsidRPr="0096524F">
        <w:rPr>
          <w:i/>
        </w:rPr>
        <w:t>Hatfield</w:t>
      </w:r>
      <w:r w:rsidRPr="0096524F">
        <w:rPr>
          <w:i/>
        </w:rPr>
        <w:t xml:space="preserve"> </w:t>
      </w:r>
      <w:r w:rsidRPr="0096524F">
        <w:rPr>
          <w:vertAlign w:val="superscript"/>
        </w:rPr>
        <w:footnoteReference w:id="654"/>
      </w:r>
      <w:r w:rsidR="00A60ADB" w:rsidRPr="0096524F">
        <w:t xml:space="preserve"> arguably went a step further</w:t>
      </w:r>
      <w:r w:rsidRPr="0096524F">
        <w:t>.</w:t>
      </w:r>
      <w:r w:rsidRPr="0096524F">
        <w:t xml:space="preserve"> </w:t>
      </w:r>
      <w:r w:rsidRPr="0096524F">
        <w:t>T</w:t>
      </w:r>
      <w:r w:rsidR="00A60ADB" w:rsidRPr="0096524F">
        <w:t>he defendant registered his name, Hatfield, as a domain name, hatfield.com</w:t>
      </w:r>
      <w:r w:rsidRPr="0096524F">
        <w:t>.</w:t>
      </w:r>
      <w:r w:rsidRPr="0096524F">
        <w:t xml:space="preserve"> </w:t>
      </w:r>
      <w:r w:rsidRPr="0096524F">
        <w:t>T</w:t>
      </w:r>
      <w:r w:rsidR="00A60ADB" w:rsidRPr="0096524F">
        <w:t>he only alleged use of the registration was for e-mail—the defendant apparently had no Web site.</w:t>
      </w:r>
      <w:r w:rsidRPr="0096524F">
        <w:rPr>
          <w:vertAlign w:val="superscript"/>
        </w:rPr>
        <w:footnoteReference w:id="655"/>
      </w:r>
      <w:r w:rsidR="00A60ADB" w:rsidRPr="0096524F">
        <w:t xml:space="preserve"> Citing the Fourth Circuit’s expressed fears that dilution not become a property right in gross, the court rejected the plaintiff’s attempt to use a </w:t>
      </w:r>
      <w:r w:rsidRPr="0096524F">
        <w:rPr>
          <w:i/>
        </w:rPr>
        <w:t>per se</w:t>
      </w:r>
      <w:r w:rsidR="00A60ADB" w:rsidRPr="0096524F">
        <w:t xml:space="preserve"> rule.</w:t>
      </w:r>
      <w:r w:rsidRPr="0096524F">
        <w:rPr>
          <w:vertAlign w:val="superscript"/>
        </w:rPr>
        <w:footnoteReference w:id="656"/>
      </w:r>
      <w:r w:rsidR="00A60ADB" w:rsidRPr="0096524F">
        <w:t xml:space="preserve"> Instead, the court stated that the fact that the registration may complicate the search for the plaintiff’s goods on the Internet was not sufficient to be considered diluting of the mark.</w:t>
      </w:r>
      <w:r w:rsidRPr="0096524F">
        <w:rPr>
          <w:vertAlign w:val="superscript"/>
        </w:rPr>
        <w:footnoteReference w:id="657"/>
      </w:r>
      <w:r w:rsidR="00A60ADB" w:rsidRPr="0096524F">
        <w:t xml:space="preserve"> Although the defendant in </w:t>
      </w:r>
      <w:r w:rsidRPr="0096524F">
        <w:rPr>
          <w:i/>
        </w:rPr>
        <w:t>HQM</w:t>
      </w:r>
      <w:r w:rsidR="00A60ADB" w:rsidRPr="0096524F">
        <w:t xml:space="preserve"> apparently had a legitimate basis for registering the domain name, the court clearly rejected the major premise of the </w:t>
      </w:r>
      <w:r w:rsidRPr="0096524F">
        <w:rPr>
          <w:i/>
        </w:rPr>
        <w:t>per se</w:t>
      </w:r>
      <w:r w:rsidR="00A60ADB" w:rsidRPr="0096524F">
        <w:t xml:space="preserve"> rule, that making it more difficult for consumers to find the famous mark owner’s goods on the Internet constitutes dilution.</w:t>
      </w:r>
    </w:p>
    <w:p w14:paraId="497FD4D4" w14:textId="6E897E16" w:rsidR="0096524F" w:rsidRPr="0096524F" w:rsidRDefault="00A60ADB" w:rsidP="0096524F">
      <w:pPr>
        <w:pStyle w:val="BNormal"/>
      </w:pPr>
      <w:r w:rsidRPr="0096524F">
        <w:t xml:space="preserve">The rationale of </w:t>
      </w:r>
      <w:r w:rsidR="0096524F" w:rsidRPr="0096524F">
        <w:rPr>
          <w:i/>
        </w:rPr>
        <w:t>HQM</w:t>
      </w:r>
      <w:r w:rsidRPr="0096524F">
        <w:t xml:space="preserve"> was followed in </w:t>
      </w:r>
      <w:r w:rsidR="0096524F" w:rsidRPr="0096524F">
        <w:rPr>
          <w:i/>
        </w:rPr>
        <w:t>Strick Corp</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Strickland</w:t>
      </w:r>
      <w:r w:rsidRPr="0096524F">
        <w:t>.</w:t>
      </w:r>
      <w:r w:rsidR="0096524F" w:rsidRPr="0096524F">
        <w:rPr>
          <w:vertAlign w:val="superscript"/>
        </w:rPr>
        <w:footnoteReference w:id="658"/>
      </w:r>
      <w:r w:rsidRPr="0096524F">
        <w:t xml:space="preserve"> The defendant, whose last name is Strickland, registered the domain name strick.com.</w:t>
      </w:r>
      <w:r w:rsidR="0096524F" w:rsidRPr="0096524F">
        <w:rPr>
          <w:vertAlign w:val="superscript"/>
        </w:rPr>
        <w:footnoteReference w:id="659"/>
      </w:r>
      <w:r w:rsidRPr="0096524F">
        <w:t xml:space="preserve"> When the plaintiff later tried to register the same name, it discovered the defendant’s registration</w:t>
      </w:r>
      <w:r w:rsidR="0096524F" w:rsidRPr="0096524F">
        <w:t>.</w:t>
      </w:r>
      <w:r w:rsidR="0096524F" w:rsidRPr="0096524F">
        <w:t xml:space="preserve"> </w:t>
      </w:r>
      <w:r w:rsidR="0096524F" w:rsidRPr="0096524F">
        <w:t>E</w:t>
      </w:r>
      <w:r w:rsidRPr="0096524F">
        <w:t>ventually, the plaintiff sued to force the defendant to transfer the registration</w:t>
      </w:r>
      <w:r w:rsidR="0096524F" w:rsidRPr="0096524F">
        <w:t>.</w:t>
      </w:r>
      <w:r w:rsidR="0096524F" w:rsidRPr="0096524F">
        <w:t xml:space="preserve"> </w:t>
      </w:r>
      <w:r w:rsidR="0096524F" w:rsidRPr="0096524F">
        <w:t>T</w:t>
      </w:r>
      <w:r w:rsidRPr="0096524F">
        <w:t xml:space="preserve">he court rejected the plaintiff’s argument that the defendant’s registration, by preventing the plaintiff’s customers from using strick.com to locate Strick’s Web site, was </w:t>
      </w:r>
      <w:r w:rsidR="0096524F" w:rsidRPr="0096524F">
        <w:rPr>
          <w:i/>
        </w:rPr>
        <w:t>per se</w:t>
      </w:r>
      <w:r w:rsidRPr="0096524F">
        <w:t xml:space="preserve"> dilution.</w:t>
      </w:r>
      <w:r w:rsidR="0096524F" w:rsidRPr="0096524F">
        <w:rPr>
          <w:vertAlign w:val="superscript"/>
        </w:rPr>
        <w:footnoteReference w:id="660"/>
      </w:r>
      <w:r w:rsidRPr="0096524F">
        <w:t xml:space="preserve"> Instead, it noted that the inconvenience to customers posed by the defendant’s ownership of strick.com was “trivial” and that Internet users could find the plaintiff’s site by using a search engine.</w:t>
      </w:r>
      <w:r w:rsidR="0096524F" w:rsidRPr="0096524F">
        <w:rPr>
          <w:vertAlign w:val="superscript"/>
        </w:rPr>
        <w:footnoteReference w:id="661"/>
      </w:r>
      <w:r w:rsidRPr="0096524F">
        <w:t xml:space="preserve"> Finally, the court stated that trademark law did not grant famous marks a monopoly on all domain names arguably similar to their marks.</w:t>
      </w:r>
      <w:r w:rsidR="0096524F" w:rsidRPr="0096524F">
        <w:rPr>
          <w:vertAlign w:val="superscript"/>
        </w:rPr>
        <w:footnoteReference w:id="662"/>
      </w:r>
      <w:r w:rsidRPr="0096524F">
        <w:t xml:space="preserve"> As in </w:t>
      </w:r>
      <w:r w:rsidR="0096524F" w:rsidRPr="0096524F">
        <w:rPr>
          <w:i/>
        </w:rPr>
        <w:t>HQM</w:t>
      </w:r>
      <w:r w:rsidRPr="0096524F">
        <w:t xml:space="preserve">, it </w:t>
      </w:r>
      <w:r w:rsidRPr="0096524F">
        <w:lastRenderedPageBreak/>
        <w:t>should be noted that the defendant had a legitimate reason to register the domain name in question, since it was the closest available one to his last name.</w:t>
      </w:r>
    </w:p>
    <w:p w14:paraId="5D677E52" w14:textId="2AD016B1" w:rsidR="0096524F" w:rsidRPr="0096524F" w:rsidRDefault="00A60ADB" w:rsidP="0096524F">
      <w:pPr>
        <w:pStyle w:val="BNormal"/>
      </w:pPr>
      <w:r w:rsidRPr="0096524F">
        <w:t xml:space="preserve">In </w:t>
      </w:r>
      <w:r w:rsidR="0096524F" w:rsidRPr="0096524F">
        <w:rPr>
          <w:i/>
        </w:rPr>
        <w:t>Avery Dennison Corp</w:t>
      </w:r>
      <w:r w:rsidR="0096524F" w:rsidRPr="0096524F">
        <w:t>.</w:t>
      </w:r>
      <w:r w:rsidR="0096524F" w:rsidRPr="0096524F">
        <w:t xml:space="preserve"> </w:t>
      </w:r>
      <w:r w:rsidR="0096524F" w:rsidRPr="0096524F">
        <w:rPr>
          <w:i/>
        </w:rPr>
        <w:t>v</w:t>
      </w:r>
      <w:r w:rsidR="0096524F" w:rsidRPr="0096524F">
        <w:t>.</w:t>
      </w:r>
      <w:r w:rsidR="0096524F" w:rsidRPr="0096524F">
        <w:t xml:space="preserve"> </w:t>
      </w:r>
      <w:proofErr w:type="spellStart"/>
      <w:r w:rsidR="0096524F" w:rsidRPr="0096524F">
        <w:rPr>
          <w:i/>
        </w:rPr>
        <w:t>Sumpton</w:t>
      </w:r>
      <w:proofErr w:type="spellEnd"/>
      <w:r w:rsidRPr="0096524F">
        <w:t>,</w:t>
      </w:r>
      <w:r w:rsidR="0096524F" w:rsidRPr="0096524F">
        <w:rPr>
          <w:vertAlign w:val="superscript"/>
        </w:rPr>
        <w:footnoteReference w:id="663"/>
      </w:r>
      <w:r w:rsidRPr="0096524F">
        <w:t xml:space="preserve"> the Ninth Circuit denied the plaintiff’s motion for summary judgment against the defendant’s use of avery.net and dennison.net as e-mail domains.</w:t>
      </w:r>
      <w:r w:rsidR="0096524F" w:rsidRPr="0096524F">
        <w:rPr>
          <w:vertAlign w:val="superscript"/>
        </w:rPr>
        <w:footnoteReference w:id="664"/>
      </w:r>
      <w:r w:rsidRPr="0096524F">
        <w:t xml:space="preserve"> The court noted that cases like </w:t>
      </w:r>
      <w:r w:rsidR="0096524F" w:rsidRPr="0096524F">
        <w:rPr>
          <w:i/>
        </w:rPr>
        <w:t>Panavision</w:t>
      </w:r>
      <w:r w:rsidRPr="0096524F">
        <w:t xml:space="preserve"> were based on the purported inhibition of commerce resulting from the defendant’s registration of a “blocking” domain name</w:t>
      </w:r>
      <w:r w:rsidR="0096524F" w:rsidRPr="0096524F">
        <w:t>.</w:t>
      </w:r>
      <w:r w:rsidR="0096524F" w:rsidRPr="0096524F">
        <w:t xml:space="preserve"> </w:t>
      </w:r>
      <w:r w:rsidR="0096524F" w:rsidRPr="0096524F">
        <w:t>B</w:t>
      </w:r>
      <w:r w:rsidRPr="0096524F">
        <w:t>ut when the offending domain name is a “.net,” not a “.com,” the court was unwilling to presume that Internet searchers would be deterred in their search for a commercial entity, which would be expected to use a “.com” domain.</w:t>
      </w:r>
      <w:r w:rsidR="0096524F" w:rsidRPr="0096524F">
        <w:rPr>
          <w:vertAlign w:val="superscript"/>
        </w:rPr>
        <w:footnoteReference w:id="665"/>
      </w:r>
    </w:p>
    <w:p w14:paraId="708F6256" w14:textId="6B5BCB21" w:rsidR="0096524F" w:rsidRPr="0096524F" w:rsidRDefault="00A60ADB" w:rsidP="0096524F">
      <w:pPr>
        <w:pStyle w:val="BNormal"/>
      </w:pPr>
      <w:r w:rsidRPr="0096524F">
        <w:t xml:space="preserve">The </w:t>
      </w:r>
      <w:r w:rsidR="0096524F" w:rsidRPr="0096524F">
        <w:rPr>
          <w:i/>
        </w:rPr>
        <w:t>per se</w:t>
      </w:r>
      <w:r w:rsidRPr="0096524F">
        <w:t xml:space="preserve"> rule also was rejected in </w:t>
      </w:r>
      <w:r w:rsidR="0096524F" w:rsidRPr="0096524F">
        <w:rPr>
          <w:i/>
        </w:rPr>
        <w:t>Ford Motor Co</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GreatDomains</w:t>
      </w:r>
      <w:r w:rsidRPr="0096524F">
        <w:t>.</w:t>
      </w:r>
      <w:r w:rsidR="0096524F" w:rsidRPr="0096524F">
        <w:rPr>
          <w:i/>
        </w:rPr>
        <w:t>com, Inc</w:t>
      </w:r>
      <w:r w:rsidRPr="0096524F">
        <w:t>.</w:t>
      </w:r>
      <w:r w:rsidR="0096524F" w:rsidRPr="0096524F">
        <w:rPr>
          <w:vertAlign w:val="superscript"/>
        </w:rPr>
        <w:footnoteReference w:id="666"/>
      </w:r>
      <w:r w:rsidRPr="0096524F">
        <w:t xml:space="preserve"> That court first stated that the </w:t>
      </w:r>
      <w:r w:rsidR="0096524F" w:rsidRPr="0096524F">
        <w:rPr>
          <w:i/>
        </w:rPr>
        <w:t>intent</w:t>
      </w:r>
      <w:r w:rsidRPr="0096524F">
        <w:t xml:space="preserve"> of the registrant should not matter in the dilution analysis—i.e., the existence of dilution should not depend on a showing of bad faith.</w:t>
      </w:r>
      <w:r w:rsidR="0096524F" w:rsidRPr="0096524F">
        <w:rPr>
          <w:vertAlign w:val="superscript"/>
        </w:rPr>
        <w:footnoteReference w:id="667"/>
      </w:r>
      <w:r w:rsidRPr="0096524F">
        <w:t xml:space="preserve"> Thus, under </w:t>
      </w:r>
      <w:r w:rsidR="0096524F" w:rsidRPr="0096524F">
        <w:rPr>
          <w:i/>
        </w:rPr>
        <w:t>Panavision</w:t>
      </w:r>
      <w:r w:rsidRPr="0096524F">
        <w:t xml:space="preserve">’s </w:t>
      </w:r>
      <w:r w:rsidR="0096524F" w:rsidRPr="0096524F">
        <w:rPr>
          <w:i/>
        </w:rPr>
        <w:t>per se</w:t>
      </w:r>
      <w:r w:rsidRPr="0096524F">
        <w:t xml:space="preserve"> theory, </w:t>
      </w:r>
      <w:r w:rsidR="0096524F" w:rsidRPr="0096524F">
        <w:rPr>
          <w:i/>
        </w:rPr>
        <w:t>any</w:t>
      </w:r>
      <w:r w:rsidRPr="0096524F">
        <w:t xml:space="preserve"> registration of a domain name containing a famous trademark should be considered diluting.</w:t>
      </w:r>
      <w:r w:rsidR="0096524F" w:rsidRPr="0096524F">
        <w:rPr>
          <w:vertAlign w:val="superscript"/>
        </w:rPr>
        <w:footnoteReference w:id="668"/>
      </w:r>
      <w:r w:rsidRPr="0096524F">
        <w:t xml:space="preserve"> However, the court rejected the </w:t>
      </w:r>
      <w:r w:rsidR="0096524F" w:rsidRPr="0096524F">
        <w:rPr>
          <w:i/>
        </w:rPr>
        <w:t>per se</w:t>
      </w:r>
      <w:r w:rsidRPr="0096524F">
        <w:t xml:space="preserve"> theory as beyond the proper scope of the dilution statute</w:t>
      </w:r>
      <w:r w:rsidR="0096524F" w:rsidRPr="0096524F">
        <w:t>.</w:t>
      </w:r>
      <w:r w:rsidR="0096524F" w:rsidRPr="0096524F">
        <w:t xml:space="preserve"> </w:t>
      </w:r>
      <w:r w:rsidR="0096524F" w:rsidRPr="0096524F">
        <w:t>Q</w:t>
      </w:r>
      <w:r w:rsidRPr="0096524F">
        <w:t xml:space="preserve">uoting the </w:t>
      </w:r>
      <w:r w:rsidR="0096524F" w:rsidRPr="0096524F">
        <w:rPr>
          <w:i/>
        </w:rPr>
        <w:t>Strick</w:t>
      </w:r>
      <w:r w:rsidRPr="0096524F">
        <w:t xml:space="preserve"> case, the court agreed that the </w:t>
      </w:r>
      <w:r w:rsidR="0096524F" w:rsidRPr="0096524F">
        <w:rPr>
          <w:i/>
        </w:rPr>
        <w:t>per se</w:t>
      </w:r>
      <w:r w:rsidRPr="0096524F">
        <w:t xml:space="preserve"> rule effectively granted “‘property rights-in-gross as a matter of dilution law.’”</w:t>
      </w:r>
      <w:r w:rsidR="0096524F" w:rsidRPr="0096524F">
        <w:rPr>
          <w:vertAlign w:val="superscript"/>
        </w:rPr>
        <w:footnoteReference w:id="669"/>
      </w:r>
    </w:p>
    <w:p w14:paraId="2362048B" w14:textId="1AA82DE7" w:rsidR="0096524F" w:rsidRPr="0096524F" w:rsidRDefault="00A60ADB" w:rsidP="0096524F">
      <w:pPr>
        <w:pStyle w:val="BNormal"/>
      </w:pPr>
      <w:r w:rsidRPr="0096524F">
        <w:t xml:space="preserve">One court, while purporting to reject any </w:t>
      </w:r>
      <w:r w:rsidR="0096524F" w:rsidRPr="0096524F">
        <w:rPr>
          <w:i/>
        </w:rPr>
        <w:t>per se</w:t>
      </w:r>
      <w:r w:rsidRPr="0096524F">
        <w:t xml:space="preserve"> rule, found dilution based largely on the rationale that the defendant’s registration of domain names using the plaintiff’s mark kept the plaintiff from using the Internet effectively to sell its goods, which is little different from a </w:t>
      </w:r>
      <w:r w:rsidR="0096524F" w:rsidRPr="0096524F">
        <w:rPr>
          <w:i/>
        </w:rPr>
        <w:t>per se</w:t>
      </w:r>
      <w:r w:rsidRPr="0096524F">
        <w:t xml:space="preserve"> rule.</w:t>
      </w:r>
      <w:r w:rsidR="0096524F" w:rsidRPr="0096524F">
        <w:rPr>
          <w:vertAlign w:val="superscript"/>
        </w:rPr>
        <w:footnoteReference w:id="670"/>
      </w:r>
    </w:p>
    <w:p w14:paraId="129262C7" w14:textId="4D24B044" w:rsidR="0096524F" w:rsidRPr="0096524F" w:rsidRDefault="00A60ADB" w:rsidP="0096524F">
      <w:pPr>
        <w:pStyle w:val="BNormal"/>
      </w:pPr>
      <w:r w:rsidRPr="0096524F">
        <w:t xml:space="preserve">Another court, although agreeing that Internet domain disputes may be actionable even if they fall outside the traditional categories of blurring or </w:t>
      </w:r>
      <w:proofErr w:type="spellStart"/>
      <w:r w:rsidRPr="0096524F">
        <w:t>tarnishment</w:t>
      </w:r>
      <w:proofErr w:type="spellEnd"/>
      <w:r w:rsidRPr="0096524F">
        <w:t>, added the requirement that the defendant must make a trademark use of the famous mark (i.e., use as a domain name was not itself sufficient) before a dilution claim could exist.</w:t>
      </w:r>
      <w:r w:rsidR="0096524F" w:rsidRPr="0096524F">
        <w:rPr>
          <w:vertAlign w:val="superscript"/>
        </w:rPr>
        <w:footnoteReference w:id="671"/>
      </w:r>
      <w:r w:rsidRPr="0096524F">
        <w:t xml:space="preserve"> In other Internet cases, courts have applied the dilution tests from their respective circuits and found dilution to exist under those tests.</w:t>
      </w:r>
      <w:r w:rsidR="0096524F" w:rsidRPr="0096524F">
        <w:rPr>
          <w:vertAlign w:val="superscript"/>
        </w:rPr>
        <w:footnoteReference w:id="672"/>
      </w:r>
      <w:r w:rsidRPr="0096524F">
        <w:t xml:space="preserve"> In most cases, use of a domain name that is identical, or virtually identical, to the plaintiff’s famous trademark will be enjoined</w:t>
      </w:r>
      <w:r w:rsidR="0096524F" w:rsidRPr="0096524F">
        <w:t>.</w:t>
      </w:r>
      <w:r w:rsidR="0096524F" w:rsidRPr="0096524F">
        <w:t xml:space="preserve"> </w:t>
      </w:r>
      <w:r w:rsidR="0096524F" w:rsidRPr="0096524F">
        <w:t>H</w:t>
      </w:r>
      <w:r w:rsidRPr="0096524F">
        <w:t xml:space="preserve">owever, where the mark is a common word, </w:t>
      </w:r>
      <w:r w:rsidRPr="0096524F">
        <w:lastRenderedPageBreak/>
        <w:t>particularly where the second user’s domain name adds other terms, courts have not been as ready to enjoin the second user’s domain name.</w:t>
      </w:r>
      <w:r w:rsidR="0096524F" w:rsidRPr="0096524F">
        <w:rPr>
          <w:vertAlign w:val="superscript"/>
        </w:rPr>
        <w:footnoteReference w:id="673"/>
      </w:r>
    </w:p>
    <w:p w14:paraId="0F028CFA" w14:textId="1E7FECFA" w:rsidR="0096524F" w:rsidRPr="0096524F" w:rsidRDefault="00A60ADB" w:rsidP="0096524F">
      <w:pPr>
        <w:pStyle w:val="BNormal"/>
      </w:pPr>
      <w:r w:rsidRPr="0096524F">
        <w:t>And, although several courts have cited the loss of control over one’s reputation as dispositive,</w:t>
      </w:r>
      <w:r w:rsidR="0096524F" w:rsidRPr="0096524F">
        <w:rPr>
          <w:vertAlign w:val="superscript"/>
        </w:rPr>
        <w:footnoteReference w:id="674"/>
      </w:r>
      <w:r w:rsidRPr="0096524F">
        <w:t xml:space="preserve"> not all courts were quite as solicitous of the mark owner’s desire for control</w:t>
      </w:r>
      <w:r w:rsidR="0096524F" w:rsidRPr="0096524F">
        <w:t>.</w:t>
      </w:r>
      <w:r w:rsidR="0096524F" w:rsidRPr="0096524F">
        <w:t xml:space="preserve"> </w:t>
      </w:r>
      <w:r w:rsidR="0096524F" w:rsidRPr="0096524F">
        <w:t>I</w:t>
      </w:r>
      <w:r w:rsidRPr="0096524F">
        <w:t xml:space="preserve">n </w:t>
      </w:r>
      <w:r w:rsidR="0096524F" w:rsidRPr="0096524F">
        <w:rPr>
          <w:i/>
        </w:rPr>
        <w:t>Toys “R” Us,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Feinberg</w:t>
      </w:r>
      <w:r w:rsidRPr="0096524F">
        <w:t>,</w:t>
      </w:r>
      <w:r w:rsidR="0096524F" w:rsidRPr="0096524F">
        <w:rPr>
          <w:vertAlign w:val="superscript"/>
        </w:rPr>
        <w:footnoteReference w:id="675"/>
      </w:r>
      <w:r w:rsidRPr="0096524F">
        <w:t xml:space="preserve"> for example, the court rejected a blurring claim by Toys “R” Us against the owner of a Web site using the domain name gunsareus.com.</w:t>
      </w:r>
      <w:r w:rsidR="0096524F" w:rsidRPr="0096524F">
        <w:rPr>
          <w:vertAlign w:val="superscript"/>
        </w:rPr>
        <w:footnoteReference w:id="676"/>
      </w:r>
    </w:p>
    <w:p w14:paraId="4C09CC20" w14:textId="43B96B02" w:rsidR="0096524F" w:rsidRPr="0096524F" w:rsidRDefault="00371CCB" w:rsidP="00175762">
      <w:pPr>
        <w:pStyle w:val="BHead3"/>
      </w:pPr>
      <w:r>
        <w:t>9.II.H.</w:t>
      </w:r>
      <w:r w:rsidR="0096524F" w:rsidRPr="00175762">
        <w:rPr>
          <w:rStyle w:val="BBNAidChar"/>
          <w:rFonts w:eastAsiaTheme="majorEastAsia"/>
        </w:rPr>
        <w:t>3</w:t>
      </w:r>
      <w:r w:rsidR="0096524F" w:rsidRPr="0096524F">
        <w:t>.</w:t>
      </w:r>
      <w:r>
        <w:t> </w:t>
      </w:r>
      <w:r w:rsidR="0096524F" w:rsidRPr="0096524F">
        <w:tab/>
        <w:t>The TDRA Undermines the Rationale for a Per Se Test</w:t>
      </w:r>
      <w:r w:rsidR="0096524F" w:rsidRPr="0096524F">
        <w:t xml:space="preserve"> </w:t>
      </w:r>
      <w:r w:rsidR="0096524F" w:rsidRPr="0096524F">
        <w:rPr>
          <w:vertAlign w:val="superscript"/>
        </w:rPr>
        <w:footnoteReference w:id="677"/>
      </w:r>
    </w:p>
    <w:p w14:paraId="20D8F094" w14:textId="2FD007B2" w:rsidR="0096524F" w:rsidRPr="0096524F" w:rsidRDefault="00A60ADB" w:rsidP="0096524F">
      <w:pPr>
        <w:pStyle w:val="BNormal"/>
      </w:pPr>
      <w:r w:rsidRPr="0096524F">
        <w:t xml:space="preserve">The definition of dilution under the TDRA undermines much of the rationale for a </w:t>
      </w:r>
      <w:r w:rsidR="0096524F" w:rsidRPr="0096524F">
        <w:rPr>
          <w:i/>
        </w:rPr>
        <w:t>per se</w:t>
      </w:r>
      <w:r w:rsidRPr="0096524F">
        <w:t xml:space="preserve"> rule</w:t>
      </w:r>
      <w:r w:rsidR="0096524F" w:rsidRPr="0096524F">
        <w:t>.</w:t>
      </w:r>
      <w:r w:rsidR="0096524F" w:rsidRPr="0096524F">
        <w:t xml:space="preserve"> </w:t>
      </w:r>
      <w:r w:rsidR="0096524F" w:rsidRPr="0096524F">
        <w:t>F</w:t>
      </w:r>
      <w:r w:rsidRPr="0096524F">
        <w:t xml:space="preserve">irst of all, to the extent that the claim relies on blurring, the current definition does not fit the </w:t>
      </w:r>
      <w:r w:rsidR="0096524F" w:rsidRPr="0096524F">
        <w:rPr>
          <w:i/>
        </w:rPr>
        <w:t>per se</w:t>
      </w:r>
      <w:r w:rsidRPr="0096524F">
        <w:t xml:space="preserve"> rationale used by courts</w:t>
      </w:r>
      <w:r w:rsidR="0096524F" w:rsidRPr="0096524F">
        <w:t>.</w:t>
      </w:r>
      <w:r w:rsidR="0096524F" w:rsidRPr="0096524F">
        <w:t xml:space="preserve"> </w:t>
      </w:r>
      <w:r w:rsidR="0096524F" w:rsidRPr="0096524F">
        <w:t>C</w:t>
      </w:r>
      <w:r w:rsidRPr="0096524F">
        <w:t xml:space="preserve">ourts have justified using dilution on the theory that the </w:t>
      </w:r>
      <w:proofErr w:type="spellStart"/>
      <w:r w:rsidRPr="0096524F">
        <w:t>cybersquatter</w:t>
      </w:r>
      <w:proofErr w:type="spellEnd"/>
      <w:r w:rsidRPr="0096524F">
        <w:t xml:space="preserve"> has “blocked” the mark owner from using its trademark as a domain name</w:t>
      </w:r>
      <w:r w:rsidR="0096524F" w:rsidRPr="0096524F">
        <w:t>.</w:t>
      </w:r>
      <w:r w:rsidR="0096524F" w:rsidRPr="0096524F">
        <w:t xml:space="preserve"> </w:t>
      </w:r>
      <w:r w:rsidR="0096524F" w:rsidRPr="0096524F">
        <w:t>H</w:t>
      </w:r>
      <w:r w:rsidRPr="0096524F">
        <w:t>owever, “blocking” does not necessarily harm the distinctiveness of the famous mark, which is a key component of the definition of blurring</w:t>
      </w:r>
      <w:r w:rsidR="0096524F" w:rsidRPr="0096524F">
        <w:t>.</w:t>
      </w:r>
      <w:r w:rsidR="0096524F" w:rsidRPr="0096524F">
        <w:t xml:space="preserve"> </w:t>
      </w:r>
      <w:r w:rsidR="0096524F" w:rsidRPr="0096524F">
        <w:t>M</w:t>
      </w:r>
      <w:r w:rsidRPr="0096524F">
        <w:t xml:space="preserve">oreover, the multiple statutory factors attached to the definition of blurring indicate that Congress favored a balancing approach rather than a rigid </w:t>
      </w:r>
      <w:r w:rsidR="0096524F" w:rsidRPr="0096524F">
        <w:rPr>
          <w:i/>
        </w:rPr>
        <w:t>per se</w:t>
      </w:r>
      <w:r w:rsidRPr="0096524F">
        <w:t xml:space="preserve"> approach.</w:t>
      </w:r>
    </w:p>
    <w:p w14:paraId="2CDC4D73" w14:textId="5AC3FBEC" w:rsidR="0096524F" w:rsidRPr="0096524F" w:rsidRDefault="00A60ADB" w:rsidP="0096524F">
      <w:pPr>
        <w:pStyle w:val="BNormal"/>
      </w:pPr>
      <w:r w:rsidRPr="0096524F">
        <w:t xml:space="preserve">Second, to the extent that courts using a </w:t>
      </w:r>
      <w:r w:rsidR="0096524F" w:rsidRPr="0096524F">
        <w:rPr>
          <w:i/>
        </w:rPr>
        <w:t>per se</w:t>
      </w:r>
      <w:r w:rsidRPr="0096524F">
        <w:t xml:space="preserve"> test assumed that dilution encompassed categories other than blurring and </w:t>
      </w:r>
      <w:proofErr w:type="spellStart"/>
      <w:r w:rsidRPr="0096524F">
        <w:t>tarnishment</w:t>
      </w:r>
      <w:proofErr w:type="spellEnd"/>
      <w:r w:rsidRPr="0096524F">
        <w:t>, that rationale is undercut by the TDRA’s limitation of dilution to those two categories.</w:t>
      </w:r>
    </w:p>
    <w:p w14:paraId="3952BF7D" w14:textId="2BA478C8" w:rsidR="0096524F" w:rsidRPr="0096524F" w:rsidRDefault="00A60ADB" w:rsidP="0096524F">
      <w:pPr>
        <w:pStyle w:val="BNormal"/>
      </w:pPr>
      <w:r w:rsidRPr="0096524F">
        <w:lastRenderedPageBreak/>
        <w:t xml:space="preserve">It is noteworthy that the first court to comment on this issue found no </w:t>
      </w:r>
      <w:r w:rsidR="0096524F" w:rsidRPr="0096524F">
        <w:rPr>
          <w:i/>
        </w:rPr>
        <w:t>per se</w:t>
      </w:r>
      <w:r w:rsidRPr="0096524F">
        <w:t xml:space="preserve"> dilution test under the TDRA.</w:t>
      </w:r>
      <w:r w:rsidR="0096524F" w:rsidRPr="0096524F">
        <w:rPr>
          <w:vertAlign w:val="superscript"/>
        </w:rPr>
        <w:footnoteReference w:id="678"/>
      </w:r>
    </w:p>
    <w:p w14:paraId="40F0322E" w14:textId="311F35BF" w:rsidR="0096524F" w:rsidRPr="0096524F" w:rsidRDefault="00A60ADB" w:rsidP="0096524F">
      <w:pPr>
        <w:pStyle w:val="BNormal"/>
      </w:pPr>
      <w:r w:rsidRPr="0096524F">
        <w:t xml:space="preserve">There is one possible </w:t>
      </w:r>
      <w:r w:rsidR="0096524F" w:rsidRPr="0096524F">
        <w:rPr>
          <w:i/>
        </w:rPr>
        <w:t>per se</w:t>
      </w:r>
      <w:r w:rsidRPr="0096524F">
        <w:t xml:space="preserve"> analysis available in Internet domain cases</w:t>
      </w:r>
      <w:r w:rsidR="0096524F" w:rsidRPr="0096524F">
        <w:t>.</w:t>
      </w:r>
      <w:r w:rsidR="0096524F" w:rsidRPr="0096524F">
        <w:t xml:space="preserve"> </w:t>
      </w:r>
      <w:r w:rsidR="0096524F" w:rsidRPr="0096524F">
        <w:t>A</w:t>
      </w:r>
      <w:r w:rsidRPr="0096524F">
        <w:t>s noted earlier in this chapter, the Sixth Circuit considers unauthorized sexually oriented uses of a famous mark to be presumptively tarnishing.</w:t>
      </w:r>
      <w:r w:rsidR="0096524F" w:rsidRPr="0096524F">
        <w:rPr>
          <w:vertAlign w:val="superscript"/>
        </w:rPr>
        <w:footnoteReference w:id="679"/>
      </w:r>
      <w:r w:rsidRPr="0096524F">
        <w:t xml:space="preserve"> That could justify a limited, quasi </w:t>
      </w:r>
      <w:r w:rsidR="0096524F" w:rsidRPr="0096524F">
        <w:rPr>
          <w:i/>
        </w:rPr>
        <w:t>per se</w:t>
      </w:r>
      <w:r w:rsidRPr="0096524F">
        <w:t xml:space="preserve"> test—not a full </w:t>
      </w:r>
      <w:r w:rsidR="0096524F" w:rsidRPr="0096524F">
        <w:rPr>
          <w:i/>
        </w:rPr>
        <w:t>per se</w:t>
      </w:r>
      <w:r w:rsidRPr="0096524F">
        <w:t xml:space="preserve"> test because the presumption (or inference) can be rebutted.</w:t>
      </w:r>
      <w:r w:rsidR="0096524F" w:rsidRPr="0096524F">
        <w:rPr>
          <w:vertAlign w:val="superscript"/>
        </w:rPr>
        <w:footnoteReference w:id="680"/>
      </w:r>
    </w:p>
    <w:p w14:paraId="7D87CBF6" w14:textId="3388AE3B" w:rsidR="0096524F" w:rsidRPr="0096524F" w:rsidRDefault="0096524F" w:rsidP="0096524F">
      <w:pPr>
        <w:pStyle w:val="BQuotelong"/>
      </w:pPr>
      <w:r w:rsidRPr="0096524F">
        <w:rPr>
          <w:i/>
        </w:rPr>
        <w:t>4A.</w:t>
      </w:r>
      <w:r w:rsidR="00175762">
        <w:rPr>
          <w:i/>
        </w:rPr>
        <w:t xml:space="preserve"> </w:t>
      </w:r>
      <w:r w:rsidRPr="0096524F">
        <w:rPr>
          <w:i/>
        </w:rPr>
        <w:t>Cybersquatting as Dilution After the TDRA</w:t>
      </w:r>
    </w:p>
    <w:p w14:paraId="298293AA" w14:textId="43DE615C" w:rsidR="0096524F" w:rsidRPr="0096524F" w:rsidRDefault="00A60ADB" w:rsidP="0096524F">
      <w:pPr>
        <w:pStyle w:val="BNormal"/>
      </w:pPr>
      <w:r w:rsidRPr="0096524F">
        <w:t xml:space="preserve">Even though the TDRA undermines any </w:t>
      </w:r>
      <w:r w:rsidR="0096524F" w:rsidRPr="0096524F">
        <w:rPr>
          <w:i/>
        </w:rPr>
        <w:t>per se</w:t>
      </w:r>
      <w:r w:rsidRPr="0096524F">
        <w:t xml:space="preserve"> test for dilution by cybersquatting, this does not mean that the TDRA cannot be applied to such activity</w:t>
      </w:r>
      <w:r w:rsidR="0096524F" w:rsidRPr="0096524F">
        <w:t>.</w:t>
      </w:r>
      <w:r w:rsidR="0096524F" w:rsidRPr="0096524F">
        <w:t xml:space="preserve"> </w:t>
      </w:r>
      <w:r w:rsidR="0096524F" w:rsidRPr="0096524F">
        <w:t>I</w:t>
      </w:r>
      <w:r w:rsidRPr="0096524F">
        <w:t xml:space="preserve">n one case, for example, a court found likely dilution by </w:t>
      </w:r>
      <w:proofErr w:type="spellStart"/>
      <w:r w:rsidRPr="0096524F">
        <w:t>tarnishment</w:t>
      </w:r>
      <w:proofErr w:type="spellEnd"/>
      <w:r w:rsidRPr="0096524F">
        <w:t xml:space="preserve"> where defendant did not provide any goods or services in connection with the offending domain names.</w:t>
      </w:r>
      <w:r w:rsidR="0096524F" w:rsidRPr="0096524F">
        <w:rPr>
          <w:vertAlign w:val="superscript"/>
        </w:rPr>
        <w:footnoteReference w:id="681"/>
      </w:r>
    </w:p>
    <w:p w14:paraId="5309B5C8" w14:textId="09385849" w:rsidR="0096524F" w:rsidRPr="0096524F" w:rsidRDefault="00A60ADB" w:rsidP="0096524F">
      <w:pPr>
        <w:pStyle w:val="BNormal"/>
      </w:pPr>
      <w:r w:rsidRPr="0096524F">
        <w:t xml:space="preserve">However, it should be noted that the </w:t>
      </w:r>
      <w:proofErr w:type="spellStart"/>
      <w:r w:rsidRPr="0096524F">
        <w:t>Anticybersquatting</w:t>
      </w:r>
      <w:proofErr w:type="spellEnd"/>
      <w:r w:rsidRPr="0096524F">
        <w:t xml:space="preserve"> Consumer Protection Act (ACPA)</w:t>
      </w:r>
      <w:r w:rsidR="0096524F" w:rsidRPr="0096524F">
        <w:rPr>
          <w:vertAlign w:val="superscript"/>
        </w:rPr>
        <w:footnoteReference w:id="682"/>
      </w:r>
      <w:r w:rsidRPr="0096524F">
        <w:t xml:space="preserve"> provides a specific remedy, including the possibility of statutory damages, for cybersquatting, and it is to be expected that the ACPA will be the primary source of claims for cybersquatting.</w:t>
      </w:r>
    </w:p>
    <w:p w14:paraId="7A4B463E" w14:textId="3B4B130E" w:rsidR="0096524F" w:rsidRPr="0096524F" w:rsidRDefault="00371CCB" w:rsidP="00175762">
      <w:pPr>
        <w:pStyle w:val="BHead3"/>
      </w:pPr>
      <w:r>
        <w:t>9.II.H.</w:t>
      </w:r>
      <w:r w:rsidR="0096524F" w:rsidRPr="00175762">
        <w:rPr>
          <w:rStyle w:val="BBNAidChar"/>
          <w:rFonts w:eastAsiaTheme="majorEastAsia"/>
        </w:rPr>
        <w:t>4</w:t>
      </w:r>
      <w:r w:rsidR="0096524F" w:rsidRPr="0096524F">
        <w:t>.</w:t>
      </w:r>
      <w:r>
        <w:t> </w:t>
      </w:r>
      <w:r w:rsidR="0096524F" w:rsidRPr="0096524F">
        <w:tab/>
        <w:t>Domain Names and Critical Commentary</w:t>
      </w:r>
    </w:p>
    <w:p w14:paraId="6E6EEAEC" w14:textId="79CC299D" w:rsidR="0096524F" w:rsidRPr="0096524F" w:rsidRDefault="00A60ADB" w:rsidP="0096524F">
      <w:pPr>
        <w:pStyle w:val="BNormal"/>
      </w:pPr>
      <w:r w:rsidRPr="0096524F">
        <w:t>Several Internet domain name cases have involved Web sites whose purpose is to provide criticism of an organization or a company</w:t>
      </w:r>
      <w:r w:rsidR="0096524F" w:rsidRPr="0096524F">
        <w:t>.</w:t>
      </w:r>
      <w:r w:rsidR="0096524F" w:rsidRPr="0096524F">
        <w:t xml:space="preserve"> </w:t>
      </w:r>
      <w:r w:rsidR="0096524F" w:rsidRPr="0096524F">
        <w:t>T</w:t>
      </w:r>
      <w:r w:rsidRPr="0096524F">
        <w:t>hese cases divide generally into two categories</w:t>
      </w:r>
      <w:r w:rsidR="0096524F" w:rsidRPr="0096524F">
        <w:t>.</w:t>
      </w:r>
      <w:r w:rsidR="0096524F" w:rsidRPr="0096524F">
        <w:t xml:space="preserve"> </w:t>
      </w:r>
      <w:r w:rsidR="0096524F" w:rsidRPr="0096524F">
        <w:t>T</w:t>
      </w:r>
      <w:r w:rsidRPr="0096524F">
        <w:t>he first category includes cases where the domain name essentially consists of the trademark of the company or organization—i.e., in the form trademark.com, trademark.net, or trademark.org.</w:t>
      </w:r>
      <w:r w:rsidR="0096524F" w:rsidRPr="0096524F">
        <w:rPr>
          <w:vertAlign w:val="superscript"/>
        </w:rPr>
        <w:footnoteReference w:id="683"/>
      </w:r>
      <w:r w:rsidRPr="0096524F">
        <w:t xml:space="preserve"> The second category includes cases where the domain name </w:t>
      </w:r>
      <w:r w:rsidRPr="0096524F">
        <w:lastRenderedPageBreak/>
        <w:t>contains the trademark, but also contains other indications that the site is not authorized by the trademark owner.</w:t>
      </w:r>
      <w:r w:rsidR="0096524F" w:rsidRPr="0096524F">
        <w:rPr>
          <w:vertAlign w:val="superscript"/>
        </w:rPr>
        <w:footnoteReference w:id="684"/>
      </w:r>
    </w:p>
    <w:p w14:paraId="54630ECC" w14:textId="027462A0" w:rsidR="0096524F" w:rsidRPr="0096524F" w:rsidRDefault="00A60ADB" w:rsidP="0096524F">
      <w:pPr>
        <w:pStyle w:val="BNormal"/>
      </w:pPr>
      <w:r w:rsidRPr="0096524F">
        <w:t>One concern with Web pages containing critical commentary is whether such uses constitute a “use in commerce” of the famous mark, particularly when the purpose of the site is to comment on the business of the well-known mark owner</w:t>
      </w:r>
      <w:r w:rsidR="0096524F" w:rsidRPr="0096524F">
        <w:t>.</w:t>
      </w:r>
      <w:r w:rsidR="0096524F" w:rsidRPr="0096524F">
        <w:t xml:space="preserve"> </w:t>
      </w:r>
      <w:r w:rsidR="0096524F" w:rsidRPr="0096524F">
        <w:t>T</w:t>
      </w:r>
      <w:r w:rsidRPr="0096524F">
        <w:t>he operative language of the TDRA requires a “use in commerce” of the famous mark by the second user,</w:t>
      </w:r>
      <w:r w:rsidR="0096524F" w:rsidRPr="0096524F">
        <w:rPr>
          <w:vertAlign w:val="superscript"/>
        </w:rPr>
        <w:footnoteReference w:id="685"/>
      </w:r>
      <w:r w:rsidRPr="0096524F">
        <w:t xml:space="preserve"> and the phrase “use in commerce” is specifically defined in the Lanham Act.</w:t>
      </w:r>
      <w:r w:rsidR="0096524F" w:rsidRPr="0096524F">
        <w:rPr>
          <w:vertAlign w:val="superscript"/>
        </w:rPr>
        <w:footnoteReference w:id="686"/>
      </w:r>
      <w:r w:rsidRPr="0096524F">
        <w:t xml:space="preserve"> Moreover, if the commentary qualifies as a “noncommercial use,” then a dilution claim would be barred by Section 43(c)(3)(C).</w:t>
      </w:r>
      <w:r w:rsidR="0096524F" w:rsidRPr="0096524F">
        <w:rPr>
          <w:vertAlign w:val="superscript"/>
        </w:rPr>
        <w:footnoteReference w:id="687"/>
      </w:r>
      <w:r w:rsidRPr="0096524F">
        <w:t xml:space="preserve"> In cases prior to the TDRA, courts found sufficient commercial connections when the Web site contained links to money-raising ventures (and/or contained advertising) or where the site solicited funds from users.</w:t>
      </w:r>
      <w:r w:rsidR="0096524F" w:rsidRPr="0096524F">
        <w:rPr>
          <w:vertAlign w:val="superscript"/>
        </w:rPr>
        <w:footnoteReference w:id="688"/>
      </w:r>
      <w:r w:rsidRPr="0096524F">
        <w:t xml:space="preserve"> However, several cases applying the original FTDA’s “</w:t>
      </w:r>
      <w:r w:rsidR="0096524F" w:rsidRPr="0096524F">
        <w:rPr>
          <w:i/>
        </w:rPr>
        <w:t>commercial</w:t>
      </w:r>
      <w:r w:rsidRPr="0096524F">
        <w:t xml:space="preserve"> use in commerce” requirement found no commercial use, even where the domain name was essentially trademark.com</w:t>
      </w:r>
      <w:r w:rsidR="0096524F" w:rsidRPr="0096524F">
        <w:t>.</w:t>
      </w:r>
      <w:r w:rsidR="0096524F" w:rsidRPr="0096524F">
        <w:t xml:space="preserve"> </w:t>
      </w:r>
      <w:r w:rsidR="0096524F" w:rsidRPr="0096524F">
        <w:t>T</w:t>
      </w:r>
      <w:r w:rsidRPr="0096524F">
        <w:t xml:space="preserve">hus, in </w:t>
      </w:r>
      <w:r w:rsidR="0096524F" w:rsidRPr="0096524F">
        <w:rPr>
          <w:i/>
        </w:rPr>
        <w:t>Northland Insurance Cos</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Blaylock</w:t>
      </w:r>
      <w:r w:rsidRPr="0096524F">
        <w:t>,</w:t>
      </w:r>
      <w:r w:rsidR="0096524F" w:rsidRPr="0096524F">
        <w:rPr>
          <w:vertAlign w:val="superscript"/>
        </w:rPr>
        <w:footnoteReference w:id="689"/>
      </w:r>
      <w:r w:rsidRPr="0096524F">
        <w:t xml:space="preserve"> the court gave greater leeway to the critical Web site</w:t>
      </w:r>
      <w:r w:rsidR="0096524F" w:rsidRPr="0096524F">
        <w:t>.</w:t>
      </w:r>
      <w:r w:rsidR="0096524F" w:rsidRPr="0096524F">
        <w:t xml:space="preserve"> </w:t>
      </w:r>
      <w:r w:rsidR="0096524F" w:rsidRPr="0096524F">
        <w:t>T</w:t>
      </w:r>
      <w:r w:rsidRPr="0096524F">
        <w:t>he defendant used northlandinsurance.com as the domain name for his Web site criticizing the company</w:t>
      </w:r>
      <w:r w:rsidR="0096524F" w:rsidRPr="0096524F">
        <w:t>.</w:t>
      </w:r>
      <w:r w:rsidR="0096524F" w:rsidRPr="0096524F">
        <w:t xml:space="preserve"> </w:t>
      </w:r>
      <w:r w:rsidR="0096524F" w:rsidRPr="0096524F">
        <w:t>T</w:t>
      </w:r>
      <w:r w:rsidRPr="0096524F">
        <w:t>he court found a lack of evidence of any commercial use and refused a preliminary injunction.</w:t>
      </w:r>
      <w:r w:rsidR="0096524F" w:rsidRPr="0096524F">
        <w:rPr>
          <w:vertAlign w:val="superscript"/>
        </w:rPr>
        <w:footnoteReference w:id="690"/>
      </w:r>
      <w:r w:rsidRPr="0096524F">
        <w:t xml:space="preserve"> Significantly, the court rejected the plaintiff’s argument that by interfering with the plaintiff’s use of the Internet to attract customers, the defendant made commercial use of the mark.</w:t>
      </w:r>
      <w:r w:rsidR="0096524F" w:rsidRPr="0096524F">
        <w:rPr>
          <w:vertAlign w:val="superscript"/>
        </w:rPr>
        <w:footnoteReference w:id="691"/>
      </w:r>
      <w:r w:rsidRPr="0096524F">
        <w:t xml:space="preserve"> As noted earlier, much the same argument about interfering with the </w:t>
      </w:r>
      <w:r w:rsidRPr="0096524F">
        <w:lastRenderedPageBreak/>
        <w:t>plaintiff’s ability to use the Internet to communicate with customers has been used by courts (after finding commercial use) to support the existence of dilution.</w:t>
      </w:r>
    </w:p>
    <w:p w14:paraId="42622886" w14:textId="063C39FD" w:rsidR="0096524F" w:rsidRPr="0096524F" w:rsidRDefault="00A60ADB" w:rsidP="0096524F">
      <w:pPr>
        <w:pStyle w:val="BNormal"/>
      </w:pPr>
      <w:r w:rsidRPr="0096524F">
        <w:t xml:space="preserve">Similarly, in </w:t>
      </w:r>
      <w:r w:rsidR="0096524F" w:rsidRPr="0096524F">
        <w:rPr>
          <w:i/>
        </w:rPr>
        <w:t>Taubman Co</w:t>
      </w:r>
      <w:r w:rsidR="0096524F" w:rsidRPr="0096524F">
        <w:t>.</w:t>
      </w:r>
      <w:r w:rsidR="0096524F" w:rsidRPr="0096524F">
        <w:t xml:space="preserve"> </w:t>
      </w:r>
      <w:r w:rsidR="0096524F" w:rsidRPr="0096524F">
        <w:rPr>
          <w:i/>
        </w:rPr>
        <w:t>v</w:t>
      </w:r>
      <w:r w:rsidR="0096524F" w:rsidRPr="0096524F">
        <w:t>.</w:t>
      </w:r>
      <w:r w:rsidR="0096524F" w:rsidRPr="0096524F">
        <w:t xml:space="preserve"> </w:t>
      </w:r>
      <w:proofErr w:type="spellStart"/>
      <w:r w:rsidR="0096524F" w:rsidRPr="0096524F">
        <w:rPr>
          <w:i/>
        </w:rPr>
        <w:t>Webfeats</w:t>
      </w:r>
      <w:proofErr w:type="spellEnd"/>
      <w:r w:rsidRPr="0096524F">
        <w:t>,</w:t>
      </w:r>
      <w:r w:rsidR="0096524F" w:rsidRPr="0096524F">
        <w:rPr>
          <w:vertAlign w:val="superscript"/>
        </w:rPr>
        <w:footnoteReference w:id="692"/>
      </w:r>
      <w:r w:rsidRPr="0096524F">
        <w:t xml:space="preserve"> the plaintiff, owner of a mall named The Shops at Willow Bend, sued the registrant of the domain name shopsatwillowbend.com</w:t>
      </w:r>
      <w:r w:rsidR="0096524F" w:rsidRPr="0096524F">
        <w:t>.</w:t>
      </w:r>
      <w:r w:rsidR="0096524F" w:rsidRPr="0096524F">
        <w:t xml:space="preserve"> </w:t>
      </w:r>
      <w:r w:rsidR="0096524F" w:rsidRPr="0096524F">
        <w:t>T</w:t>
      </w:r>
      <w:r w:rsidRPr="0096524F">
        <w:t>he Sixth Circuit, reversing the trial court, found that the defendant’s Web site (which originally contained information about the mall but later contained information about the lawsuit) did not constitute a commercial use</w:t>
      </w:r>
      <w:r w:rsidR="0096524F" w:rsidRPr="0096524F">
        <w:t>.</w:t>
      </w:r>
      <w:r w:rsidR="0096524F" w:rsidRPr="0096524F">
        <w:t xml:space="preserve"> </w:t>
      </w:r>
      <w:r w:rsidR="0096524F" w:rsidRPr="0096524F">
        <w:t>S</w:t>
      </w:r>
      <w:r w:rsidRPr="0096524F">
        <w:t>ignificantly, although the site originally contained a link to a commercial business, once that link was removed, with a promise not to recreate it, the court found that any commercial connection had been severed.</w:t>
      </w:r>
      <w:r w:rsidR="0096524F" w:rsidRPr="0096524F">
        <w:rPr>
          <w:vertAlign w:val="superscript"/>
        </w:rPr>
        <w:footnoteReference w:id="693"/>
      </w:r>
      <w:r w:rsidRPr="0096524F">
        <w:t xml:space="preserve"> Moreover, the court rejected the plaintiff’s assertion that the defendant’s acceptance of an offer to buy the domain name would be a “commercial” use.</w:t>
      </w:r>
      <w:r w:rsidR="0096524F" w:rsidRPr="0096524F">
        <w:rPr>
          <w:vertAlign w:val="superscript"/>
        </w:rPr>
        <w:footnoteReference w:id="694"/>
      </w:r>
    </w:p>
    <w:p w14:paraId="4A0446F8" w14:textId="05E47D40" w:rsidR="0096524F" w:rsidRPr="0096524F" w:rsidRDefault="00A60ADB" w:rsidP="0096524F">
      <w:pPr>
        <w:pStyle w:val="BNormal"/>
      </w:pPr>
      <w:r w:rsidRPr="0096524F">
        <w:t xml:space="preserve">And in </w:t>
      </w:r>
      <w:r w:rsidR="0096524F" w:rsidRPr="0096524F">
        <w:rPr>
          <w:i/>
        </w:rPr>
        <w:t>Bosley Medical Institute,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Kremer</w:t>
      </w:r>
      <w:r w:rsidRPr="0096524F">
        <w:t>,</w:t>
      </w:r>
      <w:r w:rsidR="0096524F" w:rsidRPr="0096524F">
        <w:rPr>
          <w:vertAlign w:val="superscript"/>
        </w:rPr>
        <w:footnoteReference w:id="695"/>
      </w:r>
      <w:r w:rsidRPr="0096524F">
        <w:t xml:space="preserve"> the Ninth Circuit held that the defendant’s “gripe” site, www.bosleymedical.com, was not a commercial use and was not actionable as either infringement or dilution</w:t>
      </w:r>
      <w:r w:rsidR="0096524F" w:rsidRPr="0096524F">
        <w:t>.</w:t>
      </w:r>
      <w:r w:rsidR="0096524F" w:rsidRPr="0096524F">
        <w:t xml:space="preserve"> </w:t>
      </w:r>
      <w:r w:rsidR="0096524F" w:rsidRPr="0096524F">
        <w:t>I</w:t>
      </w:r>
      <w:r w:rsidRPr="0096524F">
        <w:t>n doing so, the court defined commercial use in commerce as “use in connection with the sale of goods.”</w:t>
      </w:r>
      <w:r w:rsidR="0096524F" w:rsidRPr="0096524F">
        <w:rPr>
          <w:vertAlign w:val="superscript"/>
        </w:rPr>
        <w:footnoteReference w:id="696"/>
      </w:r>
      <w:r w:rsidRPr="0096524F">
        <w:t xml:space="preserve"> It found no commercial links on the defendant’s Web site</w:t>
      </w:r>
      <w:r w:rsidR="0096524F" w:rsidRPr="0096524F">
        <w:t>;</w:t>
      </w:r>
      <w:r w:rsidR="0096524F" w:rsidRPr="0096524F">
        <w:t xml:space="preserve"> </w:t>
      </w:r>
      <w:r w:rsidR="0096524F" w:rsidRPr="0096524F">
        <w:t>a</w:t>
      </w:r>
      <w:r w:rsidRPr="0096524F">
        <w:t xml:space="preserve"> link to a public interest group representing the defendant was deemed not commercial.</w:t>
      </w:r>
      <w:r w:rsidR="0096524F" w:rsidRPr="0096524F">
        <w:rPr>
          <w:vertAlign w:val="superscript"/>
        </w:rPr>
        <w:footnoteReference w:id="697"/>
      </w:r>
      <w:r w:rsidRPr="0096524F">
        <w:t xml:space="preserve"> Finally, and perhaps most important, the court rejected the argument that commercial use was satisfied by blocking the </w:t>
      </w:r>
      <w:r w:rsidR="0096524F" w:rsidRPr="0096524F">
        <w:rPr>
          <w:i/>
        </w:rPr>
        <w:t>plaintiff’s</w:t>
      </w:r>
      <w:r w:rsidRPr="0096524F">
        <w:t xml:space="preserve"> ability to use the domain name.</w:t>
      </w:r>
      <w:r w:rsidR="0096524F" w:rsidRPr="0096524F">
        <w:rPr>
          <w:vertAlign w:val="superscript"/>
        </w:rPr>
        <w:footnoteReference w:id="698"/>
      </w:r>
    </w:p>
    <w:p w14:paraId="6713384A" w14:textId="6C77CC2B" w:rsidR="0096524F" w:rsidRPr="0096524F" w:rsidRDefault="00A60ADB" w:rsidP="0096524F">
      <w:pPr>
        <w:pStyle w:val="BNormal"/>
      </w:pPr>
      <w:r w:rsidRPr="0096524F">
        <w:t>Thus, prior to the TDRA, courts were not consistent about the treatment of trademark.com sites involving commentary, particularly regarding the commercial nature of the use.</w:t>
      </w:r>
      <w:r w:rsidR="0096524F" w:rsidRPr="0096524F">
        <w:rPr>
          <w:vertAlign w:val="superscript"/>
        </w:rPr>
        <w:footnoteReference w:id="699"/>
      </w:r>
    </w:p>
    <w:p w14:paraId="6898DF7A" w14:textId="1DEBFFC4" w:rsidR="0096524F" w:rsidRPr="0096524F" w:rsidRDefault="00A60ADB" w:rsidP="0096524F">
      <w:pPr>
        <w:pStyle w:val="BNormal"/>
      </w:pPr>
      <w:r w:rsidRPr="0096524F">
        <w:t>In the second category, where the domain name is not trademark.com, the “Bally sucks” case</w:t>
      </w:r>
      <w:r w:rsidR="0096524F" w:rsidRPr="0096524F">
        <w:rPr>
          <w:vertAlign w:val="superscript"/>
        </w:rPr>
        <w:footnoteReference w:id="700"/>
      </w:r>
      <w:r w:rsidRPr="0096524F">
        <w:t xml:space="preserve"> is probably the best known</w:t>
      </w:r>
      <w:r w:rsidR="0096524F" w:rsidRPr="0096524F">
        <w:t>.</w:t>
      </w:r>
      <w:r w:rsidR="0096524F" w:rsidRPr="0096524F">
        <w:t xml:space="preserve"> </w:t>
      </w:r>
      <w:r w:rsidR="0096524F" w:rsidRPr="0096524F">
        <w:t>T</w:t>
      </w:r>
      <w:r w:rsidRPr="0096524F">
        <w:t>here, the court rejected infringement and dilution claims based on the defendant’s creation of a Web site entitled Bally sucks.</w:t>
      </w:r>
      <w:r w:rsidR="0096524F" w:rsidRPr="0096524F">
        <w:rPr>
          <w:vertAlign w:val="superscript"/>
        </w:rPr>
        <w:footnoteReference w:id="701"/>
      </w:r>
      <w:r w:rsidRPr="0096524F">
        <w:t xml:space="preserve"> The defendant did not use bally.com or even ballysucks.com as its domain name, although it did use an address containing Bally in a subdomain</w:t>
      </w:r>
      <w:r w:rsidR="0096524F" w:rsidRPr="0096524F">
        <w:t>:</w:t>
      </w:r>
      <w:r w:rsidR="0096524F" w:rsidRPr="0096524F">
        <w:t xml:space="preserve"> </w:t>
      </w:r>
      <w:r w:rsidR="0096524F" w:rsidRPr="0096524F">
        <w:t>w</w:t>
      </w:r>
      <w:r w:rsidRPr="0096524F">
        <w:t>ww.compupix.com/ballysucks.</w:t>
      </w:r>
      <w:r w:rsidR="0096524F" w:rsidRPr="0096524F">
        <w:rPr>
          <w:vertAlign w:val="superscript"/>
        </w:rPr>
        <w:footnoteReference w:id="702"/>
      </w:r>
      <w:r w:rsidRPr="0096524F">
        <w:t xml:space="preserve"> However, the court’s broad statement that commentary was not a “commercial” use and, even if it were, it would be protected speech indicates that it would have viewed ballysucks.com as being similarly protected.</w:t>
      </w:r>
      <w:r w:rsidR="0096524F" w:rsidRPr="0096524F">
        <w:rPr>
          <w:vertAlign w:val="superscript"/>
        </w:rPr>
        <w:footnoteReference w:id="703"/>
      </w:r>
    </w:p>
    <w:p w14:paraId="50575851" w14:textId="4C539816" w:rsidR="0096524F" w:rsidRPr="0096524F" w:rsidRDefault="00A60ADB" w:rsidP="0096524F">
      <w:pPr>
        <w:pStyle w:val="BNormal"/>
      </w:pPr>
      <w:r w:rsidRPr="0096524F">
        <w:lastRenderedPageBreak/>
        <w:t>The two categories are distinguishable</w:t>
      </w:r>
      <w:r w:rsidR="0096524F" w:rsidRPr="0096524F">
        <w:t>.</w:t>
      </w:r>
      <w:r w:rsidR="0096524F" w:rsidRPr="0096524F">
        <w:t xml:space="preserve"> </w:t>
      </w:r>
      <w:r w:rsidR="0096524F" w:rsidRPr="0096524F">
        <w:t>I</w:t>
      </w:r>
      <w:r w:rsidRPr="0096524F">
        <w:t>f a person uses trademark</w:t>
      </w:r>
      <w:r w:rsidR="00371CCB">
        <w:t xml:space="preserve"> </w:t>
      </w:r>
      <w:r w:rsidRPr="0096524F">
        <w:t>sucks.com as a domain name for nondefamatory critical commentary, that does not prevent the mark owner from making efficient use of the Internet domain system to sell its services or promote its cause</w:t>
      </w:r>
      <w:r w:rsidR="0096524F" w:rsidRPr="0096524F">
        <w:t>.</w:t>
      </w:r>
      <w:r w:rsidR="0096524F" w:rsidRPr="0096524F">
        <w:t xml:space="preserve"> </w:t>
      </w:r>
      <w:r w:rsidR="0096524F" w:rsidRPr="0096524F">
        <w:t>A</w:t>
      </w:r>
      <w:r w:rsidRPr="0096524F">
        <w:t xml:space="preserve">s long as the domain name itself is not defamatory, its use should not be considered diluting, particularly not in the </w:t>
      </w:r>
      <w:r w:rsidR="0096524F" w:rsidRPr="0096524F">
        <w:rPr>
          <w:i/>
        </w:rPr>
        <w:t>per se</w:t>
      </w:r>
      <w:r w:rsidRPr="0096524F">
        <w:t xml:space="preserve"> sense used in several cases.</w:t>
      </w:r>
      <w:r w:rsidR="0096524F" w:rsidRPr="0096524F">
        <w:rPr>
          <w:vertAlign w:val="superscript"/>
        </w:rPr>
        <w:footnoteReference w:id="704"/>
      </w:r>
      <w:r w:rsidRPr="0096524F">
        <w:t xml:space="preserve"> This principle was recognized by the Sixth Circuit which, in an infringement-by-confusion case, reversed an injunction issued against “sucks” Web sites.</w:t>
      </w:r>
      <w:r w:rsidR="0096524F" w:rsidRPr="0096524F">
        <w:rPr>
          <w:vertAlign w:val="superscript"/>
        </w:rPr>
        <w:footnoteReference w:id="705"/>
      </w:r>
    </w:p>
    <w:p w14:paraId="5F7BF7F0" w14:textId="427FDA2F" w:rsidR="0096524F" w:rsidRPr="0096524F" w:rsidRDefault="00A60ADB" w:rsidP="0096524F">
      <w:pPr>
        <w:pStyle w:val="BNormal"/>
      </w:pPr>
      <w:r w:rsidRPr="0096524F">
        <w:t>When the essence of the domain name is the trademark itself, the issue is more difficult</w:t>
      </w:r>
      <w:r w:rsidR="0096524F" w:rsidRPr="0096524F">
        <w:t>.</w:t>
      </w:r>
      <w:r w:rsidR="0096524F" w:rsidRPr="0096524F">
        <w:t xml:space="preserve"> </w:t>
      </w:r>
      <w:r w:rsidR="0096524F" w:rsidRPr="0096524F">
        <w:t>O</w:t>
      </w:r>
      <w:r w:rsidRPr="0096524F">
        <w:t>n the one hand, the purveyor of critical commentary does not need to use the unembellished famous mark as the domain name</w:t>
      </w:r>
      <w:r w:rsidR="0096524F" w:rsidRPr="0096524F">
        <w:t>.</w:t>
      </w:r>
      <w:r w:rsidR="0096524F" w:rsidRPr="0096524F">
        <w:t xml:space="preserve"> </w:t>
      </w:r>
      <w:r w:rsidR="0096524F" w:rsidRPr="0096524F">
        <w:t>I</w:t>
      </w:r>
      <w:r w:rsidRPr="0096524F">
        <w:t>t could use trademarkcriticism.com or even trademarksucks.com as the domain name</w:t>
      </w:r>
      <w:r w:rsidR="0096524F" w:rsidRPr="0096524F">
        <w:t>.</w:t>
      </w:r>
      <w:r w:rsidR="0096524F" w:rsidRPr="0096524F">
        <w:t xml:space="preserve"> </w:t>
      </w:r>
      <w:r w:rsidR="0096524F" w:rsidRPr="0096524F">
        <w:t>A</w:t>
      </w:r>
      <w:r w:rsidRPr="0096524F">
        <w:t xml:space="preserve"> search engine seeking Web sites probably would pick up the critical site in such circumstances</w:t>
      </w:r>
      <w:r w:rsidR="0096524F" w:rsidRPr="0096524F">
        <w:t>.</w:t>
      </w:r>
      <w:r w:rsidR="0096524F" w:rsidRPr="0096524F">
        <w:t xml:space="preserve"> </w:t>
      </w:r>
      <w:r w:rsidR="0096524F" w:rsidRPr="0096524F">
        <w:t>H</w:t>
      </w:r>
      <w:r w:rsidRPr="0096524F">
        <w:t>owever, that would be far less effective as a means of reaching people.</w:t>
      </w:r>
    </w:p>
    <w:p w14:paraId="01E455B1" w14:textId="57371DDC" w:rsidR="0096524F" w:rsidRPr="0096524F" w:rsidRDefault="00A60ADB" w:rsidP="0096524F">
      <w:pPr>
        <w:pStyle w:val="BNormal"/>
      </w:pPr>
      <w:r w:rsidRPr="0096524F">
        <w:t xml:space="preserve">Assuming that there is no confusion, the critical commentary on the Web site should alert the Web surfer that this is not the site of </w:t>
      </w:r>
      <w:r w:rsidR="0096524F" w:rsidRPr="0096524F">
        <w:rPr>
          <w:i/>
        </w:rPr>
        <w:t>another</w:t>
      </w:r>
      <w:r w:rsidRPr="0096524F">
        <w:t xml:space="preserve"> organization of the same name</w:t>
      </w:r>
      <w:r w:rsidR="0096524F" w:rsidRPr="0096524F">
        <w:t>.</w:t>
      </w:r>
      <w:r w:rsidR="0096524F" w:rsidRPr="0096524F">
        <w:t xml:space="preserve"> </w:t>
      </w:r>
      <w:r w:rsidR="0096524F" w:rsidRPr="0096524F">
        <w:t>T</w:t>
      </w:r>
      <w:r w:rsidRPr="0096524F">
        <w:t>hus, an Internet user who accesses a site with the address plannedparenthood.com and finds an antiabortion site probably will not believe that there is now a second organization called Planned Parenthood that is dedicated to a cause antithetical to the better-known organization of the same name</w:t>
      </w:r>
      <w:r w:rsidR="0096524F" w:rsidRPr="0096524F">
        <w:t>.</w:t>
      </w:r>
      <w:r w:rsidR="0096524F" w:rsidRPr="0096524F">
        <w:t xml:space="preserve"> </w:t>
      </w:r>
      <w:r w:rsidR="0096524F" w:rsidRPr="0096524F">
        <w:t>T</w:t>
      </w:r>
      <w:r w:rsidRPr="0096524F">
        <w:t>he user would think that some other (perhaps unnamed) organization is using the Planned Parenthood name to attract attention to itself</w:t>
      </w:r>
      <w:r w:rsidR="0096524F" w:rsidRPr="0096524F">
        <w:t>.</w:t>
      </w:r>
      <w:r w:rsidR="0096524F" w:rsidRPr="0096524F">
        <w:t xml:space="preserve"> </w:t>
      </w:r>
      <w:r w:rsidR="0096524F" w:rsidRPr="0096524F">
        <w:t>I</w:t>
      </w:r>
      <w:r w:rsidRPr="0096524F">
        <w:t>n that case, the use of the domain name has not harmed the distinctiveness of the mark, which is what the TDRA’s definition requires.</w:t>
      </w:r>
    </w:p>
    <w:p w14:paraId="05095983" w14:textId="4E5F2176" w:rsidR="0096524F" w:rsidRPr="0096524F" w:rsidRDefault="00A60ADB" w:rsidP="0096524F">
      <w:pPr>
        <w:pStyle w:val="BNormal"/>
      </w:pPr>
      <w:r w:rsidRPr="0096524F">
        <w:t xml:space="preserve">However, the actual </w:t>
      </w:r>
      <w:r w:rsidR="0096524F" w:rsidRPr="0096524F">
        <w:rPr>
          <w:i/>
        </w:rPr>
        <w:t>Planned Parenthood</w:t>
      </w:r>
      <w:r w:rsidRPr="0096524F">
        <w:t xml:space="preserve"> case asserted that the use of the company’s or organization’s trademark is not essential to the critical message being transmitted on the Web site.</w:t>
      </w:r>
      <w:r w:rsidR="0096524F" w:rsidRPr="0096524F">
        <w:rPr>
          <w:vertAlign w:val="superscript"/>
        </w:rPr>
        <w:footnoteReference w:id="706"/>
      </w:r>
      <w:r w:rsidRPr="0096524F">
        <w:t xml:space="preserve"> This analysis separates the message on the Web site from the use of a famous mark to induce traffic to visit the site</w:t>
      </w:r>
      <w:r w:rsidR="0096524F" w:rsidRPr="0096524F">
        <w:t>.</w:t>
      </w:r>
      <w:r w:rsidR="0096524F" w:rsidRPr="0096524F">
        <w:t xml:space="preserve"> </w:t>
      </w:r>
      <w:r w:rsidR="0096524F" w:rsidRPr="0096524F">
        <w:t>P</w:t>
      </w:r>
      <w:r w:rsidRPr="0096524F">
        <w:t xml:space="preserve">resumably, a domain name like </w:t>
      </w:r>
      <w:hyperlink r:id="rId14" w:history="1">
        <w:r w:rsidR="00371CCB" w:rsidRPr="007F4C9B">
          <w:rPr>
            <w:rStyle w:val="Hyperlink"/>
          </w:rPr>
          <w:t>www.plannedparenthood</w:t>
        </w:r>
      </w:hyperlink>
      <w:r w:rsidR="00371CCB">
        <w:t xml:space="preserve"> </w:t>
      </w:r>
      <w:r w:rsidRPr="0096524F">
        <w:t>killsbabies.com would be deemed to send a message and would require a different analysis.</w:t>
      </w:r>
      <w:r w:rsidR="0096524F" w:rsidRPr="0096524F">
        <w:rPr>
          <w:vertAlign w:val="superscript"/>
        </w:rPr>
        <w:footnoteReference w:id="707"/>
      </w:r>
    </w:p>
    <w:p w14:paraId="22F9DD41" w14:textId="4A26C612" w:rsidR="0096524F" w:rsidRPr="0096524F" w:rsidRDefault="00371CCB" w:rsidP="00175762">
      <w:pPr>
        <w:pStyle w:val="BHead3"/>
      </w:pPr>
      <w:r>
        <w:t>9.II.H.</w:t>
      </w:r>
      <w:r w:rsidR="0096524F" w:rsidRPr="00175762">
        <w:rPr>
          <w:rStyle w:val="BBNAidChar"/>
          <w:rFonts w:eastAsiaTheme="majorEastAsia"/>
        </w:rPr>
        <w:t>5</w:t>
      </w:r>
      <w:r w:rsidR="0096524F" w:rsidRPr="0096524F">
        <w:t>.</w:t>
      </w:r>
      <w:r>
        <w:t> </w:t>
      </w:r>
      <w:r w:rsidR="0096524F" w:rsidRPr="0096524F">
        <w:tab/>
        <w:t>Descriptive Uses of Famous Marks in Domain Names</w:t>
      </w:r>
    </w:p>
    <w:p w14:paraId="779A0D02" w14:textId="4A0C3D3B" w:rsidR="0096524F" w:rsidRPr="0096524F" w:rsidRDefault="00A60ADB" w:rsidP="0096524F">
      <w:pPr>
        <w:pStyle w:val="BNormal"/>
      </w:pPr>
      <w:r w:rsidRPr="0096524F">
        <w:t>Some uses of famous marks in domain names do not follow the classic “cyberpiracy” model of Trademark.com</w:t>
      </w:r>
      <w:r w:rsidR="0096524F" w:rsidRPr="0096524F">
        <w:t>.</w:t>
      </w:r>
      <w:r w:rsidR="0096524F" w:rsidRPr="0096524F">
        <w:t xml:space="preserve"> </w:t>
      </w:r>
      <w:r w:rsidR="0096524F" w:rsidRPr="0096524F">
        <w:t>T</w:t>
      </w:r>
      <w:r w:rsidRPr="0096524F">
        <w:t>hese parties use the trademark as part of the domain name, but descriptively, as in brandnameusedcars.com</w:t>
      </w:r>
      <w:r w:rsidR="0096524F" w:rsidRPr="0096524F">
        <w:t>.</w:t>
      </w:r>
      <w:r w:rsidR="0096524F" w:rsidRPr="0096524F">
        <w:t xml:space="preserve"> </w:t>
      </w:r>
      <w:r w:rsidR="0096524F" w:rsidRPr="0096524F">
        <w:t>U</w:t>
      </w:r>
      <w:r w:rsidRPr="0096524F">
        <w:t>nlike the cases where the defendant uses Trademark.com, these more descriptive uses do not block the use of the trademark in a domain name by the owner of a famous mark</w:t>
      </w:r>
      <w:r w:rsidR="0096524F" w:rsidRPr="0096524F">
        <w:t>.</w:t>
      </w:r>
      <w:r w:rsidR="0096524F" w:rsidRPr="0096524F">
        <w:t xml:space="preserve"> </w:t>
      </w:r>
      <w:r w:rsidR="0096524F" w:rsidRPr="0096524F">
        <w:t>O</w:t>
      </w:r>
      <w:r w:rsidRPr="0096524F">
        <w:t>ne can argue that, at least as far as dilution is concerned, they do not interfere with the distinctiveness of the mark, since it is used to identify the actual mark owner.</w:t>
      </w:r>
      <w:r w:rsidR="0096524F" w:rsidRPr="0096524F">
        <w:rPr>
          <w:vertAlign w:val="superscript"/>
        </w:rPr>
        <w:footnoteReference w:id="708"/>
      </w:r>
      <w:r w:rsidRPr="0096524F">
        <w:t xml:space="preserve"> They are also different from the critical commentary sites in that there is no aura of </w:t>
      </w:r>
      <w:proofErr w:type="spellStart"/>
      <w:r w:rsidRPr="0096524F">
        <w:t>tarnishment</w:t>
      </w:r>
      <w:proofErr w:type="spellEnd"/>
      <w:r w:rsidR="0096524F" w:rsidRPr="0096524F">
        <w:t>.</w:t>
      </w:r>
      <w:r w:rsidR="0096524F" w:rsidRPr="0096524F">
        <w:t xml:space="preserve"> </w:t>
      </w:r>
      <w:r w:rsidR="0096524F" w:rsidRPr="0096524F">
        <w:t>O</w:t>
      </w:r>
      <w:r w:rsidRPr="0096524F">
        <w:t>ne could portray these as nominative fair uses of the mark, meaning a use of a trademark necessary to indicate something about the products portrayed on the Web site</w:t>
      </w:r>
      <w:r w:rsidR="0096524F" w:rsidRPr="0096524F">
        <w:t>.</w:t>
      </w:r>
      <w:r w:rsidR="0096524F" w:rsidRPr="0096524F">
        <w:t xml:space="preserve"> </w:t>
      </w:r>
      <w:r w:rsidR="0096524F" w:rsidRPr="0096524F">
        <w:t>A</w:t>
      </w:r>
      <w:r w:rsidRPr="0096524F">
        <w:t xml:space="preserve"> fair nominative use of a famous mark would be excluded from liability by Section 43(c)(3)(A).</w:t>
      </w:r>
      <w:r w:rsidR="0096524F" w:rsidRPr="0096524F">
        <w:rPr>
          <w:vertAlign w:val="superscript"/>
        </w:rPr>
        <w:footnoteReference w:id="709"/>
      </w:r>
    </w:p>
    <w:p w14:paraId="3CF762EF" w14:textId="0B33D4EC" w:rsidR="0096524F" w:rsidRPr="0096524F" w:rsidRDefault="00A60ADB" w:rsidP="0096524F">
      <w:pPr>
        <w:pStyle w:val="BNormal"/>
      </w:pPr>
      <w:r w:rsidRPr="0096524F">
        <w:lastRenderedPageBreak/>
        <w:t xml:space="preserve">The Seventh Circuit apparently accepted this rationale in </w:t>
      </w:r>
      <w:r w:rsidR="0096524F" w:rsidRPr="0096524F">
        <w:rPr>
          <w:i/>
        </w:rPr>
        <w:t>Ty,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Perryman</w:t>
      </w:r>
      <w:r w:rsidRPr="0096524F">
        <w:t>.</w:t>
      </w:r>
      <w:r w:rsidR="0096524F" w:rsidRPr="0096524F">
        <w:rPr>
          <w:vertAlign w:val="superscript"/>
        </w:rPr>
        <w:footnoteReference w:id="710"/>
      </w:r>
      <w:r w:rsidRPr="0096524F">
        <w:t xml:space="preserve"> Defendant Ruth Perryman sold secondhand beanbag toys, mostly Beanie Babies made by Ty, which she advertised on her Web site, www.bargainbeanies.com</w:t>
      </w:r>
      <w:r w:rsidR="0096524F" w:rsidRPr="0096524F">
        <w:t>.</w:t>
      </w:r>
      <w:r w:rsidR="0096524F" w:rsidRPr="0096524F">
        <w:t xml:space="preserve"> </w:t>
      </w:r>
      <w:r w:rsidR="0096524F" w:rsidRPr="0096524F">
        <w:t>T</w:t>
      </w:r>
      <w:r w:rsidRPr="0096524F">
        <w:t>he court likened her use of Ty’s Beanies mark to a used automobile dealer advertising the brands of used vehicles it sold.</w:t>
      </w:r>
      <w:r w:rsidR="0096524F" w:rsidRPr="0096524F">
        <w:rPr>
          <w:vertAlign w:val="superscript"/>
        </w:rPr>
        <w:footnoteReference w:id="711"/>
      </w:r>
      <w:r w:rsidRPr="0096524F">
        <w:t xml:space="preserve"> And it stated clearly that such uses were not forbidden by dilution laws.</w:t>
      </w:r>
      <w:r w:rsidR="0096524F" w:rsidRPr="0096524F">
        <w:rPr>
          <w:vertAlign w:val="superscript"/>
        </w:rPr>
        <w:footnoteReference w:id="712"/>
      </w:r>
      <w:r w:rsidRPr="0096524F">
        <w:t xml:space="preserve"> Indeed, the court speculated that Ty’s real fear was that others’ use of Beanies in this manner would render its mark generic—and the court apparently did not believe that a finding of dilution was the proper remedy for that problem.</w:t>
      </w:r>
      <w:r w:rsidR="0096524F" w:rsidRPr="0096524F">
        <w:rPr>
          <w:vertAlign w:val="superscript"/>
        </w:rPr>
        <w:footnoteReference w:id="713"/>
      </w:r>
    </w:p>
    <w:p w14:paraId="55E7F0F2" w14:textId="096CC7F6" w:rsidR="0096524F" w:rsidRPr="0096524F" w:rsidRDefault="00A60ADB" w:rsidP="0096524F">
      <w:pPr>
        <w:pStyle w:val="BNormal"/>
      </w:pPr>
      <w:r w:rsidRPr="0096524F">
        <w:t>However, pre-TDRA courts did not always follow that path</w:t>
      </w:r>
      <w:r w:rsidR="0096524F" w:rsidRPr="0096524F">
        <w:t>.</w:t>
      </w:r>
      <w:r w:rsidR="0096524F" w:rsidRPr="0096524F">
        <w:t xml:space="preserve"> </w:t>
      </w:r>
      <w:r w:rsidR="0096524F" w:rsidRPr="0096524F">
        <w:t>I</w:t>
      </w:r>
      <w:r w:rsidRPr="0096524F">
        <w:t xml:space="preserve">n </w:t>
      </w:r>
      <w:r w:rsidR="0096524F" w:rsidRPr="0096524F">
        <w:rPr>
          <w:i/>
        </w:rPr>
        <w:t>Paccar, Inc</w:t>
      </w:r>
      <w:r w:rsidR="0096524F" w:rsidRPr="0096524F">
        <w:t>.</w:t>
      </w:r>
      <w:r w:rsidR="0096524F" w:rsidRPr="0096524F">
        <w:t xml:space="preserve"> </w:t>
      </w:r>
      <w:r w:rsidR="0096524F" w:rsidRPr="0096524F">
        <w:rPr>
          <w:i/>
        </w:rPr>
        <w:t>v</w:t>
      </w:r>
      <w:r w:rsidR="0096524F" w:rsidRPr="0096524F">
        <w:t>.</w:t>
      </w:r>
      <w:r w:rsidR="0096524F" w:rsidRPr="0096524F">
        <w:t xml:space="preserve"> </w:t>
      </w:r>
      <w:proofErr w:type="spellStart"/>
      <w:r w:rsidR="0096524F" w:rsidRPr="0096524F">
        <w:rPr>
          <w:i/>
        </w:rPr>
        <w:t>Telescan</w:t>
      </w:r>
      <w:proofErr w:type="spellEnd"/>
      <w:r w:rsidR="0096524F" w:rsidRPr="0096524F">
        <w:rPr>
          <w:i/>
        </w:rPr>
        <w:t xml:space="preserve"> Technologies, L</w:t>
      </w:r>
      <w:r w:rsidRPr="0096524F">
        <w:t>.</w:t>
      </w:r>
      <w:r w:rsidR="0096524F" w:rsidRPr="0096524F">
        <w:rPr>
          <w:i/>
        </w:rPr>
        <w:t>L</w:t>
      </w:r>
      <w:r w:rsidRPr="0096524F">
        <w:t>.</w:t>
      </w:r>
      <w:r w:rsidR="0096524F" w:rsidRPr="0096524F">
        <w:rPr>
          <w:i/>
        </w:rPr>
        <w:t>C</w:t>
      </w:r>
      <w:r w:rsidRPr="0096524F">
        <w:t>.,</w:t>
      </w:r>
      <w:r w:rsidR="0096524F" w:rsidRPr="0096524F">
        <w:rPr>
          <w:vertAlign w:val="superscript"/>
        </w:rPr>
        <w:footnoteReference w:id="714"/>
      </w:r>
      <w:r w:rsidRPr="0096524F">
        <w:t xml:space="preserve"> the plaintiff was the owner of the marks Peterbilt and Kenworth, used on trucks and truck parts</w:t>
      </w:r>
      <w:r w:rsidR="0096524F" w:rsidRPr="0096524F">
        <w:t>.</w:t>
      </w:r>
      <w:r w:rsidR="0096524F" w:rsidRPr="0096524F">
        <w:t xml:space="preserve"> </w:t>
      </w:r>
      <w:r w:rsidR="0096524F" w:rsidRPr="0096524F">
        <w:t>T</w:t>
      </w:r>
      <w:r w:rsidRPr="0096524F">
        <w:t>he defendant operated a Web site, www.truckscars.com, used for locating new and used trucks</w:t>
      </w:r>
      <w:r w:rsidR="0096524F" w:rsidRPr="0096524F">
        <w:t>.</w:t>
      </w:r>
      <w:r w:rsidR="0096524F" w:rsidRPr="0096524F">
        <w:t xml:space="preserve"> </w:t>
      </w:r>
      <w:r w:rsidR="0096524F" w:rsidRPr="0096524F">
        <w:t>H</w:t>
      </w:r>
      <w:r w:rsidRPr="0096524F">
        <w:t>owever, the defendant also registered domains that contained the trademarks of specific manufacturers, including Peterbilt and Kenworth</w:t>
      </w:r>
      <w:r w:rsidR="0096524F" w:rsidRPr="0096524F">
        <w:t>.</w:t>
      </w:r>
      <w:r w:rsidR="0096524F" w:rsidRPr="0096524F">
        <w:t xml:space="preserve"> </w:t>
      </w:r>
      <w:r w:rsidR="0096524F" w:rsidRPr="0096524F">
        <w:t>T</w:t>
      </w:r>
      <w:r w:rsidRPr="0096524F">
        <w:t>hese domains included peterbiltusedtrucks.com, peterbiltdealers.com, kenworthusedtrucks.com, and kenworthtruckdealers.com.</w:t>
      </w:r>
      <w:r w:rsidR="0096524F" w:rsidRPr="0096524F">
        <w:rPr>
          <w:vertAlign w:val="superscript"/>
        </w:rPr>
        <w:footnoteReference w:id="715"/>
      </w:r>
      <w:r w:rsidRPr="0096524F">
        <w:t xml:space="preserve"> The court found both infringement and dilution, and rejected a “fair use” argument</w:t>
      </w:r>
      <w:r w:rsidR="0096524F" w:rsidRPr="0096524F">
        <w:t>.</w:t>
      </w:r>
      <w:r w:rsidR="0096524F" w:rsidRPr="0096524F">
        <w:t xml:space="preserve"> </w:t>
      </w:r>
      <w:r w:rsidR="0096524F" w:rsidRPr="0096524F">
        <w:t>R</w:t>
      </w:r>
      <w:r w:rsidRPr="0096524F">
        <w:t>egarding dilution, the court asserted that the use of the marks put the plaintiff “at the mercy” of the defendant.</w:t>
      </w:r>
      <w:r w:rsidR="0096524F" w:rsidRPr="0096524F">
        <w:rPr>
          <w:vertAlign w:val="superscript"/>
        </w:rPr>
        <w:footnoteReference w:id="716"/>
      </w:r>
      <w:r w:rsidRPr="0096524F">
        <w:t xml:space="preserve"> The court thus viewed dilution as protecting control of the mark by the mark owner, not simply as protection against misdirection of potential customers.</w:t>
      </w:r>
      <w:r w:rsidR="0096524F" w:rsidRPr="0096524F">
        <w:rPr>
          <w:vertAlign w:val="superscript"/>
        </w:rPr>
        <w:footnoteReference w:id="717"/>
      </w:r>
      <w:r w:rsidRPr="0096524F">
        <w:t xml:space="preserve"> Post-TDRA, this case would be criticized on at least two grounds</w:t>
      </w:r>
      <w:r w:rsidR="0096524F" w:rsidRPr="0096524F">
        <w:t>.</w:t>
      </w:r>
      <w:r w:rsidR="0096524F" w:rsidRPr="0096524F">
        <w:t xml:space="preserve"> </w:t>
      </w:r>
      <w:r w:rsidR="0096524F" w:rsidRPr="0096524F">
        <w:t>F</w:t>
      </w:r>
      <w:r w:rsidRPr="0096524F">
        <w:t xml:space="preserve">irst, the TDRA clearly limits dilution to uses that satisfy the definition of either blurring or </w:t>
      </w:r>
      <w:proofErr w:type="spellStart"/>
      <w:r w:rsidRPr="0096524F">
        <w:t>tarnishment</w:t>
      </w:r>
      <w:proofErr w:type="spellEnd"/>
      <w:r w:rsidR="0096524F" w:rsidRPr="0096524F">
        <w:t>.</w:t>
      </w:r>
      <w:r w:rsidR="0096524F" w:rsidRPr="0096524F">
        <w:t xml:space="preserve"> </w:t>
      </w:r>
      <w:r w:rsidR="0096524F" w:rsidRPr="0096524F">
        <w:t>T</w:t>
      </w:r>
      <w:r w:rsidRPr="0096524F">
        <w:t>his sort of use may not cause harm to the distinctiveness or reputation of the famous mark and, therefore, would not fit the statutory definition of dilution</w:t>
      </w:r>
      <w:r w:rsidR="0096524F" w:rsidRPr="0096524F">
        <w:t>.</w:t>
      </w:r>
      <w:r w:rsidR="0096524F" w:rsidRPr="0096524F">
        <w:t xml:space="preserve"> </w:t>
      </w:r>
      <w:r w:rsidR="0096524F" w:rsidRPr="0096524F">
        <w:t>S</w:t>
      </w:r>
      <w:r w:rsidRPr="0096524F">
        <w:t>econd, the expanded “fair use” exclusion of the TDRA expressly excludes descriptive and nominative fair uses from dilution liability</w:t>
      </w:r>
      <w:r w:rsidR="0096524F" w:rsidRPr="0096524F">
        <w:t>.</w:t>
      </w:r>
      <w:r w:rsidR="0096524F" w:rsidRPr="0096524F">
        <w:t xml:space="preserve"> </w:t>
      </w:r>
      <w:r w:rsidR="0096524F" w:rsidRPr="0096524F">
        <w:t>C</w:t>
      </w:r>
      <w:r w:rsidRPr="0096524F">
        <w:t>ases like this would be likely candidates for that exclusion.</w:t>
      </w:r>
    </w:p>
    <w:p w14:paraId="1C4F485B" w14:textId="4C896D0A" w:rsidR="0096524F" w:rsidRPr="0096524F" w:rsidRDefault="00371CCB" w:rsidP="00175762">
      <w:pPr>
        <w:pStyle w:val="BHead3"/>
      </w:pPr>
      <w:r>
        <w:t>9.II.H.</w:t>
      </w:r>
      <w:r w:rsidR="0096524F" w:rsidRPr="00175762">
        <w:rPr>
          <w:rStyle w:val="BBNAidChar"/>
          <w:rFonts w:eastAsiaTheme="majorEastAsia"/>
        </w:rPr>
        <w:t>6</w:t>
      </w:r>
      <w:r w:rsidR="0096524F" w:rsidRPr="0096524F">
        <w:t>.</w:t>
      </w:r>
      <w:r>
        <w:t> </w:t>
      </w:r>
      <w:r w:rsidR="0096524F" w:rsidRPr="0096524F">
        <w:tab/>
        <w:t>Use of Marks in Metatags</w:t>
      </w:r>
    </w:p>
    <w:p w14:paraId="01694452" w14:textId="04B6CC98" w:rsidR="0096524F" w:rsidRPr="0096524F" w:rsidRDefault="00A60ADB" w:rsidP="0096524F">
      <w:pPr>
        <w:pStyle w:val="BNormal"/>
      </w:pPr>
      <w:r w:rsidRPr="0096524F">
        <w:t>Another way in which trademarks may be used on the Internet is in metatags</w:t>
      </w:r>
      <w:r w:rsidR="0096524F" w:rsidRPr="0096524F">
        <w:t>.</w:t>
      </w:r>
      <w:r w:rsidR="0096524F" w:rsidRPr="0096524F">
        <w:t xml:space="preserve"> </w:t>
      </w:r>
      <w:r w:rsidR="0096524F" w:rsidRPr="0096524F">
        <w:t>M</w:t>
      </w:r>
      <w:r w:rsidRPr="0096524F">
        <w:t>etatags are codes in a Web page that are invisible to a user, but that can be seen by search programs (search engines) to find Web pages relevant to an Internet user’s search terms</w:t>
      </w:r>
      <w:r w:rsidR="0096524F" w:rsidRPr="0096524F">
        <w:t>.</w:t>
      </w:r>
      <w:r w:rsidR="0096524F" w:rsidRPr="0096524F">
        <w:t xml:space="preserve"> </w:t>
      </w:r>
      <w:r w:rsidR="0096524F" w:rsidRPr="0096524F">
        <w:t>N</w:t>
      </w:r>
      <w:r w:rsidRPr="0096524F">
        <w:t>ormally, metatags contain information relating to the content of a Web page.</w:t>
      </w:r>
      <w:r w:rsidR="0096524F" w:rsidRPr="0096524F">
        <w:rPr>
          <w:vertAlign w:val="superscript"/>
        </w:rPr>
        <w:footnoteReference w:id="718"/>
      </w:r>
      <w:r w:rsidRPr="0096524F">
        <w:t xml:space="preserve"> A store that sells products produced by others might want to indicate that fact by inserting a metatag into its Web page containing the brand name of the products so that Internet users looking for sellers of those products could find the store</w:t>
      </w:r>
      <w:r w:rsidR="0096524F" w:rsidRPr="0096524F">
        <w:t>.</w:t>
      </w:r>
      <w:r w:rsidR="0096524F" w:rsidRPr="0096524F">
        <w:t xml:space="preserve"> </w:t>
      </w:r>
      <w:r w:rsidR="0096524F" w:rsidRPr="0096524F">
        <w:t>T</w:t>
      </w:r>
      <w:r w:rsidRPr="0096524F">
        <w:t>hus, a toy store might want to include “Mattel” in a metatag to indicate that it sells Mattel toys</w:t>
      </w:r>
      <w:r w:rsidR="0096524F" w:rsidRPr="0096524F">
        <w:t>.</w:t>
      </w:r>
      <w:r w:rsidR="0096524F" w:rsidRPr="0096524F">
        <w:t xml:space="preserve"> </w:t>
      </w:r>
      <w:r w:rsidR="0096524F" w:rsidRPr="0096524F">
        <w:t>O</w:t>
      </w:r>
      <w:r w:rsidRPr="0096524F">
        <w:t xml:space="preserve">bviously, metatags also can be used simply to attract attention, even where the Web </w:t>
      </w:r>
      <w:r w:rsidRPr="0096524F">
        <w:lastRenderedPageBreak/>
        <w:t>page is completely unrelated to the metatag.</w:t>
      </w:r>
      <w:r w:rsidR="0096524F" w:rsidRPr="0096524F">
        <w:rPr>
          <w:vertAlign w:val="superscript"/>
        </w:rPr>
        <w:footnoteReference w:id="719"/>
      </w:r>
      <w:r w:rsidRPr="0096524F">
        <w:t xml:space="preserve"> When the second user has a legitimate purpose for using the metatag, courts have found that to be a fair use and not actionable.</w:t>
      </w:r>
      <w:r w:rsidR="0096524F" w:rsidRPr="0096524F">
        <w:rPr>
          <w:vertAlign w:val="superscript"/>
        </w:rPr>
        <w:footnoteReference w:id="720"/>
      </w:r>
      <w:r w:rsidRPr="0096524F">
        <w:t xml:space="preserve"> If the use were completely unrelated, or used for an unscrupulous purpose, such as directing people to a pornographic Web site, then this misuse of a metatag could be held actionable as an </w:t>
      </w:r>
      <w:r w:rsidR="0096524F" w:rsidRPr="0096524F">
        <w:rPr>
          <w:i/>
        </w:rPr>
        <w:t>infringement</w:t>
      </w:r>
      <w:r w:rsidRPr="0096524F">
        <w:t xml:space="preserve"> under a theory of “initial interest” confusion.</w:t>
      </w:r>
      <w:r w:rsidR="0096524F" w:rsidRPr="0096524F">
        <w:rPr>
          <w:vertAlign w:val="superscript"/>
        </w:rPr>
        <w:footnoteReference w:id="721"/>
      </w:r>
      <w:r w:rsidRPr="0096524F">
        <w:t xml:space="preserve"> Conceivably, such misuse could be actionable as </w:t>
      </w:r>
      <w:proofErr w:type="spellStart"/>
      <w:r w:rsidRPr="0096524F">
        <w:t>tarnishment</w:t>
      </w:r>
      <w:proofErr w:type="spellEnd"/>
      <w:r w:rsidRPr="0096524F">
        <w:t xml:space="preserve"> if the metatag directs people who input the mark into a search engine to an unsavory Web site.</w:t>
      </w:r>
      <w:r w:rsidR="0096524F" w:rsidRPr="0096524F">
        <w:rPr>
          <w:vertAlign w:val="superscript"/>
        </w:rPr>
        <w:footnoteReference w:id="722"/>
      </w:r>
      <w:r w:rsidRPr="0096524F">
        <w:t xml:space="preserve"> A blurring claim for misuse of a metatag would be dubious, however</w:t>
      </w:r>
      <w:r w:rsidR="0096524F" w:rsidRPr="0096524F">
        <w:t>.</w:t>
      </w:r>
      <w:r w:rsidR="0096524F" w:rsidRPr="0096524F">
        <w:t xml:space="preserve"> </w:t>
      </w:r>
      <w:r w:rsidR="0096524F" w:rsidRPr="0096524F">
        <w:t>A</w:t>
      </w:r>
      <w:r w:rsidRPr="0096524F">
        <w:t xml:space="preserve"> misdirected user is not likely to think that a seemingly unconnected Web page is somehow a second source for goods or services under the famous mark.</w:t>
      </w:r>
      <w:r w:rsidR="0096524F" w:rsidRPr="0096524F">
        <w:rPr>
          <w:vertAlign w:val="superscript"/>
        </w:rPr>
        <w:footnoteReference w:id="723"/>
      </w:r>
      <w:r w:rsidRPr="0096524F">
        <w:t xml:space="preserve"> Thus, neither the uniqueness nor the selling power of the mark is undermined.</w:t>
      </w:r>
      <w:r w:rsidR="0096524F" w:rsidRPr="0096524F">
        <w:rPr>
          <w:vertAlign w:val="superscript"/>
        </w:rPr>
        <w:footnoteReference w:id="724"/>
      </w:r>
    </w:p>
    <w:p w14:paraId="41CF6C26" w14:textId="4F2903EE" w:rsidR="0096524F" w:rsidRPr="0096524F" w:rsidRDefault="00371CCB" w:rsidP="00175762">
      <w:pPr>
        <w:pStyle w:val="BHead3"/>
      </w:pPr>
      <w:r>
        <w:t>9.II.H.</w:t>
      </w:r>
      <w:r w:rsidR="0096524F" w:rsidRPr="00175762">
        <w:rPr>
          <w:rStyle w:val="BBNAidChar"/>
          <w:rFonts w:eastAsiaTheme="majorEastAsia"/>
        </w:rPr>
        <w:t>7</w:t>
      </w:r>
      <w:r w:rsidR="0096524F" w:rsidRPr="0096524F">
        <w:t>.</w:t>
      </w:r>
      <w:r>
        <w:t> </w:t>
      </w:r>
      <w:r w:rsidR="0096524F" w:rsidRPr="0096524F">
        <w:tab/>
        <w:t xml:space="preserve">Hyperlinks and </w:t>
      </w:r>
      <w:proofErr w:type="spellStart"/>
      <w:r w:rsidR="0096524F" w:rsidRPr="0096524F">
        <w:t>Tarnishment</w:t>
      </w:r>
      <w:proofErr w:type="spellEnd"/>
    </w:p>
    <w:p w14:paraId="548266FD" w14:textId="076017AC" w:rsidR="0096524F" w:rsidRPr="0096524F" w:rsidRDefault="00A60ADB" w:rsidP="0096524F">
      <w:pPr>
        <w:pStyle w:val="BNormal"/>
      </w:pPr>
      <w:r w:rsidRPr="0096524F">
        <w:t>In some cases, trademark owners have complained about the use of hyperlinks to other Web sites contained on Web sites using the famous mark</w:t>
      </w:r>
      <w:r w:rsidR="0096524F" w:rsidRPr="0096524F">
        <w:t>.</w:t>
      </w:r>
      <w:r w:rsidR="0096524F" w:rsidRPr="0096524F">
        <w:t xml:space="preserve"> </w:t>
      </w:r>
      <w:r w:rsidR="0096524F" w:rsidRPr="0096524F">
        <w:t>T</w:t>
      </w:r>
      <w:r w:rsidRPr="0096524F">
        <w:t xml:space="preserve">he famous mark owners have claimed—though not necessarily successfully—that hyperlinks to undesirable Web sites cause </w:t>
      </w:r>
      <w:proofErr w:type="spellStart"/>
      <w:r w:rsidRPr="0096524F">
        <w:t>tarnishment</w:t>
      </w:r>
      <w:proofErr w:type="spellEnd"/>
      <w:r w:rsidRPr="0096524F">
        <w:t xml:space="preserve"> of the mark.</w:t>
      </w:r>
    </w:p>
    <w:p w14:paraId="4033B94D" w14:textId="0231EDB5" w:rsidR="0096524F" w:rsidRPr="0096524F" w:rsidRDefault="00A60ADB" w:rsidP="0096524F">
      <w:pPr>
        <w:pStyle w:val="BNormal"/>
      </w:pPr>
      <w:r w:rsidRPr="0096524F">
        <w:t xml:space="preserve">In </w:t>
      </w:r>
      <w:r w:rsidR="0096524F" w:rsidRPr="0096524F">
        <w:rPr>
          <w:i/>
        </w:rPr>
        <w:t>Voice-Tel Enterprises,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JOBA, Inc</w:t>
      </w:r>
      <w:r w:rsidRPr="0096524F">
        <w:t>.,</w:t>
      </w:r>
      <w:r w:rsidR="0096524F" w:rsidRPr="0096524F">
        <w:rPr>
          <w:vertAlign w:val="superscript"/>
        </w:rPr>
        <w:footnoteReference w:id="725"/>
      </w:r>
      <w:r w:rsidRPr="0096524F">
        <w:t xml:space="preserve"> Voice-Tel complained that a Voice-Tel franchisee’s Web site contained a hyperlink to a pornographic Web site</w:t>
      </w:r>
      <w:r w:rsidR="0096524F" w:rsidRPr="0096524F">
        <w:t>.</w:t>
      </w:r>
      <w:r w:rsidR="0096524F" w:rsidRPr="0096524F">
        <w:t xml:space="preserve"> </w:t>
      </w:r>
      <w:r w:rsidR="0096524F" w:rsidRPr="0096524F">
        <w:t>(</w:t>
      </w:r>
      <w:r w:rsidRPr="0096524F">
        <w:t>The franchisee’s Web site was using the Voice-Tel mark legitimately.) However, the link originally led to another, perfectly legitimate, business which went bankrupt and which, without the defendant’s knowledge, sold its domain name to a pornography site.</w:t>
      </w:r>
      <w:r w:rsidR="0096524F" w:rsidRPr="0096524F">
        <w:rPr>
          <w:vertAlign w:val="superscript"/>
        </w:rPr>
        <w:footnoteReference w:id="726"/>
      </w:r>
      <w:r w:rsidRPr="0096524F">
        <w:t xml:space="preserve"> The court rejected a dilution claim, holding that to allow the claim “would give the trademark owner far more protection than was intended by the statute.”</w:t>
      </w:r>
      <w:r w:rsidR="0096524F" w:rsidRPr="0096524F">
        <w:rPr>
          <w:vertAlign w:val="superscript"/>
        </w:rPr>
        <w:footnoteReference w:id="727"/>
      </w:r>
    </w:p>
    <w:p w14:paraId="5D613080" w14:textId="73889F7E" w:rsidR="0096524F" w:rsidRPr="0096524F" w:rsidRDefault="00371CCB" w:rsidP="00175762">
      <w:pPr>
        <w:pStyle w:val="BHead2"/>
      </w:pPr>
      <w:r>
        <w:t>9.II.</w:t>
      </w:r>
      <w:r w:rsidR="0096524F" w:rsidRPr="00175762">
        <w:rPr>
          <w:rStyle w:val="BBNAidChar"/>
          <w:rFonts w:eastAsiaTheme="majorEastAsia"/>
        </w:rPr>
        <w:t>I</w:t>
      </w:r>
      <w:r w:rsidR="0096524F" w:rsidRPr="0096524F">
        <w:t>.</w:t>
      </w:r>
      <w:r>
        <w:t> </w:t>
      </w:r>
      <w:r w:rsidR="0096524F" w:rsidRPr="0096524F">
        <w:tab/>
        <w:t>Contributory Dilution</w:t>
      </w:r>
    </w:p>
    <w:p w14:paraId="23929DB6" w14:textId="5078F046" w:rsidR="0096524F" w:rsidRPr="0096524F" w:rsidRDefault="00A60ADB" w:rsidP="0096524F">
      <w:pPr>
        <w:pStyle w:val="BNormal"/>
      </w:pPr>
      <w:r w:rsidRPr="0096524F">
        <w:t>Very few courts have discussed the idea of contributory dilution</w:t>
      </w:r>
      <w:r w:rsidR="0096524F" w:rsidRPr="0096524F">
        <w:t>.</w:t>
      </w:r>
      <w:r w:rsidR="0096524F" w:rsidRPr="0096524F">
        <w:t xml:space="preserve"> </w:t>
      </w:r>
      <w:r w:rsidR="0096524F" w:rsidRPr="0096524F">
        <w:t>C</w:t>
      </w:r>
      <w:r w:rsidRPr="0096524F">
        <w:t>ontributory dilution refers to a dilution claim against a defendant who is not the one making the diluting use of a distinctive mark, but rather is a person who encourages and/or facilitates another’s dilution of a distinctive mark.</w:t>
      </w:r>
      <w:r w:rsidR="0096524F" w:rsidRPr="0096524F">
        <w:rPr>
          <w:vertAlign w:val="superscript"/>
        </w:rPr>
        <w:footnoteReference w:id="728"/>
      </w:r>
      <w:r w:rsidRPr="0096524F">
        <w:t xml:space="preserve"> In trademark </w:t>
      </w:r>
      <w:r w:rsidR="0096524F" w:rsidRPr="0096524F">
        <w:rPr>
          <w:i/>
        </w:rPr>
        <w:t>infringement</w:t>
      </w:r>
      <w:r w:rsidRPr="0096524F">
        <w:t xml:space="preserve"> doctrine, there is an established body of precedent permitting claims for </w:t>
      </w:r>
      <w:r w:rsidRPr="0096524F">
        <w:lastRenderedPageBreak/>
        <w:t>contributory infringement.</w:t>
      </w:r>
      <w:r w:rsidR="0096524F" w:rsidRPr="0096524F">
        <w:rPr>
          <w:vertAlign w:val="superscript"/>
        </w:rPr>
        <w:footnoteReference w:id="729"/>
      </w:r>
      <w:r w:rsidRPr="0096524F">
        <w:t xml:space="preserve"> Generally speaking,</w:t>
      </w:r>
      <w:r w:rsidR="0096524F" w:rsidRPr="0096524F">
        <w:rPr>
          <w:vertAlign w:val="superscript"/>
        </w:rPr>
        <w:footnoteReference w:id="730"/>
      </w:r>
      <w:r w:rsidRPr="0096524F">
        <w:t xml:space="preserve"> liability for contributory infringement requires either directly inciting infringement, such as suggesting that another commit an infringing act, or facilitating the infringement by either supplying the means or not taking action to halt the infringement by another when one knows or should know that the other is infringing.</w:t>
      </w:r>
      <w:r w:rsidR="0096524F" w:rsidRPr="0096524F">
        <w:rPr>
          <w:vertAlign w:val="superscript"/>
        </w:rPr>
        <w:footnoteReference w:id="731"/>
      </w:r>
    </w:p>
    <w:p w14:paraId="38D8B98B" w14:textId="4AA69E20" w:rsidR="0096524F" w:rsidRPr="0096524F" w:rsidRDefault="00A60ADB" w:rsidP="0096524F">
      <w:pPr>
        <w:pStyle w:val="BNormal"/>
      </w:pPr>
      <w:r w:rsidRPr="0096524F">
        <w:t>However, the notion of contributory liability does not translate easily where the claim is for dilution</w:t>
      </w:r>
      <w:r w:rsidR="0096524F" w:rsidRPr="0096524F">
        <w:t>.</w:t>
      </w:r>
      <w:r w:rsidR="0096524F" w:rsidRPr="0096524F">
        <w:t xml:space="preserve"> </w:t>
      </w:r>
      <w:r w:rsidR="0096524F" w:rsidRPr="0096524F">
        <w:t>T</w:t>
      </w:r>
      <w:r w:rsidRPr="0096524F">
        <w:t>he TDRA limits its application to a “</w:t>
      </w:r>
      <w:r w:rsidR="0096524F" w:rsidRPr="0096524F">
        <w:rPr>
          <w:i/>
        </w:rPr>
        <w:t>use</w:t>
      </w:r>
      <w:r w:rsidRPr="0096524F">
        <w:t xml:space="preserve"> of a mark or trade name in commerce that is likely to cause dilution by blurring or dilution by </w:t>
      </w:r>
      <w:proofErr w:type="spellStart"/>
      <w:r w:rsidRPr="0096524F">
        <w:t>tarnishment</w:t>
      </w:r>
      <w:proofErr w:type="spellEnd"/>
      <w:r w:rsidRPr="0096524F">
        <w:t xml:space="preserve"> of the famous mark.”</w:t>
      </w:r>
      <w:r w:rsidR="0096524F" w:rsidRPr="0096524F">
        <w:rPr>
          <w:vertAlign w:val="superscript"/>
        </w:rPr>
        <w:footnoteReference w:id="732"/>
      </w:r>
      <w:r w:rsidRPr="0096524F">
        <w:t xml:space="preserve"> Moreover, absent actual encouragement to commit dilution, the ability of an alleged facilitator to know whether someone to whom it supplies goods or services is likely to be causing dilution under federal law is questionable</w:t>
      </w:r>
      <w:r w:rsidR="0096524F" w:rsidRPr="0096524F">
        <w:t>.</w:t>
      </w:r>
      <w:r w:rsidR="0096524F" w:rsidRPr="0096524F">
        <w:t xml:space="preserve"> </w:t>
      </w:r>
      <w:r w:rsidR="0096524F" w:rsidRPr="0096524F">
        <w:t>I</w:t>
      </w:r>
      <w:r w:rsidRPr="0096524F">
        <w:t>t requires both a knowledge that the plaintiff’s mark is “famous,” which would often be difficult to determine, and that consumers, while not confused, are likely to make an association that will harm the famous mark’s distinctiveness.</w:t>
      </w:r>
      <w:r w:rsidR="0096524F" w:rsidRPr="0096524F">
        <w:rPr>
          <w:vertAlign w:val="superscript"/>
        </w:rPr>
        <w:footnoteReference w:id="733"/>
      </w:r>
      <w:r w:rsidRPr="0096524F">
        <w:t xml:space="preserve"> Imposing this form of secondary liability could seriously impair a variety of useful commercial activity.</w:t>
      </w:r>
    </w:p>
    <w:p w14:paraId="1F867050" w14:textId="4B57524D" w:rsidR="0096524F" w:rsidRPr="0096524F" w:rsidRDefault="00A60ADB" w:rsidP="0096524F">
      <w:pPr>
        <w:pStyle w:val="BNormal"/>
      </w:pPr>
      <w:r w:rsidRPr="0096524F">
        <w:t>On the other hand, an argument can be made that an injunction should be available against those who encourage or facilitate diluting uses as a necessary adjunct to stopping the use itself</w:t>
      </w:r>
      <w:r w:rsidR="0096524F" w:rsidRPr="0096524F">
        <w:t>.</w:t>
      </w:r>
      <w:r w:rsidR="0096524F" w:rsidRPr="0096524F">
        <w:t xml:space="preserve"> </w:t>
      </w:r>
      <w:r w:rsidR="0096524F" w:rsidRPr="0096524F">
        <w:t>N</w:t>
      </w:r>
      <w:r w:rsidRPr="0096524F">
        <w:t>o significant precedent under the FTDA or TDRA has yet emerged.</w:t>
      </w:r>
      <w:r w:rsidR="0096524F" w:rsidRPr="0096524F">
        <w:rPr>
          <w:vertAlign w:val="superscript"/>
        </w:rPr>
        <w:footnoteReference w:id="734"/>
      </w:r>
      <w:r w:rsidRPr="0096524F">
        <w:t xml:space="preserve"> However, one court did deny leave to amend a complaint to add such a claim on the grounds that it would be futile.</w:t>
      </w:r>
      <w:r w:rsidR="0096524F" w:rsidRPr="0096524F">
        <w:rPr>
          <w:vertAlign w:val="superscript"/>
        </w:rPr>
        <w:footnoteReference w:id="735"/>
      </w:r>
      <w:r w:rsidRPr="0096524F">
        <w:t xml:space="preserve"> In </w:t>
      </w:r>
      <w:r w:rsidR="0096524F" w:rsidRPr="0096524F">
        <w:rPr>
          <w:i/>
        </w:rPr>
        <w:t>Tiffany (NJ),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eBay, Inc</w:t>
      </w:r>
      <w:r w:rsidRPr="0096524F">
        <w:t>.,</w:t>
      </w:r>
      <w:r w:rsidR="0096524F" w:rsidRPr="0096524F">
        <w:rPr>
          <w:vertAlign w:val="superscript"/>
        </w:rPr>
        <w:footnoteReference w:id="736"/>
      </w:r>
      <w:r w:rsidRPr="0096524F">
        <w:t xml:space="preserve"> the court noted the lack of precedent for such a claim, and expressed skepticism about whether such a claim exists.</w:t>
      </w:r>
      <w:r w:rsidR="0096524F" w:rsidRPr="0096524F">
        <w:rPr>
          <w:vertAlign w:val="superscript"/>
        </w:rPr>
        <w:footnoteReference w:id="737"/>
      </w:r>
      <w:r w:rsidRPr="0096524F">
        <w:t xml:space="preserve"> It also held that, even if such a claim existed, the plaintiff would not have been able to recover on the facts of the case.</w:t>
      </w:r>
      <w:r w:rsidR="0096524F" w:rsidRPr="0096524F">
        <w:rPr>
          <w:vertAlign w:val="superscript"/>
        </w:rPr>
        <w:footnoteReference w:id="738"/>
      </w:r>
      <w:r w:rsidRPr="0096524F">
        <w:t xml:space="preserve"> Upholding the district court, the Second Circuit supported this </w:t>
      </w:r>
      <w:r w:rsidRPr="0096524F">
        <w:lastRenderedPageBreak/>
        <w:t>conclusion, although in dicta.</w:t>
      </w:r>
      <w:r w:rsidR="0096524F" w:rsidRPr="0096524F">
        <w:rPr>
          <w:vertAlign w:val="superscript"/>
        </w:rPr>
        <w:footnoteReference w:id="739"/>
      </w:r>
      <w:r w:rsidRPr="0096524F">
        <w:t xml:space="preserve"> The few cases mentioning the issue under state law have not been consistent and do not contain cogent analyses.</w:t>
      </w:r>
      <w:r w:rsidR="0096524F" w:rsidRPr="0096524F">
        <w:rPr>
          <w:vertAlign w:val="superscript"/>
        </w:rPr>
        <w:footnoteReference w:id="740"/>
      </w:r>
    </w:p>
    <w:p w14:paraId="32263563" w14:textId="060BE35A" w:rsidR="0096524F" w:rsidRPr="0096524F" w:rsidRDefault="00A60ADB" w:rsidP="0096524F">
      <w:pPr>
        <w:pStyle w:val="BNormal"/>
      </w:pPr>
      <w:r w:rsidRPr="0096524F">
        <w:t>Although there is no apparent appellate precedent, a few district courts have recognized a contributory dilution claim</w:t>
      </w:r>
      <w:r w:rsidR="0096524F" w:rsidRPr="0096524F">
        <w:t>.</w:t>
      </w:r>
      <w:r w:rsidR="0096524F" w:rsidRPr="0096524F">
        <w:t xml:space="preserve"> </w:t>
      </w:r>
      <w:r w:rsidR="0096524F" w:rsidRPr="0096524F">
        <w:t>A</w:t>
      </w:r>
      <w:r w:rsidRPr="0096524F">
        <w:t xml:space="preserve"> contributory dilution claim was permitted in </w:t>
      </w:r>
      <w:r w:rsidR="0096524F" w:rsidRPr="0096524F">
        <w:rPr>
          <w:i/>
        </w:rPr>
        <w:t>Kegan v</w:t>
      </w:r>
      <w:r w:rsidR="0096524F" w:rsidRPr="0096524F">
        <w:t>.</w:t>
      </w:r>
      <w:r w:rsidR="0096524F" w:rsidRPr="0096524F">
        <w:t xml:space="preserve"> </w:t>
      </w:r>
      <w:r w:rsidR="0096524F" w:rsidRPr="0096524F">
        <w:rPr>
          <w:i/>
        </w:rPr>
        <w:t>Apple Computer, Inc</w:t>
      </w:r>
      <w:r w:rsidRPr="0096524F">
        <w:t>.,</w:t>
      </w:r>
      <w:r w:rsidR="0096524F" w:rsidRPr="0096524F">
        <w:rPr>
          <w:vertAlign w:val="superscript"/>
        </w:rPr>
        <w:footnoteReference w:id="741"/>
      </w:r>
      <w:r w:rsidRPr="0096524F">
        <w:t xml:space="preserve"> where the plaintiff, a publisher of computer guides, including </w:t>
      </w:r>
      <w:proofErr w:type="spellStart"/>
      <w:r w:rsidRPr="0096524F">
        <w:t>MacGuide</w:t>
      </w:r>
      <w:proofErr w:type="spellEnd"/>
      <w:r w:rsidRPr="0096524F">
        <w:t>, sued Apple, which used the terms “Apple Guide” and “Macintosh Guide” to denote software used to assist computer users.</w:t>
      </w:r>
      <w:r w:rsidR="0096524F" w:rsidRPr="0096524F">
        <w:rPr>
          <w:vertAlign w:val="superscript"/>
        </w:rPr>
        <w:footnoteReference w:id="742"/>
      </w:r>
      <w:r w:rsidRPr="0096524F">
        <w:t xml:space="preserve"> The plaintiff claimed both direct dilution and contributory dilution</w:t>
      </w:r>
      <w:r w:rsidR="0096524F" w:rsidRPr="0096524F">
        <w:t>;</w:t>
      </w:r>
      <w:r w:rsidR="0096524F" w:rsidRPr="0096524F">
        <w:t xml:space="preserve"> </w:t>
      </w:r>
      <w:r w:rsidR="0096524F" w:rsidRPr="0096524F">
        <w:t>t</w:t>
      </w:r>
      <w:r w:rsidRPr="0096524F">
        <w:t>he latter claim was based on allegations that Apple encouraged others to develop Guide software.</w:t>
      </w:r>
      <w:r w:rsidR="0096524F" w:rsidRPr="0096524F">
        <w:rPr>
          <w:vertAlign w:val="superscript"/>
        </w:rPr>
        <w:footnoteReference w:id="743"/>
      </w:r>
      <w:r w:rsidRPr="0096524F">
        <w:t xml:space="preserve"> The court denied Apple’s summary judgment motion as to the dilution claims, both direct and contributory, asserting that issues of fact existed as to the distinctiveness of the plaintiff’s mark and a likelihood of blurring.</w:t>
      </w:r>
      <w:r w:rsidR="0096524F" w:rsidRPr="0096524F">
        <w:rPr>
          <w:vertAlign w:val="superscript"/>
        </w:rPr>
        <w:footnoteReference w:id="744"/>
      </w:r>
      <w:r w:rsidRPr="0096524F">
        <w:t xml:space="preserve"> However, it apparently assumed, there being no real discussion of the issue, that a claim for contributory dilution existed under Illinois law.</w:t>
      </w:r>
      <w:r w:rsidR="0096524F" w:rsidRPr="0096524F">
        <w:rPr>
          <w:vertAlign w:val="superscript"/>
        </w:rPr>
        <w:footnoteReference w:id="745"/>
      </w:r>
      <w:r w:rsidRPr="0096524F">
        <w:t xml:space="preserve"> Given the absence of any real discussion of the issue, </w:t>
      </w:r>
      <w:r w:rsidR="0096524F" w:rsidRPr="0096524F">
        <w:rPr>
          <w:i/>
        </w:rPr>
        <w:t>Kegan</w:t>
      </w:r>
      <w:r w:rsidRPr="0096524F">
        <w:t xml:space="preserve"> is at best weak support for the existence of such a claim</w:t>
      </w:r>
      <w:r w:rsidR="0096524F" w:rsidRPr="0096524F">
        <w:t>.</w:t>
      </w:r>
      <w:r w:rsidR="0096524F" w:rsidRPr="0096524F">
        <w:t xml:space="preserve"> </w:t>
      </w:r>
      <w:r w:rsidR="0096524F" w:rsidRPr="0096524F">
        <w:t>A</w:t>
      </w:r>
      <w:r w:rsidRPr="0096524F">
        <w:t xml:space="preserve">nother federal court followed </w:t>
      </w:r>
      <w:r w:rsidR="0096524F" w:rsidRPr="0096524F">
        <w:rPr>
          <w:i/>
        </w:rPr>
        <w:t>Kegan</w:t>
      </w:r>
      <w:r w:rsidRPr="0096524F">
        <w:t>, calling a contributory claim “novel” yet “entirely plausible,” though without a serious discussion of the claim.</w:t>
      </w:r>
      <w:r w:rsidR="0096524F" w:rsidRPr="0096524F">
        <w:rPr>
          <w:vertAlign w:val="superscript"/>
        </w:rPr>
        <w:footnoteReference w:id="746"/>
      </w:r>
      <w:r w:rsidRPr="0096524F">
        <w:t xml:space="preserve"> And another district court denied a motion to dismiss a contributory dilution claim, relying in part on the fact that no appellate court had expressly rejected such a claim, plus the </w:t>
      </w:r>
      <w:r w:rsidR="0096524F" w:rsidRPr="0096524F">
        <w:rPr>
          <w:i/>
        </w:rPr>
        <w:t>Kegan</w:t>
      </w:r>
      <w:r w:rsidRPr="0096524F">
        <w:t xml:space="preserve"> opinion.</w:t>
      </w:r>
      <w:r w:rsidR="0096524F" w:rsidRPr="0096524F">
        <w:rPr>
          <w:vertAlign w:val="superscript"/>
        </w:rPr>
        <w:footnoteReference w:id="747"/>
      </w:r>
    </w:p>
    <w:p w14:paraId="2EEAB0CE" w14:textId="111DA62A" w:rsidR="0096524F" w:rsidRPr="0096524F" w:rsidRDefault="00A60ADB" w:rsidP="0096524F">
      <w:pPr>
        <w:pStyle w:val="BNormal"/>
      </w:pPr>
      <w:r w:rsidRPr="0096524F">
        <w:t xml:space="preserve">One court allowed a contributory dilution claim to go forward, citing several cases including </w:t>
      </w:r>
      <w:r w:rsidR="0096524F" w:rsidRPr="0096524F">
        <w:rPr>
          <w:i/>
        </w:rPr>
        <w:t>Kegan</w:t>
      </w:r>
      <w:r w:rsidRPr="0096524F">
        <w:t>, and stating that “willful blindness” is sufficient to permit such a claim.</w:t>
      </w:r>
      <w:r w:rsidR="0096524F" w:rsidRPr="0096524F">
        <w:rPr>
          <w:vertAlign w:val="superscript"/>
        </w:rPr>
        <w:footnoteReference w:id="748"/>
      </w:r>
      <w:r w:rsidRPr="0096524F">
        <w:t xml:space="preserve"> Another court allowed such a claim against a flea market operator.</w:t>
      </w:r>
      <w:r w:rsidR="0096524F" w:rsidRPr="0096524F">
        <w:rPr>
          <w:vertAlign w:val="superscript"/>
        </w:rPr>
        <w:footnoteReference w:id="749"/>
      </w:r>
      <w:r w:rsidRPr="0096524F">
        <w:t xml:space="preserve"> However, the same court dismissed a contributory claim against the owners of the property (who leased to the market operator), holding that merely owning property on which dilution occurred was not sufficient to support contributory liability.</w:t>
      </w:r>
      <w:r w:rsidR="0096524F" w:rsidRPr="0096524F">
        <w:rPr>
          <w:vertAlign w:val="superscript"/>
        </w:rPr>
        <w:footnoteReference w:id="750"/>
      </w:r>
    </w:p>
    <w:p w14:paraId="5ECF6613" w14:textId="4319A4AF" w:rsidR="0096524F" w:rsidRPr="0096524F" w:rsidRDefault="00A60ADB" w:rsidP="0096524F">
      <w:pPr>
        <w:pStyle w:val="BNormal"/>
      </w:pPr>
      <w:r w:rsidRPr="0096524F">
        <w:lastRenderedPageBreak/>
        <w:t xml:space="preserve">By contrast, a claim for contributory dilution under California law was dismissed, with almost no discussion, in </w:t>
      </w:r>
      <w:r w:rsidR="0096524F" w:rsidRPr="0096524F">
        <w:rPr>
          <w:i/>
        </w:rPr>
        <w:t>Academy of Motion Picture Arts &amp; Sciences v</w:t>
      </w:r>
      <w:r w:rsidR="0096524F" w:rsidRPr="0096524F">
        <w:t>.</w:t>
      </w:r>
      <w:r w:rsidR="0096524F" w:rsidRPr="0096524F">
        <w:t xml:space="preserve"> </w:t>
      </w:r>
      <w:r w:rsidR="0096524F" w:rsidRPr="0096524F">
        <w:rPr>
          <w:i/>
        </w:rPr>
        <w:t>Network Solutions, Inc</w:t>
      </w:r>
      <w:r w:rsidRPr="0096524F">
        <w:t>.</w:t>
      </w:r>
      <w:r w:rsidR="0096524F" w:rsidRPr="0096524F">
        <w:rPr>
          <w:vertAlign w:val="superscript"/>
        </w:rPr>
        <w:footnoteReference w:id="751"/>
      </w:r>
      <w:r w:rsidRPr="0096524F">
        <w:t xml:space="preserve"> However, the lack of discussion of the issue in this case and </w:t>
      </w:r>
      <w:r w:rsidR="0096524F" w:rsidRPr="0096524F">
        <w:rPr>
          <w:i/>
        </w:rPr>
        <w:t>Kegan</w:t>
      </w:r>
      <w:r w:rsidRPr="0096524F">
        <w:t xml:space="preserve"> makes them questionable precedent for any broad statement that such a claim should or should not exist.</w:t>
      </w:r>
    </w:p>
    <w:p w14:paraId="6E98FD3E" w14:textId="3AB3B29A" w:rsidR="0096524F" w:rsidRPr="0096524F" w:rsidRDefault="00A60ADB" w:rsidP="0096524F">
      <w:pPr>
        <w:pStyle w:val="BNormal"/>
      </w:pPr>
      <w:r w:rsidRPr="0096524F">
        <w:t>In another case, a federal district court granted summary judgment for the defendant on claims of contributory infringement and dilution, but without discussing whether a contributory dilution claim is theoretically valid.</w:t>
      </w:r>
      <w:r w:rsidR="0096524F" w:rsidRPr="0096524F">
        <w:rPr>
          <w:vertAlign w:val="superscript"/>
        </w:rPr>
        <w:footnoteReference w:id="752"/>
      </w:r>
    </w:p>
    <w:p w14:paraId="4C170479" w14:textId="027F81BF" w:rsidR="0096524F" w:rsidRPr="0096524F" w:rsidRDefault="00A60ADB" w:rsidP="0096524F">
      <w:pPr>
        <w:pStyle w:val="BNormal"/>
      </w:pPr>
      <w:r w:rsidRPr="0096524F">
        <w:t>If such a claim exists, one would expect that the requirements would be no less stringent than for contributory infringement.</w:t>
      </w:r>
      <w:r w:rsidR="0096524F" w:rsidRPr="0096524F">
        <w:rPr>
          <w:vertAlign w:val="superscript"/>
        </w:rPr>
        <w:footnoteReference w:id="753"/>
      </w:r>
      <w:r w:rsidRPr="0096524F">
        <w:t xml:space="preserve"> Thus, some sort of actual or imputed knowledge of the other’s dilution should be required.</w:t>
      </w:r>
      <w:r w:rsidR="0096524F" w:rsidRPr="0096524F">
        <w:rPr>
          <w:vertAlign w:val="superscript"/>
        </w:rPr>
        <w:footnoteReference w:id="754"/>
      </w:r>
    </w:p>
    <w:p w14:paraId="08CBEB5D" w14:textId="5B5BA367" w:rsidR="0096524F" w:rsidRPr="0096524F" w:rsidRDefault="00371CCB" w:rsidP="00175762">
      <w:pPr>
        <w:pStyle w:val="BHead1"/>
      </w:pPr>
      <w:r>
        <w:t>9.</w:t>
      </w:r>
      <w:r w:rsidR="0096524F" w:rsidRPr="00175762">
        <w:rPr>
          <w:rStyle w:val="BBNAidChar"/>
          <w:rFonts w:eastAsiaTheme="majorEastAsia"/>
        </w:rPr>
        <w:t>III</w:t>
      </w:r>
      <w:r w:rsidR="0096524F" w:rsidRPr="0096524F">
        <w:t>.</w:t>
      </w:r>
      <w:r>
        <w:t> </w:t>
      </w:r>
      <w:r w:rsidR="00175762">
        <w:t xml:space="preserve"> </w:t>
      </w:r>
      <w:r w:rsidR="0096524F" w:rsidRPr="0096524F">
        <w:t>The Required Level of Similarity to</w:t>
      </w:r>
      <w:r w:rsidR="00175762">
        <w:t xml:space="preserve"> </w:t>
      </w:r>
      <w:r w:rsidR="0096524F" w:rsidRPr="0096524F">
        <w:t>Demonstrate Dilution</w:t>
      </w:r>
    </w:p>
    <w:p w14:paraId="2E2F2FE2" w14:textId="65987F5B" w:rsidR="0096524F" w:rsidRPr="0096524F" w:rsidRDefault="00371CCB" w:rsidP="00175762">
      <w:pPr>
        <w:pStyle w:val="BHead2"/>
      </w:pPr>
      <w:r>
        <w:t>9.III.</w:t>
      </w:r>
      <w:r w:rsidR="0096524F" w:rsidRPr="00175762">
        <w:rPr>
          <w:rStyle w:val="BBNAidChar"/>
          <w:rFonts w:eastAsiaTheme="majorEastAsia"/>
        </w:rPr>
        <w:t>A</w:t>
      </w:r>
      <w:r w:rsidR="0096524F" w:rsidRPr="0096524F">
        <w:t>.</w:t>
      </w:r>
      <w:r>
        <w:t> </w:t>
      </w:r>
      <w:r w:rsidR="0096524F" w:rsidRPr="0096524F">
        <w:tab/>
        <w:t>The Requisite Level of Similarity</w:t>
      </w:r>
    </w:p>
    <w:p w14:paraId="557B8487" w14:textId="49CFB234" w:rsidR="0096524F" w:rsidRPr="0096524F" w:rsidRDefault="00A60ADB" w:rsidP="0096524F">
      <w:pPr>
        <w:pStyle w:val="BNormal"/>
      </w:pPr>
      <w:r w:rsidRPr="0096524F">
        <w:t>The concepts of dilution and similarity of marks are very much intertwined</w:t>
      </w:r>
      <w:r w:rsidR="0096524F" w:rsidRPr="0096524F">
        <w:t>.</w:t>
      </w:r>
      <w:r w:rsidR="0096524F" w:rsidRPr="0096524F">
        <w:t xml:space="preserve"> </w:t>
      </w:r>
      <w:r w:rsidR="0096524F" w:rsidRPr="0096524F">
        <w:t>D</w:t>
      </w:r>
      <w:r w:rsidRPr="0096524F">
        <w:t>ilution is the end result of a second mark that calls to mind another mark, leading to some kind of harm to the other mark—either a loss of distinctiveness or harm to its reputation</w:t>
      </w:r>
      <w:r w:rsidR="0096524F" w:rsidRPr="0096524F">
        <w:t>.</w:t>
      </w:r>
      <w:r w:rsidR="0096524F" w:rsidRPr="0096524F">
        <w:t xml:space="preserve"> </w:t>
      </w:r>
      <w:r w:rsidR="0096524F" w:rsidRPr="0096524F">
        <w:t>I</w:t>
      </w:r>
      <w:r w:rsidRPr="0096524F">
        <w:t xml:space="preserve">ndeed, the definitions of blurring and </w:t>
      </w:r>
      <w:proofErr w:type="spellStart"/>
      <w:r w:rsidRPr="0096524F">
        <w:t>tarnishment</w:t>
      </w:r>
      <w:proofErr w:type="spellEnd"/>
      <w:r w:rsidRPr="0096524F">
        <w:t xml:space="preserve"> in the TDRA state that blurring and </w:t>
      </w:r>
      <w:proofErr w:type="spellStart"/>
      <w:r w:rsidRPr="0096524F">
        <w:t>tarnishment</w:t>
      </w:r>
      <w:proofErr w:type="spellEnd"/>
      <w:r w:rsidRPr="0096524F">
        <w:t xml:space="preserve"> occur when the famous mark’s distinctiveness or reputation is harmed by an association </w:t>
      </w:r>
      <w:r w:rsidR="0096524F" w:rsidRPr="0096524F">
        <w:rPr>
          <w:i/>
        </w:rPr>
        <w:t>that results from similarity</w:t>
      </w:r>
      <w:r w:rsidR="0096524F" w:rsidRPr="0096524F">
        <w:t>.</w:t>
      </w:r>
      <w:r w:rsidR="0096524F" w:rsidRPr="0096524F">
        <w:t xml:space="preserve"> </w:t>
      </w:r>
      <w:r w:rsidR="0096524F" w:rsidRPr="0096524F">
        <w:t>C</w:t>
      </w:r>
      <w:r w:rsidRPr="0096524F">
        <w:t>learly, unless the second mark is similar to the other mark, it is unlikely that the second mark will trigger a recall of the other mark</w:t>
      </w:r>
      <w:r w:rsidR="0096524F" w:rsidRPr="0096524F">
        <w:t>.</w:t>
      </w:r>
      <w:r w:rsidR="0096524F" w:rsidRPr="0096524F">
        <w:t xml:space="preserve"> </w:t>
      </w:r>
      <w:r w:rsidR="0096524F" w:rsidRPr="0096524F">
        <w:t>B</w:t>
      </w:r>
      <w:r w:rsidRPr="0096524F">
        <w:t>ut how similar must the second mark be to cause dilution (or be likely to cause dilution)</w:t>
      </w:r>
      <w:r w:rsidR="0096524F" w:rsidRPr="0096524F">
        <w:t>?</w:t>
      </w:r>
      <w:r w:rsidR="0096524F" w:rsidRPr="0096524F">
        <w:t xml:space="preserve"> </w:t>
      </w:r>
      <w:r w:rsidR="0096524F" w:rsidRPr="0096524F">
        <w:t>A</w:t>
      </w:r>
      <w:r w:rsidRPr="0096524F">
        <w:t>nd is there a minimum threshold of similarity below which a dilution claim will not be allowed to proceed?</w:t>
      </w:r>
    </w:p>
    <w:p w14:paraId="2B3D44E5" w14:textId="5EC952DF" w:rsidR="0096524F" w:rsidRPr="0096524F" w:rsidRDefault="00A60ADB" w:rsidP="0096524F">
      <w:pPr>
        <w:pStyle w:val="BNormal"/>
      </w:pPr>
      <w:r w:rsidRPr="0096524F">
        <w:t>Prior to the TDRA, courts had a fairly consistent answer to those questions</w:t>
      </w:r>
      <w:r w:rsidR="0096524F" w:rsidRPr="0096524F">
        <w:t>.</w:t>
      </w:r>
      <w:r w:rsidR="0096524F" w:rsidRPr="0096524F">
        <w:t xml:space="preserve"> </w:t>
      </w:r>
      <w:r w:rsidR="0096524F" w:rsidRPr="0096524F">
        <w:t>A</w:t>
      </w:r>
      <w:r w:rsidRPr="0096524F">
        <w:t xml:space="preserve"> dilution claim could not succeed without a requisite level of similarity between the marks</w:t>
      </w:r>
      <w:r w:rsidR="0096524F" w:rsidRPr="0096524F">
        <w:t>.</w:t>
      </w:r>
      <w:r w:rsidR="0096524F" w:rsidRPr="0096524F">
        <w:t xml:space="preserve"> </w:t>
      </w:r>
      <w:r w:rsidR="0096524F" w:rsidRPr="0096524F">
        <w:t>A</w:t>
      </w:r>
      <w:r w:rsidRPr="0096524F">
        <w:t>nd the required level was, at least in theory, fairly high</w:t>
      </w:r>
      <w:r w:rsidR="0096524F" w:rsidRPr="0096524F">
        <w:t>.</w:t>
      </w:r>
      <w:r w:rsidR="0096524F" w:rsidRPr="0096524F">
        <w:t xml:space="preserve"> </w:t>
      </w:r>
      <w:r w:rsidR="0096524F" w:rsidRPr="0096524F">
        <w:t>M</w:t>
      </w:r>
      <w:r w:rsidRPr="0096524F">
        <w:t>ost courts required that the two marks be “substantially” similar.</w:t>
      </w:r>
      <w:r w:rsidR="0096524F" w:rsidRPr="0096524F">
        <w:rPr>
          <w:vertAlign w:val="superscript"/>
        </w:rPr>
        <w:footnoteReference w:id="755"/>
      </w:r>
      <w:r w:rsidRPr="0096524F">
        <w:t xml:space="preserve"> The Ninth Circuit seemed to go further, requiring the marks to be “identical or nearly identical.”</w:t>
      </w:r>
      <w:r w:rsidR="0096524F" w:rsidRPr="0096524F">
        <w:rPr>
          <w:vertAlign w:val="superscript"/>
        </w:rPr>
        <w:footnoteReference w:id="756"/>
      </w:r>
      <w:r w:rsidRPr="0096524F">
        <w:t xml:space="preserve"> However, in practice, the Ninth Circuit’s standard was not as exacting as its rubric suggested.</w:t>
      </w:r>
      <w:r w:rsidR="0096524F" w:rsidRPr="0096524F">
        <w:rPr>
          <w:vertAlign w:val="superscript"/>
        </w:rPr>
        <w:footnoteReference w:id="757"/>
      </w:r>
    </w:p>
    <w:p w14:paraId="61E1B59E" w14:textId="3BF0C75F" w:rsidR="0096524F" w:rsidRPr="0096524F" w:rsidRDefault="00A60ADB" w:rsidP="0096524F">
      <w:pPr>
        <w:pStyle w:val="BNormal"/>
      </w:pPr>
      <w:r w:rsidRPr="0096524F">
        <w:lastRenderedPageBreak/>
        <w:t>Even after the TDRA, courts continued to use the substantial similarity, or nearly identical, test—that is, until late 2009</w:t>
      </w:r>
      <w:r w:rsidR="0096524F" w:rsidRPr="0096524F">
        <w:t>.</w:t>
      </w:r>
      <w:r w:rsidR="0096524F" w:rsidRPr="0096524F">
        <w:t xml:space="preserve"> </w:t>
      </w:r>
      <w:r w:rsidR="0096524F" w:rsidRPr="0096524F">
        <w:t>T</w:t>
      </w:r>
      <w:r w:rsidRPr="0096524F">
        <w:t xml:space="preserve">hat was when the Second Circuit, in </w:t>
      </w:r>
      <w:r w:rsidR="0096524F" w:rsidRPr="0096524F">
        <w:rPr>
          <w:i/>
        </w:rPr>
        <w:t>Starbucks Corp</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Wolfe’s Borough Coffee, Inc</w:t>
      </w:r>
      <w:r w:rsidRPr="0096524F">
        <w:t>.,</w:t>
      </w:r>
      <w:r w:rsidR="0096524F" w:rsidRPr="0096524F">
        <w:rPr>
          <w:vertAlign w:val="superscript"/>
        </w:rPr>
        <w:footnoteReference w:id="758"/>
      </w:r>
      <w:r w:rsidRPr="0096524F">
        <w:t xml:space="preserve"> held that, </w:t>
      </w:r>
      <w:r w:rsidR="0096524F" w:rsidRPr="0096524F">
        <w:rPr>
          <w:i/>
        </w:rPr>
        <w:t>in a blurring case</w:t>
      </w:r>
      <w:r w:rsidRPr="0096524F">
        <w:t>, substantial similarity was no longer a threshold requirement under the TDRA.</w:t>
      </w:r>
      <w:r w:rsidR="0096524F" w:rsidRPr="0096524F">
        <w:rPr>
          <w:vertAlign w:val="superscript"/>
        </w:rPr>
        <w:footnoteReference w:id="759"/>
      </w:r>
      <w:r w:rsidRPr="0096524F">
        <w:t xml:space="preserve"> The court based its holding on the listing of factors for determining blurring, which includes “degree of similarity,” but without specifying “substantial” similarity.</w:t>
      </w:r>
      <w:r w:rsidR="0096524F" w:rsidRPr="0096524F">
        <w:rPr>
          <w:vertAlign w:val="superscript"/>
        </w:rPr>
        <w:footnoteReference w:id="760"/>
      </w:r>
      <w:r w:rsidRPr="0096524F">
        <w:t xml:space="preserve"> The court held that this indicated Congress’s desire to make similarity just one factor in the analysis and not a threshold requirement</w:t>
      </w:r>
      <w:r w:rsidR="0096524F" w:rsidRPr="0096524F">
        <w:t>.</w:t>
      </w:r>
      <w:r w:rsidR="0096524F" w:rsidRPr="0096524F">
        <w:t xml:space="preserve"> </w:t>
      </w:r>
      <w:r w:rsidR="0096524F" w:rsidRPr="0096524F">
        <w:t>T</w:t>
      </w:r>
      <w:r w:rsidRPr="0096524F">
        <w:t>he Ninth Circuit followed suit in 2011, essentially adopting the Second Circuit’s reasoning.</w:t>
      </w:r>
      <w:r w:rsidR="0096524F" w:rsidRPr="0096524F">
        <w:rPr>
          <w:vertAlign w:val="superscript"/>
        </w:rPr>
        <w:footnoteReference w:id="761"/>
      </w:r>
      <w:r w:rsidRPr="0096524F">
        <w:t xml:space="preserve"> These two cases have left the issue of similarity in an uncertain state, especially regarding blurring cases.</w:t>
      </w:r>
      <w:r w:rsidR="0096524F" w:rsidRPr="0096524F">
        <w:rPr>
          <w:vertAlign w:val="superscript"/>
        </w:rPr>
        <w:footnoteReference w:id="762"/>
      </w:r>
    </w:p>
    <w:p w14:paraId="6C904E92" w14:textId="6473E407" w:rsidR="0096524F" w:rsidRPr="0096524F" w:rsidRDefault="00A60ADB" w:rsidP="0096524F">
      <w:pPr>
        <w:pStyle w:val="BNormal"/>
      </w:pPr>
      <w:r w:rsidRPr="0096524F">
        <w:t>Even if other courts follow suit, the reasoning of these cases was specific to the definition of blurring under the TDRA.</w:t>
      </w:r>
      <w:r w:rsidR="0096524F" w:rsidRPr="0096524F">
        <w:rPr>
          <w:vertAlign w:val="superscript"/>
        </w:rPr>
        <w:footnoteReference w:id="763"/>
      </w:r>
      <w:r w:rsidRPr="0096524F">
        <w:t xml:space="preserve"> That leaves open the question of the proper level of similarity to demonstrate likelihood of </w:t>
      </w:r>
      <w:proofErr w:type="spellStart"/>
      <w:r w:rsidRPr="0096524F">
        <w:t>tarnishment</w:t>
      </w:r>
      <w:proofErr w:type="spellEnd"/>
      <w:r w:rsidR="0096524F" w:rsidRPr="0096524F">
        <w:t>.</w:t>
      </w:r>
      <w:r w:rsidR="0096524F" w:rsidRPr="0096524F">
        <w:t xml:space="preserve"> </w:t>
      </w:r>
      <w:r w:rsidR="0096524F" w:rsidRPr="0096524F">
        <w:t>U</w:t>
      </w:r>
      <w:r w:rsidRPr="0096524F">
        <w:t xml:space="preserve">nlike the definition of blurring, the definition of </w:t>
      </w:r>
      <w:proofErr w:type="spellStart"/>
      <w:r w:rsidRPr="0096524F">
        <w:t>tarnishment</w:t>
      </w:r>
      <w:proofErr w:type="spellEnd"/>
      <w:r w:rsidRPr="0096524F">
        <w:t xml:space="preserve"> contains no guiding factors</w:t>
      </w:r>
      <w:r w:rsidR="0096524F" w:rsidRPr="0096524F">
        <w:t>.</w:t>
      </w:r>
      <w:r w:rsidR="0096524F" w:rsidRPr="0096524F">
        <w:t xml:space="preserve"> </w:t>
      </w:r>
      <w:r w:rsidR="0096524F" w:rsidRPr="0096524F">
        <w:t>T</w:t>
      </w:r>
      <w:r w:rsidRPr="0096524F">
        <w:t xml:space="preserve">hus, although the definition of </w:t>
      </w:r>
      <w:proofErr w:type="spellStart"/>
      <w:r w:rsidRPr="0096524F">
        <w:t>tarnishment</w:t>
      </w:r>
      <w:proofErr w:type="spellEnd"/>
      <w:r w:rsidRPr="0096524F">
        <w:t xml:space="preserve"> does not contain any specific threshold of similarity, there is no basis to believe that Congress intended to make similarity merely a factor, in the manner that the blurring factors arguably do for blurring</w:t>
      </w:r>
      <w:r w:rsidR="0096524F" w:rsidRPr="0096524F">
        <w:t>.</w:t>
      </w:r>
      <w:r w:rsidR="0096524F" w:rsidRPr="0096524F">
        <w:t xml:space="preserve"> </w:t>
      </w:r>
      <w:r w:rsidR="0096524F" w:rsidRPr="0096524F">
        <w:t>T</w:t>
      </w:r>
      <w:r w:rsidRPr="0096524F">
        <w:t>he original FTDA contained no specific reference to any level of similarity—the substantial similarity test was a judicial interpretation of Congress’s intent</w:t>
      </w:r>
      <w:r w:rsidR="0096524F" w:rsidRPr="0096524F">
        <w:t>.</w:t>
      </w:r>
      <w:r w:rsidR="0096524F" w:rsidRPr="0096524F">
        <w:t xml:space="preserve"> </w:t>
      </w:r>
      <w:r w:rsidR="0096524F" w:rsidRPr="0096524F">
        <w:t>I</w:t>
      </w:r>
      <w:r w:rsidRPr="0096524F">
        <w:t xml:space="preserve">ndeed, using the reasoning of </w:t>
      </w:r>
      <w:r w:rsidR="0096524F" w:rsidRPr="0096524F">
        <w:rPr>
          <w:i/>
        </w:rPr>
        <w:lastRenderedPageBreak/>
        <w:t>Starbucks</w:t>
      </w:r>
      <w:r w:rsidRPr="0096524F">
        <w:t xml:space="preserve"> and </w:t>
      </w:r>
      <w:r w:rsidR="0096524F" w:rsidRPr="0096524F">
        <w:rPr>
          <w:i/>
        </w:rPr>
        <w:t>Levi Strauss</w:t>
      </w:r>
      <w:r w:rsidRPr="0096524F">
        <w:t xml:space="preserve">, one may conclude that the absence of any specific </w:t>
      </w:r>
      <w:r w:rsidR="0096524F" w:rsidRPr="0096524F">
        <w:rPr>
          <w:i/>
        </w:rPr>
        <w:t>factors</w:t>
      </w:r>
      <w:r w:rsidRPr="0096524F">
        <w:t xml:space="preserve"> incorporating similarity was a deliberate decision on Congress’s part</w:t>
      </w:r>
      <w:r w:rsidR="0096524F" w:rsidRPr="0096524F">
        <w:t>.</w:t>
      </w:r>
      <w:r w:rsidR="0096524F" w:rsidRPr="0096524F">
        <w:t xml:space="preserve"> </w:t>
      </w:r>
      <w:r w:rsidR="0096524F" w:rsidRPr="0096524F">
        <w:t>I</w:t>
      </w:r>
      <w:r w:rsidRPr="0096524F">
        <w:t xml:space="preserve">n the absence of any indication in the statute or legislative history to the contrary, there is little basis to infer that Congress intended to change the applicable standard merely by including the word “similarity” in the definition of </w:t>
      </w:r>
      <w:proofErr w:type="spellStart"/>
      <w:r w:rsidRPr="0096524F">
        <w:t>tarnishment</w:t>
      </w:r>
      <w:proofErr w:type="spellEnd"/>
      <w:r w:rsidRPr="0096524F">
        <w:t>.</w:t>
      </w:r>
    </w:p>
    <w:p w14:paraId="191744CC" w14:textId="1C89E0E2" w:rsidR="0096524F" w:rsidRPr="0096524F" w:rsidRDefault="00A60ADB" w:rsidP="0096524F">
      <w:pPr>
        <w:pStyle w:val="BNormal"/>
      </w:pPr>
      <w:r w:rsidRPr="0096524F">
        <w:t xml:space="preserve">Even if a court were inclined to revisit the issue for </w:t>
      </w:r>
      <w:proofErr w:type="spellStart"/>
      <w:r w:rsidRPr="0096524F">
        <w:t>tarnishment</w:t>
      </w:r>
      <w:proofErr w:type="spellEnd"/>
      <w:r w:rsidRPr="0096524F">
        <w:t>, there is good reason to continue to use the substantial similarity standard</w:t>
      </w:r>
      <w:r w:rsidR="0096524F" w:rsidRPr="0096524F">
        <w:t>.</w:t>
      </w:r>
      <w:r w:rsidR="0096524F" w:rsidRPr="0096524F">
        <w:t xml:space="preserve"> </w:t>
      </w:r>
      <w:proofErr w:type="spellStart"/>
      <w:r w:rsidR="0096524F" w:rsidRPr="0096524F">
        <w:t>T</w:t>
      </w:r>
      <w:r w:rsidRPr="0096524F">
        <w:t>arnishment</w:t>
      </w:r>
      <w:proofErr w:type="spellEnd"/>
      <w:r w:rsidRPr="0096524F">
        <w:t xml:space="preserve"> by definition involves a use that harms the reputation of another’s mark</w:t>
      </w:r>
      <w:r w:rsidR="0096524F" w:rsidRPr="0096524F">
        <w:t>.</w:t>
      </w:r>
      <w:r w:rsidR="0096524F" w:rsidRPr="0096524F">
        <w:t xml:space="preserve"> </w:t>
      </w:r>
      <w:r w:rsidR="0096524F" w:rsidRPr="0096524F">
        <w:t>T</w:t>
      </w:r>
      <w:r w:rsidRPr="0096524F">
        <w:t>hat sort of harm indicates that viewers of the second mark make a fairly strong connection between the marks—more than a mere calling to mind</w:t>
      </w:r>
      <w:r w:rsidR="0096524F" w:rsidRPr="0096524F">
        <w:t>.</w:t>
      </w:r>
      <w:r w:rsidR="0096524F" w:rsidRPr="0096524F">
        <w:t xml:space="preserve"> </w:t>
      </w:r>
      <w:r w:rsidR="0096524F" w:rsidRPr="0096524F">
        <w:t>T</w:t>
      </w:r>
      <w:r w:rsidRPr="0096524F">
        <w:t>here must be a strong association for a second mark to harm the reputation of the first</w:t>
      </w:r>
      <w:r w:rsidR="0096524F" w:rsidRPr="0096524F">
        <w:t>.</w:t>
      </w:r>
      <w:r w:rsidR="0096524F" w:rsidRPr="0096524F">
        <w:t xml:space="preserve"> </w:t>
      </w:r>
      <w:r w:rsidR="0096524F" w:rsidRPr="0096524F">
        <w:t>T</w:t>
      </w:r>
      <w:r w:rsidRPr="0096524F">
        <w:t>his requires a higher level of similarity than would a simple loss of uniqueness</w:t>
      </w:r>
      <w:r w:rsidR="0096524F" w:rsidRPr="0096524F">
        <w:t>.</w:t>
      </w:r>
      <w:r w:rsidR="0096524F" w:rsidRPr="0096524F">
        <w:t xml:space="preserve"> </w:t>
      </w:r>
      <w:r w:rsidR="0096524F" w:rsidRPr="0096524F">
        <w:t>(</w:t>
      </w:r>
      <w:r w:rsidRPr="0096524F">
        <w:t>It is not a search cost problem but a true associational problem.) As discussed in Section II.E</w:t>
      </w:r>
      <w:r w:rsidR="0096524F" w:rsidRPr="0096524F">
        <w:t>.</w:t>
      </w:r>
      <w:r w:rsidR="0096524F" w:rsidRPr="0096524F">
        <w:t xml:space="preserve"> </w:t>
      </w:r>
      <w:r w:rsidR="0096524F" w:rsidRPr="0096524F">
        <w:t>a</w:t>
      </w:r>
      <w:r w:rsidRPr="0096524F">
        <w:t xml:space="preserve">bove, outside of sexually oriented cases, many courts have been reluctant to assume that </w:t>
      </w:r>
      <w:proofErr w:type="spellStart"/>
      <w:r w:rsidRPr="0096524F">
        <w:t>tarnishment</w:t>
      </w:r>
      <w:proofErr w:type="spellEnd"/>
      <w:r w:rsidRPr="0096524F">
        <w:t xml:space="preserve"> will occur in the absence of any evidentiary showing that harm is likely to occur.</w:t>
      </w:r>
      <w:r w:rsidR="0096524F" w:rsidRPr="0096524F">
        <w:rPr>
          <w:vertAlign w:val="superscript"/>
        </w:rPr>
        <w:footnoteReference w:id="764"/>
      </w:r>
      <w:r w:rsidRPr="0096524F">
        <w:t xml:space="preserve"> This, too, counsels against a simplistic decision to change the standard</w:t>
      </w:r>
      <w:r w:rsidR="0096524F" w:rsidRPr="0096524F">
        <w:t>.</w:t>
      </w:r>
      <w:r w:rsidR="0096524F" w:rsidRPr="0096524F">
        <w:t xml:space="preserve"> </w:t>
      </w:r>
      <w:r w:rsidR="0096524F" w:rsidRPr="0096524F">
        <w:t>F</w:t>
      </w:r>
      <w:r w:rsidRPr="0096524F">
        <w:t xml:space="preserve">inally, since many </w:t>
      </w:r>
      <w:proofErr w:type="spellStart"/>
      <w:r w:rsidRPr="0096524F">
        <w:t>tarnishment</w:t>
      </w:r>
      <w:proofErr w:type="spellEnd"/>
      <w:r w:rsidRPr="0096524F">
        <w:t xml:space="preserve"> cases implicate the communicative value of trademarks as other than mere selling vehicles, courts should not lightly reduce the burden on the plaintiffs to demonstrate a real likelihood of harm, as opposed to a possibility</w:t>
      </w:r>
      <w:r w:rsidR="0096524F" w:rsidRPr="0096524F">
        <w:t>.</w:t>
      </w:r>
      <w:r w:rsidR="0096524F" w:rsidRPr="0096524F">
        <w:t xml:space="preserve"> </w:t>
      </w:r>
      <w:r w:rsidR="0096524F" w:rsidRPr="0096524F">
        <w:t>O</w:t>
      </w:r>
      <w:r w:rsidRPr="0096524F">
        <w:t xml:space="preserve">bviously, the main argument in favor of changing the </w:t>
      </w:r>
      <w:proofErr w:type="spellStart"/>
      <w:r w:rsidRPr="0096524F">
        <w:t>tarnishment</w:t>
      </w:r>
      <w:proofErr w:type="spellEnd"/>
      <w:r w:rsidRPr="0096524F">
        <w:t xml:space="preserve"> standard is consistency across the dilution statute</w:t>
      </w:r>
      <w:r w:rsidR="0096524F" w:rsidRPr="0096524F">
        <w:t>.</w:t>
      </w:r>
      <w:r w:rsidR="0096524F" w:rsidRPr="0096524F">
        <w:t xml:space="preserve"> </w:t>
      </w:r>
      <w:r w:rsidR="0096524F" w:rsidRPr="0096524F">
        <w:t>B</w:t>
      </w:r>
      <w:r w:rsidRPr="0096524F">
        <w:t xml:space="preserve">ut, given that </w:t>
      </w:r>
      <w:proofErr w:type="spellStart"/>
      <w:r w:rsidRPr="0096524F">
        <w:t>tarnishment</w:t>
      </w:r>
      <w:proofErr w:type="spellEnd"/>
      <w:r w:rsidRPr="0096524F">
        <w:t xml:space="preserve"> expresses a harm to reputation, not distinctiveness, a different standard is not necessarily illogical.</w:t>
      </w:r>
    </w:p>
    <w:p w14:paraId="027AC234" w14:textId="15C739F1" w:rsidR="0096524F" w:rsidRPr="0096524F" w:rsidRDefault="00A60ADB" w:rsidP="0096524F">
      <w:pPr>
        <w:pStyle w:val="BNormal"/>
      </w:pPr>
      <w:r w:rsidRPr="0096524F">
        <w:t xml:space="preserve">Nevertheless, one district court has held that the requisite level of similarity for </w:t>
      </w:r>
      <w:proofErr w:type="spellStart"/>
      <w:r w:rsidRPr="0096524F">
        <w:t>tarnishment</w:t>
      </w:r>
      <w:proofErr w:type="spellEnd"/>
      <w:r w:rsidRPr="0096524F">
        <w:t xml:space="preserve"> is the same as that for blurring.</w:t>
      </w:r>
      <w:r w:rsidR="0096524F" w:rsidRPr="0096524F">
        <w:rPr>
          <w:vertAlign w:val="superscript"/>
        </w:rPr>
        <w:footnoteReference w:id="765"/>
      </w:r>
      <w:r w:rsidRPr="0096524F">
        <w:t xml:space="preserve"> The court reasoned that Congress intended the word “similarity” in the definitions of blurring and </w:t>
      </w:r>
      <w:proofErr w:type="spellStart"/>
      <w:r w:rsidRPr="0096524F">
        <w:t>tarnishment</w:t>
      </w:r>
      <w:proofErr w:type="spellEnd"/>
      <w:r w:rsidRPr="0096524F">
        <w:t xml:space="preserve"> to have the same meaning.</w:t>
      </w:r>
      <w:r w:rsidR="0096524F" w:rsidRPr="0096524F">
        <w:rPr>
          <w:vertAlign w:val="superscript"/>
        </w:rPr>
        <w:footnoteReference w:id="766"/>
      </w:r>
    </w:p>
    <w:p w14:paraId="41FF0C22" w14:textId="265AB734" w:rsidR="0096524F" w:rsidRPr="0096524F" w:rsidRDefault="00371CCB" w:rsidP="00175762">
      <w:pPr>
        <w:pStyle w:val="BHead2"/>
      </w:pPr>
      <w:r>
        <w:t>9.III.</w:t>
      </w:r>
      <w:r w:rsidR="0096524F" w:rsidRPr="00175762">
        <w:rPr>
          <w:rStyle w:val="BBNAidChar"/>
          <w:rFonts w:eastAsiaTheme="majorEastAsia"/>
        </w:rPr>
        <w:t>B</w:t>
      </w:r>
      <w:r w:rsidR="0096524F" w:rsidRPr="0096524F">
        <w:t>.</w:t>
      </w:r>
      <w:r>
        <w:t> </w:t>
      </w:r>
      <w:r w:rsidR="0096524F" w:rsidRPr="0096524F">
        <w:tab/>
        <w:t>Illustrating Similarity:</w:t>
      </w:r>
      <w:r w:rsidR="0096524F" w:rsidRPr="0096524F">
        <w:t xml:space="preserve"> </w:t>
      </w:r>
      <w:r w:rsidR="0096524F" w:rsidRPr="0096524F">
        <w:t>Examples from the Case Law</w:t>
      </w:r>
    </w:p>
    <w:p w14:paraId="1C3F8DEB" w14:textId="47152247" w:rsidR="0096524F" w:rsidRPr="0096524F" w:rsidRDefault="00A60ADB" w:rsidP="0096524F">
      <w:pPr>
        <w:pStyle w:val="BNormal"/>
      </w:pPr>
      <w:r w:rsidRPr="0096524F">
        <w:t>Whether the standard is “substantial” similarity or whether it is simply “degree of similarity,” courts will have to determine what level of similarity exists between the two marks at issue</w:t>
      </w:r>
      <w:r w:rsidR="0096524F" w:rsidRPr="0096524F">
        <w:t>.</w:t>
      </w:r>
      <w:r w:rsidR="0096524F" w:rsidRPr="0096524F">
        <w:t xml:space="preserve"> </w:t>
      </w:r>
      <w:r w:rsidR="0096524F" w:rsidRPr="0096524F">
        <w:t>U</w:t>
      </w:r>
      <w:r w:rsidRPr="0096524F">
        <w:t>nfortunately, even a standard like “substantial” similarity or “identical or nearly identical” does not clearly identify which situations meet the standard</w:t>
      </w:r>
      <w:r w:rsidR="0096524F" w:rsidRPr="0096524F">
        <w:t>.</w:t>
      </w:r>
      <w:r w:rsidR="0096524F" w:rsidRPr="0096524F">
        <w:t xml:space="preserve"> </w:t>
      </w:r>
      <w:r w:rsidR="0096524F" w:rsidRPr="0096524F">
        <w:t>T</w:t>
      </w:r>
      <w:r w:rsidRPr="0096524F">
        <w:t>hus, one must look at case law to find appropriate analogies</w:t>
      </w:r>
      <w:r w:rsidR="0096524F" w:rsidRPr="0096524F">
        <w:t>.</w:t>
      </w:r>
      <w:r w:rsidR="0096524F" w:rsidRPr="0096524F">
        <w:t xml:space="preserve"> </w:t>
      </w:r>
      <w:r w:rsidR="0096524F" w:rsidRPr="0096524F">
        <w:t>M</w:t>
      </w:r>
      <w:r w:rsidRPr="0096524F">
        <w:t>ost of the recent case law predates the recent questioning of the substantial similarity test, but it gives clues to the proper methodology in determining similarity.</w:t>
      </w:r>
    </w:p>
    <w:p w14:paraId="68FEB793" w14:textId="59A2A980" w:rsidR="0096524F" w:rsidRPr="0096524F" w:rsidRDefault="00A60ADB" w:rsidP="0096524F">
      <w:pPr>
        <w:pStyle w:val="BNormal"/>
      </w:pPr>
      <w:r w:rsidRPr="0096524F">
        <w:t>In two cases, courts examining the similarity of marks in the genre of well-known drugs analyzed this issue in roughly the same manner.</w:t>
      </w:r>
      <w:r w:rsidR="0096524F" w:rsidRPr="0096524F">
        <w:rPr>
          <w:vertAlign w:val="superscript"/>
        </w:rPr>
        <w:footnoteReference w:id="767"/>
      </w:r>
      <w:r w:rsidRPr="0096524F">
        <w:t xml:space="preserve"> In one case, the court found the mark </w:t>
      </w:r>
      <w:proofErr w:type="spellStart"/>
      <w:r w:rsidRPr="0096524F">
        <w:t>Tempanol</w:t>
      </w:r>
      <w:proofErr w:type="spellEnd"/>
      <w:r w:rsidRPr="0096524F">
        <w:t xml:space="preserve"> to be substantially similar to Tylenol.</w:t>
      </w:r>
      <w:r w:rsidR="0096524F" w:rsidRPr="0096524F">
        <w:rPr>
          <w:vertAlign w:val="superscript"/>
        </w:rPr>
        <w:footnoteReference w:id="768"/>
      </w:r>
      <w:r w:rsidRPr="0096524F">
        <w:t xml:space="preserve"> The court cited similarities in spelling, sound (both begin with T and end with “</w:t>
      </w:r>
      <w:proofErr w:type="spellStart"/>
      <w:r w:rsidRPr="0096524F">
        <w:t>nol</w:t>
      </w:r>
      <w:proofErr w:type="spellEnd"/>
      <w:r w:rsidRPr="0096524F">
        <w:t xml:space="preserve">”), and number of </w:t>
      </w:r>
      <w:r w:rsidRPr="0096524F">
        <w:lastRenderedPageBreak/>
        <w:t>syllables.</w:t>
      </w:r>
      <w:r w:rsidR="0096524F" w:rsidRPr="0096524F">
        <w:rPr>
          <w:vertAlign w:val="superscript"/>
        </w:rPr>
        <w:footnoteReference w:id="769"/>
      </w:r>
      <w:r w:rsidRPr="0096524F">
        <w:t xml:space="preserve"> The court found this sufficient to show “a mental association” between the marks.</w:t>
      </w:r>
      <w:r w:rsidR="0096524F" w:rsidRPr="0096524F">
        <w:rPr>
          <w:vertAlign w:val="superscript"/>
        </w:rPr>
        <w:footnoteReference w:id="770"/>
      </w:r>
      <w:r w:rsidRPr="0096524F">
        <w:t xml:space="preserve"> In the other case, the defendant’s </w:t>
      </w:r>
      <w:proofErr w:type="spellStart"/>
      <w:r w:rsidRPr="0096524F">
        <w:t>Herbrozac</w:t>
      </w:r>
      <w:proofErr w:type="spellEnd"/>
      <w:r w:rsidRPr="0096524F">
        <w:t xml:space="preserve"> mark was found to be substantially similar to Prozac.</w:t>
      </w:r>
      <w:r w:rsidR="0096524F" w:rsidRPr="0096524F">
        <w:rPr>
          <w:vertAlign w:val="superscript"/>
        </w:rPr>
        <w:footnoteReference w:id="771"/>
      </w:r>
      <w:r w:rsidRPr="0096524F">
        <w:t xml:space="preserve"> The court noted the identity of the “</w:t>
      </w:r>
      <w:proofErr w:type="spellStart"/>
      <w:r w:rsidRPr="0096524F">
        <w:t>rozak</w:t>
      </w:r>
      <w:proofErr w:type="spellEnd"/>
      <w:r w:rsidRPr="0096524F">
        <w:t>” ending and the similarity of the “B” and “P” sounds before the ending.</w:t>
      </w:r>
      <w:r w:rsidR="0096524F" w:rsidRPr="0096524F">
        <w:rPr>
          <w:vertAlign w:val="superscript"/>
        </w:rPr>
        <w:footnoteReference w:id="772"/>
      </w:r>
      <w:r w:rsidRPr="0096524F">
        <w:t xml:space="preserve"> It characterized the defendant’s mark as “effectively stat[</w:t>
      </w:r>
      <w:proofErr w:type="spellStart"/>
      <w:r w:rsidRPr="0096524F">
        <w:t>ing</w:t>
      </w:r>
      <w:proofErr w:type="spellEnd"/>
      <w:r w:rsidRPr="0096524F">
        <w:t>] ‘herbal Prozac.’ ”</w:t>
      </w:r>
      <w:r w:rsidR="0096524F" w:rsidRPr="0096524F">
        <w:rPr>
          <w:vertAlign w:val="superscript"/>
        </w:rPr>
        <w:footnoteReference w:id="773"/>
      </w:r>
    </w:p>
    <w:p w14:paraId="2B5D1B65" w14:textId="4CFFC0FA" w:rsidR="0096524F" w:rsidRPr="0096524F" w:rsidRDefault="00A60ADB" w:rsidP="0096524F">
      <w:pPr>
        <w:pStyle w:val="BNormal"/>
      </w:pPr>
      <w:r w:rsidRPr="0096524F">
        <w:t>Two cases compared marks of the form “Greatest ____ on Earth” to the mark Greatest Show on Earth, and neither found substantial similarity.</w:t>
      </w:r>
      <w:r w:rsidR="0096524F" w:rsidRPr="0096524F">
        <w:rPr>
          <w:vertAlign w:val="superscript"/>
        </w:rPr>
        <w:footnoteReference w:id="774"/>
      </w:r>
      <w:r w:rsidRPr="0096524F">
        <w:t xml:space="preserve"> In the first case, the court found that The Greatest Bar on Earth was not substantially similar to The Greatest Show on Earth.</w:t>
      </w:r>
      <w:r w:rsidR="0096524F" w:rsidRPr="0096524F">
        <w:rPr>
          <w:vertAlign w:val="superscript"/>
        </w:rPr>
        <w:footnoteReference w:id="775"/>
      </w:r>
      <w:r w:rsidRPr="0096524F">
        <w:t xml:space="preserve"> The court found that although the “Greatest Show </w:t>
      </w:r>
      <w:r w:rsidR="0096524F" w:rsidRPr="0096524F">
        <w:t>.</w:t>
      </w:r>
      <w:r w:rsidR="0096524F" w:rsidRPr="0096524F">
        <w:t xml:space="preserve"> </w:t>
      </w:r>
      <w:r w:rsidR="0096524F" w:rsidRPr="0096524F">
        <w:t>.</w:t>
      </w:r>
      <w:r w:rsidRPr="0096524F">
        <w:t xml:space="preserve"> .” phrase is famous, it is made up of common terms.</w:t>
      </w:r>
      <w:r w:rsidR="0096524F" w:rsidRPr="0096524F">
        <w:rPr>
          <w:vertAlign w:val="superscript"/>
        </w:rPr>
        <w:footnoteReference w:id="776"/>
      </w:r>
      <w:r w:rsidRPr="0096524F">
        <w:t xml:space="preserve"> The key word “Show” in Ringling’s mark had been replaced with “Bar,” and the latter term overshadowed the rest of the phrase.</w:t>
      </w:r>
      <w:r w:rsidR="0096524F" w:rsidRPr="0096524F">
        <w:rPr>
          <w:vertAlign w:val="superscript"/>
        </w:rPr>
        <w:footnoteReference w:id="777"/>
      </w:r>
      <w:r w:rsidRPr="0096524F">
        <w:t xml:space="preserve"> In the second case, the court found that The Greatest </w:t>
      </w:r>
      <w:r w:rsidR="0096524F" w:rsidRPr="0096524F">
        <w:rPr>
          <w:i/>
        </w:rPr>
        <w:t>Snow</w:t>
      </w:r>
      <w:r w:rsidRPr="0096524F">
        <w:t xml:space="preserve"> on Earth was not substantially similar to Ringling’s mark.</w:t>
      </w:r>
      <w:r w:rsidR="0096524F" w:rsidRPr="0096524F">
        <w:rPr>
          <w:vertAlign w:val="superscript"/>
        </w:rPr>
        <w:footnoteReference w:id="778"/>
      </w:r>
      <w:r w:rsidRPr="0096524F">
        <w:t xml:space="preserve"> As with the “Greatest Bar </w:t>
      </w:r>
      <w:r w:rsidR="0096524F" w:rsidRPr="0096524F">
        <w:t>.</w:t>
      </w:r>
      <w:r w:rsidR="0096524F" w:rsidRPr="0096524F">
        <w:t xml:space="preserve"> </w:t>
      </w:r>
      <w:r w:rsidR="0096524F" w:rsidRPr="0096524F">
        <w:t>.</w:t>
      </w:r>
      <w:r w:rsidRPr="0096524F">
        <w:t xml:space="preserve"> .” mark, the court cited the fact that the key words—snow and show—while similar in sound (and rhyme), were common words.</w:t>
      </w:r>
      <w:r w:rsidR="0096524F" w:rsidRPr="0096524F">
        <w:rPr>
          <w:vertAlign w:val="superscript"/>
        </w:rPr>
        <w:footnoteReference w:id="779"/>
      </w:r>
      <w:r w:rsidRPr="0096524F">
        <w:t xml:space="preserve"> Moreover, the court cited the dissimilarity of the contexts, stating that both phrases had strong descriptive effects and thus the context would dispel any tendency to conjure up a single mark.</w:t>
      </w:r>
      <w:r w:rsidR="0096524F" w:rsidRPr="0096524F">
        <w:rPr>
          <w:vertAlign w:val="superscript"/>
        </w:rPr>
        <w:footnoteReference w:id="780"/>
      </w:r>
    </w:p>
    <w:p w14:paraId="06057CE4" w14:textId="79CA015B" w:rsidR="0096524F" w:rsidRPr="0096524F" w:rsidRDefault="00A60ADB" w:rsidP="0096524F">
      <w:pPr>
        <w:pStyle w:val="BNormal"/>
      </w:pPr>
      <w:r w:rsidRPr="0096524F">
        <w:t xml:space="preserve">The Sixth Circuit examined the issue of similarity in </w:t>
      </w:r>
      <w:r w:rsidR="0096524F" w:rsidRPr="0096524F">
        <w:rPr>
          <w:i/>
        </w:rPr>
        <w:t>AutoZone,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Tandy Corp</w:t>
      </w:r>
      <w:r w:rsidRPr="0096524F">
        <w:t>.,</w:t>
      </w:r>
      <w:r w:rsidR="0096524F" w:rsidRPr="0096524F">
        <w:rPr>
          <w:vertAlign w:val="superscript"/>
        </w:rPr>
        <w:footnoteReference w:id="781"/>
      </w:r>
      <w:r w:rsidRPr="0096524F">
        <w:t xml:space="preserve"> a dilution case involving the marks </w:t>
      </w:r>
      <w:proofErr w:type="spellStart"/>
      <w:r w:rsidRPr="0096524F">
        <w:t>Autozone</w:t>
      </w:r>
      <w:proofErr w:type="spellEnd"/>
      <w:r w:rsidRPr="0096524F">
        <w:t xml:space="preserve"> and </w:t>
      </w:r>
      <w:proofErr w:type="spellStart"/>
      <w:r w:rsidRPr="0096524F">
        <w:t>Powerzone</w:t>
      </w:r>
      <w:proofErr w:type="spellEnd"/>
      <w:r w:rsidRPr="0096524F">
        <w:t xml:space="preserve"> that were used for different goods.</w:t>
      </w:r>
      <w:r w:rsidR="0096524F" w:rsidRPr="0096524F">
        <w:rPr>
          <w:vertAlign w:val="superscript"/>
        </w:rPr>
        <w:footnoteReference w:id="782"/>
      </w:r>
      <w:r w:rsidRPr="0096524F">
        <w:t xml:space="preserve"> The court first emphasized the difference between similarity in an infringement context and in a dilution context, concluding that “we require a plaintiff to demonstrate a higher degree of similarity than is necessary in infringement claims in order to prove that actual dilution has occurred.”</w:t>
      </w:r>
      <w:r w:rsidR="0096524F" w:rsidRPr="0096524F">
        <w:rPr>
          <w:vertAlign w:val="superscript"/>
        </w:rPr>
        <w:footnoteReference w:id="783"/>
      </w:r>
      <w:r w:rsidRPr="0096524F">
        <w:t xml:space="preserve"> The court also noted that several other courts had demanded a higher standard of similarity when considering dilution claims.</w:t>
      </w:r>
      <w:r w:rsidR="0096524F" w:rsidRPr="0096524F">
        <w:rPr>
          <w:vertAlign w:val="superscript"/>
        </w:rPr>
        <w:footnoteReference w:id="784"/>
      </w:r>
      <w:r w:rsidRPr="0096524F">
        <w:t xml:space="preserve"> Applying this standard to the instant case, the court noted:</w:t>
      </w:r>
    </w:p>
    <w:p w14:paraId="384FC224" w14:textId="611C4D7E" w:rsidR="0096524F" w:rsidRPr="0096524F" w:rsidRDefault="00A60ADB" w:rsidP="0096524F">
      <w:pPr>
        <w:pStyle w:val="BQuotelong"/>
      </w:pPr>
      <w:r w:rsidRPr="0096524F">
        <w:lastRenderedPageBreak/>
        <w:t>The two marks look different</w:t>
      </w:r>
      <w:r w:rsidR="0096524F" w:rsidRPr="0096524F">
        <w:t>;</w:t>
      </w:r>
      <w:r w:rsidR="0096524F" w:rsidRPr="0096524F">
        <w:t xml:space="preserve"> </w:t>
      </w:r>
      <w:r w:rsidR="0096524F" w:rsidRPr="0096524F">
        <w:t>t</w:t>
      </w:r>
      <w:r w:rsidRPr="0096524F">
        <w:t>hey are written in different fonts and colors</w:t>
      </w:r>
      <w:r w:rsidR="0096524F" w:rsidRPr="0096524F">
        <w:t>.</w:t>
      </w:r>
      <w:r w:rsidR="0096524F" w:rsidRPr="0096524F">
        <w:t xml:space="preserve"> </w:t>
      </w:r>
      <w:r w:rsidR="0096524F" w:rsidRPr="0096524F">
        <w:t>T</w:t>
      </w:r>
      <w:r w:rsidRPr="0096524F">
        <w:t xml:space="preserve">hey utilize different designs (slanted versus </w:t>
      </w:r>
      <w:proofErr w:type="spellStart"/>
      <w:r w:rsidRPr="0096524F">
        <w:t>nonslanted</w:t>
      </w:r>
      <w:proofErr w:type="spellEnd"/>
      <w:r w:rsidRPr="0096524F">
        <w:t xml:space="preserve"> tradename) and are meant to convey different messages</w:t>
      </w:r>
      <w:r w:rsidR="0096524F" w:rsidRPr="0096524F">
        <w:t>.</w:t>
      </w:r>
      <w:r w:rsidR="0096524F" w:rsidRPr="0096524F">
        <w:t xml:space="preserve"> </w:t>
      </w:r>
      <w:r w:rsidR="0096524F" w:rsidRPr="0096524F">
        <w:t>T</w:t>
      </w:r>
      <w:r w:rsidRPr="0096524F">
        <w:t>hey also sound different because there is little acoustic similarity between AUTO and POWER</w:t>
      </w:r>
      <w:r w:rsidR="0096524F" w:rsidRPr="0096524F">
        <w:t>.</w:t>
      </w:r>
      <w:r w:rsidR="0096524F" w:rsidRPr="0096524F">
        <w:t xml:space="preserve"> </w:t>
      </w:r>
      <w:r w:rsidR="0096524F" w:rsidRPr="0096524F">
        <w:t>A</w:t>
      </w:r>
      <w:r w:rsidRPr="0096524F">
        <w:t>s a comparison, AUTOZONE and a hypothetical AUDIOZONE would have a higher level of acoustic similarity</w:t>
      </w:r>
      <w:r w:rsidR="0096524F" w:rsidRPr="0096524F">
        <w:t>.</w:t>
      </w:r>
      <w:r w:rsidR="0096524F" w:rsidRPr="0096524F">
        <w:t xml:space="preserve"> </w:t>
      </w:r>
      <w:r w:rsidR="0096524F" w:rsidRPr="0096524F">
        <w:t>A</w:t>
      </w:r>
      <w:r w:rsidRPr="0096524F">
        <w:t>dditionally, the common word between AUTOZONE and POWERZONE is pronounced second and is consequently deemphasized.</w:t>
      </w:r>
      <w:r w:rsidR="0096524F" w:rsidRPr="0096524F">
        <w:rPr>
          <w:vertAlign w:val="superscript"/>
        </w:rPr>
        <w:footnoteReference w:id="785"/>
      </w:r>
    </w:p>
    <w:p w14:paraId="7CF7BFE0" w14:textId="55A2EF2D" w:rsidR="0096524F" w:rsidRPr="0096524F" w:rsidRDefault="00A60ADB" w:rsidP="0096524F">
      <w:pPr>
        <w:pStyle w:val="BNormal"/>
      </w:pPr>
      <w:r w:rsidRPr="0096524F">
        <w:t xml:space="preserve">The Fourth Circuit cited the </w:t>
      </w:r>
      <w:r w:rsidR="0096524F" w:rsidRPr="0096524F">
        <w:rPr>
          <w:i/>
        </w:rPr>
        <w:t>AutoZone</w:t>
      </w:r>
      <w:r w:rsidRPr="0096524F">
        <w:t xml:space="preserve"> language when it dismissed a claim by the owner of the CareFirst mark against the owner of First Care</w:t>
      </w:r>
      <w:r w:rsidR="0096524F" w:rsidRPr="0096524F">
        <w:t>.</w:t>
      </w:r>
      <w:r w:rsidR="0096524F" w:rsidRPr="0096524F">
        <w:t xml:space="preserve"> </w:t>
      </w:r>
      <w:r w:rsidR="0096524F" w:rsidRPr="0096524F">
        <w:t>T</w:t>
      </w:r>
      <w:r w:rsidRPr="0096524F">
        <w:t>he court indicated that the two marks were not particularly similar even standing alone, and noted further that the CareFirst mark was always accompanied by a house mark (Blue Cross Blue Shield).</w:t>
      </w:r>
      <w:r w:rsidR="0096524F" w:rsidRPr="0096524F">
        <w:rPr>
          <w:vertAlign w:val="superscript"/>
        </w:rPr>
        <w:footnoteReference w:id="786"/>
      </w:r>
    </w:p>
    <w:p w14:paraId="6C3B422A" w14:textId="34189092" w:rsidR="0096524F" w:rsidRPr="0096524F" w:rsidRDefault="00A60ADB" w:rsidP="0096524F">
      <w:pPr>
        <w:pStyle w:val="BNormal"/>
      </w:pPr>
      <w:r w:rsidRPr="0096524F">
        <w:t xml:space="preserve">In </w:t>
      </w:r>
      <w:r w:rsidR="0096524F" w:rsidRPr="0096524F">
        <w:rPr>
          <w:i/>
        </w:rPr>
        <w:t>Louis Vuitton Malletier v</w:t>
      </w:r>
      <w:r w:rsidR="0096524F" w:rsidRPr="0096524F">
        <w:t>.</w:t>
      </w:r>
      <w:r w:rsidR="0096524F" w:rsidRPr="0096524F">
        <w:t xml:space="preserve"> </w:t>
      </w:r>
      <w:r w:rsidR="0096524F" w:rsidRPr="0096524F">
        <w:rPr>
          <w:i/>
        </w:rPr>
        <w:t>Dooney &amp; Bourke, Inc</w:t>
      </w:r>
      <w:r w:rsidRPr="0096524F">
        <w:t>.,</w:t>
      </w:r>
      <w:r w:rsidR="0096524F" w:rsidRPr="0096524F">
        <w:rPr>
          <w:vertAlign w:val="superscript"/>
        </w:rPr>
        <w:footnoteReference w:id="787"/>
      </w:r>
      <w:r w:rsidRPr="0096524F">
        <w:t xml:space="preserve"> (a pre-</w:t>
      </w:r>
      <w:r w:rsidR="0096524F" w:rsidRPr="0096524F">
        <w:rPr>
          <w:i/>
        </w:rPr>
        <w:t>Starbucks</w:t>
      </w:r>
      <w:r w:rsidRPr="0096524F">
        <w:t xml:space="preserve"> district court case in the Second Circuit) the court found that a Louis Vuitton handbag design, claimed as a trademark (the </w:t>
      </w:r>
      <w:proofErr w:type="spellStart"/>
      <w:r w:rsidRPr="0096524F">
        <w:t>Multicolore</w:t>
      </w:r>
      <w:proofErr w:type="spellEnd"/>
      <w:r w:rsidRPr="0096524F">
        <w:t xml:space="preserve"> Monogram design) was not substantially similar to the defendant’s competing design.</w:t>
      </w:r>
      <w:r w:rsidR="0096524F" w:rsidRPr="0096524F">
        <w:rPr>
          <w:vertAlign w:val="superscript"/>
        </w:rPr>
        <w:footnoteReference w:id="788"/>
      </w:r>
      <w:r w:rsidRPr="0096524F">
        <w:t xml:space="preserve"> The court referred to its confusion discussion, which also found the marks to be dissimilar.</w:t>
      </w:r>
    </w:p>
    <w:p w14:paraId="41BDE8A7" w14:textId="29AE9E7B" w:rsidR="0096524F" w:rsidRPr="0096524F" w:rsidRDefault="00A60ADB" w:rsidP="0096524F">
      <w:pPr>
        <w:pStyle w:val="BNormal"/>
      </w:pPr>
      <w:r w:rsidRPr="0096524F">
        <w:t xml:space="preserve">In </w:t>
      </w:r>
      <w:r w:rsidR="0096524F" w:rsidRPr="0096524F">
        <w:rPr>
          <w:i/>
        </w:rPr>
        <w:t>Starbucks Corp</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Wolfe’s Borough Coffee, Inc</w:t>
      </w:r>
      <w:r w:rsidRPr="0096524F">
        <w:t>.,</w:t>
      </w:r>
      <w:r w:rsidR="0096524F" w:rsidRPr="0096524F">
        <w:rPr>
          <w:vertAlign w:val="superscript"/>
        </w:rPr>
        <w:footnoteReference w:id="789"/>
      </w:r>
      <w:r w:rsidRPr="0096524F">
        <w:t xml:space="preserve"> although the Second Circuit remanded to the district court to reconsider its analysis of blurring, it did uphold the district court’s finding that the Starbucks mark and the Mr</w:t>
      </w:r>
      <w:r w:rsidR="0096524F" w:rsidRPr="0096524F">
        <w:t>.</w:t>
      </w:r>
      <w:r w:rsidR="0096524F" w:rsidRPr="0096524F">
        <w:t xml:space="preserve"> </w:t>
      </w:r>
      <w:proofErr w:type="spellStart"/>
      <w:r w:rsidR="0096524F" w:rsidRPr="0096524F">
        <w:t>C</w:t>
      </w:r>
      <w:r w:rsidRPr="0096524F">
        <w:t>harbucks</w:t>
      </w:r>
      <w:proofErr w:type="spellEnd"/>
      <w:r w:rsidRPr="0096524F">
        <w:t xml:space="preserve"> mark were only minimally similar.</w:t>
      </w:r>
      <w:r w:rsidR="0096524F" w:rsidRPr="0096524F">
        <w:rPr>
          <w:vertAlign w:val="superscript"/>
        </w:rPr>
        <w:footnoteReference w:id="790"/>
      </w:r>
      <w:r w:rsidRPr="0096524F">
        <w:t xml:space="preserve"> On remand, the district court reiterated its conclusion, noting that “contextual features,” such as the addition of “Mister” before </w:t>
      </w:r>
      <w:proofErr w:type="spellStart"/>
      <w:r w:rsidRPr="0096524F">
        <w:t>Charbucks</w:t>
      </w:r>
      <w:proofErr w:type="spellEnd"/>
      <w:r w:rsidRPr="0096524F">
        <w:t>, justified its conclusion.</w:t>
      </w:r>
      <w:r w:rsidR="0096524F" w:rsidRPr="0096524F">
        <w:rPr>
          <w:vertAlign w:val="superscript"/>
        </w:rPr>
        <w:footnoteReference w:id="791"/>
      </w:r>
    </w:p>
    <w:p w14:paraId="018E7484" w14:textId="2B029D97" w:rsidR="0096524F" w:rsidRPr="0096524F" w:rsidRDefault="00A60ADB" w:rsidP="0096524F">
      <w:pPr>
        <w:pStyle w:val="BNormal"/>
      </w:pPr>
      <w:r w:rsidRPr="0096524F">
        <w:t xml:space="preserve">In </w:t>
      </w:r>
      <w:r w:rsidR="0096524F" w:rsidRPr="0096524F">
        <w:rPr>
          <w:rStyle w:val="BCasenamefull"/>
        </w:rPr>
        <w:t>Hershey Co. v. Promotion in Motion, Inc.,</w:t>
      </w:r>
      <w:r w:rsidR="0096524F" w:rsidRPr="0096524F">
        <w:rPr>
          <w:vertAlign w:val="superscript"/>
        </w:rPr>
        <w:footnoteReference w:id="792"/>
      </w:r>
      <w:r w:rsidRPr="0096524F">
        <w:t xml:space="preserve"> the court found that although there was “some similarity” between the mark SWISSKISS used on chocolate and the Hershey’s Kisses mark, it was not enough to favor a finding of dilution.</w:t>
      </w:r>
      <w:r w:rsidR="0096524F" w:rsidRPr="0096524F">
        <w:rPr>
          <w:vertAlign w:val="superscript"/>
        </w:rPr>
        <w:footnoteReference w:id="793"/>
      </w:r>
      <w:r w:rsidRPr="0096524F">
        <w:t xml:space="preserve"> The court declined to decide whether to use a “substantial similarity” test or a lesser test, such as the one used in </w:t>
      </w:r>
      <w:r w:rsidR="0096524F" w:rsidRPr="0096524F">
        <w:rPr>
          <w:i/>
        </w:rPr>
        <w:t>Starbucks</w:t>
      </w:r>
      <w:r w:rsidRPr="0096524F">
        <w:t>, but found insufficient similarity under either standard.</w:t>
      </w:r>
      <w:r w:rsidR="0096524F" w:rsidRPr="0096524F">
        <w:rPr>
          <w:vertAlign w:val="superscript"/>
        </w:rPr>
        <w:footnoteReference w:id="794"/>
      </w:r>
    </w:p>
    <w:p w14:paraId="36BD86C0" w14:textId="6C83F8F0" w:rsidR="0096524F" w:rsidRPr="0096524F" w:rsidRDefault="00A60ADB" w:rsidP="0096524F">
      <w:pPr>
        <w:pStyle w:val="BNormal"/>
      </w:pPr>
      <w:r w:rsidRPr="0096524F">
        <w:t>Post-TDRA, the TTAB has had several opportunities to discuss similarity</w:t>
      </w:r>
      <w:r w:rsidR="0096524F" w:rsidRPr="0096524F">
        <w:t>.</w:t>
      </w:r>
      <w:r w:rsidR="0096524F" w:rsidRPr="0096524F">
        <w:t xml:space="preserve"> </w:t>
      </w:r>
      <w:r w:rsidR="0096524F" w:rsidRPr="0096524F">
        <w:t>I</w:t>
      </w:r>
      <w:r w:rsidRPr="0096524F">
        <w:t>n one case, the Board found that Citibank and Capital City Bank were not substantially similar, and the dilution claim failed.</w:t>
      </w:r>
      <w:r w:rsidR="0096524F" w:rsidRPr="0096524F">
        <w:rPr>
          <w:vertAlign w:val="superscript"/>
        </w:rPr>
        <w:footnoteReference w:id="795"/>
      </w:r>
      <w:r w:rsidRPr="0096524F">
        <w:t xml:space="preserve"> In a subsequent </w:t>
      </w:r>
      <w:r w:rsidRPr="0096524F">
        <w:lastRenderedPageBreak/>
        <w:t>case, the TTAB found that The Other White Meat and The Other Red Meat were “highly similar”—without ever mentioning “substantial similarity”—and the dilution claim succeeded.</w:t>
      </w:r>
      <w:r w:rsidR="0096524F" w:rsidRPr="0096524F">
        <w:rPr>
          <w:vertAlign w:val="superscript"/>
        </w:rPr>
        <w:footnoteReference w:id="796"/>
      </w:r>
      <w:r w:rsidRPr="0096524F">
        <w:t xml:space="preserve"> In two other cases, one comparing Just Jesu It to the Nike mark Just Do It, and another comparing “Crackberry” to “BlackBerry,” the TTAB also found that the marks were sufficiently similar to conclude that the second user would conjure up the famous mark.</w:t>
      </w:r>
      <w:r w:rsidR="0096524F" w:rsidRPr="0096524F">
        <w:rPr>
          <w:vertAlign w:val="superscript"/>
        </w:rPr>
        <w:footnoteReference w:id="797"/>
      </w:r>
      <w:r w:rsidRPr="0096524F">
        <w:t xml:space="preserve"> In doing so, the TTAB considered “appearance, sound, connotation and commercial impression.”</w:t>
      </w:r>
      <w:r w:rsidR="0096524F" w:rsidRPr="0096524F">
        <w:rPr>
          <w:vertAlign w:val="superscript"/>
        </w:rPr>
        <w:footnoteReference w:id="798"/>
      </w:r>
      <w:r w:rsidRPr="0096524F">
        <w:t xml:space="preserve"> On the other hand, the Board found that Rolex and Roll-X were not particularly similar, despite their similar pronunciation.</w:t>
      </w:r>
      <w:r w:rsidR="0096524F" w:rsidRPr="0096524F">
        <w:rPr>
          <w:vertAlign w:val="superscript"/>
        </w:rPr>
        <w:footnoteReference w:id="799"/>
      </w:r>
    </w:p>
    <w:p w14:paraId="60FA3A87" w14:textId="01330403" w:rsidR="0096524F" w:rsidRPr="0096524F" w:rsidRDefault="00371CCB" w:rsidP="00175762">
      <w:pPr>
        <w:pStyle w:val="BHead2"/>
      </w:pPr>
      <w:r>
        <w:t>9.III.</w:t>
      </w:r>
      <w:r w:rsidR="0096524F" w:rsidRPr="00175762">
        <w:rPr>
          <w:rStyle w:val="BBNAidChar"/>
          <w:rFonts w:eastAsiaTheme="majorEastAsia"/>
        </w:rPr>
        <w:t>C</w:t>
      </w:r>
      <w:r w:rsidR="0096524F" w:rsidRPr="0096524F">
        <w:t>.</w:t>
      </w:r>
      <w:r>
        <w:t> </w:t>
      </w:r>
      <w:r w:rsidR="0096524F" w:rsidRPr="0096524F">
        <w:tab/>
        <w:t>Trade Dress and Similarity</w:t>
      </w:r>
    </w:p>
    <w:p w14:paraId="6D4D93DC" w14:textId="014DFB77" w:rsidR="0096524F" w:rsidRPr="0096524F" w:rsidRDefault="00A60ADB" w:rsidP="0096524F">
      <w:pPr>
        <w:pStyle w:val="BNormal"/>
      </w:pPr>
      <w:r w:rsidRPr="0096524F">
        <w:t>Trade dress cases provide particularly challenging situations for analyzing similarity</w:t>
      </w:r>
      <w:r w:rsidR="0096524F" w:rsidRPr="0096524F">
        <w:t>.</w:t>
      </w:r>
      <w:r w:rsidR="0096524F" w:rsidRPr="0096524F">
        <w:t xml:space="preserve"> </w:t>
      </w:r>
      <w:r w:rsidR="0096524F" w:rsidRPr="0096524F">
        <w:t>W</w:t>
      </w:r>
      <w:r w:rsidRPr="0096524F">
        <w:t>ord marks can be compared for sound, cadence, and context.</w:t>
      </w:r>
      <w:r w:rsidR="0096524F" w:rsidRPr="0096524F">
        <w:rPr>
          <w:vertAlign w:val="superscript"/>
        </w:rPr>
        <w:footnoteReference w:id="800"/>
      </w:r>
      <w:r w:rsidRPr="0096524F">
        <w:t xml:space="preserve"> However, packaging and product design rely on visual cues,</w:t>
      </w:r>
      <w:r w:rsidR="0096524F" w:rsidRPr="0096524F">
        <w:rPr>
          <w:vertAlign w:val="superscript"/>
        </w:rPr>
        <w:footnoteReference w:id="801"/>
      </w:r>
      <w:r w:rsidRPr="0096524F">
        <w:t xml:space="preserve"> some of which can be ambiguous</w:t>
      </w:r>
      <w:r w:rsidR="0096524F" w:rsidRPr="0096524F">
        <w:t>.</w:t>
      </w:r>
      <w:r w:rsidR="0096524F" w:rsidRPr="0096524F">
        <w:t xml:space="preserve"> </w:t>
      </w:r>
      <w:r w:rsidR="0096524F" w:rsidRPr="0096524F">
        <w:t>I</w:t>
      </w:r>
      <w:r w:rsidRPr="0096524F">
        <w:t>ndeed, as one court admitted, the test is often a “subjective ‘eyeball’” one.</w:t>
      </w:r>
      <w:r w:rsidR="0096524F" w:rsidRPr="0096524F">
        <w:rPr>
          <w:vertAlign w:val="superscript"/>
        </w:rPr>
        <w:footnoteReference w:id="802"/>
      </w:r>
      <w:r w:rsidRPr="0096524F">
        <w:t xml:space="preserve"> As with word marks, where the product design is copied, the issue is simple</w:t>
      </w:r>
      <w:r w:rsidR="0096524F" w:rsidRPr="0096524F">
        <w:t>.</w:t>
      </w:r>
      <w:r w:rsidR="0096524F" w:rsidRPr="0096524F">
        <w:t xml:space="preserve"> </w:t>
      </w:r>
      <w:r w:rsidR="0096524F" w:rsidRPr="0096524F">
        <w:t>I</w:t>
      </w:r>
      <w:r w:rsidRPr="0096524F">
        <w:t>n other situations, a more nuanced discussion is required.</w:t>
      </w:r>
    </w:p>
    <w:p w14:paraId="10CDAE58" w14:textId="7CA68664" w:rsidR="0096524F" w:rsidRPr="0096524F" w:rsidRDefault="00A60ADB" w:rsidP="0096524F">
      <w:pPr>
        <w:pStyle w:val="BNormal"/>
      </w:pPr>
      <w:r w:rsidRPr="0096524F">
        <w:t xml:space="preserve">In </w:t>
      </w:r>
      <w:r w:rsidR="0096524F" w:rsidRPr="0096524F">
        <w:rPr>
          <w:i/>
        </w:rPr>
        <w:t>Nabisco,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PF Brands, Inc</w:t>
      </w:r>
      <w:r w:rsidRPr="0096524F">
        <w:t>.,</w:t>
      </w:r>
      <w:r w:rsidR="0096524F" w:rsidRPr="0096524F">
        <w:rPr>
          <w:vertAlign w:val="superscript"/>
        </w:rPr>
        <w:footnoteReference w:id="803"/>
      </w:r>
      <w:r w:rsidRPr="0096524F">
        <w:t xml:space="preserve"> the marks at issue were crackers, and the court rejected several arguments made against similarity</w:t>
      </w:r>
      <w:r w:rsidR="0096524F" w:rsidRPr="0096524F">
        <w:t>.</w:t>
      </w:r>
      <w:r w:rsidR="0096524F" w:rsidRPr="0096524F">
        <w:t xml:space="preserve"> </w:t>
      </w:r>
      <w:r w:rsidR="0096524F" w:rsidRPr="0096524F">
        <w:t>T</w:t>
      </w:r>
      <w:r w:rsidRPr="0096524F">
        <w:t>he defendant (the senior mark owner) made Goldfish crackers, in the shape of a goldfish</w:t>
      </w:r>
      <w:r w:rsidR="0096524F" w:rsidRPr="0096524F">
        <w:t>.</w:t>
      </w:r>
      <w:r w:rsidR="0096524F" w:rsidRPr="0096524F">
        <w:t xml:space="preserve"> </w:t>
      </w:r>
      <w:r w:rsidR="0096524F" w:rsidRPr="0096524F">
        <w:t>T</w:t>
      </w:r>
      <w:r w:rsidRPr="0096524F">
        <w:t xml:space="preserve">he plaintiff produced crackers based on characters in the </w:t>
      </w:r>
      <w:proofErr w:type="spellStart"/>
      <w:r w:rsidRPr="0096524F">
        <w:t>CatDog</w:t>
      </w:r>
      <w:proofErr w:type="spellEnd"/>
      <w:r w:rsidRPr="0096524F">
        <w:t xml:space="preserve"> cartoon shown on the Nickelodeon Television Network</w:t>
      </w:r>
      <w:r w:rsidR="0096524F" w:rsidRPr="0096524F">
        <w:t>:</w:t>
      </w:r>
      <w:r w:rsidR="0096524F" w:rsidRPr="0096524F">
        <w:t xml:space="preserve"> </w:t>
      </w:r>
      <w:r w:rsidR="0096524F" w:rsidRPr="0096524F">
        <w:t>a</w:t>
      </w:r>
      <w:r w:rsidRPr="0096524F">
        <w:t xml:space="preserve"> two-headed “</w:t>
      </w:r>
      <w:proofErr w:type="spellStart"/>
      <w:r w:rsidRPr="0096524F">
        <w:t>catdog</w:t>
      </w:r>
      <w:proofErr w:type="spellEnd"/>
      <w:r w:rsidRPr="0096524F">
        <w:t>,” a bone, and a fish-shaped cracker were all packaged together.</w:t>
      </w:r>
      <w:r w:rsidR="0096524F" w:rsidRPr="0096524F">
        <w:rPr>
          <w:vertAlign w:val="superscript"/>
        </w:rPr>
        <w:footnoteReference w:id="804"/>
      </w:r>
      <w:r w:rsidRPr="0096524F">
        <w:t xml:space="preserve"> First, the court rejected the argument that the products’ packaging was so dissimilar that it dispelled any tendency of consumers to associate the two crackers.</w:t>
      </w:r>
      <w:r w:rsidR="0096524F" w:rsidRPr="0096524F">
        <w:rPr>
          <w:vertAlign w:val="superscript"/>
        </w:rPr>
        <w:footnoteReference w:id="805"/>
      </w:r>
      <w:r w:rsidRPr="0096524F">
        <w:t xml:space="preserve"> It cited the possibility of post-sale dilution, where snackers are presented with Nabisco’s offending crackers outside of the packaging.</w:t>
      </w:r>
      <w:r w:rsidR="0096524F" w:rsidRPr="0096524F">
        <w:rPr>
          <w:vertAlign w:val="superscript"/>
        </w:rPr>
        <w:footnoteReference w:id="806"/>
      </w:r>
      <w:r w:rsidRPr="0096524F">
        <w:t xml:space="preserve"> Second, Nabisco argued that only a quarter of its crackers were fish-shaped and, in context with the other crackers, would conjure the </w:t>
      </w:r>
      <w:proofErr w:type="spellStart"/>
      <w:r w:rsidRPr="0096524F">
        <w:t>CatDog</w:t>
      </w:r>
      <w:proofErr w:type="spellEnd"/>
      <w:r w:rsidRPr="0096524F">
        <w:t xml:space="preserve"> Show, not Goldfish crackers.</w:t>
      </w:r>
      <w:r w:rsidR="0096524F" w:rsidRPr="0096524F">
        <w:rPr>
          <w:vertAlign w:val="superscript"/>
        </w:rPr>
        <w:footnoteReference w:id="807"/>
      </w:r>
      <w:r w:rsidRPr="0096524F">
        <w:t xml:space="preserve"> However, the court believed that many consumers, perhaps unfamiliar with the cartoon, would not make that connection, and would associate the fish-shaped crackers in the Nabisco product with the famous Goldfish crackers.</w:t>
      </w:r>
      <w:r w:rsidR="0096524F" w:rsidRPr="0096524F">
        <w:rPr>
          <w:vertAlign w:val="superscript"/>
        </w:rPr>
        <w:footnoteReference w:id="808"/>
      </w:r>
    </w:p>
    <w:p w14:paraId="26DAAB38" w14:textId="61CEDE47" w:rsidR="0096524F" w:rsidRPr="0096524F" w:rsidRDefault="00A60ADB" w:rsidP="0096524F">
      <w:pPr>
        <w:pStyle w:val="BNormal"/>
      </w:pPr>
      <w:r w:rsidRPr="0096524F">
        <w:t xml:space="preserve">In </w:t>
      </w:r>
      <w:r w:rsidR="0096524F" w:rsidRPr="0096524F">
        <w:rPr>
          <w:i/>
        </w:rPr>
        <w:t>Binney &amp; Smith v</w:t>
      </w:r>
      <w:r w:rsidR="0096524F" w:rsidRPr="0096524F">
        <w:t>.</w:t>
      </w:r>
      <w:r w:rsidR="0096524F" w:rsidRPr="0096524F">
        <w:t xml:space="preserve"> </w:t>
      </w:r>
      <w:r w:rsidR="0096524F" w:rsidRPr="0096524F">
        <w:rPr>
          <w:i/>
        </w:rPr>
        <w:t>Rose Art Industries</w:t>
      </w:r>
      <w:r w:rsidRPr="0096524F">
        <w:t>,</w:t>
      </w:r>
      <w:r w:rsidR="0096524F" w:rsidRPr="0096524F">
        <w:rPr>
          <w:vertAlign w:val="superscript"/>
        </w:rPr>
        <w:footnoteReference w:id="809"/>
      </w:r>
      <w:r w:rsidRPr="0096524F">
        <w:t xml:space="preserve"> the plaintiff claimed that the trade dress of its Crayola boxes, “a green chevron laid over a yellow background,”</w:t>
      </w:r>
      <w:r w:rsidR="0096524F" w:rsidRPr="0096524F">
        <w:rPr>
          <w:vertAlign w:val="superscript"/>
        </w:rPr>
        <w:footnoteReference w:id="810"/>
      </w:r>
      <w:r w:rsidRPr="0096524F">
        <w:t xml:space="preserve"> was diluted by the </w:t>
      </w:r>
      <w:r w:rsidRPr="0096524F">
        <w:lastRenderedPageBreak/>
        <w:t>defendant’s trade dress for its competing products</w:t>
      </w:r>
      <w:r w:rsidR="0096524F" w:rsidRPr="0096524F">
        <w:t>.</w:t>
      </w:r>
      <w:r w:rsidR="0096524F" w:rsidRPr="0096524F">
        <w:t xml:space="preserve"> </w:t>
      </w:r>
      <w:r w:rsidR="0096524F" w:rsidRPr="0096524F">
        <w:t>T</w:t>
      </w:r>
      <w:r w:rsidRPr="0096524F">
        <w:t>he court found the defendant’s packaging, consisting of a green overlay on an angle on a yellow background, was similar to the plaintiff’s trade dress.</w:t>
      </w:r>
      <w:r w:rsidR="0096524F" w:rsidRPr="0096524F">
        <w:rPr>
          <w:vertAlign w:val="superscript"/>
        </w:rPr>
        <w:footnoteReference w:id="811"/>
      </w:r>
    </w:p>
    <w:p w14:paraId="4C2BD510" w14:textId="2A3DC5F9" w:rsidR="0096524F" w:rsidRPr="0096524F" w:rsidRDefault="00A60ADB" w:rsidP="0096524F">
      <w:pPr>
        <w:pStyle w:val="BNormal"/>
      </w:pPr>
      <w:r w:rsidRPr="0096524F">
        <w:t xml:space="preserve">In </w:t>
      </w:r>
      <w:r w:rsidR="0096524F" w:rsidRPr="0096524F">
        <w:rPr>
          <w:rStyle w:val="BCasenamefull"/>
        </w:rPr>
        <w:t>adidas America, Inc. v. Skechers USA, Inc.</w:t>
      </w:r>
      <w:r w:rsidRPr="0096524F">
        <w:t>,</w:t>
      </w:r>
      <w:r w:rsidR="0096524F" w:rsidRPr="0096524F">
        <w:rPr>
          <w:vertAlign w:val="superscript"/>
        </w:rPr>
        <w:footnoteReference w:id="812"/>
      </w:r>
      <w:r w:rsidRPr="0096524F">
        <w:t xml:space="preserve"> the Ninth Circuit affirmed the district court’s finding of dilution by blurring.</w:t>
      </w:r>
      <w:r w:rsidR="0096524F" w:rsidRPr="0096524F">
        <w:rPr>
          <w:vertAlign w:val="superscript"/>
        </w:rPr>
        <w:footnoteReference w:id="813"/>
      </w:r>
      <w:r w:rsidRPr="0096524F">
        <w:t xml:space="preserve"> Skechers used a three-stripe design on its tennis shoes and, although there were some dissimilarities (in its confusion analysis the court noted “a</w:t>
      </w:r>
      <w:r w:rsidR="0096524F" w:rsidRPr="0096524F">
        <w:rPr>
          <w:b/>
        </w:rPr>
        <w:t xml:space="preserve"> </w:t>
      </w:r>
      <w:r w:rsidRPr="0096524F">
        <w:t>difference in the thickness of the stripes, the inclusion of a strip between the three stripes on the Cross Court, and the fact that the stripes do not continue to the sole of the shoe”</w:t>
      </w:r>
      <w:r w:rsidR="0096524F" w:rsidRPr="0096524F">
        <w:rPr>
          <w:vertAlign w:val="superscript"/>
        </w:rPr>
        <w:footnoteReference w:id="814"/>
      </w:r>
      <w:r w:rsidRPr="0096524F">
        <w:t>), the court held that these were not sufficient to overcome the strength of the three-stripes mark.</w:t>
      </w:r>
      <w:r w:rsidR="0096524F" w:rsidRPr="0096524F">
        <w:rPr>
          <w:vertAlign w:val="superscript"/>
        </w:rPr>
        <w:footnoteReference w:id="815"/>
      </w:r>
      <w:r w:rsidRPr="0096524F">
        <w:t xml:space="preserve"> (In the confusion analysis, which was largely the basis for the dilution analysis, the court also cited defendant’s somewhat questionable intent in adopting this design.</w:t>
      </w:r>
      <w:r w:rsidR="0096524F" w:rsidRPr="0096524F">
        <w:rPr>
          <w:vertAlign w:val="superscript"/>
        </w:rPr>
        <w:footnoteReference w:id="816"/>
      </w:r>
      <w:r w:rsidRPr="0096524F">
        <w:t>)</w:t>
      </w:r>
    </w:p>
    <w:p w14:paraId="1190A77E" w14:textId="0A788EF7" w:rsidR="0096524F" w:rsidRPr="0096524F" w:rsidRDefault="00A60ADB" w:rsidP="0096524F">
      <w:pPr>
        <w:pStyle w:val="BNormal"/>
      </w:pPr>
      <w:r w:rsidRPr="0096524F">
        <w:t xml:space="preserve">In </w:t>
      </w:r>
      <w:r w:rsidR="0096524F" w:rsidRPr="0096524F">
        <w:rPr>
          <w:rStyle w:val="BCasenamefull"/>
        </w:rPr>
        <w:t>Deere &amp; Co. v. FIMCO, Inc.</w:t>
      </w:r>
      <w:r w:rsidRPr="0096524F">
        <w:t>,</w:t>
      </w:r>
      <w:r w:rsidR="0096524F" w:rsidRPr="0096524F">
        <w:rPr>
          <w:vertAlign w:val="superscript"/>
        </w:rPr>
        <w:footnoteReference w:id="817"/>
      </w:r>
      <w:r w:rsidRPr="0096524F">
        <w:t xml:space="preserve"> the court found that the green and yellow colors used by defendant on its farm vehicle accessories were very similar to those used by Deere &amp; Co</w:t>
      </w:r>
      <w:r w:rsidR="0096524F" w:rsidRPr="0096524F">
        <w:t>.</w:t>
      </w:r>
      <w:r w:rsidR="0096524F" w:rsidRPr="0096524F">
        <w:t xml:space="preserve"> </w:t>
      </w:r>
      <w:r w:rsidR="0096524F" w:rsidRPr="0096524F">
        <w:t>o</w:t>
      </w:r>
      <w:r w:rsidRPr="0096524F">
        <w:t>n its tractors.</w:t>
      </w:r>
      <w:r w:rsidR="0096524F" w:rsidRPr="0096524F">
        <w:rPr>
          <w:vertAlign w:val="superscript"/>
        </w:rPr>
        <w:footnoteReference w:id="818"/>
      </w:r>
    </w:p>
    <w:p w14:paraId="574069C1" w14:textId="5EE57008" w:rsidR="0096524F" w:rsidRPr="0096524F" w:rsidRDefault="00A60ADB" w:rsidP="0096524F">
      <w:pPr>
        <w:pStyle w:val="BNormal"/>
      </w:pPr>
      <w:r w:rsidRPr="0096524F">
        <w:t xml:space="preserve">In </w:t>
      </w:r>
      <w:r w:rsidR="0096524F" w:rsidRPr="0096524F">
        <w:rPr>
          <w:i/>
        </w:rPr>
        <w:t>Gucci America,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Guess?, Inc</w:t>
      </w:r>
      <w:r w:rsidRPr="0096524F">
        <w:t>.,</w:t>
      </w:r>
      <w:r w:rsidR="0096524F" w:rsidRPr="0096524F">
        <w:rPr>
          <w:vertAlign w:val="superscript"/>
        </w:rPr>
        <w:footnoteReference w:id="819"/>
      </w:r>
      <w:r w:rsidRPr="0096524F">
        <w:t xml:space="preserve"> the court held a bench trial on claims of infringement and dilution involving the trade dress of various products made by Gucci</w:t>
      </w:r>
      <w:r w:rsidR="0096524F" w:rsidRPr="0096524F">
        <w:t>.</w:t>
      </w:r>
      <w:r w:rsidR="0096524F" w:rsidRPr="0096524F">
        <w:t xml:space="preserve"> </w:t>
      </w:r>
      <w:r w:rsidR="0096524F" w:rsidRPr="0096524F">
        <w:t>T</w:t>
      </w:r>
      <w:r w:rsidRPr="0096524F">
        <w:t>he court separately discussed the similarity of the printed designs on Gucci and Guess products</w:t>
      </w:r>
      <w:r w:rsidR="0096524F" w:rsidRPr="0096524F">
        <w:t>.</w:t>
      </w:r>
      <w:r w:rsidR="0096524F" w:rsidRPr="0096524F">
        <w:t xml:space="preserve"> </w:t>
      </w:r>
      <w:r w:rsidR="0096524F" w:rsidRPr="0096524F">
        <w:t>A</w:t>
      </w:r>
      <w:r w:rsidRPr="0096524F">
        <w:t xml:space="preserve">s to one of the designs, the court concluded that the two were similar based on the general visual appearance </w:t>
      </w:r>
      <w:r w:rsidR="0096524F" w:rsidRPr="0096524F">
        <w:rPr>
          <w:i/>
        </w:rPr>
        <w:t>plus</w:t>
      </w:r>
      <w:r w:rsidRPr="0096524F">
        <w:t xml:space="preserve"> the marked color similarities.</w:t>
      </w:r>
      <w:r w:rsidR="0096524F" w:rsidRPr="0096524F">
        <w:rPr>
          <w:vertAlign w:val="superscript"/>
        </w:rPr>
        <w:footnoteReference w:id="820"/>
      </w:r>
      <w:r w:rsidRPr="0096524F">
        <w:t xml:space="preserve"> However, as to another design, the differences in color led to the conclusion that the designs were dissimilar.</w:t>
      </w:r>
      <w:r w:rsidR="0096524F" w:rsidRPr="0096524F">
        <w:rPr>
          <w:vertAlign w:val="superscript"/>
        </w:rPr>
        <w:footnoteReference w:id="821"/>
      </w:r>
      <w:r w:rsidRPr="0096524F">
        <w:t xml:space="preserve"> The court further found that a “Block G” design used by Guess was not similar to a “Stylized G” design used by Gucci.</w:t>
      </w:r>
      <w:r w:rsidR="0096524F" w:rsidRPr="0096524F">
        <w:rPr>
          <w:vertAlign w:val="superscript"/>
        </w:rPr>
        <w:footnoteReference w:id="822"/>
      </w:r>
      <w:r w:rsidRPr="0096524F">
        <w:t xml:space="preserve"> The court’s conclusions as to likelihood of dilution mirrored its conclusions concerning similarity.</w:t>
      </w:r>
      <w:r w:rsidR="0096524F" w:rsidRPr="0096524F">
        <w:rPr>
          <w:vertAlign w:val="superscript"/>
        </w:rPr>
        <w:footnoteReference w:id="823"/>
      </w:r>
    </w:p>
    <w:p w14:paraId="1348DD97" w14:textId="6188FD2B" w:rsidR="0096524F" w:rsidRPr="0096524F" w:rsidRDefault="00A60ADB" w:rsidP="0096524F">
      <w:pPr>
        <w:pStyle w:val="BNormal"/>
      </w:pPr>
      <w:r w:rsidRPr="0096524F">
        <w:t xml:space="preserve">One trade dress case where similarity was lacking was </w:t>
      </w:r>
      <w:r w:rsidR="0096524F" w:rsidRPr="0096524F">
        <w:rPr>
          <w:i/>
        </w:rPr>
        <w:t>American Cyanamid Co</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Nutraceutical Corp</w:t>
      </w:r>
      <w:r w:rsidRPr="0096524F">
        <w:t>.</w:t>
      </w:r>
      <w:r w:rsidR="0096524F" w:rsidRPr="0096524F">
        <w:rPr>
          <w:vertAlign w:val="superscript"/>
        </w:rPr>
        <w:footnoteReference w:id="824"/>
      </w:r>
      <w:r w:rsidRPr="0096524F">
        <w:t xml:space="preserve"> Both parties made vitamins and herbal supplements.</w:t>
      </w:r>
      <w:r w:rsidR="0096524F" w:rsidRPr="0096524F">
        <w:rPr>
          <w:vertAlign w:val="superscript"/>
        </w:rPr>
        <w:footnoteReference w:id="825"/>
      </w:r>
      <w:r w:rsidRPr="0096524F">
        <w:t xml:space="preserve"> At issue were the labels used by each</w:t>
      </w:r>
      <w:r w:rsidR="0096524F" w:rsidRPr="0096524F">
        <w:t>.</w:t>
      </w:r>
      <w:r w:rsidR="0096524F" w:rsidRPr="0096524F">
        <w:t xml:space="preserve"> </w:t>
      </w:r>
      <w:r w:rsidR="0096524F" w:rsidRPr="0096524F">
        <w:t>T</w:t>
      </w:r>
      <w:r w:rsidRPr="0096524F">
        <w:t>he plaintiff’s label contained adjacent, horizontal-</w:t>
      </w:r>
      <w:r w:rsidRPr="0096524F">
        <w:lastRenderedPageBreak/>
        <w:t>colored rectangles with colors that gradually changed from blue to red, as in a rainbow.</w:t>
      </w:r>
      <w:r w:rsidR="0096524F" w:rsidRPr="0096524F">
        <w:rPr>
          <w:vertAlign w:val="superscript"/>
        </w:rPr>
        <w:footnoteReference w:id="826"/>
      </w:r>
      <w:r w:rsidRPr="0096524F">
        <w:t xml:space="preserve"> The defendant’s labels also had colored bands, some of which ran through the spectrum of colors from blue to red and back to blue.</w:t>
      </w:r>
      <w:r w:rsidR="0096524F" w:rsidRPr="0096524F">
        <w:rPr>
          <w:vertAlign w:val="superscript"/>
        </w:rPr>
        <w:footnoteReference w:id="827"/>
      </w:r>
      <w:r w:rsidRPr="0096524F">
        <w:t xml:space="preserve"> The court found the overall impression of the labels not similar in its analysis of possible confusion.</w:t>
      </w:r>
      <w:r w:rsidR="0096524F" w:rsidRPr="0096524F">
        <w:rPr>
          <w:vertAlign w:val="superscript"/>
        </w:rPr>
        <w:footnoteReference w:id="828"/>
      </w:r>
      <w:r w:rsidRPr="0096524F">
        <w:t xml:space="preserve"> Apart from the use of a spectrum of colors in both labels, the court found the marks not to be similar.</w:t>
      </w:r>
      <w:r w:rsidR="0096524F" w:rsidRPr="0096524F">
        <w:rPr>
          <w:vertAlign w:val="superscript"/>
        </w:rPr>
        <w:footnoteReference w:id="829"/>
      </w:r>
    </w:p>
    <w:p w14:paraId="0A15BCEA" w14:textId="7EB510B9" w:rsidR="0096524F" w:rsidRPr="0096524F" w:rsidRDefault="0096524F" w:rsidP="0096524F">
      <w:pPr>
        <w:pStyle w:val="BNormal"/>
      </w:pPr>
      <w:r w:rsidRPr="0096524F">
        <w:rPr>
          <w:i/>
        </w:rPr>
        <w:t>Hershey Foods Corp</w:t>
      </w:r>
      <w:r w:rsidRPr="0096524F">
        <w:t>.</w:t>
      </w:r>
      <w:r w:rsidRPr="0096524F">
        <w:t xml:space="preserve"> </w:t>
      </w:r>
      <w:r w:rsidRPr="0096524F">
        <w:rPr>
          <w:i/>
        </w:rPr>
        <w:t>v</w:t>
      </w:r>
      <w:r w:rsidRPr="0096524F">
        <w:t>.</w:t>
      </w:r>
      <w:r w:rsidRPr="0096524F">
        <w:t xml:space="preserve"> </w:t>
      </w:r>
      <w:r w:rsidRPr="0096524F">
        <w:rPr>
          <w:i/>
        </w:rPr>
        <w:t>Mars, Inc</w:t>
      </w:r>
      <w:r w:rsidR="00A60ADB" w:rsidRPr="0096524F">
        <w:t>.</w:t>
      </w:r>
      <w:r w:rsidRPr="0096524F">
        <w:rPr>
          <w:vertAlign w:val="superscript"/>
        </w:rPr>
        <w:footnoteReference w:id="830"/>
      </w:r>
      <w:r w:rsidR="00A60ADB" w:rsidRPr="0096524F">
        <w:t xml:space="preserve"> presented a situation analogous to </w:t>
      </w:r>
      <w:r w:rsidRPr="0096524F">
        <w:rPr>
          <w:i/>
        </w:rPr>
        <w:t>American Cyanamid</w:t>
      </w:r>
      <w:r w:rsidRPr="0096524F">
        <w:t>.</w:t>
      </w:r>
      <w:r w:rsidRPr="0096524F">
        <w:t xml:space="preserve"> </w:t>
      </w:r>
      <w:r w:rsidRPr="0096524F">
        <w:t>T</w:t>
      </w:r>
      <w:r w:rsidR="00A60ADB" w:rsidRPr="0096524F">
        <w:t>he plaintiff claimed that its trade dress for peanut butter cups (Reese’s) was diluted by Mars’ packaging for its M&amp;M peanut candies.</w:t>
      </w:r>
      <w:r w:rsidRPr="0096524F">
        <w:rPr>
          <w:vertAlign w:val="superscript"/>
        </w:rPr>
        <w:footnoteReference w:id="831"/>
      </w:r>
      <w:r w:rsidR="00A60ADB" w:rsidRPr="0096524F">
        <w:t xml:space="preserve"> The key elements claimed by the plaintiff included an orange background with yellow lettering surrounded in brown.</w:t>
      </w:r>
      <w:r w:rsidRPr="0096524F">
        <w:rPr>
          <w:vertAlign w:val="superscript"/>
        </w:rPr>
        <w:footnoteReference w:id="832"/>
      </w:r>
      <w:r w:rsidR="00A60ADB" w:rsidRPr="0096524F">
        <w:t xml:space="preserve"> Mars’ trade dress also used an orange background, but contained solid brown lettering, with its logo in a different part of the package than Reese’s logo.</w:t>
      </w:r>
      <w:r w:rsidRPr="0096524F">
        <w:rPr>
          <w:vertAlign w:val="superscript"/>
        </w:rPr>
        <w:footnoteReference w:id="833"/>
      </w:r>
      <w:r w:rsidR="00A60ADB" w:rsidRPr="0096524F">
        <w:t xml:space="preserve"> Although they used similar colors, the court viewed “[t]he overall look” as “different.”</w:t>
      </w:r>
      <w:r w:rsidRPr="0096524F">
        <w:rPr>
          <w:vertAlign w:val="superscript"/>
        </w:rPr>
        <w:footnoteReference w:id="834"/>
      </w:r>
    </w:p>
    <w:p w14:paraId="4C9F4008" w14:textId="034F7D20" w:rsidR="0096524F" w:rsidRPr="0096524F" w:rsidRDefault="0096524F" w:rsidP="0096524F">
      <w:pPr>
        <w:pStyle w:val="BNormal"/>
      </w:pPr>
      <w:r w:rsidRPr="0096524F">
        <w:rPr>
          <w:i/>
        </w:rPr>
        <w:t>Hershey</w:t>
      </w:r>
      <w:r w:rsidR="00A60ADB" w:rsidRPr="0096524F">
        <w:t xml:space="preserve"> also considered the problem of how much of the trade dress should be viewed as relevant</w:t>
      </w:r>
      <w:r w:rsidRPr="0096524F">
        <w:t>.</w:t>
      </w:r>
      <w:r w:rsidRPr="0096524F">
        <w:t xml:space="preserve"> </w:t>
      </w:r>
      <w:r w:rsidRPr="0096524F">
        <w:t>T</w:t>
      </w:r>
      <w:r w:rsidR="00A60ADB" w:rsidRPr="0096524F">
        <w:t>he defendant argued that the court should view the package as a whole, including the logo and the trade name.</w:t>
      </w:r>
      <w:r w:rsidRPr="0096524F">
        <w:rPr>
          <w:vertAlign w:val="superscript"/>
        </w:rPr>
        <w:footnoteReference w:id="835"/>
      </w:r>
      <w:r w:rsidR="00A60ADB" w:rsidRPr="0096524F">
        <w:t xml:space="preserve"> The court acknowledged the relevance of the whole package in a confusion analysis, but was skeptical of the relevance of the logos and trade names to a dilution analysis, where the issue is one of mental association, not whether the trade dress as a whole dispels confusion.</w:t>
      </w:r>
      <w:r w:rsidRPr="0096524F">
        <w:rPr>
          <w:vertAlign w:val="superscript"/>
        </w:rPr>
        <w:footnoteReference w:id="836"/>
      </w:r>
      <w:r w:rsidR="00A60ADB" w:rsidRPr="0096524F">
        <w:t xml:space="preserve"> Because of its determination that there was no similarity, even without the logos, the court deemed it unnecessary to decide the issue.</w:t>
      </w:r>
      <w:r w:rsidRPr="0096524F">
        <w:rPr>
          <w:vertAlign w:val="superscript"/>
        </w:rPr>
        <w:footnoteReference w:id="837"/>
      </w:r>
    </w:p>
    <w:p w14:paraId="7EC29F29" w14:textId="1B7FE81A" w:rsidR="0096524F" w:rsidRPr="0096524F" w:rsidRDefault="00A60ADB" w:rsidP="0096524F">
      <w:pPr>
        <w:pStyle w:val="BNormal"/>
      </w:pPr>
      <w:r w:rsidRPr="0096524F">
        <w:t xml:space="preserve">The issue </w:t>
      </w:r>
      <w:r w:rsidR="0096524F" w:rsidRPr="0096524F">
        <w:rPr>
          <w:i/>
        </w:rPr>
        <w:t>Hershey</w:t>
      </w:r>
      <w:r w:rsidRPr="0096524F">
        <w:t xml:space="preserve"> raised but did not decide is an important one</w:t>
      </w:r>
      <w:r w:rsidR="0096524F" w:rsidRPr="0096524F">
        <w:t>.</w:t>
      </w:r>
      <w:r w:rsidR="0096524F" w:rsidRPr="0096524F">
        <w:t xml:space="preserve"> </w:t>
      </w:r>
      <w:r w:rsidR="0096524F" w:rsidRPr="0096524F">
        <w:t>T</w:t>
      </w:r>
      <w:r w:rsidRPr="0096524F">
        <w:t>he court’s assumption that the logo itself would not be relevant, since different names might dispel confusion, but would not avoid a mental association, seems logical</w:t>
      </w:r>
      <w:r w:rsidR="0096524F" w:rsidRPr="0096524F">
        <w:t>.</w:t>
      </w:r>
      <w:r w:rsidR="0096524F" w:rsidRPr="0096524F">
        <w:t xml:space="preserve"> </w:t>
      </w:r>
      <w:r w:rsidR="0096524F" w:rsidRPr="0096524F">
        <w:t>H</w:t>
      </w:r>
      <w:r w:rsidRPr="0096524F">
        <w:t>owever, it is an untested assumption about consumer behavior</w:t>
      </w:r>
      <w:r w:rsidR="0096524F" w:rsidRPr="0096524F">
        <w:t>.</w:t>
      </w:r>
      <w:r w:rsidR="0096524F" w:rsidRPr="0096524F">
        <w:t xml:space="preserve"> </w:t>
      </w:r>
      <w:r w:rsidR="0096524F" w:rsidRPr="0096524F">
        <w:t>I</w:t>
      </w:r>
      <w:r w:rsidRPr="0096524F">
        <w:t>t may be that, faced with vastly different logos on otherwise similar packaging, consumers will focus on the logo, not the packaging, particularly if the logo is well known</w:t>
      </w:r>
      <w:r w:rsidR="0096524F" w:rsidRPr="0096524F">
        <w:t>.</w:t>
      </w:r>
      <w:r w:rsidR="0096524F" w:rsidRPr="0096524F">
        <w:t xml:space="preserve"> </w:t>
      </w:r>
      <w:r w:rsidR="0096524F" w:rsidRPr="0096524F">
        <w:t>I</w:t>
      </w:r>
      <w:r w:rsidRPr="0096524F">
        <w:t>n that case, consumers may not make the requisite mental association, since they do not view the packaging in the abstract</w:t>
      </w:r>
      <w:r w:rsidR="0096524F" w:rsidRPr="0096524F">
        <w:t>.</w:t>
      </w:r>
      <w:r w:rsidR="0096524F" w:rsidRPr="0096524F">
        <w:t xml:space="preserve"> </w:t>
      </w:r>
      <w:r w:rsidR="0096524F" w:rsidRPr="0096524F">
        <w:t>M</w:t>
      </w:r>
      <w:r w:rsidRPr="0096524F">
        <w:t>arketing surveys testing this assumption would be useful to courts faced with packaging issues, especially where a logo or trade name is a prominent feature of the package.</w:t>
      </w:r>
    </w:p>
    <w:p w14:paraId="1FDD1705" w14:textId="55E18C67" w:rsidR="0096524F" w:rsidRPr="0096524F" w:rsidRDefault="00A60ADB" w:rsidP="0096524F">
      <w:pPr>
        <w:pStyle w:val="BNormal"/>
      </w:pPr>
      <w:r w:rsidRPr="0096524F">
        <w:t xml:space="preserve">An interesting twist on the trade dress problem is provided by </w:t>
      </w:r>
      <w:r w:rsidR="0096524F" w:rsidRPr="0096524F">
        <w:rPr>
          <w:i/>
        </w:rPr>
        <w:t>Landscape Forms,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Columbia Cascade Co</w:t>
      </w:r>
      <w:r w:rsidRPr="0096524F">
        <w:t>.</w:t>
      </w:r>
      <w:r w:rsidR="0096524F" w:rsidRPr="0096524F">
        <w:rPr>
          <w:vertAlign w:val="superscript"/>
        </w:rPr>
        <w:footnoteReference w:id="838"/>
      </w:r>
      <w:r w:rsidRPr="0096524F">
        <w:t xml:space="preserve"> This case involved two sellers of outdoor furniture, where the trademarks in question were the pieces of furniture</w:t>
      </w:r>
      <w:r w:rsidR="0096524F" w:rsidRPr="0096524F">
        <w:t>.</w:t>
      </w:r>
      <w:r w:rsidR="0096524F" w:rsidRPr="0096524F">
        <w:t xml:space="preserve"> </w:t>
      </w:r>
      <w:r w:rsidR="0096524F" w:rsidRPr="0096524F">
        <w:t>A</w:t>
      </w:r>
      <w:r w:rsidRPr="0096524F">
        <w:t xml:space="preserve">lthough the court acknowledged that </w:t>
      </w:r>
      <w:r w:rsidRPr="0096524F">
        <w:lastRenderedPageBreak/>
        <w:t>the parties’ furniture lines were “substantially similar,” it nevertheless found the marks not to be sufficiently similar for dilution.</w:t>
      </w:r>
      <w:r w:rsidR="0096524F" w:rsidRPr="0096524F">
        <w:rPr>
          <w:vertAlign w:val="superscript"/>
        </w:rPr>
        <w:footnoteReference w:id="839"/>
      </w:r>
      <w:r w:rsidRPr="0096524F">
        <w:t xml:space="preserve"> The reason is that the furniture was normally purchased through catalogs and other publications that prominently displayed each party’s trade name.</w:t>
      </w:r>
      <w:r w:rsidR="0096524F" w:rsidRPr="0096524F">
        <w:rPr>
          <w:vertAlign w:val="superscript"/>
        </w:rPr>
        <w:footnoteReference w:id="840"/>
      </w:r>
      <w:r w:rsidRPr="0096524F">
        <w:t xml:space="preserve"> The court determined that these contexts would prevent potential customers, who were sophisticated landscape architects, “from making the mental association between the parties’ respective trade dress that is required to show blurring.”</w:t>
      </w:r>
      <w:r w:rsidR="0096524F" w:rsidRPr="0096524F">
        <w:rPr>
          <w:vertAlign w:val="superscript"/>
        </w:rPr>
        <w:footnoteReference w:id="841"/>
      </w:r>
    </w:p>
    <w:p w14:paraId="597318D1" w14:textId="084A1912" w:rsidR="0096524F" w:rsidRPr="0096524F" w:rsidRDefault="00A60ADB" w:rsidP="0096524F">
      <w:pPr>
        <w:pStyle w:val="BNormal"/>
      </w:pPr>
      <w:r w:rsidRPr="0096524F">
        <w:t xml:space="preserve">The importance of viewing the mark in context is also illustrated by </w:t>
      </w:r>
      <w:r w:rsidR="0096524F" w:rsidRPr="0096524F">
        <w:rPr>
          <w:i/>
        </w:rPr>
        <w:t>Elvis Presley Enterprises,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Capece</w:t>
      </w:r>
      <w:r w:rsidRPr="0096524F">
        <w:t>.</w:t>
      </w:r>
      <w:r w:rsidR="0096524F" w:rsidRPr="0096524F">
        <w:rPr>
          <w:vertAlign w:val="superscript"/>
        </w:rPr>
        <w:footnoteReference w:id="842"/>
      </w:r>
      <w:r w:rsidRPr="0096524F">
        <w:t xml:space="preserve"> The district court ruled that the defendant’s use of The Velvet Elvis as the name of its bar</w:t>
      </w:r>
      <w:r w:rsidR="0096524F" w:rsidRPr="0096524F">
        <w:rPr>
          <w:vertAlign w:val="superscript"/>
        </w:rPr>
        <w:footnoteReference w:id="843"/>
      </w:r>
      <w:r w:rsidRPr="0096524F">
        <w:t xml:space="preserve"> was not similar to the plaintiff’s Elvis Presley marks</w:t>
      </w:r>
      <w:r w:rsidR="0096524F" w:rsidRPr="0096524F">
        <w:t>.</w:t>
      </w:r>
      <w:r w:rsidR="0096524F" w:rsidRPr="0096524F">
        <w:t xml:space="preserve"> </w:t>
      </w:r>
      <w:r w:rsidR="0096524F" w:rsidRPr="0096524F">
        <w:t>T</w:t>
      </w:r>
      <w:r w:rsidRPr="0096524F">
        <w:t>he court viewed the defendant’s bar as being a symbolic parody of 1960s and 1970s bad taste, and saw The Velvet Elvis as tied to that overall parody, rather than to Elvis Presley.</w:t>
      </w:r>
      <w:r w:rsidR="0096524F" w:rsidRPr="0096524F">
        <w:rPr>
          <w:vertAlign w:val="superscript"/>
        </w:rPr>
        <w:footnoteReference w:id="844"/>
      </w:r>
      <w:r w:rsidRPr="0096524F">
        <w:t xml:space="preserve"> On appeal, the Fifth Circuit reversed but did not examine the court’s conclusions as to dilution.</w:t>
      </w:r>
      <w:r w:rsidR="0096524F" w:rsidRPr="0096524F">
        <w:rPr>
          <w:vertAlign w:val="superscript"/>
        </w:rPr>
        <w:footnoteReference w:id="845"/>
      </w:r>
      <w:r w:rsidRPr="0096524F">
        <w:t xml:space="preserve"> However, it did criticize the district court’s conclusions about similarity in the confusion context.</w:t>
      </w:r>
      <w:r w:rsidR="0096524F" w:rsidRPr="0096524F">
        <w:rPr>
          <w:vertAlign w:val="superscript"/>
        </w:rPr>
        <w:footnoteReference w:id="846"/>
      </w:r>
      <w:r w:rsidRPr="0096524F">
        <w:t xml:space="preserve"> Thus, the district court’s conclusions about lack of similarity for dilution must be viewed with skepticism</w:t>
      </w:r>
      <w:r w:rsidR="0096524F" w:rsidRPr="0096524F">
        <w:t>.</w:t>
      </w:r>
      <w:r w:rsidR="0096524F" w:rsidRPr="0096524F">
        <w:t xml:space="preserve"> </w:t>
      </w:r>
      <w:r w:rsidR="0096524F" w:rsidRPr="0096524F">
        <w:t>N</w:t>
      </w:r>
      <w:r w:rsidRPr="0096524F">
        <w:t>evertheless, the court’s approach seems correct—to view the use of the mark in context when determining similarity—even if its application to the facts of the case was questionable.</w:t>
      </w:r>
    </w:p>
    <w:p w14:paraId="26BE9015" w14:textId="2A12E7F7" w:rsidR="0096524F" w:rsidRPr="0096524F" w:rsidRDefault="00A60ADB" w:rsidP="0096524F">
      <w:pPr>
        <w:pStyle w:val="BNormal"/>
      </w:pPr>
      <w:r w:rsidRPr="0096524F">
        <w:t>In most cases, the issue of similarity probably will not be a difficult one</w:t>
      </w:r>
      <w:r w:rsidR="0096524F" w:rsidRPr="0096524F">
        <w:t>.</w:t>
      </w:r>
      <w:r w:rsidR="0096524F" w:rsidRPr="0096524F">
        <w:t xml:space="preserve"> </w:t>
      </w:r>
      <w:r w:rsidR="0096524F" w:rsidRPr="0096524F">
        <w:t>T</w:t>
      </w:r>
      <w:r w:rsidRPr="0096524F">
        <w:t>he Internet cases, for example, tend to be about marks that are virtually identical</w:t>
      </w:r>
      <w:r w:rsidR="0096524F" w:rsidRPr="0096524F">
        <w:t>.</w:t>
      </w:r>
      <w:r w:rsidR="0096524F" w:rsidRPr="0096524F">
        <w:t xml:space="preserve"> </w:t>
      </w:r>
      <w:r w:rsidR="0096524F" w:rsidRPr="0096524F">
        <w:t>A</w:t>
      </w:r>
      <w:r w:rsidRPr="0096524F">
        <w:t>nd many other cases involve marks so similar that the issue is not a serious problem</w:t>
      </w:r>
      <w:r w:rsidR="0096524F" w:rsidRPr="0096524F">
        <w:t>.</w:t>
      </w:r>
      <w:r w:rsidR="0096524F" w:rsidRPr="0096524F">
        <w:t xml:space="preserve"> </w:t>
      </w:r>
      <w:r w:rsidR="0096524F" w:rsidRPr="0096524F">
        <w:t>T</w:t>
      </w:r>
      <w:r w:rsidRPr="0096524F">
        <w:t>hus, the cases discussed here can only provide a general framework for the discussion</w:t>
      </w:r>
      <w:r w:rsidR="0096524F" w:rsidRPr="0096524F">
        <w:t>.</w:t>
      </w:r>
      <w:r w:rsidR="0096524F" w:rsidRPr="0096524F">
        <w:t xml:space="preserve"> </w:t>
      </w:r>
      <w:r w:rsidR="0096524F" w:rsidRPr="0096524F">
        <w:t>H</w:t>
      </w:r>
      <w:r w:rsidRPr="0096524F">
        <w:t>owever, they state important principles</w:t>
      </w:r>
      <w:r w:rsidR="0096524F" w:rsidRPr="0096524F">
        <w:t>.</w:t>
      </w:r>
      <w:r w:rsidR="0096524F" w:rsidRPr="0096524F">
        <w:t xml:space="preserve"> </w:t>
      </w:r>
      <w:r w:rsidR="0096524F" w:rsidRPr="0096524F">
        <w:t>T</w:t>
      </w:r>
      <w:r w:rsidRPr="0096524F">
        <w:t>he marks as a whole should be examined, and not overly parsed for either similarities or differences</w:t>
      </w:r>
      <w:r w:rsidR="0096524F" w:rsidRPr="0096524F">
        <w:t>.</w:t>
      </w:r>
      <w:r w:rsidR="0096524F" w:rsidRPr="0096524F">
        <w:t xml:space="preserve"> </w:t>
      </w:r>
      <w:r w:rsidR="0096524F" w:rsidRPr="0096524F">
        <w:t>C</w:t>
      </w:r>
      <w:r w:rsidRPr="0096524F">
        <w:t>ontext should not be ignored, because it is the initial mental reaction of consumers to the marks in the marketplace that is being measured</w:t>
      </w:r>
      <w:r w:rsidR="0096524F" w:rsidRPr="0096524F">
        <w:t>.</w:t>
      </w:r>
      <w:r w:rsidR="0096524F" w:rsidRPr="0096524F">
        <w:t xml:space="preserve"> </w:t>
      </w:r>
      <w:r w:rsidR="0096524F" w:rsidRPr="0096524F">
        <w:t>A</w:t>
      </w:r>
      <w:r w:rsidRPr="0096524F">
        <w:t>nd, with respect to trade dress, care must be taken to determine what is relevant to consumers about the marks in question.</w:t>
      </w:r>
    </w:p>
    <w:p w14:paraId="183F24B6" w14:textId="1D2D8A75" w:rsidR="0096524F" w:rsidRPr="0096524F" w:rsidRDefault="00371CCB" w:rsidP="00175762">
      <w:pPr>
        <w:pStyle w:val="BHead1"/>
      </w:pPr>
      <w:r>
        <w:t>9.</w:t>
      </w:r>
      <w:r w:rsidR="0096524F" w:rsidRPr="00175762">
        <w:rPr>
          <w:rStyle w:val="BBNAidChar"/>
          <w:rFonts w:eastAsiaTheme="majorEastAsia"/>
        </w:rPr>
        <w:t>IV</w:t>
      </w:r>
      <w:r w:rsidR="0096524F" w:rsidRPr="0096524F">
        <w:t>.</w:t>
      </w:r>
      <w:r>
        <w:t> </w:t>
      </w:r>
      <w:r w:rsidR="00175762">
        <w:t xml:space="preserve"> </w:t>
      </w:r>
      <w:r w:rsidR="0096524F" w:rsidRPr="0096524F">
        <w:t>The Need for a Trademark Use</w:t>
      </w:r>
    </w:p>
    <w:p w14:paraId="39D9D83E" w14:textId="3759E30F" w:rsidR="0096524F" w:rsidRPr="0096524F" w:rsidRDefault="00A60ADB" w:rsidP="0096524F">
      <w:pPr>
        <w:pStyle w:val="BNormal"/>
      </w:pPr>
      <w:r w:rsidRPr="0096524F">
        <w:t xml:space="preserve">The TDRA grants a claim to the owner of a famous mark against one who “commences use of a </w:t>
      </w:r>
      <w:r w:rsidR="0096524F" w:rsidRPr="0096524F">
        <w:rPr>
          <w:i/>
        </w:rPr>
        <w:t>mark or trade name</w:t>
      </w:r>
      <w:r w:rsidRPr="0096524F">
        <w:t xml:space="preserve"> in commerce that is likely to cause dilution.”</w:t>
      </w:r>
      <w:r w:rsidR="0096524F" w:rsidRPr="0096524F">
        <w:rPr>
          <w:vertAlign w:val="superscript"/>
        </w:rPr>
        <w:footnoteReference w:id="847"/>
      </w:r>
      <w:r w:rsidRPr="0096524F">
        <w:t xml:space="preserve"> One would expect, then, that the only uses that are actionable are uses </w:t>
      </w:r>
      <w:r w:rsidR="0096524F" w:rsidRPr="0096524F">
        <w:rPr>
          <w:i/>
        </w:rPr>
        <w:t>as trademarks</w:t>
      </w:r>
      <w:r w:rsidRPr="0096524F">
        <w:t>, not just any commercial use of the famous mark</w:t>
      </w:r>
      <w:r w:rsidR="0096524F" w:rsidRPr="0096524F">
        <w:t>.</w:t>
      </w:r>
      <w:r w:rsidR="0096524F" w:rsidRPr="0096524F">
        <w:t xml:space="preserve"> </w:t>
      </w:r>
      <w:r w:rsidR="0096524F" w:rsidRPr="0096524F">
        <w:t>F</w:t>
      </w:r>
      <w:r w:rsidRPr="0096524F">
        <w:t xml:space="preserve">urthermore, the definition of dilution by blurring states that it is an “association arising from the similarity between </w:t>
      </w:r>
      <w:r w:rsidR="0096524F" w:rsidRPr="0096524F">
        <w:rPr>
          <w:i/>
        </w:rPr>
        <w:t>a mark or trade name</w:t>
      </w:r>
      <w:r w:rsidRPr="0096524F">
        <w:t xml:space="preserve"> and a famous mark,”</w:t>
      </w:r>
      <w:r w:rsidR="0096524F" w:rsidRPr="0096524F">
        <w:rPr>
          <w:vertAlign w:val="superscript"/>
        </w:rPr>
        <w:footnoteReference w:id="848"/>
      </w:r>
      <w:r w:rsidRPr="0096524F">
        <w:t xml:space="preserve"> and the definition of dilution by </w:t>
      </w:r>
      <w:proofErr w:type="spellStart"/>
      <w:r w:rsidRPr="0096524F">
        <w:t>tarnishment</w:t>
      </w:r>
      <w:proofErr w:type="spellEnd"/>
      <w:r w:rsidRPr="0096524F">
        <w:t xml:space="preserve"> is an “association arising from the similarity between </w:t>
      </w:r>
      <w:r w:rsidR="0096524F" w:rsidRPr="0096524F">
        <w:rPr>
          <w:i/>
        </w:rPr>
        <w:t>a mark or trade name</w:t>
      </w:r>
      <w:r w:rsidRPr="0096524F">
        <w:t xml:space="preserve"> and a famous mark that harms the reputation of the famous mark.”</w:t>
      </w:r>
      <w:r w:rsidR="0096524F" w:rsidRPr="0096524F">
        <w:rPr>
          <w:vertAlign w:val="superscript"/>
        </w:rPr>
        <w:footnoteReference w:id="849"/>
      </w:r>
      <w:r w:rsidRPr="0096524F">
        <w:t xml:space="preserve"> Finally, Section 43(c)(5), which, under limited circumstances, permits the owner of the famous mark to obtain monetary and other non-injunctive relief, has as its first requirement that “</w:t>
      </w:r>
      <w:r w:rsidR="0096524F" w:rsidRPr="0096524F">
        <w:rPr>
          <w:i/>
        </w:rPr>
        <w:t>the mark or trade name</w:t>
      </w:r>
      <w:r w:rsidRPr="0096524F">
        <w:t xml:space="preserve"> that is likely to cause </w:t>
      </w:r>
      <w:r w:rsidRPr="0096524F">
        <w:lastRenderedPageBreak/>
        <w:t xml:space="preserve">dilution by blurring or dilution by </w:t>
      </w:r>
      <w:proofErr w:type="spellStart"/>
      <w:r w:rsidRPr="0096524F">
        <w:t>tarnishment</w:t>
      </w:r>
      <w:proofErr w:type="spellEnd"/>
      <w:r w:rsidRPr="0096524F">
        <w:t xml:space="preserve"> was first used in commerce by the person against whom the injunction is sought after October 6, 2006.”</w:t>
      </w:r>
      <w:r w:rsidR="0096524F" w:rsidRPr="0096524F">
        <w:rPr>
          <w:vertAlign w:val="superscript"/>
        </w:rPr>
        <w:footnoteReference w:id="850"/>
      </w:r>
      <w:r w:rsidRPr="0096524F">
        <w:t xml:space="preserve"> These provisions of the TDRA seem to reinforce the idea that only a use as a trademark by the offending party is actionable as dilution.</w:t>
      </w:r>
    </w:p>
    <w:p w14:paraId="24F7A256" w14:textId="3C69252D" w:rsidR="0096524F" w:rsidRPr="0096524F" w:rsidRDefault="00A60ADB" w:rsidP="0096524F">
      <w:pPr>
        <w:pStyle w:val="BNormal"/>
      </w:pPr>
      <w:r w:rsidRPr="0096524F">
        <w:t>One part of the TDRA creates some ambiguity</w:t>
      </w:r>
      <w:r w:rsidR="0096524F" w:rsidRPr="0096524F">
        <w:t>.</w:t>
      </w:r>
      <w:r w:rsidR="0096524F" w:rsidRPr="0096524F">
        <w:t xml:space="preserve"> </w:t>
      </w:r>
      <w:r w:rsidR="0096524F" w:rsidRPr="0096524F">
        <w:t>T</w:t>
      </w:r>
      <w:r w:rsidRPr="0096524F">
        <w:t xml:space="preserve">he “fair use” exclusion in Section 43(c)(3)(A) applies </w:t>
      </w:r>
      <w:r w:rsidR="0096524F" w:rsidRPr="0096524F">
        <w:rPr>
          <w:i/>
        </w:rPr>
        <w:t>only</w:t>
      </w:r>
      <w:r w:rsidRPr="0096524F">
        <w:t xml:space="preserve"> to uses that are </w:t>
      </w:r>
      <w:r w:rsidR="0096524F" w:rsidRPr="0096524F">
        <w:rPr>
          <w:i/>
        </w:rPr>
        <w:t>not</w:t>
      </w:r>
      <w:r w:rsidRPr="0096524F">
        <w:t xml:space="preserve"> trademark uses (uses “other than as a designation of source for the [second user’s] own goods or services”)</w:t>
      </w:r>
      <w:r w:rsidR="0096524F" w:rsidRPr="0096524F">
        <w:t>.</w:t>
      </w:r>
      <w:r w:rsidR="0096524F" w:rsidRPr="0096524F">
        <w:t xml:space="preserve"> </w:t>
      </w:r>
      <w:r w:rsidR="0096524F" w:rsidRPr="0096524F">
        <w:t>A</w:t>
      </w:r>
      <w:r w:rsidRPr="0096524F">
        <w:t xml:space="preserve"> trademark use requirement would appear to make this exclusion superfluous</w:t>
      </w:r>
      <w:r w:rsidR="0096524F" w:rsidRPr="0096524F">
        <w:t>.</w:t>
      </w:r>
      <w:r w:rsidR="0096524F" w:rsidRPr="0096524F">
        <w:t xml:space="preserve"> </w:t>
      </w:r>
      <w:r w:rsidR="0096524F" w:rsidRPr="0096524F">
        <w:t>T</w:t>
      </w:r>
      <w:r w:rsidRPr="0096524F">
        <w:t>he legislative history of the TDRA is unclear on this point</w:t>
      </w:r>
      <w:r w:rsidR="0096524F" w:rsidRPr="0096524F">
        <w:t>.</w:t>
      </w:r>
      <w:r w:rsidR="0096524F" w:rsidRPr="0096524F">
        <w:t xml:space="preserve"> </w:t>
      </w:r>
      <w:r w:rsidR="0096524F" w:rsidRPr="0096524F">
        <w:t>A</w:t>
      </w:r>
      <w:r w:rsidRPr="0096524F">
        <w:t>s originally introduced in February 2005, H.R</w:t>
      </w:r>
      <w:r w:rsidR="0096524F" w:rsidRPr="0096524F">
        <w:t>.</w:t>
      </w:r>
      <w:r w:rsidR="0096524F" w:rsidRPr="0096524F">
        <w:t xml:space="preserve"> </w:t>
      </w:r>
      <w:r w:rsidR="0096524F" w:rsidRPr="0096524F">
        <w:t>6</w:t>
      </w:r>
      <w:r w:rsidRPr="0096524F">
        <w:t>83</w:t>
      </w:r>
      <w:r w:rsidR="0096524F" w:rsidRPr="0096524F">
        <w:rPr>
          <w:vertAlign w:val="superscript"/>
        </w:rPr>
        <w:footnoteReference w:id="851"/>
      </w:r>
      <w:r w:rsidRPr="0096524F">
        <w:t xml:space="preserve"> gave a cause of action against one who “commences use of a mark or trade name in commerce as a designation of source of the person’s goods or services.” Dilution by blurring was defined as an “association arising from the similarity between a designation of source and a famous mark that impairs the distinctiveness of the famous mark.” The use of the “designation of source” language presumably indicated the need for the diluting use to be a trademark use</w:t>
      </w:r>
      <w:r w:rsidR="0096524F" w:rsidRPr="0096524F">
        <w:t>.</w:t>
      </w:r>
      <w:r w:rsidR="0096524F" w:rsidRPr="0096524F">
        <w:t xml:space="preserve"> </w:t>
      </w:r>
      <w:r w:rsidR="0096524F" w:rsidRPr="0096524F">
        <w:t>H</w:t>
      </w:r>
      <w:r w:rsidRPr="0096524F">
        <w:t>owever, the American Intellectual Property Law Association (AIPLA) objected to the phrase “designation of source” and the House Committee eliminated the phrase “designation of source of the person’s goods or services.”</w:t>
      </w:r>
      <w:r w:rsidR="0096524F" w:rsidRPr="0096524F">
        <w:rPr>
          <w:vertAlign w:val="superscript"/>
        </w:rPr>
        <w:footnoteReference w:id="852"/>
      </w:r>
      <w:r w:rsidRPr="0096524F">
        <w:t xml:space="preserve"> The AIPLA believed that the “designation of source” language would limit the use of the TDRA and that the concerns about imposing liability for </w:t>
      </w:r>
      <w:proofErr w:type="spellStart"/>
      <w:r w:rsidRPr="0096524F">
        <w:t>nontrademark</w:t>
      </w:r>
      <w:proofErr w:type="spellEnd"/>
      <w:r w:rsidRPr="0096524F">
        <w:t xml:space="preserve"> uses should be handled by the TDRA’s exclusions from liability in Section 43(c)(3)</w:t>
      </w:r>
      <w:r w:rsidR="0096524F" w:rsidRPr="0096524F">
        <w:t>.</w:t>
      </w:r>
      <w:r w:rsidR="0096524F" w:rsidRPr="0096524F">
        <w:t xml:space="preserve"> </w:t>
      </w:r>
      <w:r w:rsidR="0096524F" w:rsidRPr="0096524F">
        <w:t>H</w:t>
      </w:r>
      <w:r w:rsidRPr="0096524F">
        <w:t>owever, when the House altered H.R</w:t>
      </w:r>
      <w:r w:rsidR="0096524F" w:rsidRPr="0096524F">
        <w:t>.</w:t>
      </w:r>
      <w:r w:rsidR="0096524F" w:rsidRPr="0096524F">
        <w:t xml:space="preserve"> </w:t>
      </w:r>
      <w:r w:rsidR="0096524F" w:rsidRPr="0096524F">
        <w:t>6</w:t>
      </w:r>
      <w:r w:rsidRPr="0096524F">
        <w:t>83 to eliminate the “designation of source” language, it did not indicate whether it was adopting the AIPLA’s view of the change</w:t>
      </w:r>
      <w:r w:rsidR="0096524F" w:rsidRPr="0096524F">
        <w:t>.</w:t>
      </w:r>
      <w:r w:rsidR="0096524F" w:rsidRPr="0096524F">
        <w:t xml:space="preserve"> </w:t>
      </w:r>
      <w:r w:rsidR="0096524F" w:rsidRPr="0096524F">
        <w:t>I</w:t>
      </w:r>
      <w:r w:rsidRPr="0096524F">
        <w:t>t is uncertain how courts will use this legislative history</w:t>
      </w:r>
      <w:r w:rsidR="0096524F" w:rsidRPr="0096524F">
        <w:t>.</w:t>
      </w:r>
      <w:r w:rsidR="0096524F" w:rsidRPr="0096524F">
        <w:t xml:space="preserve"> </w:t>
      </w:r>
      <w:r w:rsidR="0096524F" w:rsidRPr="0096524F">
        <w:t>I</w:t>
      </w:r>
      <w:r w:rsidRPr="0096524F">
        <w:t xml:space="preserve">f the Supreme Court’s </w:t>
      </w:r>
      <w:r w:rsidR="0096524F" w:rsidRPr="0096524F">
        <w:rPr>
          <w:i/>
        </w:rPr>
        <w:t>Moseley</w:t>
      </w:r>
      <w:r w:rsidRPr="0096524F">
        <w:t xml:space="preserve"> decision is any indication, then the history will not be that significant</w:t>
      </w:r>
      <w:r w:rsidR="0096524F" w:rsidRPr="0096524F">
        <w:t>;</w:t>
      </w:r>
      <w:r w:rsidR="0096524F" w:rsidRPr="0096524F">
        <w:t xml:space="preserve"> </w:t>
      </w:r>
      <w:r w:rsidR="0096524F" w:rsidRPr="0096524F">
        <w:t>i</w:t>
      </w:r>
      <w:r w:rsidRPr="0096524F">
        <w:t xml:space="preserve">n </w:t>
      </w:r>
      <w:r w:rsidR="0096524F" w:rsidRPr="0096524F">
        <w:rPr>
          <w:i/>
        </w:rPr>
        <w:t>Moseley</w:t>
      </w:r>
      <w:r w:rsidRPr="0096524F">
        <w:t>, the Court looked at the language of the statute and gave short shrift to the legislative history.</w:t>
      </w:r>
      <w:r w:rsidR="0096524F" w:rsidRPr="0096524F">
        <w:rPr>
          <w:vertAlign w:val="superscript"/>
        </w:rPr>
        <w:footnoteReference w:id="853"/>
      </w:r>
    </w:p>
    <w:p w14:paraId="7B0FE2DA" w14:textId="28C3FE06" w:rsidR="0096524F" w:rsidRPr="0096524F" w:rsidRDefault="00A60ADB" w:rsidP="0096524F">
      <w:pPr>
        <w:pStyle w:val="BNormal"/>
      </w:pPr>
      <w:r w:rsidRPr="0096524F">
        <w:t xml:space="preserve">Furthermore, the three provisions cited earlier, namely the definitions of blurring and </w:t>
      </w:r>
      <w:proofErr w:type="spellStart"/>
      <w:r w:rsidRPr="0096524F">
        <w:t>tarnishment</w:t>
      </w:r>
      <w:proofErr w:type="spellEnd"/>
      <w:r w:rsidRPr="0096524F">
        <w:t>, and the section on non-monetary relief all point strongly in the direction of requiring a trademark use</w:t>
      </w:r>
      <w:r w:rsidR="0096524F" w:rsidRPr="0096524F">
        <w:t>.</w:t>
      </w:r>
      <w:r w:rsidR="0096524F" w:rsidRPr="0096524F">
        <w:t xml:space="preserve"> </w:t>
      </w:r>
      <w:r w:rsidR="0096524F" w:rsidRPr="0096524F">
        <w:t>T</w:t>
      </w:r>
      <w:r w:rsidRPr="0096524F">
        <w:t>he definitions call for a comparison between a mark or trade name and the famous mark, indicating that the two are not the same—i.e., the offending use must be a “mark or trade name.” Section 43(c)(5)(A) is even more specific, referring to “</w:t>
      </w:r>
      <w:r w:rsidR="0096524F" w:rsidRPr="0096524F">
        <w:rPr>
          <w:i/>
        </w:rPr>
        <w:t>the</w:t>
      </w:r>
      <w:r w:rsidRPr="0096524F">
        <w:t xml:space="preserve"> mark or trade name” that is the likely cause of dilution, nor merely to a “use” that is likely to cause dilution.</w:t>
      </w:r>
    </w:p>
    <w:p w14:paraId="37E67D22" w14:textId="2A74DBE9" w:rsidR="0096524F" w:rsidRPr="0096524F" w:rsidRDefault="00A60ADB" w:rsidP="0096524F">
      <w:pPr>
        <w:pStyle w:val="BNormal"/>
      </w:pPr>
      <w:r w:rsidRPr="0096524F">
        <w:t>The original FTDA also had language indicating a need for a trademark use</w:t>
      </w:r>
      <w:r w:rsidR="0096524F" w:rsidRPr="0096524F">
        <w:t>.</w:t>
      </w:r>
      <w:r w:rsidR="0096524F" w:rsidRPr="0096524F">
        <w:t xml:space="preserve"> </w:t>
      </w:r>
      <w:r w:rsidR="0096524F" w:rsidRPr="0096524F">
        <w:t>S</w:t>
      </w:r>
      <w:r w:rsidRPr="0096524F">
        <w:t>ection 43(c)(1) originally permitted an injunction “against another person’s commercial use in commerce of a mark or trade name [that causes dilution].”</w:t>
      </w:r>
      <w:r w:rsidR="0096524F" w:rsidRPr="0096524F">
        <w:rPr>
          <w:vertAlign w:val="superscript"/>
        </w:rPr>
        <w:footnoteReference w:id="854"/>
      </w:r>
      <w:r w:rsidRPr="0096524F">
        <w:t xml:space="preserve"> Moreover, such a requirement is consistent with the background against which the FTDA was enacted</w:t>
      </w:r>
      <w:r w:rsidR="0096524F" w:rsidRPr="0096524F">
        <w:t>.</w:t>
      </w:r>
      <w:r w:rsidR="0096524F" w:rsidRPr="0096524F">
        <w:t xml:space="preserve"> </w:t>
      </w:r>
      <w:r w:rsidR="0096524F" w:rsidRPr="0096524F">
        <w:t>P</w:t>
      </w:r>
      <w:r w:rsidRPr="0096524F">
        <w:t xml:space="preserve">erhaps the most notable aspect of this background is the </w:t>
      </w:r>
      <w:r w:rsidR="0096524F" w:rsidRPr="0096524F">
        <w:rPr>
          <w:i/>
        </w:rPr>
        <w:t>Restatement (Third) of Unfair Competition</w:t>
      </w:r>
      <w:r w:rsidR="0096524F" w:rsidRPr="0096524F">
        <w:t>.</w:t>
      </w:r>
      <w:r w:rsidR="0096524F" w:rsidRPr="0096524F">
        <w:t xml:space="preserve"> </w:t>
      </w:r>
      <w:r w:rsidR="0096524F" w:rsidRPr="0096524F">
        <w:t>S</w:t>
      </w:r>
      <w:r w:rsidRPr="0096524F">
        <w:t xml:space="preserve">ection 25 of the </w:t>
      </w:r>
      <w:r w:rsidR="0096524F" w:rsidRPr="0096524F">
        <w:rPr>
          <w:i/>
        </w:rPr>
        <w:t>Restatement</w:t>
      </w:r>
      <w:r w:rsidRPr="0096524F">
        <w:t xml:space="preserve"> is the dilution section.</w:t>
      </w:r>
      <w:r w:rsidR="0096524F" w:rsidRPr="0096524F">
        <w:rPr>
          <w:vertAlign w:val="superscript"/>
        </w:rPr>
        <w:footnoteReference w:id="855"/>
      </w:r>
      <w:r w:rsidRPr="0096524F">
        <w:t xml:space="preserve"> Two portions of Section 25 are pertinent to the type of use required</w:t>
      </w:r>
      <w:r w:rsidR="0096524F" w:rsidRPr="0096524F">
        <w:t>.</w:t>
      </w:r>
      <w:r w:rsidR="0096524F" w:rsidRPr="0096524F">
        <w:t xml:space="preserve"> </w:t>
      </w:r>
      <w:r w:rsidR="0096524F" w:rsidRPr="0096524F">
        <w:t>S</w:t>
      </w:r>
      <w:r w:rsidRPr="0096524F">
        <w:t xml:space="preserve">ubsection (1) imposes liability “if the actor uses such a designation in a manner that is likely to associate the other’s [distinctive] mark with the goods, services, or </w:t>
      </w:r>
      <w:r w:rsidRPr="0096524F">
        <w:lastRenderedPageBreak/>
        <w:t>business of the actor.”</w:t>
      </w:r>
      <w:r w:rsidR="0096524F" w:rsidRPr="0096524F">
        <w:rPr>
          <w:vertAlign w:val="superscript"/>
        </w:rPr>
        <w:footnoteReference w:id="856"/>
      </w:r>
      <w:r w:rsidRPr="0096524F">
        <w:t xml:space="preserve"> In other words, the designation must be used as a source identifier, or trademark</w:t>
      </w:r>
      <w:r w:rsidR="0096524F" w:rsidRPr="0096524F">
        <w:t>.</w:t>
      </w:r>
      <w:r w:rsidR="0096524F" w:rsidRPr="0096524F">
        <w:t xml:space="preserve"> </w:t>
      </w:r>
      <w:r w:rsidR="0096524F" w:rsidRPr="0096524F">
        <w:t>S</w:t>
      </w:r>
      <w:r w:rsidRPr="0096524F">
        <w:t>ubsection (2) limits liability where the use is “not in a manner that is likely to associate the other’s mark with the goods, services or business of the actor.”</w:t>
      </w:r>
      <w:r w:rsidR="0096524F" w:rsidRPr="0096524F">
        <w:rPr>
          <w:vertAlign w:val="superscript"/>
        </w:rPr>
        <w:footnoteReference w:id="857"/>
      </w:r>
      <w:r w:rsidRPr="0096524F">
        <w:t xml:space="preserve"> This also refers to a trademark use</w:t>
      </w:r>
      <w:r w:rsidR="0096524F" w:rsidRPr="0096524F">
        <w:t>.</w:t>
      </w:r>
      <w:r w:rsidR="0096524F" w:rsidRPr="0096524F">
        <w:t xml:space="preserve"> </w:t>
      </w:r>
      <w:r w:rsidR="0096524F" w:rsidRPr="0096524F">
        <w:t>T</w:t>
      </w:r>
      <w:r w:rsidRPr="0096524F">
        <w:t xml:space="preserve">he comments to the </w:t>
      </w:r>
      <w:r w:rsidR="0096524F" w:rsidRPr="0096524F">
        <w:rPr>
          <w:i/>
        </w:rPr>
        <w:t>Restatement</w:t>
      </w:r>
      <w:r w:rsidRPr="0096524F">
        <w:t xml:space="preserve"> reinforce the requirement of a trademark use.</w:t>
      </w:r>
      <w:r w:rsidR="0096524F" w:rsidRPr="0096524F">
        <w:rPr>
          <w:vertAlign w:val="superscript"/>
        </w:rPr>
        <w:footnoteReference w:id="858"/>
      </w:r>
      <w:r w:rsidRPr="0096524F">
        <w:t xml:space="preserve"> If the </w:t>
      </w:r>
      <w:r w:rsidR="0096524F" w:rsidRPr="0096524F">
        <w:rPr>
          <w:i/>
        </w:rPr>
        <w:t>Restatement</w:t>
      </w:r>
      <w:r w:rsidRPr="0096524F">
        <w:t>’s view is the proper interpretation of the TDRA, then many uses often associated with dilution, particularly parodies, but also including many Internet domain names that do not consist solely of the famous mark, will not be subject to liability.</w:t>
      </w:r>
    </w:p>
    <w:p w14:paraId="6945354F" w14:textId="72E26821" w:rsidR="0096524F" w:rsidRPr="0096524F" w:rsidRDefault="00A60ADB" w:rsidP="0096524F">
      <w:pPr>
        <w:pStyle w:val="BNormal"/>
      </w:pPr>
      <w:r w:rsidRPr="0096524F">
        <w:t>However, it has been held that whether the defendant is making a trademark use should be viewed objectively, and should not depend on the defendant’s subjective intent.</w:t>
      </w:r>
      <w:r w:rsidR="0096524F" w:rsidRPr="0096524F">
        <w:rPr>
          <w:vertAlign w:val="superscript"/>
        </w:rPr>
        <w:footnoteReference w:id="859"/>
      </w:r>
    </w:p>
    <w:p w14:paraId="6D1D6E56" w14:textId="3F959204" w:rsidR="0096524F" w:rsidRPr="0096524F" w:rsidRDefault="00A60ADB" w:rsidP="0096524F">
      <w:pPr>
        <w:pStyle w:val="BNormal"/>
      </w:pPr>
      <w:r w:rsidRPr="0096524F">
        <w:t xml:space="preserve">The trademark use requirement was accepted by the Fifth Circuit in </w:t>
      </w:r>
      <w:r w:rsidR="0096524F" w:rsidRPr="0096524F">
        <w:rPr>
          <w:i/>
        </w:rPr>
        <w:t>National Business Forms &amp; Printing,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Ford Motor Co</w:t>
      </w:r>
      <w:r w:rsidRPr="0096524F">
        <w:t>.</w:t>
      </w:r>
      <w:r w:rsidR="0096524F" w:rsidRPr="0096524F">
        <w:rPr>
          <w:vertAlign w:val="superscript"/>
        </w:rPr>
        <w:footnoteReference w:id="860"/>
      </w:r>
      <w:r w:rsidRPr="0096524F">
        <w:t xml:space="preserve"> The court held that a printer of decals that contained Ford’s trademarks did not “use” the marks within the meaning of the TDRA.</w:t>
      </w:r>
      <w:r w:rsidR="0096524F" w:rsidRPr="0096524F">
        <w:rPr>
          <w:vertAlign w:val="superscript"/>
        </w:rPr>
        <w:footnoteReference w:id="861"/>
      </w:r>
      <w:r w:rsidRPr="0096524F">
        <w:t xml:space="preserve"> Specifically, the court held that the printer was not liable for dilution because it did not use Ford’s marks “in identifying </w:t>
      </w:r>
      <w:r w:rsidR="0096524F" w:rsidRPr="0096524F">
        <w:rPr>
          <w:i/>
        </w:rPr>
        <w:t>its own</w:t>
      </w:r>
      <w:r w:rsidRPr="0096524F">
        <w:t xml:space="preserve"> goods or services.”</w:t>
      </w:r>
      <w:r w:rsidR="0096524F" w:rsidRPr="0096524F">
        <w:rPr>
          <w:vertAlign w:val="superscript"/>
        </w:rPr>
        <w:footnoteReference w:id="862"/>
      </w:r>
    </w:p>
    <w:p w14:paraId="4421153B" w14:textId="4790FBC6" w:rsidR="0096524F" w:rsidRPr="0096524F" w:rsidRDefault="00A60ADB" w:rsidP="0096524F">
      <w:pPr>
        <w:pStyle w:val="BNormal"/>
      </w:pPr>
      <w:r w:rsidRPr="0096524F">
        <w:t>Similarly, a district court in New York dismissed a dilution-by-</w:t>
      </w:r>
      <w:proofErr w:type="spellStart"/>
      <w:r w:rsidRPr="0096524F">
        <w:t>tarnishment</w:t>
      </w:r>
      <w:proofErr w:type="spellEnd"/>
      <w:r w:rsidRPr="0096524F">
        <w:t xml:space="preserve"> claim, stating, among other things, that because defendant’s use of plaintiff’s mark was to refer to plaintiff, there could be no dilution.</w:t>
      </w:r>
      <w:r w:rsidR="0096524F" w:rsidRPr="0096524F">
        <w:rPr>
          <w:vertAlign w:val="superscript"/>
        </w:rPr>
        <w:footnoteReference w:id="863"/>
      </w:r>
      <w:r w:rsidRPr="0096524F">
        <w:t xml:space="preserve"> In </w:t>
      </w:r>
      <w:r w:rsidR="0096524F" w:rsidRPr="0096524F">
        <w:rPr>
          <w:rStyle w:val="BCasenamefull"/>
        </w:rPr>
        <w:t>Pellegrino v. Epic Games, Inc.</w:t>
      </w:r>
      <w:r w:rsidRPr="0096524F">
        <w:t>,</w:t>
      </w:r>
      <w:r w:rsidR="0096524F" w:rsidRPr="0096524F">
        <w:rPr>
          <w:vertAlign w:val="superscript"/>
        </w:rPr>
        <w:footnoteReference w:id="864"/>
      </w:r>
      <w:r w:rsidRPr="0096524F">
        <w:t xml:space="preserve"> the court dismissed a dilution claim because there was no trademark use.</w:t>
      </w:r>
      <w:r w:rsidR="0096524F" w:rsidRPr="0096524F">
        <w:rPr>
          <w:vertAlign w:val="superscript"/>
        </w:rPr>
        <w:footnoteReference w:id="865"/>
      </w:r>
      <w:r w:rsidRPr="0096524F">
        <w:t xml:space="preserve"> And in </w:t>
      </w:r>
      <w:r w:rsidR="0096524F" w:rsidRPr="0096524F">
        <w:rPr>
          <w:rStyle w:val="BCasenamefull"/>
        </w:rPr>
        <w:t>Lions Gate Entertainment, Inc. v. TD Ameritrade Holding Corp.</w:t>
      </w:r>
      <w:r w:rsidRPr="0096524F">
        <w:t>,</w:t>
      </w:r>
      <w:r w:rsidR="0096524F" w:rsidRPr="0096524F">
        <w:rPr>
          <w:vertAlign w:val="superscript"/>
        </w:rPr>
        <w:footnoteReference w:id="866"/>
      </w:r>
      <w:r w:rsidRPr="0096524F">
        <w:t xml:space="preserve"> the court, while denying a motion to dismiss, appeared to accept the need for a trademark use, but found that the complaint adequately pled such a use.</w:t>
      </w:r>
      <w:r w:rsidR="0096524F" w:rsidRPr="0096524F">
        <w:rPr>
          <w:vertAlign w:val="superscript"/>
        </w:rPr>
        <w:footnoteReference w:id="867"/>
      </w:r>
    </w:p>
    <w:p w14:paraId="416B2593" w14:textId="2A228269" w:rsidR="0096524F" w:rsidRPr="0096524F" w:rsidRDefault="00A60ADB" w:rsidP="0096524F">
      <w:pPr>
        <w:pStyle w:val="BNormal"/>
      </w:pPr>
      <w:r w:rsidRPr="0096524F">
        <w:t xml:space="preserve">However, in </w:t>
      </w:r>
      <w:r w:rsidR="0096524F" w:rsidRPr="0096524F">
        <w:rPr>
          <w:i/>
        </w:rPr>
        <w:t>Rosetta Stone Ltd</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Google, Inc</w:t>
      </w:r>
      <w:r w:rsidRPr="0096524F">
        <w:t>.,</w:t>
      </w:r>
      <w:r w:rsidR="0096524F" w:rsidRPr="0096524F">
        <w:rPr>
          <w:vertAlign w:val="superscript"/>
        </w:rPr>
        <w:footnoteReference w:id="868"/>
      </w:r>
      <w:r w:rsidRPr="0096524F">
        <w:t xml:space="preserve"> the Fourth Circuit reversed a district court ruling that had dismissed a dilution claim for lack of a trademark use.</w:t>
      </w:r>
      <w:r w:rsidR="0096524F" w:rsidRPr="0096524F">
        <w:rPr>
          <w:vertAlign w:val="superscript"/>
        </w:rPr>
        <w:footnoteReference w:id="869"/>
      </w:r>
      <w:r w:rsidRPr="0096524F">
        <w:t xml:space="preserve"> The court reasoned that the fair use exclusion’s requirement of a non-trademark use would be rendered </w:t>
      </w:r>
      <w:r w:rsidRPr="0096524F">
        <w:lastRenderedPageBreak/>
        <w:t>superfluous by a trademark use requirement for dilution.</w:t>
      </w:r>
      <w:r w:rsidR="0096524F" w:rsidRPr="0096524F">
        <w:rPr>
          <w:vertAlign w:val="superscript"/>
        </w:rPr>
        <w:footnoteReference w:id="870"/>
      </w:r>
      <w:r w:rsidRPr="0096524F">
        <w:t xml:space="preserve"> The court did not address the other statutory provisions seemingly requiring trademark uses.</w:t>
      </w:r>
    </w:p>
    <w:p w14:paraId="3542D596" w14:textId="566449E1" w:rsidR="0096524F" w:rsidRPr="0096524F" w:rsidRDefault="00A60ADB" w:rsidP="0096524F">
      <w:pPr>
        <w:pStyle w:val="BNormal"/>
      </w:pPr>
      <w:r w:rsidRPr="0096524F">
        <w:t>A few district court opinions predating the TDRA denied dilution by blurring claims on the grounds that the defendant’s use was not a trademark use.</w:t>
      </w:r>
      <w:r w:rsidR="0096524F" w:rsidRPr="0096524F">
        <w:rPr>
          <w:vertAlign w:val="superscript"/>
        </w:rPr>
        <w:footnoteReference w:id="871"/>
      </w:r>
      <w:r w:rsidRPr="0096524F">
        <w:t xml:space="preserve"> In one, a parody of Barney the Dinosaur by The Famous Chicken was said not to constitute blurring because it was not a trademark use.</w:t>
      </w:r>
      <w:r w:rsidR="0096524F" w:rsidRPr="0096524F">
        <w:rPr>
          <w:vertAlign w:val="superscript"/>
        </w:rPr>
        <w:footnoteReference w:id="872"/>
      </w:r>
      <w:r w:rsidRPr="0096524F">
        <w:t xml:space="preserve"> In a third case, a search engine was programmed to display certain advertisements when the terms “playboy” or “playmate” were researched</w:t>
      </w:r>
      <w:r w:rsidR="0096524F" w:rsidRPr="0096524F">
        <w:t>.</w:t>
      </w:r>
      <w:r w:rsidR="0096524F" w:rsidRPr="0096524F">
        <w:t xml:space="preserve"> </w:t>
      </w:r>
      <w:r w:rsidR="0096524F" w:rsidRPr="0096524F">
        <w:t>T</w:t>
      </w:r>
      <w:r w:rsidRPr="0096524F">
        <w:t>his, too, was held not to be a trademark use.</w:t>
      </w:r>
      <w:r w:rsidR="0096524F" w:rsidRPr="0096524F">
        <w:rPr>
          <w:vertAlign w:val="superscript"/>
        </w:rPr>
        <w:footnoteReference w:id="873"/>
      </w:r>
      <w:r w:rsidRPr="0096524F">
        <w:t xml:space="preserve"> In the third case, the court refused a preliminary injunction against a defendant who converted Ford cars into limousines and left certain original car badges on the cars</w:t>
      </w:r>
      <w:r w:rsidR="0096524F" w:rsidRPr="0096524F">
        <w:t>.</w:t>
      </w:r>
      <w:r w:rsidR="0096524F" w:rsidRPr="0096524F">
        <w:t xml:space="preserve"> </w:t>
      </w:r>
      <w:r w:rsidR="0096524F" w:rsidRPr="0096524F">
        <w:t>T</w:t>
      </w:r>
      <w:r w:rsidRPr="0096524F">
        <w:t>he court held that this was not actionable because it was not a trademark use of Ford’s trademarks.</w:t>
      </w:r>
      <w:r w:rsidR="0096524F" w:rsidRPr="0096524F">
        <w:rPr>
          <w:vertAlign w:val="superscript"/>
        </w:rPr>
        <w:footnoteReference w:id="874"/>
      </w:r>
      <w:r w:rsidRPr="0096524F">
        <w:t xml:space="preserve"> This issue was also raised in </w:t>
      </w:r>
      <w:r w:rsidR="0096524F" w:rsidRPr="0096524F">
        <w:rPr>
          <w:i/>
        </w:rPr>
        <w:t>Avery Dennison Corp</w:t>
      </w:r>
      <w:r w:rsidR="0096524F" w:rsidRPr="0096524F">
        <w:t>.</w:t>
      </w:r>
      <w:r w:rsidR="0096524F" w:rsidRPr="0096524F">
        <w:t xml:space="preserve"> </w:t>
      </w:r>
      <w:r w:rsidR="0096524F" w:rsidRPr="0096524F">
        <w:rPr>
          <w:i/>
        </w:rPr>
        <w:t>v</w:t>
      </w:r>
      <w:r w:rsidR="0096524F" w:rsidRPr="0096524F">
        <w:t>.</w:t>
      </w:r>
      <w:r w:rsidR="0096524F" w:rsidRPr="0096524F">
        <w:t xml:space="preserve"> </w:t>
      </w:r>
      <w:proofErr w:type="spellStart"/>
      <w:r w:rsidR="0096524F" w:rsidRPr="0096524F">
        <w:rPr>
          <w:i/>
        </w:rPr>
        <w:t>Sumpton</w:t>
      </w:r>
      <w:proofErr w:type="spellEnd"/>
      <w:r w:rsidRPr="0096524F">
        <w:t>,</w:t>
      </w:r>
      <w:r w:rsidR="0096524F" w:rsidRPr="0096524F">
        <w:rPr>
          <w:vertAlign w:val="superscript"/>
        </w:rPr>
        <w:footnoteReference w:id="875"/>
      </w:r>
      <w:r w:rsidRPr="0096524F">
        <w:t xml:space="preserve"> where the court found that a “commercial use” under the FTDA “requires the defendant to be using the trademark as a trademark, capitalizing on its trademark status.”</w:t>
      </w:r>
      <w:r w:rsidR="0096524F" w:rsidRPr="0096524F">
        <w:rPr>
          <w:vertAlign w:val="superscript"/>
        </w:rPr>
        <w:footnoteReference w:id="876"/>
      </w:r>
    </w:p>
    <w:p w14:paraId="47D0FEAF" w14:textId="6DCDBACE" w:rsidR="0096524F" w:rsidRPr="0096524F" w:rsidRDefault="00A60ADB" w:rsidP="0096524F">
      <w:pPr>
        <w:pStyle w:val="BNormal"/>
      </w:pPr>
      <w:r w:rsidRPr="0096524F">
        <w:t xml:space="preserve">A similar result was reached in </w:t>
      </w:r>
      <w:r w:rsidR="0096524F" w:rsidRPr="0096524F">
        <w:rPr>
          <w:i/>
        </w:rPr>
        <w:t>Interactive Products Corp</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a2z Mobile Office Solutions, Inc</w:t>
      </w:r>
      <w:r w:rsidRPr="0096524F">
        <w:t>.</w:t>
      </w:r>
      <w:r w:rsidR="0096524F" w:rsidRPr="0096524F">
        <w:rPr>
          <w:vertAlign w:val="superscript"/>
        </w:rPr>
        <w:footnoteReference w:id="877"/>
      </w:r>
      <w:r w:rsidRPr="0096524F">
        <w:t xml:space="preserve"> The court held that the defendant’s use of the plaintiff’s Lap Traveler mark in the “post-domain path” of the defendant’s Internet URL was not a trademark use of the mark and thus did not violate the FTDA.</w:t>
      </w:r>
      <w:r w:rsidR="0096524F" w:rsidRPr="0096524F">
        <w:rPr>
          <w:vertAlign w:val="superscript"/>
        </w:rPr>
        <w:footnoteReference w:id="878"/>
      </w:r>
    </w:p>
    <w:p w14:paraId="73318689" w14:textId="0544AABD" w:rsidR="0096524F" w:rsidRPr="0096524F" w:rsidRDefault="00A60ADB" w:rsidP="0096524F">
      <w:pPr>
        <w:pStyle w:val="BNormal"/>
      </w:pPr>
      <w:r w:rsidRPr="0096524F">
        <w:t xml:space="preserve">In </w:t>
      </w:r>
      <w:r w:rsidR="0096524F" w:rsidRPr="0096524F">
        <w:rPr>
          <w:i/>
        </w:rPr>
        <w:t>Ford Motor Co</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Greatdomains</w:t>
      </w:r>
      <w:r w:rsidRPr="0096524F">
        <w:t>.</w:t>
      </w:r>
      <w:r w:rsidR="0096524F" w:rsidRPr="0096524F">
        <w:rPr>
          <w:i/>
        </w:rPr>
        <w:t>com, Inc</w:t>
      </w:r>
      <w:r w:rsidRPr="0096524F">
        <w:t>.,</w:t>
      </w:r>
      <w:r w:rsidR="0096524F" w:rsidRPr="0096524F">
        <w:rPr>
          <w:vertAlign w:val="superscript"/>
        </w:rPr>
        <w:footnoteReference w:id="879"/>
      </w:r>
      <w:r w:rsidRPr="0096524F">
        <w:t xml:space="preserve"> one defendant provided an online forum for the purchase and sale of domain names and other defendants registered various domain names that incorporated the plaintiff’s trademarks</w:t>
      </w:r>
      <w:r w:rsidR="0096524F" w:rsidRPr="0096524F">
        <w:t>.</w:t>
      </w:r>
      <w:r w:rsidR="0096524F" w:rsidRPr="0096524F">
        <w:t xml:space="preserve"> </w:t>
      </w:r>
      <w:r w:rsidR="0096524F" w:rsidRPr="0096524F">
        <w:t>F</w:t>
      </w:r>
      <w:r w:rsidRPr="0096524F">
        <w:t>or the court, the key issue was whether the defendants had made a “use” of the marks within the meaning of the FTDA.</w:t>
      </w:r>
      <w:r w:rsidR="0096524F" w:rsidRPr="0096524F">
        <w:rPr>
          <w:vertAlign w:val="superscript"/>
        </w:rPr>
        <w:footnoteReference w:id="880"/>
      </w:r>
      <w:r w:rsidRPr="0096524F">
        <w:t xml:space="preserve"> The court held that a trademark use was required under the FTDA, meaning a use “in connection with goods and services.”</w:t>
      </w:r>
      <w:r w:rsidR="0096524F" w:rsidRPr="0096524F">
        <w:rPr>
          <w:vertAlign w:val="superscript"/>
        </w:rPr>
        <w:footnoteReference w:id="881"/>
      </w:r>
      <w:r w:rsidRPr="0096524F">
        <w:t xml:space="preserve"> Applying that requirement, the court found that the sale of domain names incorporating trademarks does not constitute use in connection with goods and services, particularly where the registrant defendants had </w:t>
      </w:r>
      <w:r w:rsidRPr="0096524F">
        <w:lastRenderedPageBreak/>
        <w:t>not operated Web pages using the domain names in question.</w:t>
      </w:r>
      <w:r w:rsidR="0096524F" w:rsidRPr="0096524F">
        <w:rPr>
          <w:vertAlign w:val="superscript"/>
        </w:rPr>
        <w:footnoteReference w:id="882"/>
      </w:r>
      <w:r w:rsidRPr="0096524F">
        <w:t xml:space="preserve"> In </w:t>
      </w:r>
      <w:r w:rsidR="0096524F" w:rsidRPr="0096524F">
        <w:rPr>
          <w:i/>
        </w:rPr>
        <w:t>DaimlerChrysler AG v</w:t>
      </w:r>
      <w:r w:rsidR="0096524F" w:rsidRPr="0096524F">
        <w:t>.</w:t>
      </w:r>
      <w:r w:rsidR="0096524F" w:rsidRPr="0096524F">
        <w:t xml:space="preserve"> </w:t>
      </w:r>
      <w:r w:rsidR="0096524F" w:rsidRPr="0096524F">
        <w:rPr>
          <w:i/>
        </w:rPr>
        <w:t>Bloom</w:t>
      </w:r>
      <w:r w:rsidRPr="0096524F">
        <w:t>,</w:t>
      </w:r>
      <w:r w:rsidR="0096524F" w:rsidRPr="0096524F">
        <w:rPr>
          <w:vertAlign w:val="superscript"/>
        </w:rPr>
        <w:footnoteReference w:id="883"/>
      </w:r>
      <w:r w:rsidRPr="0096524F">
        <w:t xml:space="preserve"> the Eighth Circuit held that licensing a vanity telephone number that spelled 1-800-MERCEDES to Mercedes dealers, without any advertising of the name by the licensor, did not constitute a “use” for purposes of dilution or infringement.</w:t>
      </w:r>
      <w:r w:rsidR="0096524F" w:rsidRPr="0096524F">
        <w:rPr>
          <w:vertAlign w:val="superscript"/>
        </w:rPr>
        <w:footnoteReference w:id="884"/>
      </w:r>
    </w:p>
    <w:p w14:paraId="689FACCA" w14:textId="7CF1D1CB" w:rsidR="0096524F" w:rsidRPr="0096524F" w:rsidRDefault="00A60ADB" w:rsidP="0096524F">
      <w:pPr>
        <w:pStyle w:val="BNormal"/>
      </w:pPr>
      <w:r w:rsidRPr="0096524F">
        <w:t xml:space="preserve">The Second Circuit raised the issue in </w:t>
      </w:r>
      <w:r w:rsidR="0096524F" w:rsidRPr="0096524F">
        <w:rPr>
          <w:i/>
        </w:rPr>
        <w:t>Nabisco,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PF Brands, Inc</w:t>
      </w:r>
      <w:r w:rsidRPr="0096524F">
        <w:t>.,</w:t>
      </w:r>
      <w:r w:rsidR="0096524F" w:rsidRPr="0096524F">
        <w:rPr>
          <w:vertAlign w:val="superscript"/>
        </w:rPr>
        <w:footnoteReference w:id="885"/>
      </w:r>
      <w:r w:rsidRPr="0096524F">
        <w:t xml:space="preserve"> calling it “a complicated question.”</w:t>
      </w:r>
      <w:r w:rsidR="0096524F" w:rsidRPr="0096524F">
        <w:rPr>
          <w:vertAlign w:val="superscript"/>
        </w:rPr>
        <w:footnoteReference w:id="886"/>
      </w:r>
      <w:r w:rsidRPr="0096524F">
        <w:t xml:space="preserve"> However, the court did not need to decide the issue because it found that Nabisco’s crackers constituted a trademark use of the goldfish shape.</w:t>
      </w:r>
      <w:r w:rsidR="0096524F" w:rsidRPr="0096524F">
        <w:rPr>
          <w:vertAlign w:val="superscript"/>
        </w:rPr>
        <w:footnoteReference w:id="887"/>
      </w:r>
    </w:p>
    <w:p w14:paraId="471CD62B" w14:textId="7B7C1A06" w:rsidR="0096524F" w:rsidRPr="0096524F" w:rsidRDefault="00A60ADB" w:rsidP="0096524F">
      <w:pPr>
        <w:pStyle w:val="BNormal"/>
      </w:pPr>
      <w:r w:rsidRPr="0096524F">
        <w:t xml:space="preserve">Clearly, despite the </w:t>
      </w:r>
      <w:r w:rsidR="0096524F" w:rsidRPr="0096524F">
        <w:rPr>
          <w:i/>
        </w:rPr>
        <w:t>Restatement</w:t>
      </w:r>
      <w:r w:rsidRPr="0096524F">
        <w:t xml:space="preserve">’s admonishment to the contrary, many courts have imposed liability in </w:t>
      </w:r>
      <w:proofErr w:type="spellStart"/>
      <w:r w:rsidRPr="0096524F">
        <w:t>tarnishment</w:t>
      </w:r>
      <w:proofErr w:type="spellEnd"/>
      <w:r w:rsidRPr="0096524F">
        <w:t xml:space="preserve"> cases for </w:t>
      </w:r>
      <w:proofErr w:type="spellStart"/>
      <w:r w:rsidRPr="0096524F">
        <w:t>nontrademark</w:t>
      </w:r>
      <w:proofErr w:type="spellEnd"/>
      <w:r w:rsidRPr="0096524F">
        <w:t xml:space="preserve"> uses.</w:t>
      </w:r>
      <w:r w:rsidR="0096524F" w:rsidRPr="0096524F">
        <w:rPr>
          <w:vertAlign w:val="superscript"/>
        </w:rPr>
        <w:footnoteReference w:id="888"/>
      </w:r>
      <w:r w:rsidRPr="0096524F">
        <w:t xml:space="preserve"> However, in blurring cases a requirement of trademark use is easily supportable</w:t>
      </w:r>
      <w:r w:rsidR="0096524F" w:rsidRPr="0096524F">
        <w:t>.</w:t>
      </w:r>
      <w:r w:rsidR="0096524F" w:rsidRPr="0096524F">
        <w:t xml:space="preserve"> </w:t>
      </w:r>
      <w:r w:rsidR="0096524F" w:rsidRPr="0096524F">
        <w:t>B</w:t>
      </w:r>
      <w:r w:rsidRPr="0096524F">
        <w:t>lurring assumes that the second use will cause consumers to associate more than one source with a particular mark</w:t>
      </w:r>
      <w:r w:rsidR="0096524F" w:rsidRPr="0096524F">
        <w:t>.</w:t>
      </w:r>
      <w:r w:rsidR="0096524F" w:rsidRPr="0096524F">
        <w:t xml:space="preserve"> </w:t>
      </w:r>
      <w:r w:rsidR="0096524F" w:rsidRPr="0096524F">
        <w:t>F</w:t>
      </w:r>
      <w:r w:rsidRPr="0096524F">
        <w:t>or that to occur, it is logical that the offending use should be as a trademark</w:t>
      </w:r>
      <w:r w:rsidR="0096524F" w:rsidRPr="0096524F">
        <w:t>.</w:t>
      </w:r>
      <w:r w:rsidR="0096524F" w:rsidRPr="0096524F">
        <w:t xml:space="preserve"> </w:t>
      </w:r>
      <w:r w:rsidR="0096524F" w:rsidRPr="0096524F">
        <w:t>T</w:t>
      </w:r>
      <w:r w:rsidRPr="0096524F">
        <w:t>hat would eliminate certain possible diluting uses, notably those constituting genericide.</w:t>
      </w:r>
      <w:r w:rsidR="0096524F" w:rsidRPr="0096524F">
        <w:rPr>
          <w:vertAlign w:val="superscript"/>
        </w:rPr>
        <w:footnoteReference w:id="889"/>
      </w:r>
      <w:r w:rsidRPr="0096524F">
        <w:t xml:space="preserve"> However, requiring a trademark use causes interpretive problems regarding the statutory exclusions from liability</w:t>
      </w:r>
      <w:r w:rsidR="0096524F" w:rsidRPr="0096524F">
        <w:t>.</w:t>
      </w:r>
      <w:r w:rsidR="0096524F" w:rsidRPr="0096524F">
        <w:t xml:space="preserve"> </w:t>
      </w:r>
      <w:r w:rsidR="0096524F" w:rsidRPr="0096524F">
        <w:t>T</w:t>
      </w:r>
      <w:r w:rsidRPr="0096524F">
        <w:t xml:space="preserve">he “fair use” exclusion is expressly limited </w:t>
      </w:r>
      <w:r w:rsidR="0096524F" w:rsidRPr="0096524F">
        <w:rPr>
          <w:i/>
        </w:rPr>
        <w:t>to non</w:t>
      </w:r>
      <w:r w:rsidRPr="0096524F">
        <w:t>-trademark uses, and the noncommercial use exclusion has been held not to apply to trademark uses.</w:t>
      </w:r>
      <w:r w:rsidR="0096524F" w:rsidRPr="0096524F">
        <w:rPr>
          <w:vertAlign w:val="superscript"/>
        </w:rPr>
        <w:footnoteReference w:id="890"/>
      </w:r>
    </w:p>
    <w:p w14:paraId="2845FB5B" w14:textId="77257A27" w:rsidR="0096524F" w:rsidRPr="0096524F" w:rsidRDefault="00371CCB" w:rsidP="00175762">
      <w:pPr>
        <w:pStyle w:val="BHead1"/>
      </w:pPr>
      <w:r>
        <w:t>9.</w:t>
      </w:r>
      <w:r w:rsidR="0096524F" w:rsidRPr="00175762">
        <w:rPr>
          <w:rStyle w:val="BBNAidChar"/>
          <w:rFonts w:eastAsiaTheme="majorEastAsia"/>
        </w:rPr>
        <w:t>V</w:t>
      </w:r>
      <w:r w:rsidR="0096524F" w:rsidRPr="0096524F">
        <w:t>.</w:t>
      </w:r>
      <w:r>
        <w:t> </w:t>
      </w:r>
      <w:r w:rsidR="00175762">
        <w:t xml:space="preserve"> </w:t>
      </w:r>
      <w:r w:rsidR="0096524F" w:rsidRPr="0096524F">
        <w:t>Proving Dilution:</w:t>
      </w:r>
      <w:r w:rsidR="0096524F" w:rsidRPr="0096524F">
        <w:t xml:space="preserve"> </w:t>
      </w:r>
      <w:r w:rsidR="0096524F" w:rsidRPr="0096524F">
        <w:t>Case Law and</w:t>
      </w:r>
      <w:r w:rsidR="00175762">
        <w:t xml:space="preserve"> </w:t>
      </w:r>
      <w:r w:rsidR="0096524F" w:rsidRPr="0096524F">
        <w:t>Suggested Approaches</w:t>
      </w:r>
    </w:p>
    <w:p w14:paraId="6C344D5B" w14:textId="73CC12BA" w:rsidR="0096524F" w:rsidRPr="0096524F" w:rsidRDefault="00371CCB" w:rsidP="00175762">
      <w:pPr>
        <w:pStyle w:val="BHead2"/>
      </w:pPr>
      <w:r>
        <w:t>9.V.</w:t>
      </w:r>
      <w:r w:rsidR="0096524F" w:rsidRPr="00175762">
        <w:rPr>
          <w:rStyle w:val="BBNAidChar"/>
          <w:rFonts w:eastAsiaTheme="majorEastAsia"/>
        </w:rPr>
        <w:t>A</w:t>
      </w:r>
      <w:r w:rsidR="0096524F" w:rsidRPr="0096524F">
        <w:t>.</w:t>
      </w:r>
      <w:r>
        <w:t> </w:t>
      </w:r>
      <w:r w:rsidR="0096524F" w:rsidRPr="0096524F">
        <w:tab/>
        <w:t>Introduction</w:t>
      </w:r>
    </w:p>
    <w:p w14:paraId="69490682" w14:textId="62FF59CE" w:rsidR="0096524F" w:rsidRPr="0096524F" w:rsidRDefault="00A60ADB" w:rsidP="0096524F">
      <w:pPr>
        <w:pStyle w:val="BNormal"/>
      </w:pPr>
      <w:r w:rsidRPr="0096524F">
        <w:t>Dilution liability can be established by showing either actual dilution or likelihood of dilution</w:t>
      </w:r>
      <w:r w:rsidR="0096524F" w:rsidRPr="0096524F">
        <w:t>.</w:t>
      </w:r>
      <w:r w:rsidR="0096524F" w:rsidRPr="0096524F">
        <w:t xml:space="preserve"> </w:t>
      </w:r>
      <w:r w:rsidR="0096524F" w:rsidRPr="0096524F">
        <w:t>O</w:t>
      </w:r>
      <w:r w:rsidRPr="0096524F">
        <w:t xml:space="preserve">ne aspect of trademark dilution that has received relatively little attention from courts is the proper methodology for proving that dilution has actually occurred or that the occurrence of dilution is </w:t>
      </w:r>
      <w:r w:rsidR="0096524F" w:rsidRPr="0096524F">
        <w:rPr>
          <w:i/>
        </w:rPr>
        <w:t>likely</w:t>
      </w:r>
      <w:r w:rsidRPr="0096524F">
        <w:t xml:space="preserve"> (as </w:t>
      </w:r>
      <w:r w:rsidRPr="0096524F">
        <w:lastRenderedPageBreak/>
        <w:t>opposed to simply possible)</w:t>
      </w:r>
      <w:r w:rsidR="0096524F" w:rsidRPr="0096524F">
        <w:t>.</w:t>
      </w:r>
      <w:r w:rsidR="0096524F" w:rsidRPr="0096524F">
        <w:t xml:space="preserve"> </w:t>
      </w:r>
      <w:r w:rsidR="0096524F" w:rsidRPr="0096524F">
        <w:t>I</w:t>
      </w:r>
      <w:r w:rsidRPr="0096524F">
        <w:t>n part, this undoubtedly stems from the difficult task it presents.</w:t>
      </w:r>
      <w:r w:rsidR="0096524F" w:rsidRPr="0096524F">
        <w:rPr>
          <w:vertAlign w:val="superscript"/>
        </w:rPr>
        <w:footnoteReference w:id="891"/>
      </w:r>
      <w:r w:rsidRPr="0096524F">
        <w:t xml:space="preserve"> Unlike confusion, dilution is often described as a gradual process, where the damage is incremental and hard to measure</w:t>
      </w:r>
      <w:r w:rsidR="0096524F" w:rsidRPr="0096524F">
        <w:t>.</w:t>
      </w:r>
      <w:r w:rsidR="0096524F" w:rsidRPr="0096524F">
        <w:t xml:space="preserve"> </w:t>
      </w:r>
      <w:r w:rsidR="0096524F" w:rsidRPr="0096524F">
        <w:t>I</w:t>
      </w:r>
      <w:r w:rsidRPr="0096524F">
        <w:t>ndeed, the most influential multifactor tests for dilution used by courts prior to the TDRA did not even list actual dilution as a factor.</w:t>
      </w:r>
      <w:r w:rsidR="0096524F" w:rsidRPr="0096524F">
        <w:rPr>
          <w:vertAlign w:val="superscript"/>
        </w:rPr>
        <w:footnoteReference w:id="892"/>
      </w:r>
      <w:r w:rsidRPr="0096524F">
        <w:t xml:space="preserve"> Although the TDRA contains factors for use by courts in determining blurring, they do not necessarily lead to easy conclusions about the real issue—whether the defendant’s use harms or is likely to harm the distinctiveness (or reputation, if </w:t>
      </w:r>
      <w:proofErr w:type="spellStart"/>
      <w:r w:rsidRPr="0096524F">
        <w:t>tarnishment</w:t>
      </w:r>
      <w:proofErr w:type="spellEnd"/>
      <w:r w:rsidRPr="0096524F">
        <w:t xml:space="preserve"> is claimed) of the famous mark</w:t>
      </w:r>
      <w:r w:rsidR="0096524F" w:rsidRPr="0096524F">
        <w:t>.</w:t>
      </w:r>
      <w:r w:rsidR="0096524F" w:rsidRPr="0096524F">
        <w:t xml:space="preserve"> </w:t>
      </w:r>
      <w:r w:rsidR="0096524F" w:rsidRPr="0096524F">
        <w:t>T</w:t>
      </w:r>
      <w:r w:rsidRPr="0096524F">
        <w:t>hey are, at best, indirect measures</w:t>
      </w:r>
      <w:r w:rsidR="0096524F" w:rsidRPr="0096524F">
        <w:t>.</w:t>
      </w:r>
      <w:r w:rsidR="0096524F" w:rsidRPr="0096524F">
        <w:t xml:space="preserve"> </w:t>
      </w:r>
      <w:r w:rsidR="0096524F" w:rsidRPr="0096524F">
        <w:t>H</w:t>
      </w:r>
      <w:r w:rsidRPr="0096524F">
        <w:t>owever, the TDRA makes “actual association between the mark or trade name and the famous mark” a factor in the determination of dilution by blurring.</w:t>
      </w:r>
      <w:r w:rsidR="0096524F" w:rsidRPr="0096524F">
        <w:rPr>
          <w:vertAlign w:val="superscript"/>
        </w:rPr>
        <w:footnoteReference w:id="893"/>
      </w:r>
      <w:r w:rsidRPr="0096524F">
        <w:t xml:space="preserve"> Therefore, practitioners can no longer ignore the need to provide such evidence.</w:t>
      </w:r>
      <w:r w:rsidR="0096524F" w:rsidRPr="0096524F">
        <w:rPr>
          <w:vertAlign w:val="superscript"/>
        </w:rPr>
        <w:footnoteReference w:id="894"/>
      </w:r>
    </w:p>
    <w:p w14:paraId="60AB085B" w14:textId="76F76905" w:rsidR="0096524F" w:rsidRPr="0096524F" w:rsidRDefault="00371CCB" w:rsidP="00175762">
      <w:pPr>
        <w:pStyle w:val="BHead2"/>
      </w:pPr>
      <w:r>
        <w:t>9.V.</w:t>
      </w:r>
      <w:r w:rsidR="0096524F" w:rsidRPr="00175762">
        <w:rPr>
          <w:rStyle w:val="BBNAidChar"/>
          <w:rFonts w:eastAsiaTheme="majorEastAsia"/>
        </w:rPr>
        <w:t>B</w:t>
      </w:r>
      <w:r w:rsidR="0096524F" w:rsidRPr="0096524F">
        <w:t>.</w:t>
      </w:r>
      <w:r>
        <w:t> </w:t>
      </w:r>
      <w:r w:rsidR="0096524F" w:rsidRPr="0096524F">
        <w:tab/>
        <w:t>Case Law Discussing Evidence of Dilution</w:t>
      </w:r>
    </w:p>
    <w:p w14:paraId="1956AA70" w14:textId="1EEEE77C" w:rsidR="0096524F" w:rsidRPr="0096524F" w:rsidRDefault="00A60ADB" w:rsidP="0096524F">
      <w:pPr>
        <w:pStyle w:val="BNormal"/>
      </w:pPr>
      <w:r w:rsidRPr="0096524F">
        <w:t>A relatively small number of cases has discussed evidence of dilution</w:t>
      </w:r>
      <w:r w:rsidR="0096524F" w:rsidRPr="0096524F">
        <w:t>.</w:t>
      </w:r>
      <w:r w:rsidR="0096524F" w:rsidRPr="0096524F">
        <w:t xml:space="preserve"> </w:t>
      </w:r>
      <w:r w:rsidR="0096524F" w:rsidRPr="0096524F">
        <w:t>T</w:t>
      </w:r>
      <w:r w:rsidRPr="0096524F">
        <w:t>hus, cases can offer only partial guidance to practitioners</w:t>
      </w:r>
      <w:r w:rsidR="0096524F" w:rsidRPr="0096524F">
        <w:t>.</w:t>
      </w:r>
      <w:r w:rsidR="0096524F" w:rsidRPr="0096524F">
        <w:t xml:space="preserve"> </w:t>
      </w:r>
      <w:r w:rsidR="0096524F" w:rsidRPr="0096524F">
        <w:t>I</w:t>
      </w:r>
      <w:r w:rsidRPr="0096524F">
        <w:t>n infringement cases, the most common evidence of likelihood of confusion is a survey.</w:t>
      </w:r>
      <w:r w:rsidR="0096524F" w:rsidRPr="0096524F">
        <w:rPr>
          <w:vertAlign w:val="superscript"/>
        </w:rPr>
        <w:footnoteReference w:id="895"/>
      </w:r>
      <w:r w:rsidRPr="0096524F">
        <w:t xml:space="preserve"> In dilution cases, litigants also have introduced surveys to assist their cases</w:t>
      </w:r>
      <w:r w:rsidR="0096524F" w:rsidRPr="0096524F">
        <w:t>.</w:t>
      </w:r>
      <w:r w:rsidR="0096524F" w:rsidRPr="0096524F">
        <w:t xml:space="preserve"> </w:t>
      </w:r>
      <w:r w:rsidR="0096524F" w:rsidRPr="0096524F">
        <w:t>I</w:t>
      </w:r>
      <w:r w:rsidRPr="0096524F">
        <w:t>n many situations, the surveys are used to demonstrate mark strength, in an effort to support a claim that the mark is famous.</w:t>
      </w:r>
      <w:r w:rsidR="0096524F" w:rsidRPr="0096524F">
        <w:rPr>
          <w:vertAlign w:val="superscript"/>
        </w:rPr>
        <w:footnoteReference w:id="896"/>
      </w:r>
      <w:r w:rsidRPr="0096524F">
        <w:t xml:space="preserve"> However, some cases have used surveys, especially associational surveys, as a way of indicating dilution</w:t>
      </w:r>
      <w:r w:rsidR="0096524F" w:rsidRPr="0096524F">
        <w:t>.</w:t>
      </w:r>
      <w:r w:rsidR="0096524F" w:rsidRPr="0096524F">
        <w:t xml:space="preserve"> </w:t>
      </w:r>
      <w:r w:rsidR="0096524F" w:rsidRPr="0096524F">
        <w:t>T</w:t>
      </w:r>
      <w:r w:rsidRPr="0096524F">
        <w:t xml:space="preserve">he Supreme Court’s </w:t>
      </w:r>
      <w:r w:rsidR="0096524F" w:rsidRPr="0096524F">
        <w:rPr>
          <w:i/>
        </w:rPr>
        <w:t>Moseley</w:t>
      </w:r>
      <w:r w:rsidRPr="0096524F">
        <w:t xml:space="preserve"> decision in 2003 forced litigators to attempt to show actual dilution, making more direct evidence of dilution critical, at least until the TDRA was enacted</w:t>
      </w:r>
      <w:r w:rsidR="0096524F" w:rsidRPr="0096524F">
        <w:t>.</w:t>
      </w:r>
      <w:r w:rsidR="0096524F" w:rsidRPr="0096524F">
        <w:t xml:space="preserve"> </w:t>
      </w:r>
      <w:r w:rsidR="0096524F" w:rsidRPr="0096524F">
        <w:t>H</w:t>
      </w:r>
      <w:r w:rsidRPr="0096524F">
        <w:t xml:space="preserve">owever, few cases before or after </w:t>
      </w:r>
      <w:r w:rsidR="0096524F" w:rsidRPr="0096524F">
        <w:rPr>
          <w:i/>
        </w:rPr>
        <w:t>Moseley</w:t>
      </w:r>
      <w:r w:rsidRPr="0096524F">
        <w:t xml:space="preserve"> have attempted to demonstrate dilution directly, as opposed to using </w:t>
      </w:r>
      <w:r w:rsidRPr="0096524F">
        <w:lastRenderedPageBreak/>
        <w:t>association as an indirect means of indicating the likelihood of dilution</w:t>
      </w:r>
      <w:r w:rsidR="0096524F" w:rsidRPr="0096524F">
        <w:t>.</w:t>
      </w:r>
      <w:r w:rsidR="0096524F" w:rsidRPr="0096524F">
        <w:t xml:space="preserve"> </w:t>
      </w:r>
      <w:r w:rsidR="0096524F" w:rsidRPr="0096524F">
        <w:t>W</w:t>
      </w:r>
      <w:r w:rsidRPr="0096524F">
        <w:t>hen the TDRA changed the operative standard from actual to likelihood of dilution, it made evidence of actual association a factor in the analysis of blurring, thus encouraging the use of survey evidence</w:t>
      </w:r>
      <w:r w:rsidR="0096524F" w:rsidRPr="0096524F">
        <w:t>.</w:t>
      </w:r>
      <w:r w:rsidR="0096524F" w:rsidRPr="0096524F">
        <w:t xml:space="preserve"> </w:t>
      </w:r>
      <w:r w:rsidR="0096524F" w:rsidRPr="0096524F">
        <w:t>I</w:t>
      </w:r>
      <w:r w:rsidRPr="0096524F">
        <w:t>n those cases in which surveys have been introduced, the results have been mixed.</w:t>
      </w:r>
    </w:p>
    <w:p w14:paraId="0D1A7349" w14:textId="0B6BB2F9" w:rsidR="0096524F" w:rsidRPr="0096524F" w:rsidRDefault="00A60ADB" w:rsidP="0096524F">
      <w:pPr>
        <w:pStyle w:val="BNormal"/>
      </w:pPr>
      <w:r w:rsidRPr="0096524F">
        <w:t xml:space="preserve">In an early FTDA case, </w:t>
      </w:r>
      <w:r w:rsidR="0096524F" w:rsidRPr="0096524F">
        <w:rPr>
          <w:i/>
        </w:rPr>
        <w:t>Wawa,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Haaf</w:t>
      </w:r>
      <w:r w:rsidRPr="0096524F">
        <w:t>,</w:t>
      </w:r>
      <w:r w:rsidR="0096524F" w:rsidRPr="0096524F">
        <w:rPr>
          <w:vertAlign w:val="superscript"/>
        </w:rPr>
        <w:footnoteReference w:id="897"/>
      </w:r>
      <w:r w:rsidRPr="0096524F">
        <w:t xml:space="preserve"> the court credited a survey indicating that 29 percent of the respondents associated the defendant’s Haha market with Wawa.</w:t>
      </w:r>
      <w:r w:rsidR="0096524F" w:rsidRPr="0096524F">
        <w:rPr>
          <w:vertAlign w:val="superscript"/>
        </w:rPr>
        <w:footnoteReference w:id="898"/>
      </w:r>
      <w:r w:rsidRPr="0096524F">
        <w:t xml:space="preserve"> The </w:t>
      </w:r>
      <w:r w:rsidR="0096524F" w:rsidRPr="0096524F">
        <w:rPr>
          <w:i/>
        </w:rPr>
        <w:t>Wawa</w:t>
      </w:r>
      <w:r w:rsidRPr="0096524F">
        <w:t xml:space="preserve"> survey appears to have been an “association” survey, where respondents were shown a picture of a Haha market and asked whether they associated it with anything else.</w:t>
      </w:r>
      <w:r w:rsidR="0096524F" w:rsidRPr="0096524F">
        <w:rPr>
          <w:vertAlign w:val="superscript"/>
        </w:rPr>
        <w:footnoteReference w:id="899"/>
      </w:r>
      <w:r w:rsidRPr="0096524F">
        <w:t xml:space="preserve"> Apparently, the court believed that such association was sufficient to show dilution</w:t>
      </w:r>
      <w:r w:rsidR="0096524F" w:rsidRPr="0096524F">
        <w:t>.</w:t>
      </w:r>
      <w:r w:rsidR="0096524F" w:rsidRPr="0096524F">
        <w:t xml:space="preserve"> </w:t>
      </w:r>
      <w:r w:rsidR="0096524F" w:rsidRPr="0096524F">
        <w:t>I</w:t>
      </w:r>
      <w:r w:rsidRPr="0096524F">
        <w:t>n another case, a survey that found a 14 percent association was held to be insufficient to demonstrate dilution.</w:t>
      </w:r>
      <w:r w:rsidR="0096524F" w:rsidRPr="0096524F">
        <w:rPr>
          <w:vertAlign w:val="superscript"/>
        </w:rPr>
        <w:footnoteReference w:id="900"/>
      </w:r>
      <w:r w:rsidRPr="0096524F">
        <w:t xml:space="preserve"> That same court stated that dilution claims should require a greater showing of association than confusion claims because dilution does not require a showing of confusion.</w:t>
      </w:r>
      <w:r w:rsidR="0096524F" w:rsidRPr="0096524F">
        <w:rPr>
          <w:vertAlign w:val="superscript"/>
        </w:rPr>
        <w:footnoteReference w:id="901"/>
      </w:r>
      <w:r w:rsidRPr="0096524F">
        <w:t xml:space="preserve"> In a post-TDRA case, a court cited a survey showing a 73 percent rate of association in support of a finding of dilution.</w:t>
      </w:r>
      <w:r w:rsidR="0096524F" w:rsidRPr="0096524F">
        <w:rPr>
          <w:vertAlign w:val="superscript"/>
        </w:rPr>
        <w:footnoteReference w:id="902"/>
      </w:r>
    </w:p>
    <w:p w14:paraId="12982AF5" w14:textId="59302577" w:rsidR="0096524F" w:rsidRPr="0096524F" w:rsidRDefault="0096524F" w:rsidP="0096524F">
      <w:pPr>
        <w:pStyle w:val="BNormal"/>
      </w:pPr>
      <w:r w:rsidRPr="0096524F">
        <w:rPr>
          <w:i/>
        </w:rPr>
        <w:t>Kellogg Co</w:t>
      </w:r>
      <w:r w:rsidRPr="0096524F">
        <w:t>.</w:t>
      </w:r>
      <w:r w:rsidRPr="0096524F">
        <w:t xml:space="preserve"> </w:t>
      </w:r>
      <w:r w:rsidRPr="0096524F">
        <w:rPr>
          <w:i/>
        </w:rPr>
        <w:t>v</w:t>
      </w:r>
      <w:r w:rsidRPr="0096524F">
        <w:t>.</w:t>
      </w:r>
      <w:r w:rsidRPr="0096524F">
        <w:t xml:space="preserve"> </w:t>
      </w:r>
      <w:r w:rsidRPr="0096524F">
        <w:rPr>
          <w:i/>
        </w:rPr>
        <w:t>Exxon Mobil Corp</w:t>
      </w:r>
      <w:r w:rsidR="00A60ADB" w:rsidRPr="0096524F">
        <w:t>.</w:t>
      </w:r>
      <w:r w:rsidRPr="0096524F">
        <w:rPr>
          <w:vertAlign w:val="superscript"/>
        </w:rPr>
        <w:footnoteReference w:id="903"/>
      </w:r>
      <w:r w:rsidR="00A60ADB" w:rsidRPr="0096524F">
        <w:t xml:space="preserve"> presented an unusual situation in which a survey was offered</w:t>
      </w:r>
      <w:r w:rsidRPr="0096524F">
        <w:t>.</w:t>
      </w:r>
      <w:r w:rsidRPr="0096524F">
        <w:t xml:space="preserve"> </w:t>
      </w:r>
      <w:r w:rsidRPr="0096524F">
        <w:t>K</w:t>
      </w:r>
      <w:r w:rsidR="00A60ADB" w:rsidRPr="0096524F">
        <w:t>ellogg, owner of the Tony the Tiger mark, sued Exxon, claiming that Exxon’s use of a cartoon tiger to promote its products diluted the Tony the Tiger mark</w:t>
      </w:r>
      <w:r w:rsidRPr="0096524F">
        <w:t>.</w:t>
      </w:r>
      <w:r w:rsidRPr="0096524F">
        <w:t xml:space="preserve"> </w:t>
      </w:r>
      <w:r w:rsidRPr="0096524F">
        <w:t>I</w:t>
      </w:r>
      <w:r w:rsidR="00A60ADB" w:rsidRPr="0096524F">
        <w:t>n the course of the litigation, Kellogg abandoned its claim against Exxon’s use of the tiger in connection with petroleum products, and chose to focus on Exxon’s use of the cartoon tiger in connection with sales of food and beverage items at convenience stores associated with service stations.</w:t>
      </w:r>
      <w:r w:rsidRPr="0096524F">
        <w:rPr>
          <w:vertAlign w:val="superscript"/>
        </w:rPr>
        <w:footnoteReference w:id="904"/>
      </w:r>
      <w:r w:rsidR="00A60ADB" w:rsidRPr="0096524F">
        <w:t xml:space="preserve"> In opposition to Exxon’s summary judgment motion on its dilution claims, Kellogg submitted a survey in which customers were shown two beverage containers with Exxon’s cartoon tiger and an Exxon gasoline advertisement</w:t>
      </w:r>
      <w:r w:rsidRPr="0096524F">
        <w:t>.</w:t>
      </w:r>
      <w:r w:rsidRPr="0096524F">
        <w:t xml:space="preserve"> </w:t>
      </w:r>
      <w:r w:rsidRPr="0096524F">
        <w:t>T</w:t>
      </w:r>
      <w:r w:rsidR="00A60ADB" w:rsidRPr="0096524F">
        <w:t>he customers were asked what company or brand came to mind, and then what other companies or brands came to mind.</w:t>
      </w:r>
      <w:r w:rsidRPr="0096524F">
        <w:rPr>
          <w:vertAlign w:val="superscript"/>
        </w:rPr>
        <w:footnoteReference w:id="905"/>
      </w:r>
      <w:r w:rsidR="00A60ADB" w:rsidRPr="0096524F">
        <w:t xml:space="preserve"> Almost 70 percent of the respondents mentioned Kellogg as a company that they associated with the containers and/or the advertisement.</w:t>
      </w:r>
      <w:r w:rsidRPr="0096524F">
        <w:rPr>
          <w:vertAlign w:val="superscript"/>
        </w:rPr>
        <w:footnoteReference w:id="906"/>
      </w:r>
      <w:r w:rsidR="00A60ADB" w:rsidRPr="0096524F">
        <w:t xml:space="preserve"> Exxon, however, pointed out that essentially the same percentage of people thought of Kellogg when shown Exxon’s gasoline advertisements as thought of Kellogg when shown the beverage containers,</w:t>
      </w:r>
      <w:r w:rsidRPr="0096524F">
        <w:rPr>
          <w:vertAlign w:val="superscript"/>
        </w:rPr>
        <w:footnoteReference w:id="907"/>
      </w:r>
      <w:r w:rsidR="00A60ADB" w:rsidRPr="0096524F">
        <w:t xml:space="preserve"> and that it was unclear </w:t>
      </w:r>
      <w:r w:rsidR="00A60ADB" w:rsidRPr="0096524F">
        <w:lastRenderedPageBreak/>
        <w:t>whether any dilution was caused by the use on beverages as opposed to the gasoline advertisements.</w:t>
      </w:r>
      <w:r w:rsidRPr="0096524F">
        <w:rPr>
          <w:vertAlign w:val="superscript"/>
        </w:rPr>
        <w:footnoteReference w:id="908"/>
      </w:r>
      <w:r w:rsidR="00A60ADB" w:rsidRPr="0096524F">
        <w:t xml:space="preserve"> Ultimately, the court found that Kellogg raised an issue of fact by its assertion that the Exxon cartoon tiger was used “‘primarily, if not exclusively</w:t>
      </w:r>
      <w:r w:rsidRPr="0096524F">
        <w:t xml:space="preserve"> </w:t>
      </w:r>
      <w:r w:rsidR="00A60ADB" w:rsidRPr="0096524F">
        <w:t>…</w:t>
      </w:r>
      <w:r w:rsidRPr="0096524F">
        <w:t xml:space="preserve"> </w:t>
      </w:r>
      <w:r w:rsidR="00A60ADB" w:rsidRPr="0096524F">
        <w:t>to promote foods, beverages, and convenience stores—not gasoline.’”</w:t>
      </w:r>
      <w:r w:rsidRPr="0096524F">
        <w:rPr>
          <w:vertAlign w:val="superscript"/>
        </w:rPr>
        <w:footnoteReference w:id="909"/>
      </w:r>
      <w:r w:rsidR="00A60ADB" w:rsidRPr="0096524F">
        <w:t xml:space="preserve"> However, the court noted that this survey went only to the issue of blurring, not </w:t>
      </w:r>
      <w:proofErr w:type="spellStart"/>
      <w:r w:rsidR="00A60ADB" w:rsidRPr="0096524F">
        <w:t>tarnishment</w:t>
      </w:r>
      <w:proofErr w:type="spellEnd"/>
      <w:r w:rsidR="00A60ADB" w:rsidRPr="0096524F">
        <w:t>, which was also part of Kellogg’s suit.</w:t>
      </w:r>
      <w:r w:rsidRPr="0096524F">
        <w:rPr>
          <w:vertAlign w:val="superscript"/>
        </w:rPr>
        <w:footnoteReference w:id="910"/>
      </w:r>
    </w:p>
    <w:p w14:paraId="1B4EF992" w14:textId="6056F212" w:rsidR="0096524F" w:rsidRPr="0096524F" w:rsidRDefault="00A60ADB" w:rsidP="0096524F">
      <w:pPr>
        <w:pStyle w:val="BNormal"/>
      </w:pPr>
      <w:r w:rsidRPr="0096524F">
        <w:t>In a few other cases, the courts rejected surveys designed to demonstrate dilution.</w:t>
      </w:r>
      <w:r w:rsidR="0096524F" w:rsidRPr="0096524F">
        <w:rPr>
          <w:vertAlign w:val="superscript"/>
        </w:rPr>
        <w:footnoteReference w:id="911"/>
      </w:r>
      <w:r w:rsidRPr="0096524F">
        <w:t xml:space="preserve"> The first was </w:t>
      </w:r>
      <w:r w:rsidR="0096524F" w:rsidRPr="0096524F">
        <w:rPr>
          <w:i/>
        </w:rPr>
        <w:t>Ringling Bros</w:t>
      </w:r>
      <w:r w:rsidRPr="0096524F">
        <w:t>.</w:t>
      </w:r>
      <w:r w:rsidR="0096524F" w:rsidRPr="0096524F">
        <w:rPr>
          <w:i/>
        </w:rPr>
        <w:t>-Barnum &amp; Bailey Combined Shows,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Utah Division of Travel Development</w:t>
      </w:r>
      <w:r w:rsidRPr="0096524F">
        <w:t>,</w:t>
      </w:r>
      <w:r w:rsidR="0096524F" w:rsidRPr="0096524F">
        <w:rPr>
          <w:vertAlign w:val="superscript"/>
        </w:rPr>
        <w:footnoteReference w:id="912"/>
      </w:r>
      <w:r w:rsidRPr="0096524F">
        <w:t xml:space="preserve"> where the plaintiff complained of the defendant’s use of the phrase Greatest Snow on Earth in tourism advertisements</w:t>
      </w:r>
      <w:r w:rsidR="0096524F" w:rsidRPr="0096524F">
        <w:t>.</w:t>
      </w:r>
      <w:r w:rsidR="0096524F" w:rsidRPr="0096524F">
        <w:t xml:space="preserve"> </w:t>
      </w:r>
      <w:r w:rsidR="0096524F" w:rsidRPr="0096524F">
        <w:t>T</w:t>
      </w:r>
      <w:r w:rsidRPr="0096524F">
        <w:t>he plaintiff introduced a nationwide survey in which respondents were asked to fill in the following</w:t>
      </w:r>
      <w:r w:rsidR="0096524F" w:rsidRPr="0096524F">
        <w:t>:</w:t>
      </w:r>
      <w:r w:rsidR="0096524F" w:rsidRPr="0096524F">
        <w:t xml:space="preserve"> </w:t>
      </w:r>
      <w:r w:rsidR="0096524F" w:rsidRPr="0096524F">
        <w:t>“</w:t>
      </w:r>
      <w:r w:rsidRPr="0096524F">
        <w:t>The Greatest ____ on Earth.”</w:t>
      </w:r>
      <w:r w:rsidR="0096524F" w:rsidRPr="0096524F">
        <w:rPr>
          <w:vertAlign w:val="superscript"/>
        </w:rPr>
        <w:footnoteReference w:id="913"/>
      </w:r>
      <w:r w:rsidRPr="0096524F">
        <w:t xml:space="preserve"> The results showed that a total of 46 percent of </w:t>
      </w:r>
      <w:r w:rsidR="0096524F" w:rsidRPr="0096524F">
        <w:rPr>
          <w:i/>
        </w:rPr>
        <w:t>Utah</w:t>
      </w:r>
      <w:r w:rsidRPr="0096524F">
        <w:t xml:space="preserve"> respondents completed the blank with “Show”</w:t>
      </w:r>
      <w:r w:rsidR="0096524F" w:rsidRPr="0096524F">
        <w:t>:</w:t>
      </w:r>
      <w:r w:rsidR="0096524F" w:rsidRPr="0096524F">
        <w:t xml:space="preserve"> </w:t>
      </w:r>
      <w:r w:rsidR="0096524F" w:rsidRPr="0096524F">
        <w:t>2</w:t>
      </w:r>
      <w:r w:rsidRPr="0096524F">
        <w:t xml:space="preserve">5 percent filled it in with the word “Show,” and another 21 percent filled it in with “Show” </w:t>
      </w:r>
      <w:r w:rsidR="0096524F" w:rsidRPr="0096524F">
        <w:rPr>
          <w:i/>
        </w:rPr>
        <w:t>and</w:t>
      </w:r>
      <w:r w:rsidRPr="0096524F">
        <w:t xml:space="preserve"> with “Snow.”</w:t>
      </w:r>
      <w:r w:rsidR="0096524F" w:rsidRPr="0096524F">
        <w:rPr>
          <w:vertAlign w:val="superscript"/>
        </w:rPr>
        <w:footnoteReference w:id="914"/>
      </w:r>
      <w:r w:rsidRPr="0096524F">
        <w:t xml:space="preserve"> An additional 24 percent of the respondents filled in the blank only with the word “Snow.”</w:t>
      </w:r>
      <w:r w:rsidR="0096524F" w:rsidRPr="0096524F">
        <w:rPr>
          <w:vertAlign w:val="superscript"/>
        </w:rPr>
        <w:footnoteReference w:id="915"/>
      </w:r>
      <w:r w:rsidRPr="0096524F">
        <w:t xml:space="preserve"> By comparison, 41 percent of non-Utah residents surveyed filled in the blank with “Show,” and virtually none filled it in with “Snow.”</w:t>
      </w:r>
      <w:r w:rsidR="0096524F" w:rsidRPr="0096524F">
        <w:rPr>
          <w:vertAlign w:val="superscript"/>
        </w:rPr>
        <w:footnoteReference w:id="916"/>
      </w:r>
    </w:p>
    <w:p w14:paraId="1F08D86B" w14:textId="240F3B0A" w:rsidR="0096524F" w:rsidRPr="0096524F" w:rsidRDefault="00A60ADB" w:rsidP="0096524F">
      <w:pPr>
        <w:pStyle w:val="BNormal"/>
      </w:pPr>
      <w:r w:rsidRPr="0096524F">
        <w:t>The court found these results inadequate to show dilution by blurring</w:t>
      </w:r>
      <w:r w:rsidR="0096524F" w:rsidRPr="0096524F">
        <w:t>.</w:t>
      </w:r>
      <w:r w:rsidR="0096524F" w:rsidRPr="0096524F">
        <w:t xml:space="preserve"> </w:t>
      </w:r>
      <w:r w:rsidR="0096524F" w:rsidRPr="0096524F">
        <w:t>P</w:t>
      </w:r>
      <w:r w:rsidRPr="0096524F">
        <w:t>rimarily, the court’s rejection focused on two factors</w:t>
      </w:r>
      <w:r w:rsidR="0096524F" w:rsidRPr="0096524F">
        <w:t>.</w:t>
      </w:r>
      <w:r w:rsidR="0096524F" w:rsidRPr="0096524F">
        <w:t xml:space="preserve"> </w:t>
      </w:r>
      <w:r w:rsidR="0096524F" w:rsidRPr="0096524F">
        <w:t>F</w:t>
      </w:r>
      <w:r w:rsidRPr="0096524F">
        <w:t>irst, the survey question did not test respondents’ reaction to the actual mark used by the plaintiff, but to a portion of the mark.</w:t>
      </w:r>
      <w:r w:rsidR="0096524F" w:rsidRPr="0096524F">
        <w:rPr>
          <w:vertAlign w:val="superscript"/>
        </w:rPr>
        <w:footnoteReference w:id="917"/>
      </w:r>
      <w:r w:rsidRPr="0096524F">
        <w:t xml:space="preserve"> Second, the court pointed out that the respondents who filled in the blank with “Snow” almost invariably associated it with Utah, and those who filled in with “Show” almost invariably associated it with Ringling</w:t>
      </w:r>
      <w:r w:rsidR="0096524F" w:rsidRPr="0096524F">
        <w:t>.</w:t>
      </w:r>
      <w:r w:rsidR="0096524F" w:rsidRPr="0096524F">
        <w:t xml:space="preserve"> </w:t>
      </w:r>
      <w:r w:rsidR="0096524F" w:rsidRPr="0096524F">
        <w:t>T</w:t>
      </w:r>
      <w:r w:rsidRPr="0096524F">
        <w:t>hose filling in both responses correctly separated the two sources, associating “Snow” with Utah and “Show” with Ringling.</w:t>
      </w:r>
      <w:r w:rsidR="0096524F" w:rsidRPr="0096524F">
        <w:rPr>
          <w:vertAlign w:val="superscript"/>
        </w:rPr>
        <w:footnoteReference w:id="918"/>
      </w:r>
      <w:r w:rsidRPr="0096524F">
        <w:t xml:space="preserve"> Thus, the court found no evidence that Utah’s phrase had done any harm to the source-identifying capacity of Ringling’s mark.</w:t>
      </w:r>
      <w:r w:rsidR="0096524F" w:rsidRPr="0096524F">
        <w:rPr>
          <w:vertAlign w:val="superscript"/>
        </w:rPr>
        <w:footnoteReference w:id="919"/>
      </w:r>
      <w:r w:rsidRPr="0096524F">
        <w:t xml:space="preserve"> In contrast to the </w:t>
      </w:r>
      <w:r w:rsidR="0096524F" w:rsidRPr="0096524F">
        <w:rPr>
          <w:i/>
        </w:rPr>
        <w:t>Wawa</w:t>
      </w:r>
      <w:r w:rsidRPr="0096524F">
        <w:t xml:space="preserve"> court, the </w:t>
      </w:r>
      <w:r w:rsidR="0096524F" w:rsidRPr="0096524F">
        <w:rPr>
          <w:i/>
        </w:rPr>
        <w:t>Ringling</w:t>
      </w:r>
      <w:r w:rsidRPr="0096524F">
        <w:t xml:space="preserve"> court was skeptical that a demonstration that the “incomplete” phrase called to mind a second source was evidence of dilution.</w:t>
      </w:r>
      <w:r w:rsidR="0096524F" w:rsidRPr="0096524F">
        <w:rPr>
          <w:vertAlign w:val="superscript"/>
        </w:rPr>
        <w:footnoteReference w:id="920"/>
      </w:r>
      <w:r w:rsidRPr="0096524F">
        <w:t xml:space="preserve"> Indeed, the Supreme Court later cited this survey in support of its assertion that association alone does not necessarily demonstrate dilution.</w:t>
      </w:r>
      <w:r w:rsidR="0096524F" w:rsidRPr="0096524F">
        <w:rPr>
          <w:vertAlign w:val="superscript"/>
        </w:rPr>
        <w:footnoteReference w:id="921"/>
      </w:r>
    </w:p>
    <w:p w14:paraId="4AA494E9" w14:textId="7758A8C7" w:rsidR="0096524F" w:rsidRPr="0096524F" w:rsidRDefault="00A60ADB" w:rsidP="0096524F">
      <w:pPr>
        <w:pStyle w:val="BNormal"/>
      </w:pPr>
      <w:r w:rsidRPr="0096524F">
        <w:lastRenderedPageBreak/>
        <w:t>In a post-</w:t>
      </w:r>
      <w:r w:rsidR="0096524F" w:rsidRPr="0096524F">
        <w:rPr>
          <w:i/>
        </w:rPr>
        <w:t>Moseley</w:t>
      </w:r>
      <w:r w:rsidRPr="0096524F">
        <w:t>, pre-TDRA decision, the Fourth Circuit rejected a survey purporting to demonstrate confusion on the grounds that confusion does not demonstrate dilution as defined by the FTDA.</w:t>
      </w:r>
      <w:r w:rsidR="0096524F" w:rsidRPr="0096524F">
        <w:rPr>
          <w:vertAlign w:val="superscript"/>
        </w:rPr>
        <w:footnoteReference w:id="922"/>
      </w:r>
      <w:r w:rsidRPr="0096524F">
        <w:t xml:space="preserve"> A district court in New York, post-TDRA, also rejected a survey that showed confusion on the grounds that it did not measure blurring.</w:t>
      </w:r>
      <w:r w:rsidR="0096524F" w:rsidRPr="0096524F">
        <w:rPr>
          <w:vertAlign w:val="superscript"/>
        </w:rPr>
        <w:footnoteReference w:id="923"/>
      </w:r>
      <w:r w:rsidRPr="0096524F">
        <w:t xml:space="preserve"> Another district court also found evidence of possible confusion insufficient to show actual dilution, finding no diminution of the mark’s source-identifying power.</w:t>
      </w:r>
      <w:r w:rsidR="0096524F" w:rsidRPr="0096524F">
        <w:rPr>
          <w:vertAlign w:val="superscript"/>
        </w:rPr>
        <w:footnoteReference w:id="924"/>
      </w:r>
    </w:p>
    <w:p w14:paraId="1C5B3FB8" w14:textId="4965CD6E" w:rsidR="0096524F" w:rsidRPr="0096524F" w:rsidRDefault="00A60ADB" w:rsidP="0096524F">
      <w:pPr>
        <w:pStyle w:val="BNormal"/>
      </w:pPr>
      <w:r w:rsidRPr="0096524F">
        <w:t xml:space="preserve">Another dilution survey was rejected in </w:t>
      </w:r>
      <w:r w:rsidR="0096524F" w:rsidRPr="0096524F">
        <w:rPr>
          <w:i/>
        </w:rPr>
        <w:t>Hershey Foods Corp</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Mars, Inc</w:t>
      </w:r>
      <w:r w:rsidRPr="0096524F">
        <w:t>.</w:t>
      </w:r>
      <w:r w:rsidR="0096524F" w:rsidRPr="0096524F">
        <w:rPr>
          <w:vertAlign w:val="superscript"/>
        </w:rPr>
        <w:footnoteReference w:id="925"/>
      </w:r>
      <w:r w:rsidRPr="0096524F">
        <w:t xml:space="preserve"> The survey in this case attempted to show that the plaintiff’s trade dress (packaging) was diluted by the defendant’s trade dress (packaging)</w:t>
      </w:r>
      <w:r w:rsidR="0096524F" w:rsidRPr="0096524F">
        <w:t>.</w:t>
      </w:r>
      <w:r w:rsidR="0096524F" w:rsidRPr="0096524F">
        <w:t xml:space="preserve"> </w:t>
      </w:r>
      <w:r w:rsidR="0096524F" w:rsidRPr="0096524F">
        <w:t>T</w:t>
      </w:r>
      <w:r w:rsidRPr="0096524F">
        <w:t>he plaintiff’s expert surveyed only people who purchased certain chocolate and/or peanut butter candy.</w:t>
      </w:r>
      <w:r w:rsidR="0096524F" w:rsidRPr="0096524F">
        <w:rPr>
          <w:vertAlign w:val="superscript"/>
        </w:rPr>
        <w:footnoteReference w:id="926"/>
      </w:r>
      <w:r w:rsidRPr="0096524F">
        <w:t xml:space="preserve"> It was a controlled survey, using representations of various candies as controls.</w:t>
      </w:r>
      <w:r w:rsidR="0096524F" w:rsidRPr="0096524F">
        <w:rPr>
          <w:vertAlign w:val="superscript"/>
        </w:rPr>
        <w:footnoteReference w:id="927"/>
      </w:r>
      <w:r w:rsidRPr="0096524F">
        <w:t xml:space="preserve"> Although the court held that the plaintiff’s trade dress was not famous, it proceeded to analyze the elements of dilution.</w:t>
      </w:r>
      <w:r w:rsidR="0096524F" w:rsidRPr="0096524F">
        <w:rPr>
          <w:vertAlign w:val="superscript"/>
        </w:rPr>
        <w:footnoteReference w:id="928"/>
      </w:r>
      <w:r w:rsidRPr="0096524F">
        <w:t xml:space="preserve"> The survey tested responses to representations of the trade dress of various peanut-related candies.</w:t>
      </w:r>
      <w:r w:rsidR="0096524F" w:rsidRPr="0096524F">
        <w:rPr>
          <w:vertAlign w:val="superscript"/>
        </w:rPr>
        <w:footnoteReference w:id="929"/>
      </w:r>
      <w:r w:rsidRPr="0096524F">
        <w:t xml:space="preserve"> It did not use the actual packaging of the candies</w:t>
      </w:r>
      <w:r w:rsidR="0096524F" w:rsidRPr="0096524F">
        <w:t>.</w:t>
      </w:r>
      <w:r w:rsidR="0096524F" w:rsidRPr="0096524F">
        <w:t xml:space="preserve"> </w:t>
      </w:r>
      <w:r w:rsidR="0096524F" w:rsidRPr="0096524F">
        <w:t>I</w:t>
      </w:r>
      <w:r w:rsidRPr="0096524F">
        <w:t>nstead, it used recreations of the major design elements of the packages, with brand names and logos eliminated.</w:t>
      </w:r>
      <w:r w:rsidR="0096524F" w:rsidRPr="0096524F">
        <w:rPr>
          <w:vertAlign w:val="superscript"/>
        </w:rPr>
        <w:footnoteReference w:id="930"/>
      </w:r>
      <w:r w:rsidRPr="0096524F">
        <w:t xml:space="preserve"> The survey asked respondents if they knew who made the product represented by the packaging</w:t>
      </w:r>
      <w:r w:rsidR="0096524F" w:rsidRPr="0096524F">
        <w:t>.</w:t>
      </w:r>
      <w:r w:rsidR="0096524F" w:rsidRPr="0096524F">
        <w:t xml:space="preserve"> </w:t>
      </w:r>
      <w:r w:rsidR="0096524F" w:rsidRPr="0096524F">
        <w:t>I</w:t>
      </w:r>
      <w:r w:rsidRPr="0096524F">
        <w:t>t showed that over half of the respondents mistakenly identified the M&amp;Ms representation as coming from Reese’s, with many of the respondents citing the color used in the representation as the reason for the mistake.</w:t>
      </w:r>
      <w:r w:rsidR="0096524F" w:rsidRPr="0096524F">
        <w:rPr>
          <w:vertAlign w:val="superscript"/>
        </w:rPr>
        <w:footnoteReference w:id="931"/>
      </w:r>
      <w:r w:rsidRPr="0096524F">
        <w:t xml:space="preserve"> The court rejected two challenges to this survey, but accepted a third challenge</w:t>
      </w:r>
      <w:r w:rsidR="0096524F" w:rsidRPr="0096524F">
        <w:t>.</w:t>
      </w:r>
      <w:r w:rsidR="0096524F" w:rsidRPr="0096524F">
        <w:t xml:space="preserve"> </w:t>
      </w:r>
      <w:r w:rsidR="0096524F" w:rsidRPr="0096524F">
        <w:t>I</w:t>
      </w:r>
      <w:r w:rsidRPr="0096524F">
        <w:t xml:space="preserve">t rejected the contention that the survey should have used </w:t>
      </w:r>
      <w:r w:rsidR="0096524F" w:rsidRPr="0096524F">
        <w:rPr>
          <w:i/>
        </w:rPr>
        <w:t>actual</w:t>
      </w:r>
      <w:r w:rsidRPr="0096524F">
        <w:t xml:space="preserve"> packaging.</w:t>
      </w:r>
      <w:r w:rsidR="0096524F" w:rsidRPr="0096524F">
        <w:rPr>
          <w:vertAlign w:val="superscript"/>
        </w:rPr>
        <w:footnoteReference w:id="932"/>
      </w:r>
      <w:r w:rsidRPr="0096524F">
        <w:t xml:space="preserve"> The court found that trade dress can consist of elements that do not include an entire packaging scheme</w:t>
      </w:r>
      <w:r w:rsidR="0096524F" w:rsidRPr="0096524F">
        <w:t>.</w:t>
      </w:r>
      <w:r w:rsidR="0096524F" w:rsidRPr="0096524F">
        <w:t xml:space="preserve"> </w:t>
      </w:r>
      <w:r w:rsidR="0096524F" w:rsidRPr="0096524F">
        <w:t>A</w:t>
      </w:r>
      <w:r w:rsidRPr="0096524F">
        <w:t xml:space="preserve"> survey that properly tests this could be accepted.</w:t>
      </w:r>
      <w:r w:rsidR="0096524F" w:rsidRPr="0096524F">
        <w:rPr>
          <w:vertAlign w:val="superscript"/>
        </w:rPr>
        <w:footnoteReference w:id="933"/>
      </w:r>
      <w:r w:rsidRPr="0096524F">
        <w:t xml:space="preserve"> The court also rejected an argument that the plaintiff’s survey was designed to show confusion, not dilution</w:t>
      </w:r>
      <w:r w:rsidR="0096524F" w:rsidRPr="0096524F">
        <w:t>.</w:t>
      </w:r>
      <w:r w:rsidR="0096524F" w:rsidRPr="0096524F">
        <w:t xml:space="preserve"> </w:t>
      </w:r>
      <w:r w:rsidR="0096524F" w:rsidRPr="0096524F">
        <w:t>A</w:t>
      </w:r>
      <w:r w:rsidRPr="0096524F">
        <w:t>lthough it appears that the survey design was directed at confusion, the court believed that it could also measure dilution, because respondents were permitted to answer that they did not know whose packaging was being represented.</w:t>
      </w:r>
      <w:r w:rsidR="0096524F" w:rsidRPr="0096524F">
        <w:rPr>
          <w:vertAlign w:val="superscript"/>
        </w:rPr>
        <w:footnoteReference w:id="934"/>
      </w:r>
      <w:r w:rsidRPr="0096524F">
        <w:t xml:space="preserve"> However, the court accepted the defendant’s third objection, that the survey did not show all of the elements of M&amp;M’s trade dress to respondents.</w:t>
      </w:r>
      <w:r w:rsidR="0096524F" w:rsidRPr="0096524F">
        <w:rPr>
          <w:vertAlign w:val="superscript"/>
        </w:rPr>
        <w:footnoteReference w:id="935"/>
      </w:r>
      <w:r w:rsidRPr="0096524F">
        <w:t xml:space="preserve"> The court pointed out that the M&amp;M logo in the actual packaging used a different type style and was located in a different place in the representation than on the actual package</w:t>
      </w:r>
      <w:r w:rsidR="0096524F" w:rsidRPr="0096524F">
        <w:t>.</w:t>
      </w:r>
      <w:r w:rsidR="0096524F" w:rsidRPr="0096524F">
        <w:t xml:space="preserve"> </w:t>
      </w:r>
      <w:r w:rsidR="0096524F" w:rsidRPr="0096524F">
        <w:t>M</w:t>
      </w:r>
      <w:r w:rsidRPr="0096524F">
        <w:t xml:space="preserve">oreover, some of the control pictures retained various design elements whose equivalents were </w:t>
      </w:r>
      <w:r w:rsidRPr="0096524F">
        <w:lastRenderedPageBreak/>
        <w:t>eliminated from the M&amp;M package representation.</w:t>
      </w:r>
      <w:r w:rsidR="0096524F" w:rsidRPr="0096524F">
        <w:rPr>
          <w:vertAlign w:val="superscript"/>
        </w:rPr>
        <w:footnoteReference w:id="936"/>
      </w:r>
      <w:r w:rsidRPr="0096524F">
        <w:t xml:space="preserve"> Thus, the court concluded that respondents may have been misled and discounted the survey.</w:t>
      </w:r>
      <w:r w:rsidR="0096524F" w:rsidRPr="0096524F">
        <w:rPr>
          <w:vertAlign w:val="superscript"/>
        </w:rPr>
        <w:footnoteReference w:id="937"/>
      </w:r>
    </w:p>
    <w:p w14:paraId="184E1D8C" w14:textId="4B5E3117" w:rsidR="0096524F" w:rsidRPr="0096524F" w:rsidRDefault="00A60ADB" w:rsidP="0096524F">
      <w:pPr>
        <w:pStyle w:val="BNormal"/>
      </w:pPr>
      <w:r w:rsidRPr="0096524F">
        <w:t xml:space="preserve">And, in </w:t>
      </w:r>
      <w:r w:rsidR="0096524F" w:rsidRPr="0096524F">
        <w:rPr>
          <w:i/>
        </w:rPr>
        <w:t>National Football League Properties,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Prostyle, Inc</w:t>
      </w:r>
      <w:r w:rsidRPr="0096524F">
        <w:t>.,</w:t>
      </w:r>
      <w:r w:rsidR="0096524F" w:rsidRPr="0096524F">
        <w:rPr>
          <w:vertAlign w:val="superscript"/>
        </w:rPr>
        <w:footnoteReference w:id="938"/>
      </w:r>
      <w:r w:rsidRPr="0096524F">
        <w:t xml:space="preserve"> the court also found survey evidence wanting</w:t>
      </w:r>
      <w:r w:rsidR="0096524F" w:rsidRPr="0096524F">
        <w:t>.</w:t>
      </w:r>
      <w:r w:rsidR="0096524F" w:rsidRPr="0096524F">
        <w:t xml:space="preserve"> </w:t>
      </w:r>
      <w:r w:rsidR="0096524F" w:rsidRPr="0096524F">
        <w:t>T</w:t>
      </w:r>
      <w:r w:rsidRPr="0096524F">
        <w:t>his case involved the sale of unauthorized Green Bay Packers shirts</w:t>
      </w:r>
      <w:r w:rsidR="0096524F" w:rsidRPr="0096524F">
        <w:t>.</w:t>
      </w:r>
      <w:r w:rsidR="0096524F" w:rsidRPr="0096524F">
        <w:t xml:space="preserve"> </w:t>
      </w:r>
      <w:r w:rsidR="0096524F" w:rsidRPr="0096524F">
        <w:t>A</w:t>
      </w:r>
      <w:r w:rsidRPr="0096524F">
        <w:t>fter the court rejected the plaintiff’s expert’s survey as flawed, he did a second survey to show dilution</w:t>
      </w:r>
      <w:r w:rsidR="0096524F" w:rsidRPr="0096524F">
        <w:t>.</w:t>
      </w:r>
      <w:r w:rsidR="0096524F" w:rsidRPr="0096524F">
        <w:t xml:space="preserve"> </w:t>
      </w:r>
      <w:r w:rsidR="0096524F" w:rsidRPr="0096524F">
        <w:t>T</w:t>
      </w:r>
      <w:r w:rsidRPr="0096524F">
        <w:t>he survey consisted of one question, asking respondents what they thought of when shown a T-shirt with green and gold colors and the words “Green Bay Football” or “Green Bay P.”</w:t>
      </w:r>
      <w:r w:rsidR="0096524F" w:rsidRPr="0096524F">
        <w:rPr>
          <w:vertAlign w:val="superscript"/>
        </w:rPr>
        <w:footnoteReference w:id="939"/>
      </w:r>
      <w:r w:rsidRPr="0096524F">
        <w:t xml:space="preserve"> The court rejected the survey, citing the complete absence of controls.</w:t>
      </w:r>
      <w:r w:rsidR="0096524F" w:rsidRPr="0096524F">
        <w:rPr>
          <w:vertAlign w:val="superscript"/>
        </w:rPr>
        <w:footnoteReference w:id="940"/>
      </w:r>
    </w:p>
    <w:p w14:paraId="59D0B0F3" w14:textId="0A0F3A45" w:rsidR="0096524F" w:rsidRPr="0096524F" w:rsidRDefault="00A60ADB" w:rsidP="0096524F">
      <w:pPr>
        <w:pStyle w:val="BNormal"/>
      </w:pPr>
      <w:r w:rsidRPr="0096524F">
        <w:t>Although hardly a representative group of cases, these cases indicate some of the difficulties facing litigators using surveys</w:t>
      </w:r>
      <w:r w:rsidR="0096524F" w:rsidRPr="0096524F">
        <w:t>.</w:t>
      </w:r>
      <w:r w:rsidR="0096524F" w:rsidRPr="0096524F">
        <w:t xml:space="preserve"> </w:t>
      </w:r>
      <w:r w:rsidR="0096524F" w:rsidRPr="0096524F">
        <w:t>F</w:t>
      </w:r>
      <w:r w:rsidRPr="0096524F">
        <w:t>irst, one must be aware that the defendant will have experts who will examine the methodology carefully</w:t>
      </w:r>
      <w:r w:rsidR="0096524F" w:rsidRPr="0096524F">
        <w:t>.</w:t>
      </w:r>
      <w:r w:rsidR="0096524F" w:rsidRPr="0096524F">
        <w:t xml:space="preserve"> </w:t>
      </w:r>
      <w:r w:rsidR="0096524F" w:rsidRPr="0096524F">
        <w:t>S</w:t>
      </w:r>
      <w:r w:rsidRPr="0096524F">
        <w:t>econd, the difficulty courts have in defining dilution creates problems for survey design</w:t>
      </w:r>
      <w:r w:rsidR="0096524F" w:rsidRPr="0096524F">
        <w:t>.</w:t>
      </w:r>
      <w:r w:rsidR="0096524F" w:rsidRPr="0096524F">
        <w:t xml:space="preserve"> </w:t>
      </w:r>
      <w:r w:rsidR="0096524F" w:rsidRPr="0096524F">
        <w:t>I</w:t>
      </w:r>
      <w:r w:rsidRPr="0096524F">
        <w:t>t is hard to design a survey when the goal is not well stated.</w:t>
      </w:r>
      <w:r w:rsidR="0096524F" w:rsidRPr="0096524F">
        <w:rPr>
          <w:vertAlign w:val="superscript"/>
        </w:rPr>
        <w:footnoteReference w:id="941"/>
      </w:r>
      <w:r w:rsidRPr="0096524F">
        <w:t xml:space="preserve"> Third, proper controls are essential to an acceptable survey.</w:t>
      </w:r>
    </w:p>
    <w:p w14:paraId="31F8FEA9" w14:textId="08A84F6B" w:rsidR="0096524F" w:rsidRPr="0096524F" w:rsidRDefault="00A60ADB" w:rsidP="0096524F">
      <w:pPr>
        <w:pStyle w:val="BNormal"/>
      </w:pPr>
      <w:r w:rsidRPr="0096524F">
        <w:t>Even if an association survey is admissible, it may not be sufficient to demonstrate the connection between association and likely harm</w:t>
      </w:r>
      <w:r w:rsidR="0096524F" w:rsidRPr="0096524F">
        <w:t>.</w:t>
      </w:r>
      <w:r w:rsidR="0096524F" w:rsidRPr="0096524F">
        <w:t xml:space="preserve"> </w:t>
      </w:r>
      <w:r w:rsidR="0096524F" w:rsidRPr="0096524F">
        <w:t>I</w:t>
      </w:r>
      <w:r w:rsidRPr="0096524F">
        <w:t xml:space="preserve">n </w:t>
      </w:r>
      <w:r w:rsidR="0096524F" w:rsidRPr="0096524F">
        <w:rPr>
          <w:i/>
        </w:rPr>
        <w:t>Starbucks Corp</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Wolfe’s Borough Coffee, Inc</w:t>
      </w:r>
      <w:r w:rsidRPr="0096524F">
        <w:t>.,</w:t>
      </w:r>
      <w:r w:rsidR="0096524F" w:rsidRPr="0096524F">
        <w:rPr>
          <w:vertAlign w:val="superscript"/>
        </w:rPr>
        <w:footnoteReference w:id="942"/>
      </w:r>
      <w:r w:rsidRPr="0096524F">
        <w:t xml:space="preserve"> the court found a survey showing a 30.5 percent association between </w:t>
      </w:r>
      <w:proofErr w:type="spellStart"/>
      <w:r w:rsidRPr="0096524F">
        <w:t>Charbucks</w:t>
      </w:r>
      <w:proofErr w:type="spellEnd"/>
      <w:r w:rsidRPr="0096524F">
        <w:t xml:space="preserve"> and Starbucks to favor the plaintiff, but only “minimally.”</w:t>
      </w:r>
      <w:r w:rsidR="0096524F" w:rsidRPr="0096524F">
        <w:rPr>
          <w:vertAlign w:val="superscript"/>
        </w:rPr>
        <w:footnoteReference w:id="943"/>
      </w:r>
      <w:r w:rsidRPr="0096524F">
        <w:t xml:space="preserve"> The major problem with the survey, which was conducted by telephone, was that it did not appropriately account for the context in which defendant used the term “</w:t>
      </w:r>
      <w:proofErr w:type="spellStart"/>
      <w:r w:rsidRPr="0096524F">
        <w:t>Charbucks</w:t>
      </w:r>
      <w:proofErr w:type="spellEnd"/>
      <w:r w:rsidRPr="0096524F">
        <w:t xml:space="preserve">”—the survey did not include (and could not include) the visual context or the word “Mister” before </w:t>
      </w:r>
      <w:proofErr w:type="spellStart"/>
      <w:r w:rsidRPr="0096524F">
        <w:t>Charbucks</w:t>
      </w:r>
      <w:proofErr w:type="spellEnd"/>
      <w:r w:rsidRPr="0096524F">
        <w:t xml:space="preserve"> or “blend” after </w:t>
      </w:r>
      <w:proofErr w:type="spellStart"/>
      <w:r w:rsidRPr="0096524F">
        <w:t>Charbucks</w:t>
      </w:r>
      <w:proofErr w:type="spellEnd"/>
      <w:r w:rsidRPr="0096524F">
        <w:t>.</w:t>
      </w:r>
      <w:r w:rsidR="0096524F" w:rsidRPr="0096524F">
        <w:rPr>
          <w:vertAlign w:val="superscript"/>
        </w:rPr>
        <w:footnoteReference w:id="944"/>
      </w:r>
    </w:p>
    <w:p w14:paraId="3104405F" w14:textId="6DA0552E" w:rsidR="0096524F" w:rsidRPr="0096524F" w:rsidRDefault="00A60ADB" w:rsidP="0096524F">
      <w:pPr>
        <w:pStyle w:val="BNormal"/>
      </w:pPr>
      <w:r w:rsidRPr="0096524F">
        <w:t xml:space="preserve">Similarly, in </w:t>
      </w:r>
      <w:r w:rsidR="0096524F" w:rsidRPr="0096524F">
        <w:rPr>
          <w:rStyle w:val="BCasenamefull"/>
        </w:rPr>
        <w:t>Hershey Co. v. Promotion in Motion, Inc.</w:t>
      </w:r>
      <w:r w:rsidRPr="0096524F">
        <w:t>,</w:t>
      </w:r>
      <w:r w:rsidR="0096524F" w:rsidRPr="0096524F">
        <w:rPr>
          <w:vertAlign w:val="superscript"/>
        </w:rPr>
        <w:footnoteReference w:id="945"/>
      </w:r>
      <w:r w:rsidRPr="0096524F">
        <w:t xml:space="preserve"> the court was skeptical of a survey that showed respondents the defendant’s mark on a blank card, instead of using a picture of an actual product, or at least the mark in the colors actually used on the product</w:t>
      </w:r>
      <w:r w:rsidR="0096524F" w:rsidRPr="0096524F">
        <w:t>.</w:t>
      </w:r>
      <w:r w:rsidR="0096524F" w:rsidRPr="0096524F">
        <w:t xml:space="preserve"> </w:t>
      </w:r>
      <w:r w:rsidR="0096524F" w:rsidRPr="0096524F">
        <w:t>T</w:t>
      </w:r>
      <w:r w:rsidRPr="0096524F">
        <w:t>he court criticized this as not effectively replicating market conditions, and found it not reliable.</w:t>
      </w:r>
      <w:r w:rsidR="0096524F" w:rsidRPr="0096524F">
        <w:rPr>
          <w:vertAlign w:val="superscript"/>
        </w:rPr>
        <w:footnoteReference w:id="946"/>
      </w:r>
      <w:r w:rsidRPr="0096524F">
        <w:t xml:space="preserve"> In addition, the court noted that the association rate of about one-third was lower than other cases.</w:t>
      </w:r>
      <w:r w:rsidR="0096524F" w:rsidRPr="0096524F">
        <w:rPr>
          <w:vertAlign w:val="superscript"/>
        </w:rPr>
        <w:footnoteReference w:id="947"/>
      </w:r>
    </w:p>
    <w:p w14:paraId="579ADA13" w14:textId="3AF0A518" w:rsidR="0096524F" w:rsidRPr="0096524F" w:rsidRDefault="00A60ADB" w:rsidP="0096524F">
      <w:pPr>
        <w:pStyle w:val="BNormal"/>
      </w:pPr>
      <w:r w:rsidRPr="0096524F">
        <w:lastRenderedPageBreak/>
        <w:t xml:space="preserve">However, in </w:t>
      </w:r>
      <w:r w:rsidR="0096524F" w:rsidRPr="0096524F">
        <w:rPr>
          <w:rStyle w:val="BCasenamefull"/>
        </w:rPr>
        <w:t>Radiance Foundation, Inc. v. NAACP</w:t>
      </w:r>
      <w:r w:rsidRPr="0096524F">
        <w:t>,</w:t>
      </w:r>
      <w:r w:rsidR="0096524F" w:rsidRPr="0096524F">
        <w:rPr>
          <w:vertAlign w:val="superscript"/>
        </w:rPr>
        <w:footnoteReference w:id="948"/>
      </w:r>
      <w:r w:rsidRPr="0096524F">
        <w:t xml:space="preserve"> the court credited a survey in support of its finding of dilution by </w:t>
      </w:r>
      <w:proofErr w:type="spellStart"/>
      <w:r w:rsidRPr="0096524F">
        <w:t>tarnishment</w:t>
      </w:r>
      <w:proofErr w:type="spellEnd"/>
      <w:r w:rsidRPr="0096524F">
        <w:t>.</w:t>
      </w:r>
      <w:r w:rsidR="0096524F" w:rsidRPr="0096524F">
        <w:rPr>
          <w:vertAlign w:val="superscript"/>
        </w:rPr>
        <w:footnoteReference w:id="949"/>
      </w:r>
      <w:r w:rsidRPr="0096524F">
        <w:t xml:space="preserve"> The survey found a 42 percent rate of association of “National Association for the Abortion of Colored People” with the “National Association for the Advancement of Colored People” and a 37 percent rate of </w:t>
      </w:r>
      <w:proofErr w:type="spellStart"/>
      <w:r w:rsidRPr="0096524F">
        <w:t>tarnishment</w:t>
      </w:r>
      <w:proofErr w:type="spellEnd"/>
      <w:r w:rsidRPr="0096524F">
        <w:t>.</w:t>
      </w:r>
      <w:r w:rsidR="0096524F" w:rsidRPr="0096524F">
        <w:rPr>
          <w:vertAlign w:val="superscript"/>
        </w:rPr>
        <w:footnoteReference w:id="950"/>
      </w:r>
      <w:r w:rsidRPr="0096524F">
        <w:t xml:space="preserve"> However, the survey arrived at its rate of </w:t>
      </w:r>
      <w:proofErr w:type="spellStart"/>
      <w:r w:rsidRPr="0096524F">
        <w:t>tarnishment</w:t>
      </w:r>
      <w:proofErr w:type="spellEnd"/>
      <w:r w:rsidRPr="0096524F">
        <w:t xml:space="preserve"> by assuming that those respondents who associated the two marks but did not, unaided, characterize the unauthorized use as parody or criticism, saw it as simply tarnishing.</w:t>
      </w:r>
      <w:r w:rsidR="0096524F" w:rsidRPr="0096524F">
        <w:rPr>
          <w:vertAlign w:val="superscript"/>
        </w:rPr>
        <w:footnoteReference w:id="951"/>
      </w:r>
      <w:r w:rsidRPr="0096524F">
        <w:t xml:space="preserve"> Although this is evidence of association, it is less clear that it should have been credited as evidence of </w:t>
      </w:r>
      <w:proofErr w:type="spellStart"/>
      <w:r w:rsidRPr="0096524F">
        <w:t>tarnishment</w:t>
      </w:r>
      <w:proofErr w:type="spellEnd"/>
      <w:r w:rsidRPr="0096524F">
        <w:t>, as it did not measure whether the respondents’ views of the NAACP mark changed after seeing the Radiance version</w:t>
      </w:r>
      <w:r w:rsidR="0096524F" w:rsidRPr="0096524F">
        <w:t>.</w:t>
      </w:r>
      <w:r w:rsidR="0096524F" w:rsidRPr="0096524F">
        <w:t xml:space="preserve"> </w:t>
      </w:r>
      <w:r w:rsidR="0096524F" w:rsidRPr="0096524F">
        <w:t>I</w:t>
      </w:r>
      <w:r w:rsidRPr="0096524F">
        <w:t>n any event, the district court’s decision was reversed on the grounds that the use in question fell within the statutory exclusions.</w:t>
      </w:r>
      <w:r w:rsidR="0096524F" w:rsidRPr="0096524F">
        <w:rPr>
          <w:vertAlign w:val="superscript"/>
        </w:rPr>
        <w:footnoteReference w:id="952"/>
      </w:r>
    </w:p>
    <w:p w14:paraId="07F805DE" w14:textId="3CFA6C66" w:rsidR="0096524F" w:rsidRPr="0096524F" w:rsidRDefault="00A60ADB" w:rsidP="0096524F">
      <w:pPr>
        <w:pStyle w:val="BNormal"/>
      </w:pPr>
      <w:r w:rsidRPr="0096524F">
        <w:t xml:space="preserve">In </w:t>
      </w:r>
      <w:r w:rsidR="0096524F" w:rsidRPr="0096524F">
        <w:rPr>
          <w:rStyle w:val="BCasenamefull"/>
        </w:rPr>
        <w:t>Deere &amp; Co. v. FIMCO, Inc.</w:t>
      </w:r>
      <w:r w:rsidRPr="0096524F">
        <w:t>,</w:t>
      </w:r>
      <w:r w:rsidR="0096524F" w:rsidRPr="0096524F">
        <w:rPr>
          <w:vertAlign w:val="superscript"/>
        </w:rPr>
        <w:footnoteReference w:id="953"/>
      </w:r>
      <w:r w:rsidRPr="0096524F">
        <w:t xml:space="preserve"> the court accepted surveys of users of farm equipment that showed photographs of defendant’s equipment and asked respondents what, if any, companies came to mind</w:t>
      </w:r>
      <w:r w:rsidR="0096524F" w:rsidRPr="0096524F">
        <w:t>.</w:t>
      </w:r>
      <w:r w:rsidR="0096524F" w:rsidRPr="0096524F">
        <w:t xml:space="preserve"> </w:t>
      </w:r>
      <w:r w:rsidR="0096524F" w:rsidRPr="0096524F">
        <w:t>T</w:t>
      </w:r>
      <w:r w:rsidRPr="0096524F">
        <w:t>he surveys found 38 percent and 43 percent association with Deere (the surveys were designed to measure association with the green and yellow colors of Deere equipment).</w:t>
      </w:r>
      <w:r w:rsidR="0096524F" w:rsidRPr="0096524F">
        <w:rPr>
          <w:vertAlign w:val="superscript"/>
        </w:rPr>
        <w:footnoteReference w:id="954"/>
      </w:r>
      <w:r w:rsidRPr="0096524F">
        <w:t xml:space="preserve"> These surveys were used to demonstrate actual association.</w:t>
      </w:r>
      <w:r w:rsidR="0096524F" w:rsidRPr="0096524F">
        <w:rPr>
          <w:vertAlign w:val="superscript"/>
        </w:rPr>
        <w:footnoteReference w:id="955"/>
      </w:r>
    </w:p>
    <w:p w14:paraId="68184A3D" w14:textId="6E1D675C" w:rsidR="0096524F" w:rsidRPr="0096524F" w:rsidRDefault="00A60ADB" w:rsidP="0096524F">
      <w:pPr>
        <w:pStyle w:val="BNormal"/>
      </w:pPr>
      <w:r w:rsidRPr="0096524F">
        <w:t xml:space="preserve">In </w:t>
      </w:r>
      <w:r w:rsidR="0096524F" w:rsidRPr="0096524F">
        <w:rPr>
          <w:rStyle w:val="BCasenamefull"/>
        </w:rPr>
        <w:t>VIP Products, LLC v. Jack Daniel’s Properties, Inc.</w:t>
      </w:r>
      <w:r w:rsidRPr="0096524F">
        <w:t>,</w:t>
      </w:r>
      <w:r w:rsidR="0096524F" w:rsidRPr="0096524F">
        <w:rPr>
          <w:vertAlign w:val="superscript"/>
        </w:rPr>
        <w:footnoteReference w:id="956"/>
      </w:r>
      <w:r w:rsidRPr="0096524F">
        <w:t xml:space="preserve"> the court accepted one survey that indicated that consumers would have negative associations with the Jack Daniel’s brand as a result of exposure to the offending “Bad Spaniels” dog toys.</w:t>
      </w:r>
      <w:r w:rsidR="0096524F" w:rsidRPr="0096524F">
        <w:rPr>
          <w:vertAlign w:val="superscript"/>
        </w:rPr>
        <w:footnoteReference w:id="957"/>
      </w:r>
      <w:r w:rsidRPr="0096524F">
        <w:t xml:space="preserve"> The same court rejected a rebuttal survey because the respondents were told in advance that the toys were intended to be a parody.</w:t>
      </w:r>
      <w:r w:rsidR="0096524F" w:rsidRPr="0096524F">
        <w:rPr>
          <w:vertAlign w:val="superscript"/>
        </w:rPr>
        <w:footnoteReference w:id="958"/>
      </w:r>
    </w:p>
    <w:p w14:paraId="1B3D6EF1" w14:textId="3BFB7079" w:rsidR="0096524F" w:rsidRPr="0096524F" w:rsidRDefault="00A60ADB" w:rsidP="0096524F">
      <w:pPr>
        <w:pStyle w:val="BNormal"/>
      </w:pPr>
      <w:r w:rsidRPr="0096524F">
        <w:lastRenderedPageBreak/>
        <w:t>Surveys are not the only possible evidence of dilution</w:t>
      </w:r>
      <w:r w:rsidR="0096524F" w:rsidRPr="0096524F">
        <w:t>.</w:t>
      </w:r>
      <w:r w:rsidR="0096524F" w:rsidRPr="0096524F">
        <w:t xml:space="preserve"> </w:t>
      </w:r>
      <w:r w:rsidR="0096524F" w:rsidRPr="0096524F">
        <w:t>C</w:t>
      </w:r>
      <w:r w:rsidRPr="0096524F">
        <w:t>ourts have permitted a marketing expert to testify about the likely effect of one mark on consumer perceptions of a famous mark in a dilution case.</w:t>
      </w:r>
      <w:r w:rsidR="0096524F" w:rsidRPr="0096524F">
        <w:rPr>
          <w:vertAlign w:val="superscript"/>
        </w:rPr>
        <w:footnoteReference w:id="959"/>
      </w:r>
      <w:r w:rsidR="0096524F" w:rsidRPr="0096524F">
        <w:t xml:space="preserve"> </w:t>
      </w:r>
      <w:r w:rsidRPr="0096524F">
        <w:t xml:space="preserve">One example is the remand of </w:t>
      </w:r>
      <w:r w:rsidR="0096524F" w:rsidRPr="0096524F">
        <w:rPr>
          <w:i/>
        </w:rPr>
        <w:t>VIP Products LLC v Jack Daniel’s Properties, Inc</w:t>
      </w:r>
      <w:r w:rsidRPr="0096524F">
        <w:t>.</w:t>
      </w:r>
      <w:r w:rsidR="0096524F" w:rsidRPr="0096524F">
        <w:rPr>
          <w:vertAlign w:val="superscript"/>
        </w:rPr>
        <w:footnoteReference w:id="960"/>
      </w:r>
      <w:r w:rsidR="0096524F" w:rsidRPr="0096524F">
        <w:t xml:space="preserve"> </w:t>
      </w:r>
      <w:r w:rsidRPr="0096524F">
        <w:t>After a bench trial, the court credited Jack Daniel’s expert, who relied entirely on consumer marketing research to conclude that the type of use made in that case was likely to cause harm to the reputation of the Jack Daniel’s brand—the expert did not present any direct evidence, such as a survey aimed at the particular use in question.</w:t>
      </w:r>
      <w:r w:rsidR="0096524F" w:rsidRPr="0096524F">
        <w:rPr>
          <w:vertAlign w:val="superscript"/>
        </w:rPr>
        <w:footnoteReference w:id="961"/>
      </w:r>
    </w:p>
    <w:p w14:paraId="0D77443B" w14:textId="52008EBE" w:rsidR="0096524F" w:rsidRPr="0096524F" w:rsidRDefault="00A60ADB" w:rsidP="0096524F">
      <w:pPr>
        <w:pStyle w:val="BNormal"/>
      </w:pPr>
      <w:r w:rsidRPr="0096524F">
        <w:t>Another court permitted defendant’s expert to rebut plaintiff’s evidence without requiring the expert to conduct independent marketing research, which the court held was not required.</w:t>
      </w:r>
      <w:r w:rsidR="0096524F" w:rsidRPr="0096524F">
        <w:rPr>
          <w:vertAlign w:val="superscript"/>
        </w:rPr>
        <w:footnoteReference w:id="962"/>
      </w:r>
    </w:p>
    <w:p w14:paraId="01DE30BB" w14:textId="37AE4D61" w:rsidR="0096524F" w:rsidRPr="0096524F" w:rsidRDefault="00A60ADB" w:rsidP="0096524F">
      <w:pPr>
        <w:pStyle w:val="BNormal"/>
      </w:pPr>
      <w:r w:rsidRPr="0096524F">
        <w:t>However, it should be noted that, in line with precedent in confusion cases, courts have stated that neither evidence of actual dilution, nor evidence of actual association, is essential to a dilution claim.</w:t>
      </w:r>
      <w:r w:rsidR="0096524F" w:rsidRPr="0096524F">
        <w:rPr>
          <w:vertAlign w:val="superscript"/>
        </w:rPr>
        <w:footnoteReference w:id="963"/>
      </w:r>
      <w:r w:rsidRPr="0096524F">
        <w:t xml:space="preserve"> On the other hand, the effect of the absence of such evidence will vary, depending on the circumstances of the case</w:t>
      </w:r>
      <w:r w:rsidR="0096524F" w:rsidRPr="0096524F">
        <w:t>.</w:t>
      </w:r>
      <w:r w:rsidR="0096524F" w:rsidRPr="0096524F">
        <w:t xml:space="preserve"> </w:t>
      </w:r>
      <w:r w:rsidR="0096524F" w:rsidRPr="0096524F">
        <w:t>I</w:t>
      </w:r>
      <w:r w:rsidRPr="0096524F">
        <w:t>n a post-TDRA case denying a dilution claim, a district court pointedly noted that the plaintiff had failed to produce a survey when it would have been logical to have one.</w:t>
      </w:r>
      <w:r w:rsidR="0096524F" w:rsidRPr="0096524F">
        <w:rPr>
          <w:vertAlign w:val="superscript"/>
        </w:rPr>
        <w:footnoteReference w:id="964"/>
      </w:r>
      <w:r w:rsidRPr="0096524F">
        <w:t xml:space="preserve"> In another post-TDRA case, a district court upheld a jury finding of actual dilution (to support a damages claim) based on a combination of the testimony of an employee of the plaintiff and blog entries indicating unfavorable reactions to the defendant’s use of the plaintiff’s marks (belonging to the University of Kansas).</w:t>
      </w:r>
      <w:r w:rsidR="0096524F" w:rsidRPr="0096524F">
        <w:rPr>
          <w:vertAlign w:val="superscript"/>
        </w:rPr>
        <w:footnoteReference w:id="965"/>
      </w:r>
    </w:p>
    <w:p w14:paraId="7C1C08B9" w14:textId="0C84E3F9" w:rsidR="0096524F" w:rsidRPr="0096524F" w:rsidRDefault="00371CCB" w:rsidP="00175762">
      <w:pPr>
        <w:pStyle w:val="BHead2"/>
      </w:pPr>
      <w:r>
        <w:t>9.V.</w:t>
      </w:r>
      <w:r w:rsidR="0096524F" w:rsidRPr="00175762">
        <w:rPr>
          <w:rStyle w:val="BBNAidChar"/>
          <w:rFonts w:eastAsiaTheme="majorEastAsia"/>
        </w:rPr>
        <w:t>C</w:t>
      </w:r>
      <w:r w:rsidR="0096524F" w:rsidRPr="0096524F">
        <w:t>.</w:t>
      </w:r>
      <w:r>
        <w:t> </w:t>
      </w:r>
      <w:r w:rsidR="0096524F" w:rsidRPr="0096524F">
        <w:tab/>
        <w:t>Dilution Surveys:</w:t>
      </w:r>
      <w:r w:rsidR="0096524F" w:rsidRPr="0096524F">
        <w:t xml:space="preserve"> </w:t>
      </w:r>
      <w:r w:rsidR="0096524F" w:rsidRPr="0096524F">
        <w:t>Characteristics and Pitfalls</w:t>
      </w:r>
    </w:p>
    <w:p w14:paraId="3E7C6561" w14:textId="612A845F" w:rsidR="0096524F" w:rsidRPr="0096524F" w:rsidRDefault="00371CCB" w:rsidP="00175762">
      <w:pPr>
        <w:pStyle w:val="BHead3"/>
      </w:pPr>
      <w:r>
        <w:t>9.V.C.</w:t>
      </w:r>
      <w:r w:rsidR="0096524F" w:rsidRPr="00175762">
        <w:rPr>
          <w:rStyle w:val="BBNAidChar"/>
          <w:rFonts w:eastAsiaTheme="majorEastAsia"/>
        </w:rPr>
        <w:t>1</w:t>
      </w:r>
      <w:r w:rsidR="0096524F" w:rsidRPr="0096524F">
        <w:t>.</w:t>
      </w:r>
      <w:r>
        <w:t> </w:t>
      </w:r>
      <w:r w:rsidR="0096524F" w:rsidRPr="0096524F">
        <w:tab/>
        <w:t>Designing a Survey:</w:t>
      </w:r>
      <w:r w:rsidR="0096524F" w:rsidRPr="0096524F">
        <w:t xml:space="preserve"> </w:t>
      </w:r>
      <w:r w:rsidR="0096524F" w:rsidRPr="0096524F">
        <w:t>Determining What to Measure</w:t>
      </w:r>
    </w:p>
    <w:p w14:paraId="104C4950" w14:textId="565444EE" w:rsidR="0096524F" w:rsidRPr="0096524F" w:rsidRDefault="00A60ADB" w:rsidP="0096524F">
      <w:pPr>
        <w:pStyle w:val="BNormal"/>
      </w:pPr>
      <w:r w:rsidRPr="0096524F">
        <w:t>Clearly, the most common evidence of actual confusion has been a survey</w:t>
      </w:r>
      <w:r w:rsidR="0096524F" w:rsidRPr="0096524F">
        <w:t>.</w:t>
      </w:r>
      <w:r w:rsidR="0096524F" w:rsidRPr="0096524F">
        <w:t xml:space="preserve"> </w:t>
      </w:r>
      <w:r w:rsidR="0096524F" w:rsidRPr="0096524F">
        <w:t>T</w:t>
      </w:r>
      <w:r w:rsidRPr="0096524F">
        <w:t>he case law and literature discussing confusion surveys is rather extensive.</w:t>
      </w:r>
      <w:r w:rsidR="0096524F" w:rsidRPr="0096524F">
        <w:rPr>
          <w:vertAlign w:val="superscript"/>
        </w:rPr>
        <w:footnoteReference w:id="966"/>
      </w:r>
      <w:r w:rsidRPr="0096524F">
        <w:t xml:space="preserve"> The advent of a federal dilution statute has stimulated discussion of methods of measuring dilution in published commentary and empirical studies.</w:t>
      </w:r>
      <w:r w:rsidR="0096524F" w:rsidRPr="0096524F">
        <w:rPr>
          <w:vertAlign w:val="superscript"/>
        </w:rPr>
        <w:footnoteReference w:id="967"/>
      </w:r>
      <w:r w:rsidRPr="0096524F">
        <w:t xml:space="preserve"> This literature contains several useful suggestions for designing dilution surveys.</w:t>
      </w:r>
    </w:p>
    <w:p w14:paraId="34BE4161" w14:textId="55FAE31D" w:rsidR="0096524F" w:rsidRPr="0096524F" w:rsidRDefault="00A60ADB" w:rsidP="0096524F">
      <w:pPr>
        <w:pStyle w:val="BNormal"/>
      </w:pPr>
      <w:r w:rsidRPr="0096524F">
        <w:lastRenderedPageBreak/>
        <w:t>However, before one can design an appropriate survey, one must first ask what precisely the survey is supposed to measure.</w:t>
      </w:r>
      <w:r w:rsidR="0096524F" w:rsidRPr="0096524F">
        <w:rPr>
          <w:vertAlign w:val="superscript"/>
        </w:rPr>
        <w:footnoteReference w:id="968"/>
      </w:r>
      <w:r w:rsidRPr="0096524F">
        <w:t xml:space="preserve"> One commentator suggested that a brand association survey would be appropriate evidence of dilution—i.e., one that shows that consumers make a mental association between the junior user and the famous mark.</w:t>
      </w:r>
      <w:r w:rsidR="0096524F" w:rsidRPr="0096524F">
        <w:rPr>
          <w:vertAlign w:val="superscript"/>
        </w:rPr>
        <w:footnoteReference w:id="969"/>
      </w:r>
      <w:r w:rsidRPr="0096524F">
        <w:t xml:space="preserve"> However, the value of such surveys should not be overstated</w:t>
      </w:r>
      <w:r w:rsidR="0096524F" w:rsidRPr="0096524F">
        <w:t>.</w:t>
      </w:r>
      <w:r w:rsidR="0096524F" w:rsidRPr="0096524F">
        <w:t xml:space="preserve"> </w:t>
      </w:r>
      <w:r w:rsidR="0096524F" w:rsidRPr="0096524F">
        <w:t>T</w:t>
      </w:r>
      <w:r w:rsidRPr="0096524F">
        <w:t xml:space="preserve">he Supreme Court has stated that “mental association” is </w:t>
      </w:r>
      <w:r w:rsidR="0096524F" w:rsidRPr="0096524F">
        <w:rPr>
          <w:i/>
        </w:rPr>
        <w:t>not</w:t>
      </w:r>
      <w:r w:rsidRPr="0096524F">
        <w:t xml:space="preserve"> sufficient to show dilution,</w:t>
      </w:r>
      <w:r w:rsidR="0096524F" w:rsidRPr="0096524F">
        <w:rPr>
          <w:vertAlign w:val="superscript"/>
        </w:rPr>
        <w:footnoteReference w:id="970"/>
      </w:r>
      <w:r w:rsidRPr="0096524F">
        <w:t xml:space="preserve"> and further indicated that, in its view, dilution is shown when, after viewing the junior use, the consumer’s view of the famous mark is altered or diminished in some way.</w:t>
      </w:r>
      <w:r w:rsidR="0096524F" w:rsidRPr="0096524F">
        <w:rPr>
          <w:vertAlign w:val="superscript"/>
        </w:rPr>
        <w:footnoteReference w:id="971"/>
      </w:r>
      <w:r w:rsidRPr="0096524F">
        <w:t xml:space="preserve"> This is consistent with the TDRA’s definition of dilution, which states that dilution is the result of an association that harms the distinctiveness or the reputation of a famous mark</w:t>
      </w:r>
      <w:r w:rsidR="0096524F" w:rsidRPr="0096524F">
        <w:t>.</w:t>
      </w:r>
      <w:r w:rsidR="0096524F" w:rsidRPr="0096524F">
        <w:t xml:space="preserve"> </w:t>
      </w:r>
      <w:r w:rsidR="0096524F" w:rsidRPr="0096524F">
        <w:t>U</w:t>
      </w:r>
      <w:r w:rsidRPr="0096524F">
        <w:t>sing this construct of dilution, a survey that attempts to demonstrate dilution, not just association, would have to test a consumer’s association with the mark before and after seeing the offending use</w:t>
      </w:r>
      <w:r w:rsidR="0096524F" w:rsidRPr="0096524F">
        <w:t>.</w:t>
      </w:r>
      <w:r w:rsidR="0096524F" w:rsidRPr="0096524F">
        <w:t xml:space="preserve"> </w:t>
      </w:r>
      <w:r w:rsidR="0096524F" w:rsidRPr="0096524F">
        <w:t>O</w:t>
      </w:r>
      <w:r w:rsidRPr="0096524F">
        <w:t>n the other hand, under the TDRA, evidence of mental association is clearly relevant,</w:t>
      </w:r>
      <w:r w:rsidR="0096524F" w:rsidRPr="0096524F">
        <w:rPr>
          <w:vertAlign w:val="superscript"/>
        </w:rPr>
        <w:footnoteReference w:id="972"/>
      </w:r>
      <w:r w:rsidRPr="0096524F">
        <w:t xml:space="preserve"> even if not sufficient</w:t>
      </w:r>
      <w:r w:rsidR="0096524F" w:rsidRPr="0096524F">
        <w:t>.</w:t>
      </w:r>
      <w:r w:rsidR="0096524F" w:rsidRPr="0096524F">
        <w:t xml:space="preserve"> </w:t>
      </w:r>
      <w:r w:rsidR="0096524F" w:rsidRPr="0096524F">
        <w:t>T</w:t>
      </w:r>
      <w:r w:rsidRPr="0096524F">
        <w:t>he definition of dilution by blurring states that it is the loss of distinctiveness of the famous mark that is the cornerstone of the issue</w:t>
      </w:r>
      <w:r w:rsidR="0096524F" w:rsidRPr="0096524F">
        <w:t>.</w:t>
      </w:r>
      <w:r w:rsidR="0096524F" w:rsidRPr="0096524F">
        <w:t xml:space="preserve"> </w:t>
      </w:r>
      <w:r w:rsidR="0096524F" w:rsidRPr="0096524F">
        <w:t>S</w:t>
      </w:r>
      <w:r w:rsidRPr="0096524F">
        <w:t>howing a mental association is one step in the process of demonstrating a loss of distinctiveness, but it is not definitive.</w:t>
      </w:r>
      <w:r w:rsidR="0096524F" w:rsidRPr="0096524F">
        <w:rPr>
          <w:vertAlign w:val="superscript"/>
        </w:rPr>
        <w:footnoteReference w:id="973"/>
      </w:r>
    </w:p>
    <w:p w14:paraId="62693891" w14:textId="14E7A362" w:rsidR="0096524F" w:rsidRPr="0096524F" w:rsidRDefault="00A60ADB" w:rsidP="0096524F">
      <w:pPr>
        <w:pStyle w:val="BNormal"/>
      </w:pPr>
      <w:r w:rsidRPr="0096524F">
        <w:lastRenderedPageBreak/>
        <w:t>If a court deems confusion to be relevant to the dilution case, then a survey showing confusion may be relevant.</w:t>
      </w:r>
      <w:r w:rsidR="0096524F" w:rsidRPr="0096524F">
        <w:rPr>
          <w:vertAlign w:val="superscript"/>
        </w:rPr>
        <w:footnoteReference w:id="974"/>
      </w:r>
      <w:r w:rsidRPr="0096524F">
        <w:t xml:space="preserve"> However, the </w:t>
      </w:r>
      <w:r w:rsidR="0096524F" w:rsidRPr="0096524F">
        <w:rPr>
          <w:i/>
        </w:rPr>
        <w:t>absence</w:t>
      </w:r>
      <w:r w:rsidRPr="0096524F">
        <w:t xml:space="preserve"> of confusion does not demonstrate a lack of dilution</w:t>
      </w:r>
      <w:r w:rsidR="0096524F" w:rsidRPr="0096524F">
        <w:t>;</w:t>
      </w:r>
      <w:r w:rsidR="0096524F" w:rsidRPr="0096524F">
        <w:t xml:space="preserve"> </w:t>
      </w:r>
      <w:r w:rsidR="0096524F" w:rsidRPr="0096524F">
        <w:t>t</w:t>
      </w:r>
      <w:r w:rsidRPr="0096524F">
        <w:t>hus, a survey negating confusion may not be relevant.</w:t>
      </w:r>
      <w:r w:rsidR="0096524F" w:rsidRPr="0096524F">
        <w:rPr>
          <w:vertAlign w:val="superscript"/>
        </w:rPr>
        <w:footnoteReference w:id="975"/>
      </w:r>
    </w:p>
    <w:p w14:paraId="557D7708" w14:textId="1573A3E5" w:rsidR="0096524F" w:rsidRPr="0096524F" w:rsidRDefault="00A60ADB" w:rsidP="0096524F">
      <w:pPr>
        <w:pStyle w:val="BNormal"/>
      </w:pPr>
      <w:r w:rsidRPr="0096524F">
        <w:t>Even before the TDRA, there was no real consensus about what to measure</w:t>
      </w:r>
      <w:r w:rsidR="0096524F" w:rsidRPr="0096524F">
        <w:t>.</w:t>
      </w:r>
      <w:r w:rsidR="0096524F" w:rsidRPr="0096524F">
        <w:t xml:space="preserve"> </w:t>
      </w:r>
      <w:r w:rsidR="0096524F" w:rsidRPr="0096524F">
        <w:t>T</w:t>
      </w:r>
      <w:r w:rsidRPr="0096524F">
        <w:t>he Fourth Circuit had required evidence of actual harm to the mark’s selling power,</w:t>
      </w:r>
      <w:r w:rsidR="0096524F" w:rsidRPr="0096524F">
        <w:rPr>
          <w:vertAlign w:val="superscript"/>
        </w:rPr>
        <w:footnoteReference w:id="976"/>
      </w:r>
      <w:r w:rsidRPr="0096524F">
        <w:t xml:space="preserve"> a position seemingly rejected by the </w:t>
      </w:r>
      <w:r w:rsidR="0096524F" w:rsidRPr="0096524F">
        <w:rPr>
          <w:i/>
        </w:rPr>
        <w:t>Moseley</w:t>
      </w:r>
      <w:r w:rsidRPr="0096524F">
        <w:t xml:space="preserve"> Court.</w:t>
      </w:r>
      <w:r w:rsidR="0096524F" w:rsidRPr="0096524F">
        <w:rPr>
          <w:vertAlign w:val="superscript"/>
        </w:rPr>
        <w:footnoteReference w:id="977"/>
      </w:r>
      <w:r w:rsidRPr="0096524F">
        <w:t xml:space="preserve"> Other courts have emphasized the potential loss of the famous mark’s distinctiveness as the appropriate measure of dilution.</w:t>
      </w:r>
      <w:r w:rsidR="0096524F" w:rsidRPr="0096524F">
        <w:rPr>
          <w:vertAlign w:val="superscript"/>
        </w:rPr>
        <w:footnoteReference w:id="978"/>
      </w:r>
      <w:r w:rsidRPr="0096524F">
        <w:t xml:space="preserve"> This is not the same as a loss of selling power</w:t>
      </w:r>
      <w:r w:rsidR="0096524F" w:rsidRPr="0096524F">
        <w:t>.</w:t>
      </w:r>
      <w:r w:rsidR="0096524F" w:rsidRPr="0096524F">
        <w:t xml:space="preserve"> </w:t>
      </w:r>
      <w:r w:rsidR="0096524F" w:rsidRPr="0096524F">
        <w:t>L</w:t>
      </w:r>
      <w:r w:rsidRPr="0096524F">
        <w:t>oss of distinctiveness implies a loss of uniqueness</w:t>
      </w:r>
      <w:r w:rsidR="0096524F" w:rsidRPr="0096524F">
        <w:t>.</w:t>
      </w:r>
      <w:r w:rsidR="0096524F" w:rsidRPr="0096524F">
        <w:t xml:space="preserve"> </w:t>
      </w:r>
      <w:r w:rsidR="0096524F" w:rsidRPr="0096524F">
        <w:t>T</w:t>
      </w:r>
      <w:r w:rsidRPr="0096524F">
        <w:t>hat is, when consumers no longer view a mark as pointing uniquely at the famous mark owner, it has lost some of its distinctive quality</w:t>
      </w:r>
      <w:r w:rsidR="0096524F" w:rsidRPr="0096524F">
        <w:t>.</w:t>
      </w:r>
      <w:r w:rsidR="0096524F" w:rsidRPr="0096524F">
        <w:t xml:space="preserve"> </w:t>
      </w:r>
      <w:r w:rsidR="0096524F" w:rsidRPr="0096524F">
        <w:t>A</w:t>
      </w:r>
      <w:r w:rsidRPr="0096524F">
        <w:t>lternatively, one might view dilution as a diminishing of the mark’s unique message to the consumer</w:t>
      </w:r>
      <w:r w:rsidR="0096524F" w:rsidRPr="0096524F">
        <w:t>;</w:t>
      </w:r>
      <w:r w:rsidR="0096524F" w:rsidRPr="0096524F">
        <w:t xml:space="preserve"> </w:t>
      </w:r>
      <w:r w:rsidR="0096524F" w:rsidRPr="0096524F">
        <w:t>w</w:t>
      </w:r>
      <w:r w:rsidRPr="0096524F">
        <w:t>here once it signified great wealth, perhaps now it is associated also with goods of middle-class quality</w:t>
      </w:r>
      <w:r w:rsidR="0096524F" w:rsidRPr="0096524F">
        <w:t>.</w:t>
      </w:r>
      <w:r w:rsidR="0096524F" w:rsidRPr="0096524F">
        <w:t xml:space="preserve"> </w:t>
      </w:r>
      <w:r w:rsidR="0096524F" w:rsidRPr="0096524F">
        <w:t>T</w:t>
      </w:r>
      <w:r w:rsidRPr="0096524F">
        <w:t>his has been called “brand equity.”</w:t>
      </w:r>
      <w:r w:rsidR="0096524F" w:rsidRPr="0096524F">
        <w:rPr>
          <w:vertAlign w:val="superscript"/>
        </w:rPr>
        <w:footnoteReference w:id="979"/>
      </w:r>
      <w:r w:rsidRPr="0096524F">
        <w:t xml:space="preserve"> The first does not necessarily cause a loss of the mark’s selling power, or even a blurring of its message (as implied by the second message)</w:t>
      </w:r>
      <w:r w:rsidR="0096524F" w:rsidRPr="0096524F">
        <w:t>.</w:t>
      </w:r>
      <w:r w:rsidR="0096524F" w:rsidRPr="0096524F">
        <w:t xml:space="preserve"> </w:t>
      </w:r>
      <w:r w:rsidR="0096524F" w:rsidRPr="0096524F">
        <w:t>T</w:t>
      </w:r>
      <w:r w:rsidRPr="0096524F">
        <w:t>hus, it may not measure loss of selling power</w:t>
      </w:r>
      <w:r w:rsidR="0096524F" w:rsidRPr="0096524F">
        <w:t>.</w:t>
      </w:r>
      <w:r w:rsidR="0096524F" w:rsidRPr="0096524F">
        <w:t xml:space="preserve"> </w:t>
      </w:r>
      <w:r w:rsidR="0096524F" w:rsidRPr="0096524F">
        <w:t>T</w:t>
      </w:r>
      <w:r w:rsidRPr="0096524F">
        <w:t>he brand equity approach may measure loss of selling power, but only if careful questioning is performed</w:t>
      </w:r>
      <w:r w:rsidR="0096524F" w:rsidRPr="0096524F">
        <w:t>.</w:t>
      </w:r>
      <w:r w:rsidR="0096524F" w:rsidRPr="0096524F">
        <w:t xml:space="preserve"> </w:t>
      </w:r>
      <w:r w:rsidR="0096524F" w:rsidRPr="0096524F">
        <w:t>O</w:t>
      </w:r>
      <w:r w:rsidRPr="0096524F">
        <w:t>ne would have to establish that consumers now view products that they believe come from the famous mark owner in a different light (one not desired by the famous mark owner).</w:t>
      </w:r>
    </w:p>
    <w:p w14:paraId="0D55487A" w14:textId="208CD718" w:rsidR="0096524F" w:rsidRPr="0096524F" w:rsidRDefault="00A60ADB" w:rsidP="0096524F">
      <w:pPr>
        <w:pStyle w:val="BNormal"/>
      </w:pPr>
      <w:r w:rsidRPr="0096524F">
        <w:t>One other possibility is to attempt to measure the search-cost effect related to an allegedly diluting use</w:t>
      </w:r>
      <w:r w:rsidR="0096524F" w:rsidRPr="0096524F">
        <w:t>.</w:t>
      </w:r>
      <w:r w:rsidR="0096524F" w:rsidRPr="0096524F">
        <w:t xml:space="preserve"> </w:t>
      </w:r>
      <w:r w:rsidR="0096524F" w:rsidRPr="0096524F">
        <w:t>A</w:t>
      </w:r>
      <w:r w:rsidRPr="0096524F">
        <w:t>lthough studies have attempted to demonstrate this effect, both the theory and the empirical data supporting it have been subject to criticism.</w:t>
      </w:r>
      <w:r w:rsidR="0096524F" w:rsidRPr="0096524F">
        <w:rPr>
          <w:vertAlign w:val="superscript"/>
        </w:rPr>
        <w:footnoteReference w:id="980"/>
      </w:r>
    </w:p>
    <w:p w14:paraId="3686C6DE" w14:textId="516738C9" w:rsidR="0096524F" w:rsidRPr="0096524F" w:rsidRDefault="00A60ADB" w:rsidP="0096524F">
      <w:pPr>
        <w:pStyle w:val="BNormal"/>
      </w:pPr>
      <w:r w:rsidRPr="0096524F">
        <w:t>Once one settles on an appropriate measure of dilution (and this may vary depending on which jurisdiction will receive the evidence), one must design a proper survey</w:t>
      </w:r>
      <w:r w:rsidR="0096524F" w:rsidRPr="0096524F">
        <w:t>.</w:t>
      </w:r>
      <w:r w:rsidR="0096524F" w:rsidRPr="0096524F">
        <w:t xml:space="preserve"> </w:t>
      </w:r>
      <w:r w:rsidR="0096524F" w:rsidRPr="0096524F">
        <w:t>M</w:t>
      </w:r>
      <w:r w:rsidRPr="0096524F">
        <w:t>ore than one commentator has suggested a comparison survey.</w:t>
      </w:r>
      <w:r w:rsidR="0096524F" w:rsidRPr="0096524F">
        <w:rPr>
          <w:vertAlign w:val="superscript"/>
        </w:rPr>
        <w:footnoteReference w:id="981"/>
      </w:r>
      <w:r w:rsidRPr="0096524F">
        <w:t xml:space="preserve"> A comparison survey involves a control group, which has not been exposed to the second user, and a comparison group, which is familiar with the famous mark and has been exposed to the second </w:t>
      </w:r>
      <w:r w:rsidRPr="0096524F">
        <w:lastRenderedPageBreak/>
        <w:t>use.</w:t>
      </w:r>
      <w:r w:rsidR="0096524F" w:rsidRPr="0096524F">
        <w:rPr>
          <w:vertAlign w:val="superscript"/>
        </w:rPr>
        <w:footnoteReference w:id="982"/>
      </w:r>
      <w:r w:rsidRPr="0096524F">
        <w:t xml:space="preserve"> Ideally, a famous mark owner would survey the control group prior to the advent of the second use.</w:t>
      </w:r>
      <w:r w:rsidR="0096524F" w:rsidRPr="0096524F">
        <w:rPr>
          <w:vertAlign w:val="superscript"/>
        </w:rPr>
        <w:footnoteReference w:id="983"/>
      </w:r>
      <w:r w:rsidRPr="0096524F">
        <w:t xml:space="preserve"> This requires that a mark owner be vigilant enough to realize the value of maintaining a control survey in the event that it is needed for litigation.</w:t>
      </w:r>
      <w:r w:rsidR="0096524F" w:rsidRPr="0096524F">
        <w:rPr>
          <w:vertAlign w:val="superscript"/>
        </w:rPr>
        <w:footnoteReference w:id="984"/>
      </w:r>
      <w:r w:rsidRPr="0096524F">
        <w:t xml:space="preserve"> The analysis then examines the difference between the control responses and those of the “contaminated” group</w:t>
      </w:r>
      <w:r w:rsidR="0096524F" w:rsidRPr="0096524F">
        <w:t>.</w:t>
      </w:r>
      <w:r w:rsidR="0096524F" w:rsidRPr="0096524F">
        <w:t xml:space="preserve"> </w:t>
      </w:r>
      <w:r w:rsidR="0096524F" w:rsidRPr="0096524F">
        <w:t>I</w:t>
      </w:r>
      <w:r w:rsidRPr="0096524F">
        <w:t>f the difference is large enough, then the effect could be attributed to dilution.</w:t>
      </w:r>
      <w:r w:rsidR="0096524F" w:rsidRPr="0096524F">
        <w:rPr>
          <w:vertAlign w:val="superscript"/>
        </w:rPr>
        <w:footnoteReference w:id="985"/>
      </w:r>
    </w:p>
    <w:p w14:paraId="5A238DCF" w14:textId="4D4D7A41" w:rsidR="0096524F" w:rsidRPr="0096524F" w:rsidRDefault="00A60ADB" w:rsidP="0096524F">
      <w:pPr>
        <w:pStyle w:val="BNormal"/>
      </w:pPr>
      <w:r w:rsidRPr="0096524F">
        <w:t>Although this may seem obvious, the survey must take proper account of the context in which plaintiff’s and defendant’s uses occur</w:t>
      </w:r>
      <w:r w:rsidR="0096524F" w:rsidRPr="0096524F">
        <w:t>.</w:t>
      </w:r>
      <w:r w:rsidR="0096524F" w:rsidRPr="0096524F">
        <w:t xml:space="preserve"> </w:t>
      </w:r>
      <w:r w:rsidR="0096524F" w:rsidRPr="0096524F">
        <w:t>I</w:t>
      </w:r>
      <w:r w:rsidRPr="0096524F">
        <w:t>n the long-running dispute between Starbucks and a coffee roaster using “</w:t>
      </w:r>
      <w:proofErr w:type="spellStart"/>
      <w:r w:rsidRPr="0096524F">
        <w:t>Charbucks</w:t>
      </w:r>
      <w:proofErr w:type="spellEnd"/>
      <w:r w:rsidRPr="0096524F">
        <w:t>” in various ways, the Second Circuit affirmed a district court finding that a telephone survey that did not give respondents the proper context for defendant’s uses—“</w:t>
      </w:r>
      <w:r w:rsidR="0096524F" w:rsidRPr="0096524F">
        <w:rPr>
          <w:i/>
        </w:rPr>
        <w:t>Mister</w:t>
      </w:r>
      <w:r w:rsidRPr="0096524F">
        <w:t xml:space="preserve"> </w:t>
      </w:r>
      <w:proofErr w:type="spellStart"/>
      <w:r w:rsidRPr="0096524F">
        <w:t>Charbucks</w:t>
      </w:r>
      <w:proofErr w:type="spellEnd"/>
      <w:r w:rsidRPr="0096524F">
        <w:t>” and “</w:t>
      </w:r>
      <w:proofErr w:type="spellStart"/>
      <w:r w:rsidRPr="0096524F">
        <w:t>Charbucks</w:t>
      </w:r>
      <w:proofErr w:type="spellEnd"/>
      <w:r w:rsidRPr="0096524F">
        <w:t xml:space="preserve"> </w:t>
      </w:r>
      <w:r w:rsidR="0096524F" w:rsidRPr="0096524F">
        <w:rPr>
          <w:i/>
        </w:rPr>
        <w:t>blend</w:t>
      </w:r>
      <w:r w:rsidR="0096524F" w:rsidRPr="0096524F">
        <w:rPr>
          <w:i/>
        </w:rPr>
        <w:t xml:space="preserve"> </w:t>
      </w:r>
      <w:r w:rsidRPr="0096524F">
        <w:t>”—was, at best, of minimal value as a measure of actual association.</w:t>
      </w:r>
      <w:r w:rsidR="0096524F" w:rsidRPr="0096524F">
        <w:rPr>
          <w:vertAlign w:val="superscript"/>
        </w:rPr>
        <w:footnoteReference w:id="986"/>
      </w:r>
      <w:r w:rsidRPr="0096524F">
        <w:t xml:space="preserve"> In another case, a court discounted a survey that showed respondents a blank card with defendant’s mark, instead of a picture of an actual product, thus lacking marketplace context.</w:t>
      </w:r>
      <w:r w:rsidR="0096524F" w:rsidRPr="0096524F">
        <w:rPr>
          <w:vertAlign w:val="superscript"/>
        </w:rPr>
        <w:footnoteReference w:id="987"/>
      </w:r>
    </w:p>
    <w:p w14:paraId="37FAE833" w14:textId="3057E88E" w:rsidR="0096524F" w:rsidRPr="0096524F" w:rsidRDefault="00A60ADB" w:rsidP="0096524F">
      <w:pPr>
        <w:pStyle w:val="BNormal"/>
      </w:pPr>
      <w:r w:rsidRPr="0096524F">
        <w:t>Useful research may not result exclusively from litigation</w:t>
      </w:r>
      <w:r w:rsidR="0096524F" w:rsidRPr="0096524F">
        <w:t>.</w:t>
      </w:r>
      <w:r w:rsidR="0096524F" w:rsidRPr="0096524F">
        <w:t xml:space="preserve"> </w:t>
      </w:r>
      <w:r w:rsidR="0096524F" w:rsidRPr="0096524F">
        <w:t>I</w:t>
      </w:r>
      <w:r w:rsidRPr="0096524F">
        <w:t>n an example of a comparison study performed outside of the litigation context, researchers tested several hypotheses concerning dilution.</w:t>
      </w:r>
      <w:r w:rsidR="0096524F" w:rsidRPr="0096524F">
        <w:rPr>
          <w:vertAlign w:val="superscript"/>
        </w:rPr>
        <w:footnoteReference w:id="988"/>
      </w:r>
      <w:r w:rsidRPr="0096524F">
        <w:t xml:space="preserve"> One striking aspect of this study is the number of different hypotheses it tested</w:t>
      </w:r>
      <w:r w:rsidR="0096524F" w:rsidRPr="0096524F">
        <w:t>.</w:t>
      </w:r>
      <w:r w:rsidR="0096524F" w:rsidRPr="0096524F">
        <w:t xml:space="preserve"> </w:t>
      </w:r>
      <w:r w:rsidR="0096524F" w:rsidRPr="0096524F">
        <w:t>I</w:t>
      </w:r>
      <w:r w:rsidRPr="0096524F">
        <w:t>n part, this reflects the different possible interpretations of “dilution.” The study looked at several different versions of dilution</w:t>
      </w:r>
      <w:r w:rsidR="0096524F" w:rsidRPr="0096524F">
        <w:t>:</w:t>
      </w:r>
      <w:r w:rsidR="0096524F" w:rsidRPr="0096524F">
        <w:t xml:space="preserve"> </w:t>
      </w:r>
      <w:r w:rsidR="0096524F" w:rsidRPr="0096524F">
        <w:t>w</w:t>
      </w:r>
      <w:r w:rsidRPr="0096524F">
        <w:t>hether the second user weakens consumer associations with the first user’s products,</w:t>
      </w:r>
      <w:r w:rsidR="0096524F" w:rsidRPr="0096524F">
        <w:rPr>
          <w:vertAlign w:val="superscript"/>
        </w:rPr>
        <w:footnoteReference w:id="989"/>
      </w:r>
      <w:r w:rsidRPr="0096524F">
        <w:t xml:space="preserve"> whether dilution is more pronounced if the products are competitive,</w:t>
      </w:r>
      <w:r w:rsidR="0096524F" w:rsidRPr="0096524F">
        <w:rPr>
          <w:vertAlign w:val="superscript"/>
        </w:rPr>
        <w:footnoteReference w:id="990"/>
      </w:r>
      <w:r w:rsidRPr="0096524F">
        <w:t xml:space="preserve"> and dilution as measured by increased recall of the </w:t>
      </w:r>
      <w:r w:rsidR="0096524F" w:rsidRPr="0096524F">
        <w:rPr>
          <w:i/>
        </w:rPr>
        <w:t>second</w:t>
      </w:r>
      <w:r w:rsidRPr="0096524F">
        <w:t xml:space="preserve"> user.</w:t>
      </w:r>
      <w:r w:rsidR="0096524F" w:rsidRPr="0096524F">
        <w:rPr>
          <w:vertAlign w:val="superscript"/>
        </w:rPr>
        <w:footnoteReference w:id="991"/>
      </w:r>
      <w:r w:rsidRPr="0096524F">
        <w:t xml:space="preserve"> The study indicates the many variables with which courts and litigants must grapple as they evaluate dilution claims</w:t>
      </w:r>
      <w:r w:rsidR="0096524F" w:rsidRPr="0096524F">
        <w:t>.</w:t>
      </w:r>
      <w:r w:rsidR="0096524F" w:rsidRPr="0096524F">
        <w:t xml:space="preserve"> </w:t>
      </w:r>
      <w:r w:rsidR="0096524F" w:rsidRPr="0096524F">
        <w:t>I</w:t>
      </w:r>
      <w:r w:rsidRPr="0096524F">
        <w:t>ronically, one of its indications is that very strong marks may be impervious to dilution and weaker marks are more susceptible to dilution.</w:t>
      </w:r>
      <w:r w:rsidR="0096524F" w:rsidRPr="0096524F">
        <w:rPr>
          <w:vertAlign w:val="superscript"/>
        </w:rPr>
        <w:footnoteReference w:id="992"/>
      </w:r>
      <w:r w:rsidRPr="0096524F">
        <w:t xml:space="preserve"> As further research becomes available, practitioners will have to be aware of such conclusions, lest their opponents bring them out in court.</w:t>
      </w:r>
      <w:r w:rsidR="0096524F" w:rsidRPr="0096524F">
        <w:rPr>
          <w:vertAlign w:val="superscript"/>
        </w:rPr>
        <w:footnoteReference w:id="993"/>
      </w:r>
    </w:p>
    <w:p w14:paraId="1BA8DB20" w14:textId="37252434" w:rsidR="0096524F" w:rsidRPr="0096524F" w:rsidRDefault="00371CCB" w:rsidP="00175762">
      <w:pPr>
        <w:pStyle w:val="BHead3"/>
      </w:pPr>
      <w:r>
        <w:lastRenderedPageBreak/>
        <w:t>9.V.C.</w:t>
      </w:r>
      <w:r w:rsidR="0096524F" w:rsidRPr="00175762">
        <w:rPr>
          <w:rStyle w:val="BBNAidChar"/>
          <w:rFonts w:eastAsiaTheme="majorEastAsia"/>
        </w:rPr>
        <w:t>2</w:t>
      </w:r>
      <w:r w:rsidR="0096524F" w:rsidRPr="0096524F">
        <w:t>.</w:t>
      </w:r>
      <w:r>
        <w:t> </w:t>
      </w:r>
      <w:r w:rsidR="0096524F" w:rsidRPr="0096524F">
        <w:tab/>
        <w:t>Designing and Introducing a Survey:</w:t>
      </w:r>
      <w:r w:rsidR="0096524F" w:rsidRPr="0096524F">
        <w:t xml:space="preserve"> </w:t>
      </w:r>
      <w:r w:rsidR="0096524F" w:rsidRPr="0096524F">
        <w:t>Some Litigation Pitfalls</w:t>
      </w:r>
    </w:p>
    <w:p w14:paraId="36DC7650" w14:textId="3B7AC496" w:rsidR="0096524F" w:rsidRPr="0096524F" w:rsidRDefault="00A60ADB" w:rsidP="0096524F">
      <w:pPr>
        <w:pStyle w:val="BNormal"/>
      </w:pPr>
      <w:r w:rsidRPr="0096524F">
        <w:t>As discussed in the previous section, there are a number of important considerations for designing a proper dilution survey</w:t>
      </w:r>
      <w:r w:rsidR="0096524F" w:rsidRPr="0096524F">
        <w:t>.</w:t>
      </w:r>
      <w:r w:rsidR="0096524F" w:rsidRPr="0096524F">
        <w:t xml:space="preserve"> </w:t>
      </w:r>
      <w:r w:rsidR="0096524F" w:rsidRPr="0096524F">
        <w:t>C</w:t>
      </w:r>
      <w:r w:rsidRPr="0096524F">
        <w:t>ourts often note that the poor design of a survey does not necessarily make it inadmissible</w:t>
      </w:r>
      <w:r w:rsidR="0096524F" w:rsidRPr="0096524F">
        <w:t>;</w:t>
      </w:r>
      <w:r w:rsidR="0096524F" w:rsidRPr="0096524F">
        <w:t xml:space="preserve"> </w:t>
      </w:r>
      <w:r w:rsidR="0096524F" w:rsidRPr="0096524F">
        <w:t>t</w:t>
      </w:r>
      <w:r w:rsidRPr="0096524F">
        <w:t>he flaws may affect its evidentiary weight, rather than admissibility.</w:t>
      </w:r>
      <w:r w:rsidR="0096524F" w:rsidRPr="0096524F">
        <w:rPr>
          <w:vertAlign w:val="superscript"/>
        </w:rPr>
        <w:footnoteReference w:id="994"/>
      </w:r>
      <w:r w:rsidRPr="0096524F">
        <w:t xml:space="preserve"> Nevertheless, they should take seriously the role of “gatekeeper” assigned to the trial judge by </w:t>
      </w:r>
      <w:r w:rsidR="0096524F" w:rsidRPr="0096524F">
        <w:rPr>
          <w:i/>
        </w:rPr>
        <w:t>Daubert v</w:t>
      </w:r>
      <w:r w:rsidR="0096524F" w:rsidRPr="0096524F">
        <w:t>.</w:t>
      </w:r>
      <w:r w:rsidR="0096524F" w:rsidRPr="0096524F">
        <w:t xml:space="preserve"> </w:t>
      </w:r>
      <w:r w:rsidR="0096524F" w:rsidRPr="0096524F">
        <w:rPr>
          <w:i/>
        </w:rPr>
        <w:t>Merrill Dow Pharmaceuticals, Inc</w:t>
      </w:r>
      <w:r w:rsidRPr="0096524F">
        <w:t>.</w:t>
      </w:r>
      <w:r w:rsidR="0096524F" w:rsidRPr="0096524F">
        <w:rPr>
          <w:vertAlign w:val="superscript"/>
        </w:rPr>
        <w:footnoteReference w:id="995"/>
      </w:r>
      <w:r w:rsidRPr="0096524F">
        <w:t xml:space="preserve"> As the court noted in </w:t>
      </w:r>
      <w:r w:rsidR="0096524F" w:rsidRPr="0096524F">
        <w:rPr>
          <w:i/>
        </w:rPr>
        <w:t>National Football League Properties,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Prostyle, Inc</w:t>
      </w:r>
      <w:r w:rsidRPr="0096524F">
        <w:t>.,</w:t>
      </w:r>
      <w:r w:rsidR="0096524F" w:rsidRPr="0096524F">
        <w:rPr>
          <w:vertAlign w:val="superscript"/>
        </w:rPr>
        <w:footnoteReference w:id="996"/>
      </w:r>
      <w:r w:rsidRPr="0096524F">
        <w:t xml:space="preserve"> “‘helpfulness to the trier of fact remains the ultimate touchstone of admissibility.’”</w:t>
      </w:r>
      <w:r w:rsidR="0096524F" w:rsidRPr="0096524F">
        <w:rPr>
          <w:vertAlign w:val="superscript"/>
        </w:rPr>
        <w:footnoteReference w:id="997"/>
      </w:r>
      <w:r w:rsidRPr="0096524F">
        <w:t xml:space="preserve"> </w:t>
      </w:r>
      <w:r w:rsidR="0096524F" w:rsidRPr="0096524F">
        <w:rPr>
          <w:i/>
        </w:rPr>
        <w:t>Daubert</w:t>
      </w:r>
      <w:r w:rsidRPr="0096524F">
        <w:t xml:space="preserve"> sets forth general guidelines for analyzing the admissibility of expert evidence, which includes a survey.</w:t>
      </w:r>
      <w:r w:rsidR="0096524F" w:rsidRPr="0096524F">
        <w:rPr>
          <w:vertAlign w:val="superscript"/>
        </w:rPr>
        <w:footnoteReference w:id="998"/>
      </w:r>
      <w:r w:rsidRPr="0096524F">
        <w:t xml:space="preserve"> It must be remembered that a survey will be introduced through an expert</w:t>
      </w:r>
      <w:r w:rsidR="0096524F" w:rsidRPr="0096524F">
        <w:t>;</w:t>
      </w:r>
      <w:r w:rsidR="0096524F" w:rsidRPr="0096524F">
        <w:t xml:space="preserve"> </w:t>
      </w:r>
      <w:r w:rsidR="0096524F" w:rsidRPr="0096524F">
        <w:t>c</w:t>
      </w:r>
      <w:r w:rsidRPr="0096524F">
        <w:t>ourts should examine the expert’s testimony in a manner congruent with the examination of other scientific experts and refuse to admit surveys that are so flawed as to be unhelpful or misleading to the trier of fact.</w:t>
      </w:r>
      <w:r w:rsidR="0096524F" w:rsidRPr="0096524F">
        <w:rPr>
          <w:vertAlign w:val="superscript"/>
        </w:rPr>
        <w:footnoteReference w:id="999"/>
      </w:r>
    </w:p>
    <w:p w14:paraId="015E288B" w14:textId="421146A9" w:rsidR="0096524F" w:rsidRPr="0096524F" w:rsidRDefault="00A60ADB" w:rsidP="0096524F">
      <w:pPr>
        <w:pStyle w:val="BNormal"/>
      </w:pPr>
      <w:r w:rsidRPr="0096524F">
        <w:t>When designing a survey one first must insure that the survey measures something deemed relevant to the court.</w:t>
      </w:r>
      <w:r w:rsidR="0096524F" w:rsidRPr="0096524F">
        <w:rPr>
          <w:vertAlign w:val="superscript"/>
        </w:rPr>
        <w:footnoteReference w:id="1000"/>
      </w:r>
      <w:r w:rsidRPr="0096524F">
        <w:t xml:space="preserve"> Under the TDRA, a brand-association survey would be relevant, though it may not be sufficient.</w:t>
      </w:r>
      <w:r w:rsidR="0096524F" w:rsidRPr="0096524F">
        <w:rPr>
          <w:vertAlign w:val="superscript"/>
        </w:rPr>
        <w:footnoteReference w:id="1001"/>
      </w:r>
      <w:r w:rsidRPr="0096524F">
        <w:t xml:space="preserve"> In states using an actual-dilution standard, such a survey also may be deemed insufficient.</w:t>
      </w:r>
      <w:r w:rsidR="0096524F" w:rsidRPr="0096524F">
        <w:rPr>
          <w:vertAlign w:val="superscript"/>
        </w:rPr>
        <w:footnoteReference w:id="1002"/>
      </w:r>
      <w:r w:rsidRPr="0096524F">
        <w:t xml:space="preserve"> But equally important, perhaps even more important, is to insure that the survey conforms to recognized survey principles</w:t>
      </w:r>
      <w:r w:rsidR="0096524F" w:rsidRPr="0096524F">
        <w:t>.</w:t>
      </w:r>
      <w:r w:rsidR="0096524F" w:rsidRPr="0096524F">
        <w:t xml:space="preserve"> </w:t>
      </w:r>
      <w:r w:rsidR="0096524F" w:rsidRPr="0096524F">
        <w:t>O</w:t>
      </w:r>
      <w:r w:rsidRPr="0096524F">
        <w:t>ne court has noted that a controlled survey is essential.</w:t>
      </w:r>
      <w:r w:rsidR="0096524F" w:rsidRPr="0096524F">
        <w:rPr>
          <w:vertAlign w:val="superscript"/>
        </w:rPr>
        <w:footnoteReference w:id="1003"/>
      </w:r>
      <w:r w:rsidRPr="0096524F">
        <w:t xml:space="preserve"> Other considerations include a relevant sample, </w:t>
      </w:r>
      <w:r w:rsidRPr="0096524F">
        <w:lastRenderedPageBreak/>
        <w:t>both in size and composition;</w:t>
      </w:r>
      <w:r w:rsidR="0096524F" w:rsidRPr="0096524F">
        <w:rPr>
          <w:vertAlign w:val="superscript"/>
        </w:rPr>
        <w:footnoteReference w:id="1004"/>
      </w:r>
      <w:r w:rsidRPr="0096524F">
        <w:t xml:space="preserve"> a sufficient number of questions to make responses meaningful;</w:t>
      </w:r>
      <w:r w:rsidR="0096524F" w:rsidRPr="0096524F">
        <w:rPr>
          <w:vertAlign w:val="superscript"/>
        </w:rPr>
        <w:footnoteReference w:id="1005"/>
      </w:r>
      <w:r w:rsidRPr="0096524F">
        <w:t xml:space="preserve"> non-leading questions;</w:t>
      </w:r>
      <w:r w:rsidR="0096524F" w:rsidRPr="0096524F">
        <w:rPr>
          <w:vertAlign w:val="superscript"/>
        </w:rPr>
        <w:footnoteReference w:id="1006"/>
      </w:r>
      <w:r w:rsidRPr="0096524F">
        <w:t xml:space="preserve"> proper supervision of questioners</w:t>
      </w:r>
      <w:r w:rsidR="0096524F" w:rsidRPr="0096524F">
        <w:t>;</w:t>
      </w:r>
      <w:r w:rsidR="0096524F" w:rsidRPr="0096524F">
        <w:t xml:space="preserve"> </w:t>
      </w:r>
      <w:r w:rsidR="0096524F" w:rsidRPr="0096524F">
        <w:t>a</w:t>
      </w:r>
      <w:r w:rsidRPr="0096524F">
        <w:t>nd proper techniques of coding responses.</w:t>
      </w:r>
      <w:r w:rsidR="0096524F" w:rsidRPr="0096524F">
        <w:rPr>
          <w:vertAlign w:val="superscript"/>
        </w:rPr>
        <w:footnoteReference w:id="1007"/>
      </w:r>
      <w:r w:rsidRPr="0096524F">
        <w:t xml:space="preserve"> Naturally, appropriate statistical methods must be employed</w:t>
      </w:r>
      <w:r w:rsidR="0096524F" w:rsidRPr="0096524F">
        <w:t>.</w:t>
      </w:r>
      <w:r w:rsidR="0096524F" w:rsidRPr="0096524F">
        <w:t xml:space="preserve"> </w:t>
      </w:r>
      <w:r w:rsidR="0096524F" w:rsidRPr="0096524F">
        <w:t>T</w:t>
      </w:r>
      <w:r w:rsidRPr="0096524F">
        <w:t>he results should be case-specific, and not simply general statements of research about dilution.</w:t>
      </w:r>
      <w:r w:rsidR="0096524F" w:rsidRPr="0096524F">
        <w:rPr>
          <w:vertAlign w:val="superscript"/>
        </w:rPr>
        <w:footnoteReference w:id="1008"/>
      </w:r>
    </w:p>
    <w:p w14:paraId="611E7B43" w14:textId="6FD48495" w:rsidR="0096524F" w:rsidRPr="0096524F" w:rsidRDefault="00A60ADB" w:rsidP="0096524F">
      <w:pPr>
        <w:pStyle w:val="BNormal"/>
      </w:pPr>
      <w:r w:rsidRPr="0096524F">
        <w:t>The introduction of the survey will require one to follow the Federal Rules of Evidence, as well as the Federal Rules of Civil Procedure regarding the pretrial disclosure of expert testimony.</w:t>
      </w:r>
      <w:r w:rsidR="0096524F" w:rsidRPr="0096524F">
        <w:rPr>
          <w:vertAlign w:val="superscript"/>
        </w:rPr>
        <w:footnoteReference w:id="1009"/>
      </w:r>
      <w:r w:rsidRPr="0096524F">
        <w:t xml:space="preserve"> And finally, the </w:t>
      </w:r>
      <w:r w:rsidR="0096524F" w:rsidRPr="0096524F">
        <w:rPr>
          <w:i/>
        </w:rPr>
        <w:t>NFL Properties</w:t>
      </w:r>
      <w:r w:rsidRPr="0096524F">
        <w:t xml:space="preserve"> case provides a useful practical reminder that one should examine the expert’s testimonial history carefully</w:t>
      </w:r>
      <w:r w:rsidR="0096524F" w:rsidRPr="0096524F">
        <w:t>;</w:t>
      </w:r>
      <w:r w:rsidR="0096524F" w:rsidRPr="0096524F">
        <w:t xml:space="preserve"> </w:t>
      </w:r>
      <w:r w:rsidR="0096524F" w:rsidRPr="0096524F">
        <w:t>t</w:t>
      </w:r>
      <w:r w:rsidRPr="0096524F">
        <w:t>he court’s opinion cited several previous instances in which courts had rejected surveys performed by the plaintiff’s expert.</w:t>
      </w:r>
      <w:r w:rsidR="0096524F" w:rsidRPr="0096524F">
        <w:rPr>
          <w:vertAlign w:val="superscript"/>
        </w:rPr>
        <w:footnoteReference w:id="1010"/>
      </w:r>
    </w:p>
    <w:p w14:paraId="5814CFE3" w14:textId="26EAA3C0" w:rsidR="0096524F" w:rsidRPr="0096524F" w:rsidRDefault="00371CCB" w:rsidP="00175762">
      <w:pPr>
        <w:pStyle w:val="BHead1"/>
      </w:pPr>
      <w:r>
        <w:t>9.</w:t>
      </w:r>
      <w:r w:rsidR="0096524F" w:rsidRPr="00175762">
        <w:rPr>
          <w:rStyle w:val="BBNAidChar"/>
          <w:rFonts w:eastAsiaTheme="majorEastAsia"/>
        </w:rPr>
        <w:t>VI</w:t>
      </w:r>
      <w:r w:rsidR="0096524F" w:rsidRPr="0096524F">
        <w:t>.</w:t>
      </w:r>
      <w:r>
        <w:t> </w:t>
      </w:r>
      <w:r w:rsidR="00175762">
        <w:t xml:space="preserve"> </w:t>
      </w:r>
      <w:r w:rsidR="0096524F" w:rsidRPr="0096524F">
        <w:t>Dilution Protection for Product Configurations:</w:t>
      </w:r>
      <w:r w:rsidR="00175762">
        <w:t xml:space="preserve"> </w:t>
      </w:r>
      <w:r w:rsidR="0096524F" w:rsidRPr="0096524F">
        <w:t>A Difficult Dilution Problem</w:t>
      </w:r>
    </w:p>
    <w:p w14:paraId="518DF42A" w14:textId="1298D3D2" w:rsidR="0096524F" w:rsidRPr="0096524F" w:rsidRDefault="00371CCB" w:rsidP="00175762">
      <w:pPr>
        <w:pStyle w:val="BHead2"/>
      </w:pPr>
      <w:r>
        <w:t>9.VI.</w:t>
      </w:r>
      <w:r w:rsidR="0096524F" w:rsidRPr="00175762">
        <w:rPr>
          <w:rStyle w:val="BBNAidChar"/>
          <w:rFonts w:eastAsiaTheme="majorEastAsia"/>
        </w:rPr>
        <w:t>A</w:t>
      </w:r>
      <w:r w:rsidR="0096524F" w:rsidRPr="0096524F">
        <w:t>.</w:t>
      </w:r>
      <w:r>
        <w:t> </w:t>
      </w:r>
      <w:r w:rsidR="0096524F" w:rsidRPr="0096524F">
        <w:tab/>
        <w:t>The Issues</w:t>
      </w:r>
    </w:p>
    <w:p w14:paraId="5303E885" w14:textId="056EC234" w:rsidR="0096524F" w:rsidRPr="0096524F" w:rsidRDefault="00A60ADB" w:rsidP="0096524F">
      <w:pPr>
        <w:pStyle w:val="BNormal"/>
      </w:pPr>
      <w:r w:rsidRPr="0096524F">
        <w:t>One of the more difficult issues under the TDRA is the protection of product configurations</w:t>
      </w:r>
      <w:r w:rsidR="0096524F" w:rsidRPr="0096524F">
        <w:t>.</w:t>
      </w:r>
      <w:r w:rsidR="0096524F" w:rsidRPr="0096524F">
        <w:t xml:space="preserve"> </w:t>
      </w:r>
      <w:r w:rsidR="0096524F" w:rsidRPr="0096524F">
        <w:t>U</w:t>
      </w:r>
      <w:r w:rsidRPr="0096524F">
        <w:t>nlike the situation with regard to word marks, picture marks, or even packaging, protection for product configurations aims at the product itself</w:t>
      </w:r>
      <w:r w:rsidR="0096524F" w:rsidRPr="0096524F">
        <w:t>.</w:t>
      </w:r>
      <w:r w:rsidR="0096524F" w:rsidRPr="0096524F">
        <w:t xml:space="preserve"> </w:t>
      </w:r>
      <w:r w:rsidR="0096524F" w:rsidRPr="0096524F">
        <w:t>T</w:t>
      </w:r>
      <w:r w:rsidRPr="0096524F">
        <w:t>hus, one can protect Buick against the use of its mark on a candy bar without preventing the production of the candy bar itself</w:t>
      </w:r>
      <w:r w:rsidR="0096524F" w:rsidRPr="0096524F">
        <w:t>.</w:t>
      </w:r>
      <w:r w:rsidR="0096524F" w:rsidRPr="0096524F">
        <w:t xml:space="preserve"> </w:t>
      </w:r>
      <w:r w:rsidR="0096524F" w:rsidRPr="0096524F">
        <w:t>H</w:t>
      </w:r>
      <w:r w:rsidRPr="0096524F">
        <w:t>owever, if a candy bar maker could show that the shape of its candy bar is “famous,” it might be able to prevent anyone else from making a candy bar (or, conceivably, any number of other products) in that same shape</w:t>
      </w:r>
      <w:r w:rsidR="0096524F" w:rsidRPr="0096524F">
        <w:t>.</w:t>
      </w:r>
      <w:r w:rsidR="0096524F" w:rsidRPr="0096524F">
        <w:t xml:space="preserve"> </w:t>
      </w:r>
      <w:r w:rsidR="0096524F" w:rsidRPr="0096524F">
        <w:t>I</w:t>
      </w:r>
      <w:r w:rsidRPr="0096524F">
        <w:t>n the U.S</w:t>
      </w:r>
      <w:r w:rsidR="0096524F" w:rsidRPr="0096524F">
        <w:t>.</w:t>
      </w:r>
      <w:r w:rsidR="0096524F" w:rsidRPr="0096524F">
        <w:t xml:space="preserve"> </w:t>
      </w:r>
      <w:r w:rsidR="0096524F" w:rsidRPr="0096524F">
        <w:t>s</w:t>
      </w:r>
      <w:r w:rsidRPr="0096524F">
        <w:t>ystem of intellectual property, such monopoly uses of the product are normally the province of patent law, or sometimes copyright</w:t>
      </w:r>
      <w:r w:rsidR="0096524F" w:rsidRPr="0096524F">
        <w:t>.</w:t>
      </w:r>
      <w:r w:rsidR="0096524F" w:rsidRPr="0096524F">
        <w:t xml:space="preserve"> </w:t>
      </w:r>
      <w:r w:rsidR="0096524F" w:rsidRPr="0096524F">
        <w:t>B</w:t>
      </w:r>
      <w:r w:rsidRPr="0096524F">
        <w:t>ut patents and copyrights are limited in duration, while trademark protection is perpetual</w:t>
      </w:r>
      <w:r w:rsidR="0096524F" w:rsidRPr="0096524F">
        <w:t>.</w:t>
      </w:r>
      <w:r w:rsidR="0096524F" w:rsidRPr="0096524F">
        <w:t xml:space="preserve"> </w:t>
      </w:r>
      <w:r w:rsidR="0096524F" w:rsidRPr="0096524F">
        <w:t>T</w:t>
      </w:r>
      <w:r w:rsidRPr="0096524F">
        <w:t>hus, the “bargain” implicit in a patent of a limited-time monopoly, in exchange for disclosure of the invention so that others can make it, is nonexistent in trademark law.</w:t>
      </w:r>
    </w:p>
    <w:p w14:paraId="7B4CA87A" w14:textId="39711E28" w:rsidR="0096524F" w:rsidRPr="0096524F" w:rsidRDefault="00A60ADB" w:rsidP="0096524F">
      <w:pPr>
        <w:pStyle w:val="BNormal"/>
      </w:pPr>
      <w:r w:rsidRPr="0096524F">
        <w:t>Traditionally, courts have pointed to two aspects of trademark law to distinguish it from patent law when product configurations are at issue</w:t>
      </w:r>
      <w:r w:rsidR="0096524F" w:rsidRPr="0096524F">
        <w:t>:</w:t>
      </w:r>
      <w:r w:rsidR="0096524F" w:rsidRPr="0096524F">
        <w:t xml:space="preserve"> </w:t>
      </w:r>
      <w:r w:rsidR="0096524F" w:rsidRPr="0096524F">
        <w:t>(</w:t>
      </w:r>
      <w:r w:rsidRPr="0096524F">
        <w:t>1) the doctrine of functionality, and (2) the requirement of likelihood of confusion.</w:t>
      </w:r>
      <w:r w:rsidR="0096524F" w:rsidRPr="0096524F">
        <w:rPr>
          <w:vertAlign w:val="superscript"/>
        </w:rPr>
        <w:footnoteReference w:id="1011"/>
      </w:r>
      <w:r w:rsidRPr="0096524F">
        <w:t xml:space="preserve"> However, dilution protects marks without regard to likelihood of confusion, and functionality is a </w:t>
      </w:r>
      <w:r w:rsidRPr="0096524F">
        <w:lastRenderedPageBreak/>
        <w:t>weak basis of distinction between patent and trademark</w:t>
      </w:r>
      <w:r w:rsidR="0096524F" w:rsidRPr="0096524F">
        <w:t>.</w:t>
      </w:r>
      <w:r w:rsidR="0096524F" w:rsidRPr="0096524F">
        <w:t xml:space="preserve"> </w:t>
      </w:r>
      <w:r w:rsidR="0096524F" w:rsidRPr="0096524F">
        <w:t>T</w:t>
      </w:r>
      <w:r w:rsidRPr="0096524F">
        <w:t>hus, dilution potentially offers greater protection than the patent system for product configurations.</w:t>
      </w:r>
      <w:r w:rsidR="0096524F" w:rsidRPr="0096524F">
        <w:rPr>
          <w:vertAlign w:val="superscript"/>
        </w:rPr>
        <w:footnoteReference w:id="1012"/>
      </w:r>
    </w:p>
    <w:p w14:paraId="589CBF7A" w14:textId="1E0D7276" w:rsidR="0096524F" w:rsidRPr="0096524F" w:rsidRDefault="00A60ADB" w:rsidP="0096524F">
      <w:pPr>
        <w:pStyle w:val="BNormal"/>
      </w:pPr>
      <w:r w:rsidRPr="0096524F">
        <w:t>There is no indication that, prior to the TDRA, Congress ever considered the possibility that dilution protection would be extended to product configurations, either in 1995, when it enacted the FTDA, or in 1988, when a dilution statute almost became law</w:t>
      </w:r>
      <w:r w:rsidR="0096524F" w:rsidRPr="0096524F">
        <w:t>.</w:t>
      </w:r>
      <w:r w:rsidR="0096524F" w:rsidRPr="0096524F">
        <w:t xml:space="preserve"> </w:t>
      </w:r>
      <w:r w:rsidR="0096524F" w:rsidRPr="0096524F">
        <w:t>H</w:t>
      </w:r>
      <w:r w:rsidRPr="0096524F">
        <w:t>owever, the definitions in the original statute did not exclude product configurations from coverage.</w:t>
      </w:r>
      <w:r w:rsidR="0096524F" w:rsidRPr="0096524F">
        <w:rPr>
          <w:vertAlign w:val="superscript"/>
        </w:rPr>
        <w:footnoteReference w:id="1013"/>
      </w:r>
      <w:r w:rsidRPr="0096524F">
        <w:t xml:space="preserve"> Section 43(c) has always granted protection to the “owner of a famous mark.” Section 45 defines a mark as including “any trademark, service mark, collective mark, or certification mark.”</w:t>
      </w:r>
      <w:r w:rsidR="0096524F" w:rsidRPr="0096524F">
        <w:rPr>
          <w:vertAlign w:val="superscript"/>
        </w:rPr>
        <w:footnoteReference w:id="1014"/>
      </w:r>
      <w:r w:rsidRPr="0096524F">
        <w:t xml:space="preserve"> Focusing simply on trademarks,</w:t>
      </w:r>
      <w:r w:rsidR="0096524F" w:rsidRPr="0096524F">
        <w:rPr>
          <w:vertAlign w:val="superscript"/>
        </w:rPr>
        <w:footnoteReference w:id="1015"/>
      </w:r>
      <w:r w:rsidRPr="0096524F">
        <w:t xml:space="preserve"> the Lanham Act defines them as “</w:t>
      </w:r>
      <w:proofErr w:type="spellStart"/>
      <w:r w:rsidRPr="0096524F">
        <w:t>includ</w:t>
      </w:r>
      <w:proofErr w:type="spellEnd"/>
      <w:r w:rsidRPr="0096524F">
        <w:t>[</w:t>
      </w:r>
      <w:proofErr w:type="spellStart"/>
      <w:r w:rsidRPr="0096524F">
        <w:t>ing</w:t>
      </w:r>
      <w:proofErr w:type="spellEnd"/>
      <w:r w:rsidRPr="0096524F">
        <w:t>] any word, name, symbol, or device, or any combination thereof [used]</w:t>
      </w:r>
      <w:r w:rsidR="0096524F" w:rsidRPr="0096524F">
        <w:t xml:space="preserve"> </w:t>
      </w:r>
      <w:r w:rsidRPr="0096524F">
        <w:t>…</w:t>
      </w:r>
      <w:r w:rsidR="0096524F" w:rsidRPr="0096524F">
        <w:t xml:space="preserve"> </w:t>
      </w:r>
      <w:r w:rsidRPr="0096524F">
        <w:t>to identify and distinguish [the] goods [of one user] from those manufactured or sold by others and to indicate the source of the goods</w:t>
      </w:r>
      <w:r w:rsidR="0096524F" w:rsidRPr="0096524F">
        <w:t xml:space="preserve"> </w:t>
      </w:r>
      <w:r w:rsidRPr="0096524F">
        <w:t>…</w:t>
      </w:r>
      <w:r w:rsidR="0096524F" w:rsidRPr="0096524F">
        <w:t xml:space="preserve"> </w:t>
      </w:r>
      <w:r w:rsidRPr="0096524F">
        <w:t>.”</w:t>
      </w:r>
      <w:r w:rsidR="0096524F" w:rsidRPr="0096524F">
        <w:rPr>
          <w:vertAlign w:val="superscript"/>
        </w:rPr>
        <w:footnoteReference w:id="1016"/>
      </w:r>
      <w:r w:rsidRPr="0096524F">
        <w:t xml:space="preserve"> Clearly, the terms “symbol or device” are broad enough to include product configurations.</w:t>
      </w:r>
      <w:r w:rsidR="0096524F" w:rsidRPr="0096524F">
        <w:rPr>
          <w:vertAlign w:val="superscript"/>
        </w:rPr>
        <w:footnoteReference w:id="1017"/>
      </w:r>
      <w:r w:rsidRPr="0096524F">
        <w:t xml:space="preserve"> Courts interpreting the scope of Section 43(a) have long permitted its use to protect them.</w:t>
      </w:r>
      <w:r w:rsidR="0096524F" w:rsidRPr="0096524F">
        <w:rPr>
          <w:vertAlign w:val="superscript"/>
        </w:rPr>
        <w:footnoteReference w:id="1018"/>
      </w:r>
    </w:p>
    <w:p w14:paraId="6579F9EA" w14:textId="0C15BCC8" w:rsidR="0096524F" w:rsidRPr="0096524F" w:rsidRDefault="00A60ADB" w:rsidP="0096524F">
      <w:pPr>
        <w:pStyle w:val="BNormal"/>
      </w:pPr>
      <w:r w:rsidRPr="0096524F">
        <w:t>The TDRA contains new provisions that make it clearer that product configurations are protected</w:t>
      </w:r>
      <w:r w:rsidR="0096524F" w:rsidRPr="0096524F">
        <w:t>.</w:t>
      </w:r>
      <w:r w:rsidR="0096524F" w:rsidRPr="0096524F">
        <w:t xml:space="preserve"> </w:t>
      </w:r>
      <w:r w:rsidR="0096524F" w:rsidRPr="0096524F">
        <w:t>S</w:t>
      </w:r>
      <w:r w:rsidRPr="0096524F">
        <w:t>ection 43(c)(4) creates a new burden of proof for the element of fame for owners of unregistered trade dress who seek dilution protection.</w:t>
      </w:r>
      <w:r w:rsidR="0096524F" w:rsidRPr="0096524F">
        <w:rPr>
          <w:vertAlign w:val="superscript"/>
        </w:rPr>
        <w:footnoteReference w:id="1019"/>
      </w:r>
      <w:r w:rsidRPr="0096524F">
        <w:t xml:space="preserve"> In addition, Section 43(c)(7), denominated a “Savings Clause,” disclaims any intent to override the operation of the patent laws</w:t>
      </w:r>
      <w:r w:rsidR="0096524F" w:rsidRPr="0096524F">
        <w:t>.</w:t>
      </w:r>
      <w:r w:rsidR="0096524F" w:rsidRPr="0096524F">
        <w:t xml:space="preserve"> </w:t>
      </w:r>
      <w:r w:rsidR="0096524F" w:rsidRPr="0096524F">
        <w:t>T</w:t>
      </w:r>
      <w:r w:rsidRPr="0096524F">
        <w:t>hat can only mean that Congress considered the problem of product configurations and wanted to make sure that courts did not think that the TDRA allowed dilution to override the restrictions of patent</w:t>
      </w:r>
      <w:r w:rsidR="0096524F" w:rsidRPr="0096524F">
        <w:t>.</w:t>
      </w:r>
      <w:r w:rsidR="0096524F" w:rsidRPr="0096524F">
        <w:t xml:space="preserve"> </w:t>
      </w:r>
      <w:r w:rsidR="0096524F" w:rsidRPr="0096524F">
        <w:t>B</w:t>
      </w:r>
      <w:r w:rsidRPr="0096524F">
        <w:t>ut it also means that Congress probably assumed that product configurations would be subject to dilution protection</w:t>
      </w:r>
      <w:r w:rsidR="0096524F" w:rsidRPr="0096524F">
        <w:t>.</w:t>
      </w:r>
      <w:r w:rsidR="0096524F" w:rsidRPr="0096524F">
        <w:t xml:space="preserve"> </w:t>
      </w:r>
      <w:r w:rsidR="0096524F" w:rsidRPr="0096524F">
        <w:t>I</w:t>
      </w:r>
      <w:r w:rsidRPr="0096524F">
        <w:t>n the final analysis, the major limitations on the use of dilution for product configurations would be the limits derived from the test for dilution, the doctrine of functionality, and, possibly, the collision between dilution and the patent laws or the Patent Clause of the Constitution.</w:t>
      </w:r>
    </w:p>
    <w:p w14:paraId="1193E245" w14:textId="0C02D551" w:rsidR="0096524F" w:rsidRPr="0096524F" w:rsidRDefault="00371CCB" w:rsidP="00175762">
      <w:pPr>
        <w:pStyle w:val="BHead2"/>
      </w:pPr>
      <w:r>
        <w:t>9.VI.</w:t>
      </w:r>
      <w:r w:rsidR="0096524F" w:rsidRPr="00175762">
        <w:rPr>
          <w:rStyle w:val="BBNAidChar"/>
          <w:rFonts w:eastAsiaTheme="majorEastAsia"/>
        </w:rPr>
        <w:t>B</w:t>
      </w:r>
      <w:r w:rsidR="0096524F" w:rsidRPr="0096524F">
        <w:t>.</w:t>
      </w:r>
      <w:r>
        <w:t> </w:t>
      </w:r>
      <w:r w:rsidR="0096524F" w:rsidRPr="0096524F">
        <w:tab/>
        <w:t>Tests for Dilution Do Not Limit Protection for Product</w:t>
      </w:r>
      <w:r w:rsidR="00175762">
        <w:t xml:space="preserve"> </w:t>
      </w:r>
      <w:r w:rsidR="0096524F" w:rsidRPr="0096524F">
        <w:t>Configurations</w:t>
      </w:r>
    </w:p>
    <w:p w14:paraId="37E232A0" w14:textId="051D00FD" w:rsidR="0096524F" w:rsidRPr="0096524F" w:rsidRDefault="00A60ADB" w:rsidP="0096524F">
      <w:pPr>
        <w:pStyle w:val="BNormal"/>
      </w:pPr>
      <w:r w:rsidRPr="0096524F">
        <w:lastRenderedPageBreak/>
        <w:t>None of the tests used by courts under the original FTDA—the actual harm test of the Fourth Circuit</w:t>
      </w:r>
      <w:r w:rsidR="0096524F" w:rsidRPr="0096524F">
        <w:rPr>
          <w:vertAlign w:val="superscript"/>
        </w:rPr>
        <w:footnoteReference w:id="1020"/>
      </w:r>
      <w:r w:rsidRPr="0096524F">
        <w:t xml:space="preserve"> (a variation of which was adopted by the Supreme Court</w:t>
      </w:r>
      <w:r w:rsidR="0096524F" w:rsidRPr="0096524F">
        <w:rPr>
          <w:vertAlign w:val="superscript"/>
        </w:rPr>
        <w:footnoteReference w:id="1021"/>
      </w:r>
      <w:r w:rsidRPr="0096524F">
        <w:t>), the multifactor test of the Second Circuit,</w:t>
      </w:r>
      <w:r w:rsidR="0096524F" w:rsidRPr="0096524F">
        <w:rPr>
          <w:vertAlign w:val="superscript"/>
        </w:rPr>
        <w:footnoteReference w:id="1022"/>
      </w:r>
      <w:r w:rsidRPr="0096524F">
        <w:t xml:space="preserve"> or the simplified test of fame plus similarity apparently used in the Seventh Circuit,</w:t>
      </w:r>
      <w:r w:rsidR="0096524F" w:rsidRPr="0096524F">
        <w:rPr>
          <w:vertAlign w:val="superscript"/>
        </w:rPr>
        <w:footnoteReference w:id="1023"/>
      </w:r>
      <w:r w:rsidRPr="0096524F">
        <w:t xml:space="preserve"> or even the so-called Sweet test</w:t>
      </w:r>
      <w:r w:rsidR="0096524F" w:rsidRPr="0096524F">
        <w:rPr>
          <w:vertAlign w:val="superscript"/>
        </w:rPr>
        <w:footnoteReference w:id="1024"/>
      </w:r>
      <w:r w:rsidRPr="0096524F">
        <w:t xml:space="preserve"> used in a number of other cases—had done much to harmonize perpetual dilution protection with limited-time patent protection</w:t>
      </w:r>
      <w:r w:rsidR="0096524F" w:rsidRPr="0096524F">
        <w:t>.</w:t>
      </w:r>
      <w:r w:rsidR="0096524F" w:rsidRPr="0096524F">
        <w:t xml:space="preserve"> </w:t>
      </w:r>
      <w:r w:rsidR="0096524F" w:rsidRPr="0096524F">
        <w:t>H</w:t>
      </w:r>
      <w:r w:rsidRPr="0096524F">
        <w:t>owever, the TDRA made it clear that Congress did not intend that dilution protection override the operation of the patent laws.</w:t>
      </w:r>
      <w:r w:rsidR="0096524F" w:rsidRPr="0096524F">
        <w:rPr>
          <w:vertAlign w:val="superscript"/>
        </w:rPr>
        <w:footnoteReference w:id="1025"/>
      </w:r>
      <w:r w:rsidRPr="0096524F">
        <w:t xml:space="preserve"> It is less clear how courts will seek to harmonize dilution protection and patent protection.</w:t>
      </w:r>
    </w:p>
    <w:p w14:paraId="1BC9A585" w14:textId="67F15BD0" w:rsidR="0096524F" w:rsidRPr="0096524F" w:rsidRDefault="00A60ADB" w:rsidP="0096524F">
      <w:pPr>
        <w:pStyle w:val="BNormal"/>
      </w:pPr>
      <w:r w:rsidRPr="0096524F">
        <w:t>Because there have been very few cases on this issue after the TDRA, most of the judicial discussions are from cases operating under a variety of pre-TDRA tests.</w:t>
      </w:r>
      <w:r w:rsidR="0096524F" w:rsidRPr="0096524F">
        <w:rPr>
          <w:vertAlign w:val="superscript"/>
        </w:rPr>
        <w:footnoteReference w:id="1026"/>
      </w:r>
      <w:r w:rsidRPr="0096524F">
        <w:t xml:space="preserve"> It is unclear whether they provide appropriate guidance under the TDRA</w:t>
      </w:r>
      <w:r w:rsidR="0096524F" w:rsidRPr="0096524F">
        <w:t>.</w:t>
      </w:r>
      <w:r w:rsidR="0096524F" w:rsidRPr="0096524F">
        <w:t xml:space="preserve"> </w:t>
      </w:r>
      <w:r w:rsidR="0096524F" w:rsidRPr="0096524F">
        <w:t>M</w:t>
      </w:r>
      <w:r w:rsidRPr="0096524F">
        <w:t>oreover, the limited case law under the TDRA is itself pregnant with questions.</w:t>
      </w:r>
    </w:p>
    <w:p w14:paraId="35F85798" w14:textId="63BE367A" w:rsidR="0096524F" w:rsidRPr="0096524F" w:rsidRDefault="00371CCB" w:rsidP="00175762">
      <w:pPr>
        <w:pStyle w:val="BHead3"/>
      </w:pPr>
      <w:r>
        <w:t>9.VI.B.</w:t>
      </w:r>
      <w:r w:rsidR="0096524F" w:rsidRPr="00175762">
        <w:rPr>
          <w:rStyle w:val="BBNAidChar"/>
          <w:rFonts w:eastAsiaTheme="majorEastAsia"/>
        </w:rPr>
        <w:t>1</w:t>
      </w:r>
      <w:r w:rsidR="0096524F" w:rsidRPr="0096524F">
        <w:t>.</w:t>
      </w:r>
      <w:r>
        <w:t> </w:t>
      </w:r>
      <w:r w:rsidR="0096524F" w:rsidRPr="0096524F">
        <w:tab/>
        <w:t>Product Configurations and the Test for Dilution by Blurring</w:t>
      </w:r>
    </w:p>
    <w:p w14:paraId="000A6706" w14:textId="6AB4861A" w:rsidR="0096524F" w:rsidRPr="0096524F" w:rsidRDefault="00A60ADB" w:rsidP="0096524F">
      <w:pPr>
        <w:pStyle w:val="BNormal"/>
      </w:pPr>
      <w:r w:rsidRPr="0096524F">
        <w:t>The use of the TDRA’s six-factor test in a product configuration case will probably result in a finding in favor of the plaintiff</w:t>
      </w:r>
      <w:r w:rsidR="0096524F" w:rsidRPr="0096524F">
        <w:t>.</w:t>
      </w:r>
      <w:r w:rsidR="0096524F" w:rsidRPr="0096524F">
        <w:t xml:space="preserve"> </w:t>
      </w:r>
      <w:r w:rsidR="0096524F" w:rsidRPr="0096524F">
        <w:t>S</w:t>
      </w:r>
      <w:r w:rsidRPr="0096524F">
        <w:t>ince the configuration must be famous to be eligible for dilution protection, it is likely that the second factor, degree of recognition of the mark, will favor the plaintiff, as would the degree of distinctiveness</w:t>
      </w:r>
      <w:r w:rsidR="0096524F" w:rsidRPr="0096524F">
        <w:t>.</w:t>
      </w:r>
      <w:r w:rsidR="0096524F" w:rsidRPr="0096524F">
        <w:t xml:space="preserve"> </w:t>
      </w:r>
      <w:r w:rsidR="0096524F" w:rsidRPr="0096524F">
        <w:t>A</w:t>
      </w:r>
      <w:r w:rsidRPr="0096524F">
        <w:t>ssuming that the second user has made a copy, or something close to a copy, of the original, then similarity would also favor the plaintiff.</w:t>
      </w:r>
      <w:r w:rsidR="0096524F" w:rsidRPr="0096524F">
        <w:rPr>
          <w:vertAlign w:val="superscript"/>
        </w:rPr>
        <w:footnoteReference w:id="1027"/>
      </w:r>
      <w:r w:rsidRPr="0096524F">
        <w:t xml:space="preserve"> The factor of predatory intent in a product configuration case is problematic</w:t>
      </w:r>
      <w:r w:rsidR="0096524F" w:rsidRPr="0096524F">
        <w:t>.</w:t>
      </w:r>
      <w:r w:rsidR="0096524F" w:rsidRPr="0096524F">
        <w:t xml:space="preserve"> </w:t>
      </w:r>
      <w:r w:rsidR="0096524F" w:rsidRPr="0096524F">
        <w:t>I</w:t>
      </w:r>
      <w:r w:rsidRPr="0096524F">
        <w:t xml:space="preserve">t may be that the second user deliberately copied the configuration in order to compete in the </w:t>
      </w:r>
      <w:r w:rsidRPr="0096524F">
        <w:lastRenderedPageBreak/>
        <w:t>market for that product</w:t>
      </w:r>
      <w:r w:rsidR="0096524F" w:rsidRPr="0096524F">
        <w:t>.</w:t>
      </w:r>
      <w:r w:rsidR="0096524F" w:rsidRPr="0096524F">
        <w:t xml:space="preserve"> </w:t>
      </w:r>
      <w:r w:rsidR="0096524F" w:rsidRPr="0096524F">
        <w:t>T</w:t>
      </w:r>
      <w:r w:rsidRPr="0096524F">
        <w:t>hus, the second user also presumably meant to capitalize on the fact that the famous configuration had created a strong market for this product design</w:t>
      </w:r>
      <w:r w:rsidR="0096524F" w:rsidRPr="0096524F">
        <w:t>.</w:t>
      </w:r>
      <w:r w:rsidR="0096524F" w:rsidRPr="0096524F">
        <w:t xml:space="preserve"> </w:t>
      </w:r>
      <w:r w:rsidR="0096524F" w:rsidRPr="0096524F">
        <w:t>T</w:t>
      </w:r>
      <w:r w:rsidRPr="0096524F">
        <w:t>hat may give a court reason to decide that this factor favors the plaintiff</w:t>
      </w:r>
      <w:r w:rsidR="0096524F" w:rsidRPr="0096524F">
        <w:t>.</w:t>
      </w:r>
      <w:r w:rsidR="0096524F" w:rsidRPr="0096524F">
        <w:t xml:space="preserve"> </w:t>
      </w:r>
      <w:r w:rsidR="0096524F" w:rsidRPr="0096524F">
        <w:t>B</w:t>
      </w:r>
      <w:r w:rsidRPr="0096524F">
        <w:t>ut intentionally copying a product is not the same as intentionally copying a word or logo mark</w:t>
      </w:r>
      <w:r w:rsidR="0096524F" w:rsidRPr="0096524F">
        <w:t>.</w:t>
      </w:r>
      <w:r w:rsidR="0096524F" w:rsidRPr="0096524F">
        <w:t xml:space="preserve"> </w:t>
      </w:r>
      <w:r w:rsidR="0096524F" w:rsidRPr="0096524F">
        <w:t>I</w:t>
      </w:r>
      <w:r w:rsidRPr="0096524F">
        <w:t>n the latter case, it is more reasonable to assume bad faith</w:t>
      </w:r>
      <w:r w:rsidR="0096524F" w:rsidRPr="0096524F">
        <w:t>.</w:t>
      </w:r>
      <w:r w:rsidR="0096524F" w:rsidRPr="0096524F">
        <w:t xml:space="preserve"> </w:t>
      </w:r>
      <w:r w:rsidR="0096524F" w:rsidRPr="0096524F">
        <w:t>M</w:t>
      </w:r>
      <w:r w:rsidRPr="0096524F">
        <w:t>oreover, even if the object of this factor is not simply bad faith, the policy in favor of competition suggests that predatory “intent to create an association” should be analyzed more carefully in product configuration cases.</w:t>
      </w:r>
      <w:r w:rsidR="0096524F" w:rsidRPr="0096524F">
        <w:rPr>
          <w:vertAlign w:val="superscript"/>
        </w:rPr>
        <w:footnoteReference w:id="1028"/>
      </w:r>
    </w:p>
    <w:p w14:paraId="055857CF" w14:textId="6698A9AB" w:rsidR="0096524F" w:rsidRPr="0096524F" w:rsidRDefault="00A60ADB" w:rsidP="0096524F">
      <w:pPr>
        <w:pStyle w:val="BNormal"/>
      </w:pPr>
      <w:r w:rsidRPr="0096524F">
        <w:t>The other two factors, mental association and the degree to which the famous mark owner is the exclusive user of the mark, may well favor the plaintiff</w:t>
      </w:r>
      <w:r w:rsidR="0096524F" w:rsidRPr="0096524F">
        <w:t>.</w:t>
      </w:r>
      <w:r w:rsidR="0096524F" w:rsidRPr="0096524F">
        <w:t xml:space="preserve"> </w:t>
      </w:r>
      <w:r w:rsidR="0096524F" w:rsidRPr="0096524F">
        <w:t>H</w:t>
      </w:r>
      <w:r w:rsidRPr="0096524F">
        <w:t>owever, they are also connected to the possibility of functionality (which would make the configuration unprotectable as a mark)</w:t>
      </w:r>
      <w:r w:rsidR="0096524F" w:rsidRPr="0096524F">
        <w:t>.</w:t>
      </w:r>
      <w:r w:rsidR="0096524F" w:rsidRPr="0096524F">
        <w:t xml:space="preserve"> </w:t>
      </w:r>
      <w:r w:rsidR="0096524F" w:rsidRPr="0096524F">
        <w:t>I</w:t>
      </w:r>
      <w:r w:rsidRPr="0096524F">
        <w:t>f the core of a product configuration consists of design elements that are relatively common, then that configuration may be deemed functional.</w:t>
      </w:r>
      <w:r w:rsidR="0096524F" w:rsidRPr="0096524F">
        <w:rPr>
          <w:vertAlign w:val="superscript"/>
        </w:rPr>
        <w:footnoteReference w:id="1029"/>
      </w:r>
      <w:r w:rsidRPr="0096524F">
        <w:t xml:space="preserve"> Otherwise, competition would be unduly stifled</w:t>
      </w:r>
      <w:r w:rsidR="0096524F" w:rsidRPr="0096524F">
        <w:t>.</w:t>
      </w:r>
      <w:r w:rsidR="0096524F" w:rsidRPr="0096524F">
        <w:t xml:space="preserve"> </w:t>
      </w:r>
      <w:r w:rsidR="0096524F" w:rsidRPr="0096524F">
        <w:t>A</w:t>
      </w:r>
      <w:r w:rsidRPr="0096524F">
        <w:t>nd if the design elements are somewhat common, then either (1) it is unlikely that the configuration will evoke a mental association between the two marks, or (2) any mental association will be due to the familiar (and functional) elements, and not necessarily the unique (and possibly nonfunctional) aspects of the famous product design.</w:t>
      </w:r>
    </w:p>
    <w:p w14:paraId="4AEFE585" w14:textId="60E1578B" w:rsidR="0096524F" w:rsidRPr="0096524F" w:rsidRDefault="00A60ADB" w:rsidP="0096524F">
      <w:pPr>
        <w:pStyle w:val="BNormal"/>
      </w:pPr>
      <w:r w:rsidRPr="0096524F">
        <w:t>Clearly, courts should proceed cautiously in this area</w:t>
      </w:r>
      <w:r w:rsidR="0096524F" w:rsidRPr="0096524F">
        <w:t>.</w:t>
      </w:r>
      <w:r w:rsidR="0096524F" w:rsidRPr="0096524F">
        <w:t xml:space="preserve"> </w:t>
      </w:r>
      <w:r w:rsidR="0096524F" w:rsidRPr="0096524F">
        <w:t>T</w:t>
      </w:r>
      <w:r w:rsidRPr="0096524F">
        <w:t>hrough the “Savings Clause” in the TDRA, Congress demonstrated its concern that dilution protection for product configurations could unwittingly become a substitute for patent protection</w:t>
      </w:r>
      <w:r w:rsidR="0096524F" w:rsidRPr="0096524F">
        <w:t>.</w:t>
      </w:r>
      <w:r w:rsidR="0096524F" w:rsidRPr="0096524F">
        <w:t xml:space="preserve"> </w:t>
      </w:r>
      <w:r w:rsidR="0096524F" w:rsidRPr="0096524F">
        <w:t>T</w:t>
      </w:r>
      <w:r w:rsidRPr="0096524F">
        <w:t>his would be an unwarranted anticompetitive result</w:t>
      </w:r>
      <w:r w:rsidR="0096524F" w:rsidRPr="0096524F">
        <w:t>.</w:t>
      </w:r>
      <w:r w:rsidR="0096524F" w:rsidRPr="0096524F">
        <w:t xml:space="preserve"> </w:t>
      </w:r>
      <w:r w:rsidR="0096524F" w:rsidRPr="0096524F">
        <w:t>T</w:t>
      </w:r>
      <w:r w:rsidRPr="0096524F">
        <w:t>herefore, more than a mechanical application of the factors is in order</w:t>
      </w:r>
      <w:r w:rsidR="0096524F" w:rsidRPr="0096524F">
        <w:t>.</w:t>
      </w:r>
      <w:r w:rsidR="0096524F" w:rsidRPr="0096524F">
        <w:t xml:space="preserve"> </w:t>
      </w:r>
      <w:r w:rsidR="0096524F" w:rsidRPr="0096524F">
        <w:t>C</w:t>
      </w:r>
      <w:r w:rsidRPr="0096524F">
        <w:t>ourts must consider the issue in the broader context of the harmonization of trademark and patent and the prevention of anticompetitive effects.</w:t>
      </w:r>
    </w:p>
    <w:p w14:paraId="6798D6EF" w14:textId="133CCD0D" w:rsidR="0096524F" w:rsidRPr="0096524F" w:rsidRDefault="00371CCB" w:rsidP="00175762">
      <w:pPr>
        <w:pStyle w:val="BHead3"/>
      </w:pPr>
      <w:r>
        <w:t>9.VI.B.</w:t>
      </w:r>
      <w:r w:rsidR="0096524F" w:rsidRPr="00175762">
        <w:rPr>
          <w:rStyle w:val="BBNAidChar"/>
          <w:rFonts w:eastAsiaTheme="majorEastAsia"/>
        </w:rPr>
        <w:t>2</w:t>
      </w:r>
      <w:r w:rsidR="0096524F" w:rsidRPr="0096524F">
        <w:t>.</w:t>
      </w:r>
      <w:r>
        <w:t> </w:t>
      </w:r>
      <w:r w:rsidR="0096524F" w:rsidRPr="0096524F">
        <w:tab/>
      </w:r>
      <w:proofErr w:type="spellStart"/>
      <w:r w:rsidR="0096524F" w:rsidRPr="0096524F">
        <w:t>Tarnishment</w:t>
      </w:r>
      <w:proofErr w:type="spellEnd"/>
      <w:r w:rsidR="0096524F" w:rsidRPr="0096524F">
        <w:t xml:space="preserve"> of Product Configurations</w:t>
      </w:r>
    </w:p>
    <w:p w14:paraId="125B782B" w14:textId="14098661" w:rsidR="0096524F" w:rsidRPr="0096524F" w:rsidRDefault="00A60ADB" w:rsidP="0096524F">
      <w:pPr>
        <w:pStyle w:val="BNormal"/>
      </w:pPr>
      <w:r w:rsidRPr="0096524F">
        <w:t>Owners of product configurations may complain that cheap, “knockoff” versions of their products will create an unwelcome association between the cheaper version and the originator’s product.</w:t>
      </w:r>
      <w:r w:rsidR="0096524F" w:rsidRPr="0096524F">
        <w:rPr>
          <w:vertAlign w:val="superscript"/>
        </w:rPr>
        <w:footnoteReference w:id="1030"/>
      </w:r>
      <w:r w:rsidRPr="0096524F">
        <w:t xml:space="preserve"> An example of such a case under the FTDA is </w:t>
      </w:r>
      <w:r w:rsidR="0096524F" w:rsidRPr="0096524F">
        <w:rPr>
          <w:i/>
        </w:rPr>
        <w:t>Libbey Glass,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Oneida, Ltd</w:t>
      </w:r>
      <w:r w:rsidRPr="0096524F">
        <w:t>.</w:t>
      </w:r>
      <w:r w:rsidR="0096524F" w:rsidRPr="0096524F">
        <w:rPr>
          <w:vertAlign w:val="superscript"/>
        </w:rPr>
        <w:footnoteReference w:id="1031"/>
      </w:r>
      <w:r w:rsidRPr="0096524F">
        <w:t xml:space="preserve"> The plaintiff claimed that the defendant copied its line of glassware and that the lower quality of the defendant’s goods would cause </w:t>
      </w:r>
      <w:proofErr w:type="spellStart"/>
      <w:r w:rsidRPr="0096524F">
        <w:t>tarnishment</w:t>
      </w:r>
      <w:proofErr w:type="spellEnd"/>
      <w:r w:rsidRPr="0096524F">
        <w:t xml:space="preserve"> of the plaintiff’s designs.</w:t>
      </w:r>
      <w:r w:rsidR="0096524F" w:rsidRPr="0096524F">
        <w:rPr>
          <w:vertAlign w:val="superscript"/>
        </w:rPr>
        <w:footnoteReference w:id="1032"/>
      </w:r>
      <w:r w:rsidRPr="0096524F">
        <w:t xml:space="preserve"> The court found an issue of fact as to the existence of </w:t>
      </w:r>
      <w:proofErr w:type="spellStart"/>
      <w:r w:rsidRPr="0096524F">
        <w:t>tarnishment</w:t>
      </w:r>
      <w:proofErr w:type="spellEnd"/>
      <w:r w:rsidRPr="0096524F">
        <w:t>, but did not dispute the viability of this theory of liability.</w:t>
      </w:r>
      <w:r w:rsidR="0096524F" w:rsidRPr="0096524F">
        <w:rPr>
          <w:vertAlign w:val="superscript"/>
        </w:rPr>
        <w:footnoteReference w:id="1033"/>
      </w:r>
    </w:p>
    <w:p w14:paraId="43002D57" w14:textId="3181EC2F" w:rsidR="0096524F" w:rsidRPr="0096524F" w:rsidRDefault="00A60ADB" w:rsidP="0096524F">
      <w:pPr>
        <w:pStyle w:val="BNormal"/>
      </w:pPr>
      <w:r w:rsidRPr="0096524F">
        <w:lastRenderedPageBreak/>
        <w:t xml:space="preserve">Similarly, in </w:t>
      </w:r>
      <w:r w:rsidR="0096524F" w:rsidRPr="0096524F">
        <w:rPr>
          <w:rStyle w:val="BCasenamefull"/>
        </w:rPr>
        <w:t xml:space="preserve">Abbott Laboratories v. </w:t>
      </w:r>
      <w:proofErr w:type="spellStart"/>
      <w:r w:rsidR="0096524F" w:rsidRPr="0096524F">
        <w:rPr>
          <w:rStyle w:val="BCasenamefull"/>
        </w:rPr>
        <w:t>Revitalyte</w:t>
      </w:r>
      <w:proofErr w:type="spellEnd"/>
      <w:r w:rsidR="0096524F" w:rsidRPr="0096524F">
        <w:rPr>
          <w:rStyle w:val="BCasenamefull"/>
        </w:rPr>
        <w:t xml:space="preserve"> LLC</w:t>
      </w:r>
      <w:r w:rsidRPr="0096524F">
        <w:t>,</w:t>
      </w:r>
      <w:r w:rsidR="0096524F" w:rsidRPr="0096524F">
        <w:rPr>
          <w:vertAlign w:val="superscript"/>
        </w:rPr>
        <w:footnoteReference w:id="1034"/>
      </w:r>
      <w:r w:rsidRPr="0096524F">
        <w:t xml:space="preserve"> the court denied a motion for judgment on the pleadings regarding dilution by </w:t>
      </w:r>
      <w:proofErr w:type="spellStart"/>
      <w:r w:rsidRPr="0096524F">
        <w:t>tarnishment</w:t>
      </w:r>
      <w:proofErr w:type="spellEnd"/>
      <w:r w:rsidRPr="0096524F">
        <w:t xml:space="preserve"> of the Pedialyte trade dress, noting allegations that defendant’s “advertisements feature references to heavy drinking by young adults, encourage excessive consumption of alcohol, and often feature other conduct that could be described as vulgar and crass, including the use of expletives and suggestive placement of the product.”</w:t>
      </w:r>
      <w:r w:rsidR="0096524F" w:rsidRPr="0096524F">
        <w:rPr>
          <w:vertAlign w:val="superscript"/>
        </w:rPr>
        <w:footnoteReference w:id="1035"/>
      </w:r>
    </w:p>
    <w:p w14:paraId="18B6888F" w14:textId="4C74E0D3" w:rsidR="0096524F" w:rsidRPr="0096524F" w:rsidRDefault="00A60ADB" w:rsidP="0096524F">
      <w:pPr>
        <w:pStyle w:val="BNormal"/>
      </w:pPr>
      <w:proofErr w:type="spellStart"/>
      <w:r w:rsidRPr="0096524F">
        <w:t>Tarnishment</w:t>
      </w:r>
      <w:proofErr w:type="spellEnd"/>
      <w:r w:rsidRPr="0096524F">
        <w:t xml:space="preserve"> claims in product configuration cases must be analyzed with care</w:t>
      </w:r>
      <w:r w:rsidR="0096524F" w:rsidRPr="0096524F">
        <w:t>.</w:t>
      </w:r>
      <w:r w:rsidR="0096524F" w:rsidRPr="0096524F">
        <w:t xml:space="preserve"> </w:t>
      </w:r>
      <w:r w:rsidR="0096524F" w:rsidRPr="0096524F">
        <w:t>I</w:t>
      </w:r>
      <w:r w:rsidRPr="0096524F">
        <w:t>f the senior manufacturer is able to claim too easily that the second user’s product is inferior and diluting, then consumers will lose the value of competition and lower-priced goods</w:t>
      </w:r>
      <w:r w:rsidR="0096524F" w:rsidRPr="0096524F">
        <w:t>.</w:t>
      </w:r>
      <w:r w:rsidR="0096524F" w:rsidRPr="0096524F">
        <w:t xml:space="preserve"> </w:t>
      </w:r>
      <w:r w:rsidR="0096524F" w:rsidRPr="0096524F">
        <w:rPr>
          <w:i/>
        </w:rPr>
        <w:t>At a minimum</w:t>
      </w:r>
      <w:r w:rsidRPr="0096524F">
        <w:t>, courts should require a very strong showing that the second user is (or is likely to be) causing harm to the reputation of the trademark represented by the product configuration.</w:t>
      </w:r>
      <w:r w:rsidR="0096524F" w:rsidRPr="0096524F">
        <w:rPr>
          <w:vertAlign w:val="superscript"/>
        </w:rPr>
        <w:footnoteReference w:id="1036"/>
      </w:r>
    </w:p>
    <w:p w14:paraId="2DF5E22A" w14:textId="1E932053" w:rsidR="0096524F" w:rsidRPr="0096524F" w:rsidRDefault="00371CCB" w:rsidP="00175762">
      <w:pPr>
        <w:pStyle w:val="BHead2"/>
      </w:pPr>
      <w:r>
        <w:t>9.VI.</w:t>
      </w:r>
      <w:r w:rsidR="0096524F" w:rsidRPr="00175762">
        <w:rPr>
          <w:rStyle w:val="BBNAidChar"/>
          <w:rFonts w:eastAsiaTheme="majorEastAsia"/>
        </w:rPr>
        <w:t>C</w:t>
      </w:r>
      <w:r w:rsidR="0096524F" w:rsidRPr="0096524F">
        <w:t>.</w:t>
      </w:r>
      <w:r>
        <w:t> </w:t>
      </w:r>
      <w:r w:rsidR="0096524F" w:rsidRPr="0096524F">
        <w:tab/>
        <w:t>Functionality, Fame, and Distinctiveness as Gatekeepers Between Dilution and Patent</w:t>
      </w:r>
    </w:p>
    <w:p w14:paraId="1F1C4014" w14:textId="41C83677" w:rsidR="0096524F" w:rsidRPr="0096524F" w:rsidRDefault="00A60ADB" w:rsidP="0096524F">
      <w:pPr>
        <w:pStyle w:val="BNormal"/>
      </w:pPr>
      <w:r w:rsidRPr="0096524F">
        <w:t>The distinctions that exist between federal dilution protection and patent protection must come from something other than the test for dilution itself</w:t>
      </w:r>
      <w:r w:rsidR="0096524F" w:rsidRPr="0096524F">
        <w:t>.</w:t>
      </w:r>
      <w:r w:rsidR="0096524F" w:rsidRPr="0096524F">
        <w:t xml:space="preserve"> </w:t>
      </w:r>
      <w:r w:rsidR="0096524F" w:rsidRPr="0096524F">
        <w:t>O</w:t>
      </w:r>
      <w:r w:rsidRPr="0096524F">
        <w:t>ther possible distinctions are functionality, and fame and distinctiveness</w:t>
      </w:r>
      <w:r w:rsidR="0096524F" w:rsidRPr="0096524F">
        <w:t>.</w:t>
      </w:r>
      <w:r w:rsidR="0096524F" w:rsidRPr="0096524F">
        <w:t xml:space="preserve"> </w:t>
      </w:r>
      <w:r w:rsidR="0096524F" w:rsidRPr="0096524F">
        <w:t>A</w:t>
      </w:r>
      <w:r w:rsidRPr="0096524F">
        <w:t>ll of these can be viewed as prerequisites to dilution protection.</w:t>
      </w:r>
    </w:p>
    <w:p w14:paraId="0FF1EB9A" w14:textId="0D4BD743" w:rsidR="0096524F" w:rsidRPr="0096524F" w:rsidRDefault="00371CCB" w:rsidP="00175762">
      <w:pPr>
        <w:pStyle w:val="BHead3"/>
      </w:pPr>
      <w:r>
        <w:t>9.VI.C.</w:t>
      </w:r>
      <w:r w:rsidR="0096524F" w:rsidRPr="00175762">
        <w:rPr>
          <w:rStyle w:val="BBNAidChar"/>
          <w:rFonts w:eastAsiaTheme="majorEastAsia"/>
        </w:rPr>
        <w:t>1</w:t>
      </w:r>
      <w:r w:rsidR="0096524F" w:rsidRPr="0096524F">
        <w:t>.</w:t>
      </w:r>
      <w:r>
        <w:t> </w:t>
      </w:r>
      <w:r w:rsidR="0096524F" w:rsidRPr="0096524F">
        <w:tab/>
        <w:t>Functionality as Barrier to “Dilution Patent”</w:t>
      </w:r>
    </w:p>
    <w:p w14:paraId="2376F16C" w14:textId="042457FE" w:rsidR="0096524F" w:rsidRPr="0096524F" w:rsidRDefault="00A60ADB" w:rsidP="0096524F">
      <w:pPr>
        <w:pStyle w:val="BNormal"/>
      </w:pPr>
      <w:r w:rsidRPr="0096524F">
        <w:t>In order for a product configuration to qualify for dilution protection, it must be protectable as a trademark</w:t>
      </w:r>
      <w:r w:rsidR="0096524F" w:rsidRPr="0096524F">
        <w:t>.</w:t>
      </w:r>
      <w:r w:rsidR="0096524F" w:rsidRPr="0096524F">
        <w:t xml:space="preserve"> </w:t>
      </w:r>
      <w:r w:rsidR="0096524F" w:rsidRPr="0096524F">
        <w:t>O</w:t>
      </w:r>
      <w:r w:rsidRPr="0096524F">
        <w:t xml:space="preserve">ne of the general prerequisites for trade dress protection is </w:t>
      </w:r>
      <w:proofErr w:type="spellStart"/>
      <w:r w:rsidRPr="0096524F">
        <w:t>nonfunctionality</w:t>
      </w:r>
      <w:proofErr w:type="spellEnd"/>
      <w:r w:rsidRPr="0096524F">
        <w:t>.</w:t>
      </w:r>
      <w:r w:rsidR="0096524F" w:rsidRPr="0096524F">
        <w:rPr>
          <w:vertAlign w:val="superscript"/>
        </w:rPr>
        <w:footnoteReference w:id="1037"/>
      </w:r>
      <w:r w:rsidRPr="0096524F">
        <w:t xml:space="preserve"> Section 43(c)(4) expressly requires the owner of an </w:t>
      </w:r>
      <w:r w:rsidR="0096524F" w:rsidRPr="0096524F">
        <w:rPr>
          <w:i/>
        </w:rPr>
        <w:t>un</w:t>
      </w:r>
      <w:r w:rsidRPr="0096524F">
        <w:t>registered trade dress to prove non-functionality</w:t>
      </w:r>
      <w:r w:rsidR="0096524F" w:rsidRPr="0096524F">
        <w:t>.</w:t>
      </w:r>
      <w:r w:rsidR="0096524F" w:rsidRPr="0096524F">
        <w:t xml:space="preserve"> </w:t>
      </w:r>
      <w:r w:rsidR="0096524F" w:rsidRPr="0096524F">
        <w:t>P</w:t>
      </w:r>
      <w:r w:rsidRPr="0096524F">
        <w:t>resumably, Congress assumed that the owner of a federally registered trade dress had already demonstrated non-functionality to the Patent and Trademark Office</w:t>
      </w:r>
      <w:r w:rsidR="0096524F" w:rsidRPr="0096524F">
        <w:t>.</w:t>
      </w:r>
      <w:r w:rsidR="0096524F" w:rsidRPr="0096524F">
        <w:t xml:space="preserve"> </w:t>
      </w:r>
      <w:r w:rsidR="0096524F" w:rsidRPr="0096524F">
        <w:t>E</w:t>
      </w:r>
      <w:r w:rsidRPr="0096524F">
        <w:t>ven before the TDRA added Section 43(c)(4), however, it was assumed that the FTDA protected product configurations, provided that they were non-functional.</w:t>
      </w:r>
      <w:r w:rsidR="0096524F" w:rsidRPr="0096524F">
        <w:rPr>
          <w:vertAlign w:val="superscript"/>
        </w:rPr>
        <w:footnoteReference w:id="1038"/>
      </w:r>
      <w:r w:rsidRPr="0096524F">
        <w:t xml:space="preserve"> As defined in trade dress cases, a functional design is one that is “dictated by” the function of the article, is the best or cheapest method of making this article, or, more generally, is one that is needed for effective competition in this market.</w:t>
      </w:r>
      <w:r w:rsidR="0096524F" w:rsidRPr="0096524F">
        <w:rPr>
          <w:vertAlign w:val="superscript"/>
        </w:rPr>
        <w:footnoteReference w:id="1039"/>
      </w:r>
      <w:r w:rsidRPr="0096524F">
        <w:t xml:space="preserve"> Just as the refusal to protect generic word marks preserves a competitor’s interest in using the term, functionality recognizes the competitor’s need to use a particular product design.</w:t>
      </w:r>
    </w:p>
    <w:p w14:paraId="3B08AB29" w14:textId="01506E6A" w:rsidR="0096524F" w:rsidRPr="0096524F" w:rsidRDefault="00A60ADB" w:rsidP="0096524F">
      <w:pPr>
        <w:pStyle w:val="BNormal"/>
      </w:pPr>
      <w:r w:rsidRPr="0096524F">
        <w:lastRenderedPageBreak/>
        <w:t>To the extent that functionality prevents monopolization of a useful design, it distinguishes trademark protection (including dilution) from utility patent protection.</w:t>
      </w:r>
      <w:r w:rsidR="0096524F" w:rsidRPr="0096524F">
        <w:rPr>
          <w:vertAlign w:val="superscript"/>
        </w:rPr>
        <w:footnoteReference w:id="1040"/>
      </w:r>
      <w:r w:rsidRPr="0096524F">
        <w:t xml:space="preserve"> But design patents also protect nonfunctional designs.</w:t>
      </w:r>
      <w:r w:rsidR="0096524F" w:rsidRPr="0096524F">
        <w:rPr>
          <w:vertAlign w:val="superscript"/>
        </w:rPr>
        <w:footnoteReference w:id="1041"/>
      </w:r>
      <w:r w:rsidRPr="0096524F">
        <w:t xml:space="preserve"> Unless functionality is interpreted in a way that precludes monopolization of certain </w:t>
      </w:r>
      <w:r w:rsidR="0096524F" w:rsidRPr="0096524F">
        <w:rPr>
          <w:i/>
        </w:rPr>
        <w:t>non</w:t>
      </w:r>
      <w:r w:rsidRPr="0096524F">
        <w:t>functional designs, no significant distinction may exist between dilution and design patent protection</w:t>
      </w:r>
      <w:r w:rsidR="0096524F" w:rsidRPr="0096524F">
        <w:t>.</w:t>
      </w:r>
      <w:r w:rsidR="0096524F" w:rsidRPr="0096524F">
        <w:t xml:space="preserve"> </w:t>
      </w:r>
      <w:r w:rsidR="0096524F" w:rsidRPr="0096524F">
        <w:t>T</w:t>
      </w:r>
      <w:r w:rsidRPr="0096524F">
        <w:t>he seldom-used trademark doctrine of “aesthetic functionality” does preclude monopolization of some ornamental designs</w:t>
      </w:r>
      <w:r w:rsidR="0096524F" w:rsidRPr="0096524F">
        <w:t>.</w:t>
      </w:r>
      <w:r w:rsidR="0096524F" w:rsidRPr="0096524F">
        <w:t xml:space="preserve"> </w:t>
      </w:r>
      <w:r w:rsidR="0096524F" w:rsidRPr="0096524F">
        <w:t>A</w:t>
      </w:r>
      <w:r w:rsidRPr="0096524F">
        <w:t>esthetic functionality is based on the principle that certain designs are necessary for effective competition and should not be given trademark protection.</w:t>
      </w:r>
      <w:r w:rsidR="0096524F" w:rsidRPr="0096524F">
        <w:rPr>
          <w:vertAlign w:val="superscript"/>
        </w:rPr>
        <w:footnoteReference w:id="1042"/>
      </w:r>
      <w:r w:rsidRPr="0096524F">
        <w:t xml:space="preserve"> If a design is essential to competition, then it will be deemed functional and not capable of protection.</w:t>
      </w:r>
      <w:r w:rsidR="0096524F" w:rsidRPr="0096524F">
        <w:rPr>
          <w:vertAlign w:val="superscript"/>
        </w:rPr>
        <w:footnoteReference w:id="1043"/>
      </w:r>
      <w:r w:rsidRPr="0096524F">
        <w:t xml:space="preserve"> However, aesthetic functionality has not been well received by courts and commentators.</w:t>
      </w:r>
      <w:r w:rsidR="0096524F" w:rsidRPr="0096524F">
        <w:rPr>
          <w:vertAlign w:val="superscript"/>
        </w:rPr>
        <w:footnoteReference w:id="1044"/>
      </w:r>
      <w:r w:rsidRPr="0096524F">
        <w:t xml:space="preserve"> It raises many doctrinal questions, notably which market should be considered when measuring the needs of competition.</w:t>
      </w:r>
      <w:r w:rsidR="0096524F" w:rsidRPr="0096524F">
        <w:rPr>
          <w:vertAlign w:val="superscript"/>
        </w:rPr>
        <w:footnoteReference w:id="1045"/>
      </w:r>
      <w:r w:rsidRPr="0096524F">
        <w:t xml:space="preserve"> Unless the doctrine gains more acceptance, it will not be a strong distinguishing factor between patent and trademark dilution.</w:t>
      </w:r>
    </w:p>
    <w:p w14:paraId="1815A358" w14:textId="786A0789" w:rsidR="0096524F" w:rsidRPr="0096524F" w:rsidRDefault="00A60ADB" w:rsidP="0096524F">
      <w:pPr>
        <w:pStyle w:val="BNormal"/>
      </w:pPr>
      <w:r w:rsidRPr="0096524F">
        <w:t xml:space="preserve">In </w:t>
      </w:r>
      <w:r w:rsidR="0096524F" w:rsidRPr="0096524F">
        <w:rPr>
          <w:rStyle w:val="BCasenamefull"/>
        </w:rPr>
        <w:t>Apple, Inc. v. Samsung Electronics Co.</w:t>
      </w:r>
      <w:r w:rsidRPr="0096524F">
        <w:t>,</w:t>
      </w:r>
      <w:r w:rsidR="0096524F" w:rsidRPr="0096524F">
        <w:rPr>
          <w:vertAlign w:val="superscript"/>
        </w:rPr>
        <w:footnoteReference w:id="1046"/>
      </w:r>
      <w:r w:rsidRPr="0096524F">
        <w:t xml:space="preserve"> the Federal Circuit discussed functionality in a case involving utility patents, design patents, and trade dress (both registered and unregistered)</w:t>
      </w:r>
      <w:r w:rsidR="0096524F" w:rsidRPr="0096524F">
        <w:t>.</w:t>
      </w:r>
      <w:r w:rsidR="0096524F" w:rsidRPr="0096524F">
        <w:t xml:space="preserve"> </w:t>
      </w:r>
      <w:r w:rsidR="0096524F" w:rsidRPr="0096524F">
        <w:t>A</w:t>
      </w:r>
      <w:r w:rsidRPr="0096524F">
        <w:t xml:space="preserve"> jury found Samsung liable for both patent infringement and trademark dilution</w:t>
      </w:r>
      <w:r w:rsidR="0096524F" w:rsidRPr="0096524F">
        <w:t>.</w:t>
      </w:r>
      <w:r w:rsidR="0096524F" w:rsidRPr="0096524F">
        <w:t xml:space="preserve"> </w:t>
      </w:r>
      <w:r w:rsidR="0096524F" w:rsidRPr="0096524F">
        <w:t>A</w:t>
      </w:r>
      <w:r w:rsidRPr="0096524F">
        <w:t>lthough the Federal Circuit affirmed the jury verdict as to patent infringement, it reversed the dilution verdict on the grounds that the trade dresses in question—both registered and unregistered—were functional.</w:t>
      </w:r>
      <w:r w:rsidR="0096524F" w:rsidRPr="0096524F">
        <w:rPr>
          <w:vertAlign w:val="superscript"/>
        </w:rPr>
        <w:footnoteReference w:id="1047"/>
      </w:r>
      <w:r w:rsidRPr="0096524F">
        <w:t xml:space="preserve"> The Federal Circuit divided its discussion into unregistered and registered trade dress, because the latter is accorded a presumption of validity</w:t>
      </w:r>
      <w:r w:rsidR="0096524F" w:rsidRPr="0096524F">
        <w:t>.</w:t>
      </w:r>
      <w:r w:rsidR="0096524F" w:rsidRPr="0096524F">
        <w:t xml:space="preserve"> </w:t>
      </w:r>
      <w:r w:rsidR="0096524F" w:rsidRPr="0096524F">
        <w:t>I</w:t>
      </w:r>
      <w:r w:rsidRPr="0096524F">
        <w:t>t also used the Ninth Circuit’s functionality doctrine, because the case was filed in that Circuit.</w:t>
      </w:r>
      <w:r w:rsidR="0096524F" w:rsidRPr="0096524F">
        <w:rPr>
          <w:vertAlign w:val="superscript"/>
        </w:rPr>
        <w:footnoteReference w:id="1048"/>
      </w:r>
      <w:r w:rsidRPr="0096524F">
        <w:t xml:space="preserve"> In particular, the Federal Circuit noted that product configurations are scrutinized more carefully for functionality, because of the potential overlap with patent and copyright.</w:t>
      </w:r>
      <w:r w:rsidR="0096524F" w:rsidRPr="0096524F">
        <w:rPr>
          <w:vertAlign w:val="superscript"/>
        </w:rPr>
        <w:footnoteReference w:id="1049"/>
      </w:r>
      <w:r w:rsidRPr="0096524F">
        <w:t xml:space="preserve"> The unregistered trade dress consisted of several elements:</w:t>
      </w:r>
    </w:p>
    <w:p w14:paraId="6F419E77" w14:textId="554891A4" w:rsidR="0096524F" w:rsidRPr="0096524F" w:rsidRDefault="00A60ADB" w:rsidP="0096524F">
      <w:pPr>
        <w:pStyle w:val="BQuotelong"/>
      </w:pPr>
      <w:r w:rsidRPr="0096524F">
        <w:lastRenderedPageBreak/>
        <w:t>a rectangular product with four evenly rounded corners;</w:t>
      </w:r>
    </w:p>
    <w:p w14:paraId="328AD794" w14:textId="5C081279" w:rsidR="0096524F" w:rsidRPr="0096524F" w:rsidRDefault="00A60ADB" w:rsidP="0096524F">
      <w:pPr>
        <w:pStyle w:val="BQuotelong"/>
      </w:pPr>
      <w:r w:rsidRPr="0096524F">
        <w:t>a flat, clear surface covering the front of the product;</w:t>
      </w:r>
    </w:p>
    <w:p w14:paraId="41665456" w14:textId="3CB99A41" w:rsidR="0096524F" w:rsidRPr="0096524F" w:rsidRDefault="00A60ADB" w:rsidP="0096524F">
      <w:pPr>
        <w:pStyle w:val="BQuotelong"/>
      </w:pPr>
      <w:r w:rsidRPr="0096524F">
        <w:t>a display screen under the clear surface;</w:t>
      </w:r>
    </w:p>
    <w:p w14:paraId="56523A1F" w14:textId="375F717A" w:rsidR="0096524F" w:rsidRPr="0096524F" w:rsidRDefault="00A60ADB" w:rsidP="0096524F">
      <w:pPr>
        <w:pStyle w:val="BQuotelong"/>
      </w:pPr>
      <w:r w:rsidRPr="0096524F">
        <w:t>substantial black borders above and below the display screen and narrower black borders on either side of the screen</w:t>
      </w:r>
      <w:r w:rsidR="0096524F" w:rsidRPr="0096524F">
        <w:t>;</w:t>
      </w:r>
      <w:r w:rsidR="0096524F" w:rsidRPr="0096524F">
        <w:t xml:space="preserve"> </w:t>
      </w:r>
      <w:r w:rsidR="0096524F" w:rsidRPr="0096524F">
        <w:t>a</w:t>
      </w:r>
      <w:r w:rsidRPr="0096524F">
        <w:t>nd</w:t>
      </w:r>
    </w:p>
    <w:p w14:paraId="49A1CFE3" w14:textId="63912232" w:rsidR="0096524F" w:rsidRPr="0096524F" w:rsidRDefault="00A60ADB" w:rsidP="0096524F">
      <w:pPr>
        <w:pStyle w:val="BQuotelong"/>
      </w:pPr>
      <w:r w:rsidRPr="0096524F">
        <w:t>when the device is on, a row of small dots on the display screen, a matrix of colorful square icons with evenly rounded corners within the display screen, and an unchanging bottom dock of colorful square icons with evenly rounded corners set off from the display’s other icons.</w:t>
      </w:r>
      <w:r w:rsidR="0096524F" w:rsidRPr="0096524F">
        <w:rPr>
          <w:vertAlign w:val="superscript"/>
        </w:rPr>
        <w:footnoteReference w:id="1050"/>
      </w:r>
    </w:p>
    <w:p w14:paraId="2595DEA8" w14:textId="05A88266" w:rsidR="0096524F" w:rsidRPr="0096524F" w:rsidRDefault="00A60ADB" w:rsidP="0096524F">
      <w:pPr>
        <w:pStyle w:val="BNormal"/>
      </w:pPr>
      <w:r w:rsidRPr="0096524F">
        <w:t xml:space="preserve">Applying the Ninth Circuit’s test, requiring that the unregistered trade dress “serve[] </w:t>
      </w:r>
      <w:r w:rsidR="0096524F" w:rsidRPr="0096524F">
        <w:rPr>
          <w:i/>
        </w:rPr>
        <w:t>no purpose</w:t>
      </w:r>
      <w:r w:rsidRPr="0096524F">
        <w:t xml:space="preserve"> other than identification,”</w:t>
      </w:r>
      <w:r w:rsidR="0096524F" w:rsidRPr="0096524F">
        <w:rPr>
          <w:vertAlign w:val="superscript"/>
        </w:rPr>
        <w:footnoteReference w:id="1051"/>
      </w:r>
      <w:r w:rsidRPr="0096524F">
        <w:t xml:space="preserve"> the Federal Circuit found that each of these elements served a utilitarian purpose:</w:t>
      </w:r>
    </w:p>
    <w:p w14:paraId="665F9996" w14:textId="51D9BFF0" w:rsidR="0096524F" w:rsidRPr="0096524F" w:rsidRDefault="00A60ADB" w:rsidP="0096524F">
      <w:pPr>
        <w:pStyle w:val="BQuotelong"/>
      </w:pPr>
      <w:r w:rsidRPr="0096524F">
        <w:t>rounded corners improve “</w:t>
      </w:r>
      <w:proofErr w:type="spellStart"/>
      <w:r w:rsidRPr="0096524F">
        <w:t>pocketability</w:t>
      </w:r>
      <w:proofErr w:type="spellEnd"/>
      <w:r w:rsidRPr="0096524F">
        <w:t>” and “durability” and rectangular shape maximizes the display that can be accommodated</w:t>
      </w:r>
      <w:r w:rsidR="0096524F" w:rsidRPr="0096524F">
        <w:t>.</w:t>
      </w:r>
      <w:r w:rsidR="0096524F" w:rsidRPr="0096524F">
        <w:t xml:space="preserve"> </w:t>
      </w:r>
      <w:r w:rsidR="0096524F" w:rsidRPr="0096524F">
        <w:t>J</w:t>
      </w:r>
      <w:r w:rsidRPr="0096524F">
        <w:t>.A</w:t>
      </w:r>
      <w:r w:rsidR="0096524F" w:rsidRPr="0096524F">
        <w:t>.</w:t>
      </w:r>
      <w:r w:rsidR="0096524F" w:rsidRPr="0096524F">
        <w:t xml:space="preserve"> </w:t>
      </w:r>
      <w:r w:rsidR="0096524F" w:rsidRPr="0096524F">
        <w:t>4</w:t>
      </w:r>
      <w:r w:rsidRPr="0096524F">
        <w:t>0869–70</w:t>
      </w:r>
      <w:r w:rsidR="0096524F" w:rsidRPr="0096524F">
        <w:t>;</w:t>
      </w:r>
      <w:r w:rsidR="0096524F" w:rsidRPr="0096524F">
        <w:t xml:space="preserve"> </w:t>
      </w:r>
      <w:r w:rsidR="0096524F" w:rsidRPr="0096524F">
        <w:t>J</w:t>
      </w:r>
      <w:r w:rsidRPr="0096524F">
        <w:t>.A</w:t>
      </w:r>
      <w:r w:rsidR="0096524F" w:rsidRPr="0096524F">
        <w:t>.</w:t>
      </w:r>
      <w:r w:rsidR="0096524F" w:rsidRPr="0096524F">
        <w:t xml:space="preserve"> </w:t>
      </w:r>
      <w:r w:rsidR="0096524F" w:rsidRPr="0096524F">
        <w:t>4</w:t>
      </w:r>
      <w:r w:rsidRPr="0096524F">
        <w:t>2612–13</w:t>
      </w:r>
      <w:r w:rsidR="0096524F" w:rsidRPr="0096524F">
        <w:t>.</w:t>
      </w:r>
      <w:r w:rsidR="0096524F" w:rsidRPr="0096524F">
        <w:t xml:space="preserve"> </w:t>
      </w:r>
      <w:r w:rsidR="0096524F" w:rsidRPr="0096524F">
        <w:t>A</w:t>
      </w:r>
      <w:r w:rsidRPr="0096524F">
        <w:t xml:space="preserve"> flat clear surface on the front of the phone facilitates touch operation by fingers over a large display</w:t>
      </w:r>
      <w:r w:rsidR="0096524F" w:rsidRPr="0096524F">
        <w:t>.</w:t>
      </w:r>
      <w:r w:rsidR="0096524F" w:rsidRPr="0096524F">
        <w:t xml:space="preserve"> </w:t>
      </w:r>
      <w:r w:rsidR="0096524F" w:rsidRPr="0096524F">
        <w:t>J</w:t>
      </w:r>
      <w:r w:rsidRPr="0096524F">
        <w:t>.A</w:t>
      </w:r>
      <w:r w:rsidR="0096524F" w:rsidRPr="0096524F">
        <w:t>.</w:t>
      </w:r>
      <w:r w:rsidR="0096524F" w:rsidRPr="0096524F">
        <w:t xml:space="preserve"> </w:t>
      </w:r>
      <w:r w:rsidR="0096524F" w:rsidRPr="0096524F">
        <w:t>4</w:t>
      </w:r>
      <w:r w:rsidRPr="0096524F">
        <w:t>2616–17</w:t>
      </w:r>
      <w:r w:rsidR="0096524F" w:rsidRPr="0096524F">
        <w:t>.</w:t>
      </w:r>
      <w:r w:rsidR="0096524F" w:rsidRPr="0096524F">
        <w:t xml:space="preserve"> </w:t>
      </w:r>
      <w:r w:rsidR="0096524F" w:rsidRPr="0096524F">
        <w:t>T</w:t>
      </w:r>
      <w:r w:rsidRPr="0096524F">
        <w:t>he bezel protects the glass from impact when the phone is dropped</w:t>
      </w:r>
      <w:r w:rsidR="0096524F" w:rsidRPr="0096524F">
        <w:t>.</w:t>
      </w:r>
      <w:r w:rsidR="0096524F" w:rsidRPr="0096524F">
        <w:t xml:space="preserve"> </w:t>
      </w:r>
      <w:r w:rsidR="0096524F" w:rsidRPr="0096524F">
        <w:t>J</w:t>
      </w:r>
      <w:r w:rsidRPr="0096524F">
        <w:t>.A</w:t>
      </w:r>
      <w:r w:rsidR="0096524F" w:rsidRPr="0096524F">
        <w:t>.</w:t>
      </w:r>
      <w:r w:rsidR="0096524F" w:rsidRPr="0096524F">
        <w:t xml:space="preserve"> </w:t>
      </w:r>
      <w:r w:rsidR="0096524F" w:rsidRPr="0096524F">
        <w:t>4</w:t>
      </w:r>
      <w:r w:rsidRPr="0096524F">
        <w:t>0495</w:t>
      </w:r>
      <w:r w:rsidR="0096524F" w:rsidRPr="0096524F">
        <w:t>.</w:t>
      </w:r>
      <w:r w:rsidR="0096524F" w:rsidRPr="0096524F">
        <w:t xml:space="preserve"> </w:t>
      </w:r>
      <w:r w:rsidR="0096524F" w:rsidRPr="0096524F">
        <w:t>T</w:t>
      </w:r>
      <w:r w:rsidRPr="0096524F">
        <w:t>he borders around the display are sized to accommodate other components while minimizing the overall product dimensions</w:t>
      </w:r>
      <w:r w:rsidR="0096524F" w:rsidRPr="0096524F">
        <w:t>.</w:t>
      </w:r>
      <w:r w:rsidR="0096524F" w:rsidRPr="0096524F">
        <w:t xml:space="preserve"> </w:t>
      </w:r>
      <w:r w:rsidR="0096524F" w:rsidRPr="0096524F">
        <w:t>J</w:t>
      </w:r>
      <w:r w:rsidRPr="0096524F">
        <w:t>.A</w:t>
      </w:r>
      <w:r w:rsidR="0096524F" w:rsidRPr="0096524F">
        <w:t>.</w:t>
      </w:r>
      <w:r w:rsidR="0096524F" w:rsidRPr="0096524F">
        <w:t xml:space="preserve"> </w:t>
      </w:r>
      <w:r w:rsidR="0096524F" w:rsidRPr="0096524F">
        <w:t>4</w:t>
      </w:r>
      <w:r w:rsidRPr="0096524F">
        <w:t>0872</w:t>
      </w:r>
      <w:r w:rsidR="0096524F" w:rsidRPr="0096524F">
        <w:t>.</w:t>
      </w:r>
      <w:r w:rsidR="0096524F" w:rsidRPr="0096524F">
        <w:t xml:space="preserve"> </w:t>
      </w:r>
      <w:r w:rsidR="0096524F" w:rsidRPr="0096524F">
        <w:t>T</w:t>
      </w:r>
      <w:r w:rsidRPr="0096524F">
        <w:t>he row of dots in the user interface indicates multiple pages of application screens that are available</w:t>
      </w:r>
      <w:r w:rsidR="0096524F" w:rsidRPr="0096524F">
        <w:t>.</w:t>
      </w:r>
      <w:r w:rsidR="0096524F" w:rsidRPr="0096524F">
        <w:t xml:space="preserve"> </w:t>
      </w:r>
      <w:r w:rsidR="0096524F" w:rsidRPr="0096524F">
        <w:t>J</w:t>
      </w:r>
      <w:r w:rsidRPr="0096524F">
        <w:t>.A</w:t>
      </w:r>
      <w:r w:rsidR="0096524F" w:rsidRPr="0096524F">
        <w:t>.</w:t>
      </w:r>
      <w:r w:rsidR="0096524F" w:rsidRPr="0096524F">
        <w:t xml:space="preserve"> </w:t>
      </w:r>
      <w:r w:rsidR="0096524F" w:rsidRPr="0096524F">
        <w:t>4</w:t>
      </w:r>
      <w:r w:rsidRPr="0096524F">
        <w:t>1452–53</w:t>
      </w:r>
      <w:r w:rsidR="0096524F" w:rsidRPr="0096524F">
        <w:t>.</w:t>
      </w:r>
      <w:r w:rsidR="0096524F" w:rsidRPr="0096524F">
        <w:t xml:space="preserve"> </w:t>
      </w:r>
      <w:r w:rsidR="0096524F" w:rsidRPr="0096524F">
        <w:t>T</w:t>
      </w:r>
      <w:r w:rsidRPr="0096524F">
        <w:t>he icons allow users to differentiate the applications available to the users and the bottom dock of unchanging icons allows for quick access to the most commonly used applications.</w:t>
      </w:r>
      <w:r w:rsidR="0096524F" w:rsidRPr="0096524F">
        <w:rPr>
          <w:vertAlign w:val="superscript"/>
        </w:rPr>
        <w:footnoteReference w:id="1052"/>
      </w:r>
    </w:p>
    <w:p w14:paraId="55ACAE00" w14:textId="2C9F24C6" w:rsidR="0096524F" w:rsidRPr="0096524F" w:rsidRDefault="00A60ADB" w:rsidP="0096524F">
      <w:pPr>
        <w:pStyle w:val="BNormal"/>
      </w:pPr>
      <w:r w:rsidRPr="0096524F">
        <w:t xml:space="preserve">In addition, the court found that alternative designs (not required under the Supreme Court’s decision in </w:t>
      </w:r>
      <w:proofErr w:type="spellStart"/>
      <w:r w:rsidR="0096524F" w:rsidRPr="0096524F">
        <w:rPr>
          <w:i/>
        </w:rPr>
        <w:t>TrafFix</w:t>
      </w:r>
      <w:proofErr w:type="spellEnd"/>
      <w:r w:rsidRPr="0096524F">
        <w:t>) did not provide identical functionality and that Apple’s advertising had touted some of these functional advantages.</w:t>
      </w:r>
      <w:r w:rsidR="0096524F" w:rsidRPr="0096524F">
        <w:rPr>
          <w:vertAlign w:val="superscript"/>
        </w:rPr>
        <w:footnoteReference w:id="1053"/>
      </w:r>
      <w:r w:rsidRPr="0096524F">
        <w:t xml:space="preserve"> In sum, the court found the unregistered trade dress to be unquestionably functional.</w:t>
      </w:r>
      <w:r w:rsidR="0096524F" w:rsidRPr="0096524F">
        <w:rPr>
          <w:vertAlign w:val="superscript"/>
        </w:rPr>
        <w:footnoteReference w:id="1054"/>
      </w:r>
    </w:p>
    <w:p w14:paraId="6A7FF81F" w14:textId="1E0EF623" w:rsidR="0096524F" w:rsidRPr="0096524F" w:rsidRDefault="00A60ADB" w:rsidP="0096524F">
      <w:pPr>
        <w:pStyle w:val="BNormal"/>
      </w:pPr>
      <w:r w:rsidRPr="0096524F">
        <w:t>Turning to the registered trade dress, namely, “the design details in each of the sixteen icons on the iPhone’s home screen framed by the iPhone’s rounded-rectangular shape with silver edges and a black background,”</w:t>
      </w:r>
      <w:r w:rsidR="0096524F" w:rsidRPr="0096524F">
        <w:rPr>
          <w:vertAlign w:val="superscript"/>
        </w:rPr>
        <w:footnoteReference w:id="1055"/>
      </w:r>
      <w:r w:rsidRPr="0096524F">
        <w:t xml:space="preserve"> the court found this, too, enhanced the usability of the iPhone.</w:t>
      </w:r>
      <w:r w:rsidR="0096524F" w:rsidRPr="0096524F">
        <w:rPr>
          <w:vertAlign w:val="superscript"/>
        </w:rPr>
        <w:footnoteReference w:id="1056"/>
      </w:r>
      <w:r w:rsidRPr="0096524F">
        <w:t xml:space="preserve"> Indeed, Apple’s own expert testimony </w:t>
      </w:r>
      <w:r w:rsidRPr="0096524F">
        <w:lastRenderedPageBreak/>
        <w:t>indicated that the design of icons, for example, enhances the ability of users to understand how best to operate the iPhone.</w:t>
      </w:r>
      <w:r w:rsidR="0096524F" w:rsidRPr="0096524F">
        <w:rPr>
          <w:vertAlign w:val="superscript"/>
        </w:rPr>
        <w:footnoteReference w:id="1057"/>
      </w:r>
      <w:r w:rsidRPr="0096524F">
        <w:t xml:space="preserve"> Thus, Samsung was able to overcome the presumption of validity and Apple did not demonstrate the non-functionality of its design.</w:t>
      </w:r>
    </w:p>
    <w:p w14:paraId="2A89CA1A" w14:textId="405E664A" w:rsidR="0096524F" w:rsidRPr="0096524F" w:rsidRDefault="00A60ADB" w:rsidP="0096524F">
      <w:pPr>
        <w:pStyle w:val="BNormal"/>
      </w:pPr>
      <w:r w:rsidRPr="0096524F">
        <w:t>Thus, in this case functionality proved to be a barrier to dilution protection for a product configuration</w:t>
      </w:r>
      <w:r w:rsidR="0096524F" w:rsidRPr="0096524F">
        <w:t>.</w:t>
      </w:r>
      <w:r w:rsidR="0096524F" w:rsidRPr="0096524F">
        <w:t xml:space="preserve"> </w:t>
      </w:r>
      <w:r w:rsidR="0096524F" w:rsidRPr="0096524F">
        <w:t>H</w:t>
      </w:r>
      <w:r w:rsidRPr="0096524F">
        <w:t>owever, this case appears to have been decided on utilitarian functionality grounds</w:t>
      </w:r>
      <w:r w:rsidR="0096524F" w:rsidRPr="0096524F">
        <w:t>;</w:t>
      </w:r>
      <w:r w:rsidR="0096524F" w:rsidRPr="0096524F">
        <w:t xml:space="preserve"> </w:t>
      </w:r>
      <w:r w:rsidR="0096524F" w:rsidRPr="0096524F">
        <w:t>a</w:t>
      </w:r>
      <w:r w:rsidRPr="0096524F">
        <w:t>esthetic functionality was not analyzed (and, given the result, was unnecessary).</w:t>
      </w:r>
    </w:p>
    <w:p w14:paraId="3EFBEBAE" w14:textId="2C8AF266" w:rsidR="0096524F" w:rsidRPr="0096524F" w:rsidRDefault="00A60ADB" w:rsidP="0096524F">
      <w:pPr>
        <w:pStyle w:val="BNormal"/>
      </w:pPr>
      <w:r w:rsidRPr="0096524F">
        <w:t xml:space="preserve">In </w:t>
      </w:r>
      <w:r w:rsidR="0096524F" w:rsidRPr="0096524F">
        <w:rPr>
          <w:rStyle w:val="BCasenamefull"/>
        </w:rPr>
        <w:t>Evig LLC v. Fantasy Inc.</w:t>
      </w:r>
      <w:r w:rsidRPr="0096524F">
        <w:t>,</w:t>
      </w:r>
      <w:r w:rsidR="0096524F" w:rsidRPr="0096524F">
        <w:rPr>
          <w:vertAlign w:val="superscript"/>
        </w:rPr>
        <w:footnoteReference w:id="1058"/>
      </w:r>
      <w:r w:rsidRPr="0096524F">
        <w:t xml:space="preserve"> the court found that the issue of the functionality of plaintiff’s trade dress was precluded by a prior court ruling that it was functional.</w:t>
      </w:r>
      <w:r w:rsidR="0096524F" w:rsidRPr="0096524F">
        <w:rPr>
          <w:vertAlign w:val="superscript"/>
        </w:rPr>
        <w:footnoteReference w:id="1059"/>
      </w:r>
    </w:p>
    <w:p w14:paraId="3CC9D6EB" w14:textId="318DE747" w:rsidR="0096524F" w:rsidRPr="0096524F" w:rsidRDefault="00371CCB" w:rsidP="00175762">
      <w:pPr>
        <w:pStyle w:val="BHead3"/>
      </w:pPr>
      <w:r>
        <w:t>9.VI.C.</w:t>
      </w:r>
      <w:r w:rsidR="0096524F" w:rsidRPr="00175762">
        <w:rPr>
          <w:rStyle w:val="BBNAidChar"/>
          <w:rFonts w:eastAsiaTheme="majorEastAsia"/>
        </w:rPr>
        <w:t>2</w:t>
      </w:r>
      <w:r w:rsidR="0096524F" w:rsidRPr="0096524F">
        <w:t>.</w:t>
      </w:r>
      <w:r>
        <w:t> </w:t>
      </w:r>
      <w:r w:rsidR="0096524F" w:rsidRPr="0096524F">
        <w:tab/>
        <w:t>Fame and Distinctiveness as Gatekeepers of Dilution Protection</w:t>
      </w:r>
    </w:p>
    <w:p w14:paraId="47907634" w14:textId="721D5BD2" w:rsidR="0096524F" w:rsidRPr="0096524F" w:rsidRDefault="00A60ADB" w:rsidP="0096524F">
      <w:pPr>
        <w:pStyle w:val="BNormal"/>
      </w:pPr>
      <w:r w:rsidRPr="0096524F">
        <w:t>The major limitation on product configuration protection in the TDRA is the requirement of fame</w:t>
      </w:r>
      <w:r w:rsidR="0096524F" w:rsidRPr="0096524F">
        <w:t>.</w:t>
      </w:r>
      <w:r w:rsidR="0096524F" w:rsidRPr="0096524F">
        <w:t xml:space="preserve"> </w:t>
      </w:r>
      <w:r w:rsidR="0096524F" w:rsidRPr="0096524F">
        <w:t>T</w:t>
      </w:r>
      <w:r w:rsidRPr="0096524F">
        <w:t>he TDRA gives a right of action to the owner of a “famous mark that is distinctive.”</w:t>
      </w:r>
      <w:r w:rsidR="0096524F" w:rsidRPr="0096524F">
        <w:rPr>
          <w:vertAlign w:val="superscript"/>
        </w:rPr>
        <w:footnoteReference w:id="1060"/>
      </w:r>
      <w:r w:rsidRPr="0096524F">
        <w:t xml:space="preserve"> And distinctiveness is a prerequisite for any kind of trademark protection.</w:t>
      </w:r>
      <w:r w:rsidR="0096524F" w:rsidRPr="0096524F">
        <w:rPr>
          <w:vertAlign w:val="superscript"/>
        </w:rPr>
        <w:footnoteReference w:id="1061"/>
      </w:r>
      <w:r w:rsidRPr="0096524F">
        <w:t xml:space="preserve"> Moreover, in the area of product configurations, the Supreme Court has now somewhat clarified the conditions for distinctiveness</w:t>
      </w:r>
      <w:r w:rsidR="0096524F" w:rsidRPr="0096524F">
        <w:t>.</w:t>
      </w:r>
      <w:r w:rsidR="0096524F" w:rsidRPr="0096524F">
        <w:t xml:space="preserve"> </w:t>
      </w:r>
      <w:r w:rsidR="0096524F" w:rsidRPr="0096524F">
        <w:t>I</w:t>
      </w:r>
      <w:r w:rsidRPr="0096524F">
        <w:t xml:space="preserve">n </w:t>
      </w:r>
      <w:r w:rsidR="0096524F" w:rsidRPr="0096524F">
        <w:rPr>
          <w:i/>
        </w:rPr>
        <w:t>Wal-Mart Stores, Inc</w:t>
      </w:r>
      <w:r w:rsidR="0096524F" w:rsidRPr="0096524F">
        <w:t>.</w:t>
      </w:r>
      <w:r w:rsidR="0096524F" w:rsidRPr="0096524F">
        <w:t xml:space="preserve"> </w:t>
      </w:r>
      <w:r w:rsidR="0096524F" w:rsidRPr="0096524F">
        <w:rPr>
          <w:i/>
        </w:rPr>
        <w:t>v</w:t>
      </w:r>
      <w:r w:rsidR="0096524F" w:rsidRPr="0096524F">
        <w:t>.</w:t>
      </w:r>
      <w:r w:rsidR="0096524F" w:rsidRPr="0096524F">
        <w:t xml:space="preserve"> </w:t>
      </w:r>
      <w:r w:rsidR="0096524F" w:rsidRPr="0096524F">
        <w:rPr>
          <w:i/>
        </w:rPr>
        <w:t>Samara Bros</w:t>
      </w:r>
      <w:r w:rsidRPr="0096524F">
        <w:t>.</w:t>
      </w:r>
      <w:r w:rsidR="0096524F" w:rsidRPr="0096524F">
        <w:rPr>
          <w:i/>
        </w:rPr>
        <w:t>, Inc</w:t>
      </w:r>
      <w:r w:rsidRPr="0096524F">
        <w:t>.,</w:t>
      </w:r>
      <w:r w:rsidR="0096524F" w:rsidRPr="0096524F">
        <w:rPr>
          <w:vertAlign w:val="superscript"/>
        </w:rPr>
        <w:footnoteReference w:id="1062"/>
      </w:r>
      <w:r w:rsidRPr="0096524F">
        <w:t xml:space="preserve"> the Court held that a product configuration must be shown to have secondary meaning before it can be protected.</w:t>
      </w:r>
      <w:r w:rsidR="0096524F" w:rsidRPr="0096524F">
        <w:rPr>
          <w:vertAlign w:val="superscript"/>
        </w:rPr>
        <w:footnoteReference w:id="1063"/>
      </w:r>
      <w:r w:rsidRPr="0096524F">
        <w:t xml:space="preserve"> The Court explained that although product configurations may be viewed as unique and attractive, they are not presumptively viewed as trademarks, that is, as source identifiers.</w:t>
      </w:r>
      <w:r w:rsidR="0096524F" w:rsidRPr="0096524F">
        <w:rPr>
          <w:vertAlign w:val="superscript"/>
        </w:rPr>
        <w:footnoteReference w:id="1064"/>
      </w:r>
      <w:r w:rsidRPr="0096524F">
        <w:t xml:space="preserve"> Therefore, protection depends on an affirmative showing that the product configuration operates as an identification of source, not just as a pleasing design.</w:t>
      </w:r>
    </w:p>
    <w:p w14:paraId="65C15820" w14:textId="650E6D16" w:rsidR="0096524F" w:rsidRPr="0096524F" w:rsidRDefault="00A60ADB" w:rsidP="0096524F">
      <w:pPr>
        <w:pStyle w:val="BNormal"/>
      </w:pPr>
      <w:r w:rsidRPr="0096524F">
        <w:t>As discussed in Chapter 8, the Second Circuit’s interpretation of the original FTDA—that marks must be “inherently distinctive” in order to be eligible for protection</w:t>
      </w:r>
      <w:r w:rsidR="0096524F" w:rsidRPr="0096524F">
        <w:rPr>
          <w:vertAlign w:val="superscript"/>
        </w:rPr>
        <w:footnoteReference w:id="1065"/>
      </w:r>
      <w:r w:rsidRPr="0096524F">
        <w:t>—made product configurations ineligible for dilution protection.</w:t>
      </w:r>
      <w:r w:rsidR="0096524F" w:rsidRPr="0096524F">
        <w:rPr>
          <w:vertAlign w:val="superscript"/>
        </w:rPr>
        <w:footnoteReference w:id="1066"/>
      </w:r>
      <w:r w:rsidRPr="0096524F">
        <w:t xml:space="preserve"> However, the TDRA reworded the statute, which now protects marks that are distinctive, </w:t>
      </w:r>
      <w:r w:rsidRPr="0096524F">
        <w:lastRenderedPageBreak/>
        <w:t>“inherently or through acquired distinctiveness.” Thus, product configurations should be eligible, as long as they can demonstrate fame and acquired distinctiveness.</w:t>
      </w:r>
      <w:r w:rsidR="0096524F" w:rsidRPr="0096524F">
        <w:rPr>
          <w:vertAlign w:val="superscript"/>
        </w:rPr>
        <w:footnoteReference w:id="1067"/>
      </w:r>
    </w:p>
    <w:p w14:paraId="5E8B9932" w14:textId="2BEE62A4" w:rsidR="0096524F" w:rsidRPr="0096524F" w:rsidRDefault="00371CCB" w:rsidP="00175762">
      <w:pPr>
        <w:pStyle w:val="BHead4"/>
      </w:pPr>
      <w:r>
        <w:t>9.VI.C.2.</w:t>
      </w:r>
      <w:r w:rsidR="0096524F" w:rsidRPr="00175762">
        <w:rPr>
          <w:rStyle w:val="BBNAidChar"/>
          <w:rFonts w:eastAsiaTheme="majorEastAsia"/>
        </w:rPr>
        <w:t>a</w:t>
      </w:r>
      <w:r w:rsidR="0096524F" w:rsidRPr="0096524F">
        <w:t>.</w:t>
      </w:r>
      <w:r>
        <w:t> </w:t>
      </w:r>
      <w:r w:rsidR="0096524F" w:rsidRPr="0096524F">
        <w:tab/>
        <w:t>Demonstrating Secondary Meaning in a Product Configuration</w:t>
      </w:r>
    </w:p>
    <w:p w14:paraId="6C38CCB1" w14:textId="4BB9974F" w:rsidR="0096524F" w:rsidRPr="0096524F" w:rsidRDefault="00A60ADB" w:rsidP="0096524F">
      <w:pPr>
        <w:pStyle w:val="BNormal"/>
      </w:pPr>
      <w:r w:rsidRPr="0096524F">
        <w:t>Secondary meaning can be shown by both direct and indirect evidence</w:t>
      </w:r>
      <w:r w:rsidR="0096524F" w:rsidRPr="0096524F">
        <w:t>.</w:t>
      </w:r>
      <w:r w:rsidR="0096524F" w:rsidRPr="0096524F">
        <w:t xml:space="preserve"> </w:t>
      </w:r>
      <w:r w:rsidR="0096524F" w:rsidRPr="0096524F">
        <w:t>D</w:t>
      </w:r>
      <w:r w:rsidRPr="0096524F">
        <w:t>irect evidence usually is in the form of a consumer survey or unsolicited third-party references indicating the source-identifying properties of the design.</w:t>
      </w:r>
      <w:r w:rsidR="0096524F" w:rsidRPr="0096524F">
        <w:rPr>
          <w:vertAlign w:val="superscript"/>
        </w:rPr>
        <w:footnoteReference w:id="1068"/>
      </w:r>
      <w:r w:rsidRPr="0096524F">
        <w:t xml:space="preserve"> Indirect evidence ordinarily is in the form of advertising expenditures, length of time that the mark has been in use, exclusivity of use, and evidence of copying.</w:t>
      </w:r>
      <w:r w:rsidR="0096524F" w:rsidRPr="0096524F">
        <w:rPr>
          <w:vertAlign w:val="superscript"/>
        </w:rPr>
        <w:footnoteReference w:id="1069"/>
      </w:r>
      <w:r w:rsidRPr="0096524F">
        <w:t xml:space="preserve"> Where a product configuration is concerned, indirect evidence is an especially weak indication of secondary meaning</w:t>
      </w:r>
      <w:r w:rsidR="0096524F" w:rsidRPr="0096524F">
        <w:t>.</w:t>
      </w:r>
      <w:r w:rsidR="0096524F" w:rsidRPr="0096524F">
        <w:t xml:space="preserve"> </w:t>
      </w:r>
      <w:r w:rsidR="0096524F" w:rsidRPr="0096524F">
        <w:t>L</w:t>
      </w:r>
      <w:r w:rsidRPr="0096524F">
        <w:t>ong and exclusive use and advertising dollars may successfully create a demand for the product, but it is unclear that they create an association of source with the product’s shape</w:t>
      </w:r>
      <w:r w:rsidR="0096524F" w:rsidRPr="0096524F">
        <w:t>.</w:t>
      </w:r>
      <w:r w:rsidR="0096524F" w:rsidRPr="0096524F">
        <w:t xml:space="preserve"> </w:t>
      </w:r>
      <w:r w:rsidR="0096524F" w:rsidRPr="0096524F">
        <w:t>C</w:t>
      </w:r>
      <w:r w:rsidRPr="0096524F">
        <w:t>opying, which with word marks or packaging would reasonably lead to the conclusion that the copyist believes the mark (or packaging) has associational value, is less instructive for product designs</w:t>
      </w:r>
      <w:r w:rsidR="0096524F" w:rsidRPr="0096524F">
        <w:t>.</w:t>
      </w:r>
      <w:r w:rsidR="0096524F" w:rsidRPr="0096524F">
        <w:t xml:space="preserve"> </w:t>
      </w:r>
      <w:r w:rsidR="0096524F" w:rsidRPr="0096524F">
        <w:t>O</w:t>
      </w:r>
      <w:r w:rsidRPr="0096524F">
        <w:t>ne may copy a product because the public finds it attractive and because of a desire to compete in that product line.</w:t>
      </w:r>
    </w:p>
    <w:p w14:paraId="7071ADBF" w14:textId="6C68E467" w:rsidR="0096524F" w:rsidRPr="0096524F" w:rsidRDefault="00A60ADB" w:rsidP="0096524F">
      <w:pPr>
        <w:pStyle w:val="BNormal"/>
      </w:pPr>
      <w:r w:rsidRPr="0096524F">
        <w:t>In one post-</w:t>
      </w:r>
      <w:r w:rsidR="0096524F" w:rsidRPr="0096524F">
        <w:rPr>
          <w:i/>
        </w:rPr>
        <w:t>Wal-Mart</w:t>
      </w:r>
      <w:r w:rsidRPr="0096524F">
        <w:t xml:space="preserve"> case, a court required more evidence of secondary meaning than in cases of word marks or packaging.</w:t>
      </w:r>
      <w:r w:rsidR="0096524F" w:rsidRPr="0096524F">
        <w:rPr>
          <w:vertAlign w:val="superscript"/>
        </w:rPr>
        <w:footnoteReference w:id="1070"/>
      </w:r>
      <w:r w:rsidRPr="0096524F">
        <w:t xml:space="preserve"> “Specifically, [plaintiff] must create an evidentiary basis for inferring that the source-identifying function has subordinated its other functions.”</w:t>
      </w:r>
      <w:r w:rsidR="0096524F" w:rsidRPr="0096524F">
        <w:rPr>
          <w:vertAlign w:val="superscript"/>
        </w:rPr>
        <w:footnoteReference w:id="1071"/>
      </w:r>
      <w:r w:rsidRPr="0096524F">
        <w:t xml:space="preserve"> That court scrutinized the proffered evidence, which included several surveys, skeptically, deciding that the plaintiff had failed to sustain its burden.</w:t>
      </w:r>
      <w:r w:rsidR="0096524F" w:rsidRPr="0096524F">
        <w:rPr>
          <w:vertAlign w:val="superscript"/>
        </w:rPr>
        <w:footnoteReference w:id="1072"/>
      </w:r>
      <w:r w:rsidRPr="0096524F">
        <w:t xml:space="preserve"> Perhaps most interesting was the court’s determination that the surveys must show not only that consumers view the product configuration as a source identifier, but that they also view it as emanating from a </w:t>
      </w:r>
      <w:r w:rsidR="0096524F" w:rsidRPr="0096524F">
        <w:rPr>
          <w:i/>
        </w:rPr>
        <w:t>single</w:t>
      </w:r>
      <w:r w:rsidRPr="0096524F">
        <w:t xml:space="preserve"> (though perhaps anonymous) source.</w:t>
      </w:r>
      <w:r w:rsidR="0096524F" w:rsidRPr="0096524F">
        <w:rPr>
          <w:vertAlign w:val="superscript"/>
        </w:rPr>
        <w:footnoteReference w:id="1073"/>
      </w:r>
      <w:r w:rsidRPr="0096524F">
        <w:t xml:space="preserve"> By making an exacting inquiry into secondary meaning, the court also placed a barrier in the way of state dilution claims, which may be less restrictive than the TDRA, but which also require distinctiveness.</w:t>
      </w:r>
      <w:r w:rsidR="0096524F" w:rsidRPr="0096524F">
        <w:rPr>
          <w:vertAlign w:val="superscript"/>
        </w:rPr>
        <w:footnoteReference w:id="1074"/>
      </w:r>
      <w:r w:rsidRPr="0096524F">
        <w:t xml:space="preserve"> A heightened secondary meaning requirement, based on the assumption that the public is less apt to view product configurations as trademarks, would help distinguish product configuration dilution from patent infringement.</w:t>
      </w:r>
      <w:r w:rsidR="0096524F" w:rsidRPr="0096524F">
        <w:rPr>
          <w:vertAlign w:val="superscript"/>
        </w:rPr>
        <w:footnoteReference w:id="1075"/>
      </w:r>
    </w:p>
    <w:p w14:paraId="6B3E5F92" w14:textId="734AEADE" w:rsidR="0096524F" w:rsidRPr="0096524F" w:rsidRDefault="00371CCB" w:rsidP="00175762">
      <w:pPr>
        <w:pStyle w:val="BHead4"/>
      </w:pPr>
      <w:r>
        <w:t>9.VI.C.2.</w:t>
      </w:r>
      <w:r w:rsidR="0096524F" w:rsidRPr="00175762">
        <w:rPr>
          <w:rStyle w:val="BBNAidChar"/>
          <w:rFonts w:eastAsiaTheme="majorEastAsia"/>
        </w:rPr>
        <w:t>b</w:t>
      </w:r>
      <w:r w:rsidR="0096524F" w:rsidRPr="0096524F">
        <w:t>.</w:t>
      </w:r>
      <w:r>
        <w:t> </w:t>
      </w:r>
      <w:r w:rsidR="0096524F" w:rsidRPr="0096524F">
        <w:tab/>
        <w:t>A “Famous” Product Configuration Mark</w:t>
      </w:r>
    </w:p>
    <w:p w14:paraId="412A3F8D" w14:textId="45F2E4C9" w:rsidR="0096524F" w:rsidRPr="0096524F" w:rsidRDefault="00A60ADB" w:rsidP="0096524F">
      <w:pPr>
        <w:pStyle w:val="BNormal"/>
      </w:pPr>
      <w:r w:rsidRPr="0096524F">
        <w:t>The requirement that a mark be “famous” to earn protection under the TDRA can be a serious gatekeeper to dilution protection.</w:t>
      </w:r>
      <w:r w:rsidR="0096524F" w:rsidRPr="0096524F">
        <w:rPr>
          <w:vertAlign w:val="superscript"/>
        </w:rPr>
        <w:footnoteReference w:id="1076"/>
      </w:r>
      <w:r w:rsidRPr="0096524F">
        <w:t xml:space="preserve"> The First Circuit, ruling in a product configuration dilution case, made clear that a court </w:t>
      </w:r>
      <w:r w:rsidRPr="0096524F">
        <w:lastRenderedPageBreak/>
        <w:t>“should be discriminating and selective in categorizing a mark as famous.”</w:t>
      </w:r>
      <w:r w:rsidR="0096524F" w:rsidRPr="0096524F">
        <w:rPr>
          <w:vertAlign w:val="superscript"/>
        </w:rPr>
        <w:footnoteReference w:id="1077"/>
      </w:r>
      <w:r w:rsidRPr="0096524F">
        <w:t xml:space="preserve"> The standard for fame was required to be even more rigorous than the standard for distinctiveness, even though many of the factors in both tests look the same.</w:t>
      </w:r>
      <w:r w:rsidR="0096524F" w:rsidRPr="0096524F">
        <w:rPr>
          <w:vertAlign w:val="superscript"/>
        </w:rPr>
        <w:footnoteReference w:id="1078"/>
      </w:r>
      <w:r w:rsidRPr="0096524F">
        <w:t xml:space="preserve"> As discussed elsewhere,</w:t>
      </w:r>
      <w:r w:rsidR="0096524F" w:rsidRPr="0096524F">
        <w:rPr>
          <w:vertAlign w:val="superscript"/>
        </w:rPr>
        <w:footnoteReference w:id="1079"/>
      </w:r>
      <w:r w:rsidRPr="0096524F">
        <w:t xml:space="preserve"> the Supreme Court’s decision in </w:t>
      </w:r>
      <w:r w:rsidR="0096524F" w:rsidRPr="0096524F">
        <w:rPr>
          <w:i/>
        </w:rPr>
        <w:t>Wal-Mart v</w:t>
      </w:r>
      <w:r w:rsidR="0096524F" w:rsidRPr="0096524F">
        <w:t>.</w:t>
      </w:r>
      <w:r w:rsidR="0096524F" w:rsidRPr="0096524F">
        <w:t xml:space="preserve"> </w:t>
      </w:r>
      <w:r w:rsidR="0096524F" w:rsidRPr="0096524F">
        <w:rPr>
          <w:i/>
        </w:rPr>
        <w:t>Samara</w:t>
      </w:r>
      <w:r w:rsidRPr="0096524F">
        <w:t xml:space="preserve"> complicates the test for a famous mark under the TDRA</w:t>
      </w:r>
      <w:r w:rsidR="0096524F" w:rsidRPr="0096524F">
        <w:t>.</w:t>
      </w:r>
      <w:r w:rsidR="0096524F" w:rsidRPr="0096524F">
        <w:t xml:space="preserve"> </w:t>
      </w:r>
      <w:r w:rsidR="0096524F" w:rsidRPr="0096524F">
        <w:t>T</w:t>
      </w:r>
      <w:r w:rsidRPr="0096524F">
        <w:t>he statute protects a “famous mark that is distinctive, inherently or through acquired distinctiveness.”</w:t>
      </w:r>
      <w:r w:rsidR="0096524F" w:rsidRPr="0096524F">
        <w:rPr>
          <w:vertAlign w:val="superscript"/>
        </w:rPr>
        <w:footnoteReference w:id="1080"/>
      </w:r>
      <w:r w:rsidRPr="0096524F">
        <w:t xml:space="preserve"> If “inherent distinctiveness” can no longer indicate that the product configuration serves as a trademark, it is difficult to make appropriate use of it in determining whether the configuration is a famous mark</w:t>
      </w:r>
      <w:r w:rsidR="0096524F" w:rsidRPr="0096524F">
        <w:t>.</w:t>
      </w:r>
      <w:r w:rsidR="0096524F" w:rsidRPr="0096524F">
        <w:t xml:space="preserve"> </w:t>
      </w:r>
      <w:r w:rsidR="0096524F" w:rsidRPr="0096524F">
        <w:t>H</w:t>
      </w:r>
      <w:r w:rsidRPr="0096524F">
        <w:t xml:space="preserve">opefully, courts will not engage in “gotcha” jurisprudence and assume that Congress has silently overruled </w:t>
      </w:r>
      <w:r w:rsidR="0096524F" w:rsidRPr="0096524F">
        <w:rPr>
          <w:i/>
        </w:rPr>
        <w:t>Wal-Mart</w:t>
      </w:r>
      <w:r w:rsidR="0096524F" w:rsidRPr="0096524F">
        <w:t>.</w:t>
      </w:r>
      <w:r w:rsidR="0096524F" w:rsidRPr="0096524F">
        <w:t xml:space="preserve"> </w:t>
      </w:r>
      <w:r w:rsidR="0096524F" w:rsidRPr="0096524F">
        <w:t>T</w:t>
      </w:r>
      <w:r w:rsidRPr="0096524F">
        <w:t>he third factor to be considered in determining fame under the TDRA is “the extent of actual recognition of the mark.”</w:t>
      </w:r>
      <w:r w:rsidR="0096524F" w:rsidRPr="0096524F">
        <w:rPr>
          <w:vertAlign w:val="superscript"/>
        </w:rPr>
        <w:footnoteReference w:id="1081"/>
      </w:r>
      <w:r w:rsidRPr="0096524F">
        <w:t xml:space="preserve"> In both situations, the goal is to show that the configuration serves as a source identifier</w:t>
      </w:r>
      <w:r w:rsidR="0096524F" w:rsidRPr="0096524F">
        <w:t>.</w:t>
      </w:r>
      <w:r w:rsidR="0096524F" w:rsidRPr="0096524F">
        <w:t xml:space="preserve"> </w:t>
      </w:r>
      <w:r w:rsidR="0096524F" w:rsidRPr="0096524F">
        <w:t>R</w:t>
      </w:r>
      <w:r w:rsidRPr="0096524F">
        <w:t>igorous application of this concept requires some sort of survey or surveys from the plaintiff</w:t>
      </w:r>
      <w:r w:rsidR="0096524F" w:rsidRPr="0096524F">
        <w:t>.</w:t>
      </w:r>
      <w:r w:rsidR="0096524F" w:rsidRPr="0096524F">
        <w:t xml:space="preserve"> </w:t>
      </w:r>
      <w:r w:rsidR="0096524F" w:rsidRPr="0096524F">
        <w:t>T</w:t>
      </w:r>
      <w:r w:rsidRPr="0096524F">
        <w:t>he surveys will need to demonstrate more than just source identification</w:t>
      </w:r>
      <w:r w:rsidR="0096524F" w:rsidRPr="0096524F">
        <w:t>.</w:t>
      </w:r>
      <w:r w:rsidR="0096524F" w:rsidRPr="0096524F">
        <w:t xml:space="preserve"> </w:t>
      </w:r>
      <w:r w:rsidR="0096524F" w:rsidRPr="0096524F">
        <w:t>T</w:t>
      </w:r>
      <w:r w:rsidRPr="0096524F">
        <w:t>hey will need to show a high level of such identification.</w:t>
      </w:r>
      <w:r w:rsidR="0096524F" w:rsidRPr="0096524F">
        <w:rPr>
          <w:vertAlign w:val="superscript"/>
        </w:rPr>
        <w:footnoteReference w:id="1082"/>
      </w:r>
    </w:p>
    <w:p w14:paraId="5AD11A95" w14:textId="123FD720" w:rsidR="0096524F" w:rsidRPr="0096524F" w:rsidRDefault="00A60ADB" w:rsidP="0096524F">
      <w:pPr>
        <w:pStyle w:val="BNormal"/>
      </w:pPr>
      <w:r w:rsidRPr="0096524F">
        <w:t xml:space="preserve">In addition, if the product design is not a registered trademark, then the mark owner also must comply with Section 43(c)(4), which requires unregistered trade dress to be shown to be famous </w:t>
      </w:r>
      <w:r w:rsidR="0096524F" w:rsidRPr="0096524F">
        <w:rPr>
          <w:i/>
        </w:rPr>
        <w:t>without</w:t>
      </w:r>
      <w:r w:rsidRPr="0096524F">
        <w:t xml:space="preserve"> any consideration of other marks (like a famous word mark) that may appear on the product.</w:t>
      </w:r>
      <w:r w:rsidR="0096524F" w:rsidRPr="0096524F">
        <w:rPr>
          <w:vertAlign w:val="superscript"/>
        </w:rPr>
        <w:footnoteReference w:id="1083"/>
      </w:r>
    </w:p>
    <w:p w14:paraId="44EF944A" w14:textId="02E92CDA" w:rsidR="0096524F" w:rsidRPr="0096524F" w:rsidRDefault="00A60ADB" w:rsidP="0096524F">
      <w:pPr>
        <w:pStyle w:val="BNormal"/>
      </w:pPr>
      <w:r w:rsidRPr="0096524F">
        <w:t>In one case, a district court found that the plaintiff had established at least an issue of fact as to the fame of its product configurations—a “three stripe” adornment on athletic shoes, and a trade dress consisting of stripes, a particular flat sole, a particular shoe toe, and a colored “heel patch.”</w:t>
      </w:r>
      <w:r w:rsidR="0096524F" w:rsidRPr="0096524F">
        <w:rPr>
          <w:vertAlign w:val="superscript"/>
        </w:rPr>
        <w:footnoteReference w:id="1084"/>
      </w:r>
      <w:r w:rsidRPr="0096524F">
        <w:t xml:space="preserve"> The court cited advertising, sales, and other evidence of awareness of the product design.</w:t>
      </w:r>
      <w:r w:rsidR="0096524F" w:rsidRPr="0096524F">
        <w:rPr>
          <w:vertAlign w:val="superscript"/>
        </w:rPr>
        <w:footnoteReference w:id="1085"/>
      </w:r>
    </w:p>
    <w:p w14:paraId="6E807BDE" w14:textId="391A5C56" w:rsidR="0096524F" w:rsidRPr="0096524F" w:rsidRDefault="00A60ADB" w:rsidP="0096524F">
      <w:pPr>
        <w:pStyle w:val="BNormal"/>
      </w:pPr>
      <w:r w:rsidRPr="0096524F">
        <w:t>In another case, the design of an iPhone 3GS was considered famous, while other iPhone designs and the design of an iPad were found not famous or functional.</w:t>
      </w:r>
      <w:r w:rsidR="0096524F" w:rsidRPr="0096524F">
        <w:rPr>
          <w:vertAlign w:val="superscript"/>
        </w:rPr>
        <w:footnoteReference w:id="1086"/>
      </w:r>
    </w:p>
    <w:p w14:paraId="37265905" w14:textId="028B9598" w:rsidR="0096524F" w:rsidRPr="0096524F" w:rsidRDefault="00A60ADB" w:rsidP="0096524F">
      <w:pPr>
        <w:pStyle w:val="BNormal"/>
      </w:pPr>
      <w:r w:rsidRPr="0096524F">
        <w:lastRenderedPageBreak/>
        <w:t>Prior to the TDRA, the use of “niche market” fame analysis loosened the barrier of a famous mark to dilution protection</w:t>
      </w:r>
      <w:r w:rsidR="0096524F" w:rsidRPr="0096524F">
        <w:t>.</w:t>
      </w:r>
      <w:r w:rsidR="0096524F" w:rsidRPr="0096524F">
        <w:t xml:space="preserve"> </w:t>
      </w:r>
      <w:r w:rsidR="0096524F" w:rsidRPr="0096524F">
        <w:t>(</w:t>
      </w:r>
      <w:r w:rsidRPr="0096524F">
        <w:t>Niche market fame refers to fame that exists among consumers only in a specific product market.</w:t>
      </w:r>
      <w:r w:rsidR="0096524F" w:rsidRPr="0096524F">
        <w:rPr>
          <w:vertAlign w:val="superscript"/>
        </w:rPr>
        <w:footnoteReference w:id="1087"/>
      </w:r>
      <w:r w:rsidRPr="0096524F">
        <w:t>) However, the TDRA has eliminated niche market fame, requiring a mark to be famous among the “general consuming public of the United States.”</w:t>
      </w:r>
      <w:r w:rsidR="0096524F" w:rsidRPr="0096524F">
        <w:rPr>
          <w:vertAlign w:val="superscript"/>
        </w:rPr>
        <w:footnoteReference w:id="1088"/>
      </w:r>
    </w:p>
    <w:p w14:paraId="09682C62" w14:textId="1C2136D2" w:rsidR="0096524F" w:rsidRPr="0096524F" w:rsidRDefault="00371CCB" w:rsidP="00175762">
      <w:pPr>
        <w:pStyle w:val="BHead2"/>
      </w:pPr>
      <w:r>
        <w:t>9.VI.</w:t>
      </w:r>
      <w:r w:rsidR="0096524F" w:rsidRPr="00175762">
        <w:rPr>
          <w:rStyle w:val="BBNAidChar"/>
          <w:rFonts w:eastAsiaTheme="majorEastAsia"/>
        </w:rPr>
        <w:t>D</w:t>
      </w:r>
      <w:r w:rsidR="0096524F" w:rsidRPr="0096524F">
        <w:t>.</w:t>
      </w:r>
      <w:r>
        <w:t> </w:t>
      </w:r>
      <w:r w:rsidR="0096524F" w:rsidRPr="0096524F">
        <w:tab/>
        <w:t>The Possible Clash Between the TDRA and the Patent Clause</w:t>
      </w:r>
    </w:p>
    <w:p w14:paraId="013C6348" w14:textId="3D4D7787" w:rsidR="0096524F" w:rsidRPr="0096524F" w:rsidRDefault="00A60ADB" w:rsidP="0096524F">
      <w:pPr>
        <w:pStyle w:val="BNormal"/>
      </w:pPr>
      <w:r w:rsidRPr="0096524F">
        <w:t>Use of dilution to protect product configurations may also conflict with the “limited times” provision of the Patent Clause of the Constitution.</w:t>
      </w:r>
      <w:r w:rsidR="0096524F" w:rsidRPr="0096524F">
        <w:rPr>
          <w:vertAlign w:val="superscript"/>
        </w:rPr>
        <w:footnoteReference w:id="1089"/>
      </w:r>
      <w:r w:rsidRPr="0096524F">
        <w:t xml:space="preserve"> Because dilution provides protection without the need for confusion, it arguably protects against the simple act of copying the product</w:t>
      </w:r>
      <w:r w:rsidR="0096524F" w:rsidRPr="0096524F">
        <w:t>.</w:t>
      </w:r>
      <w:r w:rsidR="0096524F" w:rsidRPr="0096524F">
        <w:t xml:space="preserve"> </w:t>
      </w:r>
      <w:r w:rsidR="0096524F" w:rsidRPr="0096524F">
        <w:t>T</w:t>
      </w:r>
      <w:r w:rsidRPr="0096524F">
        <w:t>his may provide unlimited protection in an area where the Constitution intends protection to be limited in time.</w:t>
      </w:r>
      <w:r w:rsidR="0096524F" w:rsidRPr="0096524F">
        <w:rPr>
          <w:vertAlign w:val="superscript"/>
        </w:rPr>
        <w:footnoteReference w:id="1090"/>
      </w:r>
      <w:r w:rsidRPr="0096524F">
        <w:t xml:space="preserve"> The TDRA contains a “Savings Clause” that appears designed with this issue in mind.</w:t>
      </w:r>
      <w:r w:rsidR="0096524F" w:rsidRPr="0096524F">
        <w:rPr>
          <w:vertAlign w:val="superscript"/>
        </w:rPr>
        <w:footnoteReference w:id="1091"/>
      </w:r>
    </w:p>
    <w:p w14:paraId="5A65D4E5" w14:textId="25E48143" w:rsidR="0096524F" w:rsidRPr="0096524F" w:rsidRDefault="00A60ADB" w:rsidP="0096524F">
      <w:pPr>
        <w:pStyle w:val="BNormal"/>
      </w:pPr>
      <w:r w:rsidRPr="0096524F">
        <w:t>The litigation between Apple and Samsung Electronics illustrates the problem</w:t>
      </w:r>
      <w:r w:rsidR="0096524F" w:rsidRPr="0096524F">
        <w:t>.</w:t>
      </w:r>
      <w:r w:rsidR="0096524F" w:rsidRPr="0096524F">
        <w:t xml:space="preserve"> </w:t>
      </w:r>
      <w:r w:rsidR="0096524F" w:rsidRPr="0096524F">
        <w:t>A</w:t>
      </w:r>
      <w:r w:rsidRPr="0096524F">
        <w:t>pple’s claims included patent infringement (both utility and design patents) and trade dress dilution.</w:t>
      </w:r>
      <w:r w:rsidR="0096524F" w:rsidRPr="0096524F">
        <w:rPr>
          <w:vertAlign w:val="superscript"/>
        </w:rPr>
        <w:footnoteReference w:id="1092"/>
      </w:r>
      <w:r w:rsidRPr="0096524F">
        <w:t xml:space="preserve"> The jury found for Apple on several claims under both patent infringement and dilution theories.</w:t>
      </w:r>
      <w:r w:rsidR="0096524F" w:rsidRPr="0096524F">
        <w:rPr>
          <w:vertAlign w:val="superscript"/>
        </w:rPr>
        <w:footnoteReference w:id="1093"/>
      </w:r>
      <w:r w:rsidRPr="0096524F">
        <w:t xml:space="preserve"> However, the court did not discuss the possible constitutional issue.</w:t>
      </w:r>
      <w:r w:rsidR="0096524F" w:rsidRPr="0096524F">
        <w:rPr>
          <w:vertAlign w:val="superscript"/>
        </w:rPr>
        <w:footnoteReference w:id="1094"/>
      </w:r>
    </w:p>
    <w:p w14:paraId="32CF2AA0" w14:textId="04B9790F" w:rsidR="00494245" w:rsidRPr="0096524F" w:rsidRDefault="00494245" w:rsidP="0096524F">
      <w:pPr>
        <w:pStyle w:val="BNormal"/>
      </w:pPr>
    </w:p>
    <w:sectPr w:rsidR="00494245" w:rsidRPr="0096524F"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1DC1F" w14:textId="77777777" w:rsidR="008A5B41" w:rsidRDefault="008A5B41" w:rsidP="002A47A4">
      <w:r>
        <w:separator/>
      </w:r>
    </w:p>
    <w:p w14:paraId="6D866C86" w14:textId="77777777" w:rsidR="008A5B41" w:rsidRDefault="008A5B41"/>
    <w:p w14:paraId="58FE33A9" w14:textId="77777777" w:rsidR="008A5B41" w:rsidRDefault="008A5B41"/>
  </w:endnote>
  <w:endnote w:type="continuationSeparator" w:id="0">
    <w:p w14:paraId="3A9476D5" w14:textId="77777777" w:rsidR="008A5B41" w:rsidRDefault="008A5B41" w:rsidP="002A47A4">
      <w:r>
        <w:continuationSeparator/>
      </w:r>
    </w:p>
    <w:p w14:paraId="6C9F9AD3" w14:textId="77777777" w:rsidR="008A5B41" w:rsidRDefault="008A5B41"/>
    <w:p w14:paraId="42037B80" w14:textId="77777777" w:rsidR="008A5B41" w:rsidRDefault="008A5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6AB7" w14:textId="77777777" w:rsidR="008A5B41" w:rsidRDefault="008A5B41" w:rsidP="002A47A4">
      <w:r>
        <w:separator/>
      </w:r>
    </w:p>
    <w:p w14:paraId="50C8B403" w14:textId="77777777" w:rsidR="008A5B41" w:rsidRDefault="008A5B41"/>
    <w:p w14:paraId="3EAEC682" w14:textId="77777777" w:rsidR="008A5B41" w:rsidRDefault="008A5B41"/>
  </w:footnote>
  <w:footnote w:type="continuationSeparator" w:id="0">
    <w:p w14:paraId="3C664E41" w14:textId="77777777" w:rsidR="008A5B41" w:rsidRDefault="008A5B41" w:rsidP="002A47A4">
      <w:r>
        <w:continuationSeparator/>
      </w:r>
    </w:p>
    <w:p w14:paraId="3BD4DAA5" w14:textId="77777777" w:rsidR="008A5B41" w:rsidRDefault="008A5B41"/>
    <w:p w14:paraId="6FD4CD45" w14:textId="77777777" w:rsidR="008A5B41" w:rsidRDefault="008A5B41"/>
  </w:footnote>
  <w:footnote w:id="1">
    <w:p w14:paraId="7D8B41CD" w14:textId="3282705E" w:rsidR="0096524F" w:rsidRPr="0096524F" w:rsidRDefault="0096524F" w:rsidP="0096524F">
      <w:pPr>
        <w:pStyle w:val="FootnoteText"/>
      </w:pPr>
      <w:r w:rsidRPr="0096524F">
        <w:rPr>
          <w:rStyle w:val="FootnoteReference"/>
        </w:rPr>
        <w:footnoteRef/>
      </w:r>
      <w:r w:rsidRPr="0096524F">
        <w:t>David Welkowitz is a Professor of Law Emeritus at Whittier Law School in Costa Mesa, California.</w:t>
      </w:r>
      <w:r w:rsidRPr="0096524F">
        <w:t xml:space="preserve"> </w:t>
      </w:r>
      <w:r w:rsidRPr="0096524F">
        <w:t>He has taught trademark law, international intellectual property law courses, and civil procedure, among other subjects.</w:t>
      </w:r>
      <w:r w:rsidRPr="0096524F">
        <w:t xml:space="preserve"> </w:t>
      </w:r>
      <w:r w:rsidRPr="0096524F">
        <w:t>He was a member of the Whittier faculty from 1983 to 2018.</w:t>
      </w:r>
      <w:r w:rsidRPr="0096524F">
        <w:t xml:space="preserve"> </w:t>
      </w:r>
      <w:r w:rsidRPr="0096524F">
        <w:t>From 2019 to 2023, he was an attorney with the U.S.</w:t>
      </w:r>
      <w:r w:rsidRPr="0096524F">
        <w:t xml:space="preserve"> </w:t>
      </w:r>
      <w:r w:rsidRPr="0096524F">
        <w:t>Copyright Office in Washington, D.C.</w:t>
      </w:r>
      <w:r w:rsidRPr="0096524F">
        <w:t xml:space="preserve"> </w:t>
      </w:r>
      <w:r w:rsidRPr="0096524F">
        <w:t>Prior to 1983, he practiced law in New York City.</w:t>
      </w:r>
    </w:p>
    <w:p w14:paraId="62685E11" w14:textId="77777777" w:rsidR="0096524F" w:rsidRDefault="0096524F" w:rsidP="0096524F">
      <w:pPr>
        <w:pStyle w:val="FootnoteText"/>
      </w:pPr>
      <w:r w:rsidRPr="0096524F">
        <w:t>Mr.</w:t>
      </w:r>
      <w:r w:rsidRPr="0096524F">
        <w:t xml:space="preserve"> </w:t>
      </w:r>
      <w:r w:rsidRPr="0096524F">
        <w:t>Welkowitz is the author of numerous articles on trademark law and other topics, and he is the co-author of a casebook on celebrity rights.</w:t>
      </w:r>
      <w:r w:rsidRPr="0096524F">
        <w:t xml:space="preserve"> </w:t>
      </w:r>
      <w:r w:rsidRPr="0096524F">
        <w:t>He has also written several lessons in computer-assisted learning, which are used by law students in the areas of civil procedure and trademark law.</w:t>
      </w:r>
      <w:r w:rsidRPr="0096524F">
        <w:t xml:space="preserve"> </w:t>
      </w:r>
      <w:r w:rsidRPr="0096524F">
        <w:t>Professor Welkowitz received his J.D.</w:t>
      </w:r>
      <w:r w:rsidRPr="0096524F">
        <w:t xml:space="preserve"> </w:t>
      </w:r>
      <w:r w:rsidRPr="0096524F">
        <w:t>degree in 1978 from New York University Law School, where he was a member of the Law Review.</w:t>
      </w:r>
      <w:r w:rsidRPr="0096524F">
        <w:t xml:space="preserve"> </w:t>
      </w:r>
      <w:r w:rsidRPr="0096524F">
        <w:t>He received an A.B.</w:t>
      </w:r>
      <w:r w:rsidRPr="0096524F">
        <w:t xml:space="preserve"> </w:t>
      </w:r>
      <w:r w:rsidRPr="0096524F">
        <w:t>degree in 1975 from Princeton University.</w:t>
      </w:r>
      <w:r w:rsidRPr="0096524F">
        <w:t xml:space="preserve"> </w:t>
      </w:r>
      <w:r w:rsidRPr="0096524F">
        <w:t>He is a member of the New York and District of Columbia bars, and is admitted to practice before the federal courts in the Southern and Eastern Districts of New York and the Court of Appeals for the Second Circuit.</w:t>
      </w:r>
    </w:p>
  </w:footnote>
  <w:footnote w:id="2">
    <w:p w14:paraId="0DFB4A59" w14:textId="5CF26FEE" w:rsidR="0096524F" w:rsidRPr="00EB11B3" w:rsidRDefault="0096524F" w:rsidP="0096524F">
      <w:pPr>
        <w:pStyle w:val="FootnoteText"/>
      </w:pPr>
      <w:r w:rsidRPr="0096524F">
        <w:rPr>
          <w:vertAlign w:val="superscript"/>
        </w:rPr>
        <w:footnoteRef/>
      </w:r>
      <w:r w:rsidRPr="0096524F">
        <w:rPr>
          <w:i/>
        </w:rPr>
        <w:t>See</w:t>
      </w:r>
      <w:r w:rsidRPr="0096524F">
        <w:t xml:space="preserve"> Chapter 3, §I.</w:t>
      </w:r>
    </w:p>
  </w:footnote>
  <w:footnote w:id="3">
    <w:p w14:paraId="577BDBB8" w14:textId="7C9E75E7" w:rsidR="0096524F" w:rsidRPr="00EB11B3" w:rsidRDefault="0096524F" w:rsidP="0096524F">
      <w:pPr>
        <w:pStyle w:val="FootnoteText"/>
      </w:pPr>
      <w:r w:rsidRPr="0096524F">
        <w:rPr>
          <w:vertAlign w:val="superscript"/>
        </w:rPr>
        <w:footnoteRef/>
      </w:r>
      <w:r w:rsidRPr="0096524F">
        <w:t>Ringling Bros.-Barnum &amp; Bailey Combined Shows, Inc.</w:t>
      </w:r>
      <w:r w:rsidRPr="0096524F">
        <w:t xml:space="preserve"> </w:t>
      </w:r>
      <w:r w:rsidRPr="0096524F">
        <w:t>v.</w:t>
      </w:r>
      <w:r w:rsidRPr="0096524F">
        <w:t xml:space="preserve"> </w:t>
      </w:r>
      <w:r w:rsidRPr="0096524F">
        <w:t>Utah Div.</w:t>
      </w:r>
      <w:r w:rsidRPr="0096524F">
        <w:t xml:space="preserve"> </w:t>
      </w:r>
      <w:r w:rsidRPr="0096524F">
        <w:t xml:space="preserve">of Travel Dev., 170 F.3d 449, 460, 50 USPQ2d 1065 (4th Cir.), </w:t>
      </w:r>
      <w:r w:rsidRPr="0096524F">
        <w:rPr>
          <w:i/>
        </w:rPr>
        <w:t>cert</w:t>
      </w:r>
      <w:r w:rsidRPr="0096524F">
        <w:t>.</w:t>
      </w:r>
      <w:r w:rsidRPr="0096524F">
        <w:t xml:space="preserve"> </w:t>
      </w:r>
      <w:r w:rsidRPr="0096524F">
        <w:rPr>
          <w:i/>
        </w:rPr>
        <w:t>denied,</w:t>
      </w:r>
      <w:r w:rsidRPr="0096524F">
        <w:t xml:space="preserve"> 528 U.S.</w:t>
      </w:r>
      <w:r w:rsidRPr="0096524F">
        <w:t xml:space="preserve"> </w:t>
      </w:r>
      <w:r w:rsidRPr="0096524F">
        <w:t>923 (1999);</w:t>
      </w:r>
      <w:r w:rsidRPr="0096524F">
        <w:t xml:space="preserve"> </w:t>
      </w:r>
      <w:r w:rsidRPr="0096524F">
        <w:t>Hasbro, Inc.</w:t>
      </w:r>
      <w:r w:rsidRPr="0096524F">
        <w:t xml:space="preserve"> </w:t>
      </w:r>
      <w:r w:rsidRPr="0096524F">
        <w:t>v.</w:t>
      </w:r>
      <w:r w:rsidRPr="0096524F">
        <w:t xml:space="preserve"> </w:t>
      </w:r>
      <w:r w:rsidRPr="0096524F">
        <w:t>Clue Computing, Inc., 66 F.</w:t>
      </w:r>
      <w:r w:rsidRPr="0096524F">
        <w:t xml:space="preserve"> </w:t>
      </w:r>
      <w:r w:rsidRPr="0096524F">
        <w:t>Supp.</w:t>
      </w:r>
      <w:r w:rsidRPr="0096524F">
        <w:t xml:space="preserve"> </w:t>
      </w:r>
      <w:r w:rsidRPr="0096524F">
        <w:t>2d 117, 130, 52 USPQ2d 1402 (D.</w:t>
      </w:r>
      <w:r w:rsidRPr="0096524F">
        <w:t xml:space="preserve"> </w:t>
      </w:r>
      <w:r w:rsidRPr="0096524F">
        <w:t>Mass.</w:t>
      </w:r>
      <w:r w:rsidRPr="0096524F">
        <w:t xml:space="preserve"> </w:t>
      </w:r>
      <w:r w:rsidRPr="0096524F">
        <w:t xml:space="preserve">1999), </w:t>
      </w:r>
      <w:r w:rsidRPr="0096524F">
        <w:rPr>
          <w:i/>
        </w:rPr>
        <w:t>aff’d,</w:t>
      </w:r>
      <w:r w:rsidRPr="0096524F">
        <w:t xml:space="preserve"> 232 F.3d 1, 56 USPQ2d 1766 (1st Cir.</w:t>
      </w:r>
      <w:r w:rsidRPr="0096524F">
        <w:t xml:space="preserve"> </w:t>
      </w:r>
      <w:r w:rsidRPr="0096524F">
        <w:t>2000).</w:t>
      </w:r>
    </w:p>
  </w:footnote>
  <w:footnote w:id="4">
    <w:p w14:paraId="253AFD28" w14:textId="0DF9C213" w:rsidR="0096524F" w:rsidRPr="00EB11B3" w:rsidRDefault="0096524F" w:rsidP="0096524F">
      <w:pPr>
        <w:pStyle w:val="FootnoteText"/>
      </w:pPr>
      <w:r w:rsidRPr="0096524F">
        <w:rPr>
          <w:vertAlign w:val="superscript"/>
        </w:rPr>
        <w:footnoteRef/>
      </w:r>
      <w:r w:rsidRPr="0096524F">
        <w:t>Frank I.</w:t>
      </w:r>
      <w:r w:rsidRPr="0096524F">
        <w:t xml:space="preserve"> </w:t>
      </w:r>
      <w:r w:rsidRPr="0096524F">
        <w:t xml:space="preserve">Schechter, </w:t>
      </w:r>
      <w:r w:rsidRPr="0096524F">
        <w:rPr>
          <w:i/>
        </w:rPr>
        <w:t>The Rational Basis of Trademark Protection,</w:t>
      </w:r>
      <w:r w:rsidRPr="0096524F">
        <w:t xml:space="preserve"> 40 </w:t>
      </w:r>
      <w:r w:rsidRPr="0096524F">
        <w:rPr>
          <w:smallCaps/>
        </w:rPr>
        <w:t>Harv.</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813 (1927).</w:t>
      </w:r>
    </w:p>
  </w:footnote>
  <w:footnote w:id="5">
    <w:p w14:paraId="639C354A" w14:textId="2BD38310"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831.</w:t>
      </w:r>
    </w:p>
  </w:footnote>
  <w:footnote w:id="6">
    <w:p w14:paraId="3C98025A" w14:textId="6C57CABC"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825.</w:t>
      </w:r>
    </w:p>
  </w:footnote>
  <w:footnote w:id="7">
    <w:p w14:paraId="1E6ED3FB" w14:textId="2C229C75" w:rsidR="0096524F" w:rsidRPr="00882ED4" w:rsidRDefault="0096524F" w:rsidP="0096524F">
      <w:pPr>
        <w:pStyle w:val="FootnoteText"/>
        <w:rPr>
          <w:lang w:val="da-DK"/>
        </w:rPr>
      </w:pPr>
      <w:r w:rsidRPr="0096524F">
        <w:rPr>
          <w:vertAlign w:val="superscript"/>
        </w:rPr>
        <w:footnoteRef/>
      </w:r>
      <w:r w:rsidRPr="0096524F">
        <w:rPr>
          <w:i/>
        </w:rPr>
        <w:t>See</w:t>
      </w:r>
      <w:r w:rsidRPr="0096524F">
        <w:t xml:space="preserve"> </w:t>
      </w:r>
      <w:r w:rsidRPr="0096524F">
        <w:rPr>
          <w:i/>
        </w:rPr>
        <w:t>id</w:t>
      </w:r>
      <w:r w:rsidRPr="0096524F">
        <w:t>.</w:t>
      </w:r>
      <w:r w:rsidRPr="0096524F">
        <w:t xml:space="preserve"> </w:t>
      </w:r>
      <w:r w:rsidRPr="0096524F">
        <w:t>at 823.</w:t>
      </w:r>
    </w:p>
  </w:footnote>
  <w:footnote w:id="8">
    <w:p w14:paraId="279F80CE" w14:textId="1980FD6C"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xml:space="preserve">., </w:t>
      </w:r>
      <w:r w:rsidRPr="0096524F">
        <w:rPr>
          <w:smallCaps/>
        </w:rPr>
        <w:t>Me.</w:t>
      </w:r>
      <w:r w:rsidRPr="0096524F">
        <w:rPr>
          <w:smallCaps/>
        </w:rPr>
        <w:t xml:space="preserve"> </w:t>
      </w:r>
      <w:r w:rsidRPr="0096524F">
        <w:rPr>
          <w:smallCaps/>
        </w:rPr>
        <w:t>Rev.</w:t>
      </w:r>
      <w:r w:rsidRPr="0096524F">
        <w:rPr>
          <w:smallCaps/>
        </w:rPr>
        <w:t xml:space="preserve"> </w:t>
      </w:r>
      <w:r w:rsidRPr="0096524F">
        <w:rPr>
          <w:smallCaps/>
        </w:rPr>
        <w:t>Stat.</w:t>
      </w:r>
      <w:r w:rsidRPr="0096524F">
        <w:rPr>
          <w:smallCaps/>
        </w:rPr>
        <w:t xml:space="preserve"> </w:t>
      </w:r>
      <w:r w:rsidRPr="0096524F">
        <w:rPr>
          <w:smallCaps/>
        </w:rPr>
        <w:t>Ann.</w:t>
      </w:r>
      <w:r w:rsidRPr="0096524F">
        <w:rPr>
          <w:smallCaps/>
        </w:rPr>
        <w:t xml:space="preserve"> </w:t>
      </w:r>
      <w:r w:rsidRPr="0096524F">
        <w:t>tit.</w:t>
      </w:r>
      <w:r w:rsidRPr="0096524F">
        <w:t xml:space="preserve"> </w:t>
      </w:r>
      <w:r w:rsidRPr="0096524F">
        <w:t>10, ch.</w:t>
      </w:r>
      <w:r w:rsidRPr="0096524F">
        <w:t xml:space="preserve"> </w:t>
      </w:r>
      <w:r w:rsidRPr="0096524F">
        <w:t>301-A, §1530 (West 1997);</w:t>
      </w:r>
      <w:r w:rsidRPr="0096524F">
        <w:t xml:space="preserve"> </w:t>
      </w:r>
      <w:r w:rsidRPr="0096524F">
        <w:rPr>
          <w:smallCaps/>
        </w:rPr>
        <w:t>Mo.</w:t>
      </w:r>
      <w:r w:rsidRPr="0096524F">
        <w:rPr>
          <w:smallCaps/>
        </w:rPr>
        <w:t xml:space="preserve"> </w:t>
      </w:r>
      <w:r w:rsidRPr="0096524F">
        <w:rPr>
          <w:smallCaps/>
        </w:rPr>
        <w:t>Rev.</w:t>
      </w:r>
      <w:r w:rsidRPr="0096524F">
        <w:rPr>
          <w:smallCaps/>
        </w:rPr>
        <w:t xml:space="preserve"> </w:t>
      </w:r>
      <w:r w:rsidRPr="0096524F">
        <w:rPr>
          <w:smallCaps/>
        </w:rPr>
        <w:t>Stat.</w:t>
      </w:r>
      <w:r w:rsidRPr="0096524F">
        <w:rPr>
          <w:smallCaps/>
        </w:rPr>
        <w:t xml:space="preserve"> </w:t>
      </w:r>
      <w:r w:rsidRPr="0096524F">
        <w:t>§417.061 (West 2001);</w:t>
      </w:r>
      <w:r w:rsidRPr="0096524F">
        <w:t xml:space="preserve"> </w:t>
      </w:r>
      <w:r w:rsidRPr="0096524F">
        <w:rPr>
          <w:smallCaps/>
        </w:rPr>
        <w:t>N.Y.</w:t>
      </w:r>
      <w:r w:rsidRPr="0096524F">
        <w:rPr>
          <w:smallCaps/>
        </w:rPr>
        <w:t xml:space="preserve"> </w:t>
      </w:r>
      <w:r w:rsidRPr="0096524F">
        <w:rPr>
          <w:smallCaps/>
        </w:rPr>
        <w:t>Gen.</w:t>
      </w:r>
      <w:r w:rsidRPr="0096524F">
        <w:rPr>
          <w:smallCaps/>
        </w:rPr>
        <w:t xml:space="preserve"> </w:t>
      </w:r>
      <w:r w:rsidRPr="0096524F">
        <w:rPr>
          <w:smallCaps/>
        </w:rPr>
        <w:t>Bus.</w:t>
      </w:r>
      <w:r w:rsidRPr="0096524F">
        <w:rPr>
          <w:smallCaps/>
        </w:rPr>
        <w:t xml:space="preserve"> </w:t>
      </w:r>
      <w:r w:rsidRPr="0096524F">
        <w:rPr>
          <w:smallCaps/>
        </w:rPr>
        <w:t>Law</w:t>
      </w:r>
      <w:r w:rsidRPr="0096524F">
        <w:t xml:space="preserve"> §360-l (McKinney Supp.</w:t>
      </w:r>
      <w:r w:rsidRPr="0096524F">
        <w:t xml:space="preserve"> </w:t>
      </w:r>
      <w:r w:rsidRPr="0096524F">
        <w:t>2012).</w:t>
      </w:r>
      <w:r w:rsidRPr="0096524F">
        <w:t xml:space="preserve"> </w:t>
      </w:r>
      <w:r w:rsidRPr="0096524F">
        <w:t>Newer state laws more closely resemble the original FTDA or the TDRA.</w:t>
      </w:r>
      <w:r w:rsidRPr="0096524F">
        <w:t xml:space="preserve"> </w:t>
      </w:r>
      <w:r w:rsidRPr="0096524F">
        <w:t>State laws are discussed in Chapters 1–5.</w:t>
      </w:r>
    </w:p>
  </w:footnote>
  <w:footnote w:id="9">
    <w:p w14:paraId="7D027A18" w14:textId="37BBF6D2" w:rsidR="0096524F" w:rsidRPr="00EB11B3" w:rsidRDefault="0096524F" w:rsidP="0096524F">
      <w:pPr>
        <w:pStyle w:val="FootnoteText"/>
      </w:pPr>
      <w:r w:rsidRPr="0096524F">
        <w:rPr>
          <w:vertAlign w:val="superscript"/>
        </w:rPr>
        <w:footnoteRef/>
      </w:r>
      <w:r w:rsidRPr="0096524F">
        <w:t>15 U.S.C.</w:t>
      </w:r>
      <w:r w:rsidRPr="0096524F">
        <w:t xml:space="preserve"> </w:t>
      </w:r>
      <w:r w:rsidRPr="0096524F">
        <w:t>§1125(c)(2)(B), (C) (defining “dilution by blurring” and “dilution by tarnishment”).</w:t>
      </w:r>
      <w:r w:rsidRPr="0096524F">
        <w:t xml:space="preserve"> </w:t>
      </w:r>
      <w:r w:rsidRPr="0096524F">
        <w:t>The original FTDA definition was found at 15 U.S.C.</w:t>
      </w:r>
      <w:r w:rsidRPr="0096524F">
        <w:t xml:space="preserve"> </w:t>
      </w:r>
      <w:r w:rsidRPr="0096524F">
        <w:t>§1127 (definition of dilution) (superseded by the Trademark Dilution Revision Act of 2006).</w:t>
      </w:r>
      <w:r w:rsidRPr="0096524F">
        <w:t xml:space="preserve"> </w:t>
      </w:r>
      <w:r w:rsidRPr="0096524F">
        <w:t>A number of states have added or amended their dilution statutes, emulating the FTDA structure, complete with a definition that tracks the language of the original FTDA.</w:t>
      </w:r>
      <w:r w:rsidRPr="0096524F">
        <w:t xml:space="preserve"> </w:t>
      </w:r>
      <w:r w:rsidRPr="0096524F">
        <w:rPr>
          <w:i/>
        </w:rPr>
        <w:t>E</w:t>
      </w:r>
      <w:r w:rsidRPr="0096524F">
        <w:t>.</w:t>
      </w:r>
      <w:r w:rsidRPr="0096524F">
        <w:rPr>
          <w:i/>
        </w:rPr>
        <w:t>g</w:t>
      </w:r>
      <w:r w:rsidRPr="0096524F">
        <w:t xml:space="preserve">., </w:t>
      </w:r>
      <w:r w:rsidRPr="0096524F">
        <w:rPr>
          <w:smallCaps/>
        </w:rPr>
        <w:t>Alaska Stat.</w:t>
      </w:r>
      <w:r w:rsidRPr="0096524F">
        <w:rPr>
          <w:smallCaps/>
        </w:rPr>
        <w:t xml:space="preserve"> </w:t>
      </w:r>
      <w:r w:rsidRPr="0096524F">
        <w:t>§45.50.180 (LexisNexis 2006) (effective 1997—the Alaska definition does not entirely track the original FTDA);</w:t>
      </w:r>
      <w:r w:rsidRPr="0096524F">
        <w:t xml:space="preserve"> </w:t>
      </w:r>
      <w:r w:rsidRPr="0096524F">
        <w:rPr>
          <w:smallCaps/>
        </w:rPr>
        <w:t>Ariz.</w:t>
      </w:r>
      <w:r w:rsidRPr="0096524F">
        <w:rPr>
          <w:smallCaps/>
        </w:rPr>
        <w:t xml:space="preserve"> </w:t>
      </w:r>
      <w:r w:rsidRPr="0096524F">
        <w:rPr>
          <w:smallCaps/>
        </w:rPr>
        <w:t>Rev.</w:t>
      </w:r>
      <w:r w:rsidRPr="0096524F">
        <w:rPr>
          <w:smallCaps/>
        </w:rPr>
        <w:t xml:space="preserve"> </w:t>
      </w:r>
      <w:r w:rsidRPr="0096524F">
        <w:rPr>
          <w:smallCaps/>
        </w:rPr>
        <w:t>Stat.</w:t>
      </w:r>
      <w:r w:rsidRPr="0096524F">
        <w:rPr>
          <w:smallCaps/>
        </w:rPr>
        <w:t xml:space="preserve"> </w:t>
      </w:r>
      <w:r w:rsidRPr="0096524F">
        <w:t>§§.44-1441 (West 2003) (effective 1998);</w:t>
      </w:r>
      <w:r w:rsidRPr="0096524F">
        <w:t xml:space="preserve"> </w:t>
      </w:r>
      <w:r w:rsidRPr="0096524F">
        <w:t xml:space="preserve">765 </w:t>
      </w:r>
      <w:r w:rsidRPr="0096524F">
        <w:rPr>
          <w:smallCaps/>
        </w:rPr>
        <w:t>Ill.</w:t>
      </w:r>
      <w:r w:rsidRPr="0096524F">
        <w:rPr>
          <w:smallCaps/>
        </w:rPr>
        <w:t xml:space="preserve"> </w:t>
      </w:r>
      <w:r w:rsidRPr="0096524F">
        <w:rPr>
          <w:smallCaps/>
        </w:rPr>
        <w:t>Comp.</w:t>
      </w:r>
      <w:r w:rsidRPr="0096524F">
        <w:rPr>
          <w:smallCaps/>
        </w:rPr>
        <w:t xml:space="preserve"> </w:t>
      </w:r>
      <w:r w:rsidRPr="0096524F">
        <w:rPr>
          <w:smallCaps/>
        </w:rPr>
        <w:t>Stat.</w:t>
      </w:r>
      <w:r w:rsidRPr="0096524F">
        <w:rPr>
          <w:smallCaps/>
        </w:rPr>
        <w:t xml:space="preserve"> </w:t>
      </w:r>
      <w:r w:rsidRPr="0096524F">
        <w:t>1036/5, 1036/65 (West 2009) (effective 1998);</w:t>
      </w:r>
      <w:r w:rsidRPr="0096524F">
        <w:t xml:space="preserve"> </w:t>
      </w:r>
      <w:r w:rsidRPr="0096524F">
        <w:rPr>
          <w:smallCaps/>
        </w:rPr>
        <w:t>Neb.</w:t>
      </w:r>
      <w:r w:rsidRPr="0096524F">
        <w:rPr>
          <w:smallCaps/>
        </w:rPr>
        <w:t xml:space="preserve"> </w:t>
      </w:r>
      <w:r w:rsidRPr="0096524F">
        <w:rPr>
          <w:smallCaps/>
        </w:rPr>
        <w:t>Rev.</w:t>
      </w:r>
      <w:r w:rsidRPr="0096524F">
        <w:rPr>
          <w:smallCaps/>
        </w:rPr>
        <w:t xml:space="preserve"> </w:t>
      </w:r>
      <w:r w:rsidRPr="0096524F">
        <w:rPr>
          <w:smallCaps/>
        </w:rPr>
        <w:t>Stat.</w:t>
      </w:r>
      <w:r w:rsidRPr="0096524F">
        <w:rPr>
          <w:smallCaps/>
        </w:rPr>
        <w:t xml:space="preserve"> </w:t>
      </w:r>
      <w:r w:rsidRPr="0096524F">
        <w:t>§§87-128(3), 87-140 (LexisNexis 2003) (effective 2000);</w:t>
      </w:r>
      <w:r w:rsidRPr="0096524F">
        <w:t xml:space="preserve"> </w:t>
      </w:r>
      <w:r w:rsidRPr="0096524F">
        <w:rPr>
          <w:smallCaps/>
        </w:rPr>
        <w:t>Tenn.</w:t>
      </w:r>
      <w:r w:rsidRPr="0096524F">
        <w:rPr>
          <w:smallCaps/>
        </w:rPr>
        <w:t xml:space="preserve"> </w:t>
      </w:r>
      <w:r w:rsidRPr="0096524F">
        <w:rPr>
          <w:smallCaps/>
        </w:rPr>
        <w:t>Code Ann.</w:t>
      </w:r>
      <w:r w:rsidRPr="0096524F">
        <w:rPr>
          <w:smallCaps/>
        </w:rPr>
        <w:t xml:space="preserve"> </w:t>
      </w:r>
      <w:r w:rsidRPr="0096524F">
        <w:t>§§47-25-501(3), 47-25-513 (LexisNexis 2001) (effective 2000).</w:t>
      </w:r>
      <w:r w:rsidRPr="0096524F">
        <w:t xml:space="preserve"> </w:t>
      </w:r>
      <w:r w:rsidRPr="0096524F">
        <w:t>Others have amended their statutes to look more like the TDRA.</w:t>
      </w:r>
      <w:r w:rsidRPr="0096524F">
        <w:t xml:space="preserve"> </w:t>
      </w:r>
      <w:r w:rsidRPr="0096524F">
        <w:rPr>
          <w:i/>
        </w:rPr>
        <w:t>E</w:t>
      </w:r>
      <w:r w:rsidRPr="0096524F">
        <w:t>.</w:t>
      </w:r>
      <w:r w:rsidRPr="0096524F">
        <w:rPr>
          <w:i/>
        </w:rPr>
        <w:t>g</w:t>
      </w:r>
      <w:r w:rsidRPr="0096524F">
        <w:t xml:space="preserve">., </w:t>
      </w:r>
      <w:r w:rsidRPr="0096524F">
        <w:rPr>
          <w:smallCaps/>
        </w:rPr>
        <w:t>Cal.</w:t>
      </w:r>
      <w:r w:rsidRPr="0096524F">
        <w:rPr>
          <w:smallCaps/>
        </w:rPr>
        <w:t xml:space="preserve"> </w:t>
      </w:r>
      <w:r w:rsidRPr="0096524F">
        <w:rPr>
          <w:smallCaps/>
        </w:rPr>
        <w:t>Bus.</w:t>
      </w:r>
      <w:r w:rsidRPr="0096524F">
        <w:rPr>
          <w:smallCaps/>
        </w:rPr>
        <w:t xml:space="preserve"> </w:t>
      </w:r>
      <w:r w:rsidRPr="0096524F">
        <w:rPr>
          <w:smallCaps/>
        </w:rPr>
        <w:t>&amp; Prof.</w:t>
      </w:r>
      <w:r w:rsidRPr="0096524F">
        <w:rPr>
          <w:smallCaps/>
        </w:rPr>
        <w:t xml:space="preserve"> </w:t>
      </w:r>
      <w:r w:rsidRPr="0096524F">
        <w:rPr>
          <w:smallCaps/>
        </w:rPr>
        <w:t>Code</w:t>
      </w:r>
      <w:r w:rsidRPr="0096524F">
        <w:t xml:space="preserve"> §§14202(k)–(m), 14247 (West 2008).</w:t>
      </w:r>
      <w:r w:rsidRPr="0096524F">
        <w:t xml:space="preserve"> </w:t>
      </w:r>
      <w:r w:rsidRPr="0096524F">
        <w:t>A complete chart of state dilution laws is found in Chapter 1, §III.A.3.</w:t>
      </w:r>
      <w:r w:rsidRPr="0096524F">
        <w:t xml:space="preserve"> </w:t>
      </w:r>
      <w:r w:rsidRPr="0096524F">
        <w:t>State laws are discussed in Chapters 1–5.</w:t>
      </w:r>
    </w:p>
  </w:footnote>
  <w:footnote w:id="10">
    <w:p w14:paraId="08A1130C" w14:textId="4BF06794" w:rsidR="0096524F" w:rsidRPr="00EB11B3" w:rsidRDefault="0096524F" w:rsidP="0096524F">
      <w:pPr>
        <w:pStyle w:val="FootnoteText"/>
      </w:pPr>
      <w:r w:rsidRPr="0096524F">
        <w:rPr>
          <w:vertAlign w:val="superscript"/>
        </w:rPr>
        <w:footnoteRef/>
      </w:r>
      <w:r w:rsidRPr="0096524F">
        <w:t>Lanham Act §43(c)(1), 15 U.S.C.</w:t>
      </w:r>
      <w:r w:rsidRPr="0096524F">
        <w:t xml:space="preserve"> </w:t>
      </w:r>
      <w:r w:rsidRPr="0096524F">
        <w:t>§1125(c)(1).</w:t>
      </w:r>
    </w:p>
  </w:footnote>
  <w:footnote w:id="11">
    <w:p w14:paraId="341495C4" w14:textId="2282B9B5"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§43(c)(2)(B), (C), 15 U.S.C.</w:t>
      </w:r>
      <w:r w:rsidRPr="0096524F">
        <w:t xml:space="preserve"> </w:t>
      </w:r>
      <w:r w:rsidRPr="0096524F">
        <w:t>§1125(c)(2)(B), (C).</w:t>
      </w:r>
    </w:p>
  </w:footnote>
  <w:footnote w:id="12">
    <w:p w14:paraId="1C81ECAC" w14:textId="707D8432" w:rsidR="0096524F" w:rsidRPr="0096524F" w:rsidRDefault="0096524F" w:rsidP="0096524F">
      <w:pPr>
        <w:pStyle w:val="FootnoteText"/>
      </w:pPr>
      <w:r w:rsidRPr="0096524F">
        <w:rPr>
          <w:vertAlign w:val="superscript"/>
        </w:rPr>
        <w:footnoteRef/>
      </w:r>
      <w:r w:rsidRPr="0096524F">
        <w:t>§43(c)(1), in relevant part, provides:</w:t>
      </w:r>
    </w:p>
    <w:p w14:paraId="3F6131D7" w14:textId="7B99EA6C" w:rsidR="0096524F" w:rsidRPr="0096524F" w:rsidRDefault="0096524F" w:rsidP="0096524F">
      <w:pPr>
        <w:pStyle w:val="BQuotelong"/>
      </w:pPr>
      <w:r w:rsidRPr="0096524F">
        <w:t>[T]he owner of a famous mark</w:t>
      </w:r>
      <w:r w:rsidRPr="0096524F">
        <w:t xml:space="preserve"> </w:t>
      </w:r>
      <w:r w:rsidRPr="0096524F">
        <w:t>…</w:t>
      </w:r>
      <w:r w:rsidRPr="0096524F">
        <w:t xml:space="preserve"> </w:t>
      </w:r>
      <w:r w:rsidRPr="0096524F">
        <w:t>shall be entitled to an injunction against another person who, at any time after the owner’s mark has become famous, commences use of a mark or trade name in commerce that is likely to cause dilution by blurring or dilution by tarnishment of the famous mark, regardless of the presence or absence of actual or likely confusion, of competition, or of actual economic injury.</w:t>
      </w:r>
    </w:p>
    <w:p w14:paraId="0EC1D728" w14:textId="77777777" w:rsidR="0096524F" w:rsidRPr="00EB11B3" w:rsidRDefault="0096524F" w:rsidP="0096524F">
      <w:pPr>
        <w:pStyle w:val="FootnoteText"/>
      </w:pPr>
      <w:r w:rsidRPr="0096524F">
        <w:t>Lanham Act §43(c)(1), 15 U.S.C.</w:t>
      </w:r>
      <w:r w:rsidRPr="0096524F">
        <w:t xml:space="preserve"> </w:t>
      </w:r>
      <w:r w:rsidRPr="0096524F">
        <w:t>§1125(c)(1).</w:t>
      </w:r>
    </w:p>
  </w:footnote>
  <w:footnote w:id="13">
    <w:p w14:paraId="4D325DD1" w14:textId="61556679" w:rsidR="0096524F" w:rsidRPr="00EB11B3" w:rsidRDefault="0096524F" w:rsidP="0096524F">
      <w:pPr>
        <w:pStyle w:val="FootnoteText"/>
      </w:pPr>
      <w:r w:rsidRPr="0096524F">
        <w:rPr>
          <w:vertAlign w:val="superscript"/>
        </w:rPr>
        <w:footnoteRef/>
      </w:r>
      <w:r w:rsidRPr="0096524F">
        <w:t>This provision apparently was inserted because, under the pre-TDRA statute, some courts held that economic injury was an element of the claim.</w:t>
      </w:r>
      <w:r w:rsidRPr="0096524F">
        <w:t xml:space="preserve"> </w:t>
      </w:r>
      <w:r w:rsidRPr="0096524F">
        <w:rPr>
          <w:i/>
        </w:rPr>
        <w:t>Compare</w:t>
      </w:r>
      <w:r w:rsidRPr="0096524F">
        <w:t xml:space="preserve"> Moseley v.</w:t>
      </w:r>
      <w:r w:rsidRPr="0096524F">
        <w:t xml:space="preserve"> </w:t>
      </w:r>
      <w:r w:rsidRPr="0096524F">
        <w:t>V Secret Catalogue, Inc., 537 U.S.</w:t>
      </w:r>
      <w:r w:rsidRPr="0096524F">
        <w:t xml:space="preserve"> </w:t>
      </w:r>
      <w:r w:rsidRPr="0096524F">
        <w:t xml:space="preserve">418, 433, 65 USPQ2d 1801 (2003) (economic injury not needed), </w:t>
      </w:r>
      <w:r w:rsidRPr="0096524F">
        <w:rPr>
          <w:i/>
        </w:rPr>
        <w:t>with</w:t>
      </w:r>
      <w:r w:rsidRPr="0096524F">
        <w:t xml:space="preserve"> Ringling Bros.-Barnum &amp; Bailey Combined Shows, Inc.</w:t>
      </w:r>
      <w:r w:rsidRPr="0096524F">
        <w:t xml:space="preserve"> </w:t>
      </w:r>
      <w:r w:rsidRPr="0096524F">
        <w:t>v.</w:t>
      </w:r>
      <w:r w:rsidRPr="0096524F">
        <w:t xml:space="preserve"> </w:t>
      </w:r>
      <w:r w:rsidRPr="0096524F">
        <w:t>Utah Div.</w:t>
      </w:r>
      <w:r w:rsidRPr="0096524F">
        <w:t xml:space="preserve"> </w:t>
      </w:r>
      <w:r w:rsidRPr="0096524F">
        <w:t xml:space="preserve">of Travel Dev., 170 F.3d 449, 461, 50 USPQ2d 1065 (4th Cir.), </w:t>
      </w:r>
      <w:r w:rsidRPr="0096524F">
        <w:rPr>
          <w:i/>
        </w:rPr>
        <w:t>cert</w:t>
      </w:r>
      <w:r w:rsidRPr="0096524F">
        <w:t>.</w:t>
      </w:r>
      <w:r w:rsidRPr="0096524F">
        <w:t xml:space="preserve"> </w:t>
      </w:r>
      <w:r w:rsidRPr="0096524F">
        <w:rPr>
          <w:i/>
        </w:rPr>
        <w:t>denied</w:t>
      </w:r>
      <w:r w:rsidRPr="0096524F">
        <w:t>, 528 U.S.</w:t>
      </w:r>
      <w:r w:rsidRPr="0096524F">
        <w:t xml:space="preserve"> </w:t>
      </w:r>
      <w:r w:rsidRPr="0096524F">
        <w:t>923 (1999).</w:t>
      </w:r>
      <w:r w:rsidRPr="0096524F">
        <w:t xml:space="preserve"> </w:t>
      </w:r>
      <w:r w:rsidRPr="0096524F">
        <w:t xml:space="preserve">Interestingly, the Fourth Circuit interprets </w:t>
      </w:r>
      <w:r w:rsidRPr="0096524F">
        <w:rPr>
          <w:i/>
        </w:rPr>
        <w:t>Moseley</w:t>
      </w:r>
      <w:r w:rsidRPr="0096524F">
        <w:t xml:space="preserve"> as having required actual </w:t>
      </w:r>
      <w:r w:rsidRPr="0096524F">
        <w:rPr>
          <w:i/>
        </w:rPr>
        <w:t>harm</w:t>
      </w:r>
      <w:r w:rsidRPr="0096524F">
        <w:t>, not just actual dilution.</w:t>
      </w:r>
      <w:r w:rsidRPr="0096524F">
        <w:t xml:space="preserve"> </w:t>
      </w:r>
      <w:r w:rsidRPr="0096524F">
        <w:t>Louis Vuitton Malletier, S.A.</w:t>
      </w:r>
      <w:r w:rsidRPr="0096524F">
        <w:t xml:space="preserve"> </w:t>
      </w:r>
      <w:r w:rsidRPr="0096524F">
        <w:t>v.</w:t>
      </w:r>
      <w:r w:rsidRPr="0096524F">
        <w:t xml:space="preserve"> </w:t>
      </w:r>
      <w:r w:rsidRPr="0096524F">
        <w:t>Haute Diggity Dog, LLC, 507 F.3d 252, 264 n.2, 84 USPQ2d 1969 (4th Cir.</w:t>
      </w:r>
      <w:r w:rsidRPr="0096524F">
        <w:t xml:space="preserve"> </w:t>
      </w:r>
      <w:r w:rsidRPr="0096524F">
        <w:t>2007).</w:t>
      </w:r>
    </w:p>
  </w:footnote>
  <w:footnote w:id="14">
    <w:p w14:paraId="0709A11B" w14:textId="1F645558" w:rsidR="0096524F" w:rsidRPr="00EB11B3" w:rsidRDefault="0096524F" w:rsidP="0096524F">
      <w:pPr>
        <w:pStyle w:val="FootnoteText"/>
      </w:pPr>
      <w:r w:rsidRPr="0096524F">
        <w:rPr>
          <w:vertAlign w:val="superscript"/>
        </w:rPr>
        <w:footnoteRef/>
      </w:r>
      <w:r w:rsidRPr="0096524F">
        <w:t>Regarding genericide, see Ty, Inc.</w:t>
      </w:r>
      <w:r w:rsidRPr="0096524F">
        <w:t xml:space="preserve"> </w:t>
      </w:r>
      <w:r w:rsidRPr="0096524F">
        <w:t>v.</w:t>
      </w:r>
      <w:r w:rsidRPr="0096524F">
        <w:t xml:space="preserve"> </w:t>
      </w:r>
      <w:r w:rsidRPr="0096524F">
        <w:t>Perryman, 306 F.3d 509, 513–14, 64 USPQ2d 1689 (7th Cir.</w:t>
      </w:r>
      <w:r w:rsidRPr="0096524F">
        <w:t xml:space="preserve"> </w:t>
      </w:r>
      <w:r w:rsidRPr="0096524F">
        <w:t xml:space="preserve">2002) (rejecting genericide claim under FTDA), </w:t>
      </w:r>
      <w:r w:rsidRPr="0096524F">
        <w:rPr>
          <w:i/>
        </w:rPr>
        <w:t>cert</w:t>
      </w:r>
      <w:r w:rsidRPr="0096524F">
        <w:t>.</w:t>
      </w:r>
      <w:r w:rsidRPr="0096524F">
        <w:t xml:space="preserve"> </w:t>
      </w:r>
      <w:r w:rsidRPr="0096524F">
        <w:rPr>
          <w:i/>
        </w:rPr>
        <w:t>denied</w:t>
      </w:r>
      <w:r w:rsidRPr="0096524F">
        <w:t>, 538 U.S.</w:t>
      </w:r>
      <w:r w:rsidRPr="0096524F">
        <w:t xml:space="preserve"> </w:t>
      </w:r>
      <w:r w:rsidRPr="0096524F">
        <w:t>971 (2003);</w:t>
      </w:r>
      <w:r w:rsidRPr="0096524F">
        <w:t xml:space="preserve"> </w:t>
      </w:r>
      <w:r w:rsidRPr="0096524F">
        <w:t>Plasticolor Molded Prods.</w:t>
      </w:r>
      <w:r w:rsidRPr="0096524F">
        <w:t xml:space="preserve"> </w:t>
      </w:r>
      <w:r w:rsidRPr="0096524F">
        <w:t>v.</w:t>
      </w:r>
      <w:r w:rsidRPr="0096524F">
        <w:t xml:space="preserve"> </w:t>
      </w:r>
      <w:r w:rsidRPr="0096524F">
        <w:t>Ford Motor Co., 713 F.</w:t>
      </w:r>
      <w:r w:rsidRPr="0096524F">
        <w:t xml:space="preserve"> </w:t>
      </w:r>
      <w:r w:rsidRPr="0096524F">
        <w:t>Supp.</w:t>
      </w:r>
      <w:r w:rsidRPr="0096524F">
        <w:t xml:space="preserve"> </w:t>
      </w:r>
      <w:r w:rsidRPr="0096524F">
        <w:t>1329, 1344, 11 USPQ2d 1023 (C.D.</w:t>
      </w:r>
      <w:r w:rsidRPr="0096524F">
        <w:t xml:space="preserve"> </w:t>
      </w:r>
      <w:r w:rsidRPr="0096524F">
        <w:t>Cal.</w:t>
      </w:r>
      <w:r w:rsidRPr="0096524F">
        <w:t xml:space="preserve"> </w:t>
      </w:r>
      <w:r w:rsidRPr="0096524F">
        <w:t xml:space="preserve">1989), </w:t>
      </w:r>
      <w:r w:rsidRPr="0096524F">
        <w:rPr>
          <w:i/>
        </w:rPr>
        <w:t>vacated by consent judgment</w:t>
      </w:r>
      <w:r w:rsidRPr="0096524F">
        <w:t>, 767 F.</w:t>
      </w:r>
      <w:r w:rsidRPr="0096524F">
        <w:t xml:space="preserve"> </w:t>
      </w:r>
      <w:r w:rsidRPr="0096524F">
        <w:t>Supp.</w:t>
      </w:r>
      <w:r w:rsidRPr="0096524F">
        <w:t xml:space="preserve"> </w:t>
      </w:r>
      <w:r w:rsidRPr="0096524F">
        <w:t>1036, 18 USPQ2d 1975 (C.D.</w:t>
      </w:r>
      <w:r w:rsidRPr="0096524F">
        <w:t xml:space="preserve"> </w:t>
      </w:r>
      <w:r w:rsidRPr="0096524F">
        <w:t>Cal.</w:t>
      </w:r>
      <w:r w:rsidRPr="0096524F">
        <w:t xml:space="preserve"> </w:t>
      </w:r>
      <w:r w:rsidRPr="0096524F">
        <w:t>1991);</w:t>
      </w:r>
      <w:r w:rsidRPr="0096524F">
        <w:t xml:space="preserve"> </w:t>
      </w:r>
      <w:r w:rsidRPr="0096524F">
        <w:t>David S.</w:t>
      </w:r>
      <w:r w:rsidRPr="0096524F">
        <w:t xml:space="preserve"> </w:t>
      </w:r>
      <w:r w:rsidRPr="0096524F">
        <w:t xml:space="preserve">Welkowitz, </w:t>
      </w:r>
      <w:r w:rsidRPr="0096524F">
        <w:rPr>
          <w:i/>
        </w:rPr>
        <w:t>Reexamining Trademark Dilution</w:t>
      </w:r>
      <w:r w:rsidRPr="0096524F">
        <w:t xml:space="preserve">, 44 </w:t>
      </w:r>
      <w:r w:rsidRPr="0096524F">
        <w:rPr>
          <w:smallCaps/>
        </w:rPr>
        <w:t>Vand.</w:t>
      </w:r>
      <w:r w:rsidRPr="0096524F">
        <w:rPr>
          <w:smallCaps/>
        </w:rPr>
        <w:t xml:space="preserve"> </w:t>
      </w:r>
      <w:r w:rsidRPr="0096524F">
        <w:rPr>
          <w:smallCaps/>
        </w:rPr>
        <w:t>L.</w:t>
      </w:r>
      <w:r w:rsidRPr="0096524F">
        <w:rPr>
          <w:smallCaps/>
        </w:rPr>
        <w:t xml:space="preserve"> </w:t>
      </w:r>
      <w:r w:rsidRPr="0096524F">
        <w:rPr>
          <w:smallCaps/>
        </w:rPr>
        <w:t>Rev</w:t>
      </w:r>
      <w:r w:rsidRPr="0096524F">
        <w:t>.</w:t>
      </w:r>
      <w:r w:rsidRPr="0096524F">
        <w:t xml:space="preserve"> </w:t>
      </w:r>
      <w:r w:rsidRPr="0096524F">
        <w:t>531, 558–60 (1991);</w:t>
      </w:r>
      <w:r w:rsidRPr="0096524F">
        <w:t xml:space="preserve"> </w:t>
      </w:r>
      <w:r w:rsidRPr="0096524F">
        <w:t>Cyd B.</w:t>
      </w:r>
      <w:r w:rsidRPr="0096524F">
        <w:t xml:space="preserve"> </w:t>
      </w:r>
      <w:r w:rsidRPr="0096524F">
        <w:t xml:space="preserve">Wolf, </w:t>
      </w:r>
      <w:r w:rsidRPr="0096524F">
        <w:rPr>
          <w:i/>
        </w:rPr>
        <w:t>Trademark Dilution:</w:t>
      </w:r>
      <w:r w:rsidRPr="0096524F">
        <w:rPr>
          <w:i/>
        </w:rPr>
        <w:t xml:space="preserve"> </w:t>
      </w:r>
      <w:r w:rsidRPr="0096524F">
        <w:rPr>
          <w:i/>
        </w:rPr>
        <w:t>The Need for Reform</w:t>
      </w:r>
      <w:r w:rsidRPr="0096524F">
        <w:t xml:space="preserve">, 74 </w:t>
      </w:r>
      <w:r w:rsidRPr="0096524F">
        <w:rPr>
          <w:smallCaps/>
        </w:rPr>
        <w:t>Trademark Rep.</w:t>
      </w:r>
      <w:r w:rsidRPr="0096524F">
        <w:rPr>
          <w:smallCaps/>
        </w:rPr>
        <w:t xml:space="preserve"> </w:t>
      </w:r>
      <w:r w:rsidRPr="0096524F">
        <w:t>311, 319–22 (1984).</w:t>
      </w:r>
      <w:r w:rsidRPr="0096524F">
        <w:t xml:space="preserve"> </w:t>
      </w:r>
      <w:r w:rsidRPr="0096524F">
        <w:t>Genericide is discussed below in, §II.G.</w:t>
      </w:r>
      <w:r w:rsidRPr="0096524F">
        <w:t xml:space="preserve"> </w:t>
      </w:r>
      <w:r w:rsidRPr="0096524F">
        <w:t>On other forms of dilution, see Deere &amp; Co.</w:t>
      </w:r>
      <w:r w:rsidRPr="0096524F">
        <w:t xml:space="preserve"> </w:t>
      </w:r>
      <w:r w:rsidRPr="0096524F">
        <w:t>v.</w:t>
      </w:r>
      <w:r w:rsidRPr="0096524F">
        <w:t xml:space="preserve"> </w:t>
      </w:r>
      <w:r w:rsidRPr="0096524F">
        <w:t>MTD Prods., Inc., 41 F.3d 39, 44, 32 USPQ2d 1936 (2d Cir.</w:t>
      </w:r>
      <w:r w:rsidRPr="0096524F">
        <w:t xml:space="preserve"> </w:t>
      </w:r>
      <w:r w:rsidRPr="0096524F">
        <w:t>1994) (interpreting New York’s dilution statute, court suggested that the categories of blurring and tarnishment did not exhaust the possible forms of dilution).</w:t>
      </w:r>
      <w:r w:rsidRPr="0096524F">
        <w:t xml:space="preserve"> </w:t>
      </w:r>
      <w:r w:rsidRPr="0096524F">
        <w:rPr>
          <w:i/>
        </w:rPr>
        <w:t>See also</w:t>
      </w:r>
      <w:r w:rsidRPr="0096524F">
        <w:t xml:space="preserve"> Panavision Int’l, L.P.</w:t>
      </w:r>
      <w:r w:rsidRPr="0096524F">
        <w:t xml:space="preserve"> </w:t>
      </w:r>
      <w:r w:rsidRPr="0096524F">
        <w:t>v.</w:t>
      </w:r>
      <w:r w:rsidRPr="0096524F">
        <w:t xml:space="preserve"> </w:t>
      </w:r>
      <w:r w:rsidRPr="0096524F">
        <w:t>Toeppen, 141 F.3d 1316, 1326, 46 USPQ2d 1511 (9th Cir.</w:t>
      </w:r>
      <w:r w:rsidRPr="0096524F">
        <w:t xml:space="preserve"> </w:t>
      </w:r>
      <w:r w:rsidRPr="0096524F">
        <w:t>1998) (stating that blurring and tarnishment are not the only possible FTDA categories).</w:t>
      </w:r>
    </w:p>
  </w:footnote>
  <w:footnote w:id="15">
    <w:p w14:paraId="0A4A4369" w14:textId="7E707746" w:rsidR="0096524F" w:rsidRPr="00EB11B3" w:rsidRDefault="0096524F" w:rsidP="0096524F">
      <w:pPr>
        <w:pStyle w:val="FootnoteText"/>
      </w:pPr>
      <w:r w:rsidRPr="0096524F">
        <w:rPr>
          <w:vertAlign w:val="superscript"/>
        </w:rPr>
        <w:footnoteRef/>
      </w:r>
      <w:r w:rsidRPr="0096524F">
        <w:t>Schechter’s universe of eligible marks was narrower than the category of “famous” marks used by the TDRA.</w:t>
      </w:r>
    </w:p>
  </w:footnote>
  <w:footnote w:id="16">
    <w:p w14:paraId="1C75B1B1" w14:textId="672AD334" w:rsidR="0096524F" w:rsidRPr="00EB11B3" w:rsidRDefault="0096524F" w:rsidP="0096524F">
      <w:pPr>
        <w:pStyle w:val="FootnoteText"/>
      </w:pPr>
      <w:r w:rsidRPr="0096524F">
        <w:rPr>
          <w:vertAlign w:val="superscript"/>
        </w:rPr>
        <w:footnoteRef/>
      </w:r>
      <w:r w:rsidRPr="0096524F">
        <w:t>Frank I.</w:t>
      </w:r>
      <w:r w:rsidRPr="0096524F">
        <w:t xml:space="preserve"> </w:t>
      </w:r>
      <w:r w:rsidRPr="0096524F">
        <w:t xml:space="preserve">Schechter, </w:t>
      </w:r>
      <w:r w:rsidRPr="0096524F">
        <w:rPr>
          <w:i/>
        </w:rPr>
        <w:t>The Rational Basis of Trademark Protection,</w:t>
      </w:r>
      <w:r w:rsidRPr="0096524F">
        <w:t xml:space="preserve"> 40 </w:t>
      </w:r>
      <w:r w:rsidRPr="0096524F">
        <w:rPr>
          <w:smallCaps/>
        </w:rPr>
        <w:t>Harv.</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813, 825 (1927).</w:t>
      </w:r>
    </w:p>
  </w:footnote>
  <w:footnote w:id="17">
    <w:p w14:paraId="36C5831D" w14:textId="4B684C6E" w:rsidR="0096524F" w:rsidRPr="0096524F" w:rsidRDefault="0096524F" w:rsidP="0096524F">
      <w:pPr>
        <w:pStyle w:val="FootnoteText"/>
      </w:pPr>
      <w:r w:rsidRPr="0096524F">
        <w:rPr>
          <w:vertAlign w:val="superscript"/>
        </w:rPr>
        <w:footnoteRef/>
      </w:r>
      <w:r w:rsidRPr="0096524F">
        <w:t>When a federal dilution statute was proposed by the United States Trademark Association in 1987, tarnishment was viewed as a separate wrong, outside of dilution.</w:t>
      </w:r>
      <w:r w:rsidRPr="0096524F">
        <w:t xml:space="preserve"> </w:t>
      </w:r>
      <w:r w:rsidRPr="0096524F">
        <w:rPr>
          <w:i/>
        </w:rPr>
        <w:t xml:space="preserve">See </w:t>
      </w:r>
      <w:r w:rsidRPr="0096524F">
        <w:t>§II.B.1, below.</w:t>
      </w:r>
    </w:p>
    <w:p w14:paraId="5243CBF5" w14:textId="77777777" w:rsidR="0096524F" w:rsidRPr="00EB11B3" w:rsidRDefault="0096524F" w:rsidP="00D758BD">
      <w:pPr>
        <w:pStyle w:val="footnote"/>
      </w:pPr>
    </w:p>
  </w:footnote>
  <w:footnote w:id="18">
    <w:p w14:paraId="5908767F" w14:textId="70F5619B" w:rsidR="0096524F" w:rsidRPr="00EB11B3" w:rsidRDefault="0096524F" w:rsidP="0096524F">
      <w:pPr>
        <w:pStyle w:val="FootnoteText"/>
      </w:pPr>
      <w:r w:rsidRPr="0096524F">
        <w:rPr>
          <w:vertAlign w:val="superscript"/>
        </w:rPr>
        <w:footnoteRef/>
      </w:r>
      <w:r w:rsidRPr="0096524F">
        <w:t>Frank I.</w:t>
      </w:r>
      <w:r w:rsidRPr="0096524F">
        <w:t xml:space="preserve"> </w:t>
      </w:r>
      <w:r w:rsidRPr="0096524F">
        <w:t xml:space="preserve">Schechter, </w:t>
      </w:r>
      <w:r w:rsidRPr="0096524F">
        <w:rPr>
          <w:i/>
        </w:rPr>
        <w:t>The Rational Basis of Trademark Protection,</w:t>
      </w:r>
      <w:r w:rsidRPr="0096524F">
        <w:t xml:space="preserve"> 40 </w:t>
      </w:r>
      <w:r w:rsidRPr="0096524F">
        <w:rPr>
          <w:smallCaps/>
        </w:rPr>
        <w:t>Harv.</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813, 822 (1927) (“the preservation of the uniqueness or individuality of the trademark is of paramount importance to its owner”).</w:t>
      </w:r>
    </w:p>
  </w:footnote>
  <w:footnote w:id="19">
    <w:p w14:paraId="1DD98A5C" w14:textId="5A51598A" w:rsidR="0096524F" w:rsidRPr="00EB11B3" w:rsidRDefault="0096524F" w:rsidP="0096524F">
      <w:pPr>
        <w:pStyle w:val="FootnoteText"/>
      </w:pPr>
      <w:r w:rsidRPr="0096524F">
        <w:rPr>
          <w:vertAlign w:val="superscript"/>
        </w:rPr>
        <w:footnoteRef/>
      </w:r>
      <w:r w:rsidRPr="0096524F">
        <w:t>The original FTDA definition is used by many state dilution laws.</w:t>
      </w:r>
      <w:r w:rsidRPr="0096524F">
        <w:t xml:space="preserve"> </w:t>
      </w:r>
      <w:r w:rsidRPr="0096524F">
        <w:t>See Chapters 1 to 5 for a discussion of dilution under state laws.</w:t>
      </w:r>
    </w:p>
  </w:footnote>
  <w:footnote w:id="20">
    <w:p w14:paraId="36D611F4" w14:textId="78F6845A" w:rsidR="0096524F" w:rsidRPr="00EB11B3" w:rsidRDefault="0096524F" w:rsidP="0096524F">
      <w:pPr>
        <w:pStyle w:val="FootnoteText"/>
      </w:pPr>
      <w:r w:rsidRPr="0096524F">
        <w:rPr>
          <w:vertAlign w:val="superscript"/>
        </w:rPr>
        <w:footnoteRef/>
      </w:r>
      <w:r w:rsidRPr="0096524F">
        <w:t>Lanham Act §45, 15 U.S.C.</w:t>
      </w:r>
      <w:r w:rsidRPr="0096524F">
        <w:t xml:space="preserve"> </w:t>
      </w:r>
      <w:r w:rsidRPr="0096524F">
        <w:t>§1127 (definition of dilution) (deleted by the Trademark Dilution Revision Act of 2006).</w:t>
      </w:r>
    </w:p>
  </w:footnote>
  <w:footnote w:id="21">
    <w:p w14:paraId="013389A9" w14:textId="10AE70D8" w:rsidR="0096524F" w:rsidRPr="00EB11B3" w:rsidRDefault="0096524F" w:rsidP="0096524F">
      <w:pPr>
        <w:pStyle w:val="FootnoteText"/>
      </w:pPr>
      <w:r w:rsidRPr="0096524F">
        <w:rPr>
          <w:vertAlign w:val="superscript"/>
        </w:rPr>
        <w:footnoteRef/>
      </w:r>
      <w:r w:rsidRPr="0096524F">
        <w:t>Frank I.</w:t>
      </w:r>
      <w:r w:rsidRPr="0096524F">
        <w:t xml:space="preserve"> </w:t>
      </w:r>
      <w:r w:rsidRPr="0096524F">
        <w:t xml:space="preserve">Schechter, </w:t>
      </w:r>
      <w:r w:rsidRPr="0096524F">
        <w:rPr>
          <w:i/>
        </w:rPr>
        <w:t>The Rational Basis of Trademark Protection,</w:t>
      </w:r>
      <w:r w:rsidRPr="0096524F">
        <w:t xml:space="preserve"> 40 </w:t>
      </w:r>
      <w:r w:rsidRPr="0096524F">
        <w:rPr>
          <w:smallCaps/>
        </w:rPr>
        <w:t>Harv.</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813, 825 (1927).</w:t>
      </w:r>
    </w:p>
  </w:footnote>
  <w:footnote w:id="22">
    <w:p w14:paraId="250349EE" w14:textId="458975C9" w:rsidR="0096524F" w:rsidRPr="00EB11B3" w:rsidRDefault="0096524F" w:rsidP="0096524F">
      <w:pPr>
        <w:pStyle w:val="FootnoteText"/>
      </w:pPr>
      <w:r w:rsidRPr="0096524F">
        <w:rPr>
          <w:vertAlign w:val="superscript"/>
        </w:rPr>
        <w:footnoteRef/>
      </w:r>
      <w:r w:rsidRPr="0096524F">
        <w:t xml:space="preserve">The issue of tarnishment under this definition was raised, but not resolved, by the Supreme Court, in </w:t>
      </w:r>
      <w:r w:rsidRPr="0096524F">
        <w:rPr>
          <w:i/>
        </w:rPr>
        <w:t>Moseley v</w:t>
      </w:r>
      <w:r w:rsidRPr="0096524F">
        <w:t>.</w:t>
      </w:r>
      <w:r w:rsidRPr="0096524F">
        <w:t xml:space="preserve"> </w:t>
      </w:r>
      <w:r w:rsidRPr="0096524F">
        <w:rPr>
          <w:i/>
        </w:rPr>
        <w:t>V Secret Catalogue, Inc</w:t>
      </w:r>
      <w:r w:rsidRPr="0096524F">
        <w:t>., 537 U.S.</w:t>
      </w:r>
      <w:r w:rsidRPr="0096524F">
        <w:t xml:space="preserve"> </w:t>
      </w:r>
      <w:r w:rsidRPr="0096524F">
        <w:t>418, 432, 65 USPQ2d 1801 (2003).</w:t>
      </w:r>
      <w:r w:rsidRPr="0096524F">
        <w:t xml:space="preserve"> </w:t>
      </w:r>
      <w:r w:rsidRPr="0096524F">
        <w:t>That issue is discussed further in Chapter 3, §IV.B.2.</w:t>
      </w:r>
    </w:p>
  </w:footnote>
  <w:footnote w:id="23">
    <w:p w14:paraId="2A763016" w14:textId="38720F68" w:rsidR="0096524F" w:rsidRPr="00EB11B3" w:rsidRDefault="0096524F" w:rsidP="0096524F">
      <w:pPr>
        <w:pStyle w:val="FootnoteText"/>
      </w:pPr>
      <w:r w:rsidRPr="0096524F">
        <w:rPr>
          <w:vertAlign w:val="superscript"/>
        </w:rPr>
        <w:footnoteRef/>
      </w:r>
      <w:r w:rsidRPr="0096524F">
        <w:t>Ty, Inc.</w:t>
      </w:r>
      <w:r w:rsidRPr="0096524F">
        <w:t xml:space="preserve"> </w:t>
      </w:r>
      <w:r w:rsidRPr="0096524F">
        <w:t>v.</w:t>
      </w:r>
      <w:r w:rsidRPr="0096524F">
        <w:t xml:space="preserve"> </w:t>
      </w:r>
      <w:r w:rsidRPr="0096524F">
        <w:t>Perryman, 306 F.3d 509, 513–14, 64 USPQ2d 1689 (7th Cir.</w:t>
      </w:r>
      <w:r w:rsidRPr="0096524F">
        <w:t xml:space="preserve"> </w:t>
      </w:r>
      <w:r w:rsidRPr="0096524F">
        <w:t xml:space="preserve">2002) (rejecting genericide claim under the FTDA), </w:t>
      </w:r>
      <w:r w:rsidRPr="0096524F">
        <w:rPr>
          <w:i/>
        </w:rPr>
        <w:t>cert</w:t>
      </w:r>
      <w:r w:rsidRPr="0096524F">
        <w:t>.</w:t>
      </w:r>
      <w:r w:rsidRPr="0096524F">
        <w:t xml:space="preserve"> </w:t>
      </w:r>
      <w:r w:rsidRPr="0096524F">
        <w:rPr>
          <w:i/>
        </w:rPr>
        <w:t>denied</w:t>
      </w:r>
      <w:r w:rsidRPr="0096524F">
        <w:t>, 538 U.S.</w:t>
      </w:r>
      <w:r w:rsidRPr="0096524F">
        <w:t xml:space="preserve"> </w:t>
      </w:r>
      <w:r w:rsidRPr="0096524F">
        <w:t>971 (2003).</w:t>
      </w:r>
    </w:p>
  </w:footnote>
  <w:footnote w:id="24">
    <w:p w14:paraId="685B1D79" w14:textId="77777777" w:rsidR="00175762" w:rsidRPr="00EB11B3" w:rsidRDefault="00175762" w:rsidP="00175762">
      <w:pPr>
        <w:pStyle w:val="FootnoteText"/>
      </w:pPr>
      <w:r w:rsidRPr="0096524F">
        <w:rPr>
          <w:vertAlign w:val="superscript"/>
        </w:rPr>
        <w:footnoteRef/>
      </w:r>
      <w:r w:rsidRPr="0096524F">
        <w:t>The legislative history of the FTDA and TDRA is described in greater detail in Chapter 6.</w:t>
      </w:r>
    </w:p>
  </w:footnote>
  <w:footnote w:id="25">
    <w:p w14:paraId="6899D38E" w14:textId="0F2BD9ED" w:rsidR="0096524F" w:rsidRPr="00EB11B3" w:rsidRDefault="0096524F" w:rsidP="0096524F">
      <w:pPr>
        <w:pStyle w:val="FootnoteText"/>
      </w:pPr>
      <w:r w:rsidRPr="0096524F">
        <w:rPr>
          <w:vertAlign w:val="superscript"/>
        </w:rPr>
        <w:footnoteRef/>
      </w:r>
      <w:r w:rsidRPr="0096524F">
        <w:t xml:space="preserve">The United States Trademark Association Trademark Review Commission Report and Recommendations to USTA President and Board of Directors, 77 </w:t>
      </w:r>
      <w:r w:rsidRPr="0096524F">
        <w:rPr>
          <w:smallCaps/>
        </w:rPr>
        <w:t>Trademark Rep.</w:t>
      </w:r>
      <w:r w:rsidRPr="0096524F">
        <w:rPr>
          <w:smallCaps/>
        </w:rPr>
        <w:t xml:space="preserve"> </w:t>
      </w:r>
      <w:r w:rsidRPr="0096524F">
        <w:t>375 (1987).</w:t>
      </w:r>
    </w:p>
  </w:footnote>
  <w:footnote w:id="26">
    <w:p w14:paraId="717BCA40" w14:textId="0AC5E0D3"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459 (“The term ‘dilution’ means the lessening of the capacity of registrant’s mark to identify and distinguish goods or services, regardless of the presence or absence of (a) competition between the parties, or (b) likelihood of confusion, mistake or deception.”).</w:t>
      </w:r>
      <w:r w:rsidRPr="0096524F">
        <w:t xml:space="preserve"> </w:t>
      </w:r>
      <w:r w:rsidRPr="0096524F">
        <w:t>The USTA dilution proposal applied only to registered marks;</w:t>
      </w:r>
      <w:r w:rsidRPr="0096524F">
        <w:t xml:space="preserve"> </w:t>
      </w:r>
      <w:r w:rsidRPr="0096524F">
        <w:t>its definition thus used the term “registrant’s mark” in place of “famous mark.”</w:t>
      </w:r>
    </w:p>
  </w:footnote>
  <w:footnote w:id="27">
    <w:p w14:paraId="3A6262FD" w14:textId="644EC289"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455 n.134.</w:t>
      </w:r>
    </w:p>
  </w:footnote>
  <w:footnote w:id="28">
    <w:p w14:paraId="64031C53" w14:textId="3C89F157" w:rsidR="0096524F" w:rsidRPr="00882ED4" w:rsidRDefault="0096524F" w:rsidP="0096524F">
      <w:pPr>
        <w:pStyle w:val="FootnoteText"/>
        <w:rPr>
          <w:lang w:val="da-DK"/>
        </w:rPr>
      </w:pPr>
      <w:r w:rsidRPr="0096524F">
        <w:rPr>
          <w:vertAlign w:val="superscript"/>
        </w:rPr>
        <w:footnoteRef/>
      </w:r>
      <w:r w:rsidRPr="0096524F">
        <w:rPr>
          <w:i/>
        </w:rPr>
        <w:t>Id</w:t>
      </w:r>
      <w:r w:rsidRPr="0096524F">
        <w:t>.</w:t>
      </w:r>
    </w:p>
  </w:footnote>
  <w:footnote w:id="29">
    <w:p w14:paraId="3E4504EE" w14:textId="12FC5BD8"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433–35.</w:t>
      </w:r>
    </w:p>
  </w:footnote>
  <w:footnote w:id="30">
    <w:p w14:paraId="53722D87" w14:textId="49D2BB0E" w:rsidR="0096524F" w:rsidRPr="00EB11B3" w:rsidRDefault="0096524F" w:rsidP="0096524F">
      <w:pPr>
        <w:pStyle w:val="FootnoteText"/>
      </w:pPr>
      <w:r w:rsidRPr="0096524F">
        <w:rPr>
          <w:vertAlign w:val="superscript"/>
        </w:rPr>
        <w:footnoteRef/>
      </w:r>
      <w:r w:rsidRPr="0096524F">
        <w:rPr>
          <w:i/>
        </w:rPr>
        <w:t>See Hearing Before the Subcomm</w:t>
      </w:r>
      <w:r w:rsidRPr="0096524F">
        <w:t>.</w:t>
      </w:r>
      <w:r w:rsidRPr="0096524F">
        <w:t xml:space="preserve"> </w:t>
      </w:r>
      <w:r w:rsidRPr="0096524F">
        <w:rPr>
          <w:i/>
        </w:rPr>
        <w:t>on Patents, Copyrights, and Trademarks of the Comm</w:t>
      </w:r>
      <w:r w:rsidRPr="0096524F">
        <w:t>.</w:t>
      </w:r>
      <w:r w:rsidRPr="0096524F">
        <w:t xml:space="preserve"> </w:t>
      </w:r>
      <w:r w:rsidRPr="0096524F">
        <w:rPr>
          <w:i/>
        </w:rPr>
        <w:t>on the Judiciary on S</w:t>
      </w:r>
      <w:r w:rsidRPr="0096524F">
        <w:t>.</w:t>
      </w:r>
      <w:r w:rsidRPr="0096524F">
        <w:t xml:space="preserve"> </w:t>
      </w:r>
      <w:r w:rsidRPr="0096524F">
        <w:rPr>
          <w:i/>
        </w:rPr>
        <w:t>1883,</w:t>
      </w:r>
      <w:r w:rsidRPr="0096524F">
        <w:t xml:space="preserve"> 100th Cong., 2d Sess.</w:t>
      </w:r>
      <w:r w:rsidRPr="0096524F">
        <w:t xml:space="preserve"> </w:t>
      </w:r>
      <w:r w:rsidRPr="0096524F">
        <w:t>37–39 (Mar.</w:t>
      </w:r>
      <w:r w:rsidRPr="0096524F">
        <w:t xml:space="preserve"> </w:t>
      </w:r>
      <w:r w:rsidRPr="0096524F">
        <w:t>15, 1988) (quoting proposed amendments to §43(a) and new §43(c));</w:t>
      </w:r>
      <w:r w:rsidRPr="0096524F">
        <w:t xml:space="preserve"> </w:t>
      </w:r>
      <w:r w:rsidRPr="0096524F">
        <w:rPr>
          <w:i/>
        </w:rPr>
        <w:t>see id</w:t>
      </w:r>
      <w:r w:rsidRPr="0096524F">
        <w:t>.</w:t>
      </w:r>
      <w:r w:rsidRPr="0096524F">
        <w:t xml:space="preserve"> </w:t>
      </w:r>
      <w:r w:rsidRPr="0096524F">
        <w:t>at 72 (statement of the USTA).</w:t>
      </w:r>
    </w:p>
  </w:footnote>
  <w:footnote w:id="31">
    <w:p w14:paraId="1D9C55B2" w14:textId="35C381A5"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270 (statement of Michael A.</w:t>
      </w:r>
      <w:r w:rsidRPr="0096524F">
        <w:t xml:space="preserve"> </w:t>
      </w:r>
      <w:r w:rsidRPr="0096524F">
        <w:t>Grow).</w:t>
      </w:r>
      <w:r w:rsidRPr="0096524F">
        <w:t xml:space="preserve"> </w:t>
      </w:r>
      <w:r w:rsidRPr="0096524F">
        <w:rPr>
          <w:i/>
        </w:rPr>
        <w:t xml:space="preserve">See </w:t>
      </w:r>
      <w:r w:rsidRPr="0096524F">
        <w:t>§§II.C.1.</w:t>
      </w:r>
      <w:r w:rsidRPr="0096524F">
        <w:t xml:space="preserve"> </w:t>
      </w:r>
      <w:r w:rsidRPr="0096524F">
        <w:t>and II.G., below, for further discussions of “genericide.”</w:t>
      </w:r>
    </w:p>
  </w:footnote>
  <w:footnote w:id="32">
    <w:p w14:paraId="2E8B0A14" w14:textId="20540934" w:rsidR="0096524F" w:rsidRPr="00EB11B3" w:rsidRDefault="0096524F" w:rsidP="0096524F">
      <w:pPr>
        <w:pStyle w:val="FootnoteText"/>
      </w:pPr>
      <w:r w:rsidRPr="0096524F">
        <w:rPr>
          <w:vertAlign w:val="superscript"/>
        </w:rPr>
        <w:footnoteRef/>
      </w:r>
      <w:r w:rsidRPr="0096524F">
        <w:rPr>
          <w:smallCaps/>
        </w:rPr>
        <w:t>S.</w:t>
      </w:r>
      <w:r w:rsidRPr="0096524F">
        <w:rPr>
          <w:smallCaps/>
        </w:rPr>
        <w:t xml:space="preserve"> </w:t>
      </w:r>
      <w:r w:rsidRPr="0096524F">
        <w:rPr>
          <w:smallCaps/>
        </w:rPr>
        <w:t>Rep.</w:t>
      </w:r>
      <w:r w:rsidRPr="0096524F">
        <w:rPr>
          <w:smallCaps/>
        </w:rPr>
        <w:t xml:space="preserve"> </w:t>
      </w:r>
      <w:r w:rsidRPr="0096524F">
        <w:rPr>
          <w:smallCaps/>
        </w:rPr>
        <w:t>No.</w:t>
      </w:r>
      <w:r w:rsidRPr="0096524F">
        <w:rPr>
          <w:smallCaps/>
        </w:rPr>
        <w:t xml:space="preserve"> </w:t>
      </w:r>
      <w:r w:rsidRPr="0096524F">
        <w:t>100-518, at 18–19, 41, 100th Cong., 2d Sess.</w:t>
      </w:r>
      <w:r w:rsidRPr="0096524F">
        <w:t xml:space="preserve"> </w:t>
      </w:r>
      <w:r w:rsidRPr="0096524F">
        <w:t>(Sept.</w:t>
      </w:r>
      <w:r w:rsidRPr="0096524F">
        <w:t xml:space="preserve"> </w:t>
      </w:r>
      <w:r w:rsidRPr="0096524F">
        <w:t>15, 1988) (quoting amended text of the bill and explaining why the tarnishment section was deleted).</w:t>
      </w:r>
    </w:p>
  </w:footnote>
  <w:footnote w:id="33">
    <w:p w14:paraId="0DBACF5D" w14:textId="28515788"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41.</w:t>
      </w:r>
    </w:p>
  </w:footnote>
  <w:footnote w:id="34">
    <w:p w14:paraId="048D12ED" w14:textId="52F1DAE5" w:rsidR="0096524F" w:rsidRPr="00EB11B3" w:rsidRDefault="0096524F" w:rsidP="0096524F">
      <w:pPr>
        <w:pStyle w:val="FootnoteText"/>
      </w:pPr>
      <w:r w:rsidRPr="0096524F">
        <w:rPr>
          <w:vertAlign w:val="superscript"/>
        </w:rPr>
        <w:footnoteRef/>
      </w:r>
      <w:r w:rsidRPr="0096524F">
        <w:t>S.</w:t>
      </w:r>
      <w:r w:rsidRPr="0096524F">
        <w:t xml:space="preserve"> </w:t>
      </w:r>
      <w:r w:rsidRPr="0096524F">
        <w:t xml:space="preserve">1883 §36, 100th Cong., 2d Sess., </w:t>
      </w:r>
      <w:r w:rsidRPr="0096524F">
        <w:rPr>
          <w:i/>
        </w:rPr>
        <w:t>reprinted in</w:t>
      </w:r>
      <w:r w:rsidRPr="0096524F">
        <w:t xml:space="preserve"> 134 </w:t>
      </w:r>
      <w:r w:rsidRPr="0096524F">
        <w:rPr>
          <w:smallCaps/>
        </w:rPr>
        <w:t>Cong.</w:t>
      </w:r>
      <w:r w:rsidRPr="0096524F">
        <w:rPr>
          <w:smallCaps/>
        </w:rPr>
        <w:t xml:space="preserve"> </w:t>
      </w:r>
      <w:r w:rsidRPr="0096524F">
        <w:rPr>
          <w:smallCaps/>
        </w:rPr>
        <w:t>Rec.</w:t>
      </w:r>
      <w:r w:rsidRPr="0096524F">
        <w:rPr>
          <w:smallCaps/>
        </w:rPr>
        <w:t xml:space="preserve"> </w:t>
      </w:r>
      <w:r w:rsidRPr="0096524F">
        <w:t>S5684-02 (daily ed.), S5868 (1988).</w:t>
      </w:r>
    </w:p>
  </w:footnote>
  <w:footnote w:id="35">
    <w:p w14:paraId="4F0EC966" w14:textId="7E276A35" w:rsidR="0096524F" w:rsidRPr="00EB11B3" w:rsidRDefault="0096524F" w:rsidP="0096524F">
      <w:pPr>
        <w:pStyle w:val="FootnoteText"/>
      </w:pPr>
      <w:r w:rsidRPr="0096524F">
        <w:rPr>
          <w:vertAlign w:val="superscript"/>
        </w:rPr>
        <w:footnoteRef/>
      </w:r>
      <w:r w:rsidRPr="0096524F">
        <w:t xml:space="preserve">The concept of “blurring” is discussed in </w:t>
      </w:r>
      <w:r w:rsidRPr="0096524F">
        <w:rPr>
          <w:b/>
        </w:rPr>
        <w:t>§</w:t>
      </w:r>
      <w:r w:rsidRPr="0096524F">
        <w:t>II.D., below.</w:t>
      </w:r>
    </w:p>
  </w:footnote>
  <w:footnote w:id="36">
    <w:p w14:paraId="382B5B20" w14:textId="4E633959" w:rsidR="0096524F" w:rsidRPr="00EB11B3" w:rsidRDefault="0096524F" w:rsidP="0096524F">
      <w:pPr>
        <w:pStyle w:val="FootnoteText"/>
      </w:pPr>
      <w:r w:rsidRPr="0096524F">
        <w:rPr>
          <w:vertAlign w:val="superscript"/>
        </w:rPr>
        <w:footnoteRef/>
      </w:r>
      <w:r w:rsidRPr="0096524F">
        <w:rPr>
          <w:i/>
        </w:rPr>
        <w:t>See</w:t>
      </w:r>
      <w:r w:rsidRPr="0096524F">
        <w:t xml:space="preserve"> 134 </w:t>
      </w:r>
      <w:r w:rsidRPr="0096524F">
        <w:rPr>
          <w:smallCaps/>
        </w:rPr>
        <w:t>Cong.</w:t>
      </w:r>
      <w:r w:rsidRPr="0096524F">
        <w:rPr>
          <w:smallCaps/>
        </w:rPr>
        <w:t xml:space="preserve"> </w:t>
      </w:r>
      <w:r w:rsidRPr="0096524F">
        <w:rPr>
          <w:smallCaps/>
        </w:rPr>
        <w:t>Rec.</w:t>
      </w:r>
      <w:r w:rsidRPr="0096524F">
        <w:rPr>
          <w:smallCaps/>
        </w:rPr>
        <w:t xml:space="preserve"> </w:t>
      </w:r>
      <w:r w:rsidRPr="0096524F">
        <w:t>H10419 (daily ed., Oct.</w:t>
      </w:r>
      <w:r w:rsidRPr="0096524F">
        <w:t xml:space="preserve"> </w:t>
      </w:r>
      <w:r w:rsidRPr="0096524F">
        <w:t>19, 1988);</w:t>
      </w:r>
      <w:r w:rsidRPr="0096524F">
        <w:t xml:space="preserve"> </w:t>
      </w:r>
      <w:r w:rsidRPr="0096524F">
        <w:t xml:space="preserve">134 </w:t>
      </w:r>
      <w:r w:rsidRPr="0096524F">
        <w:rPr>
          <w:smallCaps/>
        </w:rPr>
        <w:t>Cong.</w:t>
      </w:r>
      <w:r w:rsidRPr="0096524F">
        <w:rPr>
          <w:smallCaps/>
        </w:rPr>
        <w:t xml:space="preserve"> </w:t>
      </w:r>
      <w:r w:rsidRPr="0096524F">
        <w:rPr>
          <w:smallCaps/>
        </w:rPr>
        <w:t>Rec.</w:t>
      </w:r>
      <w:r w:rsidRPr="0096524F">
        <w:rPr>
          <w:smallCaps/>
        </w:rPr>
        <w:t xml:space="preserve"> </w:t>
      </w:r>
      <w:r w:rsidRPr="0096524F">
        <w:t>S16972 (daily ed., Oct.</w:t>
      </w:r>
      <w:r w:rsidRPr="0096524F">
        <w:t xml:space="preserve"> </w:t>
      </w:r>
      <w:r w:rsidRPr="0096524F">
        <w:t>20, 1988).</w:t>
      </w:r>
    </w:p>
  </w:footnote>
  <w:footnote w:id="37">
    <w:p w14:paraId="51316516" w14:textId="4F9BDC1B" w:rsidR="0096524F" w:rsidRPr="00EB11B3" w:rsidRDefault="0096524F" w:rsidP="0096524F">
      <w:pPr>
        <w:pStyle w:val="FootnoteText"/>
      </w:pPr>
      <w:r w:rsidRPr="0096524F">
        <w:rPr>
          <w:vertAlign w:val="superscript"/>
        </w:rPr>
        <w:footnoteRef/>
      </w:r>
      <w:r w:rsidRPr="0096524F">
        <w:rPr>
          <w:smallCaps/>
        </w:rPr>
        <w:t>H.R.</w:t>
      </w:r>
      <w:r w:rsidRPr="0096524F">
        <w:rPr>
          <w:smallCaps/>
        </w:rPr>
        <w:t xml:space="preserve"> </w:t>
      </w:r>
      <w:r w:rsidRPr="0096524F">
        <w:rPr>
          <w:smallCaps/>
        </w:rPr>
        <w:t>Rep.</w:t>
      </w:r>
      <w:r w:rsidRPr="0096524F">
        <w:rPr>
          <w:smallCaps/>
        </w:rPr>
        <w:t xml:space="preserve"> </w:t>
      </w:r>
      <w:r w:rsidRPr="0096524F">
        <w:rPr>
          <w:smallCaps/>
        </w:rPr>
        <w:t>No.</w:t>
      </w:r>
      <w:r w:rsidRPr="0096524F">
        <w:rPr>
          <w:smallCaps/>
        </w:rPr>
        <w:t xml:space="preserve"> </w:t>
      </w:r>
      <w:r w:rsidRPr="0096524F">
        <w:t>104-374 at 2, 104th Cong., 1st Sess., 1995 U.S.C.C.A.N.</w:t>
      </w:r>
      <w:r w:rsidRPr="0096524F">
        <w:t xml:space="preserve"> </w:t>
      </w:r>
      <w:r w:rsidRPr="0096524F">
        <w:t>1029, 1029 (Nov.</w:t>
      </w:r>
      <w:r w:rsidRPr="0096524F">
        <w:t xml:space="preserve"> </w:t>
      </w:r>
      <w:r w:rsidRPr="0096524F">
        <w:t>30, 1995) (emphasis added).</w:t>
      </w:r>
    </w:p>
  </w:footnote>
  <w:footnote w:id="38">
    <w:p w14:paraId="5173DB99" w14:textId="3D431B2D"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8.</w:t>
      </w:r>
    </w:p>
  </w:footnote>
  <w:footnote w:id="39">
    <w:p w14:paraId="67D5D8A9" w14:textId="3AB863F0" w:rsidR="0096524F" w:rsidRPr="00EB11B3" w:rsidRDefault="0096524F" w:rsidP="0096524F">
      <w:pPr>
        <w:pStyle w:val="FootnoteText"/>
      </w:pPr>
      <w:r w:rsidRPr="0096524F">
        <w:rPr>
          <w:vertAlign w:val="superscript"/>
        </w:rPr>
        <w:footnoteRef/>
      </w:r>
      <w:r w:rsidRPr="0096524F">
        <w:rPr>
          <w:i/>
        </w:rPr>
        <w:t>But see</w:t>
      </w:r>
      <w:r w:rsidRPr="0096524F">
        <w:t xml:space="preserve"> Ty, Inc.</w:t>
      </w:r>
      <w:r w:rsidRPr="0096524F">
        <w:t xml:space="preserve"> </w:t>
      </w:r>
      <w:r w:rsidRPr="0096524F">
        <w:t>v.</w:t>
      </w:r>
      <w:r w:rsidRPr="0096524F">
        <w:t xml:space="preserve"> </w:t>
      </w:r>
      <w:r w:rsidRPr="0096524F">
        <w:t>Perryman, 306 F.3d 509, 513–14, 64 USPQ2d 1689 (7th Cir.</w:t>
      </w:r>
      <w:r w:rsidRPr="0096524F">
        <w:t xml:space="preserve"> </w:t>
      </w:r>
      <w:r w:rsidRPr="0096524F">
        <w:t xml:space="preserve">2002) (rejecting genericide claim under the FTDA), </w:t>
      </w:r>
      <w:r w:rsidRPr="0096524F">
        <w:rPr>
          <w:i/>
        </w:rPr>
        <w:t>cert</w:t>
      </w:r>
      <w:r w:rsidRPr="0096524F">
        <w:t>.</w:t>
      </w:r>
      <w:r w:rsidRPr="0096524F">
        <w:t xml:space="preserve"> </w:t>
      </w:r>
      <w:r w:rsidRPr="0096524F">
        <w:rPr>
          <w:i/>
        </w:rPr>
        <w:t>denied</w:t>
      </w:r>
      <w:r w:rsidRPr="0096524F">
        <w:t>, 538 U.S.</w:t>
      </w:r>
      <w:r w:rsidRPr="0096524F">
        <w:t xml:space="preserve"> </w:t>
      </w:r>
      <w:r w:rsidRPr="0096524F">
        <w:t>971 (2003).</w:t>
      </w:r>
    </w:p>
  </w:footnote>
  <w:footnote w:id="40">
    <w:p w14:paraId="23D61FF3" w14:textId="2957CA4E" w:rsidR="0096524F" w:rsidRPr="00EB11B3" w:rsidRDefault="0096524F" w:rsidP="0096524F">
      <w:pPr>
        <w:pStyle w:val="FootnoteText"/>
      </w:pPr>
      <w:r w:rsidRPr="0096524F">
        <w:rPr>
          <w:vertAlign w:val="superscript"/>
        </w:rPr>
        <w:footnoteRef/>
      </w:r>
      <w:r w:rsidRPr="0096524F">
        <w:rPr>
          <w:smallCaps/>
        </w:rPr>
        <w:t>H.R.</w:t>
      </w:r>
      <w:r w:rsidRPr="0096524F">
        <w:rPr>
          <w:smallCaps/>
        </w:rPr>
        <w:t xml:space="preserve"> </w:t>
      </w:r>
      <w:r w:rsidRPr="0096524F">
        <w:rPr>
          <w:smallCaps/>
        </w:rPr>
        <w:t>Rep.</w:t>
      </w:r>
      <w:r w:rsidRPr="0096524F">
        <w:rPr>
          <w:smallCaps/>
        </w:rPr>
        <w:t xml:space="preserve"> </w:t>
      </w:r>
      <w:r w:rsidRPr="0096524F">
        <w:rPr>
          <w:smallCaps/>
        </w:rPr>
        <w:t>No.</w:t>
      </w:r>
      <w:r w:rsidRPr="0096524F">
        <w:rPr>
          <w:smallCaps/>
        </w:rPr>
        <w:t xml:space="preserve"> </w:t>
      </w:r>
      <w:r w:rsidRPr="0096524F">
        <w:t>106-250 at 6, 100th Cong., 1st Sess.</w:t>
      </w:r>
      <w:r w:rsidRPr="0096524F">
        <w:t xml:space="preserve"> </w:t>
      </w:r>
      <w:r w:rsidRPr="0096524F">
        <w:t>(July 22, 1999) (discussing assistance to be given by the Trademark Trial &amp; Appeal Board in determining “what constitutes dilution, whether by blurring or tarnishment”).</w:t>
      </w:r>
    </w:p>
  </w:footnote>
  <w:footnote w:id="41">
    <w:p w14:paraId="0BD611A2" w14:textId="7637E37A" w:rsidR="0096524F" w:rsidRPr="00EB11B3" w:rsidRDefault="0096524F" w:rsidP="0096524F">
      <w:pPr>
        <w:pStyle w:val="FootnoteText"/>
      </w:pPr>
      <w:r w:rsidRPr="0096524F">
        <w:rPr>
          <w:vertAlign w:val="superscript"/>
        </w:rPr>
        <w:footnoteRef/>
      </w:r>
      <w:r w:rsidRPr="0096524F">
        <w:rPr>
          <w:i/>
        </w:rPr>
        <w:t>Compare e</w:t>
      </w:r>
      <w:r w:rsidRPr="0096524F">
        <w:t>.</w:t>
      </w:r>
      <w:r w:rsidRPr="0096524F">
        <w:rPr>
          <w:i/>
        </w:rPr>
        <w:t>g</w:t>
      </w:r>
      <w:r w:rsidRPr="0096524F">
        <w:t>., Ringling Bros.-Barnum &amp; Bailey Combined Shows, Inc.</w:t>
      </w:r>
      <w:r w:rsidRPr="0096524F">
        <w:t xml:space="preserve"> </w:t>
      </w:r>
      <w:r w:rsidRPr="0096524F">
        <w:t>v.</w:t>
      </w:r>
      <w:r w:rsidRPr="0096524F">
        <w:t xml:space="preserve"> </w:t>
      </w:r>
      <w:r w:rsidRPr="0096524F">
        <w:t>Utah Div.</w:t>
      </w:r>
      <w:r w:rsidRPr="0096524F">
        <w:t xml:space="preserve"> </w:t>
      </w:r>
      <w:r w:rsidRPr="0096524F">
        <w:t xml:space="preserve">of Travel Dev., 170 F.3d 449, 460–61, 50 USPQ2d 1065 (4th Cir.) (requiring actual harm), </w:t>
      </w:r>
      <w:r w:rsidRPr="0096524F">
        <w:rPr>
          <w:i/>
        </w:rPr>
        <w:t>cert</w:t>
      </w:r>
      <w:r w:rsidRPr="0096524F">
        <w:t>.</w:t>
      </w:r>
      <w:r w:rsidRPr="0096524F">
        <w:t xml:space="preserve"> </w:t>
      </w:r>
      <w:r w:rsidRPr="0096524F">
        <w:rPr>
          <w:i/>
        </w:rPr>
        <w:t>denied</w:t>
      </w:r>
      <w:r w:rsidRPr="0096524F">
        <w:t>, 528 U.S.</w:t>
      </w:r>
      <w:r w:rsidRPr="0096524F">
        <w:t xml:space="preserve"> </w:t>
      </w:r>
      <w:r w:rsidRPr="0096524F">
        <w:t xml:space="preserve">923 (1999), </w:t>
      </w:r>
      <w:r w:rsidRPr="0096524F">
        <w:rPr>
          <w:i/>
        </w:rPr>
        <w:t>with</w:t>
      </w:r>
      <w:r w:rsidRPr="0096524F">
        <w:t xml:space="preserve"> Nabisco v.</w:t>
      </w:r>
      <w:r w:rsidRPr="0096524F">
        <w:t xml:space="preserve"> </w:t>
      </w:r>
      <w:r w:rsidRPr="0096524F">
        <w:t>PF Brands, Inc., 191 F.3d 208, 223–34, 51 USPQ2d 1882 (2d Cir.</w:t>
      </w:r>
      <w:r w:rsidRPr="0096524F">
        <w:t xml:space="preserve"> </w:t>
      </w:r>
      <w:r w:rsidRPr="0096524F">
        <w:t xml:space="preserve">1999) (only likelihood of dilution required), </w:t>
      </w:r>
      <w:r w:rsidRPr="0096524F">
        <w:rPr>
          <w:i/>
        </w:rPr>
        <w:t>and</w:t>
      </w:r>
      <w:r w:rsidRPr="0096524F">
        <w:t xml:space="preserve"> V Secret Catalogue, Inc.</w:t>
      </w:r>
      <w:r w:rsidRPr="0096524F">
        <w:t xml:space="preserve"> </w:t>
      </w:r>
      <w:r w:rsidRPr="0096524F">
        <w:t>v.</w:t>
      </w:r>
      <w:r w:rsidRPr="0096524F">
        <w:t xml:space="preserve"> </w:t>
      </w:r>
      <w:r w:rsidRPr="0096524F">
        <w:t>Moseley, 259 F.3d 464, 474, 59 USPQ2d 1650 (6th Cir.</w:t>
      </w:r>
      <w:r w:rsidRPr="0096524F">
        <w:t xml:space="preserve"> </w:t>
      </w:r>
      <w:r w:rsidRPr="0096524F">
        <w:t xml:space="preserve">2001) (same), </w:t>
      </w:r>
      <w:r w:rsidRPr="0096524F">
        <w:rPr>
          <w:i/>
        </w:rPr>
        <w:t>rev’d</w:t>
      </w:r>
      <w:r w:rsidRPr="0096524F">
        <w:t>, 537 U.S.</w:t>
      </w:r>
      <w:r w:rsidRPr="0096524F">
        <w:t xml:space="preserve"> </w:t>
      </w:r>
      <w:r w:rsidRPr="0096524F">
        <w:t>418, 65 USPQ2d 1801 (2003);</w:t>
      </w:r>
      <w:r w:rsidRPr="0096524F">
        <w:t xml:space="preserve"> </w:t>
      </w:r>
      <w:r w:rsidRPr="0096524F">
        <w:t xml:space="preserve">and </w:t>
      </w:r>
      <w:r w:rsidRPr="0096524F">
        <w:rPr>
          <w:i/>
        </w:rPr>
        <w:t xml:space="preserve">compare </w:t>
      </w:r>
      <w:r w:rsidRPr="0096524F">
        <w:t>Syndicate Sales, Inc.</w:t>
      </w:r>
      <w:r w:rsidRPr="0096524F">
        <w:t xml:space="preserve"> </w:t>
      </w:r>
      <w:r w:rsidRPr="0096524F">
        <w:t>v.</w:t>
      </w:r>
      <w:r w:rsidRPr="0096524F">
        <w:t xml:space="preserve"> </w:t>
      </w:r>
      <w:r w:rsidRPr="0096524F">
        <w:t>Hampshire Paper Corp., 192 F.3d 633, 641, 52 USPQ2d 1035 (7th Cir.</w:t>
      </w:r>
      <w:r w:rsidRPr="0096524F">
        <w:t xml:space="preserve"> </w:t>
      </w:r>
      <w:r w:rsidRPr="0096524F">
        <w:t xml:space="preserve">1999) (niche market fame sufficient), </w:t>
      </w:r>
      <w:r w:rsidRPr="0096524F">
        <w:rPr>
          <w:i/>
        </w:rPr>
        <w:t>with</w:t>
      </w:r>
      <w:r w:rsidRPr="0096524F">
        <w:t xml:space="preserve"> TCPIP Holding Co.</w:t>
      </w:r>
      <w:r w:rsidRPr="0096524F">
        <w:t xml:space="preserve"> </w:t>
      </w:r>
      <w:r w:rsidRPr="0096524F">
        <w:t>v.</w:t>
      </w:r>
      <w:r w:rsidRPr="0096524F">
        <w:t xml:space="preserve"> </w:t>
      </w:r>
      <w:r w:rsidRPr="0096524F">
        <w:t>Haar Commc’ns, Inc., 244 F.3d 88, 99, 57 USPQ2d 1969 (2d Cir.</w:t>
      </w:r>
      <w:r w:rsidRPr="0096524F">
        <w:t xml:space="preserve"> </w:t>
      </w:r>
      <w:r w:rsidRPr="0096524F">
        <w:t>2001) (niche market fame insufficient).</w:t>
      </w:r>
    </w:p>
  </w:footnote>
  <w:footnote w:id="42">
    <w:p w14:paraId="24FDCAA2" w14:textId="36C8AC6C" w:rsidR="0096524F" w:rsidRPr="00EB11B3" w:rsidRDefault="0096524F" w:rsidP="0096524F">
      <w:pPr>
        <w:pStyle w:val="FootnoteText"/>
      </w:pPr>
      <w:r w:rsidRPr="0096524F">
        <w:rPr>
          <w:vertAlign w:val="superscript"/>
        </w:rPr>
        <w:footnoteRef/>
      </w:r>
      <w:r w:rsidRPr="0096524F">
        <w:t>537 U.S.</w:t>
      </w:r>
      <w:r w:rsidRPr="0096524F">
        <w:t xml:space="preserve"> </w:t>
      </w:r>
      <w:r w:rsidRPr="0096524F">
        <w:t>418, 65 USPQ2d 1801 (2003).</w:t>
      </w:r>
    </w:p>
  </w:footnote>
  <w:footnote w:id="43">
    <w:p w14:paraId="2B21E3D1" w14:textId="0BC02831" w:rsidR="0096524F" w:rsidRPr="00EB11B3" w:rsidRDefault="0096524F" w:rsidP="0096524F">
      <w:pPr>
        <w:pStyle w:val="FootnoteText"/>
      </w:pPr>
      <w:r w:rsidRPr="0096524F">
        <w:rPr>
          <w:vertAlign w:val="superscript"/>
        </w:rPr>
        <w:footnoteRef/>
      </w:r>
      <w:r w:rsidRPr="0096524F">
        <w:t xml:space="preserve">The </w:t>
      </w:r>
      <w:r w:rsidRPr="0096524F">
        <w:rPr>
          <w:i/>
        </w:rPr>
        <w:t>Moseley</w:t>
      </w:r>
      <w:r w:rsidRPr="0096524F">
        <w:t xml:space="preserve"> decision is discussed in more detail in §II.C.3., below.</w:t>
      </w:r>
      <w:r w:rsidRPr="0096524F">
        <w:t xml:space="preserve"> </w:t>
      </w:r>
      <w:r w:rsidRPr="0096524F">
        <w:t xml:space="preserve">The simplest way to overturn the </w:t>
      </w:r>
      <w:r w:rsidRPr="0096524F">
        <w:rPr>
          <w:i/>
        </w:rPr>
        <w:t>Moseley</w:t>
      </w:r>
      <w:r w:rsidRPr="0096524F">
        <w:t xml:space="preserve"> decision would have been to change “causes dilution” in the original FTDA to “is likely to cause dilution.” But, as noted in Chapter 6, it had become clear by this time that the statute contained other deficiencies, and the INTA committee evidently decided to deal with those problems as well.</w:t>
      </w:r>
    </w:p>
  </w:footnote>
  <w:footnote w:id="44">
    <w:p w14:paraId="3C5C45ED" w14:textId="5EEFB9C9" w:rsidR="0096524F" w:rsidRPr="00EB11B3" w:rsidRDefault="0096524F" w:rsidP="0096524F">
      <w:pPr>
        <w:pStyle w:val="FootnoteText"/>
      </w:pPr>
      <w:r w:rsidRPr="0096524F">
        <w:rPr>
          <w:vertAlign w:val="superscript"/>
        </w:rPr>
        <w:footnoteRef/>
      </w:r>
      <w:r w:rsidRPr="0096524F">
        <w:t xml:space="preserve">For the text of the original bill as introduced, </w:t>
      </w:r>
      <w:r w:rsidRPr="0096524F">
        <w:rPr>
          <w:i/>
        </w:rPr>
        <w:t>see</w:t>
      </w:r>
      <w:r w:rsidRPr="0096524F">
        <w:t xml:space="preserve"> </w:t>
      </w:r>
      <w:hyperlink r:id="rId1" w:history="1">
        <w:r w:rsidRPr="0096524F">
          <w:rPr>
            <w:rStyle w:val="Hyperlink"/>
          </w:rPr>
          <w:t>https://www.bloomberglaw.com/document/X6Q082LC0000OD?documentName=IH&amp;fmt=pdf</w:t>
        </w:r>
      </w:hyperlink>
      <w:r w:rsidRPr="0096524F">
        <w:t>..</w:t>
      </w:r>
    </w:p>
  </w:footnote>
  <w:footnote w:id="45">
    <w:p w14:paraId="48F2AF0A" w14:textId="2DB73C3F" w:rsidR="0096524F" w:rsidRPr="00EB11B3" w:rsidRDefault="0096524F" w:rsidP="0096524F">
      <w:pPr>
        <w:pStyle w:val="FootnoteText"/>
      </w:pPr>
      <w:r w:rsidRPr="0096524F">
        <w:rPr>
          <w:vertAlign w:val="superscript"/>
        </w:rPr>
        <w:footnoteRef/>
      </w:r>
      <w:r w:rsidRPr="0096524F">
        <w:t xml:space="preserve">For the text of the House-passed version, see </w:t>
      </w:r>
      <w:hyperlink r:id="rId2" w:history="1">
        <w:r w:rsidRPr="0096524F">
          <w:rPr>
            <w:rStyle w:val="Hyperlink"/>
          </w:rPr>
          <w:t>https://www.bloomberglaw.com/document/X6Q082LC0000OD?documentName=RH&amp;fmt=pdf</w:t>
        </w:r>
      </w:hyperlink>
      <w:r w:rsidRPr="0096524F">
        <w:t>.</w:t>
      </w:r>
      <w:r w:rsidRPr="0096524F">
        <w:t xml:space="preserve"> </w:t>
      </w:r>
      <w:r w:rsidRPr="0096524F">
        <w:t>The House did not materially alter the definitions in the original bill as it was introduced.</w:t>
      </w:r>
      <w:r w:rsidRPr="0096524F">
        <w:t xml:space="preserve"> </w:t>
      </w:r>
      <w:r w:rsidRPr="0096524F">
        <w:t>The phrase “designation of source” in the original definitions was changed to “mark or trade name.”</w:t>
      </w:r>
    </w:p>
  </w:footnote>
  <w:footnote w:id="46">
    <w:p w14:paraId="29268048" w14:textId="5A887B0A" w:rsidR="0096524F" w:rsidRPr="00EB11B3" w:rsidRDefault="0096524F" w:rsidP="0096524F">
      <w:pPr>
        <w:pStyle w:val="FootnoteText"/>
      </w:pPr>
      <w:r w:rsidRPr="0096524F">
        <w:rPr>
          <w:vertAlign w:val="superscript"/>
        </w:rPr>
        <w:footnoteRef/>
      </w:r>
      <w:r w:rsidRPr="0096524F">
        <w:t xml:space="preserve">The TDRA also includes the “likelihood of dilution” standard, replacing the “causes dilution” standard that led to the issue addressed in </w:t>
      </w:r>
      <w:r w:rsidRPr="0096524F">
        <w:rPr>
          <w:i/>
        </w:rPr>
        <w:t>Moseley</w:t>
      </w:r>
      <w:r w:rsidRPr="0096524F">
        <w:t>.</w:t>
      </w:r>
    </w:p>
  </w:footnote>
  <w:footnote w:id="47">
    <w:p w14:paraId="7E380F46" w14:textId="40E5276B" w:rsidR="0096524F" w:rsidRPr="00EB11B3" w:rsidRDefault="0096524F" w:rsidP="0096524F">
      <w:pPr>
        <w:pStyle w:val="FootnoteText"/>
      </w:pPr>
      <w:r w:rsidRPr="0096524F">
        <w:rPr>
          <w:vertAlign w:val="superscript"/>
        </w:rPr>
        <w:footnoteRef/>
      </w:r>
      <w:r w:rsidRPr="0096524F">
        <w:rPr>
          <w:i/>
        </w:rPr>
        <w:t xml:space="preserve">See </w:t>
      </w:r>
      <w:r w:rsidRPr="0096524F">
        <w:t>Chapter 3, §IV.B.2.</w:t>
      </w:r>
    </w:p>
  </w:footnote>
  <w:footnote w:id="48">
    <w:p w14:paraId="4EC724A0" w14:textId="55C7CDC9" w:rsidR="0096524F" w:rsidRPr="00EB11B3" w:rsidRDefault="0096524F" w:rsidP="0096524F">
      <w:pPr>
        <w:pStyle w:val="FootnoteText"/>
      </w:pPr>
      <w:r w:rsidRPr="0096524F">
        <w:rPr>
          <w:vertAlign w:val="superscript"/>
        </w:rPr>
        <w:footnoteRef/>
      </w:r>
      <w:r w:rsidRPr="0096524F">
        <w:t>Lanham Act §43(c)(1), (2)(B), (2)(C), 15 U.S.C.</w:t>
      </w:r>
      <w:r w:rsidRPr="0096524F">
        <w:t xml:space="preserve"> </w:t>
      </w:r>
      <w:r w:rsidRPr="0096524F">
        <w:t>§1125(c)(1), (2)(B), (2)(C).</w:t>
      </w:r>
    </w:p>
  </w:footnote>
  <w:footnote w:id="49">
    <w:p w14:paraId="03C63364" w14:textId="32260638" w:rsidR="0096524F" w:rsidRPr="00EB11B3" w:rsidRDefault="0096524F" w:rsidP="0096524F">
      <w:pPr>
        <w:pStyle w:val="FootnoteText"/>
      </w:pPr>
      <w:r w:rsidRPr="0096524F">
        <w:rPr>
          <w:vertAlign w:val="superscript"/>
        </w:rPr>
        <w:footnoteRef/>
      </w:r>
      <w:r w:rsidRPr="0096524F">
        <w:rPr>
          <w:i/>
        </w:rPr>
        <w:t>See</w:t>
      </w:r>
      <w:r w:rsidRPr="0096524F">
        <w:t xml:space="preserve"> Chapter 1, §§II.D.1, III.A.</w:t>
      </w:r>
    </w:p>
  </w:footnote>
  <w:footnote w:id="50">
    <w:p w14:paraId="1560705C" w14:textId="77C95DB8" w:rsidR="0096524F" w:rsidRPr="00EB11B3" w:rsidRDefault="0096524F" w:rsidP="0096524F">
      <w:pPr>
        <w:pStyle w:val="FootnoteText"/>
      </w:pPr>
      <w:r w:rsidRPr="0096524F">
        <w:rPr>
          <w:vertAlign w:val="superscript"/>
        </w:rPr>
        <w:footnoteRef/>
      </w:r>
      <w:r w:rsidRPr="0096524F">
        <w:t>Lanham Act §43(c)(2)(B)(iii), 15 U.S.C.</w:t>
      </w:r>
      <w:r w:rsidRPr="0096524F">
        <w:t xml:space="preserve"> </w:t>
      </w:r>
      <w:r w:rsidRPr="0096524F">
        <w:t>§1125(c)(2)(B)(iii).</w:t>
      </w:r>
      <w:r w:rsidRPr="0096524F">
        <w:t xml:space="preserve"> </w:t>
      </w:r>
      <w:r w:rsidRPr="0096524F">
        <w:rPr>
          <w:i/>
        </w:rPr>
        <w:t>See</w:t>
      </w:r>
      <w:r w:rsidRPr="0096524F">
        <w:t xml:space="preserve"> below, §II.D.2.</w:t>
      </w:r>
    </w:p>
  </w:footnote>
  <w:footnote w:id="51">
    <w:p w14:paraId="551080BF" w14:textId="031D51B6" w:rsidR="0096524F" w:rsidRPr="00EB11B3" w:rsidRDefault="0096524F" w:rsidP="0096524F">
      <w:pPr>
        <w:pStyle w:val="FootnoteText"/>
      </w:pPr>
      <w:r w:rsidRPr="0096524F">
        <w:rPr>
          <w:vertAlign w:val="superscript"/>
        </w:rPr>
        <w:footnoteRef/>
      </w:r>
      <w:r w:rsidRPr="0096524F">
        <w:t>Deere &amp; Co.</w:t>
      </w:r>
      <w:r w:rsidRPr="0096524F">
        <w:t xml:space="preserve"> </w:t>
      </w:r>
      <w:r w:rsidRPr="0096524F">
        <w:t>v.</w:t>
      </w:r>
      <w:r w:rsidRPr="0096524F">
        <w:t xml:space="preserve"> </w:t>
      </w:r>
      <w:r w:rsidRPr="0096524F">
        <w:t>MTD Prods., Inc., 41 F.3d 39, 32 USPQ2d 1936 (2d Cir.</w:t>
      </w:r>
      <w:r w:rsidRPr="0096524F">
        <w:t xml:space="preserve"> </w:t>
      </w:r>
      <w:r w:rsidRPr="0096524F">
        <w:t>1994) (New York law);</w:t>
      </w:r>
      <w:r w:rsidRPr="0096524F">
        <w:t xml:space="preserve"> </w:t>
      </w:r>
      <w:r w:rsidRPr="0096524F">
        <w:t>Panavision Int’l, L.P.</w:t>
      </w:r>
      <w:r w:rsidRPr="0096524F">
        <w:t xml:space="preserve"> </w:t>
      </w:r>
      <w:r w:rsidRPr="0096524F">
        <w:t>v.</w:t>
      </w:r>
      <w:r w:rsidRPr="0096524F">
        <w:t xml:space="preserve"> </w:t>
      </w:r>
      <w:r w:rsidRPr="0096524F">
        <w:t>Toeppen, 141 F.3d 1316, 1326, 46 USPQ2d 1511 (9th Cir.</w:t>
      </w:r>
      <w:r w:rsidRPr="0096524F">
        <w:t xml:space="preserve"> </w:t>
      </w:r>
      <w:r w:rsidRPr="0096524F">
        <w:t>1998) (registration and offering for sale of domain names);</w:t>
      </w:r>
      <w:r w:rsidRPr="0096524F">
        <w:t xml:space="preserve"> </w:t>
      </w:r>
      <w:r w:rsidRPr="0096524F">
        <w:t>Shell Trademark Mgmt.</w:t>
      </w:r>
      <w:r w:rsidRPr="0096524F">
        <w:t xml:space="preserve"> </w:t>
      </w:r>
      <w:r w:rsidRPr="0096524F">
        <w:t>BV v.</w:t>
      </w:r>
      <w:r w:rsidRPr="0096524F">
        <w:t xml:space="preserve"> </w:t>
      </w:r>
      <w:r w:rsidRPr="0096524F">
        <w:t>Canadian Am.</w:t>
      </w:r>
      <w:r w:rsidRPr="0096524F">
        <w:t xml:space="preserve"> </w:t>
      </w:r>
      <w:r w:rsidRPr="0096524F">
        <w:t>Oil Co., 2002 WL 32104586, at *7 (N.D.</w:t>
      </w:r>
      <w:r w:rsidRPr="0096524F">
        <w:t xml:space="preserve"> </w:t>
      </w:r>
      <w:r w:rsidRPr="0096524F">
        <w:t>Cal.</w:t>
      </w:r>
      <w:r w:rsidRPr="0096524F">
        <w:t xml:space="preserve"> </w:t>
      </w:r>
      <w:r w:rsidRPr="0096524F">
        <w:t>May 21, 2002) (magistrate judge opinion) (Shell brand gasoline possibly diluted by sale in close proximity to Touchless gasoline).</w:t>
      </w:r>
      <w:r w:rsidRPr="0096524F">
        <w:t xml:space="preserve"> </w:t>
      </w:r>
      <w:r w:rsidRPr="0096524F">
        <w:t xml:space="preserve">The </w:t>
      </w:r>
      <w:r w:rsidRPr="0096524F">
        <w:rPr>
          <w:i/>
        </w:rPr>
        <w:t>Shell</w:t>
      </w:r>
      <w:r w:rsidRPr="0096524F">
        <w:t xml:space="preserve"> case might be called an example of dilution by “close association” because there was no real similarity between the marks and the dilution;</w:t>
      </w:r>
      <w:r w:rsidRPr="0096524F">
        <w:t xml:space="preserve"> </w:t>
      </w:r>
      <w:r w:rsidRPr="0096524F">
        <w:t>if it existed, was simply one of “free riding” by proximity to a famous mark.</w:t>
      </w:r>
    </w:p>
  </w:footnote>
  <w:footnote w:id="52">
    <w:p w14:paraId="4FC0371D" w14:textId="12355443" w:rsidR="0096524F" w:rsidRPr="00EB11B3" w:rsidRDefault="0096524F" w:rsidP="0096524F">
      <w:pPr>
        <w:pStyle w:val="FootnoteText"/>
      </w:pPr>
      <w:r w:rsidRPr="0096524F">
        <w:rPr>
          <w:vertAlign w:val="superscript"/>
        </w:rPr>
        <w:footnoteRef/>
      </w:r>
      <w:r w:rsidRPr="0096524F">
        <w:t>Lanham Act §43(c)(2)(B), 15 U.S.C.</w:t>
      </w:r>
      <w:r w:rsidRPr="0096524F">
        <w:t xml:space="preserve"> </w:t>
      </w:r>
      <w:r w:rsidRPr="0096524F">
        <w:t>§1125(c)(2)(B).</w:t>
      </w:r>
    </w:p>
  </w:footnote>
  <w:footnote w:id="53">
    <w:p w14:paraId="2D6AEA70" w14:textId="29427E92" w:rsidR="0096524F" w:rsidRPr="00EB11B3" w:rsidRDefault="0096524F" w:rsidP="0096524F">
      <w:pPr>
        <w:pStyle w:val="FootnoteText"/>
      </w:pPr>
      <w:r w:rsidRPr="0096524F">
        <w:rPr>
          <w:vertAlign w:val="superscript"/>
        </w:rPr>
        <w:footnoteRef/>
      </w:r>
      <w:r w:rsidRPr="0096524F">
        <w:t>Before the TDRA, the federal dilution law contained a single definition of dilution for all purposes:</w:t>
      </w:r>
      <w:r w:rsidRPr="0096524F">
        <w:t xml:space="preserve"> </w:t>
      </w:r>
      <w:r w:rsidRPr="0096524F">
        <w:t>“the lessening of the capacity of a famous mark to identify and distinguish goods or services.” Lanham Act §45, 15 U.S.C.</w:t>
      </w:r>
      <w:r w:rsidRPr="0096524F">
        <w:t xml:space="preserve"> </w:t>
      </w:r>
      <w:r w:rsidRPr="0096524F">
        <w:t>§1127 (definition of “dilution”) (deleted in 2006 by the TDRA).</w:t>
      </w:r>
      <w:r w:rsidRPr="0096524F">
        <w:t xml:space="preserve"> </w:t>
      </w:r>
      <w:r w:rsidRPr="0096524F">
        <w:t>That definition referred to the harm to the ability of the famous mark to act as a source identifier.</w:t>
      </w:r>
      <w:r w:rsidRPr="0096524F">
        <w:t xml:space="preserve"> </w:t>
      </w:r>
      <w:r w:rsidRPr="0096524F">
        <w:t>Courts interpreted that definition to include both blurring and tarnishment, although it was not obvious that tarnishment, which does not normally attack the source identifying power of a mark, was encompassed by the definition.</w:t>
      </w:r>
      <w:r w:rsidRPr="0096524F">
        <w:t xml:space="preserve"> </w:t>
      </w:r>
      <w:r w:rsidRPr="0096524F">
        <w:t>Moseley v.</w:t>
      </w:r>
      <w:r w:rsidRPr="0096524F">
        <w:t xml:space="preserve"> </w:t>
      </w:r>
      <w:r w:rsidRPr="0096524F">
        <w:t>V Secret Catalogue, Inc., 537 U.S.</w:t>
      </w:r>
      <w:r w:rsidRPr="0096524F">
        <w:t xml:space="preserve"> </w:t>
      </w:r>
      <w:r w:rsidRPr="0096524F">
        <w:t>418, 432, 65 USPQ2d 1801 (2003).</w:t>
      </w:r>
      <w:r w:rsidRPr="0096524F">
        <w:t xml:space="preserve"> </w:t>
      </w:r>
      <w:r w:rsidRPr="0096524F">
        <w:t>Even after the Supreme Court expressed doubts about whether the original FTDA definition included tarnishment, courts continued to allow tarnishment claims to be brought.</w:t>
      </w:r>
      <w:r w:rsidRPr="0096524F">
        <w:t xml:space="preserve"> </w:t>
      </w:r>
      <w:r w:rsidRPr="0096524F">
        <w:rPr>
          <w:i/>
        </w:rPr>
        <w:t>E</w:t>
      </w:r>
      <w:r w:rsidRPr="0096524F">
        <w:t>.</w:t>
      </w:r>
      <w:r w:rsidRPr="0096524F">
        <w:rPr>
          <w:i/>
        </w:rPr>
        <w:t>g</w:t>
      </w:r>
      <w:r w:rsidRPr="0096524F">
        <w:t>., Mattel, Inc.</w:t>
      </w:r>
      <w:r w:rsidRPr="0096524F">
        <w:t xml:space="preserve"> </w:t>
      </w:r>
      <w:r w:rsidRPr="0096524F">
        <w:t>v.</w:t>
      </w:r>
      <w:r w:rsidRPr="0096524F">
        <w:t xml:space="preserve"> </w:t>
      </w:r>
      <w:r w:rsidRPr="0096524F">
        <w:t>Walking Mountain Prods., 353 F.3d 792, 812, 69 USPQ2d 1257 (9th Cir.</w:t>
      </w:r>
      <w:r w:rsidRPr="0096524F">
        <w:t xml:space="preserve"> </w:t>
      </w:r>
      <w:r w:rsidRPr="0096524F">
        <w:t>2003) (dilution claim barred as noncommercial use);</w:t>
      </w:r>
      <w:r w:rsidRPr="0096524F">
        <w:t xml:space="preserve"> </w:t>
      </w:r>
      <w:r w:rsidRPr="0096524F">
        <w:t>Nitro Leisure Prods., L.L.C.</w:t>
      </w:r>
      <w:r w:rsidRPr="0096524F">
        <w:t xml:space="preserve"> </w:t>
      </w:r>
      <w:r w:rsidRPr="0096524F">
        <w:t>v.</w:t>
      </w:r>
      <w:r w:rsidRPr="0096524F">
        <w:t xml:space="preserve"> </w:t>
      </w:r>
      <w:r w:rsidRPr="0096524F">
        <w:t>Acushnet Co., 341 F.3d 1356, 1365–66, 67 USPQ2d 1814 (Fed.</w:t>
      </w:r>
      <w:r w:rsidRPr="0096524F">
        <w:t xml:space="preserve"> </w:t>
      </w:r>
      <w:r w:rsidRPr="0096524F">
        <w:t>Cir.</w:t>
      </w:r>
      <w:r w:rsidRPr="0096524F">
        <w:t xml:space="preserve"> </w:t>
      </w:r>
      <w:r w:rsidRPr="0096524F">
        <w:t>2003) (affirming denial of preliminary injunction for lack of evidence of actual dilution);</w:t>
      </w:r>
      <w:r w:rsidRPr="0096524F">
        <w:t xml:space="preserve"> </w:t>
      </w:r>
      <w:r w:rsidRPr="0096524F">
        <w:t>MasterCard Int’l, Inc.</w:t>
      </w:r>
      <w:r w:rsidRPr="0096524F">
        <w:t xml:space="preserve"> </w:t>
      </w:r>
      <w:r w:rsidRPr="0096524F">
        <w:t>v.</w:t>
      </w:r>
      <w:r w:rsidRPr="0096524F">
        <w:t xml:space="preserve"> </w:t>
      </w:r>
      <w:r w:rsidRPr="0096524F">
        <w:t>Nader 2000 Primary Comm., Inc., 70 USPQ2d 1046, 1052–54 (S.D.N.Y.</w:t>
      </w:r>
      <w:r w:rsidRPr="0096524F">
        <w:t xml:space="preserve"> </w:t>
      </w:r>
      <w:r w:rsidRPr="0096524F">
        <w:t>2004) (rejecting claim on grounds of noncommercial use and lack of evidence);</w:t>
      </w:r>
      <w:r w:rsidRPr="0096524F">
        <w:t xml:space="preserve"> </w:t>
      </w:r>
      <w:r w:rsidRPr="0096524F">
        <w:t>Playmakers, LLC v.</w:t>
      </w:r>
      <w:r w:rsidRPr="0096524F">
        <w:t xml:space="preserve"> </w:t>
      </w:r>
      <w:r w:rsidRPr="0096524F">
        <w:t>ESPN, Inc., 297 F.</w:t>
      </w:r>
      <w:r w:rsidRPr="0096524F">
        <w:t xml:space="preserve"> </w:t>
      </w:r>
      <w:r w:rsidRPr="0096524F">
        <w:t>Supp.</w:t>
      </w:r>
      <w:r w:rsidRPr="0096524F">
        <w:t xml:space="preserve"> </w:t>
      </w:r>
      <w:r w:rsidRPr="0096524F">
        <w:t>2d 1277, 1285, 69 USPQ2d 1439 (W.D.</w:t>
      </w:r>
      <w:r w:rsidRPr="0096524F">
        <w:t xml:space="preserve"> </w:t>
      </w:r>
      <w:r w:rsidRPr="0096524F">
        <w:t>Wash.</w:t>
      </w:r>
      <w:r w:rsidRPr="0096524F">
        <w:t xml:space="preserve"> </w:t>
      </w:r>
      <w:r w:rsidRPr="0096524F">
        <w:t xml:space="preserve">2003) (mark found too weak to support a tarnishment claim), </w:t>
      </w:r>
      <w:r w:rsidRPr="0096524F">
        <w:rPr>
          <w:i/>
        </w:rPr>
        <w:t>aff’d</w:t>
      </w:r>
      <w:r w:rsidRPr="0096524F">
        <w:t>, 376 F.3d 894, 71 USPQ2d 1759 (9th Cir.</w:t>
      </w:r>
      <w:r w:rsidRPr="0096524F">
        <w:t xml:space="preserve"> </w:t>
      </w:r>
      <w:r w:rsidRPr="0096524F">
        <w:t>2004) (no ruling on dilution);</w:t>
      </w:r>
      <w:r w:rsidRPr="0096524F">
        <w:t xml:space="preserve"> </w:t>
      </w:r>
      <w:r w:rsidRPr="0096524F">
        <w:t>Caterpillar, Inc.</w:t>
      </w:r>
      <w:r w:rsidRPr="0096524F">
        <w:t xml:space="preserve"> </w:t>
      </w:r>
      <w:r w:rsidRPr="0096524F">
        <w:t>v.</w:t>
      </w:r>
      <w:r w:rsidRPr="0096524F">
        <w:t xml:space="preserve"> </w:t>
      </w:r>
      <w:r w:rsidRPr="0096524F">
        <w:t>Walt Disney Co., 287 F.</w:t>
      </w:r>
      <w:r w:rsidRPr="0096524F">
        <w:t xml:space="preserve"> </w:t>
      </w:r>
      <w:r w:rsidRPr="0096524F">
        <w:t>Supp.</w:t>
      </w:r>
      <w:r w:rsidRPr="0096524F">
        <w:t xml:space="preserve"> </w:t>
      </w:r>
      <w:r w:rsidRPr="0096524F">
        <w:t>2d 913, 921–22, 68 USPQ2d 1461 (C.D.</w:t>
      </w:r>
      <w:r w:rsidRPr="0096524F">
        <w:t xml:space="preserve"> </w:t>
      </w:r>
      <w:r w:rsidRPr="0096524F">
        <w:t>Ill.</w:t>
      </w:r>
      <w:r w:rsidRPr="0096524F">
        <w:t xml:space="preserve"> </w:t>
      </w:r>
      <w:r w:rsidRPr="0096524F">
        <w:t>2003) (rejecting tarnishment claim for lack of evidence of actual dilution);</w:t>
      </w:r>
      <w:r w:rsidRPr="0096524F">
        <w:t xml:space="preserve"> </w:t>
      </w:r>
      <w:r w:rsidRPr="0096524F">
        <w:t>Perkins Sch.</w:t>
      </w:r>
      <w:r w:rsidRPr="0096524F">
        <w:t xml:space="preserve"> </w:t>
      </w:r>
      <w:r w:rsidRPr="0096524F">
        <w:t>for the Blind v.</w:t>
      </w:r>
      <w:r w:rsidRPr="0096524F">
        <w:t xml:space="preserve"> </w:t>
      </w:r>
      <w:r w:rsidRPr="0096524F">
        <w:t>Maxi-Aids, Inc., 274 F.</w:t>
      </w:r>
      <w:r w:rsidRPr="0096524F">
        <w:t xml:space="preserve"> </w:t>
      </w:r>
      <w:r w:rsidRPr="0096524F">
        <w:t>Supp.</w:t>
      </w:r>
      <w:r w:rsidRPr="0096524F">
        <w:t xml:space="preserve"> </w:t>
      </w:r>
      <w:r w:rsidRPr="0096524F">
        <w:t>2d 319, 325–26, 69 USPQ2d 1932 (E.D.N.Y.</w:t>
      </w:r>
      <w:r w:rsidRPr="0096524F">
        <w:t xml:space="preserve"> </w:t>
      </w:r>
      <w:r w:rsidRPr="0096524F">
        <w:t>2003) (dilution includes blurring and tarnishment);</w:t>
      </w:r>
      <w:r w:rsidRPr="0096524F">
        <w:t xml:space="preserve"> </w:t>
      </w:r>
      <w:r w:rsidRPr="0096524F">
        <w:t>Wham-O, Inc.</w:t>
      </w:r>
      <w:r w:rsidRPr="0096524F">
        <w:t xml:space="preserve"> </w:t>
      </w:r>
      <w:r w:rsidRPr="0096524F">
        <w:t>v.</w:t>
      </w:r>
      <w:r w:rsidRPr="0096524F">
        <w:t xml:space="preserve"> </w:t>
      </w:r>
      <w:r w:rsidRPr="0096524F">
        <w:t>Paramount Pictures Corp., 286 F.</w:t>
      </w:r>
      <w:r w:rsidRPr="0096524F">
        <w:t xml:space="preserve"> </w:t>
      </w:r>
      <w:r w:rsidRPr="0096524F">
        <w:t>Supp.</w:t>
      </w:r>
      <w:r w:rsidRPr="0096524F">
        <w:t xml:space="preserve"> </w:t>
      </w:r>
      <w:r w:rsidRPr="0096524F">
        <w:t>2d 1254, 1260–61, 68 USPQ2d 1841 (N.D.</w:t>
      </w:r>
      <w:r w:rsidRPr="0096524F">
        <w:t xml:space="preserve"> </w:t>
      </w:r>
      <w:r w:rsidRPr="0096524F">
        <w:t>Cal.</w:t>
      </w:r>
      <w:r w:rsidRPr="0096524F">
        <w:t xml:space="preserve"> </w:t>
      </w:r>
      <w:r w:rsidRPr="0096524F">
        <w:t>2003) (denying preliminary injunction);</w:t>
      </w:r>
      <w:r w:rsidRPr="0096524F">
        <w:t xml:space="preserve"> </w:t>
      </w:r>
      <w:r w:rsidRPr="0096524F">
        <w:t>World Wrestling Fed’n Entm’t, Inc.</w:t>
      </w:r>
      <w:r w:rsidRPr="0096524F">
        <w:t xml:space="preserve"> </w:t>
      </w:r>
      <w:r w:rsidRPr="0096524F">
        <w:t>v.</w:t>
      </w:r>
      <w:r w:rsidRPr="0096524F">
        <w:t xml:space="preserve"> </w:t>
      </w:r>
      <w:r w:rsidRPr="0096524F">
        <w:t>Big Dog Holdings, Inc., 280 F.</w:t>
      </w:r>
      <w:r w:rsidRPr="0096524F">
        <w:t xml:space="preserve"> </w:t>
      </w:r>
      <w:r w:rsidRPr="0096524F">
        <w:t>Supp.</w:t>
      </w:r>
      <w:r w:rsidRPr="0096524F">
        <w:t xml:space="preserve"> </w:t>
      </w:r>
      <w:r w:rsidRPr="0096524F">
        <w:t>2d 413, 442–43 &amp; n.21 (W.D.</w:t>
      </w:r>
      <w:r w:rsidRPr="0096524F">
        <w:t xml:space="preserve"> </w:t>
      </w:r>
      <w:r w:rsidRPr="0096524F">
        <w:t>Pa.</w:t>
      </w:r>
      <w:r w:rsidRPr="0096524F">
        <w:t xml:space="preserve"> </w:t>
      </w:r>
      <w:r w:rsidRPr="0096524F">
        <w:t>2003) (denying relief;</w:t>
      </w:r>
      <w:r w:rsidRPr="0096524F">
        <w:t xml:space="preserve"> </w:t>
      </w:r>
      <w:r w:rsidRPr="0096524F">
        <w:t xml:space="preserve">noting that the </w:t>
      </w:r>
      <w:r w:rsidRPr="0096524F">
        <w:rPr>
          <w:i/>
        </w:rPr>
        <w:t>Restatement (Third) of Unfair Competition</w:t>
      </w:r>
      <w:r w:rsidRPr="0096524F">
        <w:t xml:space="preserve"> would not permit dilution claims for parodies and criticism);</w:t>
      </w:r>
      <w:r w:rsidRPr="0096524F">
        <w:t xml:space="preserve"> </w:t>
      </w:r>
      <w:r w:rsidRPr="0096524F">
        <w:t>Four Seasons Hotels &amp; Resorts B.V.</w:t>
      </w:r>
      <w:r w:rsidRPr="0096524F">
        <w:t xml:space="preserve"> </w:t>
      </w:r>
      <w:r w:rsidRPr="0096524F">
        <w:t>v.</w:t>
      </w:r>
      <w:r w:rsidRPr="0096524F">
        <w:t xml:space="preserve"> </w:t>
      </w:r>
      <w:r w:rsidRPr="0096524F">
        <w:t>Consorcio Barr, S.A., 267 F.</w:t>
      </w:r>
      <w:r w:rsidRPr="0096524F">
        <w:t xml:space="preserve"> </w:t>
      </w:r>
      <w:r w:rsidRPr="0096524F">
        <w:t>Supp.</w:t>
      </w:r>
      <w:r w:rsidRPr="0096524F">
        <w:t xml:space="preserve"> </w:t>
      </w:r>
      <w:r w:rsidRPr="0096524F">
        <w:t>2d 1268, 1332 (S.D.</w:t>
      </w:r>
      <w:r w:rsidRPr="0096524F">
        <w:t xml:space="preserve"> </w:t>
      </w:r>
      <w:r w:rsidRPr="0096524F">
        <w:t>Fla.</w:t>
      </w:r>
      <w:r w:rsidRPr="0096524F">
        <w:t xml:space="preserve"> </w:t>
      </w:r>
      <w:r w:rsidRPr="0096524F">
        <w:t>2003) (finding tarnishment using actual dilution standard).</w:t>
      </w:r>
      <w:r w:rsidRPr="0096524F">
        <w:t xml:space="preserve"> </w:t>
      </w:r>
      <w:r w:rsidRPr="0096524F">
        <w:rPr>
          <w:i/>
        </w:rPr>
        <w:t>See</w:t>
      </w:r>
      <w:r w:rsidRPr="0096524F">
        <w:t xml:space="preserve"> AutoZone, Inc.</w:t>
      </w:r>
      <w:r w:rsidRPr="0096524F">
        <w:t xml:space="preserve"> </w:t>
      </w:r>
      <w:r w:rsidRPr="0096524F">
        <w:t>v.</w:t>
      </w:r>
      <w:r w:rsidRPr="0096524F">
        <w:t xml:space="preserve"> </w:t>
      </w:r>
      <w:r w:rsidRPr="0096524F">
        <w:t>Tandy Corp., 373 F.3d 786, 801, 71 USPQ2d 1385 (6th Cir.</w:t>
      </w:r>
      <w:r w:rsidRPr="0096524F">
        <w:t xml:space="preserve"> </w:t>
      </w:r>
      <w:r w:rsidRPr="0096524F">
        <w:t>2004) (diluting includes blurring and tarnishment) (quoting Eli Lilly &amp; Co.</w:t>
      </w:r>
      <w:r w:rsidRPr="0096524F">
        <w:t xml:space="preserve"> </w:t>
      </w:r>
      <w:r w:rsidRPr="0096524F">
        <w:t>v.</w:t>
      </w:r>
      <w:r w:rsidRPr="0096524F">
        <w:t xml:space="preserve"> </w:t>
      </w:r>
      <w:r w:rsidRPr="0096524F">
        <w:t>Natural Answers, Inc., 233 F.3d 456, 466, 56 USPQ2d 1942 (7th Cir.</w:t>
      </w:r>
      <w:r w:rsidRPr="0096524F">
        <w:t xml:space="preserve"> </w:t>
      </w:r>
      <w:r w:rsidRPr="0096524F">
        <w:t>2000)).</w:t>
      </w:r>
    </w:p>
  </w:footnote>
  <w:footnote w:id="54">
    <w:p w14:paraId="4F1112AD" w14:textId="27F8EBA7" w:rsidR="0096524F" w:rsidRPr="00EB11B3" w:rsidRDefault="0096524F" w:rsidP="0096524F">
      <w:pPr>
        <w:pStyle w:val="FootnoteText"/>
      </w:pPr>
      <w:r w:rsidRPr="0096524F">
        <w:rPr>
          <w:vertAlign w:val="superscript"/>
        </w:rPr>
        <w:footnoteRef/>
      </w:r>
      <w:r w:rsidRPr="0096524F">
        <w:rPr>
          <w:smallCaps/>
        </w:rPr>
        <w:t>American Heritage Dictionary of the English Language</w:t>
      </w:r>
      <w:r w:rsidRPr="0096524F">
        <w:t xml:space="preserve"> 192 (2d College Ed.</w:t>
      </w:r>
      <w:r w:rsidRPr="0096524F">
        <w:t xml:space="preserve"> </w:t>
      </w:r>
      <w:r w:rsidRPr="0096524F">
        <w:t>1985).</w:t>
      </w:r>
      <w:r w:rsidRPr="0096524F">
        <w:t xml:space="preserve"> </w:t>
      </w:r>
      <w:r w:rsidRPr="0096524F">
        <w:rPr>
          <w:i/>
        </w:rPr>
        <w:t xml:space="preserve">See </w:t>
      </w:r>
      <w:r w:rsidRPr="0096524F">
        <w:t>above, §II.A., and below §II.D.1., 2., for discussions of the Lanham Act definition of blurring.</w:t>
      </w:r>
    </w:p>
  </w:footnote>
  <w:footnote w:id="55">
    <w:p w14:paraId="6BEC2260" w14:textId="13752CEE" w:rsidR="0096524F" w:rsidRPr="00EB11B3" w:rsidRDefault="0096524F" w:rsidP="0096524F">
      <w:pPr>
        <w:pStyle w:val="FootnoteText"/>
      </w:pPr>
      <w:r w:rsidRPr="0096524F">
        <w:rPr>
          <w:vertAlign w:val="superscript"/>
        </w:rPr>
        <w:footnoteRef/>
      </w:r>
      <w:r w:rsidRPr="0096524F">
        <w:rPr>
          <w:i/>
        </w:rPr>
        <w:t xml:space="preserve">See </w:t>
      </w:r>
      <w:r w:rsidRPr="0096524F">
        <w:t>below, §§II.D.1., II.D.2</w:t>
      </w:r>
      <w:r w:rsidRPr="0096524F">
        <w:rPr>
          <w:smallCaps/>
        </w:rPr>
        <w:t>.</w:t>
      </w:r>
    </w:p>
  </w:footnote>
  <w:footnote w:id="56">
    <w:p w14:paraId="78BF35E2" w14:textId="11494FF9" w:rsidR="0096524F" w:rsidRPr="00EB11B3" w:rsidRDefault="0096524F" w:rsidP="0096524F">
      <w:pPr>
        <w:pStyle w:val="FootnoteText"/>
      </w:pPr>
      <w:r w:rsidRPr="0096524F">
        <w:rPr>
          <w:vertAlign w:val="superscript"/>
        </w:rPr>
        <w:footnoteRef/>
      </w:r>
      <w:r w:rsidRPr="0096524F">
        <w:t>Hasbro, Inc.</w:t>
      </w:r>
      <w:r w:rsidRPr="0096524F">
        <w:t xml:space="preserve"> </w:t>
      </w:r>
      <w:r w:rsidRPr="0096524F">
        <w:t>v.</w:t>
      </w:r>
      <w:r w:rsidRPr="0096524F">
        <w:t xml:space="preserve"> </w:t>
      </w:r>
      <w:r w:rsidRPr="0096524F">
        <w:t>Clue Computing, Inc., 66 F.</w:t>
      </w:r>
      <w:r w:rsidRPr="0096524F">
        <w:t xml:space="preserve"> </w:t>
      </w:r>
      <w:r w:rsidRPr="0096524F">
        <w:t>Supp.</w:t>
      </w:r>
      <w:r w:rsidRPr="0096524F">
        <w:t xml:space="preserve"> </w:t>
      </w:r>
      <w:r w:rsidRPr="0096524F">
        <w:t>2d 117, 134, 52 USPQ2d 1402 (D.</w:t>
      </w:r>
      <w:r w:rsidRPr="0096524F">
        <w:t xml:space="preserve"> </w:t>
      </w:r>
      <w:r w:rsidRPr="0096524F">
        <w:t>Mass.</w:t>
      </w:r>
      <w:r w:rsidRPr="0096524F">
        <w:t xml:space="preserve"> </w:t>
      </w:r>
      <w:r w:rsidRPr="0096524F">
        <w:t xml:space="preserve">1999) (“‘Blurring is one mark seen by customers as now identifying two sources.’”) (quoting 3 </w:t>
      </w:r>
      <w:r w:rsidRPr="0096524F">
        <w:rPr>
          <w:smallCaps/>
        </w:rPr>
        <w:t>McCarthy, McCarthy on Trademarks and Unfair Competition</w:t>
      </w:r>
      <w:r w:rsidRPr="0096524F">
        <w:t xml:space="preserve"> §24:90.1 (4th ed.</w:t>
      </w:r>
      <w:r w:rsidRPr="0096524F">
        <w:t xml:space="preserve"> </w:t>
      </w:r>
      <w:r w:rsidRPr="0096524F">
        <w:t xml:space="preserve">1996)), </w:t>
      </w:r>
      <w:r w:rsidRPr="0096524F">
        <w:rPr>
          <w:i/>
        </w:rPr>
        <w:t>aff’d</w:t>
      </w:r>
      <w:r w:rsidRPr="0096524F">
        <w:t>, 232 F.3d 1, 56 USPQ2d 1766 (1st Cir.</w:t>
      </w:r>
      <w:r w:rsidRPr="0096524F">
        <w:t xml:space="preserve"> </w:t>
      </w:r>
      <w:r w:rsidRPr="0096524F">
        <w:t>2000).</w:t>
      </w:r>
    </w:p>
  </w:footnote>
  <w:footnote w:id="57">
    <w:p w14:paraId="60D5C2ED" w14:textId="448DCF0F" w:rsidR="0096524F" w:rsidRPr="00EB11B3" w:rsidRDefault="0096524F" w:rsidP="0096524F">
      <w:pPr>
        <w:pStyle w:val="FootnoteText"/>
      </w:pPr>
      <w:r w:rsidRPr="0096524F">
        <w:rPr>
          <w:vertAlign w:val="superscript"/>
        </w:rPr>
        <w:footnoteRef/>
      </w:r>
      <w:r w:rsidRPr="0096524F">
        <w:t xml:space="preserve">Maureen Morrin &amp; Jacob Jacoby, </w:t>
      </w:r>
      <w:r w:rsidRPr="0096524F">
        <w:rPr>
          <w:i/>
        </w:rPr>
        <w:t>Trademark Dilution:</w:t>
      </w:r>
      <w:r w:rsidRPr="0096524F">
        <w:rPr>
          <w:i/>
        </w:rPr>
        <w:t xml:space="preserve"> </w:t>
      </w:r>
      <w:r w:rsidRPr="0096524F">
        <w:rPr>
          <w:i/>
        </w:rPr>
        <w:t>Empirical Measures for an Elusive Concept</w:t>
      </w:r>
      <w:r w:rsidRPr="0096524F">
        <w:t xml:space="preserve">, 19 </w:t>
      </w:r>
      <w:r w:rsidRPr="0096524F">
        <w:rPr>
          <w:smallCaps/>
        </w:rPr>
        <w:t>J.</w:t>
      </w:r>
      <w:r w:rsidRPr="0096524F">
        <w:rPr>
          <w:smallCaps/>
        </w:rPr>
        <w:t xml:space="preserve"> </w:t>
      </w:r>
      <w:r w:rsidRPr="0096524F">
        <w:rPr>
          <w:smallCaps/>
        </w:rPr>
        <w:t>Pub.</w:t>
      </w:r>
      <w:r w:rsidRPr="0096524F">
        <w:rPr>
          <w:smallCaps/>
        </w:rPr>
        <w:t xml:space="preserve"> </w:t>
      </w:r>
      <w:r w:rsidRPr="0096524F">
        <w:rPr>
          <w:smallCaps/>
        </w:rPr>
        <w:t>Pol’y &amp; Marketing</w:t>
      </w:r>
      <w:r w:rsidRPr="0096524F">
        <w:t xml:space="preserve"> 265 (2000) (indicating that less than truly famous marks may be more susceptible to dilution than famous marks).</w:t>
      </w:r>
      <w:r w:rsidRPr="0096524F">
        <w:t xml:space="preserve"> </w:t>
      </w:r>
      <w:r w:rsidRPr="0096524F">
        <w:rPr>
          <w:i/>
        </w:rPr>
        <w:t>See</w:t>
      </w:r>
      <w:r w:rsidRPr="0096524F">
        <w:t xml:space="preserve"> Ty, Inc.</w:t>
      </w:r>
      <w:r w:rsidRPr="0096524F">
        <w:t xml:space="preserve"> </w:t>
      </w:r>
      <w:r w:rsidRPr="0096524F">
        <w:t>v.</w:t>
      </w:r>
      <w:r w:rsidRPr="0096524F">
        <w:t xml:space="preserve"> </w:t>
      </w:r>
      <w:r w:rsidRPr="0096524F">
        <w:t>Perryman, 306 F.3d 509, 511, 64 USPQ2d 1689 (7th Cir.</w:t>
      </w:r>
      <w:r w:rsidRPr="0096524F">
        <w:t xml:space="preserve"> </w:t>
      </w:r>
      <w:r w:rsidRPr="0096524F">
        <w:t xml:space="preserve">2002) (discussing search cost rationale), </w:t>
      </w:r>
      <w:r w:rsidRPr="0096524F">
        <w:rPr>
          <w:i/>
        </w:rPr>
        <w:t>cert</w:t>
      </w:r>
      <w:r w:rsidRPr="0096524F">
        <w:t>.</w:t>
      </w:r>
      <w:r w:rsidRPr="0096524F">
        <w:t xml:space="preserve"> </w:t>
      </w:r>
      <w:r w:rsidRPr="0096524F">
        <w:rPr>
          <w:i/>
        </w:rPr>
        <w:t>denied</w:t>
      </w:r>
      <w:r w:rsidRPr="0096524F">
        <w:t>, 538 U.S.</w:t>
      </w:r>
      <w:r w:rsidRPr="0096524F">
        <w:t xml:space="preserve"> </w:t>
      </w:r>
      <w:r w:rsidRPr="0096524F">
        <w:t>971 (2003).</w:t>
      </w:r>
    </w:p>
  </w:footnote>
  <w:footnote w:id="58">
    <w:p w14:paraId="3ACE8C21" w14:textId="0F4D56DB" w:rsidR="0096524F" w:rsidRPr="009E48EB" w:rsidRDefault="0096524F" w:rsidP="0096524F">
      <w:pPr>
        <w:pStyle w:val="FootnoteText"/>
      </w:pPr>
      <w:r w:rsidRPr="0096524F">
        <w:rPr>
          <w:vertAlign w:val="superscript"/>
        </w:rPr>
        <w:footnoteRef/>
      </w:r>
      <w:r w:rsidRPr="0096524F">
        <w:rPr>
          <w:i/>
        </w:rPr>
        <w:t>See, e</w:t>
      </w:r>
      <w:r w:rsidRPr="0096524F">
        <w:t>.</w:t>
      </w:r>
      <w:r w:rsidRPr="0096524F">
        <w:rPr>
          <w:i/>
        </w:rPr>
        <w:t>g</w:t>
      </w:r>
      <w:r w:rsidRPr="0096524F">
        <w:t>., Barton Beebe, Roy Germano, Christopher Jon Sprigman, &amp; Joel H.</w:t>
      </w:r>
      <w:r w:rsidRPr="0096524F">
        <w:t xml:space="preserve"> </w:t>
      </w:r>
      <w:r w:rsidRPr="0096524F">
        <w:t xml:space="preserve">Steckel, </w:t>
      </w:r>
      <w:r w:rsidRPr="0096524F">
        <w:rPr>
          <w:i/>
        </w:rPr>
        <w:t>Testing for Trademark Dilution in Court and the Lab</w:t>
      </w:r>
      <w:r w:rsidRPr="0096524F">
        <w:t>, 86 U.</w:t>
      </w:r>
      <w:r w:rsidRPr="0096524F">
        <w:t xml:space="preserve"> </w:t>
      </w:r>
      <w:r w:rsidRPr="0096524F">
        <w:t>Chi.</w:t>
      </w:r>
      <w:r w:rsidRPr="0096524F">
        <w:t xml:space="preserve"> </w:t>
      </w:r>
      <w:r w:rsidRPr="0096524F">
        <w:t>L.</w:t>
      </w:r>
      <w:r w:rsidRPr="0096524F">
        <w:t xml:space="preserve"> </w:t>
      </w:r>
      <w:r w:rsidRPr="0096524F">
        <w:t>Rev.</w:t>
      </w:r>
      <w:r w:rsidRPr="0096524F">
        <w:t xml:space="preserve"> </w:t>
      </w:r>
      <w:r w:rsidRPr="0096524F">
        <w:t xml:space="preserve">611, 641–654 (2019) [hereinafter Beebe, et al., </w:t>
      </w:r>
      <w:r w:rsidRPr="0096524F">
        <w:rPr>
          <w:i/>
        </w:rPr>
        <w:t>Testing for Dilution</w:t>
      </w:r>
      <w:r w:rsidRPr="0096524F">
        <w:t>];</w:t>
      </w:r>
      <w:r w:rsidRPr="0096524F">
        <w:t xml:space="preserve"> </w:t>
      </w:r>
      <w:r w:rsidRPr="0096524F">
        <w:t xml:space="preserve">Rebecca Tushnet, </w:t>
      </w:r>
      <w:r w:rsidRPr="0096524F">
        <w:rPr>
          <w:i/>
        </w:rPr>
        <w:t>Gone in Sixty Milliseconds:</w:t>
      </w:r>
      <w:r w:rsidRPr="0096524F">
        <w:rPr>
          <w:i/>
        </w:rPr>
        <w:t xml:space="preserve"> </w:t>
      </w:r>
      <w:r w:rsidRPr="0096524F">
        <w:rPr>
          <w:i/>
        </w:rPr>
        <w:t>Trademark Law and Cognitive Science</w:t>
      </w:r>
      <w:r w:rsidRPr="0096524F">
        <w:t xml:space="preserve">, 86 </w:t>
      </w:r>
      <w:r w:rsidRPr="0096524F">
        <w:rPr>
          <w:smallCaps/>
        </w:rPr>
        <w:t>Tex.</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507 (2008).</w:t>
      </w:r>
      <w:r w:rsidRPr="0096524F">
        <w:t xml:space="preserve"> </w:t>
      </w:r>
      <w:r w:rsidRPr="0096524F">
        <w:t>The Beebe, et al.</w:t>
      </w:r>
      <w:r w:rsidRPr="0096524F">
        <w:t xml:space="preserve"> </w:t>
      </w:r>
      <w:r w:rsidRPr="0096524F">
        <w:t>authors actually ran experiments testing the Morrin and Jacoby hypothesis and concluded that there were serious flaws in the methodology and conclusions.</w:t>
      </w:r>
      <w:r w:rsidRPr="0096524F">
        <w:t xml:space="preserve"> </w:t>
      </w:r>
      <w:r w:rsidRPr="0096524F">
        <w:t>86 U.</w:t>
      </w:r>
      <w:r w:rsidRPr="0096524F">
        <w:t xml:space="preserve"> </w:t>
      </w:r>
      <w:r w:rsidRPr="0096524F">
        <w:t>Chi.</w:t>
      </w:r>
      <w:r w:rsidRPr="0096524F">
        <w:t xml:space="preserve"> </w:t>
      </w:r>
      <w:r w:rsidRPr="0096524F">
        <w:t>L.</w:t>
      </w:r>
      <w:r w:rsidRPr="0096524F">
        <w:t xml:space="preserve"> </w:t>
      </w:r>
      <w:r w:rsidRPr="0096524F">
        <w:t>Rev.</w:t>
      </w:r>
      <w:r w:rsidRPr="0096524F">
        <w:t xml:space="preserve"> </w:t>
      </w:r>
      <w:r w:rsidRPr="0096524F">
        <w:t>at 654.</w:t>
      </w:r>
    </w:p>
  </w:footnote>
  <w:footnote w:id="59">
    <w:p w14:paraId="48F20D0C" w14:textId="48BAB673" w:rsidR="0096524F" w:rsidRPr="00EB11B3" w:rsidRDefault="0096524F" w:rsidP="0096524F">
      <w:pPr>
        <w:pStyle w:val="FootnoteText"/>
      </w:pPr>
      <w:r w:rsidRPr="0096524F">
        <w:rPr>
          <w:vertAlign w:val="superscript"/>
        </w:rPr>
        <w:footnoteRef/>
      </w:r>
      <w:r w:rsidRPr="0096524F">
        <w:rPr>
          <w:i/>
        </w:rPr>
        <w:t>Compare</w:t>
      </w:r>
      <w:r w:rsidRPr="0096524F">
        <w:t xml:space="preserve"> Jordache Enters., Inc.</w:t>
      </w:r>
      <w:r w:rsidRPr="0096524F">
        <w:t xml:space="preserve"> </w:t>
      </w:r>
      <w:r w:rsidRPr="0096524F">
        <w:t>v.</w:t>
      </w:r>
      <w:r w:rsidRPr="0096524F">
        <w:t xml:space="preserve"> </w:t>
      </w:r>
      <w:r w:rsidRPr="0096524F">
        <w:t>Hogg Wyld, Ltd., 828 F.2d 1482, 4 USPQ2d 1216 (10th Cir.</w:t>
      </w:r>
      <w:r w:rsidRPr="0096524F">
        <w:t xml:space="preserve"> </w:t>
      </w:r>
      <w:r w:rsidRPr="0096524F">
        <w:t xml:space="preserve">1987) (use of Lardashe as mark on clothes for women not tarnishing under New Mexico law), </w:t>
      </w:r>
      <w:r w:rsidRPr="0096524F">
        <w:rPr>
          <w:i/>
        </w:rPr>
        <w:t>with</w:t>
      </w:r>
      <w:r w:rsidRPr="0096524F">
        <w:t xml:space="preserve"> Deere &amp; Co.</w:t>
      </w:r>
      <w:r w:rsidRPr="0096524F">
        <w:t xml:space="preserve"> </w:t>
      </w:r>
      <w:r w:rsidRPr="0096524F">
        <w:t>v.</w:t>
      </w:r>
      <w:r w:rsidRPr="0096524F">
        <w:t xml:space="preserve"> </w:t>
      </w:r>
      <w:r w:rsidRPr="0096524F">
        <w:t>MTD Prods., Inc., 41 F.3d 39, 32 USPQ2d 1936 (2d Cir.</w:t>
      </w:r>
      <w:r w:rsidRPr="0096524F">
        <w:t xml:space="preserve"> </w:t>
      </w:r>
      <w:r w:rsidRPr="0096524F">
        <w:t>1994) (humorous alteration of Deere logo in comparative advertisement violates New York dilution law).</w:t>
      </w:r>
    </w:p>
  </w:footnote>
  <w:footnote w:id="60">
    <w:p w14:paraId="75910AF1" w14:textId="6A126346" w:rsidR="0096524F" w:rsidRPr="00EB11B3" w:rsidRDefault="0096524F" w:rsidP="0096524F">
      <w:pPr>
        <w:pStyle w:val="FootnoteText"/>
      </w:pPr>
      <w:r w:rsidRPr="0096524F">
        <w:rPr>
          <w:vertAlign w:val="superscript"/>
        </w:rPr>
        <w:footnoteRef/>
      </w:r>
      <w:r w:rsidRPr="0096524F">
        <w:t>These laws are discussed in Chapters 1–5.</w:t>
      </w:r>
    </w:p>
  </w:footnote>
  <w:footnote w:id="61">
    <w:p w14:paraId="79AB6B5D" w14:textId="2410E159" w:rsidR="0096524F" w:rsidRPr="00EB11B3" w:rsidRDefault="0096524F" w:rsidP="0096524F">
      <w:pPr>
        <w:pStyle w:val="FootnoteText"/>
      </w:pPr>
      <w:r w:rsidRPr="0096524F">
        <w:rPr>
          <w:vertAlign w:val="superscript"/>
        </w:rPr>
        <w:footnoteRef/>
      </w:r>
      <w:r w:rsidRPr="0096524F">
        <w:t>Lanham Act §43(c)(1), 15 U.S.C.</w:t>
      </w:r>
      <w:r w:rsidRPr="0096524F">
        <w:t xml:space="preserve"> </w:t>
      </w:r>
      <w:r w:rsidRPr="0096524F">
        <w:t>§1125(c)(1).</w:t>
      </w:r>
    </w:p>
  </w:footnote>
  <w:footnote w:id="62">
    <w:p w14:paraId="23A472F6" w14:textId="3DF62BAD" w:rsidR="0096524F" w:rsidRPr="00EB11B3" w:rsidRDefault="0096524F" w:rsidP="0096524F">
      <w:pPr>
        <w:pStyle w:val="FootnoteText"/>
      </w:pPr>
      <w:r w:rsidRPr="0096524F">
        <w:rPr>
          <w:vertAlign w:val="superscript"/>
        </w:rPr>
        <w:footnoteRef/>
      </w:r>
      <w:r w:rsidRPr="0096524F">
        <w:rPr>
          <w:i/>
        </w:rPr>
        <w:t>Id</w:t>
      </w:r>
      <w:r w:rsidRPr="0096524F">
        <w:t>.</w:t>
      </w:r>
    </w:p>
  </w:footnote>
  <w:footnote w:id="63">
    <w:p w14:paraId="4B1EC48D" w14:textId="34F34A48" w:rsidR="0096524F" w:rsidRPr="00EB11B3" w:rsidRDefault="0096524F" w:rsidP="0096524F">
      <w:pPr>
        <w:pStyle w:val="FootnoteText"/>
      </w:pPr>
      <w:r w:rsidRPr="0096524F">
        <w:rPr>
          <w:vertAlign w:val="superscript"/>
        </w:rPr>
        <w:footnoteRef/>
      </w:r>
      <w:r w:rsidRPr="0096524F">
        <w:t>Moseley v.</w:t>
      </w:r>
      <w:r w:rsidRPr="0096524F">
        <w:t xml:space="preserve"> </w:t>
      </w:r>
      <w:r w:rsidRPr="0096524F">
        <w:t>V Secret Catalogue, Inc., 537 U.S.</w:t>
      </w:r>
      <w:r w:rsidRPr="0096524F">
        <w:t xml:space="preserve"> </w:t>
      </w:r>
      <w:r w:rsidRPr="0096524F">
        <w:t>418, 433, 65 USPQ2d 1801 (2003).</w:t>
      </w:r>
    </w:p>
  </w:footnote>
  <w:footnote w:id="64">
    <w:p w14:paraId="5EED9F11" w14:textId="1552CE09" w:rsidR="0096524F" w:rsidRDefault="0096524F" w:rsidP="0096524F">
      <w:pPr>
        <w:pStyle w:val="FootnoteText"/>
      </w:pPr>
      <w:r w:rsidRPr="0096524F">
        <w:rPr>
          <w:rStyle w:val="FootnoteReference"/>
          <w:rFonts w:eastAsiaTheme="majorEastAsia"/>
        </w:rPr>
        <w:footnoteRef/>
      </w:r>
      <w:r w:rsidRPr="0096524F">
        <w:t>But one court seemingly ignored the change, requiring actual dilution.</w:t>
      </w:r>
      <w:r w:rsidRPr="0096524F">
        <w:t xml:space="preserve"> </w:t>
      </w:r>
      <w:r w:rsidRPr="0096524F">
        <w:t>La Quinta Worldwide, LLC v.</w:t>
      </w:r>
      <w:r w:rsidRPr="0096524F">
        <w:t xml:space="preserve"> </w:t>
      </w:r>
      <w:r w:rsidRPr="0096524F">
        <w:t>Q.R.T.M., S.A.</w:t>
      </w:r>
      <w:r w:rsidRPr="0096524F">
        <w:t xml:space="preserve"> </w:t>
      </w:r>
      <w:r w:rsidRPr="0096524F">
        <w:t>de CV, 2011 WL 13233546, at *7 (D.</w:t>
      </w:r>
      <w:r w:rsidRPr="0096524F">
        <w:t xml:space="preserve"> </w:t>
      </w:r>
      <w:r w:rsidRPr="0096524F">
        <w:t>Ariz.</w:t>
      </w:r>
      <w:r w:rsidRPr="0096524F">
        <w:t xml:space="preserve"> </w:t>
      </w:r>
      <w:r w:rsidRPr="0096524F">
        <w:t>Feb.</w:t>
      </w:r>
      <w:r w:rsidRPr="0096524F">
        <w:t xml:space="preserve"> </w:t>
      </w:r>
      <w:r w:rsidRPr="0096524F">
        <w:t>3, 2011).</w:t>
      </w:r>
      <w:r w:rsidRPr="0096524F">
        <w:t xml:space="preserve"> </w:t>
      </w:r>
      <w:r w:rsidRPr="0096524F">
        <w:t>However, on a motion for reconsideration, the court conceded that this was erroneous.</w:t>
      </w:r>
      <w:r w:rsidRPr="0096524F">
        <w:t xml:space="preserve"> </w:t>
      </w:r>
      <w:r w:rsidRPr="0096524F">
        <w:t>2011 WL 13233431, at *2 (D.</w:t>
      </w:r>
      <w:r w:rsidRPr="0096524F">
        <w:t xml:space="preserve"> </w:t>
      </w:r>
      <w:r w:rsidRPr="0096524F">
        <w:t>Ariz.</w:t>
      </w:r>
      <w:r w:rsidRPr="0096524F">
        <w:t xml:space="preserve"> </w:t>
      </w:r>
      <w:r w:rsidRPr="0096524F">
        <w:t>Apr.</w:t>
      </w:r>
      <w:r w:rsidRPr="0096524F">
        <w:t xml:space="preserve"> </w:t>
      </w:r>
      <w:r w:rsidRPr="0096524F">
        <w:t>19, 2011).</w:t>
      </w:r>
    </w:p>
  </w:footnote>
  <w:footnote w:id="65">
    <w:p w14:paraId="770BFFA6" w14:textId="4626A8AB" w:rsidR="0096524F" w:rsidRPr="00EB11B3" w:rsidRDefault="0096524F" w:rsidP="0096524F">
      <w:pPr>
        <w:pStyle w:val="FootnoteText"/>
      </w:pPr>
      <w:r w:rsidRPr="0096524F">
        <w:rPr>
          <w:vertAlign w:val="superscript"/>
        </w:rPr>
        <w:footnoteRef/>
      </w:r>
      <w:r w:rsidRPr="0096524F">
        <w:t>15 U.S.C.</w:t>
      </w:r>
      <w:r w:rsidRPr="0096524F">
        <w:t xml:space="preserve"> </w:t>
      </w:r>
      <w:r w:rsidRPr="0096524F">
        <w:t>§1125(c)(1) (emphasis added) (superseded by the Trademark Dilution Revision Act of 2006).</w:t>
      </w:r>
    </w:p>
  </w:footnote>
  <w:footnote w:id="66">
    <w:p w14:paraId="23A7C999" w14:textId="27F653C8" w:rsidR="0096524F" w:rsidRPr="00EB11B3" w:rsidRDefault="0096524F" w:rsidP="0096524F">
      <w:pPr>
        <w:pStyle w:val="FootnoteText"/>
      </w:pPr>
      <w:r w:rsidRPr="0096524F">
        <w:rPr>
          <w:vertAlign w:val="superscript"/>
        </w:rPr>
        <w:footnoteRef/>
      </w:r>
      <w:r w:rsidRPr="0096524F">
        <w:t>Although the TDRA resolves the issue as a matter of federal law, many states still have statutes containing the “causes dilution” language.</w:t>
      </w:r>
      <w:r w:rsidRPr="0096524F">
        <w:t xml:space="preserve"> </w:t>
      </w:r>
      <w:r w:rsidRPr="0096524F">
        <w:rPr>
          <w:i/>
        </w:rPr>
        <w:t>See</w:t>
      </w:r>
      <w:r w:rsidRPr="0096524F">
        <w:t xml:space="preserve"> Chapter 3, §III.B.1.</w:t>
      </w:r>
    </w:p>
  </w:footnote>
  <w:footnote w:id="67">
    <w:p w14:paraId="2ED3AA01" w14:textId="2FF8E185" w:rsidR="0096524F" w:rsidRPr="00EB11B3" w:rsidRDefault="0096524F" w:rsidP="0096524F">
      <w:pPr>
        <w:pStyle w:val="FootnoteText"/>
      </w:pPr>
      <w:r w:rsidRPr="0096524F">
        <w:rPr>
          <w:vertAlign w:val="superscript"/>
        </w:rPr>
        <w:footnoteRef/>
      </w:r>
      <w:r w:rsidRPr="0096524F">
        <w:t>Nabisco, Inc.</w:t>
      </w:r>
      <w:r w:rsidRPr="0096524F">
        <w:t xml:space="preserve"> </w:t>
      </w:r>
      <w:r w:rsidRPr="0096524F">
        <w:t>v.</w:t>
      </w:r>
      <w:r w:rsidRPr="0096524F">
        <w:t xml:space="preserve"> </w:t>
      </w:r>
      <w:r w:rsidRPr="0096524F">
        <w:t>PF Brands, Inc., 191 F.3d 208, 223–24, 51 USPQ2d 1882 (2d Cir.</w:t>
      </w:r>
      <w:r w:rsidRPr="0096524F">
        <w:t xml:space="preserve"> </w:t>
      </w:r>
      <w:r w:rsidRPr="0096524F">
        <w:t>1999) (calling an actual dilution interpretation “excessive literalism”);</w:t>
      </w:r>
      <w:r w:rsidRPr="0096524F">
        <w:t xml:space="preserve"> </w:t>
      </w:r>
      <w:r w:rsidRPr="0096524F">
        <w:t>Eli Lilly &amp; Co.</w:t>
      </w:r>
      <w:r w:rsidRPr="0096524F">
        <w:t xml:space="preserve"> </w:t>
      </w:r>
      <w:r w:rsidRPr="0096524F">
        <w:t>v.</w:t>
      </w:r>
      <w:r w:rsidRPr="0096524F">
        <w:t xml:space="preserve"> </w:t>
      </w:r>
      <w:r w:rsidRPr="0096524F">
        <w:t>Natural Answers, Inc., 233 F.3d 456, 467–68, 56 USPQ2d 1942 (7th Cir.</w:t>
      </w:r>
      <w:r w:rsidRPr="0096524F">
        <w:t xml:space="preserve"> </w:t>
      </w:r>
      <w:r w:rsidRPr="0096524F">
        <w:t>2000) (noting difficulties of proof);</w:t>
      </w:r>
      <w:r w:rsidRPr="0096524F">
        <w:t xml:space="preserve"> </w:t>
      </w:r>
      <w:r w:rsidRPr="0096524F">
        <w:t>V Secret Catalogue, Inc.</w:t>
      </w:r>
      <w:r w:rsidRPr="0096524F">
        <w:t xml:space="preserve"> </w:t>
      </w:r>
      <w:r w:rsidRPr="0096524F">
        <w:t>v.</w:t>
      </w:r>
      <w:r w:rsidRPr="0096524F">
        <w:t xml:space="preserve"> </w:t>
      </w:r>
      <w:r w:rsidRPr="0096524F">
        <w:t>Moseley, 259 F.3d 464, 470, 474–76, 59 USPQ2d 1650 (6th Cir.</w:t>
      </w:r>
      <w:r w:rsidRPr="0096524F">
        <w:t xml:space="preserve"> </w:t>
      </w:r>
      <w:r w:rsidRPr="0096524F">
        <w:t xml:space="preserve">2001), </w:t>
      </w:r>
      <w:r w:rsidRPr="0096524F">
        <w:rPr>
          <w:i/>
        </w:rPr>
        <w:t>rev’d</w:t>
      </w:r>
      <w:r w:rsidRPr="0096524F">
        <w:t>, 537 U.S.</w:t>
      </w:r>
      <w:r w:rsidRPr="0096524F">
        <w:t xml:space="preserve"> </w:t>
      </w:r>
      <w:r w:rsidRPr="0096524F">
        <w:t>418, 65 USPQ2d 1801 (2003).</w:t>
      </w:r>
    </w:p>
  </w:footnote>
  <w:footnote w:id="68">
    <w:p w14:paraId="79ED80D0" w14:textId="193FD794" w:rsidR="0096524F" w:rsidRPr="00EB11B3" w:rsidRDefault="0096524F" w:rsidP="0096524F">
      <w:pPr>
        <w:pStyle w:val="FootnoteText"/>
      </w:pPr>
      <w:r w:rsidRPr="0096524F">
        <w:rPr>
          <w:vertAlign w:val="superscript"/>
        </w:rPr>
        <w:footnoteRef/>
      </w:r>
      <w:r w:rsidRPr="0096524F">
        <w:t>Ringling Bros.-Barnum &amp; Bailey Combined Shows, Inc.</w:t>
      </w:r>
      <w:r w:rsidRPr="0096524F">
        <w:t xml:space="preserve"> </w:t>
      </w:r>
      <w:r w:rsidRPr="0096524F">
        <w:t>v.</w:t>
      </w:r>
      <w:r w:rsidRPr="0096524F">
        <w:t xml:space="preserve"> </w:t>
      </w:r>
      <w:r w:rsidRPr="0096524F">
        <w:t>Utah Div.</w:t>
      </w:r>
      <w:r w:rsidRPr="0096524F">
        <w:t xml:space="preserve"> </w:t>
      </w:r>
      <w:r w:rsidRPr="0096524F">
        <w:t xml:space="preserve">of Travel Dev., 170 F.3d 449, 457–61, 50 USPQ2d 1065 (4th Cir.), </w:t>
      </w:r>
      <w:r w:rsidRPr="0096524F">
        <w:rPr>
          <w:i/>
        </w:rPr>
        <w:t>cert</w:t>
      </w:r>
      <w:r w:rsidRPr="0096524F">
        <w:t>.</w:t>
      </w:r>
      <w:r w:rsidRPr="0096524F">
        <w:t xml:space="preserve"> </w:t>
      </w:r>
      <w:r w:rsidRPr="0096524F">
        <w:rPr>
          <w:i/>
        </w:rPr>
        <w:t>denied</w:t>
      </w:r>
      <w:r w:rsidRPr="0096524F">
        <w:t>, 528 U.S.</w:t>
      </w:r>
      <w:r w:rsidRPr="0096524F">
        <w:t xml:space="preserve"> </w:t>
      </w:r>
      <w:r w:rsidRPr="0096524F">
        <w:t>923 (1999);</w:t>
      </w:r>
      <w:r w:rsidRPr="0096524F">
        <w:t xml:space="preserve"> </w:t>
      </w:r>
      <w:r w:rsidRPr="0096524F">
        <w:t>Westchester Media v.</w:t>
      </w:r>
      <w:r w:rsidRPr="0096524F">
        <w:t xml:space="preserve"> </w:t>
      </w:r>
      <w:r w:rsidRPr="0096524F">
        <w:t>PRL USA Holdings, 214 F.3d 658, 671, 55 USPQ2d 1225 (5th Cir.</w:t>
      </w:r>
      <w:r w:rsidRPr="0096524F">
        <w:t xml:space="preserve"> </w:t>
      </w:r>
      <w:r w:rsidRPr="0096524F">
        <w:t>2000).</w:t>
      </w:r>
    </w:p>
  </w:footnote>
  <w:footnote w:id="69">
    <w:p w14:paraId="642ECC38" w14:textId="0274A1F4" w:rsidR="0096524F" w:rsidRPr="00EB11B3" w:rsidRDefault="0096524F" w:rsidP="0096524F">
      <w:pPr>
        <w:pStyle w:val="FootnoteText"/>
      </w:pPr>
      <w:r w:rsidRPr="0096524F">
        <w:rPr>
          <w:vertAlign w:val="superscript"/>
        </w:rPr>
        <w:footnoteRef/>
      </w:r>
      <w:r w:rsidRPr="0096524F">
        <w:t>537 U.S.</w:t>
      </w:r>
      <w:r w:rsidRPr="0096524F">
        <w:t xml:space="preserve"> </w:t>
      </w:r>
      <w:r w:rsidRPr="0096524F">
        <w:t>418, 65 USPQ2d 1801 (2003).</w:t>
      </w:r>
    </w:p>
  </w:footnote>
  <w:footnote w:id="70">
    <w:p w14:paraId="6DC2E07B" w14:textId="413E1245"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433.</w:t>
      </w:r>
    </w:p>
  </w:footnote>
  <w:footnote w:id="71">
    <w:p w14:paraId="04CECEF1" w14:textId="5FD8FB68"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 xml:space="preserve">The Court also pointed to the definition of dilution in support of its decision, noting the contrast between a “lessening of the capacity” of a mark to distinguish (presumably present tense) and the disclaimer of any need for “likelihood of confusion.” </w:t>
      </w:r>
      <w:r w:rsidRPr="0096524F">
        <w:rPr>
          <w:i/>
        </w:rPr>
        <w:t>Id</w:t>
      </w:r>
      <w:r w:rsidRPr="0096524F">
        <w:t>.</w:t>
      </w:r>
    </w:p>
  </w:footnote>
  <w:footnote w:id="72">
    <w:p w14:paraId="7A4439E6" w14:textId="1146D213" w:rsidR="0096524F" w:rsidRPr="00EB11B3" w:rsidRDefault="0096524F" w:rsidP="0096524F">
      <w:pPr>
        <w:pStyle w:val="FootnoteText"/>
      </w:pPr>
      <w:r w:rsidRPr="0096524F">
        <w:rPr>
          <w:vertAlign w:val="superscript"/>
        </w:rPr>
        <w:footnoteRef/>
      </w:r>
      <w:r w:rsidRPr="0096524F">
        <w:t>Although the Court was clear that actual dilution was required, it was far less illuminating about how one proves actual dilution.</w:t>
      </w:r>
      <w:r w:rsidRPr="0096524F">
        <w:t xml:space="preserve"> </w:t>
      </w:r>
      <w:r w:rsidRPr="0096524F">
        <w:t xml:space="preserve">A mental association alone would “not [be] sufficient to establish dilution,” </w:t>
      </w:r>
      <w:r w:rsidRPr="0096524F">
        <w:rPr>
          <w:i/>
        </w:rPr>
        <w:t>id</w:t>
      </w:r>
      <w:r w:rsidRPr="0096524F">
        <w:t xml:space="preserve">., at least “where the marks at issue are not identical.” </w:t>
      </w:r>
      <w:r w:rsidRPr="0096524F">
        <w:rPr>
          <w:i/>
        </w:rPr>
        <w:t>Id</w:t>
      </w:r>
      <w:r w:rsidRPr="0096524F">
        <w:t>.</w:t>
      </w:r>
      <w:r w:rsidRPr="0096524F">
        <w:t xml:space="preserve"> </w:t>
      </w:r>
      <w:r w:rsidRPr="0096524F">
        <w:t>It suggested that with surveys and “through circumstantial evidence,” one could demonstrate actual dilution.</w:t>
      </w:r>
      <w:r w:rsidRPr="0096524F">
        <w:t xml:space="preserve"> </w:t>
      </w:r>
      <w:r w:rsidRPr="0096524F">
        <w:rPr>
          <w:i/>
        </w:rPr>
        <w:t>Id</w:t>
      </w:r>
      <w:r w:rsidRPr="0096524F">
        <w:t>.</w:t>
      </w:r>
      <w:r w:rsidRPr="0096524F">
        <w:t xml:space="preserve"> </w:t>
      </w:r>
      <w:r w:rsidRPr="0096524F">
        <w:t>at 434.</w:t>
      </w:r>
      <w:r w:rsidRPr="0096524F">
        <w:t xml:space="preserve"> </w:t>
      </w:r>
      <w:r w:rsidRPr="0096524F">
        <w:t>The only circumstance it could point to was the case of identical marks.</w:t>
      </w:r>
      <w:r w:rsidRPr="0096524F">
        <w:t xml:space="preserve"> </w:t>
      </w:r>
      <w:r w:rsidRPr="0096524F">
        <w:rPr>
          <w:i/>
        </w:rPr>
        <w:t>Id</w:t>
      </w:r>
      <w:r w:rsidRPr="0096524F">
        <w:t>.</w:t>
      </w:r>
      <w:r w:rsidRPr="0096524F">
        <w:t xml:space="preserve"> </w:t>
      </w:r>
      <w:r w:rsidRPr="0096524F">
        <w:rPr>
          <w:i/>
        </w:rPr>
        <w:t>See</w:t>
      </w:r>
      <w:r w:rsidRPr="0096524F">
        <w:t xml:space="preserve"> Ty Inc.</w:t>
      </w:r>
      <w:r w:rsidRPr="0096524F">
        <w:t xml:space="preserve"> </w:t>
      </w:r>
      <w:r w:rsidRPr="0096524F">
        <w:t>v.</w:t>
      </w:r>
      <w:r w:rsidRPr="0096524F">
        <w:t xml:space="preserve"> </w:t>
      </w:r>
      <w:r w:rsidRPr="0096524F">
        <w:t>Softbelly’s, Inc., 353 F.3d 528, 536, 69 USPQ2d 1213 (7th Cir.</w:t>
      </w:r>
      <w:r w:rsidRPr="0096524F">
        <w:t xml:space="preserve"> </w:t>
      </w:r>
      <w:r w:rsidRPr="0096524F">
        <w:t xml:space="preserve">2003) (“The Court [in </w:t>
      </w:r>
      <w:r w:rsidRPr="0096524F">
        <w:rPr>
          <w:i/>
        </w:rPr>
        <w:t>Moseley</w:t>
      </w:r>
      <w:r w:rsidRPr="0096524F">
        <w:t>] did not explain and no one seems to know what that ‘circumstantial evidence’ might be.”).</w:t>
      </w:r>
      <w:r w:rsidRPr="0096524F">
        <w:t xml:space="preserve"> </w:t>
      </w:r>
      <w:r w:rsidRPr="0096524F">
        <w:t>Thus, the identical-marks case became one in which courts often presumed that dilution existed.</w:t>
      </w:r>
      <w:r w:rsidRPr="0096524F">
        <w:t xml:space="preserve"> </w:t>
      </w:r>
      <w:r w:rsidRPr="0096524F">
        <w:t>Savin Corp.</w:t>
      </w:r>
      <w:r w:rsidRPr="0096524F">
        <w:t xml:space="preserve"> </w:t>
      </w:r>
      <w:r w:rsidRPr="0096524F">
        <w:t>v.</w:t>
      </w:r>
      <w:r w:rsidRPr="0096524F">
        <w:t xml:space="preserve"> </w:t>
      </w:r>
      <w:r w:rsidRPr="0096524F">
        <w:t>Savin Group, 391 F.3d 439, 452, 73 USPQ2d 1273 (2d Cir.</w:t>
      </w:r>
      <w:r w:rsidRPr="0096524F">
        <w:t xml:space="preserve"> </w:t>
      </w:r>
      <w:r w:rsidRPr="0096524F">
        <w:t xml:space="preserve">2004), </w:t>
      </w:r>
      <w:r w:rsidRPr="0096524F">
        <w:rPr>
          <w:i/>
        </w:rPr>
        <w:t>cert</w:t>
      </w:r>
      <w:r w:rsidRPr="0096524F">
        <w:t>.</w:t>
      </w:r>
      <w:r w:rsidRPr="0096524F">
        <w:t xml:space="preserve"> </w:t>
      </w:r>
      <w:r w:rsidRPr="0096524F">
        <w:rPr>
          <w:i/>
        </w:rPr>
        <w:t>denied</w:t>
      </w:r>
      <w:r w:rsidRPr="0096524F">
        <w:t>, 546 U.S.</w:t>
      </w:r>
      <w:r w:rsidRPr="0096524F">
        <w:t xml:space="preserve"> </w:t>
      </w:r>
      <w:r w:rsidRPr="0096524F">
        <w:t>822 (2005) (actual dilution presumed where marks are identical).</w:t>
      </w:r>
    </w:p>
  </w:footnote>
  <w:footnote w:id="73">
    <w:p w14:paraId="4F88C588" w14:textId="04D66790" w:rsidR="0096524F" w:rsidRPr="00EB11B3" w:rsidRDefault="0096524F" w:rsidP="0096524F">
      <w:pPr>
        <w:pStyle w:val="FootnoteText"/>
      </w:pPr>
      <w:r w:rsidRPr="0096524F">
        <w:rPr>
          <w:vertAlign w:val="superscript"/>
        </w:rPr>
        <w:footnoteRef/>
      </w:r>
      <w:r w:rsidRPr="0096524F">
        <w:t>Because state law claims are often added as supplemental claims to federal dilution claims, federal courts will have to apply the original FTDA language to those supplemental claims for the foreseeable future.</w:t>
      </w:r>
      <w:r w:rsidRPr="0096524F">
        <w:t xml:space="preserve"> </w:t>
      </w:r>
      <w:r w:rsidRPr="0096524F">
        <w:t>Thus far, only two states that had statutes with the “causes dilution” language have amended their laws to include the “likely to cause” language.</w:t>
      </w:r>
      <w:r w:rsidRPr="0096524F">
        <w:t xml:space="preserve"> </w:t>
      </w:r>
      <w:r w:rsidRPr="0096524F">
        <w:rPr>
          <w:smallCaps/>
        </w:rPr>
        <w:t>Ala.</w:t>
      </w:r>
      <w:r w:rsidRPr="0096524F">
        <w:rPr>
          <w:smallCaps/>
        </w:rPr>
        <w:t xml:space="preserve"> </w:t>
      </w:r>
      <w:r w:rsidRPr="0096524F">
        <w:rPr>
          <w:smallCaps/>
        </w:rPr>
        <w:t>Code</w:t>
      </w:r>
      <w:r w:rsidRPr="0096524F">
        <w:t xml:space="preserve"> §§8-12-6(2), 8-12-17(a) (2010);</w:t>
      </w:r>
      <w:r w:rsidRPr="0096524F">
        <w:t xml:space="preserve"> </w:t>
      </w:r>
      <w:r w:rsidRPr="0096524F">
        <w:rPr>
          <w:smallCaps/>
        </w:rPr>
        <w:t>Miss.</w:t>
      </w:r>
      <w:r w:rsidRPr="0096524F">
        <w:rPr>
          <w:smallCaps/>
        </w:rPr>
        <w:t xml:space="preserve"> </w:t>
      </w:r>
      <w:r w:rsidRPr="0096524F">
        <w:rPr>
          <w:smallCaps/>
        </w:rPr>
        <w:t>Code Ann</w:t>
      </w:r>
      <w:r w:rsidRPr="0096524F">
        <w:t>.</w:t>
      </w:r>
      <w:r w:rsidRPr="0096524F">
        <w:t xml:space="preserve"> </w:t>
      </w:r>
      <w:r w:rsidRPr="0096524F">
        <w:t>§§75-25-1(k), 75-25-25(a) (West Supp.</w:t>
      </w:r>
      <w:r w:rsidRPr="0096524F">
        <w:t xml:space="preserve"> </w:t>
      </w:r>
      <w:r w:rsidRPr="0096524F">
        <w:t>2011).</w:t>
      </w:r>
      <w:r w:rsidRPr="0096524F">
        <w:t xml:space="preserve"> </w:t>
      </w:r>
      <w:r w:rsidRPr="0096524F">
        <w:rPr>
          <w:i/>
        </w:rPr>
        <w:t xml:space="preserve">See </w:t>
      </w:r>
      <w:r w:rsidRPr="0096524F">
        <w:t>Chapter 3, §III.B.1.</w:t>
      </w:r>
    </w:p>
  </w:footnote>
  <w:footnote w:id="74">
    <w:p w14:paraId="21215858" w14:textId="39ECCCA8" w:rsidR="0096524F" w:rsidRPr="00EB11B3" w:rsidRDefault="0096524F" w:rsidP="0096524F">
      <w:pPr>
        <w:pStyle w:val="FootnoteText"/>
      </w:pPr>
      <w:r w:rsidRPr="0096524F">
        <w:rPr>
          <w:vertAlign w:val="superscript"/>
        </w:rPr>
        <w:footnoteRef/>
      </w:r>
      <w:r w:rsidRPr="0096524F">
        <w:rPr>
          <w:i/>
        </w:rPr>
        <w:t>See, e</w:t>
      </w:r>
      <w:r w:rsidRPr="0096524F">
        <w:t>.</w:t>
      </w:r>
      <w:r w:rsidRPr="0096524F">
        <w:rPr>
          <w:i/>
        </w:rPr>
        <w:t>g</w:t>
      </w:r>
      <w:r w:rsidRPr="0096524F">
        <w:t>., Century 21 Real Estate LLC v.</w:t>
      </w:r>
      <w:r w:rsidRPr="0096524F">
        <w:t xml:space="preserve"> </w:t>
      </w:r>
      <w:r w:rsidRPr="0096524F">
        <w:t>Century Sur.</w:t>
      </w:r>
      <w:r w:rsidRPr="0096524F">
        <w:t xml:space="preserve"> </w:t>
      </w:r>
      <w:r w:rsidRPr="0096524F">
        <w:t>Co., 2007 WL 433579, at *1 n.1, 2007 BL 222640 (D.</w:t>
      </w:r>
      <w:r w:rsidRPr="0096524F">
        <w:t xml:space="preserve"> </w:t>
      </w:r>
      <w:r w:rsidRPr="0096524F">
        <w:t>Ariz.</w:t>
      </w:r>
      <w:r w:rsidRPr="0096524F">
        <w:t xml:space="preserve"> </w:t>
      </w:r>
      <w:r w:rsidRPr="0096524F">
        <w:t>Feb.</w:t>
      </w:r>
      <w:r w:rsidRPr="0096524F">
        <w:t xml:space="preserve"> </w:t>
      </w:r>
      <w:r w:rsidRPr="0096524F">
        <w:t xml:space="preserve">6, 2007) (reconsidering summary judgment against FTDA claim after TDRA, but refusing to reconsider summary judgment against state dilution claim, where state statute tracked the original FTDA), </w:t>
      </w:r>
      <w:r w:rsidRPr="0096524F">
        <w:rPr>
          <w:i/>
        </w:rPr>
        <w:t>aff’d</w:t>
      </w:r>
      <w:r w:rsidRPr="0096524F">
        <w:t>, 300 F.</w:t>
      </w:r>
      <w:r w:rsidRPr="0096524F">
        <w:t xml:space="preserve"> </w:t>
      </w:r>
      <w:r w:rsidRPr="0096524F">
        <w:t>App’x.</w:t>
      </w:r>
      <w:r w:rsidRPr="0096524F">
        <w:t xml:space="preserve"> </w:t>
      </w:r>
      <w:r w:rsidRPr="0096524F">
        <w:t>527 (9th Cir.</w:t>
      </w:r>
      <w:r w:rsidRPr="0096524F">
        <w:t xml:space="preserve"> </w:t>
      </w:r>
      <w:r w:rsidRPr="0096524F">
        <w:t>2008).</w:t>
      </w:r>
    </w:p>
  </w:footnote>
  <w:footnote w:id="75">
    <w:p w14:paraId="1C355883" w14:textId="08447854" w:rsidR="0096524F" w:rsidRPr="00EB11B3" w:rsidRDefault="0096524F" w:rsidP="0096524F">
      <w:pPr>
        <w:pStyle w:val="FootnoteText"/>
      </w:pPr>
      <w:r w:rsidRPr="0096524F">
        <w:rPr>
          <w:vertAlign w:val="superscript"/>
        </w:rPr>
        <w:footnoteRef/>
      </w:r>
      <w:r w:rsidRPr="0096524F">
        <w:t>Lanham Act §43(c)(2)(B), 15 U.S.C.</w:t>
      </w:r>
      <w:r w:rsidRPr="0096524F">
        <w:t xml:space="preserve"> </w:t>
      </w:r>
      <w:r w:rsidRPr="0096524F">
        <w:t>§1125(c)(2)(B).</w:t>
      </w:r>
    </w:p>
  </w:footnote>
  <w:footnote w:id="76">
    <w:p w14:paraId="4B0EA1F6" w14:textId="28DD2B26" w:rsidR="0096524F" w:rsidRPr="00EB11B3" w:rsidRDefault="0096524F" w:rsidP="0096524F">
      <w:pPr>
        <w:pStyle w:val="FootnoteText"/>
      </w:pPr>
      <w:r w:rsidRPr="0096524F">
        <w:rPr>
          <w:vertAlign w:val="superscript"/>
        </w:rPr>
        <w:footnoteRef/>
      </w:r>
      <w:r w:rsidRPr="0096524F">
        <w:t>Fame is an element of the dilution cause of action under federal law, but is not a necessary aspect of blurring as defined.</w:t>
      </w:r>
    </w:p>
  </w:footnote>
  <w:footnote w:id="77">
    <w:p w14:paraId="74899B9E" w14:textId="304FB5A3" w:rsidR="0096524F" w:rsidRPr="00EB11B3" w:rsidRDefault="0096524F" w:rsidP="0096524F">
      <w:pPr>
        <w:pStyle w:val="FootnoteText"/>
      </w:pPr>
      <w:r w:rsidRPr="0096524F">
        <w:rPr>
          <w:vertAlign w:val="superscript"/>
        </w:rPr>
        <w:footnoteRef/>
      </w:r>
      <w:r w:rsidRPr="0096524F">
        <w:t xml:space="preserve">Barton Beebe, </w:t>
      </w:r>
      <w:r w:rsidRPr="0096524F">
        <w:rPr>
          <w:i/>
        </w:rPr>
        <w:t>A Defense of the New Federal Trademark Antidilution Law</w:t>
      </w:r>
      <w:r w:rsidRPr="0096524F">
        <w:t xml:space="preserve">, 16 </w:t>
      </w:r>
      <w:r w:rsidRPr="0096524F">
        <w:rPr>
          <w:smallCaps/>
        </w:rPr>
        <w:t>Fordham Intell.</w:t>
      </w:r>
      <w:r w:rsidRPr="0096524F">
        <w:rPr>
          <w:smallCaps/>
        </w:rPr>
        <w:t xml:space="preserve"> </w:t>
      </w:r>
      <w:r w:rsidRPr="0096524F">
        <w:rPr>
          <w:smallCaps/>
        </w:rPr>
        <w:t>Prop., Media &amp; Ent.</w:t>
      </w:r>
      <w:r w:rsidRPr="0096524F">
        <w:rPr>
          <w:smallCaps/>
        </w:rPr>
        <w:t xml:space="preserve"> </w:t>
      </w:r>
      <w:r w:rsidRPr="0096524F">
        <w:rPr>
          <w:smallCaps/>
        </w:rPr>
        <w:t>L.J.</w:t>
      </w:r>
      <w:r w:rsidRPr="0096524F">
        <w:rPr>
          <w:smallCaps/>
        </w:rPr>
        <w:t xml:space="preserve"> </w:t>
      </w:r>
      <w:r w:rsidRPr="0096524F">
        <w:t>1143, 1163 (2006).</w:t>
      </w:r>
    </w:p>
  </w:footnote>
  <w:footnote w:id="78">
    <w:p w14:paraId="79AD01CA" w14:textId="3E30D1C1"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Rolex Watch USA, Inc.</w:t>
      </w:r>
      <w:r w:rsidRPr="0096524F">
        <w:t xml:space="preserve"> </w:t>
      </w:r>
      <w:r w:rsidRPr="0096524F">
        <w:t>v.</w:t>
      </w:r>
      <w:r w:rsidRPr="0096524F">
        <w:t xml:space="preserve"> </w:t>
      </w:r>
      <w:r w:rsidRPr="0096524F">
        <w:t>AFP Imaging Corp., 101 USPQ2d 1188, 1194, 1196 (T.T.A.B.</w:t>
      </w:r>
      <w:r w:rsidRPr="0096524F">
        <w:t xml:space="preserve"> </w:t>
      </w:r>
      <w:r w:rsidRPr="0096524F">
        <w:t xml:space="preserve">2011), </w:t>
      </w:r>
      <w:r w:rsidRPr="0096524F">
        <w:rPr>
          <w:i/>
        </w:rPr>
        <w:t>vacated</w:t>
      </w:r>
      <w:r w:rsidRPr="0096524F">
        <w:t>, 2013 TTAB LEXIS 46 (T.T.A.B.</w:t>
      </w:r>
      <w:r w:rsidRPr="0096524F">
        <w:t xml:space="preserve"> </w:t>
      </w:r>
      <w:r w:rsidRPr="0096524F">
        <w:t>Jan.</w:t>
      </w:r>
      <w:r w:rsidRPr="0096524F">
        <w:t xml:space="preserve"> </w:t>
      </w:r>
      <w:r w:rsidRPr="0096524F">
        <w:t>29, 2013) (applicant abandoned the application) (designated precedential July 17, 2013);</w:t>
      </w:r>
      <w:r w:rsidRPr="0096524F">
        <w:t xml:space="preserve"> </w:t>
      </w:r>
      <w:r w:rsidRPr="0096524F">
        <w:t>Gap, Inc.</w:t>
      </w:r>
      <w:r w:rsidRPr="0096524F">
        <w:t xml:space="preserve"> </w:t>
      </w:r>
      <w:r w:rsidRPr="0096524F">
        <w:t>v.</w:t>
      </w:r>
      <w:r w:rsidRPr="0096524F">
        <w:t xml:space="preserve"> </w:t>
      </w:r>
      <w:r w:rsidRPr="0096524F">
        <w:t>G.A.P.</w:t>
      </w:r>
      <w:r w:rsidRPr="0096524F">
        <w:t xml:space="preserve"> </w:t>
      </w:r>
      <w:r w:rsidRPr="0096524F">
        <w:t>Adventures, Inc., 100 USPQ2d 1417, 1431 (S.D.N.Y.</w:t>
      </w:r>
      <w:r w:rsidRPr="0096524F">
        <w:t xml:space="preserve"> </w:t>
      </w:r>
      <w:r w:rsidRPr="0096524F">
        <w:t>2011).</w:t>
      </w:r>
    </w:p>
  </w:footnote>
  <w:footnote w:id="79">
    <w:p w14:paraId="4BBD525B" w14:textId="018152A1" w:rsidR="0096524F" w:rsidRPr="00EB11B3" w:rsidRDefault="0096524F" w:rsidP="0096524F">
      <w:pPr>
        <w:pStyle w:val="FootnoteText"/>
      </w:pPr>
      <w:r w:rsidRPr="0096524F">
        <w:rPr>
          <w:vertAlign w:val="superscript"/>
        </w:rPr>
        <w:footnoteRef/>
      </w:r>
      <w:r w:rsidRPr="0096524F">
        <w:t>§43(c)(1), 15 U.S.C.</w:t>
      </w:r>
      <w:r w:rsidRPr="0096524F">
        <w:t xml:space="preserve"> </w:t>
      </w:r>
      <w:r w:rsidRPr="0096524F">
        <w:t>§1125(c)(1).</w:t>
      </w:r>
    </w:p>
  </w:footnote>
  <w:footnote w:id="80">
    <w:p w14:paraId="4C41BFFE" w14:textId="64977D4E" w:rsidR="0096524F" w:rsidRPr="00EB11B3" w:rsidRDefault="0096524F" w:rsidP="0096524F">
      <w:pPr>
        <w:pStyle w:val="FootnoteText"/>
      </w:pPr>
      <w:r w:rsidRPr="0096524F">
        <w:rPr>
          <w:vertAlign w:val="superscript"/>
        </w:rPr>
        <w:footnoteRef/>
      </w:r>
      <w:r w:rsidRPr="0096524F">
        <w:t>The original FTDA had a single definition of dilution.</w:t>
      </w:r>
      <w:r w:rsidRPr="0096524F">
        <w:t xml:space="preserve"> </w:t>
      </w:r>
      <w:r w:rsidRPr="0096524F">
        <w:t>Thus, it may have altered or eliminated some forms of dilution.</w:t>
      </w:r>
      <w:r w:rsidRPr="0096524F">
        <w:t xml:space="preserve"> </w:t>
      </w:r>
      <w:r w:rsidRPr="0096524F">
        <w:t>See Chapter 3, §§IV.B.2 and IV.D., for a discussion of tarnishment and genericide with reference to the original FTDA definition.</w:t>
      </w:r>
    </w:p>
  </w:footnote>
  <w:footnote w:id="81">
    <w:p w14:paraId="49659160" w14:textId="23284995" w:rsidR="0096524F" w:rsidRPr="00EB11B3" w:rsidRDefault="0096524F" w:rsidP="0096524F">
      <w:pPr>
        <w:pStyle w:val="FootnoteText"/>
      </w:pPr>
      <w:r w:rsidRPr="0096524F">
        <w:rPr>
          <w:vertAlign w:val="superscript"/>
        </w:rPr>
        <w:footnoteRef/>
      </w:r>
      <w:r w:rsidRPr="0096524F">
        <w:t>537 U.S.</w:t>
      </w:r>
      <w:r w:rsidRPr="0096524F">
        <w:t xml:space="preserve"> </w:t>
      </w:r>
      <w:r w:rsidRPr="0096524F">
        <w:t>418, 65 USPQ2d 1801 (2003).</w:t>
      </w:r>
    </w:p>
  </w:footnote>
  <w:footnote w:id="82">
    <w:p w14:paraId="28A7637D" w14:textId="78A7BE8B"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433.</w:t>
      </w:r>
      <w:r w:rsidRPr="0096524F">
        <w:t xml:space="preserve"> </w:t>
      </w:r>
      <w:r w:rsidRPr="0096524F">
        <w:rPr>
          <w:i/>
        </w:rPr>
        <w:t>See id</w:t>
      </w:r>
      <w:r w:rsidRPr="0096524F">
        <w:t>.</w:t>
      </w:r>
      <w:r w:rsidRPr="0096524F">
        <w:t xml:space="preserve"> </w:t>
      </w:r>
      <w:r w:rsidRPr="0096524F">
        <w:t>at 434 (“‘Blurring’ is not a necessary consequence of mental association”).</w:t>
      </w:r>
    </w:p>
  </w:footnote>
  <w:footnote w:id="83">
    <w:p w14:paraId="0FB2655A" w14:textId="51AD0DB8"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433–34.</w:t>
      </w:r>
      <w:r w:rsidRPr="0096524F">
        <w:t xml:space="preserve"> </w:t>
      </w:r>
      <w:r w:rsidRPr="0096524F">
        <w:t>The Court then applied the same principle to the complaint of an observer about Victor’s Secret, and noted that there was no apparent change in that person’s perception of the Victoria’s Secret mark.</w:t>
      </w:r>
      <w:r w:rsidRPr="0096524F">
        <w:t xml:space="preserve"> </w:t>
      </w:r>
      <w:r w:rsidRPr="0096524F">
        <w:rPr>
          <w:i/>
        </w:rPr>
        <w:t>Id</w:t>
      </w:r>
      <w:r w:rsidRPr="0096524F">
        <w:t>.</w:t>
      </w:r>
      <w:r w:rsidRPr="0096524F">
        <w:t xml:space="preserve"> </w:t>
      </w:r>
      <w:r w:rsidRPr="0096524F">
        <w:t>at 434.</w:t>
      </w:r>
    </w:p>
  </w:footnote>
  <w:footnote w:id="84">
    <w:p w14:paraId="368BF7B8" w14:textId="758113F0"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rPr>
          <w:i/>
        </w:rPr>
        <w:t>See</w:t>
      </w:r>
      <w:r w:rsidRPr="0096524F">
        <w:t xml:space="preserve"> Ty Inc.</w:t>
      </w:r>
      <w:r w:rsidRPr="0096524F">
        <w:t xml:space="preserve"> </w:t>
      </w:r>
      <w:r w:rsidRPr="0096524F">
        <w:t>v.</w:t>
      </w:r>
      <w:r w:rsidRPr="0096524F">
        <w:t xml:space="preserve"> </w:t>
      </w:r>
      <w:r w:rsidRPr="0096524F">
        <w:t>Softbelly’s, Inc., 353 F.3d 528, 536, 69 USPQ2d 1213 (7th Cir.</w:t>
      </w:r>
      <w:r w:rsidRPr="0096524F">
        <w:t xml:space="preserve"> </w:t>
      </w:r>
      <w:r w:rsidRPr="0096524F">
        <w:t>2003) (“The [</w:t>
      </w:r>
      <w:r w:rsidRPr="0096524F">
        <w:rPr>
          <w:i/>
        </w:rPr>
        <w:t>Moseley</w:t>
      </w:r>
      <w:r w:rsidRPr="0096524F">
        <w:t>] Court did not explain and no one seems to know what</w:t>
      </w:r>
      <w:r w:rsidRPr="0096524F">
        <w:t xml:space="preserve"> </w:t>
      </w:r>
      <w:r w:rsidRPr="0096524F">
        <w:t>…</w:t>
      </w:r>
      <w:r w:rsidRPr="0096524F">
        <w:t xml:space="preserve"> </w:t>
      </w:r>
      <w:r w:rsidRPr="0096524F">
        <w:t>‘circumstantial evidence’ might be [sufficient]”).</w:t>
      </w:r>
    </w:p>
  </w:footnote>
  <w:footnote w:id="85">
    <w:p w14:paraId="144C4B5B" w14:textId="73E6E368" w:rsidR="0096524F" w:rsidRPr="00EB11B3" w:rsidRDefault="0096524F" w:rsidP="0096524F">
      <w:pPr>
        <w:pStyle w:val="FootnoteText"/>
      </w:pPr>
      <w:r w:rsidRPr="0096524F">
        <w:rPr>
          <w:vertAlign w:val="superscript"/>
        </w:rPr>
        <w:footnoteRef/>
      </w:r>
      <w:r w:rsidRPr="0096524F">
        <w:t>Rolex Watch USA, Inc.</w:t>
      </w:r>
      <w:r w:rsidRPr="0096524F">
        <w:t xml:space="preserve"> </w:t>
      </w:r>
      <w:r w:rsidRPr="0096524F">
        <w:t>v.</w:t>
      </w:r>
      <w:r w:rsidRPr="0096524F">
        <w:t xml:space="preserve"> </w:t>
      </w:r>
      <w:r w:rsidRPr="0096524F">
        <w:t>AFP Imaging Corp., 101 USPQ2d 1188, 1194, 1196 (T.T.A.B.</w:t>
      </w:r>
      <w:r w:rsidRPr="0096524F">
        <w:t xml:space="preserve"> </w:t>
      </w:r>
      <w:r w:rsidRPr="0096524F">
        <w:t xml:space="preserve">2011), </w:t>
      </w:r>
      <w:r w:rsidRPr="0096524F">
        <w:rPr>
          <w:i/>
        </w:rPr>
        <w:t>vacated</w:t>
      </w:r>
      <w:r w:rsidRPr="0096524F">
        <w:t>, 2013 TTAB LEXIS 46 (T.T.A.B.</w:t>
      </w:r>
      <w:r w:rsidRPr="0096524F">
        <w:t xml:space="preserve"> </w:t>
      </w:r>
      <w:r w:rsidRPr="0096524F">
        <w:t>Jan.</w:t>
      </w:r>
      <w:r w:rsidRPr="0096524F">
        <w:t xml:space="preserve"> </w:t>
      </w:r>
      <w:r w:rsidRPr="0096524F">
        <w:t>29, 2013) (applicant abandoned the application) (designated precedential July 17, 2013);</w:t>
      </w:r>
      <w:r w:rsidRPr="0096524F">
        <w:t xml:space="preserve"> </w:t>
      </w:r>
      <w:r w:rsidRPr="0096524F">
        <w:t>Gap, Inc.</w:t>
      </w:r>
      <w:r w:rsidRPr="0096524F">
        <w:t xml:space="preserve"> </w:t>
      </w:r>
      <w:r w:rsidRPr="0096524F">
        <w:t>v.</w:t>
      </w:r>
      <w:r w:rsidRPr="0096524F">
        <w:t xml:space="preserve"> </w:t>
      </w:r>
      <w:r w:rsidRPr="0096524F">
        <w:t>G.A.P.</w:t>
      </w:r>
      <w:r w:rsidRPr="0096524F">
        <w:t xml:space="preserve"> </w:t>
      </w:r>
      <w:r w:rsidRPr="0096524F">
        <w:t>Adventures, Inc., 100 USPQ2d 1417, 1431 (S.D.N.Y.</w:t>
      </w:r>
      <w:r w:rsidRPr="0096524F">
        <w:t xml:space="preserve"> </w:t>
      </w:r>
      <w:r w:rsidRPr="0096524F">
        <w:t>2011).</w:t>
      </w:r>
    </w:p>
  </w:footnote>
  <w:footnote w:id="86">
    <w:p w14:paraId="03B94936" w14:textId="7BAF0B7B" w:rsidR="0096524F" w:rsidRPr="00EB11B3" w:rsidRDefault="0096524F" w:rsidP="0096524F">
      <w:pPr>
        <w:pStyle w:val="FootnoteText"/>
      </w:pPr>
      <w:r w:rsidRPr="0096524F">
        <w:rPr>
          <w:vertAlign w:val="superscript"/>
        </w:rPr>
        <w:footnoteRef/>
      </w:r>
      <w:r w:rsidRPr="0096524F">
        <w:t>Louis Vuitton Malletier, S.A.</w:t>
      </w:r>
      <w:r w:rsidRPr="0096524F">
        <w:t xml:space="preserve"> </w:t>
      </w:r>
      <w:r w:rsidRPr="0096524F">
        <w:t>v.</w:t>
      </w:r>
      <w:r w:rsidRPr="0096524F">
        <w:t xml:space="preserve"> </w:t>
      </w:r>
      <w:r w:rsidRPr="0096524F">
        <w:t>Haute Diggity Dog, LLC, 507 F.3d 252, 264–65, 84 USPQ2d 1969 (4th Cir.</w:t>
      </w:r>
      <w:r w:rsidRPr="0096524F">
        <w:t xml:space="preserve"> </w:t>
      </w:r>
      <w:r w:rsidRPr="0096524F">
        <w:t>2007) (listing elements of a dilution claim).</w:t>
      </w:r>
      <w:r w:rsidRPr="0096524F">
        <w:t xml:space="preserve"> </w:t>
      </w:r>
      <w:r w:rsidRPr="0096524F">
        <w:rPr>
          <w:i/>
        </w:rPr>
        <w:t>See</w:t>
      </w:r>
      <w:r w:rsidRPr="0096524F">
        <w:t xml:space="preserve"> Select Comfort Corp.</w:t>
      </w:r>
      <w:r w:rsidRPr="0096524F">
        <w:t xml:space="preserve"> </w:t>
      </w:r>
      <w:r w:rsidRPr="0096524F">
        <w:t>v.</w:t>
      </w:r>
      <w:r w:rsidRPr="0096524F">
        <w:t xml:space="preserve"> </w:t>
      </w:r>
      <w:r w:rsidRPr="0096524F">
        <w:t>Baxter, 2018 WL 6529493, at *7, 2018 BL 460420 (D.</w:t>
      </w:r>
      <w:r w:rsidRPr="0096524F">
        <w:t xml:space="preserve"> </w:t>
      </w:r>
      <w:r w:rsidRPr="0096524F">
        <w:t>Minn.</w:t>
      </w:r>
      <w:r w:rsidRPr="0096524F">
        <w:t xml:space="preserve"> </w:t>
      </w:r>
      <w:r w:rsidRPr="0096524F">
        <w:t>Dec.</w:t>
      </w:r>
      <w:r w:rsidRPr="0096524F">
        <w:t xml:space="preserve"> </w:t>
      </w:r>
      <w:r w:rsidRPr="0096524F">
        <w:t>12, 2018) (trial judge instructed jurors that free-riding is not prohibited by anti-dilution laws).</w:t>
      </w:r>
    </w:p>
  </w:footnote>
  <w:footnote w:id="87">
    <w:p w14:paraId="29D5FD30" w14:textId="3A7F6213" w:rsidR="0096524F" w:rsidRPr="00EB11B3" w:rsidRDefault="0096524F" w:rsidP="0096524F">
      <w:pPr>
        <w:pStyle w:val="FootnoteText"/>
      </w:pPr>
      <w:r w:rsidRPr="0096524F">
        <w:rPr>
          <w:vertAlign w:val="superscript"/>
        </w:rPr>
        <w:footnoteRef/>
      </w:r>
      <w:r w:rsidRPr="0096524F">
        <w:t>For example, a mark may be descriptive in one context and highly original in another, causing it to stand out in the latter context, but not in the former.</w:t>
      </w:r>
      <w:r w:rsidRPr="0096524F">
        <w:t xml:space="preserve"> </w:t>
      </w:r>
      <w:r w:rsidRPr="0096524F">
        <w:t>If the latter use is the famous one, the former (second) use may not affect the ability of the famous mark to stand out.</w:t>
      </w:r>
    </w:p>
  </w:footnote>
  <w:footnote w:id="88">
    <w:p w14:paraId="60229DB3" w14:textId="32C4623B" w:rsidR="0096524F" w:rsidRPr="00EB11B3" w:rsidRDefault="0096524F" w:rsidP="0096524F">
      <w:pPr>
        <w:pStyle w:val="FootnoteText"/>
      </w:pPr>
      <w:r w:rsidRPr="0096524F">
        <w:rPr>
          <w:vertAlign w:val="superscript"/>
        </w:rPr>
        <w:footnoteRef/>
      </w:r>
      <w:r w:rsidRPr="0096524F">
        <w:rPr>
          <w:i/>
        </w:rPr>
        <w:t>See</w:t>
      </w:r>
      <w:r w:rsidRPr="0096524F">
        <w:t xml:space="preserve"> Nabisco, Inc.</w:t>
      </w:r>
      <w:r w:rsidRPr="0096524F">
        <w:t xml:space="preserve"> </w:t>
      </w:r>
      <w:r w:rsidRPr="0096524F">
        <w:t>v.</w:t>
      </w:r>
      <w:r w:rsidRPr="0096524F">
        <w:t xml:space="preserve"> </w:t>
      </w:r>
      <w:r w:rsidRPr="0096524F">
        <w:t>PF Brands, Inc., 191 F.3d 208, 224 n.</w:t>
      </w:r>
      <w:r w:rsidRPr="0096524F">
        <w:t xml:space="preserve"> </w:t>
      </w:r>
      <w:r w:rsidRPr="0096524F">
        <w:t>6, 51 USPQ2d 1882 (2d Cir.</w:t>
      </w:r>
      <w:r w:rsidRPr="0096524F">
        <w:t xml:space="preserve"> </w:t>
      </w:r>
      <w:r w:rsidRPr="0096524F">
        <w:t>1999);</w:t>
      </w:r>
      <w:r w:rsidRPr="0096524F">
        <w:t xml:space="preserve"> </w:t>
      </w:r>
      <w:r w:rsidRPr="0096524F">
        <w:t>Ringling Bros.-Barnum &amp; Bailey Combined Shows, Inc.</w:t>
      </w:r>
      <w:r w:rsidRPr="0096524F">
        <w:t xml:space="preserve"> </w:t>
      </w:r>
      <w:r w:rsidRPr="0096524F">
        <w:t>v.</w:t>
      </w:r>
      <w:r w:rsidRPr="0096524F">
        <w:t xml:space="preserve"> </w:t>
      </w:r>
      <w:r w:rsidRPr="0096524F">
        <w:t>Utah Div.</w:t>
      </w:r>
      <w:r w:rsidRPr="0096524F">
        <w:t xml:space="preserve"> </w:t>
      </w:r>
      <w:r w:rsidRPr="0096524F">
        <w:t xml:space="preserve">of Travel Dev., 170 F.3d 449, 456, 457-58, 50 USPQ2d 1065 (4th Cir.), </w:t>
      </w:r>
      <w:r w:rsidRPr="0096524F">
        <w:rPr>
          <w:i/>
        </w:rPr>
        <w:t>cert</w:t>
      </w:r>
      <w:r w:rsidRPr="0096524F">
        <w:t>.</w:t>
      </w:r>
      <w:r w:rsidRPr="0096524F">
        <w:t xml:space="preserve"> </w:t>
      </w:r>
      <w:r w:rsidRPr="0096524F">
        <w:rPr>
          <w:i/>
        </w:rPr>
        <w:t>denied</w:t>
      </w:r>
      <w:r w:rsidRPr="0096524F">
        <w:t>, 528 U.S.</w:t>
      </w:r>
      <w:r w:rsidRPr="0096524F">
        <w:t xml:space="preserve"> </w:t>
      </w:r>
      <w:r w:rsidRPr="0096524F">
        <w:t>923 (1999).</w:t>
      </w:r>
    </w:p>
  </w:footnote>
  <w:footnote w:id="89">
    <w:p w14:paraId="22D7BB89" w14:textId="53A7839C" w:rsidR="0096524F" w:rsidRPr="00EB11B3" w:rsidRDefault="0096524F" w:rsidP="0096524F">
      <w:pPr>
        <w:pStyle w:val="FootnoteText"/>
      </w:pPr>
      <w:r w:rsidRPr="0096524F">
        <w:rPr>
          <w:vertAlign w:val="superscript"/>
        </w:rPr>
        <w:footnoteRef/>
      </w:r>
      <w:r w:rsidRPr="0096524F">
        <w:t>In the pre-TDRA version of the statute there was a single definition that purported to include all forms of dilution.</w:t>
      </w:r>
    </w:p>
  </w:footnote>
  <w:footnote w:id="90">
    <w:p w14:paraId="23FE6F33" w14:textId="47C96598" w:rsidR="0096524F" w:rsidRPr="00EB11B3" w:rsidRDefault="0096524F" w:rsidP="0096524F">
      <w:pPr>
        <w:pStyle w:val="FootnoteText"/>
      </w:pPr>
      <w:r w:rsidRPr="0096524F">
        <w:rPr>
          <w:vertAlign w:val="superscript"/>
        </w:rPr>
        <w:footnoteRef/>
      </w:r>
      <w:r w:rsidRPr="0096524F">
        <w:t>Lanham Act §43(c)(2)(B), 15 U.S.C.</w:t>
      </w:r>
      <w:r w:rsidRPr="0096524F">
        <w:t xml:space="preserve"> </w:t>
      </w:r>
      <w:r w:rsidRPr="0096524F">
        <w:t>§1125(c)(2)(B).</w:t>
      </w:r>
    </w:p>
  </w:footnote>
  <w:footnote w:id="91">
    <w:p w14:paraId="49BC7B31" w14:textId="32F93326" w:rsidR="0096524F" w:rsidRPr="00EB11B3" w:rsidRDefault="0096524F" w:rsidP="0096524F">
      <w:pPr>
        <w:pStyle w:val="FootnoteText"/>
      </w:pPr>
      <w:r w:rsidRPr="0096524F">
        <w:rPr>
          <w:vertAlign w:val="superscript"/>
        </w:rPr>
        <w:footnoteRef/>
      </w:r>
      <w:r w:rsidRPr="0096524F">
        <w:rPr>
          <w:i/>
        </w:rPr>
        <w:t>Id</w:t>
      </w:r>
      <w:r w:rsidRPr="0096524F">
        <w:t>.</w:t>
      </w:r>
    </w:p>
  </w:footnote>
  <w:footnote w:id="92">
    <w:p w14:paraId="220C2B04" w14:textId="1D2BF7BF" w:rsidR="0096524F" w:rsidRPr="00EB11B3" w:rsidRDefault="0096524F" w:rsidP="0096524F">
      <w:pPr>
        <w:pStyle w:val="FootnoteText"/>
      </w:pPr>
      <w:r w:rsidRPr="0096524F">
        <w:rPr>
          <w:vertAlign w:val="superscript"/>
        </w:rPr>
        <w:footnoteRef/>
      </w:r>
      <w:r w:rsidRPr="0096524F">
        <w:t xml:space="preserve">The statute states that “the court may consider all relevant factors, including [the six listed ones].” </w:t>
      </w:r>
      <w:r w:rsidRPr="0096524F">
        <w:rPr>
          <w:i/>
        </w:rPr>
        <w:t>Id</w:t>
      </w:r>
      <w:r w:rsidRPr="0096524F">
        <w:t>.</w:t>
      </w:r>
    </w:p>
  </w:footnote>
  <w:footnote w:id="93">
    <w:p w14:paraId="5C9DFB85" w14:textId="448F82AD" w:rsidR="0096524F" w:rsidRPr="00EB11B3" w:rsidRDefault="0096524F" w:rsidP="0096524F">
      <w:pPr>
        <w:pStyle w:val="FootnoteText"/>
      </w:pPr>
      <w:r w:rsidRPr="0096524F">
        <w:rPr>
          <w:vertAlign w:val="superscript"/>
        </w:rPr>
        <w:footnoteRef/>
      </w:r>
      <w:r w:rsidRPr="0096524F">
        <w:t xml:space="preserve">Before the Supreme Court ruled in </w:t>
      </w:r>
      <w:r w:rsidRPr="0096524F">
        <w:rPr>
          <w:i/>
        </w:rPr>
        <w:t>Moseley</w:t>
      </w:r>
      <w:r w:rsidRPr="0096524F">
        <w:t xml:space="preserve"> that the original FTDA language required actual dilution, the Second Circuit promulgated a test for likelihood of dilution that included actual and likely confusion as part of the test.</w:t>
      </w:r>
      <w:r w:rsidRPr="0096524F">
        <w:t xml:space="preserve"> </w:t>
      </w:r>
      <w:r w:rsidRPr="0096524F">
        <w:t>Nabisco, Inc.</w:t>
      </w:r>
      <w:r w:rsidRPr="0096524F">
        <w:t xml:space="preserve"> </w:t>
      </w:r>
      <w:r w:rsidRPr="0096524F">
        <w:t>v.</w:t>
      </w:r>
      <w:r w:rsidRPr="0096524F">
        <w:t xml:space="preserve"> </w:t>
      </w:r>
      <w:r w:rsidRPr="0096524F">
        <w:t>PF Brands, Inc., 191 F.3d 208, 228, 51 USPQ2d 1882 (2d Cir.</w:t>
      </w:r>
      <w:r w:rsidRPr="0096524F">
        <w:t xml:space="preserve"> </w:t>
      </w:r>
      <w:r w:rsidRPr="0096524F">
        <w:t>1999) (factors including “actual confusion and likelihood of confusion”).</w:t>
      </w:r>
      <w:r w:rsidRPr="0096524F">
        <w:t xml:space="preserve"> </w:t>
      </w:r>
      <w:r w:rsidRPr="0096524F">
        <w:rPr>
          <w:i/>
        </w:rPr>
        <w:t>See also</w:t>
      </w:r>
      <w:r w:rsidRPr="0096524F">
        <w:t xml:space="preserve"> Cottonwood Fin.</w:t>
      </w:r>
      <w:r w:rsidRPr="0096524F">
        <w:t xml:space="preserve"> </w:t>
      </w:r>
      <w:r w:rsidRPr="0096524F">
        <w:t>Ltd.</w:t>
      </w:r>
      <w:r w:rsidRPr="0096524F">
        <w:t xml:space="preserve"> </w:t>
      </w:r>
      <w:r w:rsidRPr="0096524F">
        <w:t>v.</w:t>
      </w:r>
      <w:r w:rsidRPr="0096524F">
        <w:t xml:space="preserve"> </w:t>
      </w:r>
      <w:r w:rsidRPr="0096524F">
        <w:t>The Cash Store Fin.</w:t>
      </w:r>
      <w:r w:rsidRPr="0096524F">
        <w:t xml:space="preserve"> </w:t>
      </w:r>
      <w:r w:rsidRPr="0096524F">
        <w:t>Servs., Inc., 778 F.</w:t>
      </w:r>
      <w:r w:rsidRPr="0096524F">
        <w:t xml:space="preserve"> </w:t>
      </w:r>
      <w:r w:rsidRPr="0096524F">
        <w:t>Supp.</w:t>
      </w:r>
      <w:r w:rsidRPr="0096524F">
        <w:t xml:space="preserve"> </w:t>
      </w:r>
      <w:r w:rsidRPr="0096524F">
        <w:t>2d 726, 747–49 (N.D.</w:t>
      </w:r>
      <w:r w:rsidRPr="0096524F">
        <w:t xml:space="preserve"> </w:t>
      </w:r>
      <w:r w:rsidRPr="0096524F">
        <w:t>Tex.</w:t>
      </w:r>
      <w:r w:rsidRPr="0096524F">
        <w:t xml:space="preserve"> </w:t>
      </w:r>
      <w:r w:rsidRPr="0096524F">
        <w:t>2011) (in case under Texas law, using TDRA factors but also using factors of confusion to determine dilution).</w:t>
      </w:r>
    </w:p>
  </w:footnote>
  <w:footnote w:id="94">
    <w:p w14:paraId="55CC4780" w14:textId="7CF7FC23" w:rsidR="0096524F" w:rsidRPr="00EB11B3" w:rsidRDefault="0096524F" w:rsidP="0096524F">
      <w:pPr>
        <w:pStyle w:val="FootnoteText"/>
      </w:pPr>
      <w:r w:rsidRPr="0096524F">
        <w:rPr>
          <w:i/>
        </w:rPr>
        <w:footnoteRef/>
      </w:r>
      <w:r w:rsidRPr="0096524F">
        <w:rPr>
          <w:i/>
        </w:rPr>
        <w:t>See generally</w:t>
      </w:r>
      <w:r w:rsidRPr="0096524F">
        <w:t xml:space="preserve">, Barton Beebe, </w:t>
      </w:r>
      <w:r w:rsidRPr="0096524F">
        <w:rPr>
          <w:i/>
        </w:rPr>
        <w:t>An Empirical Study of the Multifactor Tests for Trademark Infringement</w:t>
      </w:r>
      <w:r w:rsidRPr="0096524F">
        <w:t xml:space="preserve">, 94 </w:t>
      </w:r>
      <w:r w:rsidRPr="0096524F">
        <w:rPr>
          <w:smallCaps/>
        </w:rPr>
        <w:t>Cal.</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1581 (2006).</w:t>
      </w:r>
    </w:p>
  </w:footnote>
  <w:footnote w:id="95">
    <w:p w14:paraId="112926A0" w14:textId="401914E1" w:rsidR="0096524F" w:rsidRPr="00EB11B3" w:rsidRDefault="0096524F" w:rsidP="0096524F">
      <w:pPr>
        <w:pStyle w:val="FootnoteText"/>
      </w:pPr>
      <w:r w:rsidRPr="0096524F">
        <w:rPr>
          <w:vertAlign w:val="superscript"/>
        </w:rPr>
        <w:footnoteRef/>
      </w:r>
      <w:r w:rsidRPr="0096524F">
        <w:t>Levi Strauss &amp; Co.</w:t>
      </w:r>
      <w:r w:rsidRPr="0096524F">
        <w:t xml:space="preserve"> </w:t>
      </w:r>
      <w:r w:rsidRPr="0096524F">
        <w:t>v.</w:t>
      </w:r>
      <w:r w:rsidRPr="0096524F">
        <w:t xml:space="preserve"> </w:t>
      </w:r>
      <w:r w:rsidRPr="0096524F">
        <w:t>Abercrombie &amp; Fitch Trading Co., 633 F.3d 1158, 1171–73, 97 USPQ2d 1947 (9th Cir.</w:t>
      </w:r>
      <w:r w:rsidRPr="0096524F">
        <w:t xml:space="preserve"> </w:t>
      </w:r>
      <w:r w:rsidRPr="0096524F">
        <w:t>2011) (TDRA makes former requirement of “substantial” similarity or “identical or nearly identical” no longer applicable);</w:t>
      </w:r>
      <w:r w:rsidRPr="0096524F">
        <w:t xml:space="preserve"> </w:t>
      </w:r>
      <w:r w:rsidRPr="0096524F">
        <w:t>Starbucks Corp.</w:t>
      </w:r>
      <w:r w:rsidRPr="0096524F">
        <w:t xml:space="preserve"> </w:t>
      </w:r>
      <w:r w:rsidRPr="0096524F">
        <w:t>v.</w:t>
      </w:r>
      <w:r w:rsidRPr="0096524F">
        <w:t xml:space="preserve"> </w:t>
      </w:r>
      <w:r w:rsidRPr="0096524F">
        <w:t>Wolfe’s Borough Coffee, Inc., 588 F.3d 97, 108, 92 USPQ2d 1769 (2d Cir.</w:t>
      </w:r>
      <w:r w:rsidRPr="0096524F">
        <w:t xml:space="preserve"> </w:t>
      </w:r>
      <w:r w:rsidRPr="0096524F">
        <w:t>2009) (same).</w:t>
      </w:r>
      <w:r w:rsidRPr="0096524F">
        <w:t xml:space="preserve"> </w:t>
      </w:r>
      <w:r w:rsidRPr="0096524F">
        <w:t>See below, §§II.D.5 and III.A, for a discussion of the role of similarity.</w:t>
      </w:r>
      <w:r w:rsidRPr="0096524F">
        <w:t xml:space="preserve"> </w:t>
      </w:r>
      <w:r w:rsidRPr="0096524F">
        <w:t>However, courts still regard use of an identical mark as sufficient to show dilution.</w:t>
      </w:r>
      <w:r w:rsidRPr="0096524F">
        <w:t xml:space="preserve"> </w:t>
      </w:r>
      <w:r w:rsidRPr="0096524F">
        <w:t>Ford Motor Co.</w:t>
      </w:r>
      <w:r w:rsidRPr="0096524F">
        <w:t xml:space="preserve"> </w:t>
      </w:r>
      <w:r w:rsidRPr="0096524F">
        <w:t>v.</w:t>
      </w:r>
      <w:r w:rsidRPr="0096524F">
        <w:t xml:space="preserve"> </w:t>
      </w:r>
      <w:r w:rsidRPr="0096524F">
        <w:t>AirPro Diagnostics LLC, 632 F.</w:t>
      </w:r>
      <w:r w:rsidRPr="0096524F">
        <w:t xml:space="preserve"> </w:t>
      </w:r>
      <w:r w:rsidRPr="0096524F">
        <w:t>Supp.</w:t>
      </w:r>
      <w:r w:rsidRPr="0096524F">
        <w:t xml:space="preserve"> </w:t>
      </w:r>
      <w:r w:rsidRPr="0096524F">
        <w:t>3d 753, 767 (E.D.</w:t>
      </w:r>
      <w:r w:rsidRPr="0096524F">
        <w:t xml:space="preserve"> </w:t>
      </w:r>
      <w:r w:rsidRPr="0096524F">
        <w:t>Mich.</w:t>
      </w:r>
      <w:r w:rsidRPr="0096524F">
        <w:t xml:space="preserve"> </w:t>
      </w:r>
      <w:r w:rsidRPr="0096524F">
        <w:t>2022).</w:t>
      </w:r>
    </w:p>
  </w:footnote>
  <w:footnote w:id="96">
    <w:p w14:paraId="2724A45B" w14:textId="43FE8AB3" w:rsidR="0096524F" w:rsidRPr="00EB11B3" w:rsidRDefault="0096524F" w:rsidP="0096524F">
      <w:pPr>
        <w:pStyle w:val="FootnoteText"/>
      </w:pPr>
      <w:r w:rsidRPr="0096524F">
        <w:rPr>
          <w:vertAlign w:val="superscript"/>
        </w:rPr>
        <w:footnoteRef/>
      </w:r>
      <w:r w:rsidRPr="0096524F">
        <w:t>An example might be Delta, used as a mark for an airline, a faucet manufacturer, and a dental insurance company.</w:t>
      </w:r>
    </w:p>
  </w:footnote>
  <w:footnote w:id="97">
    <w:p w14:paraId="4D9BC109" w14:textId="5090C752" w:rsidR="0096524F" w:rsidRPr="00EB11B3" w:rsidRDefault="0096524F" w:rsidP="0096524F">
      <w:pPr>
        <w:pStyle w:val="FootnoteText"/>
      </w:pPr>
      <w:r w:rsidRPr="0096524F">
        <w:rPr>
          <w:vertAlign w:val="superscript"/>
        </w:rPr>
        <w:footnoteRef/>
      </w:r>
      <w:r w:rsidRPr="0096524F">
        <w:t xml:space="preserve">Maureen Morrin &amp; Jacob Jacoby, </w:t>
      </w:r>
      <w:r w:rsidRPr="0096524F">
        <w:rPr>
          <w:i/>
        </w:rPr>
        <w:t>Trademark Dilution:</w:t>
      </w:r>
      <w:r w:rsidRPr="0096524F">
        <w:rPr>
          <w:i/>
        </w:rPr>
        <w:t xml:space="preserve"> </w:t>
      </w:r>
      <w:r w:rsidRPr="0096524F">
        <w:rPr>
          <w:i/>
        </w:rPr>
        <w:t>Empirical Measures for an Elusive Concept</w:t>
      </w:r>
      <w:r w:rsidRPr="0096524F">
        <w:t xml:space="preserve">, 19 </w:t>
      </w:r>
      <w:r w:rsidRPr="0096524F">
        <w:rPr>
          <w:smallCaps/>
        </w:rPr>
        <w:t>J.</w:t>
      </w:r>
      <w:r w:rsidRPr="0096524F">
        <w:rPr>
          <w:smallCaps/>
        </w:rPr>
        <w:t xml:space="preserve"> </w:t>
      </w:r>
      <w:r w:rsidRPr="0096524F">
        <w:rPr>
          <w:smallCaps/>
        </w:rPr>
        <w:t>Pub.</w:t>
      </w:r>
      <w:r w:rsidRPr="0096524F">
        <w:rPr>
          <w:smallCaps/>
        </w:rPr>
        <w:t xml:space="preserve"> </w:t>
      </w:r>
      <w:r w:rsidRPr="0096524F">
        <w:rPr>
          <w:smallCaps/>
        </w:rPr>
        <w:t>Pol’y &amp; Marketing</w:t>
      </w:r>
      <w:r w:rsidRPr="0096524F">
        <w:t xml:space="preserve"> 265 (2000) (indicating that less than truly famous marks may be more susceptible to dilution than famous marks).</w:t>
      </w:r>
    </w:p>
  </w:footnote>
  <w:footnote w:id="98">
    <w:p w14:paraId="780DE60D" w14:textId="65E672E9" w:rsidR="0096524F" w:rsidRPr="00EB11B3" w:rsidRDefault="0096524F" w:rsidP="0096524F">
      <w:pPr>
        <w:pStyle w:val="FootnoteText"/>
      </w:pPr>
      <w:r w:rsidRPr="0096524F">
        <w:rPr>
          <w:vertAlign w:val="superscript"/>
        </w:rPr>
        <w:footnoteRef/>
      </w:r>
      <w:r w:rsidRPr="0096524F">
        <w:rPr>
          <w:i/>
        </w:rPr>
        <w:t>See</w:t>
      </w:r>
      <w:r w:rsidRPr="0096524F">
        <w:t xml:space="preserve"> Mead Data Cent., Inc.</w:t>
      </w:r>
      <w:r w:rsidRPr="0096524F">
        <w:t xml:space="preserve"> </w:t>
      </w:r>
      <w:r w:rsidRPr="0096524F">
        <w:t>v.</w:t>
      </w:r>
      <w:r w:rsidRPr="0096524F">
        <w:t xml:space="preserve"> </w:t>
      </w:r>
      <w:r w:rsidRPr="0096524F">
        <w:t>Toyota Motor Sales USA, Inc., 875 F.2d 1026, 1035, 10 USPQ2d 1961 (2d Cir.</w:t>
      </w:r>
      <w:r w:rsidRPr="0096524F">
        <w:t xml:space="preserve"> </w:t>
      </w:r>
      <w:r w:rsidRPr="0096524F">
        <w:t>1989) (Sweet, J., concurring) (using predatory intent as a factor under New York law).</w:t>
      </w:r>
    </w:p>
  </w:footnote>
  <w:footnote w:id="99">
    <w:p w14:paraId="12E15956" w14:textId="4D8B973D" w:rsidR="0096524F" w:rsidRPr="00EB11B3" w:rsidRDefault="0096524F" w:rsidP="0096524F">
      <w:pPr>
        <w:pStyle w:val="FootnoteText"/>
      </w:pPr>
      <w:r w:rsidRPr="0096524F">
        <w:rPr>
          <w:vertAlign w:val="superscript"/>
        </w:rPr>
        <w:footnoteRef/>
      </w:r>
      <w:r w:rsidRPr="0096524F">
        <w:t>Starbucks Corp.</w:t>
      </w:r>
      <w:r w:rsidRPr="0096524F">
        <w:t xml:space="preserve"> </w:t>
      </w:r>
      <w:r w:rsidRPr="0096524F">
        <w:t>v.</w:t>
      </w:r>
      <w:r w:rsidRPr="0096524F">
        <w:t xml:space="preserve"> </w:t>
      </w:r>
      <w:r w:rsidRPr="0096524F">
        <w:t>Wolfe’s Borough Coffee, Inc., 588 F.3d 97, 109, 92 USPQ2d 1769 (2d Cir.</w:t>
      </w:r>
      <w:r w:rsidRPr="0096524F">
        <w:t xml:space="preserve"> </w:t>
      </w:r>
      <w:r w:rsidRPr="0096524F">
        <w:t>2009).</w:t>
      </w:r>
    </w:p>
  </w:footnote>
  <w:footnote w:id="100">
    <w:p w14:paraId="5637223A" w14:textId="5D3B7153" w:rsidR="0096524F" w:rsidRPr="00EB11B3" w:rsidRDefault="0096524F" w:rsidP="0096524F">
      <w:pPr>
        <w:pStyle w:val="FootnoteText"/>
      </w:pPr>
      <w:r w:rsidRPr="0096524F">
        <w:rPr>
          <w:vertAlign w:val="superscript"/>
        </w:rPr>
        <w:footnoteRef/>
      </w:r>
      <w:r w:rsidRPr="0096524F">
        <w:rPr>
          <w:i/>
        </w:rPr>
        <w:t>See</w:t>
      </w:r>
      <w:r w:rsidRPr="0096524F">
        <w:t xml:space="preserve"> Barton Beebe, </w:t>
      </w:r>
      <w:r w:rsidRPr="0096524F">
        <w:rPr>
          <w:i/>
        </w:rPr>
        <w:t>An Empirical Study of the Multifactor Tests for Trademark Infringement</w:t>
      </w:r>
      <w:r w:rsidRPr="0096524F">
        <w:t xml:space="preserve">, 94 </w:t>
      </w:r>
      <w:r w:rsidRPr="0096524F">
        <w:rPr>
          <w:smallCaps/>
        </w:rPr>
        <w:t>Cal.</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1581, 1582 (2006) (intent to cause confusion tends to be decisive in infringement cases).</w:t>
      </w:r>
    </w:p>
  </w:footnote>
  <w:footnote w:id="101">
    <w:p w14:paraId="770EEE00" w14:textId="0F5A168B" w:rsidR="0096524F" w:rsidRPr="00EB11B3" w:rsidRDefault="0096524F" w:rsidP="0096524F">
      <w:pPr>
        <w:pStyle w:val="FootnoteText"/>
      </w:pPr>
      <w:r w:rsidRPr="0096524F">
        <w:rPr>
          <w:vertAlign w:val="superscript"/>
        </w:rPr>
        <w:footnoteRef/>
      </w:r>
      <w:r w:rsidRPr="0096524F">
        <w:t>Virgin Enters., Ltd.</w:t>
      </w:r>
      <w:r w:rsidRPr="0096524F">
        <w:t xml:space="preserve"> </w:t>
      </w:r>
      <w:r w:rsidRPr="0096524F">
        <w:t>v.</w:t>
      </w:r>
      <w:r w:rsidRPr="0096524F">
        <w:t xml:space="preserve"> </w:t>
      </w:r>
      <w:r w:rsidRPr="0096524F">
        <w:t>Nawab, 335 F.3d 141, 150–51, 67 USPQ2d 1420 (2d Cir.</w:t>
      </w:r>
      <w:r w:rsidRPr="0096524F">
        <w:t xml:space="preserve"> </w:t>
      </w:r>
      <w:r w:rsidRPr="0096524F">
        <w:t>2003).</w:t>
      </w:r>
    </w:p>
  </w:footnote>
  <w:footnote w:id="102">
    <w:p w14:paraId="16AEC6E7" w14:textId="09201395" w:rsidR="0096524F" w:rsidRDefault="0096524F" w:rsidP="0096524F">
      <w:pPr>
        <w:pStyle w:val="FootnoteText"/>
      </w:pPr>
      <w:r w:rsidRPr="0096524F">
        <w:rPr>
          <w:rStyle w:val="FootnoteReference"/>
          <w:rFonts w:eastAsiaTheme="majorEastAsia"/>
        </w:rPr>
        <w:footnoteRef/>
      </w:r>
      <w:r w:rsidRPr="0096524F">
        <w:t>Also, because the guidelines are factors, not elements of the claim, it should be understood that intent is not necessary to demonstrate likelihood of dilution.</w:t>
      </w:r>
      <w:r w:rsidRPr="0096524F">
        <w:t xml:space="preserve"> </w:t>
      </w:r>
      <w:r w:rsidRPr="0096524F">
        <w:rPr>
          <w:i/>
        </w:rPr>
        <w:t>See</w:t>
      </w:r>
      <w:r w:rsidRPr="0096524F">
        <w:t xml:space="preserve"> TCBY Sys., LLC v.</w:t>
      </w:r>
      <w:r w:rsidRPr="0096524F">
        <w:t xml:space="preserve"> </w:t>
      </w:r>
      <w:r w:rsidRPr="0096524F">
        <w:t>Stewart Enters., Inc., 2012 WL 13088911, at *3 (N.D.</w:t>
      </w:r>
      <w:r w:rsidRPr="0096524F">
        <w:t xml:space="preserve"> </w:t>
      </w:r>
      <w:r w:rsidRPr="0096524F">
        <w:t>Cal.</w:t>
      </w:r>
      <w:r w:rsidRPr="0096524F">
        <w:t xml:space="preserve"> </w:t>
      </w:r>
      <w:r w:rsidRPr="0096524F">
        <w:t>May 12, 2012).</w:t>
      </w:r>
    </w:p>
  </w:footnote>
  <w:footnote w:id="103">
    <w:p w14:paraId="22AE1FCF" w14:textId="6336A1B2" w:rsidR="0096524F" w:rsidRPr="00EB11B3" w:rsidRDefault="0096524F" w:rsidP="0096524F">
      <w:pPr>
        <w:pStyle w:val="FootnoteText"/>
      </w:pPr>
      <w:r w:rsidRPr="0096524F">
        <w:rPr>
          <w:vertAlign w:val="superscript"/>
        </w:rPr>
        <w:footnoteRef/>
      </w:r>
      <w:r w:rsidRPr="0096524F">
        <w:t>Moseley v.</w:t>
      </w:r>
      <w:r w:rsidRPr="0096524F">
        <w:t xml:space="preserve"> </w:t>
      </w:r>
      <w:r w:rsidRPr="0096524F">
        <w:t>V Secret Catalogue, Inc., 537 U.S.</w:t>
      </w:r>
      <w:r w:rsidRPr="0096524F">
        <w:t xml:space="preserve"> </w:t>
      </w:r>
      <w:r w:rsidRPr="0096524F">
        <w:t>418, 433–34, 65 USPQ2d 1801 (2003).</w:t>
      </w:r>
    </w:p>
  </w:footnote>
  <w:footnote w:id="104">
    <w:p w14:paraId="766EF674" w14:textId="4C507213"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Nabisco, Inc.</w:t>
      </w:r>
      <w:r w:rsidRPr="0096524F">
        <w:t xml:space="preserve"> </w:t>
      </w:r>
      <w:r w:rsidRPr="0096524F">
        <w:t>v.</w:t>
      </w:r>
      <w:r w:rsidRPr="0096524F">
        <w:t xml:space="preserve"> </w:t>
      </w:r>
      <w:r w:rsidRPr="0096524F">
        <w:t>PF Brands, Inc., 191 F.3d 208, 228, 51 USPQ2d 1882 (2d Cir.</w:t>
      </w:r>
      <w:r w:rsidRPr="0096524F">
        <w:t xml:space="preserve"> </w:t>
      </w:r>
      <w:r w:rsidRPr="0096524F">
        <w:t>1999);</w:t>
      </w:r>
      <w:r w:rsidRPr="0096524F">
        <w:t xml:space="preserve"> </w:t>
      </w:r>
      <w:r w:rsidRPr="0096524F">
        <w:t>Times Mirror Magazines, Inc.</w:t>
      </w:r>
      <w:r w:rsidRPr="0096524F">
        <w:t xml:space="preserve"> </w:t>
      </w:r>
      <w:r w:rsidRPr="0096524F">
        <w:t>v.</w:t>
      </w:r>
      <w:r w:rsidRPr="0096524F">
        <w:t xml:space="preserve"> </w:t>
      </w:r>
      <w:r w:rsidRPr="0096524F">
        <w:t>Las Vegas Sports News, LLC, 212 F.3d 157, 168, 54 USPQ2d 1577 (3d Cir.</w:t>
      </w:r>
      <w:r w:rsidRPr="0096524F">
        <w:t xml:space="preserve"> </w:t>
      </w:r>
      <w:r w:rsidRPr="0096524F">
        <w:t>2000).</w:t>
      </w:r>
      <w:r w:rsidRPr="0096524F">
        <w:t xml:space="preserve"> </w:t>
      </w:r>
      <w:r w:rsidRPr="0096524F">
        <w:rPr>
          <w:i/>
        </w:rPr>
        <w:t>See</w:t>
      </w:r>
      <w:r w:rsidRPr="0096524F">
        <w:t xml:space="preserve"> V Secret Catalogue, Inc.</w:t>
      </w:r>
      <w:r w:rsidRPr="0096524F">
        <w:t xml:space="preserve"> </w:t>
      </w:r>
      <w:r w:rsidRPr="0096524F">
        <w:t>v.</w:t>
      </w:r>
      <w:r w:rsidRPr="0096524F">
        <w:t xml:space="preserve"> </w:t>
      </w:r>
      <w:r w:rsidRPr="0096524F">
        <w:t>Moseley, 259 F.3d 464, 59 USPQ2d 1650 (6th Cir.</w:t>
      </w:r>
      <w:r w:rsidRPr="0096524F">
        <w:t xml:space="preserve"> </w:t>
      </w:r>
      <w:r w:rsidRPr="0096524F">
        <w:t xml:space="preserve">2001), </w:t>
      </w:r>
      <w:r w:rsidRPr="0096524F">
        <w:rPr>
          <w:i/>
        </w:rPr>
        <w:t>rev’d</w:t>
      </w:r>
      <w:r w:rsidRPr="0096524F">
        <w:t>, 537 U.S.</w:t>
      </w:r>
      <w:r w:rsidRPr="0096524F">
        <w:t xml:space="preserve"> </w:t>
      </w:r>
      <w:r w:rsidRPr="0096524F">
        <w:t>418, 65 USPQ2d 1801 (2003).</w:t>
      </w:r>
      <w:r w:rsidRPr="0096524F">
        <w:t xml:space="preserve"> </w:t>
      </w:r>
      <w:r w:rsidRPr="0096524F">
        <w:t xml:space="preserve">The Supreme Court’s opinion in </w:t>
      </w:r>
      <w:r w:rsidRPr="0096524F">
        <w:rPr>
          <w:i/>
        </w:rPr>
        <w:t>Moseley</w:t>
      </w:r>
      <w:r w:rsidRPr="0096524F">
        <w:t xml:space="preserve"> cited the </w:t>
      </w:r>
      <w:r w:rsidRPr="0096524F">
        <w:rPr>
          <w:i/>
        </w:rPr>
        <w:t>Nabisco</w:t>
      </w:r>
      <w:r w:rsidRPr="0096524F">
        <w:t xml:space="preserve"> test in the course of discussing the Sixth Circuit’s opinion but did not indicate whether the Court believed it was still viable as a test for actual dilution.</w:t>
      </w:r>
      <w:r w:rsidRPr="0096524F">
        <w:t xml:space="preserve"> </w:t>
      </w:r>
      <w:r w:rsidRPr="0096524F">
        <w:rPr>
          <w:i/>
        </w:rPr>
        <w:t>See</w:t>
      </w:r>
      <w:r w:rsidRPr="0096524F">
        <w:t xml:space="preserve"> 537 U.S.</w:t>
      </w:r>
      <w:r w:rsidRPr="0096524F">
        <w:t xml:space="preserve"> </w:t>
      </w:r>
      <w:r w:rsidRPr="0096524F">
        <w:t>at 426–27 &amp; n.8.</w:t>
      </w:r>
    </w:p>
  </w:footnote>
  <w:footnote w:id="105">
    <w:p w14:paraId="77D3D30F" w14:textId="7EE66D1C" w:rsidR="0096524F" w:rsidRPr="00EB11B3" w:rsidRDefault="0096524F" w:rsidP="0096524F">
      <w:pPr>
        <w:pStyle w:val="FootnoteText"/>
      </w:pPr>
      <w:r w:rsidRPr="0096524F">
        <w:rPr>
          <w:vertAlign w:val="superscript"/>
        </w:rPr>
        <w:footnoteRef/>
      </w:r>
      <w:r w:rsidRPr="0096524F">
        <w:t>Eli Lilly &amp; Co.</w:t>
      </w:r>
      <w:r w:rsidRPr="0096524F">
        <w:t xml:space="preserve"> </w:t>
      </w:r>
      <w:r w:rsidRPr="0096524F">
        <w:t>v.</w:t>
      </w:r>
      <w:r w:rsidRPr="0096524F">
        <w:t xml:space="preserve"> </w:t>
      </w:r>
      <w:r w:rsidRPr="0096524F">
        <w:t>Natural Answers, Inc., 233 F.3d 456, 469, 56 USPQ2d 1942 (7th Cir.</w:t>
      </w:r>
      <w:r w:rsidRPr="0096524F">
        <w:t xml:space="preserve"> </w:t>
      </w:r>
      <w:r w:rsidRPr="0096524F">
        <w:t>2000).</w:t>
      </w:r>
    </w:p>
  </w:footnote>
  <w:footnote w:id="106">
    <w:p w14:paraId="34678DE9" w14:textId="61662C18"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Sigma Chi Fraternity v.</w:t>
      </w:r>
      <w:r w:rsidRPr="0096524F">
        <w:t xml:space="preserve"> </w:t>
      </w:r>
      <w:r w:rsidRPr="0096524F">
        <w:t>Sethscot Collection, 2000 U.S.</w:t>
      </w:r>
      <w:r w:rsidRPr="0096524F">
        <w:t xml:space="preserve"> </w:t>
      </w:r>
      <w:r w:rsidRPr="0096524F">
        <w:t>Dist.</w:t>
      </w:r>
      <w:r w:rsidRPr="0096524F">
        <w:t xml:space="preserve"> </w:t>
      </w:r>
      <w:r w:rsidRPr="0096524F">
        <w:t>LEXIS 6332, at *33 (S.D.</w:t>
      </w:r>
      <w:r w:rsidRPr="0096524F">
        <w:t xml:space="preserve"> </w:t>
      </w:r>
      <w:r w:rsidRPr="0096524F">
        <w:t>Fla.</w:t>
      </w:r>
      <w:r w:rsidRPr="0096524F">
        <w:t xml:space="preserve"> </w:t>
      </w:r>
      <w:r w:rsidRPr="0096524F">
        <w:t>Apr.</w:t>
      </w:r>
      <w:r w:rsidRPr="0096524F">
        <w:t xml:space="preserve"> </w:t>
      </w:r>
      <w:r w:rsidRPr="0096524F">
        <w:t xml:space="preserve">7, 2000) (finding no dilution, even though court found confusion), </w:t>
      </w:r>
      <w:r w:rsidRPr="0096524F">
        <w:rPr>
          <w:i/>
        </w:rPr>
        <w:t>aff’d mem</w:t>
      </w:r>
      <w:r w:rsidRPr="0096524F">
        <w:t>., 48 F.</w:t>
      </w:r>
      <w:r w:rsidRPr="0096524F">
        <w:t xml:space="preserve"> </w:t>
      </w:r>
      <w:r w:rsidRPr="0096524F">
        <w:t>App’x.</w:t>
      </w:r>
      <w:r w:rsidRPr="0096524F">
        <w:t xml:space="preserve"> </w:t>
      </w:r>
      <w:r w:rsidRPr="0096524F">
        <w:t>739 (11th Cir.</w:t>
      </w:r>
      <w:r w:rsidRPr="0096524F">
        <w:t xml:space="preserve"> </w:t>
      </w:r>
      <w:r w:rsidRPr="0096524F">
        <w:t>2002);</w:t>
      </w:r>
      <w:r w:rsidRPr="0096524F">
        <w:t xml:space="preserve"> </w:t>
      </w:r>
      <w:r w:rsidRPr="0096524F">
        <w:t>Bulova Corp.</w:t>
      </w:r>
      <w:r w:rsidRPr="0096524F">
        <w:t xml:space="preserve"> </w:t>
      </w:r>
      <w:r w:rsidRPr="0096524F">
        <w:t>v.</w:t>
      </w:r>
      <w:r w:rsidRPr="0096524F">
        <w:t xml:space="preserve"> </w:t>
      </w:r>
      <w:r w:rsidRPr="0096524F">
        <w:t>Bulova do Brasil Com.</w:t>
      </w:r>
      <w:r w:rsidRPr="0096524F">
        <w:t xml:space="preserve"> </w:t>
      </w:r>
      <w:r w:rsidRPr="0096524F">
        <w:t>Rep.</w:t>
      </w:r>
      <w:r w:rsidRPr="0096524F">
        <w:t xml:space="preserve"> </w:t>
      </w:r>
      <w:r w:rsidRPr="0096524F">
        <w:t>Imp.</w:t>
      </w:r>
      <w:r w:rsidRPr="0096524F">
        <w:t xml:space="preserve"> </w:t>
      </w:r>
      <w:r w:rsidRPr="0096524F">
        <w:t>&amp; Exp.</w:t>
      </w:r>
      <w:r w:rsidRPr="0096524F">
        <w:t xml:space="preserve"> </w:t>
      </w:r>
      <w:r w:rsidRPr="0096524F">
        <w:t>Ltda., 144 F.</w:t>
      </w:r>
      <w:r w:rsidRPr="0096524F">
        <w:t xml:space="preserve"> </w:t>
      </w:r>
      <w:r w:rsidRPr="0096524F">
        <w:t>Supp.</w:t>
      </w:r>
      <w:r w:rsidRPr="0096524F">
        <w:t xml:space="preserve"> </w:t>
      </w:r>
      <w:r w:rsidRPr="0096524F">
        <w:t>2d 1329, 1331–32, 59 USPQ2d 1076 (S.D.</w:t>
      </w:r>
      <w:r w:rsidRPr="0096524F">
        <w:t xml:space="preserve"> </w:t>
      </w:r>
      <w:r w:rsidRPr="0096524F">
        <w:t>Fla.</w:t>
      </w:r>
      <w:r w:rsidRPr="0096524F">
        <w:t xml:space="preserve"> </w:t>
      </w:r>
      <w:r w:rsidRPr="0096524F">
        <w:t>2001) (finding for plaintiff on all counts, including dilution);</w:t>
      </w:r>
      <w:r w:rsidRPr="0096524F">
        <w:t xml:space="preserve"> </w:t>
      </w:r>
      <w:r w:rsidRPr="0096524F">
        <w:t>Ford Motor Co.</w:t>
      </w:r>
      <w:r w:rsidRPr="0096524F">
        <w:t xml:space="preserve"> </w:t>
      </w:r>
      <w:r w:rsidRPr="0096524F">
        <w:t>v.</w:t>
      </w:r>
      <w:r w:rsidRPr="0096524F">
        <w:t xml:space="preserve"> </w:t>
      </w:r>
      <w:r w:rsidRPr="0096524F">
        <w:t>Ford Fin.</w:t>
      </w:r>
      <w:r w:rsidRPr="0096524F">
        <w:t xml:space="preserve"> </w:t>
      </w:r>
      <w:r w:rsidRPr="0096524F">
        <w:t>Solutions, Inc., 103 F.</w:t>
      </w:r>
      <w:r w:rsidRPr="0096524F">
        <w:t xml:space="preserve"> </w:t>
      </w:r>
      <w:r w:rsidRPr="0096524F">
        <w:t>Supp.</w:t>
      </w:r>
      <w:r w:rsidRPr="0096524F">
        <w:t xml:space="preserve"> </w:t>
      </w:r>
      <w:r w:rsidRPr="0096524F">
        <w:t>2d 1126, 1129, 55 USPQ2d 1217 (N.D.</w:t>
      </w:r>
      <w:r w:rsidRPr="0096524F">
        <w:t xml:space="preserve"> </w:t>
      </w:r>
      <w:r w:rsidRPr="0096524F">
        <w:t>Iowa 2000);</w:t>
      </w:r>
      <w:r w:rsidRPr="0096524F">
        <w:t xml:space="preserve"> </w:t>
      </w:r>
      <w:r w:rsidRPr="0096524F">
        <w:t>Minnesota Mining &amp; Mfg.</w:t>
      </w:r>
      <w:r w:rsidRPr="0096524F">
        <w:t xml:space="preserve"> </w:t>
      </w:r>
      <w:r w:rsidRPr="0096524F">
        <w:t>Co.</w:t>
      </w:r>
      <w:r w:rsidRPr="0096524F">
        <w:t xml:space="preserve"> </w:t>
      </w:r>
      <w:r w:rsidRPr="0096524F">
        <w:t>v.</w:t>
      </w:r>
      <w:r w:rsidRPr="0096524F">
        <w:t xml:space="preserve"> </w:t>
      </w:r>
      <w:r w:rsidRPr="0096524F">
        <w:t>Taylor, 21 F.</w:t>
      </w:r>
      <w:r w:rsidRPr="0096524F">
        <w:t xml:space="preserve"> </w:t>
      </w:r>
      <w:r w:rsidRPr="0096524F">
        <w:t>Supp.</w:t>
      </w:r>
      <w:r w:rsidRPr="0096524F">
        <w:t xml:space="preserve"> </w:t>
      </w:r>
      <w:r w:rsidRPr="0096524F">
        <w:t>2d 1003, 1005, 48 USPQ2d 1701 (D.</w:t>
      </w:r>
      <w:r w:rsidRPr="0096524F">
        <w:t xml:space="preserve"> </w:t>
      </w:r>
      <w:r w:rsidRPr="0096524F">
        <w:t>Minn.</w:t>
      </w:r>
      <w:r w:rsidRPr="0096524F">
        <w:t xml:space="preserve"> </w:t>
      </w:r>
      <w:r w:rsidRPr="0096524F">
        <w:t>1998);</w:t>
      </w:r>
      <w:r w:rsidRPr="0096524F">
        <w:t xml:space="preserve"> </w:t>
      </w:r>
      <w:r w:rsidRPr="0096524F">
        <w:t>Act Media, Inc.</w:t>
      </w:r>
      <w:r w:rsidRPr="0096524F">
        <w:t xml:space="preserve"> </w:t>
      </w:r>
      <w:r w:rsidRPr="0096524F">
        <w:t>v.</w:t>
      </w:r>
      <w:r w:rsidRPr="0096524F">
        <w:t xml:space="preserve"> </w:t>
      </w:r>
      <w:r w:rsidRPr="0096524F">
        <w:t>Active Media Int’l, Inc., 1996 WL 466527 at *2, 1996 BL 559 (N.D.</w:t>
      </w:r>
      <w:r w:rsidRPr="0096524F">
        <w:t xml:space="preserve"> </w:t>
      </w:r>
      <w:r w:rsidRPr="0096524F">
        <w:t>Ill.</w:t>
      </w:r>
      <w:r w:rsidRPr="0096524F">
        <w:t xml:space="preserve"> </w:t>
      </w:r>
      <w:r w:rsidRPr="0096524F">
        <w:t>July 17, 1996);</w:t>
      </w:r>
      <w:r w:rsidRPr="0096524F">
        <w:t xml:space="preserve"> </w:t>
      </w:r>
      <w:r w:rsidRPr="0096524F">
        <w:t>Liquid Glass Enters., Inc.</w:t>
      </w:r>
      <w:r w:rsidRPr="0096524F">
        <w:t xml:space="preserve"> </w:t>
      </w:r>
      <w:r w:rsidRPr="0096524F">
        <w:t>v.</w:t>
      </w:r>
      <w:r w:rsidRPr="0096524F">
        <w:t xml:space="preserve"> </w:t>
      </w:r>
      <w:r w:rsidRPr="0096524F">
        <w:t>Dr.</w:t>
      </w:r>
      <w:r w:rsidRPr="0096524F">
        <w:t xml:space="preserve"> </w:t>
      </w:r>
      <w:r w:rsidRPr="0096524F">
        <w:t>Ing h.c.F.</w:t>
      </w:r>
      <w:r w:rsidRPr="0096524F">
        <w:t xml:space="preserve"> </w:t>
      </w:r>
      <w:r w:rsidRPr="0096524F">
        <w:t>Porsche AG, 8 F.</w:t>
      </w:r>
      <w:r w:rsidRPr="0096524F">
        <w:t xml:space="preserve"> </w:t>
      </w:r>
      <w:r w:rsidRPr="0096524F">
        <w:t>Supp.</w:t>
      </w:r>
      <w:r w:rsidRPr="0096524F">
        <w:t xml:space="preserve"> </w:t>
      </w:r>
      <w:r w:rsidRPr="0096524F">
        <w:t>2d 398, 405 (D.N.J.</w:t>
      </w:r>
      <w:r w:rsidRPr="0096524F">
        <w:t xml:space="preserve"> </w:t>
      </w:r>
      <w:r w:rsidRPr="0096524F">
        <w:t>1998).</w:t>
      </w:r>
      <w:r w:rsidRPr="0096524F">
        <w:t xml:space="preserve"> </w:t>
      </w:r>
      <w:r w:rsidRPr="0096524F">
        <w:rPr>
          <w:i/>
        </w:rPr>
        <w:t>See also</w:t>
      </w:r>
      <w:r w:rsidRPr="0096524F">
        <w:t xml:space="preserve"> Deborah Heart &amp; Lung Ctr.</w:t>
      </w:r>
      <w:r w:rsidRPr="0096524F">
        <w:t xml:space="preserve"> </w:t>
      </w:r>
      <w:r w:rsidRPr="0096524F">
        <w:t>v.</w:t>
      </w:r>
      <w:r w:rsidRPr="0096524F">
        <w:t xml:space="preserve"> </w:t>
      </w:r>
      <w:r w:rsidRPr="0096524F">
        <w:t>Children of the World Found., Ltd., 99 F.</w:t>
      </w:r>
      <w:r w:rsidRPr="0096524F">
        <w:t xml:space="preserve"> </w:t>
      </w:r>
      <w:r w:rsidRPr="0096524F">
        <w:t>Supp.</w:t>
      </w:r>
      <w:r w:rsidRPr="0096524F">
        <w:t xml:space="preserve"> </w:t>
      </w:r>
      <w:r w:rsidRPr="0096524F">
        <w:t>2d 481, 493, 55 USPQ2d 1088 (D.N.J.</w:t>
      </w:r>
      <w:r w:rsidRPr="0096524F">
        <w:t xml:space="preserve"> </w:t>
      </w:r>
      <w:r w:rsidRPr="0096524F">
        <w:t>2000) (use of a “confusingly similar mark for essentially the same services” causes dilution);</w:t>
      </w:r>
      <w:r w:rsidRPr="0096524F">
        <w:t xml:space="preserve"> </w:t>
      </w:r>
      <w:r w:rsidRPr="0096524F">
        <w:t>Brown v.</w:t>
      </w:r>
      <w:r w:rsidRPr="0096524F">
        <w:t xml:space="preserve"> </w:t>
      </w:r>
      <w:r w:rsidRPr="0096524F">
        <w:t>It’s Entm’t, Inc., 34 F.</w:t>
      </w:r>
      <w:r w:rsidRPr="0096524F">
        <w:t xml:space="preserve"> </w:t>
      </w:r>
      <w:r w:rsidRPr="0096524F">
        <w:t>Supp.</w:t>
      </w:r>
      <w:r w:rsidRPr="0096524F">
        <w:t xml:space="preserve"> </w:t>
      </w:r>
      <w:r w:rsidRPr="0096524F">
        <w:t>2d 854, 859, 49 USPQ2d 1939 (E.D.N.Y.</w:t>
      </w:r>
      <w:r w:rsidRPr="0096524F">
        <w:t xml:space="preserve"> </w:t>
      </w:r>
      <w:r w:rsidRPr="0096524F">
        <w:t>1999) (citing loss of control over use of the mark and probability of tarnishment).</w:t>
      </w:r>
      <w:r w:rsidRPr="0096524F">
        <w:t xml:space="preserve"> </w:t>
      </w:r>
      <w:r w:rsidRPr="0096524F">
        <w:t>This phenomenon is not unique to FTDA claims.</w:t>
      </w:r>
      <w:r w:rsidRPr="0096524F">
        <w:t xml:space="preserve"> </w:t>
      </w:r>
      <w:r w:rsidRPr="0096524F">
        <w:t>Many cases decided under state laws contain little analysis to support their conclusions.</w:t>
      </w:r>
      <w:r w:rsidRPr="0096524F">
        <w:t xml:space="preserve"> </w:t>
      </w:r>
      <w:r w:rsidRPr="0096524F">
        <w:rPr>
          <w:i/>
        </w:rPr>
        <w:t>See</w:t>
      </w:r>
      <w:r w:rsidRPr="0096524F">
        <w:t xml:space="preserve"> Chapter 3, §IV.A.1.</w:t>
      </w:r>
    </w:p>
  </w:footnote>
  <w:footnote w:id="107">
    <w:p w14:paraId="71C762E1" w14:textId="5DFBC8BE" w:rsidR="0096524F" w:rsidRPr="00EB11B3" w:rsidRDefault="0096524F" w:rsidP="0096524F">
      <w:pPr>
        <w:pStyle w:val="FootnoteText"/>
      </w:pPr>
      <w:r w:rsidRPr="0096524F">
        <w:rPr>
          <w:vertAlign w:val="superscript"/>
        </w:rPr>
        <w:footnoteRef/>
      </w:r>
      <w:r w:rsidRPr="0096524F">
        <w:t>Levi Strauss &amp; Co.</w:t>
      </w:r>
      <w:r w:rsidRPr="0096524F">
        <w:t xml:space="preserve"> </w:t>
      </w:r>
      <w:r w:rsidRPr="0096524F">
        <w:t>v.</w:t>
      </w:r>
      <w:r w:rsidRPr="0096524F">
        <w:t xml:space="preserve"> </w:t>
      </w:r>
      <w:r w:rsidRPr="0096524F">
        <w:t>Abercrombie &amp; Fitch Trading Co., 633 F.3d 1158, 1171–73, 97 USPQ2d 1947 (9th Cir.</w:t>
      </w:r>
      <w:r w:rsidRPr="0096524F">
        <w:t xml:space="preserve"> </w:t>
      </w:r>
      <w:r w:rsidRPr="0096524F">
        <w:t>2011);</w:t>
      </w:r>
      <w:r w:rsidRPr="0096524F">
        <w:t xml:space="preserve"> </w:t>
      </w:r>
      <w:r w:rsidRPr="0096524F">
        <w:t>Starbucks Corp.</w:t>
      </w:r>
      <w:r w:rsidRPr="0096524F">
        <w:t xml:space="preserve"> </w:t>
      </w:r>
      <w:r w:rsidRPr="0096524F">
        <w:t>v.</w:t>
      </w:r>
      <w:r w:rsidRPr="0096524F">
        <w:t xml:space="preserve"> </w:t>
      </w:r>
      <w:r w:rsidRPr="0096524F">
        <w:t>Wolfe’s Borough Coffee, Inc., 588 F.3d 97, 108, 92 USPQ2d 1769 (2d Cir.</w:t>
      </w:r>
      <w:r w:rsidRPr="0096524F">
        <w:t xml:space="preserve"> </w:t>
      </w:r>
      <w:r w:rsidRPr="0096524F">
        <w:t>2009).</w:t>
      </w:r>
    </w:p>
  </w:footnote>
  <w:footnote w:id="108">
    <w:p w14:paraId="754C392E" w14:textId="1FBE74F6" w:rsidR="0096524F" w:rsidRPr="00EB11B3" w:rsidRDefault="0096524F" w:rsidP="0096524F">
      <w:pPr>
        <w:pStyle w:val="FootnoteText"/>
      </w:pPr>
      <w:r w:rsidRPr="0096524F">
        <w:rPr>
          <w:vertAlign w:val="superscript"/>
        </w:rPr>
        <w:footnoteRef/>
      </w:r>
      <w:r w:rsidRPr="0096524F">
        <w:t>Mead Data Cent., Inc.</w:t>
      </w:r>
      <w:r w:rsidRPr="0096524F">
        <w:t xml:space="preserve"> </w:t>
      </w:r>
      <w:r w:rsidRPr="0096524F">
        <w:t>v.</w:t>
      </w:r>
      <w:r w:rsidRPr="0096524F">
        <w:t xml:space="preserve"> </w:t>
      </w:r>
      <w:r w:rsidRPr="0096524F">
        <w:t>Toyota Motor Sales U.S.A., Inc., 875 F.2d 1026, 1035, 10 USPQ2d 1961 (2d Cir.</w:t>
      </w:r>
      <w:r w:rsidRPr="0096524F">
        <w:t xml:space="preserve"> </w:t>
      </w:r>
      <w:r w:rsidRPr="0096524F">
        <w:t>1989) (Sweet, J., concurring).</w:t>
      </w:r>
    </w:p>
  </w:footnote>
  <w:footnote w:id="109">
    <w:p w14:paraId="609C59B2" w14:textId="71568BD4"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Hershey Foods Corp.</w:t>
      </w:r>
      <w:r w:rsidRPr="0096524F">
        <w:t xml:space="preserve"> </w:t>
      </w:r>
      <w:r w:rsidRPr="0096524F">
        <w:t>v.</w:t>
      </w:r>
      <w:r w:rsidRPr="0096524F">
        <w:t xml:space="preserve"> </w:t>
      </w:r>
      <w:r w:rsidRPr="0096524F">
        <w:t>Mars, Inc., 998 F.</w:t>
      </w:r>
      <w:r w:rsidRPr="0096524F">
        <w:t xml:space="preserve"> </w:t>
      </w:r>
      <w:r w:rsidRPr="0096524F">
        <w:t>Supp.</w:t>
      </w:r>
      <w:r w:rsidRPr="0096524F">
        <w:t xml:space="preserve"> </w:t>
      </w:r>
      <w:r w:rsidRPr="0096524F">
        <w:t>500, 519–20 (M.D.</w:t>
      </w:r>
      <w:r w:rsidRPr="0096524F">
        <w:t xml:space="preserve"> </w:t>
      </w:r>
      <w:r w:rsidRPr="0096524F">
        <w:t>Pa.</w:t>
      </w:r>
      <w:r w:rsidRPr="0096524F">
        <w:t xml:space="preserve"> </w:t>
      </w:r>
      <w:r w:rsidRPr="0096524F">
        <w:t>1998);</w:t>
      </w:r>
      <w:r w:rsidRPr="0096524F">
        <w:t xml:space="preserve"> </w:t>
      </w:r>
      <w:r w:rsidRPr="0096524F">
        <w:t>American Express Co.</w:t>
      </w:r>
      <w:r w:rsidRPr="0096524F">
        <w:t xml:space="preserve"> </w:t>
      </w:r>
      <w:r w:rsidRPr="0096524F">
        <w:t>v.</w:t>
      </w:r>
      <w:r w:rsidRPr="0096524F">
        <w:t xml:space="preserve"> </w:t>
      </w:r>
      <w:r w:rsidRPr="0096524F">
        <w:t>CFK, Inc., 947 F.</w:t>
      </w:r>
      <w:r w:rsidRPr="0096524F">
        <w:t xml:space="preserve"> </w:t>
      </w:r>
      <w:r w:rsidRPr="0096524F">
        <w:t>Supp.</w:t>
      </w:r>
      <w:r w:rsidRPr="0096524F">
        <w:t xml:space="preserve"> </w:t>
      </w:r>
      <w:r w:rsidRPr="0096524F">
        <w:t>310, 316–17, 41 USPQ2d 1756 (E.D.</w:t>
      </w:r>
      <w:r w:rsidRPr="0096524F">
        <w:t xml:space="preserve"> </w:t>
      </w:r>
      <w:r w:rsidRPr="0096524F">
        <w:t>Mich.</w:t>
      </w:r>
      <w:r w:rsidRPr="0096524F">
        <w:t xml:space="preserve"> </w:t>
      </w:r>
      <w:r w:rsidRPr="0096524F">
        <w:t>1996);</w:t>
      </w:r>
      <w:r w:rsidRPr="0096524F">
        <w:t xml:space="preserve"> </w:t>
      </w:r>
      <w:r w:rsidRPr="0096524F">
        <w:t>Michael Caruso &amp; Co.</w:t>
      </w:r>
      <w:r w:rsidRPr="0096524F">
        <w:t xml:space="preserve"> </w:t>
      </w:r>
      <w:r w:rsidRPr="0096524F">
        <w:t>v.</w:t>
      </w:r>
      <w:r w:rsidRPr="0096524F">
        <w:t xml:space="preserve"> </w:t>
      </w:r>
      <w:r w:rsidRPr="0096524F">
        <w:t>Estefan Enters., Inc., 994 F.</w:t>
      </w:r>
      <w:r w:rsidRPr="0096524F">
        <w:t xml:space="preserve"> </w:t>
      </w:r>
      <w:r w:rsidRPr="0096524F">
        <w:t>Supp.</w:t>
      </w:r>
      <w:r w:rsidRPr="0096524F">
        <w:t xml:space="preserve"> </w:t>
      </w:r>
      <w:r w:rsidRPr="0096524F">
        <w:t>1454, 1463–64 (S.D.</w:t>
      </w:r>
      <w:r w:rsidRPr="0096524F">
        <w:t xml:space="preserve"> </w:t>
      </w:r>
      <w:r w:rsidRPr="0096524F">
        <w:t xml:space="preserve">Fla.), </w:t>
      </w:r>
      <w:r w:rsidRPr="0096524F">
        <w:rPr>
          <w:i/>
        </w:rPr>
        <w:t>aff’d mem</w:t>
      </w:r>
      <w:r w:rsidRPr="0096524F">
        <w:t>., 166 F.3d 353 (11th Cir.</w:t>
      </w:r>
      <w:r w:rsidRPr="0096524F">
        <w:t xml:space="preserve"> </w:t>
      </w:r>
      <w:r w:rsidRPr="0096524F">
        <w:t>1998);</w:t>
      </w:r>
      <w:r w:rsidRPr="0096524F">
        <w:t xml:space="preserve"> </w:t>
      </w:r>
      <w:r w:rsidRPr="0096524F">
        <w:t>Gideons Int’l, Inc.</w:t>
      </w:r>
      <w:r w:rsidRPr="0096524F">
        <w:t xml:space="preserve"> </w:t>
      </w:r>
      <w:r w:rsidRPr="0096524F">
        <w:t>v.</w:t>
      </w:r>
      <w:r w:rsidRPr="0096524F">
        <w:t xml:space="preserve"> </w:t>
      </w:r>
      <w:r w:rsidRPr="0096524F">
        <w:t>Gideon 300 Ministries, Inc., 94 F.</w:t>
      </w:r>
      <w:r w:rsidRPr="0096524F">
        <w:t xml:space="preserve"> </w:t>
      </w:r>
      <w:r w:rsidRPr="0096524F">
        <w:t>Supp.</w:t>
      </w:r>
      <w:r w:rsidRPr="0096524F">
        <w:t xml:space="preserve"> </w:t>
      </w:r>
      <w:r w:rsidRPr="0096524F">
        <w:t>2d 566, 588 (E.D.</w:t>
      </w:r>
      <w:r w:rsidRPr="0096524F">
        <w:t xml:space="preserve"> </w:t>
      </w:r>
      <w:r w:rsidRPr="0096524F">
        <w:t>Pa.</w:t>
      </w:r>
      <w:r w:rsidRPr="0096524F">
        <w:t xml:space="preserve"> </w:t>
      </w:r>
      <w:r w:rsidRPr="0096524F">
        <w:t>1999);</w:t>
      </w:r>
      <w:r w:rsidRPr="0096524F">
        <w:t xml:space="preserve"> </w:t>
      </w:r>
      <w:r w:rsidRPr="0096524F">
        <w:t>Eli Lilly &amp; Co.</w:t>
      </w:r>
      <w:r w:rsidRPr="0096524F">
        <w:t xml:space="preserve"> </w:t>
      </w:r>
      <w:r w:rsidRPr="0096524F">
        <w:t>v.</w:t>
      </w:r>
      <w:r w:rsidRPr="0096524F">
        <w:t xml:space="preserve"> </w:t>
      </w:r>
      <w:r w:rsidRPr="0096524F">
        <w:t>Natural Answers, Inc., 86 F.</w:t>
      </w:r>
      <w:r w:rsidRPr="0096524F">
        <w:t xml:space="preserve"> </w:t>
      </w:r>
      <w:r w:rsidRPr="0096524F">
        <w:t>Supp.</w:t>
      </w:r>
      <w:r w:rsidRPr="0096524F">
        <w:t xml:space="preserve"> </w:t>
      </w:r>
      <w:r w:rsidRPr="0096524F">
        <w:t>2d 834, 851 (S.D.</w:t>
      </w:r>
      <w:r w:rsidRPr="0096524F">
        <w:t xml:space="preserve"> </w:t>
      </w:r>
      <w:r w:rsidRPr="0096524F">
        <w:t xml:space="preserve">Ind.), </w:t>
      </w:r>
      <w:r w:rsidRPr="0096524F">
        <w:rPr>
          <w:i/>
        </w:rPr>
        <w:t>aff’d,</w:t>
      </w:r>
      <w:r w:rsidRPr="0096524F">
        <w:t xml:space="preserve"> 233 F.3d 456, 56 USPQ2d 1942 (7th Cir.</w:t>
      </w:r>
      <w:r w:rsidRPr="0096524F">
        <w:t xml:space="preserve"> </w:t>
      </w:r>
      <w:r w:rsidRPr="0096524F">
        <w:t>2000) (the Seventh Circuit applied a different test on appeal);</w:t>
      </w:r>
      <w:r w:rsidRPr="0096524F">
        <w:t xml:space="preserve"> </w:t>
      </w:r>
      <w:r w:rsidRPr="0096524F">
        <w:t>Lexington Mgmt.</w:t>
      </w:r>
      <w:r w:rsidRPr="0096524F">
        <w:t xml:space="preserve"> </w:t>
      </w:r>
      <w:r w:rsidRPr="0096524F">
        <w:t>Corp.</w:t>
      </w:r>
      <w:r w:rsidRPr="0096524F">
        <w:t xml:space="preserve"> </w:t>
      </w:r>
      <w:r w:rsidRPr="0096524F">
        <w:t>v.</w:t>
      </w:r>
      <w:r w:rsidRPr="0096524F">
        <w:t xml:space="preserve"> </w:t>
      </w:r>
      <w:r w:rsidRPr="0096524F">
        <w:t>Lexington Capital Partners, 10 F.</w:t>
      </w:r>
      <w:r w:rsidRPr="0096524F">
        <w:t xml:space="preserve"> </w:t>
      </w:r>
      <w:r w:rsidRPr="0096524F">
        <w:t>Supp.</w:t>
      </w:r>
      <w:r w:rsidRPr="0096524F">
        <w:t xml:space="preserve"> </w:t>
      </w:r>
      <w:r w:rsidRPr="0096524F">
        <w:t>2d 271, 289–90, 47 USPQ2d 1558 (S.D.N.Y.</w:t>
      </w:r>
      <w:r w:rsidRPr="0096524F">
        <w:t xml:space="preserve"> </w:t>
      </w:r>
      <w:r w:rsidRPr="0096524F">
        <w:t>1998);</w:t>
      </w:r>
      <w:r w:rsidRPr="0096524F">
        <w:t xml:space="preserve"> </w:t>
      </w:r>
      <w:r w:rsidRPr="0096524F">
        <w:t>Westchester Media Co.</w:t>
      </w:r>
      <w:r w:rsidRPr="0096524F">
        <w:t xml:space="preserve"> </w:t>
      </w:r>
      <w:r w:rsidRPr="0096524F">
        <w:t>L.P.</w:t>
      </w:r>
      <w:r w:rsidRPr="0096524F">
        <w:t xml:space="preserve"> </w:t>
      </w:r>
      <w:r w:rsidRPr="0096524F">
        <w:t>v.</w:t>
      </w:r>
      <w:r w:rsidRPr="0096524F">
        <w:t xml:space="preserve"> </w:t>
      </w:r>
      <w:r w:rsidRPr="0096524F">
        <w:t>PRL USA Holdings, Inc., 103 F.</w:t>
      </w:r>
      <w:r w:rsidRPr="0096524F">
        <w:t xml:space="preserve"> </w:t>
      </w:r>
      <w:r w:rsidRPr="0096524F">
        <w:t>Supp.</w:t>
      </w:r>
      <w:r w:rsidRPr="0096524F">
        <w:t xml:space="preserve"> </w:t>
      </w:r>
      <w:r w:rsidRPr="0096524F">
        <w:t>2d 935, 981 (S.D.</w:t>
      </w:r>
      <w:r w:rsidRPr="0096524F">
        <w:t xml:space="preserve"> </w:t>
      </w:r>
      <w:r w:rsidRPr="0096524F">
        <w:t>Tex.</w:t>
      </w:r>
      <w:r w:rsidRPr="0096524F">
        <w:t xml:space="preserve"> </w:t>
      </w:r>
      <w:r w:rsidRPr="0096524F">
        <w:t xml:space="preserve">1999), </w:t>
      </w:r>
      <w:r w:rsidRPr="0096524F">
        <w:rPr>
          <w:i/>
        </w:rPr>
        <w:t>aff’d in part, vacated in part,</w:t>
      </w:r>
      <w:r w:rsidRPr="0096524F">
        <w:t xml:space="preserve"> 214 F.3d 658, 55 USPQ2d 1225 (5th Cir.</w:t>
      </w:r>
      <w:r w:rsidRPr="0096524F">
        <w:t xml:space="preserve"> </w:t>
      </w:r>
      <w:r w:rsidRPr="0096524F">
        <w:t>2000);</w:t>
      </w:r>
      <w:r w:rsidRPr="0096524F">
        <w:t xml:space="preserve"> </w:t>
      </w:r>
      <w:r w:rsidRPr="0096524F">
        <w:t>I.P.</w:t>
      </w:r>
      <w:r w:rsidRPr="0096524F">
        <w:t xml:space="preserve"> </w:t>
      </w:r>
      <w:r w:rsidRPr="0096524F">
        <w:t>Lund Trading ApS v.</w:t>
      </w:r>
      <w:r w:rsidRPr="0096524F">
        <w:t xml:space="preserve"> </w:t>
      </w:r>
      <w:r w:rsidRPr="0096524F">
        <w:t>Kohler Co., 11 F.</w:t>
      </w:r>
      <w:r w:rsidRPr="0096524F">
        <w:t xml:space="preserve"> </w:t>
      </w:r>
      <w:r w:rsidRPr="0096524F">
        <w:t>Supp.</w:t>
      </w:r>
      <w:r w:rsidRPr="0096524F">
        <w:t xml:space="preserve"> </w:t>
      </w:r>
      <w:r w:rsidRPr="0096524F">
        <w:t>2d 112, 126 (D.</w:t>
      </w:r>
      <w:r w:rsidRPr="0096524F">
        <w:t xml:space="preserve"> </w:t>
      </w:r>
      <w:r w:rsidRPr="0096524F">
        <w:t xml:space="preserve">Mass.), </w:t>
      </w:r>
      <w:r w:rsidRPr="0096524F">
        <w:rPr>
          <w:i/>
        </w:rPr>
        <w:t>aff’d in part, vacated in part,</w:t>
      </w:r>
      <w:r w:rsidRPr="0096524F">
        <w:t xml:space="preserve"> 163 F.3d 27, 49 USPQ2d 1225 (1st Cir.</w:t>
      </w:r>
      <w:r w:rsidRPr="0096524F">
        <w:t xml:space="preserve"> </w:t>
      </w:r>
      <w:r w:rsidRPr="0096524F">
        <w:t>1998).</w:t>
      </w:r>
      <w:r w:rsidRPr="0096524F">
        <w:t xml:space="preserve"> </w:t>
      </w:r>
      <w:r w:rsidRPr="0096524F">
        <w:rPr>
          <w:i/>
        </w:rPr>
        <w:t>See</w:t>
      </w:r>
      <w:r w:rsidRPr="0096524F">
        <w:t xml:space="preserve"> Consolidated Cigar Corp.</w:t>
      </w:r>
      <w:r w:rsidRPr="0096524F">
        <w:t xml:space="preserve"> </w:t>
      </w:r>
      <w:r w:rsidRPr="0096524F">
        <w:t>v.</w:t>
      </w:r>
      <w:r w:rsidRPr="0096524F">
        <w:t xml:space="preserve"> </w:t>
      </w:r>
      <w:r w:rsidRPr="0096524F">
        <w:t>Monte Cristi de Tabacos, 58 F.</w:t>
      </w:r>
      <w:r w:rsidRPr="0096524F">
        <w:t xml:space="preserve"> </w:t>
      </w:r>
      <w:r w:rsidRPr="0096524F">
        <w:t>Supp.</w:t>
      </w:r>
      <w:r w:rsidRPr="0096524F">
        <w:t xml:space="preserve"> </w:t>
      </w:r>
      <w:r w:rsidRPr="0096524F">
        <w:t>2d 188, 200 (S.D.N.Y.</w:t>
      </w:r>
      <w:r w:rsidRPr="0096524F">
        <w:t xml:space="preserve"> </w:t>
      </w:r>
      <w:r w:rsidRPr="0096524F">
        <w:t xml:space="preserve">1999) (using the multifactor test, but without citing </w:t>
      </w:r>
      <w:r w:rsidRPr="0096524F">
        <w:rPr>
          <w:i/>
        </w:rPr>
        <w:t>Mead</w:t>
      </w:r>
      <w:r w:rsidRPr="0096524F">
        <w:t>).</w:t>
      </w:r>
    </w:p>
  </w:footnote>
  <w:footnote w:id="110">
    <w:p w14:paraId="528815B3" w14:textId="1B312A5A" w:rsidR="0096524F" w:rsidRPr="00EB11B3" w:rsidRDefault="0096524F" w:rsidP="0096524F">
      <w:pPr>
        <w:pStyle w:val="FootnoteText"/>
      </w:pPr>
      <w:r w:rsidRPr="0096524F">
        <w:rPr>
          <w:vertAlign w:val="superscript"/>
        </w:rPr>
        <w:footnoteRef/>
      </w:r>
      <w:r w:rsidRPr="0096524F">
        <w:t>Ringling Bros.-Barnum &amp; Bailey Combined Shows, Inc.</w:t>
      </w:r>
      <w:r w:rsidRPr="0096524F">
        <w:t xml:space="preserve"> </w:t>
      </w:r>
      <w:r w:rsidRPr="0096524F">
        <w:t>v.</w:t>
      </w:r>
      <w:r w:rsidRPr="0096524F">
        <w:t xml:space="preserve"> </w:t>
      </w:r>
      <w:r w:rsidRPr="0096524F">
        <w:t>Utah Div.</w:t>
      </w:r>
      <w:r w:rsidRPr="0096524F">
        <w:t xml:space="preserve"> </w:t>
      </w:r>
      <w:r w:rsidRPr="0096524F">
        <w:t xml:space="preserve">of Travel Dev., 170 F.3d 449, 457–58, 50 USPQ2d 1065 (4th Cir.), </w:t>
      </w:r>
      <w:r w:rsidRPr="0096524F">
        <w:rPr>
          <w:i/>
        </w:rPr>
        <w:t>cert</w:t>
      </w:r>
      <w:r w:rsidRPr="0096524F">
        <w:t>.</w:t>
      </w:r>
      <w:r w:rsidRPr="0096524F">
        <w:t xml:space="preserve"> </w:t>
      </w:r>
      <w:r w:rsidRPr="0096524F">
        <w:rPr>
          <w:i/>
        </w:rPr>
        <w:t>denied,</w:t>
      </w:r>
      <w:r w:rsidRPr="0096524F">
        <w:t xml:space="preserve"> 528 U.S.</w:t>
      </w:r>
      <w:r w:rsidRPr="0096524F">
        <w:t xml:space="preserve"> </w:t>
      </w:r>
      <w:r w:rsidRPr="0096524F">
        <w:t>923 (1999);</w:t>
      </w:r>
      <w:r w:rsidRPr="0096524F">
        <w:t xml:space="preserve"> </w:t>
      </w:r>
      <w:r w:rsidRPr="0096524F">
        <w:t>V Secret Catalogue, Inc.</w:t>
      </w:r>
      <w:r w:rsidRPr="0096524F">
        <w:t xml:space="preserve"> </w:t>
      </w:r>
      <w:r w:rsidRPr="0096524F">
        <w:t>v.</w:t>
      </w:r>
      <w:r w:rsidRPr="0096524F">
        <w:t xml:space="preserve"> </w:t>
      </w:r>
      <w:r w:rsidRPr="0096524F">
        <w:t>Moseley, 259 F.3d 464, 473, 59 USPQ2d 1650 (6th Cir.</w:t>
      </w:r>
      <w:r w:rsidRPr="0096524F">
        <w:t xml:space="preserve"> </w:t>
      </w:r>
      <w:r w:rsidRPr="0096524F">
        <w:t xml:space="preserve">2001), </w:t>
      </w:r>
      <w:r w:rsidRPr="0096524F">
        <w:rPr>
          <w:i/>
        </w:rPr>
        <w:t>rev’d on other grounds,</w:t>
      </w:r>
      <w:r w:rsidRPr="0096524F">
        <w:t xml:space="preserve"> 537 U.S.</w:t>
      </w:r>
      <w:r w:rsidRPr="0096524F">
        <w:t xml:space="preserve"> </w:t>
      </w:r>
      <w:r w:rsidRPr="0096524F">
        <w:t>418, 65 USPQ2d 1801 (2003);</w:t>
      </w:r>
      <w:r w:rsidRPr="0096524F">
        <w:t xml:space="preserve"> </w:t>
      </w:r>
      <w:r w:rsidRPr="0096524F">
        <w:t>I.P.</w:t>
      </w:r>
      <w:r w:rsidRPr="0096524F">
        <w:t xml:space="preserve"> </w:t>
      </w:r>
      <w:r w:rsidRPr="0096524F">
        <w:t>Lund Trading ApS v.</w:t>
      </w:r>
      <w:r w:rsidRPr="0096524F">
        <w:t xml:space="preserve"> </w:t>
      </w:r>
      <w:r w:rsidRPr="0096524F">
        <w:t>Kohler Co.,, 163 F.3d 27, 49, 49 USPQ2d 1225 (1st Cir.</w:t>
      </w:r>
      <w:r w:rsidRPr="0096524F">
        <w:t xml:space="preserve"> </w:t>
      </w:r>
      <w:r w:rsidRPr="0096524F">
        <w:t>1998).</w:t>
      </w:r>
      <w:r w:rsidRPr="0096524F">
        <w:t xml:space="preserve"> </w:t>
      </w:r>
      <w:r w:rsidRPr="0096524F">
        <w:rPr>
          <w:i/>
        </w:rPr>
        <w:t xml:space="preserve">See </w:t>
      </w:r>
      <w:r w:rsidRPr="0096524F">
        <w:t>Nabisco, Inc.</w:t>
      </w:r>
      <w:r w:rsidRPr="0096524F">
        <w:t xml:space="preserve"> </w:t>
      </w:r>
      <w:r w:rsidRPr="0096524F">
        <w:t>v.</w:t>
      </w:r>
      <w:r w:rsidRPr="0096524F">
        <w:t xml:space="preserve"> </w:t>
      </w:r>
      <w:r w:rsidRPr="0096524F">
        <w:t>PF Brands, Inc., 191 F.3d 208, 227 &amp; n.8, 51 USPQ2d 1882 (2d Cir.</w:t>
      </w:r>
      <w:r w:rsidRPr="0096524F">
        <w:t xml:space="preserve"> </w:t>
      </w:r>
      <w:r w:rsidRPr="0096524F">
        <w:t>1999);</w:t>
      </w:r>
      <w:r w:rsidRPr="0096524F">
        <w:t xml:space="preserve"> </w:t>
      </w:r>
      <w:r w:rsidRPr="0096524F">
        <w:t>Robert N.</w:t>
      </w:r>
      <w:r w:rsidRPr="0096524F">
        <w:t xml:space="preserve"> </w:t>
      </w:r>
      <w:r w:rsidRPr="0096524F">
        <w:t xml:space="preserve">Klieger, </w:t>
      </w:r>
      <w:r w:rsidRPr="0096524F">
        <w:rPr>
          <w:i/>
        </w:rPr>
        <w:t>Trademark Dilution:</w:t>
      </w:r>
      <w:r w:rsidRPr="0096524F">
        <w:rPr>
          <w:i/>
        </w:rPr>
        <w:t xml:space="preserve"> </w:t>
      </w:r>
      <w:r w:rsidRPr="0096524F">
        <w:rPr>
          <w:i/>
        </w:rPr>
        <w:t xml:space="preserve">The Whittling Away of the Rational Basis for Trademark Protection, </w:t>
      </w:r>
      <w:r w:rsidRPr="0096524F">
        <w:t xml:space="preserve">58 </w:t>
      </w:r>
      <w:r w:rsidRPr="0096524F">
        <w:rPr>
          <w:smallCaps/>
        </w:rPr>
        <w:t>U.</w:t>
      </w:r>
      <w:r w:rsidRPr="0096524F">
        <w:rPr>
          <w:smallCaps/>
        </w:rPr>
        <w:t xml:space="preserve"> </w:t>
      </w:r>
      <w:r w:rsidRPr="0096524F">
        <w:rPr>
          <w:smallCaps/>
        </w:rPr>
        <w:t>Pitt.</w:t>
      </w:r>
      <w:r w:rsidRPr="0096524F">
        <w:rPr>
          <w:smallCaps/>
        </w:rPr>
        <w:t xml:space="preserve"> </w:t>
      </w:r>
      <w:r w:rsidRPr="0096524F">
        <w:rPr>
          <w:smallCaps/>
        </w:rPr>
        <w:t>L.</w:t>
      </w:r>
      <w:r w:rsidRPr="0096524F">
        <w:rPr>
          <w:smallCaps/>
        </w:rPr>
        <w:t xml:space="preserve"> </w:t>
      </w:r>
      <w:r w:rsidRPr="0096524F">
        <w:rPr>
          <w:smallCaps/>
        </w:rPr>
        <w:t>Rev</w:t>
      </w:r>
      <w:r w:rsidRPr="0096524F">
        <w:t>.</w:t>
      </w:r>
      <w:r w:rsidRPr="0096524F">
        <w:t xml:space="preserve"> </w:t>
      </w:r>
      <w:r w:rsidRPr="0096524F">
        <w:t>789, 826–27 (1997);</w:t>
      </w:r>
      <w:r w:rsidRPr="0096524F">
        <w:t xml:space="preserve"> </w:t>
      </w:r>
      <w:r w:rsidRPr="0096524F">
        <w:t>Kenneth L.</w:t>
      </w:r>
      <w:r w:rsidRPr="0096524F">
        <w:t xml:space="preserve"> </w:t>
      </w:r>
      <w:r w:rsidRPr="0096524F">
        <w:t xml:space="preserve">Port, </w:t>
      </w:r>
      <w:r w:rsidRPr="0096524F">
        <w:rPr>
          <w:i/>
        </w:rPr>
        <w:t>The “Unnatural” Expansion of Trademark Rights:</w:t>
      </w:r>
      <w:r w:rsidRPr="0096524F">
        <w:rPr>
          <w:i/>
        </w:rPr>
        <w:t xml:space="preserve"> </w:t>
      </w:r>
      <w:r w:rsidRPr="0096524F">
        <w:rPr>
          <w:i/>
        </w:rPr>
        <w:t>Is a Federal Dilution Statute Necessary?</w:t>
      </w:r>
      <w:r w:rsidRPr="0096524F">
        <w:rPr>
          <w:i/>
        </w:rPr>
        <w:t xml:space="preserve"> </w:t>
      </w:r>
      <w:r w:rsidRPr="0096524F">
        <w:t xml:space="preserve">18 </w:t>
      </w:r>
      <w:r w:rsidRPr="0096524F">
        <w:rPr>
          <w:smallCaps/>
        </w:rPr>
        <w:t>Seton Hall Legis.</w:t>
      </w:r>
      <w:r w:rsidRPr="0096524F">
        <w:rPr>
          <w:smallCaps/>
        </w:rPr>
        <w:t xml:space="preserve"> </w:t>
      </w:r>
      <w:r w:rsidRPr="0096524F">
        <w:rPr>
          <w:smallCaps/>
        </w:rPr>
        <w:t>J.</w:t>
      </w:r>
      <w:r w:rsidRPr="0096524F">
        <w:rPr>
          <w:smallCaps/>
        </w:rPr>
        <w:t xml:space="preserve"> </w:t>
      </w:r>
      <w:r w:rsidRPr="0096524F">
        <w:t>433, 455–60 (1994).</w:t>
      </w:r>
      <w:r w:rsidRPr="0096524F">
        <w:t xml:space="preserve"> </w:t>
      </w:r>
      <w:r w:rsidRPr="0096524F">
        <w:rPr>
          <w:i/>
        </w:rPr>
        <w:t>See</w:t>
      </w:r>
      <w:r w:rsidRPr="0096524F">
        <w:t xml:space="preserve"> Chapter 3, §§IV.A.2.a.i and IV.A.2.b.</w:t>
      </w:r>
    </w:p>
  </w:footnote>
  <w:footnote w:id="111">
    <w:p w14:paraId="6FCF18FD" w14:textId="14EED29E" w:rsidR="0096524F" w:rsidRPr="00543B4A" w:rsidRDefault="0096524F" w:rsidP="0096524F">
      <w:pPr>
        <w:pStyle w:val="FootnoteText"/>
      </w:pPr>
      <w:r w:rsidRPr="0096524F">
        <w:rPr>
          <w:rStyle w:val="FootnoteReference"/>
          <w:rFonts w:eastAsiaTheme="majorEastAsia"/>
        </w:rPr>
        <w:footnoteRef/>
      </w:r>
      <w:r w:rsidRPr="0096524F">
        <w:rPr>
          <w:i/>
        </w:rPr>
        <w:t>But see</w:t>
      </w:r>
      <w:r w:rsidRPr="0096524F">
        <w:t xml:space="preserve"> Girl Scouts of the United States of Amer., Inc.</w:t>
      </w:r>
      <w:r w:rsidRPr="0096524F">
        <w:t xml:space="preserve"> </w:t>
      </w:r>
      <w:r w:rsidRPr="0096524F">
        <w:t>v.</w:t>
      </w:r>
      <w:r w:rsidRPr="0096524F">
        <w:t xml:space="preserve"> </w:t>
      </w:r>
      <w:r w:rsidRPr="0096524F">
        <w:t>Boy Scouts of Amer., 597 F.</w:t>
      </w:r>
      <w:r w:rsidRPr="0096524F">
        <w:t xml:space="preserve"> </w:t>
      </w:r>
      <w:r w:rsidRPr="0096524F">
        <w:t>Supp.</w:t>
      </w:r>
      <w:r w:rsidRPr="0096524F">
        <w:t xml:space="preserve"> </w:t>
      </w:r>
      <w:r w:rsidRPr="0096524F">
        <w:t>3d 581, 604  (S.D.N.Y.</w:t>
      </w:r>
      <w:r w:rsidRPr="0096524F">
        <w:t xml:space="preserve"> </w:t>
      </w:r>
      <w:r w:rsidRPr="0096524F">
        <w:t>2022) (using these factors to decide both state and federal dilution claims).</w:t>
      </w:r>
    </w:p>
  </w:footnote>
  <w:footnote w:id="112">
    <w:p w14:paraId="04E1A645" w14:textId="17E9E01B" w:rsidR="0096524F" w:rsidRPr="00EB11B3" w:rsidRDefault="0096524F" w:rsidP="0096524F">
      <w:pPr>
        <w:pStyle w:val="FootnoteText"/>
      </w:pPr>
      <w:r w:rsidRPr="0096524F">
        <w:rPr>
          <w:vertAlign w:val="superscript"/>
        </w:rPr>
        <w:footnoteRef/>
      </w:r>
      <w:r w:rsidRPr="0096524F">
        <w:t>Nabisco, Inc.</w:t>
      </w:r>
      <w:r w:rsidRPr="0096524F">
        <w:t xml:space="preserve"> </w:t>
      </w:r>
      <w:r w:rsidRPr="0096524F">
        <w:t>v.</w:t>
      </w:r>
      <w:r w:rsidRPr="0096524F">
        <w:t xml:space="preserve"> </w:t>
      </w:r>
      <w:r w:rsidRPr="0096524F">
        <w:t>PF Brands, Inc., 191 F.3d 208, 228, 51 USPQ2d 1882 (2d Cir.</w:t>
      </w:r>
      <w:r w:rsidRPr="0096524F">
        <w:t xml:space="preserve"> </w:t>
      </w:r>
      <w:r w:rsidRPr="0096524F">
        <w:t>1999).</w:t>
      </w:r>
    </w:p>
  </w:footnote>
  <w:footnote w:id="113">
    <w:p w14:paraId="0C615F32" w14:textId="15CF54E7" w:rsidR="0096524F" w:rsidRPr="00EB11B3" w:rsidRDefault="0096524F" w:rsidP="0096524F">
      <w:pPr>
        <w:pStyle w:val="FootnoteText"/>
      </w:pPr>
      <w:r w:rsidRPr="0096524F">
        <w:rPr>
          <w:vertAlign w:val="superscript"/>
        </w:rPr>
        <w:footnoteRef/>
      </w:r>
      <w:r w:rsidRPr="0096524F">
        <w:t>V Secret Catalogue, Inc.</w:t>
      </w:r>
      <w:r w:rsidRPr="0096524F">
        <w:t xml:space="preserve"> </w:t>
      </w:r>
      <w:r w:rsidRPr="0096524F">
        <w:t>v.</w:t>
      </w:r>
      <w:r w:rsidRPr="0096524F">
        <w:t xml:space="preserve"> </w:t>
      </w:r>
      <w:r w:rsidRPr="0096524F">
        <w:t>Moseley, 259 F.3d 464, 476 (6th Cir.</w:t>
      </w:r>
      <w:r w:rsidRPr="0096524F">
        <w:t xml:space="preserve"> </w:t>
      </w:r>
      <w:r w:rsidRPr="0096524F">
        <w:t xml:space="preserve">2001), </w:t>
      </w:r>
      <w:r w:rsidRPr="0096524F">
        <w:rPr>
          <w:i/>
        </w:rPr>
        <w:t>rev’d</w:t>
      </w:r>
      <w:r w:rsidRPr="0096524F">
        <w:t>, 537 U.S.</w:t>
      </w:r>
      <w:r w:rsidRPr="0096524F">
        <w:t xml:space="preserve"> </w:t>
      </w:r>
      <w:r w:rsidRPr="0096524F">
        <w:t>418, 65 USPQ2d 1801 (2003);</w:t>
      </w:r>
      <w:r w:rsidRPr="0096524F">
        <w:t xml:space="preserve"> </w:t>
      </w:r>
      <w:r w:rsidRPr="0096524F">
        <w:t>Kellogg Co.</w:t>
      </w:r>
      <w:r w:rsidRPr="0096524F">
        <w:t xml:space="preserve"> </w:t>
      </w:r>
      <w:r w:rsidRPr="0096524F">
        <w:t>v.</w:t>
      </w:r>
      <w:r w:rsidRPr="0096524F">
        <w:t xml:space="preserve"> </w:t>
      </w:r>
      <w:r w:rsidRPr="0096524F">
        <w:t>Exxon Corp., 209 F.3d 562, 577 (6th Cir.</w:t>
      </w:r>
      <w:r w:rsidRPr="0096524F">
        <w:t xml:space="preserve"> </w:t>
      </w:r>
      <w:r w:rsidRPr="0096524F">
        <w:t>2000);</w:t>
      </w:r>
      <w:r w:rsidRPr="0096524F">
        <w:t xml:space="preserve"> </w:t>
      </w:r>
      <w:r w:rsidRPr="0096524F">
        <w:t>Times Mirror Magazines, Inc.</w:t>
      </w:r>
      <w:r w:rsidRPr="0096524F">
        <w:t xml:space="preserve"> </w:t>
      </w:r>
      <w:r w:rsidRPr="0096524F">
        <w:t>v.</w:t>
      </w:r>
      <w:r w:rsidRPr="0096524F">
        <w:t xml:space="preserve"> </w:t>
      </w:r>
      <w:r w:rsidRPr="0096524F">
        <w:t>Las Vegas Sports News, LLC, 212 F.3d 157, 168–69, 54 USPQ2d 1577 (3d Cir.</w:t>
      </w:r>
      <w:r w:rsidRPr="0096524F">
        <w:t xml:space="preserve"> </w:t>
      </w:r>
      <w:r w:rsidRPr="0096524F">
        <w:t xml:space="preserve">2000), </w:t>
      </w:r>
      <w:r w:rsidRPr="0096524F">
        <w:rPr>
          <w:i/>
        </w:rPr>
        <w:t>cert</w:t>
      </w:r>
      <w:r w:rsidRPr="0096524F">
        <w:t>.</w:t>
      </w:r>
      <w:r w:rsidRPr="0096524F">
        <w:t xml:space="preserve"> </w:t>
      </w:r>
      <w:r w:rsidRPr="0096524F">
        <w:rPr>
          <w:i/>
        </w:rPr>
        <w:t>denied</w:t>
      </w:r>
      <w:r w:rsidRPr="0096524F">
        <w:t>, 531 U.S.</w:t>
      </w:r>
      <w:r w:rsidRPr="0096524F">
        <w:t xml:space="preserve"> </w:t>
      </w:r>
      <w:r w:rsidRPr="0096524F">
        <w:t>1071 (2001);</w:t>
      </w:r>
      <w:r w:rsidRPr="0096524F">
        <w:t xml:space="preserve"> </w:t>
      </w:r>
      <w:r w:rsidRPr="0096524F">
        <w:t>Binney &amp; Smith v.</w:t>
      </w:r>
      <w:r w:rsidRPr="0096524F">
        <w:t xml:space="preserve"> </w:t>
      </w:r>
      <w:r w:rsidRPr="0096524F">
        <w:t>Rose Art Indus., 60 USPQ2d 2000, 2004 (E.D.</w:t>
      </w:r>
      <w:r w:rsidRPr="0096524F">
        <w:t xml:space="preserve"> </w:t>
      </w:r>
      <w:r w:rsidRPr="0096524F">
        <w:t>Pa.</w:t>
      </w:r>
      <w:r w:rsidRPr="0096524F">
        <w:t xml:space="preserve"> </w:t>
      </w:r>
      <w:r w:rsidRPr="0096524F">
        <w:t>2001);</w:t>
      </w:r>
      <w:r w:rsidRPr="0096524F">
        <w:t xml:space="preserve"> </w:t>
      </w:r>
      <w:r w:rsidRPr="0096524F">
        <w:t>McNeil Consumer Brands, Inc.</w:t>
      </w:r>
      <w:r w:rsidRPr="0096524F">
        <w:t xml:space="preserve"> </w:t>
      </w:r>
      <w:r w:rsidRPr="0096524F">
        <w:t>v.</w:t>
      </w:r>
      <w:r w:rsidRPr="0096524F">
        <w:t xml:space="preserve"> </w:t>
      </w:r>
      <w:r w:rsidRPr="0096524F">
        <w:t>U.S.</w:t>
      </w:r>
      <w:r w:rsidRPr="0096524F">
        <w:t xml:space="preserve"> </w:t>
      </w:r>
      <w:r w:rsidRPr="0096524F">
        <w:t>Dentek Corp., 116 F.</w:t>
      </w:r>
      <w:r w:rsidRPr="0096524F">
        <w:t xml:space="preserve"> </w:t>
      </w:r>
      <w:r w:rsidRPr="0096524F">
        <w:t>Supp.</w:t>
      </w:r>
      <w:r w:rsidRPr="0096524F">
        <w:t xml:space="preserve"> </w:t>
      </w:r>
      <w:r w:rsidRPr="0096524F">
        <w:t>2d 604, 607, 56 USPQ2d 1758 (E.D.</w:t>
      </w:r>
      <w:r w:rsidRPr="0096524F">
        <w:t xml:space="preserve"> </w:t>
      </w:r>
      <w:r w:rsidRPr="0096524F">
        <w:t>Pa.</w:t>
      </w:r>
      <w:r w:rsidRPr="0096524F">
        <w:t xml:space="preserve"> </w:t>
      </w:r>
      <w:r w:rsidRPr="0096524F">
        <w:t>2000).</w:t>
      </w:r>
      <w:r w:rsidRPr="0096524F">
        <w:t xml:space="preserve"> </w:t>
      </w:r>
      <w:r w:rsidRPr="0096524F">
        <w:t xml:space="preserve">The </w:t>
      </w:r>
      <w:r w:rsidRPr="0096524F">
        <w:rPr>
          <w:i/>
        </w:rPr>
        <w:t>Times Mirror</w:t>
      </w:r>
      <w:r w:rsidRPr="0096524F">
        <w:t xml:space="preserve"> case actually used both the </w:t>
      </w:r>
      <w:r w:rsidRPr="0096524F">
        <w:rPr>
          <w:i/>
        </w:rPr>
        <w:t>Nabisco</w:t>
      </w:r>
      <w:r w:rsidRPr="0096524F">
        <w:t xml:space="preserve"> factors and the </w:t>
      </w:r>
      <w:r w:rsidRPr="0096524F">
        <w:rPr>
          <w:i/>
        </w:rPr>
        <w:t>Mead Data</w:t>
      </w:r>
      <w:r w:rsidRPr="0096524F">
        <w:t xml:space="preserve"> factors.</w:t>
      </w:r>
    </w:p>
  </w:footnote>
  <w:footnote w:id="114">
    <w:p w14:paraId="44CAD597" w14:textId="55509F40" w:rsidR="0096524F" w:rsidRPr="00EB11B3" w:rsidRDefault="0096524F" w:rsidP="0096524F">
      <w:pPr>
        <w:pStyle w:val="FootnoteText"/>
      </w:pPr>
      <w:r w:rsidRPr="0096524F">
        <w:rPr>
          <w:vertAlign w:val="superscript"/>
        </w:rPr>
        <w:footnoteRef/>
      </w:r>
      <w:r w:rsidRPr="0096524F">
        <w:t>One district court, applying Texas law, used a combination of the TDRA factors and confusion factors drawn from the Second Circuit’s two tests.</w:t>
      </w:r>
      <w:r w:rsidRPr="0096524F">
        <w:t xml:space="preserve"> </w:t>
      </w:r>
      <w:r w:rsidRPr="0096524F">
        <w:t>Cottonwood Fin.</w:t>
      </w:r>
      <w:r w:rsidRPr="0096524F">
        <w:t xml:space="preserve"> </w:t>
      </w:r>
      <w:r w:rsidRPr="0096524F">
        <w:t>Ltd.</w:t>
      </w:r>
      <w:r w:rsidRPr="0096524F">
        <w:t xml:space="preserve"> </w:t>
      </w:r>
      <w:r w:rsidRPr="0096524F">
        <w:t>v.</w:t>
      </w:r>
      <w:r w:rsidRPr="0096524F">
        <w:t xml:space="preserve"> </w:t>
      </w:r>
      <w:r w:rsidRPr="0096524F">
        <w:t>The Cash Store Fin.</w:t>
      </w:r>
      <w:r w:rsidRPr="0096524F">
        <w:t xml:space="preserve"> </w:t>
      </w:r>
      <w:r w:rsidRPr="0096524F">
        <w:t>Servs., Inc., 778 F.</w:t>
      </w:r>
      <w:r w:rsidRPr="0096524F">
        <w:t xml:space="preserve"> </w:t>
      </w:r>
      <w:r w:rsidRPr="0096524F">
        <w:t>Supp.</w:t>
      </w:r>
      <w:r w:rsidRPr="0096524F">
        <w:t xml:space="preserve"> </w:t>
      </w:r>
      <w:r w:rsidRPr="0096524F">
        <w:t>2d 726, 744–49 (N.D.</w:t>
      </w:r>
      <w:r w:rsidRPr="0096524F">
        <w:t xml:space="preserve"> </w:t>
      </w:r>
      <w:r w:rsidRPr="0096524F">
        <w:t>Tex.</w:t>
      </w:r>
      <w:r w:rsidRPr="0096524F">
        <w:t xml:space="preserve"> </w:t>
      </w:r>
      <w:r w:rsidRPr="0096524F">
        <w:t>2011).</w:t>
      </w:r>
    </w:p>
  </w:footnote>
  <w:footnote w:id="115">
    <w:p w14:paraId="00775EDD" w14:textId="4DF8DBFD" w:rsidR="0096524F" w:rsidRPr="00EB11B3" w:rsidRDefault="0096524F" w:rsidP="0096524F">
      <w:pPr>
        <w:pStyle w:val="FootnoteText"/>
      </w:pPr>
      <w:r w:rsidRPr="0096524F">
        <w:rPr>
          <w:vertAlign w:val="superscript"/>
        </w:rPr>
        <w:footnoteRef/>
      </w:r>
      <w:r w:rsidRPr="0096524F">
        <w:t>Century 21 Real Estate LLC v.</w:t>
      </w:r>
      <w:r w:rsidRPr="0096524F">
        <w:t xml:space="preserve"> </w:t>
      </w:r>
      <w:r w:rsidRPr="0096524F">
        <w:t>Century Ins.</w:t>
      </w:r>
      <w:r w:rsidRPr="0096524F">
        <w:t xml:space="preserve"> </w:t>
      </w:r>
      <w:r w:rsidRPr="0096524F">
        <w:t>Group, 2007 WL 484555, at *16–18, 2007 BL 223744 (D.</w:t>
      </w:r>
      <w:r w:rsidRPr="0096524F">
        <w:t xml:space="preserve"> </w:t>
      </w:r>
      <w:r w:rsidRPr="0096524F">
        <w:t>Ariz.</w:t>
      </w:r>
      <w:r w:rsidRPr="0096524F">
        <w:t xml:space="preserve"> </w:t>
      </w:r>
      <w:r w:rsidRPr="0096524F">
        <w:t>Feb.</w:t>
      </w:r>
      <w:r w:rsidRPr="0096524F">
        <w:t xml:space="preserve"> </w:t>
      </w:r>
      <w:r w:rsidRPr="0096524F">
        <w:t xml:space="preserve">6, 2007), </w:t>
      </w:r>
      <w:r w:rsidRPr="0096524F">
        <w:rPr>
          <w:i/>
        </w:rPr>
        <w:t>aff’d</w:t>
      </w:r>
      <w:r w:rsidRPr="0096524F">
        <w:t>, 300 F.</w:t>
      </w:r>
      <w:r w:rsidRPr="0096524F">
        <w:t xml:space="preserve"> </w:t>
      </w:r>
      <w:r w:rsidRPr="0096524F">
        <w:t>App’x.</w:t>
      </w:r>
      <w:r w:rsidRPr="0096524F">
        <w:t xml:space="preserve"> </w:t>
      </w:r>
      <w:r w:rsidRPr="0096524F">
        <w:t>527 (9th Cir.</w:t>
      </w:r>
      <w:r w:rsidRPr="0096524F">
        <w:t xml:space="preserve"> </w:t>
      </w:r>
      <w:r w:rsidRPr="0096524F">
        <w:t>2008).</w:t>
      </w:r>
    </w:p>
  </w:footnote>
  <w:footnote w:id="116">
    <w:p w14:paraId="3BFDF802" w14:textId="5F1C49FB"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The issue of similarity with regard to blurring is discussed in §II.D.5., below.</w:t>
      </w:r>
    </w:p>
  </w:footnote>
  <w:footnote w:id="117">
    <w:p w14:paraId="6E733029" w14:textId="2B2B2A37" w:rsidR="0096524F" w:rsidRPr="00EB11B3" w:rsidRDefault="0096524F" w:rsidP="0096524F">
      <w:pPr>
        <w:pStyle w:val="FootnoteText"/>
      </w:pPr>
      <w:r w:rsidRPr="0096524F">
        <w:rPr>
          <w:vertAlign w:val="superscript"/>
        </w:rPr>
        <w:footnoteRef/>
      </w:r>
      <w:r w:rsidRPr="0096524F">
        <w:t>507 F.3d 252, 84 USPQ2d 1969 (4th Cir.</w:t>
      </w:r>
      <w:r w:rsidRPr="0096524F">
        <w:t xml:space="preserve"> </w:t>
      </w:r>
      <w:r w:rsidRPr="0096524F">
        <w:t>2007).</w:t>
      </w:r>
    </w:p>
  </w:footnote>
  <w:footnote w:id="118">
    <w:p w14:paraId="4F6181E6" w14:textId="033AE06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256.</w:t>
      </w:r>
      <w:r w:rsidRPr="0096524F">
        <w:t xml:space="preserve"> </w:t>
      </w:r>
      <w:r w:rsidRPr="0096524F">
        <w:t xml:space="preserve">Louis Vuitton also produces a line of expensive pet accessories, </w:t>
      </w:r>
      <w:r w:rsidRPr="0096524F">
        <w:rPr>
          <w:i/>
        </w:rPr>
        <w:t>id</w:t>
      </w:r>
      <w:r w:rsidRPr="0096524F">
        <w:t>.</w:t>
      </w:r>
      <w:r w:rsidRPr="0096524F">
        <w:t xml:space="preserve"> </w:t>
      </w:r>
      <w:r w:rsidRPr="0096524F">
        <w:t>at 258, but the court did not find this to be significant.</w:t>
      </w:r>
    </w:p>
  </w:footnote>
  <w:footnote w:id="119">
    <w:p w14:paraId="38B7E8DB" w14:textId="5C3CAF47"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266–67.</w:t>
      </w:r>
      <w:r w:rsidRPr="0096524F">
        <w:t xml:space="preserve"> </w:t>
      </w:r>
      <w:r w:rsidRPr="0096524F">
        <w:t>As the court also found, defendant could not avail itself of the “fair use” exclusion for parody under §43(c)(3)(A), because defendant used the parody as a trademark for its products.</w:t>
      </w:r>
      <w:r w:rsidRPr="0096524F">
        <w:t xml:space="preserve"> </w:t>
      </w:r>
      <w:r w:rsidRPr="0096524F">
        <w:rPr>
          <w:i/>
        </w:rPr>
        <w:t>Id</w:t>
      </w:r>
      <w:r w:rsidRPr="0096524F">
        <w:t>.</w:t>
      </w:r>
      <w:r w:rsidRPr="0096524F">
        <w:t xml:space="preserve"> </w:t>
      </w:r>
      <w:r w:rsidRPr="0096524F">
        <w:t>at 266.</w:t>
      </w:r>
    </w:p>
  </w:footnote>
  <w:footnote w:id="120">
    <w:p w14:paraId="79ABAC9A" w14:textId="1F1D13B2" w:rsidR="0096524F" w:rsidRPr="00EB11B3" w:rsidRDefault="0096524F" w:rsidP="0096524F">
      <w:pPr>
        <w:pStyle w:val="FootnoteText"/>
      </w:pPr>
      <w:r w:rsidRPr="0096524F">
        <w:rPr>
          <w:vertAlign w:val="superscript"/>
        </w:rPr>
        <w:footnoteRef/>
      </w:r>
      <w:r w:rsidRPr="0096524F">
        <w:rPr>
          <w:i/>
        </w:rPr>
        <w:t>See id</w:t>
      </w:r>
      <w:r w:rsidRPr="0096524F">
        <w:t>.</w:t>
      </w:r>
      <w:r w:rsidRPr="0096524F">
        <w:t xml:space="preserve"> </w:t>
      </w:r>
      <w:r w:rsidRPr="0096524F">
        <w:t>at 267.</w:t>
      </w:r>
    </w:p>
  </w:footnote>
  <w:footnote w:id="121">
    <w:p w14:paraId="18B7AE4D" w14:textId="67494A65"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(emphasis added).</w:t>
      </w:r>
      <w:r w:rsidRPr="0096524F">
        <w:t xml:space="preserve"> </w:t>
      </w:r>
      <w:r w:rsidRPr="0096524F">
        <w:t xml:space="preserve">The court went on to say that “this might not be true if the parody is so similar to the famous mark that it likely could be construed as actual use of the famous mark itself.” </w:t>
      </w:r>
      <w:r w:rsidRPr="0096524F">
        <w:rPr>
          <w:i/>
        </w:rPr>
        <w:t>Id</w:t>
      </w:r>
      <w:r w:rsidRPr="0096524F">
        <w:t>.</w:t>
      </w:r>
      <w:r w:rsidRPr="0096524F">
        <w:t xml:space="preserve"> </w:t>
      </w:r>
      <w:r w:rsidRPr="0096524F">
        <w:t>at 268.</w:t>
      </w:r>
      <w:r w:rsidRPr="0096524F">
        <w:t xml:space="preserve"> </w:t>
      </w:r>
      <w:r w:rsidRPr="0096524F">
        <w:t>It is unclear whether the court thought that would trigger confusion (not necessarily dilution), whether a parody using the actual mark would always be deemed unsuccessful, or whether a successful parody using the actual mark somehow is thought to create blurring where a successful one not using the actual mark would not.</w:t>
      </w:r>
    </w:p>
  </w:footnote>
  <w:footnote w:id="122">
    <w:p w14:paraId="5E3FC6CE" w14:textId="01B80559"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267.</w:t>
      </w:r>
    </w:p>
  </w:footnote>
  <w:footnote w:id="123">
    <w:p w14:paraId="62878343" w14:textId="6F056473"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268.</w:t>
      </w:r>
      <w:r w:rsidRPr="0096524F">
        <w:t xml:space="preserve"> </w:t>
      </w:r>
      <w:r w:rsidRPr="0096524F">
        <w:t>The court also found no dilution by tarnishment.</w:t>
      </w:r>
      <w:r w:rsidRPr="0096524F">
        <w:t xml:space="preserve"> </w:t>
      </w:r>
      <w:r w:rsidRPr="0096524F">
        <w:rPr>
          <w:i/>
        </w:rPr>
        <w:t>Id</w:t>
      </w:r>
      <w:r w:rsidRPr="0096524F">
        <w:t>.</w:t>
      </w:r>
      <w:r w:rsidRPr="0096524F">
        <w:t xml:space="preserve"> </w:t>
      </w:r>
      <w:r w:rsidRPr="0096524F">
        <w:t>at 268–69.</w:t>
      </w:r>
      <w:r w:rsidRPr="0096524F">
        <w:t xml:space="preserve"> </w:t>
      </w:r>
      <w:r w:rsidRPr="0096524F">
        <w:t>This is discussed below, §II.E.2.c.</w:t>
      </w:r>
      <w:r w:rsidRPr="0096524F">
        <w:t xml:space="preserve"> </w:t>
      </w:r>
      <w:r w:rsidRPr="0096524F">
        <w:rPr>
          <w:i/>
        </w:rPr>
        <w:t>Louis Vuitton</w:t>
      </w:r>
      <w:r w:rsidRPr="0096524F">
        <w:t xml:space="preserve"> was distinguished in </w:t>
      </w:r>
      <w:r w:rsidRPr="0096524F">
        <w:rPr>
          <w:i/>
        </w:rPr>
        <w:t>Hershey Co</w:t>
      </w:r>
      <w:r w:rsidRPr="0096524F">
        <w:t>.</w:t>
      </w:r>
      <w:r w:rsidRPr="0096524F">
        <w:t xml:space="preserve"> </w:t>
      </w:r>
      <w:r w:rsidRPr="0096524F">
        <w:rPr>
          <w:i/>
        </w:rPr>
        <w:t>v</w:t>
      </w:r>
      <w:r w:rsidRPr="0096524F">
        <w:t>.</w:t>
      </w:r>
      <w:r w:rsidRPr="0096524F">
        <w:t xml:space="preserve"> </w:t>
      </w:r>
      <w:r w:rsidRPr="0096524F">
        <w:rPr>
          <w:i/>
        </w:rPr>
        <w:t>Art Van Furniture, Inc</w:t>
      </w:r>
      <w:r w:rsidRPr="0096524F">
        <w:t>., 2008 WL 4724756, 2008 BL 241740 (E.D.</w:t>
      </w:r>
      <w:r w:rsidRPr="0096524F">
        <w:t xml:space="preserve"> </w:t>
      </w:r>
      <w:r w:rsidRPr="0096524F">
        <w:t>Mich.</w:t>
      </w:r>
      <w:r w:rsidRPr="0096524F">
        <w:t xml:space="preserve"> </w:t>
      </w:r>
      <w:r w:rsidRPr="0096524F">
        <w:t>Oct.</w:t>
      </w:r>
      <w:r w:rsidRPr="0096524F">
        <w:t xml:space="preserve"> </w:t>
      </w:r>
      <w:r w:rsidRPr="0096524F">
        <w:t>24, 2008), where the court found that a “couch bar” used by defendant was likely to dilute Hershey’s mark of a “candy bar” sticking out from an open wrapper.</w:t>
      </w:r>
      <w:r w:rsidRPr="0096524F">
        <w:t xml:space="preserve"> </w:t>
      </w:r>
      <w:r w:rsidRPr="0096524F">
        <w:t>The court said that defendant’s image “may be funny, but it is not biting;</w:t>
      </w:r>
      <w:r w:rsidRPr="0096524F">
        <w:t xml:space="preserve"> </w:t>
      </w:r>
      <w:r w:rsidRPr="0096524F">
        <w:t xml:space="preserve">its resemblance to Plaintiff’s famous trade dress is too muted to poke fun, yet too transparent to evoke a generic candy bar.” </w:t>
      </w:r>
      <w:r w:rsidRPr="0096524F">
        <w:rPr>
          <w:i/>
        </w:rPr>
        <w:t>Id</w:t>
      </w:r>
      <w:r w:rsidRPr="0096524F">
        <w:t>.</w:t>
      </w:r>
      <w:r w:rsidRPr="0096524F">
        <w:t xml:space="preserve"> </w:t>
      </w:r>
      <w:r w:rsidRPr="0096524F">
        <w:t>at *15.</w:t>
      </w:r>
      <w:r w:rsidRPr="0096524F">
        <w:t xml:space="preserve"> </w:t>
      </w:r>
      <w:r w:rsidRPr="0096524F">
        <w:t xml:space="preserve">In another parody dog toy case, </w:t>
      </w:r>
      <w:r w:rsidRPr="0096524F">
        <w:rPr>
          <w:i/>
        </w:rPr>
        <w:t>Anheuser-Busch, Inc</w:t>
      </w:r>
      <w:r w:rsidRPr="0096524F">
        <w:t>.</w:t>
      </w:r>
      <w:r w:rsidRPr="0096524F">
        <w:t xml:space="preserve"> </w:t>
      </w:r>
      <w:r w:rsidRPr="0096524F">
        <w:rPr>
          <w:i/>
        </w:rPr>
        <w:t>v</w:t>
      </w:r>
      <w:r w:rsidRPr="0096524F">
        <w:t>.</w:t>
      </w:r>
      <w:r w:rsidRPr="0096524F">
        <w:t xml:space="preserve"> </w:t>
      </w:r>
      <w:r w:rsidRPr="0096524F">
        <w:rPr>
          <w:i/>
        </w:rPr>
        <w:t>VIP Products, LLC</w:t>
      </w:r>
      <w:r w:rsidRPr="0096524F">
        <w:t>, 666 F.</w:t>
      </w:r>
      <w:r w:rsidRPr="0096524F">
        <w:t xml:space="preserve"> </w:t>
      </w:r>
      <w:r w:rsidRPr="0096524F">
        <w:t>Supp.</w:t>
      </w:r>
      <w:r w:rsidRPr="0096524F">
        <w:t xml:space="preserve"> </w:t>
      </w:r>
      <w:r w:rsidRPr="0096524F">
        <w:t>2d 974 (E.D.</w:t>
      </w:r>
      <w:r w:rsidRPr="0096524F">
        <w:t xml:space="preserve"> </w:t>
      </w:r>
      <w:r w:rsidRPr="0096524F">
        <w:t>Mo.</w:t>
      </w:r>
      <w:r w:rsidRPr="0096524F">
        <w:t xml:space="preserve"> </w:t>
      </w:r>
      <w:r w:rsidRPr="0096524F">
        <w:t>2008), the court denied claims of dilution by blurring and dilution by tarnishment brought against defendant’s use of a Buttwiper dog squeeze toy with a facsimile of the Budweiser beer label (substituting Buttwiper) on the toy.</w:t>
      </w:r>
      <w:r w:rsidRPr="0096524F">
        <w:t xml:space="preserve"> </w:t>
      </w:r>
      <w:r w:rsidRPr="0096524F">
        <w:t>However, the court’s analysis was flawed;</w:t>
      </w:r>
      <w:r w:rsidRPr="0096524F">
        <w:t xml:space="preserve"> </w:t>
      </w:r>
      <w:r w:rsidRPr="0096524F">
        <w:t>it insisted on evidence of actual dilution, apparently ignoring the critical change in the statute wrought by the TDRA.</w:t>
      </w:r>
      <w:r w:rsidRPr="0096524F">
        <w:t xml:space="preserve"> </w:t>
      </w:r>
      <w:r w:rsidRPr="0096524F">
        <w:rPr>
          <w:i/>
        </w:rPr>
        <w:t>Id</w:t>
      </w:r>
      <w:r w:rsidRPr="0096524F">
        <w:t>.</w:t>
      </w:r>
      <w:r w:rsidRPr="0096524F">
        <w:t xml:space="preserve"> </w:t>
      </w:r>
      <w:r w:rsidRPr="0096524F">
        <w:t>at 987.</w:t>
      </w:r>
    </w:p>
  </w:footnote>
  <w:footnote w:id="124">
    <w:p w14:paraId="549E5DAC" w14:textId="6FC824C0" w:rsidR="0096524F" w:rsidRPr="00EB11B3" w:rsidRDefault="0096524F" w:rsidP="0096524F">
      <w:pPr>
        <w:pStyle w:val="FootnoteText"/>
      </w:pPr>
      <w:r w:rsidRPr="0096524F">
        <w:rPr>
          <w:vertAlign w:val="superscript"/>
        </w:rPr>
        <w:footnoteRef/>
      </w:r>
      <w:r w:rsidRPr="0096524F">
        <w:t>Louis Vuitton Malletier v.</w:t>
      </w:r>
      <w:r w:rsidRPr="0096524F">
        <w:t xml:space="preserve"> </w:t>
      </w:r>
      <w:r w:rsidRPr="0096524F">
        <w:t>Dooney &amp; Bourke, Inc., 561 F.</w:t>
      </w:r>
      <w:r w:rsidRPr="0096524F">
        <w:t xml:space="preserve"> </w:t>
      </w:r>
      <w:r w:rsidRPr="0096524F">
        <w:t>Supp.</w:t>
      </w:r>
      <w:r w:rsidRPr="0096524F">
        <w:t xml:space="preserve"> </w:t>
      </w:r>
      <w:r w:rsidRPr="0096524F">
        <w:t>2d 368, 91 USPQ2d 1347 (S.D.N.Y.</w:t>
      </w:r>
      <w:r w:rsidRPr="0096524F">
        <w:t xml:space="preserve"> </w:t>
      </w:r>
      <w:r w:rsidRPr="0096524F">
        <w:t>2008).</w:t>
      </w:r>
    </w:p>
  </w:footnote>
  <w:footnote w:id="125">
    <w:p w14:paraId="3B12F606" w14:textId="6A4DE8BF" w:rsidR="0096524F" w:rsidRPr="00EB11B3" w:rsidRDefault="0096524F" w:rsidP="0096524F">
      <w:pPr>
        <w:pStyle w:val="FootnoteText"/>
      </w:pPr>
      <w:r w:rsidRPr="0096524F">
        <w:rPr>
          <w:vertAlign w:val="superscript"/>
        </w:rPr>
        <w:footnoteRef/>
      </w:r>
      <w:r w:rsidRPr="0096524F">
        <w:t>See below, §§II.D.5 and III.A, for a discussion of the role of similarity.</w:t>
      </w:r>
    </w:p>
  </w:footnote>
  <w:footnote w:id="126">
    <w:p w14:paraId="42DA7393" w14:textId="51AAC4DE" w:rsidR="0096524F" w:rsidRPr="00EB11B3" w:rsidRDefault="0096524F" w:rsidP="0096524F">
      <w:pPr>
        <w:pStyle w:val="FootnoteText"/>
      </w:pPr>
      <w:r w:rsidRPr="0096524F">
        <w:rPr>
          <w:vertAlign w:val="superscript"/>
        </w:rPr>
        <w:footnoteRef/>
      </w:r>
      <w:r w:rsidRPr="0096524F">
        <w:t>The actual dilution standard was used because Louis Vuitton sought damages and the activity in question occurred prior to the effective date of the TDRA.</w:t>
      </w:r>
    </w:p>
  </w:footnote>
  <w:footnote w:id="127">
    <w:p w14:paraId="232CB8AB" w14:textId="32FF8D84" w:rsidR="0096524F" w:rsidRPr="00EB11B3" w:rsidRDefault="0096524F" w:rsidP="0096524F">
      <w:pPr>
        <w:pStyle w:val="FootnoteText"/>
      </w:pPr>
      <w:r w:rsidRPr="0096524F">
        <w:rPr>
          <w:vertAlign w:val="superscript"/>
        </w:rPr>
        <w:footnoteRef/>
      </w:r>
      <w:r w:rsidRPr="0096524F">
        <w:t>561 F.</w:t>
      </w:r>
      <w:r w:rsidRPr="0096524F">
        <w:t xml:space="preserve"> </w:t>
      </w:r>
      <w:r w:rsidRPr="0096524F">
        <w:t>Supp.</w:t>
      </w:r>
      <w:r w:rsidRPr="0096524F">
        <w:t xml:space="preserve"> </w:t>
      </w:r>
      <w:r w:rsidRPr="0096524F">
        <w:t>2d at 392 (citing Moseley v.</w:t>
      </w:r>
      <w:r w:rsidRPr="0096524F">
        <w:t xml:space="preserve"> </w:t>
      </w:r>
      <w:r w:rsidRPr="0096524F">
        <w:t>V Secret Catalogue, Inc., 537 U.S.</w:t>
      </w:r>
      <w:r w:rsidRPr="0096524F">
        <w:t xml:space="preserve"> </w:t>
      </w:r>
      <w:r w:rsidRPr="0096524F">
        <w:t>418, 433, 65 USPQ2d 1801 (2003)).</w:t>
      </w:r>
      <w:r w:rsidRPr="0096524F">
        <w:t xml:space="preserve"> </w:t>
      </w:r>
      <w:r w:rsidRPr="0096524F">
        <w:rPr>
          <w:i/>
        </w:rPr>
        <w:t>See</w:t>
      </w:r>
      <w:r w:rsidRPr="0096524F">
        <w:t xml:space="preserve"> Volkswagen AG v.</w:t>
      </w:r>
      <w:r w:rsidRPr="0096524F">
        <w:t xml:space="preserve"> </w:t>
      </w:r>
      <w:r w:rsidRPr="0096524F">
        <w:t>Dorling Kindersley Publ’g, Inc., 614 F.</w:t>
      </w:r>
      <w:r w:rsidRPr="0096524F">
        <w:t xml:space="preserve"> </w:t>
      </w:r>
      <w:r w:rsidRPr="0096524F">
        <w:t>Supp.</w:t>
      </w:r>
      <w:r w:rsidRPr="0096524F">
        <w:t xml:space="preserve"> </w:t>
      </w:r>
      <w:r w:rsidRPr="0096524F">
        <w:t>2d 793, 808 (E.D.</w:t>
      </w:r>
      <w:r w:rsidRPr="0096524F">
        <w:t xml:space="preserve"> </w:t>
      </w:r>
      <w:r w:rsidRPr="0096524F">
        <w:t>Mich.</w:t>
      </w:r>
      <w:r w:rsidRPr="0096524F">
        <w:t xml:space="preserve"> </w:t>
      </w:r>
      <w:r w:rsidRPr="0096524F">
        <w:t xml:space="preserve">2009) (mental association not sufficient to show dilution) (citing </w:t>
      </w:r>
      <w:r w:rsidRPr="0096524F">
        <w:rPr>
          <w:i/>
        </w:rPr>
        <w:t>Moseley</w:t>
      </w:r>
      <w:r w:rsidRPr="0096524F">
        <w:t>).</w:t>
      </w:r>
    </w:p>
  </w:footnote>
  <w:footnote w:id="128">
    <w:p w14:paraId="6BD17BD4" w14:textId="13472AD1" w:rsidR="0096524F" w:rsidRPr="00EB11B3" w:rsidRDefault="0096524F" w:rsidP="0096524F">
      <w:pPr>
        <w:pStyle w:val="FootnoteText"/>
      </w:pPr>
      <w:r w:rsidRPr="0096524F">
        <w:rPr>
          <w:vertAlign w:val="superscript"/>
        </w:rPr>
        <w:footnoteRef/>
      </w:r>
      <w:r w:rsidRPr="0096524F">
        <w:t>561 F.</w:t>
      </w:r>
      <w:r w:rsidRPr="0096524F">
        <w:t xml:space="preserve"> </w:t>
      </w:r>
      <w:r w:rsidRPr="0096524F">
        <w:t>Supp.</w:t>
      </w:r>
      <w:r w:rsidRPr="0096524F">
        <w:t xml:space="preserve"> </w:t>
      </w:r>
      <w:r w:rsidRPr="0096524F">
        <w:t>2d at 392.</w:t>
      </w:r>
      <w:r w:rsidRPr="0096524F">
        <w:t xml:space="preserve"> </w:t>
      </w:r>
      <w:r w:rsidRPr="0096524F">
        <w:t>Unfortunately, the court did not distinguish between the popularity of Louis Vuitton in general and the popularity of the Monogram Multicolore mark.</w:t>
      </w:r>
      <w:r w:rsidRPr="0096524F">
        <w:t xml:space="preserve"> </w:t>
      </w:r>
      <w:r w:rsidRPr="0096524F">
        <w:t>Perhaps this was because the evidence introduced did not permit such a distinction.</w:t>
      </w:r>
    </w:p>
  </w:footnote>
  <w:footnote w:id="129">
    <w:p w14:paraId="78635EAA" w14:textId="631813C8" w:rsidR="0096524F" w:rsidRPr="00EB11B3" w:rsidRDefault="0096524F" w:rsidP="0096524F">
      <w:pPr>
        <w:pStyle w:val="FootnoteText"/>
      </w:pPr>
      <w:r w:rsidRPr="0096524F">
        <w:rPr>
          <w:vertAlign w:val="superscript"/>
        </w:rPr>
        <w:footnoteRef/>
      </w:r>
      <w:r w:rsidRPr="0096524F">
        <w:t>2007 U.S.</w:t>
      </w:r>
      <w:r w:rsidRPr="0096524F">
        <w:t xml:space="preserve"> </w:t>
      </w:r>
      <w:r w:rsidRPr="0096524F">
        <w:t>Dist.</w:t>
      </w:r>
      <w:r w:rsidRPr="0096524F">
        <w:t xml:space="preserve"> </w:t>
      </w:r>
      <w:r w:rsidRPr="0096524F">
        <w:t>LEXIS 90487 (C.D.</w:t>
      </w:r>
      <w:r w:rsidRPr="0096524F">
        <w:t xml:space="preserve"> </w:t>
      </w:r>
      <w:r w:rsidRPr="0096524F">
        <w:t>Cal.</w:t>
      </w:r>
      <w:r w:rsidRPr="0096524F">
        <w:t xml:space="preserve"> </w:t>
      </w:r>
      <w:r w:rsidRPr="0096524F">
        <w:t>Sept.</w:t>
      </w:r>
      <w:r w:rsidRPr="0096524F">
        <w:t xml:space="preserve"> </w:t>
      </w:r>
      <w:r w:rsidRPr="0096524F">
        <w:t>20, 2007).</w:t>
      </w:r>
    </w:p>
  </w:footnote>
  <w:footnote w:id="130">
    <w:p w14:paraId="6AAC2E1C" w14:textId="6C1D558C" w:rsidR="0096524F" w:rsidRPr="00EB11B3" w:rsidRDefault="0096524F" w:rsidP="0096524F">
      <w:pPr>
        <w:pStyle w:val="FootnoteText"/>
      </w:pPr>
      <w:r w:rsidRPr="0096524F">
        <w:rPr>
          <w:vertAlign w:val="superscript"/>
        </w:rPr>
        <w:footnoteRef/>
      </w:r>
      <w:r w:rsidRPr="0096524F">
        <w:t>Nissan Computer is owned by a Mr.</w:t>
      </w:r>
      <w:r w:rsidRPr="0096524F">
        <w:t xml:space="preserve"> </w:t>
      </w:r>
      <w:r w:rsidRPr="0096524F">
        <w:t>Uzi Nissan.</w:t>
      </w:r>
    </w:p>
  </w:footnote>
  <w:footnote w:id="131">
    <w:p w14:paraId="3D5E02C2" w14:textId="6120982E" w:rsidR="0096524F" w:rsidRPr="00EB11B3" w:rsidRDefault="0096524F" w:rsidP="0096524F">
      <w:pPr>
        <w:pStyle w:val="FootnoteText"/>
      </w:pPr>
      <w:r w:rsidRPr="0096524F">
        <w:rPr>
          <w:vertAlign w:val="superscript"/>
        </w:rPr>
        <w:footnoteRef/>
      </w:r>
      <w:r w:rsidRPr="0096524F">
        <w:t>In an earlier opinion, the court found that Nissan Computer’s acceptance of automobile-related advertising on its Web site constituted infringement.</w:t>
      </w:r>
      <w:r w:rsidRPr="0096524F">
        <w:t xml:space="preserve"> </w:t>
      </w:r>
      <w:r w:rsidRPr="0096524F">
        <w:rPr>
          <w:i/>
        </w:rPr>
        <w:t>See</w:t>
      </w:r>
      <w:r w:rsidRPr="0096524F">
        <w:t xml:space="preserve"> </w:t>
      </w:r>
      <w:r w:rsidRPr="0096524F">
        <w:rPr>
          <w:i/>
        </w:rPr>
        <w:t>id</w:t>
      </w:r>
      <w:r w:rsidRPr="0096524F">
        <w:t>.</w:t>
      </w:r>
      <w:r w:rsidRPr="0096524F">
        <w:t xml:space="preserve"> </w:t>
      </w:r>
      <w:r w:rsidRPr="0096524F">
        <w:t>at *12, *27.</w:t>
      </w:r>
      <w:r w:rsidRPr="0096524F">
        <w:t xml:space="preserve"> </w:t>
      </w:r>
      <w:r w:rsidRPr="0096524F">
        <w:t>That ruling was affirmed by the Ninth Circuit.</w:t>
      </w:r>
      <w:r w:rsidRPr="0096524F">
        <w:t xml:space="preserve"> </w:t>
      </w:r>
      <w:r w:rsidRPr="0096524F">
        <w:t>An earlier opinion also found dilution, but that ruling was reversed by the Ninth Circuit and the case was remanded.</w:t>
      </w:r>
      <w:r w:rsidRPr="0096524F">
        <w:t xml:space="preserve"> </w:t>
      </w:r>
      <w:r w:rsidRPr="0096524F">
        <w:rPr>
          <w:i/>
        </w:rPr>
        <w:t>Id</w:t>
      </w:r>
      <w:r w:rsidRPr="0096524F">
        <w:t>.</w:t>
      </w:r>
      <w:r w:rsidRPr="0096524F">
        <w:t xml:space="preserve"> </w:t>
      </w:r>
      <w:r w:rsidRPr="0096524F">
        <w:t>at *28.</w:t>
      </w:r>
    </w:p>
  </w:footnote>
  <w:footnote w:id="132">
    <w:p w14:paraId="30E59256" w14:textId="093C3C2A" w:rsidR="0096524F" w:rsidRPr="00EB11B3" w:rsidRDefault="0096524F" w:rsidP="0096524F">
      <w:pPr>
        <w:pStyle w:val="FootnoteText"/>
      </w:pPr>
      <w:r w:rsidRPr="0096524F">
        <w:rPr>
          <w:vertAlign w:val="superscript"/>
        </w:rPr>
        <w:footnoteRef/>
      </w:r>
      <w:r w:rsidRPr="0096524F">
        <w:t>The TDRA requires that the mark be famous before the second use begins.</w:t>
      </w:r>
    </w:p>
  </w:footnote>
  <w:footnote w:id="133">
    <w:p w14:paraId="555950C9" w14:textId="3A7B0071"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*29 n.10.</w:t>
      </w:r>
    </w:p>
  </w:footnote>
  <w:footnote w:id="134">
    <w:p w14:paraId="53140B8C" w14:textId="1BCCBFD3"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*39.</w:t>
      </w:r>
    </w:p>
  </w:footnote>
  <w:footnote w:id="135">
    <w:p w14:paraId="34E6167D" w14:textId="18E7D427"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*40.</w:t>
      </w:r>
    </w:p>
  </w:footnote>
  <w:footnote w:id="136">
    <w:p w14:paraId="02FB1724" w14:textId="10C28F1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*41–42.</w:t>
      </w:r>
    </w:p>
  </w:footnote>
  <w:footnote w:id="137">
    <w:p w14:paraId="5DC7EAC3" w14:textId="12F95F8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*42–43.</w:t>
      </w:r>
    </w:p>
  </w:footnote>
  <w:footnote w:id="138">
    <w:p w14:paraId="1979FBF6" w14:textId="03D24132" w:rsidR="0096524F" w:rsidRPr="00EB11B3" w:rsidRDefault="0096524F" w:rsidP="0096524F">
      <w:pPr>
        <w:pStyle w:val="FootnoteText"/>
      </w:pPr>
      <w:r w:rsidRPr="0096524F">
        <w:rPr>
          <w:vertAlign w:val="superscript"/>
        </w:rPr>
        <w:footnoteRef/>
      </w:r>
      <w:r w:rsidRPr="0096524F">
        <w:t>Although most of Nissan Computer’s uses appeared not to be exploitative, its brief placement of auto-related advertising on its Web site (subsequently enjoined by the court) was seen as predatory, balancing out its good faith.</w:t>
      </w:r>
      <w:r w:rsidRPr="0096524F">
        <w:t xml:space="preserve"> </w:t>
      </w:r>
      <w:r w:rsidRPr="0096524F">
        <w:rPr>
          <w:i/>
        </w:rPr>
        <w:t>Id</w:t>
      </w:r>
      <w:r w:rsidRPr="0096524F">
        <w:t>.</w:t>
      </w:r>
      <w:r w:rsidRPr="0096524F">
        <w:t xml:space="preserve"> </w:t>
      </w:r>
      <w:r w:rsidRPr="0096524F">
        <w:t>at *44.</w:t>
      </w:r>
    </w:p>
  </w:footnote>
  <w:footnote w:id="139">
    <w:p w14:paraId="2A7AAA2A" w14:textId="341BC068" w:rsidR="0096524F" w:rsidRPr="00EB11B3" w:rsidRDefault="0096524F" w:rsidP="0096524F">
      <w:pPr>
        <w:pStyle w:val="FootnoteText"/>
      </w:pPr>
      <w:r w:rsidRPr="0096524F">
        <w:rPr>
          <w:vertAlign w:val="superscript"/>
        </w:rPr>
        <w:footnoteRef/>
      </w:r>
      <w:r w:rsidRPr="0096524F">
        <w:t>In another potentially significant statement, the court asserted that “there is no authority for</w:t>
      </w:r>
      <w:r w:rsidRPr="0096524F">
        <w:t xml:space="preserve"> </w:t>
      </w:r>
      <w:r w:rsidRPr="0096524F">
        <w:t>…</w:t>
      </w:r>
      <w:r w:rsidRPr="0096524F">
        <w:t xml:space="preserve"> </w:t>
      </w:r>
      <w:r w:rsidRPr="0096524F">
        <w:t>a per se dilution rule” based on another’s registration of a famous mark as a domain name.</w:t>
      </w:r>
      <w:r w:rsidRPr="0096524F">
        <w:t xml:space="preserve"> </w:t>
      </w:r>
      <w:r w:rsidRPr="0096524F">
        <w:rPr>
          <w:i/>
        </w:rPr>
        <w:t>Id</w:t>
      </w:r>
      <w:r w:rsidRPr="0096524F">
        <w:t>.</w:t>
      </w:r>
      <w:r w:rsidRPr="0096524F">
        <w:t xml:space="preserve"> </w:t>
      </w:r>
      <w:r w:rsidRPr="0096524F">
        <w:t>at *45 n.16.</w:t>
      </w:r>
      <w:r w:rsidRPr="0096524F">
        <w:t xml:space="preserve"> </w:t>
      </w:r>
      <w:r w:rsidRPr="0096524F">
        <w:t>This issue is discussed below, §II.H.2.</w:t>
      </w:r>
    </w:p>
  </w:footnote>
  <w:footnote w:id="140">
    <w:p w14:paraId="57EC6B3B" w14:textId="4F52486A"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*47.</w:t>
      </w:r>
      <w:r w:rsidRPr="0096524F">
        <w:t xml:space="preserve"> </w:t>
      </w:r>
      <w:r w:rsidRPr="0096524F">
        <w:t>However, the court’s apparent assumption that a user accidentally encountering the Nissan Computer site would not “associate” it with Nissan Motor may reflect an inexact understanding of “association.” Association in the blurring context connotes a “calling to mind,” not necessarily confusion.</w:t>
      </w:r>
      <w:r w:rsidRPr="0096524F">
        <w:t xml:space="preserve"> </w:t>
      </w:r>
      <w:r w:rsidRPr="0096524F">
        <w:t xml:space="preserve">Association is a </w:t>
      </w:r>
      <w:r w:rsidRPr="0096524F">
        <w:rPr>
          <w:i/>
        </w:rPr>
        <w:t>necessary</w:t>
      </w:r>
      <w:r w:rsidRPr="0096524F">
        <w:t xml:space="preserve"> part of blurring, but it is not sufficient.</w:t>
      </w:r>
      <w:r w:rsidRPr="0096524F">
        <w:t xml:space="preserve"> </w:t>
      </w:r>
      <w:r w:rsidRPr="0096524F">
        <w:t>Blurring requires an association that impairs the distinctiveness of the famous mark.</w:t>
      </w:r>
      <w:r w:rsidRPr="0096524F">
        <w:t xml:space="preserve"> </w:t>
      </w:r>
      <w:r w:rsidRPr="0096524F">
        <w:t>Not all associations will cause such harm.</w:t>
      </w:r>
      <w:r w:rsidRPr="0096524F">
        <w:t xml:space="preserve"> </w:t>
      </w:r>
      <w:r w:rsidRPr="0096524F">
        <w:t>The court may have believed that the kind of association triggered by landing on Nissan Computer’s site would not cause any harm to Nissan Motor’s distinctiveness.</w:t>
      </w:r>
    </w:p>
  </w:footnote>
  <w:footnote w:id="141">
    <w:p w14:paraId="16883BE1" w14:textId="22B0DE48"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*48.</w:t>
      </w:r>
    </w:p>
  </w:footnote>
  <w:footnote w:id="142">
    <w:p w14:paraId="1B163DE5" w14:textId="764C267A" w:rsidR="0096524F" w:rsidRPr="00882ED4" w:rsidRDefault="0096524F" w:rsidP="0096524F">
      <w:pPr>
        <w:pStyle w:val="FootnoteText"/>
        <w:rPr>
          <w:lang w:val="da-DK"/>
        </w:rPr>
      </w:pPr>
      <w:r w:rsidRPr="0096524F">
        <w:rPr>
          <w:vertAlign w:val="superscript"/>
        </w:rPr>
        <w:footnoteRef/>
      </w:r>
      <w:r w:rsidRPr="0096524F">
        <w:rPr>
          <w:i/>
        </w:rPr>
        <w:t>See id</w:t>
      </w:r>
      <w:r w:rsidRPr="0096524F">
        <w:t>.</w:t>
      </w:r>
      <w:r w:rsidRPr="0096524F">
        <w:t xml:space="preserve"> </w:t>
      </w:r>
      <w:r w:rsidRPr="0096524F">
        <w:t>at *54–55.</w:t>
      </w:r>
    </w:p>
  </w:footnote>
  <w:footnote w:id="143">
    <w:p w14:paraId="321383B3" w14:textId="626D0A9B"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*49–51.</w:t>
      </w:r>
    </w:p>
  </w:footnote>
  <w:footnote w:id="144">
    <w:p w14:paraId="34E17575" w14:textId="155A6579"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 xml:space="preserve">at *51 n.20 (noting that the Ninth Circuit had characterized </w:t>
      </w:r>
      <w:r w:rsidRPr="0096524F">
        <w:rPr>
          <w:i/>
        </w:rPr>
        <w:t>Moseley</w:t>
      </w:r>
      <w:r w:rsidRPr="0096524F">
        <w:t>’s indication of such a presumption as dicta).</w:t>
      </w:r>
    </w:p>
  </w:footnote>
  <w:footnote w:id="145">
    <w:p w14:paraId="16C2429C" w14:textId="47F38BFA"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*52–53.</w:t>
      </w:r>
      <w:r w:rsidRPr="0096524F">
        <w:t xml:space="preserve"> </w:t>
      </w:r>
      <w:r w:rsidRPr="0096524F">
        <w:t>Cybersquatting is discussed in Chapter 14.</w:t>
      </w:r>
    </w:p>
  </w:footnote>
  <w:footnote w:id="146">
    <w:p w14:paraId="11C61911" w14:textId="654DD86D"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*53</w:t>
      </w:r>
    </w:p>
  </w:footnote>
  <w:footnote w:id="147">
    <w:p w14:paraId="1645E065" w14:textId="7674A8EF" w:rsidR="0096524F" w:rsidRPr="00EB11B3" w:rsidRDefault="0096524F" w:rsidP="0096524F">
      <w:pPr>
        <w:pStyle w:val="FootnoteText"/>
      </w:pPr>
      <w:r w:rsidRPr="0096524F">
        <w:rPr>
          <w:vertAlign w:val="superscript"/>
        </w:rPr>
        <w:footnoteRef/>
      </w:r>
      <w:r w:rsidRPr="0096524F">
        <w:t>The court also found no dilution by tarnishment.</w:t>
      </w:r>
      <w:r w:rsidRPr="0096524F">
        <w:t xml:space="preserve"> </w:t>
      </w:r>
      <w:r w:rsidRPr="0096524F">
        <w:rPr>
          <w:i/>
        </w:rPr>
        <w:t>Id</w:t>
      </w:r>
      <w:r w:rsidRPr="0096524F">
        <w:t>.</w:t>
      </w:r>
      <w:r w:rsidRPr="0096524F">
        <w:t xml:space="preserve"> </w:t>
      </w:r>
      <w:r w:rsidRPr="0096524F">
        <w:t>at *56–58.</w:t>
      </w:r>
    </w:p>
  </w:footnote>
  <w:footnote w:id="148">
    <w:p w14:paraId="30CD62E6" w14:textId="0D4D7C1F" w:rsidR="0096524F" w:rsidRPr="00EB11B3" w:rsidRDefault="0096524F" w:rsidP="0096524F">
      <w:pPr>
        <w:pStyle w:val="FootnoteText"/>
      </w:pPr>
      <w:r w:rsidRPr="0096524F">
        <w:rPr>
          <w:vertAlign w:val="superscript"/>
        </w:rPr>
        <w:footnoteRef/>
      </w:r>
      <w:r w:rsidRPr="0096524F">
        <w:t>V Secret Catalogue, Inc.</w:t>
      </w:r>
      <w:r w:rsidRPr="0096524F">
        <w:t xml:space="preserve"> </w:t>
      </w:r>
      <w:r w:rsidRPr="0096524F">
        <w:t>v.</w:t>
      </w:r>
      <w:r w:rsidRPr="0096524F">
        <w:t xml:space="preserve"> </w:t>
      </w:r>
      <w:r w:rsidRPr="0096524F">
        <w:t>Moseley, 558 F.</w:t>
      </w:r>
      <w:r w:rsidRPr="0096524F">
        <w:t xml:space="preserve"> </w:t>
      </w:r>
      <w:r w:rsidRPr="0096524F">
        <w:t>Supp.</w:t>
      </w:r>
      <w:r w:rsidRPr="0096524F">
        <w:t xml:space="preserve"> </w:t>
      </w:r>
      <w:r w:rsidRPr="0096524F">
        <w:t>2d 734, 87 USPQ2d 1240 (W.D.</w:t>
      </w:r>
      <w:r w:rsidRPr="0096524F">
        <w:t xml:space="preserve"> </w:t>
      </w:r>
      <w:r w:rsidRPr="0096524F">
        <w:t>Ky.</w:t>
      </w:r>
      <w:r w:rsidRPr="0096524F">
        <w:t xml:space="preserve"> </w:t>
      </w:r>
      <w:r w:rsidRPr="0096524F">
        <w:t xml:space="preserve">2008), </w:t>
      </w:r>
      <w:r w:rsidRPr="0096524F">
        <w:rPr>
          <w:i/>
        </w:rPr>
        <w:t>aff’d on other grounds</w:t>
      </w:r>
      <w:r w:rsidRPr="0096524F">
        <w:t>, 605 F.3d 382, 95 USPQ2d 1050 (6th Cir.</w:t>
      </w:r>
      <w:r w:rsidRPr="0096524F">
        <w:t xml:space="preserve"> </w:t>
      </w:r>
      <w:r w:rsidRPr="0096524F">
        <w:t xml:space="preserve">2010), </w:t>
      </w:r>
      <w:r w:rsidRPr="0096524F">
        <w:rPr>
          <w:i/>
        </w:rPr>
        <w:t>cert</w:t>
      </w:r>
      <w:r w:rsidRPr="0096524F">
        <w:t>.</w:t>
      </w:r>
      <w:r w:rsidRPr="0096524F">
        <w:t xml:space="preserve"> </w:t>
      </w:r>
      <w:r w:rsidRPr="0096524F">
        <w:rPr>
          <w:i/>
        </w:rPr>
        <w:t>denied</w:t>
      </w:r>
      <w:r w:rsidRPr="0096524F">
        <w:t>, 131 S.</w:t>
      </w:r>
      <w:r w:rsidRPr="0096524F">
        <w:t xml:space="preserve"> </w:t>
      </w:r>
      <w:r w:rsidRPr="0096524F">
        <w:t>Ct.</w:t>
      </w:r>
      <w:r w:rsidRPr="0096524F">
        <w:t xml:space="preserve"> </w:t>
      </w:r>
      <w:r w:rsidRPr="0096524F">
        <w:t>1003 (2011).</w:t>
      </w:r>
      <w:r w:rsidRPr="0096524F">
        <w:t xml:space="preserve"> </w:t>
      </w:r>
      <w:r w:rsidRPr="0096524F">
        <w:t>The district court held that the new statute, not the original one, should now be applied.</w:t>
      </w:r>
      <w:r w:rsidRPr="0096524F">
        <w:t xml:space="preserve"> </w:t>
      </w:r>
      <w:r w:rsidRPr="0096524F">
        <w:rPr>
          <w:i/>
        </w:rPr>
        <w:t>Id</w:t>
      </w:r>
      <w:r w:rsidRPr="0096524F">
        <w:t>.</w:t>
      </w:r>
      <w:r w:rsidRPr="0096524F">
        <w:t xml:space="preserve"> </w:t>
      </w:r>
      <w:r w:rsidRPr="0096524F">
        <w:t>at 738–39.</w:t>
      </w:r>
      <w:r w:rsidRPr="0096524F">
        <w:t xml:space="preserve"> </w:t>
      </w:r>
      <w:r w:rsidRPr="0096524F">
        <w:t>The district court noted that, despite the fact that the Moseleys moved to vacate the injunction against them in 2003, the case sat in the court of appeals, without any action, until 2007.</w:t>
      </w:r>
      <w:r w:rsidRPr="0096524F">
        <w:t xml:space="preserve"> </w:t>
      </w:r>
      <w:r w:rsidRPr="0096524F">
        <w:rPr>
          <w:i/>
        </w:rPr>
        <w:t>Id</w:t>
      </w:r>
      <w:r w:rsidRPr="0096524F">
        <w:t>.</w:t>
      </w:r>
      <w:r w:rsidRPr="0096524F">
        <w:t xml:space="preserve"> </w:t>
      </w:r>
      <w:r w:rsidRPr="0096524F">
        <w:t>at 737.</w:t>
      </w:r>
    </w:p>
  </w:footnote>
  <w:footnote w:id="149">
    <w:p w14:paraId="0A3F5433" w14:textId="709F643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749.</w:t>
      </w:r>
      <w:r w:rsidRPr="0096524F">
        <w:t xml:space="preserve"> </w:t>
      </w:r>
      <w:r w:rsidRPr="0096524F">
        <w:t>Indeed, the court did find dilution by tarnishment.</w:t>
      </w:r>
      <w:r w:rsidRPr="0096524F">
        <w:t xml:space="preserve"> </w:t>
      </w:r>
      <w:r w:rsidRPr="0096524F">
        <w:t>That aspect of the court’s opinion, and the Sixth Circuit’s opinion affirming that determination, is discussed in §II.E.2.a.ii, below.</w:t>
      </w:r>
    </w:p>
  </w:footnote>
  <w:footnote w:id="150">
    <w:p w14:paraId="4A9041C6" w14:textId="4670491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748.</w:t>
      </w:r>
      <w:r w:rsidRPr="0096524F">
        <w:t xml:space="preserve"> </w:t>
      </w:r>
      <w:r w:rsidRPr="0096524F">
        <w:rPr>
          <w:i/>
        </w:rPr>
        <w:t>See</w:t>
      </w:r>
      <w:r w:rsidRPr="0096524F">
        <w:t xml:space="preserve"> Volkswagen AG v.</w:t>
      </w:r>
      <w:r w:rsidRPr="0096524F">
        <w:t xml:space="preserve"> </w:t>
      </w:r>
      <w:r w:rsidRPr="0096524F">
        <w:t>Dorling Kindersley Publ’g, Inc., 614 F.</w:t>
      </w:r>
      <w:r w:rsidRPr="0096524F">
        <w:t xml:space="preserve"> </w:t>
      </w:r>
      <w:r w:rsidRPr="0096524F">
        <w:t>Supp.</w:t>
      </w:r>
      <w:r w:rsidRPr="0096524F">
        <w:t xml:space="preserve"> </w:t>
      </w:r>
      <w:r w:rsidRPr="0096524F">
        <w:t>2d 793, 808 (E.D.</w:t>
      </w:r>
      <w:r w:rsidRPr="0096524F">
        <w:t xml:space="preserve"> </w:t>
      </w:r>
      <w:r w:rsidRPr="0096524F">
        <w:t>Mich.</w:t>
      </w:r>
      <w:r w:rsidRPr="0096524F">
        <w:t xml:space="preserve"> </w:t>
      </w:r>
      <w:r w:rsidRPr="0096524F">
        <w:t>2009) (consumer survey showing that consumers associated defendants’ Fun Cars with the Volkswagen Beetle did not demonstrate any likely harm to the distinctiveness of the mark).</w:t>
      </w:r>
    </w:p>
  </w:footnote>
  <w:footnote w:id="151">
    <w:p w14:paraId="20325C88" w14:textId="5CB189BE" w:rsidR="0096524F" w:rsidRPr="0096524F" w:rsidRDefault="0096524F" w:rsidP="0096524F">
      <w:pPr>
        <w:pStyle w:val="FootnoteText"/>
      </w:pPr>
      <w:r w:rsidRPr="0096524F">
        <w:rPr>
          <w:vertAlign w:val="superscript"/>
        </w:rPr>
        <w:footnoteRef/>
      </w:r>
      <w:r w:rsidRPr="0096524F">
        <w:t>Newsboys v.</w:t>
      </w:r>
      <w:r w:rsidRPr="0096524F">
        <w:t xml:space="preserve"> </w:t>
      </w:r>
      <w:r w:rsidRPr="0096524F">
        <w:t>Warner Bros.</w:t>
      </w:r>
      <w:r w:rsidRPr="0096524F">
        <w:t xml:space="preserve"> </w:t>
      </w:r>
      <w:r w:rsidRPr="0096524F">
        <w:t>Records, Inc., 2013 U.S.</w:t>
      </w:r>
      <w:r w:rsidRPr="0096524F">
        <w:t xml:space="preserve"> </w:t>
      </w:r>
      <w:r w:rsidRPr="0096524F">
        <w:t>Dist.</w:t>
      </w:r>
      <w:r w:rsidRPr="0096524F">
        <w:t xml:space="preserve"> </w:t>
      </w:r>
      <w:r w:rsidRPr="0096524F">
        <w:t>LEXIS 97695, at *13–14 (M.D.</w:t>
      </w:r>
      <w:r w:rsidRPr="0096524F">
        <w:t xml:space="preserve"> </w:t>
      </w:r>
      <w:r w:rsidRPr="0096524F">
        <w:t>Tenn.</w:t>
      </w:r>
      <w:r w:rsidRPr="0096524F">
        <w:t xml:space="preserve"> </w:t>
      </w:r>
      <w:r w:rsidRPr="0096524F">
        <w:t xml:space="preserve">July 11, 2013) (citing the Supreme Court’s </w:t>
      </w:r>
      <w:r w:rsidRPr="0096524F">
        <w:rPr>
          <w:i/>
        </w:rPr>
        <w:t>Moseley</w:t>
      </w:r>
      <w:r w:rsidRPr="0096524F">
        <w:t xml:space="preserve"> opinion).</w:t>
      </w:r>
    </w:p>
    <w:p w14:paraId="4714981C" w14:textId="77777777" w:rsidR="0096524F" w:rsidRDefault="0096524F" w:rsidP="00D758BD">
      <w:pPr>
        <w:pStyle w:val="footnote"/>
      </w:pPr>
    </w:p>
  </w:footnote>
  <w:footnote w:id="152">
    <w:p w14:paraId="61623E66" w14:textId="21FE1E4F" w:rsidR="0096524F" w:rsidRPr="00EB11B3" w:rsidRDefault="0096524F" w:rsidP="0096524F">
      <w:pPr>
        <w:pStyle w:val="FootnoteText"/>
      </w:pPr>
      <w:r w:rsidRPr="0096524F">
        <w:rPr>
          <w:vertAlign w:val="superscript"/>
        </w:rPr>
        <w:footnoteRef/>
      </w:r>
      <w:r w:rsidRPr="0096524F">
        <w:t>Levi Strauss &amp; Co.</w:t>
      </w:r>
      <w:r w:rsidRPr="0096524F">
        <w:t xml:space="preserve"> </w:t>
      </w:r>
      <w:r w:rsidRPr="0096524F">
        <w:t>v.</w:t>
      </w:r>
      <w:r w:rsidRPr="0096524F">
        <w:t xml:space="preserve"> </w:t>
      </w:r>
      <w:r w:rsidRPr="0096524F">
        <w:t>Abercrombie &amp; Fitch Trading Co., 2009 U.S.</w:t>
      </w:r>
      <w:r w:rsidRPr="0096524F">
        <w:t xml:space="preserve"> </w:t>
      </w:r>
      <w:r w:rsidRPr="0096524F">
        <w:t>Dist.</w:t>
      </w:r>
      <w:r w:rsidRPr="0096524F">
        <w:t xml:space="preserve"> </w:t>
      </w:r>
      <w:r w:rsidRPr="0096524F">
        <w:t>LEXIS 33923 (N.D.</w:t>
      </w:r>
      <w:r w:rsidRPr="0096524F">
        <w:t xml:space="preserve"> </w:t>
      </w:r>
      <w:r w:rsidRPr="0096524F">
        <w:t>Cal.</w:t>
      </w:r>
      <w:r w:rsidRPr="0096524F">
        <w:t xml:space="preserve"> </w:t>
      </w:r>
      <w:r w:rsidRPr="0096524F">
        <w:t>Apr.</w:t>
      </w:r>
      <w:r w:rsidRPr="0096524F">
        <w:t xml:space="preserve"> </w:t>
      </w:r>
      <w:r w:rsidRPr="0096524F">
        <w:t xml:space="preserve">22, 2009), </w:t>
      </w:r>
      <w:r w:rsidRPr="0096524F">
        <w:rPr>
          <w:i/>
        </w:rPr>
        <w:t>rev’d</w:t>
      </w:r>
      <w:r w:rsidRPr="0096524F">
        <w:t>, 633 F.3d 1158, 97 USPQ2d 1947 (9th Cir.</w:t>
      </w:r>
      <w:r w:rsidRPr="0096524F">
        <w:t xml:space="preserve"> </w:t>
      </w:r>
      <w:r w:rsidRPr="0096524F">
        <w:t>2011).</w:t>
      </w:r>
    </w:p>
  </w:footnote>
  <w:footnote w:id="153">
    <w:p w14:paraId="2AB74DCF" w14:textId="2DA2A093" w:rsidR="0096524F" w:rsidRPr="00EB11B3" w:rsidRDefault="0096524F" w:rsidP="0096524F">
      <w:pPr>
        <w:pStyle w:val="FootnoteText"/>
      </w:pPr>
      <w:r w:rsidRPr="0096524F">
        <w:rPr>
          <w:vertAlign w:val="superscript"/>
        </w:rPr>
        <w:footnoteRef/>
      </w:r>
      <w:r w:rsidRPr="0096524F">
        <w:t>See Louis Vuitton Malletier v.</w:t>
      </w:r>
      <w:r w:rsidRPr="0096524F">
        <w:t xml:space="preserve"> </w:t>
      </w:r>
      <w:r w:rsidRPr="0096524F">
        <w:t>Dooney &amp; Bourke, Inc., discussed in this Section, above.</w:t>
      </w:r>
    </w:p>
  </w:footnote>
  <w:footnote w:id="154">
    <w:p w14:paraId="1A6CB222" w14:textId="25924C5B" w:rsidR="0096524F" w:rsidRPr="00EB11B3" w:rsidRDefault="0096524F" w:rsidP="0096524F">
      <w:pPr>
        <w:pStyle w:val="FootnoteText"/>
      </w:pPr>
      <w:r w:rsidRPr="0096524F">
        <w:rPr>
          <w:vertAlign w:val="superscript"/>
        </w:rPr>
        <w:footnoteRef/>
      </w:r>
      <w:r w:rsidRPr="0096524F">
        <w:t>2009 U.S.</w:t>
      </w:r>
      <w:r w:rsidRPr="0096524F">
        <w:t xml:space="preserve"> </w:t>
      </w:r>
      <w:r w:rsidRPr="0096524F">
        <w:t>Dist.</w:t>
      </w:r>
      <w:r w:rsidRPr="0096524F">
        <w:t xml:space="preserve"> </w:t>
      </w:r>
      <w:r w:rsidRPr="0096524F">
        <w:t>LEXIS 33923, at *23 (N.D.</w:t>
      </w:r>
      <w:r w:rsidRPr="0096524F">
        <w:t xml:space="preserve"> </w:t>
      </w:r>
      <w:r w:rsidRPr="0096524F">
        <w:t>Cal.</w:t>
      </w:r>
      <w:r w:rsidRPr="0096524F">
        <w:t xml:space="preserve"> </w:t>
      </w:r>
      <w:r w:rsidRPr="0096524F">
        <w:t>Apr.</w:t>
      </w:r>
      <w:r w:rsidRPr="0096524F">
        <w:t xml:space="preserve"> </w:t>
      </w:r>
      <w:r w:rsidRPr="0096524F">
        <w:t>22, 2009).</w:t>
      </w:r>
      <w:r w:rsidRPr="0096524F">
        <w:t xml:space="preserve"> </w:t>
      </w:r>
      <w:r w:rsidRPr="0096524F">
        <w:t>The court used the “identical or nearly identical” test for similarity.</w:t>
      </w:r>
      <w:r w:rsidRPr="0096524F">
        <w:t xml:space="preserve"> </w:t>
      </w:r>
      <w:r w:rsidRPr="0096524F">
        <w:rPr>
          <w:i/>
        </w:rPr>
        <w:t>Id</w:t>
      </w:r>
      <w:r w:rsidRPr="0096524F">
        <w:t>.</w:t>
      </w:r>
      <w:r w:rsidRPr="0096524F">
        <w:t xml:space="preserve"> </w:t>
      </w:r>
      <w:r w:rsidRPr="0096524F">
        <w:t>Because there were claims for damages as well as injunctive relief, the court submitted the claims to a jury.</w:t>
      </w:r>
      <w:r w:rsidRPr="0096524F">
        <w:t xml:space="preserve"> </w:t>
      </w:r>
      <w:r w:rsidRPr="0096524F">
        <w:rPr>
          <w:i/>
        </w:rPr>
        <w:t>Id</w:t>
      </w:r>
      <w:r w:rsidRPr="0096524F">
        <w:t>.</w:t>
      </w:r>
      <w:r w:rsidRPr="0096524F">
        <w:t xml:space="preserve"> </w:t>
      </w:r>
      <w:r w:rsidRPr="0096524F">
        <w:t>However, it recognized that, with respect to the injunctive claims, the jury was advisory.</w:t>
      </w:r>
      <w:r w:rsidRPr="0096524F">
        <w:t xml:space="preserve"> </w:t>
      </w:r>
      <w:r w:rsidRPr="0096524F">
        <w:rPr>
          <w:i/>
        </w:rPr>
        <w:t>Id</w:t>
      </w:r>
      <w:r w:rsidRPr="0096524F">
        <w:t>.</w:t>
      </w:r>
      <w:r w:rsidRPr="0096524F">
        <w:t xml:space="preserve"> </w:t>
      </w:r>
      <w:r w:rsidRPr="0096524F">
        <w:t>at *2–3.</w:t>
      </w:r>
    </w:p>
  </w:footnote>
  <w:footnote w:id="155">
    <w:p w14:paraId="43B6ADF2" w14:textId="78880EDB"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*24–25.</w:t>
      </w:r>
    </w:p>
  </w:footnote>
  <w:footnote w:id="156">
    <w:p w14:paraId="377EED7B" w14:textId="16AED28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*25.</w:t>
      </w:r>
    </w:p>
  </w:footnote>
  <w:footnote w:id="157">
    <w:p w14:paraId="10928E94" w14:textId="4BD07A1C" w:rsidR="0096524F" w:rsidRPr="00EB11B3" w:rsidRDefault="0096524F" w:rsidP="0096524F">
      <w:pPr>
        <w:pStyle w:val="FootnoteText"/>
      </w:pPr>
      <w:r w:rsidRPr="0096524F">
        <w:rPr>
          <w:vertAlign w:val="superscript"/>
        </w:rPr>
        <w:footnoteRef/>
      </w:r>
      <w:r w:rsidRPr="0096524F">
        <w:rPr>
          <w:i/>
        </w:rPr>
        <w:t>Id</w:t>
      </w:r>
      <w:r w:rsidRPr="0096524F">
        <w:t>.</w:t>
      </w:r>
    </w:p>
  </w:footnote>
  <w:footnote w:id="158">
    <w:p w14:paraId="7B106CE9" w14:textId="02B13747" w:rsidR="0096524F" w:rsidRPr="00EB11B3" w:rsidRDefault="0096524F" w:rsidP="0096524F">
      <w:pPr>
        <w:pStyle w:val="FootnoteText"/>
      </w:pPr>
      <w:r w:rsidRPr="0096524F">
        <w:rPr>
          <w:vertAlign w:val="superscript"/>
        </w:rPr>
        <w:footnoteRef/>
      </w:r>
      <w:r w:rsidRPr="0096524F">
        <w:t>633 F.3d 1158, 97 USPQ2d 1947 (9th Cir.</w:t>
      </w:r>
      <w:r w:rsidRPr="0096524F">
        <w:t xml:space="preserve"> </w:t>
      </w:r>
      <w:r w:rsidRPr="0096524F">
        <w:t>2011).</w:t>
      </w:r>
    </w:p>
  </w:footnote>
  <w:footnote w:id="159">
    <w:p w14:paraId="7FFDE00E" w14:textId="17E96CED"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1162.</w:t>
      </w:r>
    </w:p>
  </w:footnote>
  <w:footnote w:id="160">
    <w:p w14:paraId="2DCD24FD" w14:textId="7104710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1173–74.</w:t>
      </w:r>
      <w:r w:rsidRPr="0096524F">
        <w:t xml:space="preserve"> </w:t>
      </w:r>
      <w:r w:rsidRPr="0096524F">
        <w:t>The Ninth Circuit’s analysis of the standard for similarity is discussed below §§II.D.5., III.A.</w:t>
      </w:r>
    </w:p>
  </w:footnote>
  <w:footnote w:id="161">
    <w:p w14:paraId="464F1D9E" w14:textId="464C665D" w:rsidR="0096524F" w:rsidRPr="00EB11B3" w:rsidRDefault="0096524F" w:rsidP="0096524F">
      <w:pPr>
        <w:pStyle w:val="FootnoteText"/>
      </w:pPr>
      <w:r w:rsidRPr="0096524F">
        <w:rPr>
          <w:vertAlign w:val="superscript"/>
        </w:rPr>
        <w:footnoteRef/>
      </w:r>
      <w:r w:rsidRPr="0096524F">
        <w:t>100 USPQ2d 1417 (S.D.N.Y.</w:t>
      </w:r>
      <w:r w:rsidRPr="0096524F">
        <w:t xml:space="preserve"> </w:t>
      </w:r>
      <w:r w:rsidRPr="0096524F">
        <w:t>2011)</w:t>
      </w:r>
    </w:p>
  </w:footnote>
  <w:footnote w:id="162">
    <w:p w14:paraId="63014C5B" w14:textId="5270E478"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1430–31.</w:t>
      </w:r>
    </w:p>
  </w:footnote>
  <w:footnote w:id="163">
    <w:p w14:paraId="67314B9A" w14:textId="4FF9C202"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1431 (referring partly to infringement findings, but finding all blurring factors favoring plaintiff).</w:t>
      </w:r>
    </w:p>
  </w:footnote>
  <w:footnote w:id="164">
    <w:p w14:paraId="1D10A374" w14:textId="3B94AE94"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(quoting 4 J.</w:t>
      </w:r>
      <w:r w:rsidRPr="0096524F">
        <w:t xml:space="preserve"> </w:t>
      </w:r>
      <w:r w:rsidRPr="0096524F">
        <w:t>Thomas McCarthy, McCarthy on Trademarks and Unfair Competition §24:120 (4th ed.</w:t>
      </w:r>
      <w:r w:rsidRPr="0096524F">
        <w:t xml:space="preserve"> </w:t>
      </w:r>
      <w:r w:rsidRPr="0096524F">
        <w:t>2011)).</w:t>
      </w:r>
    </w:p>
  </w:footnote>
  <w:footnote w:id="165">
    <w:p w14:paraId="56065383" w14:textId="51FA342A" w:rsidR="0096524F" w:rsidRPr="00EB11B3" w:rsidRDefault="0096524F" w:rsidP="0096524F">
      <w:pPr>
        <w:pStyle w:val="FootnoteText"/>
      </w:pPr>
      <w:r w:rsidRPr="0096524F">
        <w:rPr>
          <w:vertAlign w:val="superscript"/>
        </w:rPr>
        <w:footnoteRef/>
      </w:r>
      <w:r w:rsidRPr="0096524F">
        <w:rPr>
          <w:i/>
        </w:rPr>
        <w:t>Id</w:t>
      </w:r>
      <w:r w:rsidRPr="0096524F">
        <w:t>.</w:t>
      </w:r>
    </w:p>
  </w:footnote>
  <w:footnote w:id="166">
    <w:p w14:paraId="68CCE3F8" w14:textId="06B00548" w:rsidR="0096524F" w:rsidRPr="00EB11B3" w:rsidRDefault="0096524F" w:rsidP="0096524F">
      <w:pPr>
        <w:pStyle w:val="FootnoteText"/>
      </w:pPr>
      <w:r w:rsidRPr="0096524F">
        <w:rPr>
          <w:vertAlign w:val="superscript"/>
        </w:rPr>
        <w:footnoteRef/>
      </w:r>
      <w:r w:rsidRPr="0096524F">
        <w:t>101 USPQ2d 1188, 1196 (T.T.A.B.</w:t>
      </w:r>
      <w:r w:rsidRPr="0096524F">
        <w:t xml:space="preserve"> </w:t>
      </w:r>
      <w:r w:rsidRPr="0096524F">
        <w:t xml:space="preserve">2011), </w:t>
      </w:r>
      <w:r w:rsidRPr="0096524F">
        <w:rPr>
          <w:i/>
        </w:rPr>
        <w:t>vacated</w:t>
      </w:r>
      <w:r w:rsidRPr="0096524F">
        <w:t>, 2013 TTAB LEXIS 46 (T.T.A.B.</w:t>
      </w:r>
      <w:r w:rsidRPr="0096524F">
        <w:t xml:space="preserve"> </w:t>
      </w:r>
      <w:r w:rsidRPr="0096524F">
        <w:t>Jan.</w:t>
      </w:r>
      <w:r w:rsidRPr="0096524F">
        <w:t xml:space="preserve"> </w:t>
      </w:r>
      <w:r w:rsidRPr="0096524F">
        <w:t>29, 2013) (applicant abandoned the application) (decision designated precedential July 17, 2013).</w:t>
      </w:r>
    </w:p>
  </w:footnote>
  <w:footnote w:id="167">
    <w:p w14:paraId="3A50B348" w14:textId="29C73C5A"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1189.</w:t>
      </w:r>
    </w:p>
  </w:footnote>
  <w:footnote w:id="168">
    <w:p w14:paraId="4969CA74" w14:textId="5B630E14"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1194 (quoting Nike, Inc.</w:t>
      </w:r>
      <w:r w:rsidRPr="0096524F">
        <w:t xml:space="preserve"> </w:t>
      </w:r>
      <w:r w:rsidRPr="0096524F">
        <w:t>v.</w:t>
      </w:r>
      <w:r w:rsidRPr="0096524F">
        <w:t xml:space="preserve"> </w:t>
      </w:r>
      <w:r w:rsidRPr="0096524F">
        <w:t>Maher, 100 USPQ2d 1018, 1023 (T.T.A.B.</w:t>
      </w:r>
      <w:r w:rsidRPr="0096524F">
        <w:t xml:space="preserve"> </w:t>
      </w:r>
      <w:r w:rsidRPr="0096524F">
        <w:t>2011)).</w:t>
      </w:r>
    </w:p>
  </w:footnote>
  <w:footnote w:id="169">
    <w:p w14:paraId="6EDA80E2" w14:textId="021FF6C0"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1195.</w:t>
      </w:r>
    </w:p>
  </w:footnote>
  <w:footnote w:id="170">
    <w:p w14:paraId="37FB19A6" w14:textId="1F49E34B"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1196.</w:t>
      </w:r>
    </w:p>
  </w:footnote>
  <w:footnote w:id="171">
    <w:p w14:paraId="27C46C13" w14:textId="70A168E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1195.</w:t>
      </w:r>
    </w:p>
  </w:footnote>
  <w:footnote w:id="172">
    <w:p w14:paraId="303A5556" w14:textId="5DA492AE" w:rsidR="0096524F" w:rsidRPr="00EB11B3" w:rsidRDefault="0096524F" w:rsidP="0096524F">
      <w:pPr>
        <w:pStyle w:val="FootnoteText"/>
      </w:pPr>
      <w:r w:rsidRPr="0096524F">
        <w:rPr>
          <w:vertAlign w:val="superscript"/>
        </w:rPr>
        <w:footnoteRef/>
      </w:r>
      <w:r w:rsidRPr="0096524F">
        <w:t>100 USPQ2d 1199 (W.D.</w:t>
      </w:r>
      <w:r w:rsidRPr="0096524F">
        <w:t xml:space="preserve"> </w:t>
      </w:r>
      <w:r w:rsidRPr="0096524F">
        <w:t>Va.</w:t>
      </w:r>
      <w:r w:rsidRPr="0096524F">
        <w:t xml:space="preserve"> </w:t>
      </w:r>
      <w:r w:rsidRPr="0096524F">
        <w:t>2011).</w:t>
      </w:r>
    </w:p>
  </w:footnote>
  <w:footnote w:id="173">
    <w:p w14:paraId="7F49BC19" w14:textId="7B430AC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1212.</w:t>
      </w:r>
    </w:p>
  </w:footnote>
  <w:footnote w:id="174">
    <w:p w14:paraId="077EF8D7" w14:textId="3F10A9D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 xml:space="preserve">The defendant, an alumnus of the plaintiff, </w:t>
      </w:r>
      <w:r w:rsidRPr="0096524F">
        <w:rPr>
          <w:i/>
        </w:rPr>
        <w:t>id</w:t>
      </w:r>
      <w:r w:rsidRPr="0096524F">
        <w:t>.</w:t>
      </w:r>
      <w:r w:rsidRPr="0096524F">
        <w:t xml:space="preserve"> </w:t>
      </w:r>
      <w:r w:rsidRPr="0096524F">
        <w:t>at 1202, considered himself “a Hokie.”</w:t>
      </w:r>
    </w:p>
  </w:footnote>
  <w:footnote w:id="175">
    <w:p w14:paraId="5818C358" w14:textId="7D5059A5" w:rsidR="0096524F" w:rsidRPr="00EB11B3" w:rsidRDefault="0096524F" w:rsidP="0096524F">
      <w:pPr>
        <w:pStyle w:val="FootnoteText"/>
      </w:pPr>
      <w:r w:rsidRPr="0096524F">
        <w:rPr>
          <w:vertAlign w:val="superscript"/>
        </w:rPr>
        <w:footnoteRef/>
      </w:r>
      <w:r w:rsidRPr="0096524F">
        <w:rPr>
          <w:i/>
        </w:rPr>
        <w:t>Id</w:t>
      </w:r>
      <w:r w:rsidRPr="0096524F">
        <w:t>.</w:t>
      </w:r>
    </w:p>
  </w:footnote>
  <w:footnote w:id="176">
    <w:p w14:paraId="4B0FDD3E" w14:textId="246D94AD" w:rsidR="0096524F" w:rsidRPr="0096524F" w:rsidRDefault="0096524F" w:rsidP="0096524F">
      <w:pPr>
        <w:pStyle w:val="FootnoteText"/>
      </w:pPr>
      <w:r w:rsidRPr="0096524F">
        <w:rPr>
          <w:vertAlign w:val="superscript"/>
        </w:rPr>
        <w:footnoteRef/>
      </w:r>
      <w:r w:rsidRPr="0096524F">
        <w:t>716 F.</w:t>
      </w:r>
      <w:r w:rsidRPr="0096524F">
        <w:t xml:space="preserve"> </w:t>
      </w:r>
      <w:r w:rsidRPr="0096524F">
        <w:t>App’x 618, 125 USPQ2d 1105 (9th Cir.</w:t>
      </w:r>
      <w:r w:rsidRPr="0096524F">
        <w:t xml:space="preserve"> </w:t>
      </w:r>
      <w:r w:rsidRPr="0096524F">
        <w:t>2017).</w:t>
      </w:r>
    </w:p>
    <w:p w14:paraId="3AA77FDF" w14:textId="77777777" w:rsidR="0096524F" w:rsidRDefault="0096524F" w:rsidP="00D758BD">
      <w:pPr>
        <w:pStyle w:val="footnote"/>
      </w:pPr>
    </w:p>
  </w:footnote>
  <w:footnote w:id="177">
    <w:p w14:paraId="309884F9" w14:textId="0E8C0628"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621.</w:t>
      </w:r>
    </w:p>
    <w:p w14:paraId="66321C1F" w14:textId="77777777" w:rsidR="0096524F" w:rsidRDefault="0096524F" w:rsidP="00D758BD">
      <w:pPr>
        <w:pStyle w:val="footnote"/>
      </w:pPr>
    </w:p>
  </w:footnote>
  <w:footnote w:id="178">
    <w:p w14:paraId="049F86E0" w14:textId="2CD4DFB5" w:rsidR="0096524F" w:rsidRPr="0096524F" w:rsidRDefault="0096524F" w:rsidP="0096524F">
      <w:pPr>
        <w:pStyle w:val="FootnoteText"/>
      </w:pPr>
      <w:r w:rsidRPr="0096524F">
        <w:rPr>
          <w:vertAlign w:val="superscript"/>
        </w:rPr>
        <w:footnoteRef/>
      </w:r>
      <w:r w:rsidRPr="0096524F">
        <w:t>888 F.</w:t>
      </w:r>
      <w:r w:rsidRPr="0096524F">
        <w:t xml:space="preserve"> </w:t>
      </w:r>
      <w:r w:rsidRPr="0096524F">
        <w:t>Supp.</w:t>
      </w:r>
      <w:r w:rsidRPr="0096524F">
        <w:t xml:space="preserve"> </w:t>
      </w:r>
      <w:r w:rsidRPr="0096524F">
        <w:t>2d 738 (E.D.</w:t>
      </w:r>
      <w:r w:rsidRPr="0096524F">
        <w:t xml:space="preserve"> </w:t>
      </w:r>
      <w:r w:rsidRPr="0096524F">
        <w:t>Va.</w:t>
      </w:r>
      <w:r w:rsidRPr="0096524F">
        <w:t xml:space="preserve"> </w:t>
      </w:r>
      <w:r w:rsidRPr="0096524F">
        <w:t xml:space="preserve">2012), </w:t>
      </w:r>
      <w:r w:rsidRPr="0096524F">
        <w:rPr>
          <w:i/>
        </w:rPr>
        <w:t>aff’d</w:t>
      </w:r>
      <w:r w:rsidRPr="0096524F">
        <w:t>, 739 F.3d 150, 109 USPQ2d 1291 (4th Cir.</w:t>
      </w:r>
      <w:r w:rsidRPr="0096524F">
        <w:t xml:space="preserve"> </w:t>
      </w:r>
      <w:r w:rsidRPr="0096524F">
        <w:t>2014).</w:t>
      </w:r>
    </w:p>
    <w:p w14:paraId="7705EA15" w14:textId="77777777" w:rsidR="0096524F" w:rsidRDefault="0096524F" w:rsidP="00D758BD">
      <w:pPr>
        <w:pStyle w:val="footnote"/>
      </w:pPr>
    </w:p>
  </w:footnote>
  <w:footnote w:id="179">
    <w:p w14:paraId="449A9A31" w14:textId="31CBEAE7"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757–58.</w:t>
      </w:r>
      <w:r w:rsidRPr="0096524F">
        <w:t xml:space="preserve"> </w:t>
      </w:r>
      <w:r w:rsidRPr="0096524F">
        <w:t>The defendant had a registered mark, which plaintiff sought to cancel.</w:t>
      </w:r>
      <w:r w:rsidRPr="0096524F">
        <w:t xml:space="preserve"> </w:t>
      </w:r>
      <w:r w:rsidRPr="0096524F">
        <w:rPr>
          <w:i/>
        </w:rPr>
        <w:t>Id.</w:t>
      </w:r>
      <w:r w:rsidRPr="0096524F">
        <w:rPr>
          <w:i/>
        </w:rPr>
        <w:t xml:space="preserve"> </w:t>
      </w:r>
      <w:r w:rsidRPr="0096524F">
        <w:t>at 756.</w:t>
      </w:r>
      <w:r w:rsidRPr="0096524F">
        <w:t xml:space="preserve"> </w:t>
      </w:r>
      <w:r w:rsidRPr="0096524F">
        <w:t>At the time of the decision, the TDRA contained a provision that appeared to bar even a federal dilution claim against a federally registered mark.</w:t>
      </w:r>
      <w:r w:rsidRPr="0096524F">
        <w:t xml:space="preserve"> </w:t>
      </w:r>
      <w:r w:rsidRPr="0096524F">
        <w:rPr>
          <w:i/>
        </w:rPr>
        <w:t xml:space="preserve">See </w:t>
      </w:r>
      <w:r w:rsidRPr="0096524F">
        <w:t>Chapter 10, §V.</w:t>
      </w:r>
    </w:p>
    <w:p w14:paraId="7A1A2955" w14:textId="77777777" w:rsidR="0096524F" w:rsidRDefault="0096524F" w:rsidP="00D758BD">
      <w:pPr>
        <w:pStyle w:val="footnote"/>
      </w:pPr>
    </w:p>
  </w:footnote>
  <w:footnote w:id="180">
    <w:p w14:paraId="5E8891E7" w14:textId="60FD93D7" w:rsidR="0096524F" w:rsidRPr="0096524F" w:rsidRDefault="0096524F" w:rsidP="0096524F">
      <w:pPr>
        <w:pStyle w:val="FootnoteText"/>
      </w:pPr>
      <w:r w:rsidRPr="0096524F">
        <w:rPr>
          <w:vertAlign w:val="superscript"/>
        </w:rPr>
        <w:footnoteRef/>
      </w:r>
      <w:r w:rsidRPr="0096524F">
        <w:t>2013 WL 12157828, 2013 BL 19594 (D.N.J.</w:t>
      </w:r>
      <w:r w:rsidRPr="0096524F">
        <w:t xml:space="preserve"> </w:t>
      </w:r>
      <w:r w:rsidRPr="0096524F">
        <w:t>Jan.</w:t>
      </w:r>
      <w:r w:rsidRPr="0096524F">
        <w:t xml:space="preserve"> </w:t>
      </w:r>
      <w:r w:rsidRPr="0096524F">
        <w:t>18, 2013).</w:t>
      </w:r>
    </w:p>
    <w:p w14:paraId="38522761" w14:textId="77777777" w:rsidR="0096524F" w:rsidRDefault="0096524F" w:rsidP="001C1BA8">
      <w:pPr>
        <w:pStyle w:val="footnote"/>
      </w:pPr>
    </w:p>
  </w:footnote>
  <w:footnote w:id="181">
    <w:p w14:paraId="79BC6DDE" w14:textId="76FF80B9"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*24.</w:t>
      </w:r>
    </w:p>
    <w:p w14:paraId="4CCFE4AB" w14:textId="77777777" w:rsidR="0096524F" w:rsidRDefault="0096524F" w:rsidP="00D758BD">
      <w:pPr>
        <w:pStyle w:val="footnote"/>
      </w:pPr>
    </w:p>
  </w:footnote>
  <w:footnote w:id="182">
    <w:p w14:paraId="48327E78" w14:textId="42FA2D1F"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*25.</w:t>
      </w:r>
    </w:p>
    <w:p w14:paraId="542AADDD" w14:textId="77777777" w:rsidR="0096524F" w:rsidRPr="00882ED4" w:rsidRDefault="0096524F" w:rsidP="00D758BD">
      <w:pPr>
        <w:pStyle w:val="footnote"/>
        <w:rPr>
          <w:lang w:val="da-DK"/>
        </w:rPr>
      </w:pPr>
    </w:p>
  </w:footnote>
  <w:footnote w:id="183">
    <w:p w14:paraId="0D8EFA14" w14:textId="12A1D81B"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*26.</w:t>
      </w:r>
    </w:p>
    <w:p w14:paraId="411C8E1C" w14:textId="77777777" w:rsidR="0096524F" w:rsidRPr="00882ED4" w:rsidRDefault="0096524F" w:rsidP="00D758BD">
      <w:pPr>
        <w:pStyle w:val="footnote"/>
        <w:rPr>
          <w:lang w:val="da-DK"/>
        </w:rPr>
      </w:pPr>
    </w:p>
  </w:footnote>
  <w:footnote w:id="184">
    <w:p w14:paraId="7F26D11D" w14:textId="65EC2F1D"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*26–27.</w:t>
      </w:r>
    </w:p>
    <w:p w14:paraId="0F314A76" w14:textId="77777777" w:rsidR="0096524F" w:rsidRPr="00882ED4" w:rsidRDefault="0096524F" w:rsidP="00D758BD">
      <w:pPr>
        <w:pStyle w:val="footnote"/>
        <w:rPr>
          <w:lang w:val="da-DK"/>
        </w:rPr>
      </w:pPr>
    </w:p>
  </w:footnote>
  <w:footnote w:id="185">
    <w:p w14:paraId="2216611F" w14:textId="30D86B4A"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*26.</w:t>
      </w:r>
    </w:p>
    <w:p w14:paraId="4F98AC37" w14:textId="77777777" w:rsidR="0096524F" w:rsidRDefault="0096524F" w:rsidP="00D758BD">
      <w:pPr>
        <w:pStyle w:val="footnote"/>
      </w:pPr>
    </w:p>
  </w:footnote>
  <w:footnote w:id="186">
    <w:p w14:paraId="11886DD8" w14:textId="7998C41B" w:rsidR="0096524F" w:rsidRPr="0096524F" w:rsidRDefault="0096524F" w:rsidP="0096524F">
      <w:pPr>
        <w:pStyle w:val="FootnoteText"/>
      </w:pPr>
      <w:r w:rsidRPr="0096524F">
        <w:rPr>
          <w:vertAlign w:val="superscript"/>
        </w:rPr>
        <w:footnoteRef/>
      </w:r>
      <w:r w:rsidRPr="0096524F">
        <w:t>110 USPQ2d 1404 (N.D.</w:t>
      </w:r>
      <w:r w:rsidRPr="0096524F">
        <w:t xml:space="preserve"> </w:t>
      </w:r>
      <w:r w:rsidRPr="0096524F">
        <w:t>Ill.</w:t>
      </w:r>
      <w:r w:rsidRPr="0096524F">
        <w:t xml:space="preserve"> </w:t>
      </w:r>
      <w:r w:rsidRPr="0096524F">
        <w:t>2014),</w:t>
      </w:r>
      <w:r w:rsidRPr="0096524F">
        <w:rPr>
          <w:i/>
        </w:rPr>
        <w:t xml:space="preserve"> aff’d</w:t>
      </w:r>
      <w:r w:rsidRPr="0096524F">
        <w:t>, 815 F.3d 1064, 117 USPQ2d 1879 (7th Cir.</w:t>
      </w:r>
      <w:r w:rsidRPr="0096524F">
        <w:t xml:space="preserve"> </w:t>
      </w:r>
      <w:r w:rsidRPr="0096524F">
        <w:t>2016).</w:t>
      </w:r>
    </w:p>
    <w:p w14:paraId="39EAB3A3" w14:textId="77777777" w:rsidR="0096524F" w:rsidRDefault="0096524F" w:rsidP="00D758BD">
      <w:pPr>
        <w:pStyle w:val="footnote"/>
      </w:pPr>
    </w:p>
  </w:footnote>
  <w:footnote w:id="187">
    <w:p w14:paraId="49AC13B5" w14:textId="74A831EC"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1409.</w:t>
      </w:r>
    </w:p>
    <w:p w14:paraId="697CDA26" w14:textId="77777777" w:rsidR="0096524F" w:rsidRDefault="0096524F" w:rsidP="00D758BD">
      <w:pPr>
        <w:pStyle w:val="footnote"/>
      </w:pPr>
    </w:p>
  </w:footnote>
  <w:footnote w:id="188">
    <w:p w14:paraId="7DDA41DA" w14:textId="17360ACB" w:rsidR="0096524F" w:rsidRPr="0096524F" w:rsidRDefault="0096524F" w:rsidP="0096524F">
      <w:pPr>
        <w:pStyle w:val="FootnoteText"/>
      </w:pPr>
      <w:r w:rsidRPr="0096524F">
        <w:rPr>
          <w:vertAlign w:val="superscript"/>
        </w:rPr>
        <w:footnoteRef/>
      </w:r>
      <w:r w:rsidRPr="0096524F">
        <w:t>Hugunin v.</w:t>
      </w:r>
      <w:r w:rsidRPr="0096524F">
        <w:t xml:space="preserve"> </w:t>
      </w:r>
      <w:r w:rsidRPr="0096524F">
        <w:t>Land O’ Lakes, Inc., 815 F.3d 1064, 1067, 117 USPQ2d 1879 (7th Cir.</w:t>
      </w:r>
      <w:r w:rsidRPr="0096524F">
        <w:t xml:space="preserve"> </w:t>
      </w:r>
      <w:r w:rsidRPr="0096524F">
        <w:t>2016).</w:t>
      </w:r>
      <w:r w:rsidRPr="0096524F">
        <w:t xml:space="preserve"> </w:t>
      </w:r>
      <w:r w:rsidRPr="0096524F">
        <w:t>Some of this language almost looks like the language of confusion, but it is clear that the court did not think that mere association would be sufficient to demonstrate dilution.</w:t>
      </w:r>
    </w:p>
    <w:p w14:paraId="391D5450" w14:textId="77777777" w:rsidR="0096524F" w:rsidRDefault="0096524F" w:rsidP="00D758BD">
      <w:pPr>
        <w:pStyle w:val="footnote"/>
      </w:pPr>
    </w:p>
  </w:footnote>
  <w:footnote w:id="189">
    <w:p w14:paraId="30975EBA" w14:textId="73901D26" w:rsidR="0096524F" w:rsidRPr="0096524F" w:rsidRDefault="0096524F" w:rsidP="0096524F">
      <w:pPr>
        <w:pStyle w:val="FootnoteText"/>
      </w:pPr>
      <w:r w:rsidRPr="0096524F">
        <w:rPr>
          <w:vertAlign w:val="superscript"/>
        </w:rPr>
        <w:footnoteRef/>
      </w:r>
      <w:r w:rsidRPr="0096524F">
        <w:t>156 F.</w:t>
      </w:r>
      <w:r w:rsidRPr="0096524F">
        <w:t xml:space="preserve"> </w:t>
      </w:r>
      <w:r w:rsidRPr="0096524F">
        <w:t>Supp.</w:t>
      </w:r>
      <w:r w:rsidRPr="0096524F">
        <w:t xml:space="preserve"> </w:t>
      </w:r>
      <w:r w:rsidRPr="0096524F">
        <w:t>3d 425, 117 USPQ2d 1537 (S.D.N.Y.</w:t>
      </w:r>
      <w:r w:rsidRPr="0096524F">
        <w:t xml:space="preserve"> </w:t>
      </w:r>
      <w:r w:rsidRPr="0096524F">
        <w:t xml:space="preserve">2016), </w:t>
      </w:r>
      <w:r w:rsidRPr="0096524F">
        <w:rPr>
          <w:i/>
        </w:rPr>
        <w:t>aff’d</w:t>
      </w:r>
      <w:r w:rsidRPr="0096524F">
        <w:t>, 674 F.</w:t>
      </w:r>
      <w:r w:rsidRPr="0096524F">
        <w:t xml:space="preserve"> </w:t>
      </w:r>
      <w:r w:rsidRPr="0096524F">
        <w:t>App’x 16 (2d Cir.</w:t>
      </w:r>
      <w:r w:rsidRPr="0096524F">
        <w:t xml:space="preserve"> </w:t>
      </w:r>
      <w:r w:rsidRPr="0096524F">
        <w:t>2016).</w:t>
      </w:r>
    </w:p>
    <w:p w14:paraId="3A19DA51" w14:textId="77777777" w:rsidR="0096524F" w:rsidRDefault="0096524F" w:rsidP="00D758BD">
      <w:pPr>
        <w:pStyle w:val="footnote"/>
      </w:pPr>
    </w:p>
  </w:footnote>
  <w:footnote w:id="190">
    <w:p w14:paraId="2F56F953" w14:textId="7830375F"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439.</w:t>
      </w:r>
      <w:r w:rsidRPr="0096524F">
        <w:t xml:space="preserve"> </w:t>
      </w:r>
      <w:r w:rsidRPr="0096524F">
        <w:t>As discussed in Chapter 10, §II.C, the court also found that the fair use exclusion barred any possible dilution liability (</w:t>
      </w:r>
      <w:r w:rsidRPr="0096524F">
        <w:rPr>
          <w:i/>
        </w:rPr>
        <w:t>id</w:t>
      </w:r>
      <w:r w:rsidRPr="0096524F">
        <w:t>.</w:t>
      </w:r>
      <w:r w:rsidRPr="0096524F">
        <w:t xml:space="preserve"> </w:t>
      </w:r>
      <w:r w:rsidRPr="0096524F">
        <w:t>at 435–38), a ruling that was affirmed by the Second Circuit.</w:t>
      </w:r>
      <w:r w:rsidRPr="0096524F">
        <w:t xml:space="preserve"> </w:t>
      </w:r>
      <w:r w:rsidRPr="0096524F">
        <w:t>674 F.</w:t>
      </w:r>
      <w:r w:rsidRPr="0096524F">
        <w:t xml:space="preserve"> </w:t>
      </w:r>
      <w:r w:rsidRPr="0096524F">
        <w:t>App’x 16 (2d Cir.</w:t>
      </w:r>
      <w:r w:rsidRPr="0096524F">
        <w:t xml:space="preserve"> </w:t>
      </w:r>
      <w:r w:rsidRPr="0096524F">
        <w:t>2016).</w:t>
      </w:r>
    </w:p>
    <w:p w14:paraId="36A7B314" w14:textId="77777777" w:rsidR="0096524F" w:rsidRDefault="0096524F" w:rsidP="00D758BD">
      <w:pPr>
        <w:pStyle w:val="footnote"/>
      </w:pPr>
    </w:p>
  </w:footnote>
  <w:footnote w:id="191">
    <w:p w14:paraId="27E6D39F" w14:textId="6CC936D0" w:rsidR="0096524F" w:rsidRPr="0096524F" w:rsidRDefault="0096524F" w:rsidP="0096524F">
      <w:pPr>
        <w:pStyle w:val="FootnoteText"/>
      </w:pPr>
      <w:r w:rsidRPr="0096524F">
        <w:rPr>
          <w:vertAlign w:val="superscript"/>
        </w:rPr>
        <w:footnoteRef/>
      </w:r>
      <w:r w:rsidRPr="0096524F">
        <w:rPr>
          <w:i/>
        </w:rPr>
        <w:t>My Other Bag</w:t>
      </w:r>
      <w:r w:rsidRPr="0096524F">
        <w:t>, 156 F.</w:t>
      </w:r>
      <w:r w:rsidRPr="0096524F">
        <w:t xml:space="preserve"> </w:t>
      </w:r>
      <w:r w:rsidRPr="0096524F">
        <w:t>Supp.</w:t>
      </w:r>
      <w:r w:rsidRPr="0096524F">
        <w:t xml:space="preserve"> </w:t>
      </w:r>
      <w:r w:rsidRPr="0096524F">
        <w:t>3d at 439.</w:t>
      </w:r>
    </w:p>
    <w:p w14:paraId="5D513820" w14:textId="77777777" w:rsidR="0096524F" w:rsidRDefault="0096524F" w:rsidP="00D758BD">
      <w:pPr>
        <w:pStyle w:val="footnote"/>
      </w:pPr>
    </w:p>
  </w:footnote>
  <w:footnote w:id="192">
    <w:p w14:paraId="26730C44" w14:textId="075C2B83" w:rsidR="0096524F" w:rsidRPr="0096524F" w:rsidRDefault="0096524F" w:rsidP="0096524F">
      <w:pPr>
        <w:pStyle w:val="FootnoteText"/>
      </w:pPr>
      <w:r w:rsidRPr="0096524F">
        <w:rPr>
          <w:vertAlign w:val="superscript"/>
        </w:rPr>
        <w:footnoteRef/>
      </w:r>
      <w:r w:rsidRPr="0096524F">
        <w:t>Louis Vuitton Malletier, S.A.</w:t>
      </w:r>
      <w:r w:rsidRPr="0096524F">
        <w:t xml:space="preserve"> </w:t>
      </w:r>
      <w:r w:rsidRPr="0096524F">
        <w:t>v.</w:t>
      </w:r>
      <w:r w:rsidRPr="0096524F">
        <w:t xml:space="preserve"> </w:t>
      </w:r>
      <w:r w:rsidRPr="0096524F">
        <w:t>Haute Diggity Dog, LLC, 507 F.3d 252 (4th Cir.</w:t>
      </w:r>
      <w:r w:rsidRPr="0096524F">
        <w:t xml:space="preserve"> </w:t>
      </w:r>
      <w:r w:rsidRPr="0096524F">
        <w:t>2007).</w:t>
      </w:r>
    </w:p>
    <w:p w14:paraId="26AA4666" w14:textId="77777777" w:rsidR="0096524F" w:rsidRDefault="0096524F" w:rsidP="00D758BD">
      <w:pPr>
        <w:pStyle w:val="footnote"/>
      </w:pPr>
    </w:p>
  </w:footnote>
  <w:footnote w:id="193">
    <w:p w14:paraId="5E170413" w14:textId="47324FD1" w:rsidR="0096524F" w:rsidRPr="0096524F" w:rsidRDefault="0096524F" w:rsidP="0096524F">
      <w:pPr>
        <w:pStyle w:val="FootnoteText"/>
      </w:pPr>
      <w:r w:rsidRPr="0096524F">
        <w:rPr>
          <w:vertAlign w:val="superscript"/>
        </w:rPr>
        <w:footnoteRef/>
      </w:r>
      <w:r w:rsidRPr="0096524F">
        <w:rPr>
          <w:i/>
        </w:rPr>
        <w:t>My Other Bag</w:t>
      </w:r>
      <w:r w:rsidRPr="0096524F">
        <w:t>, 156 F.</w:t>
      </w:r>
      <w:r w:rsidRPr="0096524F">
        <w:t xml:space="preserve"> </w:t>
      </w:r>
      <w:r w:rsidRPr="0096524F">
        <w:t>Supp.</w:t>
      </w:r>
      <w:r w:rsidRPr="0096524F">
        <w:t xml:space="preserve"> </w:t>
      </w:r>
      <w:r w:rsidRPr="0096524F">
        <w:t>3d at 440.</w:t>
      </w:r>
      <w:r w:rsidRPr="0096524F">
        <w:t xml:space="preserve"> </w:t>
      </w:r>
      <w:r w:rsidRPr="0096524F">
        <w:rPr>
          <w:i/>
        </w:rPr>
        <w:t>See</w:t>
      </w:r>
      <w:r w:rsidRPr="0096524F">
        <w:t xml:space="preserve"> Patagonia, Inc.</w:t>
      </w:r>
      <w:r w:rsidRPr="0096524F">
        <w:t xml:space="preserve"> </w:t>
      </w:r>
      <w:r w:rsidRPr="0096524F">
        <w:t>v.</w:t>
      </w:r>
      <w:r w:rsidRPr="0096524F">
        <w:t xml:space="preserve"> </w:t>
      </w:r>
      <w:r w:rsidRPr="0096524F">
        <w:t>PT Apparel LLC,</w:t>
      </w:r>
    </w:p>
    <w:p w14:paraId="340429D1" w14:textId="77777777" w:rsidR="0096524F" w:rsidRPr="001C6E36" w:rsidRDefault="0096524F" w:rsidP="0096524F">
      <w:pPr>
        <w:pStyle w:val="FootnoteText"/>
      </w:pPr>
      <w:r w:rsidRPr="0096524F">
        <w:t>2023 BL 263683, at *6–7 (C.D.</w:t>
      </w:r>
      <w:r w:rsidRPr="0096524F">
        <w:t xml:space="preserve"> </w:t>
      </w:r>
      <w:r w:rsidRPr="0096524F">
        <w:t>Cal.</w:t>
      </w:r>
      <w:r w:rsidRPr="0096524F">
        <w:t xml:space="preserve"> </w:t>
      </w:r>
      <w:r w:rsidRPr="0096524F">
        <w:t>Aug.</w:t>
      </w:r>
      <w:r w:rsidRPr="0096524F">
        <w:t xml:space="preserve"> </w:t>
      </w:r>
      <w:r w:rsidRPr="0096524F">
        <w:t>1, 2023) (granting default judgment, finding dilution by blurring via several parody-like uses of the Patagonia mark);</w:t>
      </w:r>
      <w:r w:rsidRPr="0096524F">
        <w:t xml:space="preserve"> </w:t>
      </w:r>
      <w:r w:rsidRPr="0096524F">
        <w:t>Carter-Knowles v.</w:t>
      </w:r>
      <w:r w:rsidRPr="0096524F">
        <w:t xml:space="preserve"> </w:t>
      </w:r>
      <w:r w:rsidRPr="0096524F">
        <w:t>Feyonce, Inc., 347 F.</w:t>
      </w:r>
      <w:r w:rsidRPr="0096524F">
        <w:t xml:space="preserve"> </w:t>
      </w:r>
      <w:r w:rsidRPr="0096524F">
        <w:t>Supp.</w:t>
      </w:r>
      <w:r w:rsidRPr="0096524F">
        <w:t xml:space="preserve"> </w:t>
      </w:r>
      <w:r w:rsidRPr="0096524F">
        <w:t>3d 217, 228 (S.D.N.Y.</w:t>
      </w:r>
      <w:r w:rsidRPr="0096524F">
        <w:t xml:space="preserve"> </w:t>
      </w:r>
      <w:r w:rsidRPr="0096524F">
        <w:t>2018) (denying summary judgment, finding that the parody-like use of “Feyonce” as a mark created an issue of fact as to likelihood of dilution).</w:t>
      </w:r>
    </w:p>
  </w:footnote>
  <w:footnote w:id="194">
    <w:p w14:paraId="38BEAED7" w14:textId="41595C28" w:rsidR="0096524F" w:rsidRPr="0096524F" w:rsidRDefault="0096524F" w:rsidP="0096524F">
      <w:pPr>
        <w:pStyle w:val="FootnoteText"/>
      </w:pPr>
      <w:r w:rsidRPr="0096524F">
        <w:rPr>
          <w:vertAlign w:val="superscript"/>
        </w:rPr>
        <w:footnoteRef/>
      </w:r>
      <w:r w:rsidRPr="0096524F">
        <w:t xml:space="preserve">The court in </w:t>
      </w:r>
      <w:r w:rsidRPr="0096524F">
        <w:rPr>
          <w:i/>
        </w:rPr>
        <w:t>My Other Bag</w:t>
      </w:r>
      <w:r w:rsidRPr="0096524F">
        <w:t xml:space="preserve"> specifically rejected the analysis of </w:t>
      </w:r>
      <w:r w:rsidRPr="0096524F">
        <w:rPr>
          <w:rStyle w:val="BCasenamefull"/>
        </w:rPr>
        <w:t>Louis Vuitton Malletier, S.A. v. Hyundai Motor Am.</w:t>
      </w:r>
      <w:r w:rsidRPr="0096524F">
        <w:t>, 2012 BL 388427 (S.D.N.Y.</w:t>
      </w:r>
      <w:r w:rsidRPr="0096524F">
        <w:t xml:space="preserve"> </w:t>
      </w:r>
      <w:r w:rsidRPr="0096524F">
        <w:t>Mar.</w:t>
      </w:r>
      <w:r w:rsidRPr="0096524F">
        <w:t xml:space="preserve"> </w:t>
      </w:r>
      <w:r w:rsidRPr="0096524F">
        <w:t>22, 2012), in which a court found Hyundai’s use of a gold basketball with a Louis Vuitton trademark to be blurring.</w:t>
      </w:r>
      <w:r w:rsidRPr="0096524F">
        <w:t xml:space="preserve"> </w:t>
      </w:r>
      <w:r w:rsidRPr="0096524F">
        <w:t xml:space="preserve">The </w:t>
      </w:r>
      <w:r w:rsidRPr="0096524F">
        <w:rPr>
          <w:i/>
        </w:rPr>
        <w:t>My Other Bag</w:t>
      </w:r>
      <w:r w:rsidRPr="0096524F">
        <w:t xml:space="preserve"> court stated that the </w:t>
      </w:r>
      <w:r w:rsidRPr="0096524F">
        <w:rPr>
          <w:i/>
        </w:rPr>
        <w:t>Hyundai</w:t>
      </w:r>
      <w:r w:rsidRPr="0096524F">
        <w:t xml:space="preserve"> court “blurred the distinction between association and dilution.” 156 F.</w:t>
      </w:r>
      <w:r w:rsidRPr="0096524F">
        <w:t xml:space="preserve"> </w:t>
      </w:r>
      <w:r w:rsidRPr="0096524F">
        <w:t>Supp.</w:t>
      </w:r>
      <w:r w:rsidRPr="0096524F">
        <w:t xml:space="preserve"> </w:t>
      </w:r>
      <w:r w:rsidRPr="0096524F">
        <w:t>3d at 436 n.4.</w:t>
      </w:r>
    </w:p>
    <w:p w14:paraId="06463FA2" w14:textId="77777777" w:rsidR="0096524F" w:rsidRDefault="0096524F" w:rsidP="00D758BD">
      <w:pPr>
        <w:pStyle w:val="footnote"/>
      </w:pPr>
    </w:p>
  </w:footnote>
  <w:footnote w:id="195">
    <w:p w14:paraId="3D1BC7CB" w14:textId="1CFA13AF" w:rsidR="0096524F" w:rsidRPr="0096524F" w:rsidRDefault="0096524F" w:rsidP="0096524F">
      <w:pPr>
        <w:pStyle w:val="FootnoteText"/>
      </w:pPr>
      <w:r w:rsidRPr="0096524F">
        <w:rPr>
          <w:vertAlign w:val="superscript"/>
        </w:rPr>
        <w:footnoteRef/>
      </w:r>
      <w:r w:rsidRPr="0096524F">
        <w:t>117 USPQ2d 1327 (C.D.</w:t>
      </w:r>
      <w:r w:rsidRPr="0096524F">
        <w:t xml:space="preserve"> </w:t>
      </w:r>
      <w:r w:rsidRPr="0096524F">
        <w:t>Cal.</w:t>
      </w:r>
      <w:r w:rsidRPr="0096524F">
        <w:t xml:space="preserve"> </w:t>
      </w:r>
      <w:r w:rsidRPr="0096524F">
        <w:t>Dec.</w:t>
      </w:r>
      <w:r w:rsidRPr="0096524F">
        <w:t xml:space="preserve"> </w:t>
      </w:r>
      <w:r w:rsidRPr="0096524F">
        <w:t>15, 2015).</w:t>
      </w:r>
    </w:p>
    <w:p w14:paraId="6DCC900F" w14:textId="77777777" w:rsidR="0096524F" w:rsidRDefault="0096524F" w:rsidP="00D758BD">
      <w:pPr>
        <w:pStyle w:val="footnote"/>
      </w:pPr>
    </w:p>
  </w:footnote>
  <w:footnote w:id="196">
    <w:p w14:paraId="084EDC29" w14:textId="1C31517D"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1329.</w:t>
      </w:r>
    </w:p>
    <w:p w14:paraId="5460BA54" w14:textId="77777777" w:rsidR="0096524F" w:rsidRDefault="0096524F" w:rsidP="00D758BD">
      <w:pPr>
        <w:pStyle w:val="footnote"/>
      </w:pPr>
    </w:p>
  </w:footnote>
  <w:footnote w:id="197">
    <w:p w14:paraId="3EC51681" w14:textId="1B7339A1"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1330–32, 1334.</w:t>
      </w:r>
      <w:r w:rsidRPr="0096524F">
        <w:t xml:space="preserve"> </w:t>
      </w:r>
      <w:r w:rsidRPr="0096524F">
        <w:t xml:space="preserve">Readers should also note the effect of the Supreme Court’s decision in </w:t>
      </w:r>
      <w:r w:rsidRPr="0096524F">
        <w:rPr>
          <w:rStyle w:val="BCasenamefull"/>
        </w:rPr>
        <w:t xml:space="preserve">Jack Daniel’s Props, Inc. v. VIP Prods. LLC, </w:t>
      </w:r>
      <w:r w:rsidRPr="0096524F">
        <w:t>599 U.S.</w:t>
      </w:r>
      <w:r w:rsidRPr="0096524F">
        <w:t xml:space="preserve"> </w:t>
      </w:r>
      <w:r w:rsidRPr="0096524F">
        <w:t>140 (2023), discussed in Chapter 10, regarding the application of the noncommercial use exclusion to parody cases.</w:t>
      </w:r>
      <w:r w:rsidRPr="0096524F">
        <w:t xml:space="preserve"> </w:t>
      </w:r>
      <w:r w:rsidRPr="0096524F">
        <w:t>Even in non-parody cases, it may be difficult to dismiss dilution cases at the pleading stage.</w:t>
      </w:r>
      <w:r w:rsidRPr="0096524F">
        <w:t xml:space="preserve"> </w:t>
      </w:r>
      <w:r w:rsidRPr="0096524F">
        <w:rPr>
          <w:i/>
        </w:rPr>
        <w:t>See, e.g.</w:t>
      </w:r>
      <w:r w:rsidRPr="0096524F">
        <w:t>, Mighty Deer Lick, Inc.</w:t>
      </w:r>
      <w:r w:rsidRPr="0096524F">
        <w:t xml:space="preserve"> </w:t>
      </w:r>
      <w:r w:rsidRPr="0096524F">
        <w:t>v.</w:t>
      </w:r>
      <w:r w:rsidRPr="0096524F">
        <w:t xml:space="preserve"> </w:t>
      </w:r>
      <w:r w:rsidRPr="0096524F">
        <w:t>Morton Salt Inc., No.</w:t>
      </w:r>
      <w:r w:rsidRPr="0096524F">
        <w:t xml:space="preserve"> </w:t>
      </w:r>
      <w:r w:rsidRPr="0096524F">
        <w:t>17-cv-05875,</w:t>
      </w:r>
    </w:p>
    <w:p w14:paraId="29FD2343" w14:textId="77777777" w:rsidR="0096524F" w:rsidRPr="00B76097" w:rsidRDefault="0096524F" w:rsidP="0096524F">
      <w:pPr>
        <w:pStyle w:val="FootnoteText"/>
      </w:pPr>
      <w:r w:rsidRPr="0096524F">
        <w:t>2020 BL 48992, at *8 (N.D.</w:t>
      </w:r>
      <w:r w:rsidRPr="0096524F">
        <w:t xml:space="preserve"> </w:t>
      </w:r>
      <w:r w:rsidRPr="0096524F">
        <w:t>Ill.</w:t>
      </w:r>
      <w:r w:rsidRPr="0096524F">
        <w:t xml:space="preserve"> </w:t>
      </w:r>
      <w:r w:rsidRPr="0096524F">
        <w:t>Feb.</w:t>
      </w:r>
      <w:r w:rsidRPr="0096524F">
        <w:t xml:space="preserve"> </w:t>
      </w:r>
      <w:r w:rsidRPr="0096524F">
        <w:t>11, 2020) (declining to dismiss complaint).</w:t>
      </w:r>
    </w:p>
  </w:footnote>
  <w:footnote w:id="198">
    <w:p w14:paraId="2F6A1F3B" w14:textId="0B944ECC" w:rsidR="0096524F" w:rsidRPr="0096524F" w:rsidRDefault="0096524F" w:rsidP="0096524F">
      <w:pPr>
        <w:pStyle w:val="FootnoteText"/>
      </w:pPr>
      <w:r w:rsidRPr="0096524F">
        <w:rPr>
          <w:vertAlign w:val="superscript"/>
        </w:rPr>
        <w:footnoteRef/>
      </w:r>
      <w:r w:rsidRPr="0096524F">
        <w:t>736 F.3d 198, 108 USPQ2d 1581 (2d Cir.</w:t>
      </w:r>
      <w:r w:rsidRPr="0096524F">
        <w:t xml:space="preserve"> </w:t>
      </w:r>
      <w:r w:rsidRPr="0096524F">
        <w:t>2013).</w:t>
      </w:r>
    </w:p>
    <w:p w14:paraId="153CEA03" w14:textId="77777777" w:rsidR="0096524F" w:rsidRPr="00882ED4" w:rsidRDefault="0096524F" w:rsidP="00D758BD">
      <w:pPr>
        <w:pStyle w:val="footnote"/>
        <w:rPr>
          <w:lang w:val="es-US"/>
        </w:rPr>
      </w:pPr>
    </w:p>
  </w:footnote>
  <w:footnote w:id="199">
    <w:p w14:paraId="14EE46B0" w14:textId="06A5DE1B" w:rsidR="0096524F" w:rsidRPr="0096524F" w:rsidRDefault="0096524F" w:rsidP="0096524F">
      <w:pPr>
        <w:pStyle w:val="FootnoteText"/>
      </w:pPr>
      <w:r w:rsidRPr="0096524F">
        <w:rPr>
          <w:vertAlign w:val="superscript"/>
        </w:rPr>
        <w:footnoteRef/>
      </w:r>
      <w:r w:rsidRPr="0096524F">
        <w:t>The previous two opinions are reported at 588 F.3d 97, 92 USPQ2d 1769 (2d Cir.</w:t>
      </w:r>
      <w:r w:rsidRPr="0096524F">
        <w:t xml:space="preserve"> </w:t>
      </w:r>
      <w:r w:rsidRPr="0096524F">
        <w:t>2009), and 477 F.3d 765, 81 USPQ2d 1927 (2d Cir.</w:t>
      </w:r>
      <w:r w:rsidRPr="0096524F">
        <w:t xml:space="preserve"> </w:t>
      </w:r>
      <w:r w:rsidRPr="0096524F">
        <w:t>2007).</w:t>
      </w:r>
    </w:p>
    <w:p w14:paraId="141A7A26" w14:textId="77777777" w:rsidR="0096524F" w:rsidRDefault="0096524F" w:rsidP="00D758BD">
      <w:pPr>
        <w:pStyle w:val="footnote"/>
      </w:pPr>
    </w:p>
  </w:footnote>
  <w:footnote w:id="200">
    <w:p w14:paraId="3CC4FC9E" w14:textId="2D8A07DD" w:rsidR="0096524F" w:rsidRDefault="0096524F" w:rsidP="0096524F">
      <w:pPr>
        <w:pStyle w:val="FootnoteText"/>
      </w:pPr>
      <w:r w:rsidRPr="0096524F">
        <w:rPr>
          <w:vertAlign w:val="superscript"/>
        </w:rPr>
        <w:footnoteRef/>
      </w:r>
      <w:r w:rsidRPr="0096524F">
        <w:t>588 F.3d at 108.</w:t>
      </w:r>
      <w:r w:rsidRPr="0096524F">
        <w:t xml:space="preserve"> </w:t>
      </w:r>
      <w:r w:rsidRPr="0096524F">
        <w:t xml:space="preserve">The Ninth Circuit followed this portion of the opinion in </w:t>
      </w:r>
      <w:r w:rsidRPr="0096524F">
        <w:rPr>
          <w:i/>
        </w:rPr>
        <w:t>Levi Strauss &amp; Co</w:t>
      </w:r>
      <w:r w:rsidRPr="0096524F">
        <w:t>.</w:t>
      </w:r>
      <w:r w:rsidRPr="0096524F">
        <w:t xml:space="preserve"> </w:t>
      </w:r>
      <w:r w:rsidRPr="0096524F">
        <w:rPr>
          <w:i/>
        </w:rPr>
        <w:t>v</w:t>
      </w:r>
      <w:r w:rsidRPr="0096524F">
        <w:t>.</w:t>
      </w:r>
      <w:r w:rsidRPr="0096524F">
        <w:t xml:space="preserve"> </w:t>
      </w:r>
      <w:r w:rsidRPr="0096524F">
        <w:rPr>
          <w:i/>
        </w:rPr>
        <w:t>Abercrombie &amp; Fitch Trading Co</w:t>
      </w:r>
      <w:r w:rsidRPr="0096524F">
        <w:t>., 633 F.3d 1158, 1172–73, 97 USPQ2d 1947 (9th Cir.</w:t>
      </w:r>
      <w:r w:rsidRPr="0096524F">
        <w:t xml:space="preserve"> </w:t>
      </w:r>
      <w:r w:rsidRPr="0096524F">
        <w:t>2011).</w:t>
      </w:r>
      <w:r w:rsidRPr="0096524F">
        <w:t xml:space="preserve"> </w:t>
      </w:r>
      <w:r w:rsidRPr="0096524F">
        <w:t>This aspect of the decision is discussed in more detail below in §III.A.</w:t>
      </w:r>
      <w:r w:rsidRPr="0096524F">
        <w:t xml:space="preserve"> </w:t>
      </w:r>
      <w:r w:rsidRPr="0096524F">
        <w:t>of this chapter.</w:t>
      </w:r>
    </w:p>
  </w:footnote>
  <w:footnote w:id="201">
    <w:p w14:paraId="4487F722" w14:textId="235C7CD5" w:rsidR="0096524F" w:rsidRPr="0096524F" w:rsidRDefault="0096524F" w:rsidP="0096524F">
      <w:pPr>
        <w:pStyle w:val="FootnoteText"/>
      </w:pPr>
      <w:r w:rsidRPr="0096524F">
        <w:rPr>
          <w:vertAlign w:val="superscript"/>
        </w:rPr>
        <w:footnoteRef/>
      </w:r>
      <w:r w:rsidRPr="0096524F">
        <w:t>588 F.3d at 106–07.</w:t>
      </w:r>
      <w:r w:rsidRPr="0096524F">
        <w:t xml:space="preserve"> </w:t>
      </w:r>
      <w:r w:rsidRPr="0096524F">
        <w:t xml:space="preserve">The Second Circuit adhered to that decision in </w:t>
      </w:r>
      <w:r w:rsidRPr="0096524F">
        <w:rPr>
          <w:i/>
        </w:rPr>
        <w:t>Starbucks VI</w:t>
      </w:r>
      <w:r w:rsidRPr="0096524F">
        <w:t>.</w:t>
      </w:r>
      <w:r w:rsidRPr="0096524F">
        <w:t xml:space="preserve"> </w:t>
      </w:r>
      <w:r w:rsidRPr="0096524F">
        <w:t>736 F.3d at 208.</w:t>
      </w:r>
    </w:p>
    <w:p w14:paraId="2F20A686" w14:textId="77777777" w:rsidR="0096524F" w:rsidRDefault="0096524F" w:rsidP="00D758BD">
      <w:pPr>
        <w:pStyle w:val="footnote"/>
      </w:pPr>
    </w:p>
  </w:footnote>
  <w:footnote w:id="202">
    <w:p w14:paraId="261D6345" w14:textId="5984D34C" w:rsidR="0096524F" w:rsidRPr="0096524F" w:rsidRDefault="0096524F" w:rsidP="0096524F">
      <w:pPr>
        <w:pStyle w:val="FootnoteText"/>
      </w:pPr>
      <w:r w:rsidRPr="0096524F">
        <w:rPr>
          <w:vertAlign w:val="superscript"/>
        </w:rPr>
        <w:footnoteRef/>
      </w:r>
      <w:r w:rsidRPr="0096524F">
        <w:t>588 F.3d at 107, 108.</w:t>
      </w:r>
    </w:p>
    <w:p w14:paraId="5076243C" w14:textId="77777777" w:rsidR="0096524F" w:rsidRDefault="0096524F" w:rsidP="00D758BD">
      <w:pPr>
        <w:pStyle w:val="footnote"/>
      </w:pPr>
    </w:p>
  </w:footnote>
  <w:footnote w:id="203">
    <w:p w14:paraId="2B3E4269" w14:textId="2C0B622F"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109.</w:t>
      </w:r>
      <w:r w:rsidRPr="0096524F">
        <w:t xml:space="preserve"> </w:t>
      </w:r>
      <w:r w:rsidRPr="0096524F">
        <w:t xml:space="preserve">Curiously, a district court, while citing the </w:t>
      </w:r>
      <w:r w:rsidRPr="0096524F">
        <w:rPr>
          <w:i/>
        </w:rPr>
        <w:t>Starbucks IV</w:t>
      </w:r>
      <w:r w:rsidRPr="0096524F">
        <w:t xml:space="preserve"> opinion, analogized this factor to “bad faith” factors in infringement.</w:t>
      </w:r>
      <w:r w:rsidRPr="0096524F">
        <w:t xml:space="preserve"> </w:t>
      </w:r>
      <w:r w:rsidRPr="0096524F">
        <w:t>Bath &amp; Body Works Brand Mgmt.</w:t>
      </w:r>
      <w:r w:rsidRPr="0096524F">
        <w:t xml:space="preserve"> </w:t>
      </w:r>
      <w:r w:rsidRPr="0096524F">
        <w:t>v.</w:t>
      </w:r>
      <w:r w:rsidRPr="0096524F">
        <w:t xml:space="preserve"> </w:t>
      </w:r>
      <w:r w:rsidRPr="0096524F">
        <w:t>Summit Entm’t, LLC, 7 F.</w:t>
      </w:r>
      <w:r w:rsidRPr="0096524F">
        <w:t xml:space="preserve"> </w:t>
      </w:r>
      <w:r w:rsidRPr="0096524F">
        <w:t>Supp.</w:t>
      </w:r>
      <w:r w:rsidRPr="0096524F">
        <w:t xml:space="preserve"> </w:t>
      </w:r>
      <w:r w:rsidRPr="0096524F">
        <w:t>3d 385, 400 (S.D.N.Y.</w:t>
      </w:r>
      <w:r w:rsidRPr="0096524F">
        <w:t xml:space="preserve"> </w:t>
      </w:r>
      <w:r w:rsidRPr="0096524F">
        <w:t>2014).</w:t>
      </w:r>
    </w:p>
    <w:p w14:paraId="0E86789D" w14:textId="77777777" w:rsidR="0096524F" w:rsidRDefault="0096524F" w:rsidP="00D758BD">
      <w:pPr>
        <w:pStyle w:val="footnote"/>
      </w:pPr>
    </w:p>
  </w:footnote>
  <w:footnote w:id="204">
    <w:p w14:paraId="66BD4444" w14:textId="73CADDFE" w:rsidR="0096524F" w:rsidRPr="0096524F" w:rsidRDefault="0096524F" w:rsidP="0096524F">
      <w:pPr>
        <w:pStyle w:val="FootnoteText"/>
      </w:pPr>
      <w:r w:rsidRPr="0096524F">
        <w:rPr>
          <w:vertAlign w:val="superscript"/>
        </w:rPr>
        <w:footnoteRef/>
      </w:r>
      <w:r w:rsidRPr="0096524F">
        <w:t>588 F.3d at 109.</w:t>
      </w:r>
    </w:p>
    <w:p w14:paraId="05F0E0CA" w14:textId="77777777" w:rsidR="0096524F" w:rsidRPr="00882ED4" w:rsidRDefault="0096524F" w:rsidP="00D758BD">
      <w:pPr>
        <w:pStyle w:val="footnote"/>
        <w:rPr>
          <w:lang w:val="da-DK"/>
        </w:rPr>
      </w:pPr>
    </w:p>
  </w:footnote>
  <w:footnote w:id="205">
    <w:p w14:paraId="1A8B1FC3" w14:textId="4BC27A31" w:rsidR="0096524F" w:rsidRPr="0096524F" w:rsidRDefault="0096524F" w:rsidP="0096524F">
      <w:pPr>
        <w:pStyle w:val="FootnoteText"/>
      </w:pPr>
      <w:r w:rsidRPr="0096524F">
        <w:rPr>
          <w:vertAlign w:val="superscript"/>
        </w:rPr>
        <w:footnoteRef/>
      </w:r>
      <w:r w:rsidRPr="0096524F">
        <w:rPr>
          <w:i/>
        </w:rPr>
        <w:t>Id</w:t>
      </w:r>
      <w:r w:rsidRPr="0096524F">
        <w:t>.</w:t>
      </w:r>
    </w:p>
    <w:p w14:paraId="664E4305" w14:textId="77777777" w:rsidR="0096524F" w:rsidRPr="00882ED4" w:rsidRDefault="0096524F" w:rsidP="00D758BD">
      <w:pPr>
        <w:pStyle w:val="footnote"/>
        <w:rPr>
          <w:lang w:val="da-DK"/>
        </w:rPr>
      </w:pPr>
    </w:p>
  </w:footnote>
  <w:footnote w:id="206">
    <w:p w14:paraId="1D8EB4D4" w14:textId="7ED690D3" w:rsidR="0096524F" w:rsidRPr="0096524F" w:rsidRDefault="0096524F" w:rsidP="0096524F">
      <w:pPr>
        <w:pStyle w:val="FootnoteText"/>
      </w:pPr>
      <w:r w:rsidRPr="0096524F">
        <w:rPr>
          <w:vertAlign w:val="superscript"/>
        </w:rPr>
        <w:footnoteRef/>
      </w:r>
      <w:r w:rsidRPr="0096524F">
        <w:rPr>
          <w:i/>
        </w:rPr>
        <w:t>Id</w:t>
      </w:r>
      <w:r w:rsidRPr="0096524F">
        <w:t>.</w:t>
      </w:r>
    </w:p>
    <w:p w14:paraId="06BBF333" w14:textId="77777777" w:rsidR="0096524F" w:rsidRPr="00882ED4" w:rsidRDefault="0096524F" w:rsidP="00D758BD">
      <w:pPr>
        <w:pStyle w:val="footnote"/>
        <w:rPr>
          <w:lang w:val="da-DK"/>
        </w:rPr>
      </w:pPr>
    </w:p>
  </w:footnote>
  <w:footnote w:id="207">
    <w:p w14:paraId="24F1D172" w14:textId="087EE57E"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109–10.</w:t>
      </w:r>
    </w:p>
    <w:p w14:paraId="6BFCBC68" w14:textId="77777777" w:rsidR="0096524F" w:rsidRPr="00882ED4" w:rsidRDefault="0096524F" w:rsidP="00D758BD">
      <w:pPr>
        <w:pStyle w:val="footnote"/>
        <w:rPr>
          <w:lang w:val="da-DK"/>
        </w:rPr>
      </w:pPr>
    </w:p>
  </w:footnote>
  <w:footnote w:id="208">
    <w:p w14:paraId="72867C53" w14:textId="5EFED06F" w:rsidR="0096524F" w:rsidRPr="0096524F" w:rsidRDefault="0096524F" w:rsidP="0096524F">
      <w:pPr>
        <w:pStyle w:val="FootnoteText"/>
      </w:pPr>
      <w:r w:rsidRPr="0096524F">
        <w:rPr>
          <w:vertAlign w:val="superscript"/>
        </w:rPr>
        <w:footnoteRef/>
      </w:r>
      <w:r w:rsidRPr="0096524F">
        <w:t>Starbucks Corp.</w:t>
      </w:r>
      <w:r w:rsidRPr="0096524F">
        <w:t xml:space="preserve"> </w:t>
      </w:r>
      <w:r w:rsidRPr="0096524F">
        <w:t>v.</w:t>
      </w:r>
      <w:r w:rsidRPr="0096524F">
        <w:t xml:space="preserve"> </w:t>
      </w:r>
      <w:r w:rsidRPr="0096524F">
        <w:t>Wolfe’s Borough Coffee, Inc., 101 USPQ2d 1212, 1217 (S.D.N.Y.</w:t>
      </w:r>
      <w:r w:rsidRPr="0096524F">
        <w:t xml:space="preserve"> </w:t>
      </w:r>
      <w:r w:rsidRPr="0096524F">
        <w:t>2011).</w:t>
      </w:r>
    </w:p>
    <w:p w14:paraId="2C5C6162" w14:textId="77777777" w:rsidR="0096524F" w:rsidRPr="00882ED4" w:rsidRDefault="0096524F" w:rsidP="00D758BD">
      <w:pPr>
        <w:pStyle w:val="footnote"/>
        <w:rPr>
          <w:lang w:val="da-DK"/>
        </w:rPr>
      </w:pPr>
    </w:p>
  </w:footnote>
  <w:footnote w:id="209">
    <w:p w14:paraId="497360D1" w14:textId="5BDED13B"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1216.</w:t>
      </w:r>
      <w:r w:rsidRPr="0096524F">
        <w:t xml:space="preserve"> </w:t>
      </w:r>
      <w:r w:rsidRPr="0096524F">
        <w:t xml:space="preserve">Here the court cited the Second Circuit’s opinion in </w:t>
      </w:r>
      <w:r w:rsidRPr="0096524F">
        <w:rPr>
          <w:i/>
        </w:rPr>
        <w:t>Starbucks II</w:t>
      </w:r>
      <w:r w:rsidRPr="0096524F">
        <w:t xml:space="preserve"> (the first appeal).</w:t>
      </w:r>
    </w:p>
    <w:p w14:paraId="6A560ADD" w14:textId="77777777" w:rsidR="0096524F" w:rsidRDefault="0096524F" w:rsidP="00D758BD">
      <w:pPr>
        <w:pStyle w:val="footnote"/>
      </w:pPr>
    </w:p>
  </w:footnote>
  <w:footnote w:id="210">
    <w:p w14:paraId="566B9387" w14:textId="0E0DA851"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1215–16.</w:t>
      </w:r>
    </w:p>
    <w:p w14:paraId="78077549" w14:textId="77777777" w:rsidR="0096524F" w:rsidRPr="00882ED4" w:rsidRDefault="0096524F" w:rsidP="00D758BD">
      <w:pPr>
        <w:pStyle w:val="footnote"/>
        <w:rPr>
          <w:lang w:val="da-DK"/>
        </w:rPr>
      </w:pPr>
    </w:p>
  </w:footnote>
  <w:footnote w:id="211">
    <w:p w14:paraId="68312986" w14:textId="3CFEE3C6"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1217.</w:t>
      </w:r>
    </w:p>
    <w:p w14:paraId="4112DFA8" w14:textId="77777777" w:rsidR="0096524F" w:rsidRPr="00882ED4" w:rsidRDefault="0096524F" w:rsidP="00D758BD">
      <w:pPr>
        <w:pStyle w:val="footnote"/>
        <w:rPr>
          <w:lang w:val="da-DK"/>
        </w:rPr>
      </w:pPr>
    </w:p>
  </w:footnote>
  <w:footnote w:id="212">
    <w:p w14:paraId="7D7369BF" w14:textId="1974ED30"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1216.</w:t>
      </w:r>
    </w:p>
    <w:p w14:paraId="4FACBE85" w14:textId="77777777" w:rsidR="0096524F" w:rsidRPr="00882ED4" w:rsidRDefault="0096524F" w:rsidP="00D758BD">
      <w:pPr>
        <w:pStyle w:val="footnote"/>
        <w:rPr>
          <w:lang w:val="da-DK"/>
        </w:rPr>
      </w:pPr>
    </w:p>
  </w:footnote>
  <w:footnote w:id="213">
    <w:p w14:paraId="647AB054" w14:textId="35BBFE24"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1216–17.</w:t>
      </w:r>
    </w:p>
    <w:p w14:paraId="51CB739C" w14:textId="77777777" w:rsidR="0096524F" w:rsidRDefault="0096524F" w:rsidP="00D758BD">
      <w:pPr>
        <w:pStyle w:val="footnote"/>
      </w:pPr>
    </w:p>
  </w:footnote>
  <w:footnote w:id="214">
    <w:p w14:paraId="6D97C31B" w14:textId="08116B4C"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1217.</w:t>
      </w:r>
    </w:p>
    <w:p w14:paraId="7224D7B2" w14:textId="77777777" w:rsidR="0096524F" w:rsidRDefault="0096524F" w:rsidP="00D758BD">
      <w:pPr>
        <w:pStyle w:val="footnote"/>
      </w:pPr>
    </w:p>
  </w:footnote>
  <w:footnote w:id="215">
    <w:p w14:paraId="17ABFD3F" w14:textId="1F4DE946" w:rsidR="0096524F" w:rsidRPr="0096524F" w:rsidRDefault="0096524F" w:rsidP="0096524F">
      <w:pPr>
        <w:pStyle w:val="FootnoteText"/>
      </w:pPr>
      <w:r w:rsidRPr="0096524F">
        <w:rPr>
          <w:vertAlign w:val="superscript"/>
        </w:rPr>
        <w:footnoteRef/>
      </w:r>
      <w:r w:rsidRPr="0096524F">
        <w:t>The standard of review used by the court of appeals is noteworthy.</w:t>
      </w:r>
      <w:r w:rsidRPr="0096524F">
        <w:t xml:space="preserve"> </w:t>
      </w:r>
      <w:r w:rsidRPr="0096524F">
        <w:t xml:space="preserve">It “review[s] the [district] court’s determination as to each factor for clear error and its balancing of those factors </w:t>
      </w:r>
      <w:r w:rsidRPr="0096524F">
        <w:rPr>
          <w:i/>
        </w:rPr>
        <w:t>de novo</w:t>
      </w:r>
      <w:r w:rsidRPr="0096524F">
        <w:t>.” 736 F.3d 198, 207, 108 USPQ2d 1581 (2d Cir.</w:t>
      </w:r>
      <w:r w:rsidRPr="0096524F">
        <w:t xml:space="preserve"> </w:t>
      </w:r>
      <w:r w:rsidRPr="0096524F">
        <w:t>2013).</w:t>
      </w:r>
    </w:p>
    <w:p w14:paraId="3C1F25DD" w14:textId="77777777" w:rsidR="0096524F" w:rsidRPr="00882ED4" w:rsidRDefault="0096524F" w:rsidP="00D758BD">
      <w:pPr>
        <w:pStyle w:val="footnote"/>
        <w:rPr>
          <w:lang w:val="da-DK"/>
        </w:rPr>
      </w:pPr>
    </w:p>
  </w:footnote>
  <w:footnote w:id="216">
    <w:p w14:paraId="5221DAE4" w14:textId="0AFAF1C8"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208.</w:t>
      </w:r>
    </w:p>
    <w:p w14:paraId="77D7374D" w14:textId="77777777" w:rsidR="0096524F" w:rsidRPr="00882ED4" w:rsidRDefault="0096524F" w:rsidP="00D758BD">
      <w:pPr>
        <w:pStyle w:val="footnote"/>
        <w:rPr>
          <w:lang w:val="da-DK"/>
        </w:rPr>
      </w:pPr>
    </w:p>
  </w:footnote>
  <w:footnote w:id="217">
    <w:p w14:paraId="51714C34" w14:textId="581A46D8"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208–09.</w:t>
      </w:r>
    </w:p>
    <w:p w14:paraId="028538CB" w14:textId="77777777" w:rsidR="0096524F" w:rsidRPr="00882ED4" w:rsidRDefault="0096524F" w:rsidP="00D758BD">
      <w:pPr>
        <w:pStyle w:val="footnote"/>
        <w:rPr>
          <w:lang w:val="da-DK"/>
        </w:rPr>
      </w:pPr>
    </w:p>
  </w:footnote>
  <w:footnote w:id="218">
    <w:p w14:paraId="60092E61" w14:textId="031CA75C"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209.</w:t>
      </w:r>
    </w:p>
    <w:p w14:paraId="5B452F1B" w14:textId="77777777" w:rsidR="0096524F" w:rsidRPr="00882ED4" w:rsidRDefault="0096524F" w:rsidP="00D758BD">
      <w:pPr>
        <w:pStyle w:val="footnote"/>
        <w:rPr>
          <w:lang w:val="da-DK"/>
        </w:rPr>
      </w:pPr>
    </w:p>
  </w:footnote>
  <w:footnote w:id="219">
    <w:p w14:paraId="099F6955" w14:textId="7D4D348F"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210.</w:t>
      </w:r>
    </w:p>
    <w:p w14:paraId="4398A2C4" w14:textId="77777777" w:rsidR="0096524F" w:rsidRPr="00882ED4" w:rsidRDefault="0096524F" w:rsidP="00D758BD">
      <w:pPr>
        <w:pStyle w:val="footnote"/>
        <w:rPr>
          <w:lang w:val="da-DK"/>
        </w:rPr>
      </w:pPr>
    </w:p>
  </w:footnote>
  <w:footnote w:id="220">
    <w:p w14:paraId="38016C1B" w14:textId="15E63E60"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211.</w:t>
      </w:r>
    </w:p>
    <w:p w14:paraId="299D288B" w14:textId="77777777" w:rsidR="0096524F" w:rsidRPr="00882ED4" w:rsidRDefault="0096524F" w:rsidP="00D758BD">
      <w:pPr>
        <w:pStyle w:val="footnote"/>
        <w:rPr>
          <w:lang w:val="da-DK"/>
        </w:rPr>
      </w:pPr>
    </w:p>
  </w:footnote>
  <w:footnote w:id="221">
    <w:p w14:paraId="23D84EF3" w14:textId="3CF3ACFC"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212.</w:t>
      </w:r>
    </w:p>
    <w:p w14:paraId="3C599339" w14:textId="77777777" w:rsidR="0096524F" w:rsidRPr="00882ED4" w:rsidRDefault="0096524F" w:rsidP="00D758BD">
      <w:pPr>
        <w:pStyle w:val="footnote"/>
        <w:rPr>
          <w:lang w:val="da-DK"/>
        </w:rPr>
      </w:pPr>
    </w:p>
  </w:footnote>
  <w:footnote w:id="222">
    <w:p w14:paraId="5736EEF1" w14:textId="6B401DA8"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(emphasis added).</w:t>
      </w:r>
    </w:p>
    <w:p w14:paraId="71796BE3" w14:textId="77777777" w:rsidR="0096524F" w:rsidRDefault="0096524F" w:rsidP="00D758BD">
      <w:pPr>
        <w:pStyle w:val="footnote"/>
      </w:pPr>
    </w:p>
  </w:footnote>
  <w:footnote w:id="223">
    <w:p w14:paraId="0EAD7E43" w14:textId="15BE9545"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213.</w:t>
      </w:r>
    </w:p>
    <w:p w14:paraId="30D1791A" w14:textId="77777777" w:rsidR="0096524F" w:rsidRDefault="0096524F" w:rsidP="00D758BD">
      <w:pPr>
        <w:pStyle w:val="footnote"/>
      </w:pPr>
    </w:p>
  </w:footnote>
  <w:footnote w:id="224">
    <w:p w14:paraId="03CD934A" w14:textId="22ECA2C8" w:rsidR="0096524F" w:rsidRPr="0096524F" w:rsidRDefault="0096524F" w:rsidP="0096524F">
      <w:pPr>
        <w:pStyle w:val="FootnoteText"/>
      </w:pPr>
      <w:r w:rsidRPr="0096524F">
        <w:rPr>
          <w:vertAlign w:val="superscript"/>
        </w:rPr>
        <w:footnoteRef/>
      </w:r>
      <w:r w:rsidRPr="0096524F">
        <w:t>Lanham Act §43(c)(2)(B), 15 U.S.C.</w:t>
      </w:r>
      <w:r w:rsidRPr="0096524F">
        <w:t xml:space="preserve"> </w:t>
      </w:r>
      <w:r w:rsidRPr="0096524F">
        <w:t>§1125(c)(2)(B).</w:t>
      </w:r>
    </w:p>
    <w:p w14:paraId="00983735" w14:textId="77777777" w:rsidR="0096524F" w:rsidRDefault="0096524F" w:rsidP="00D758BD">
      <w:pPr>
        <w:pStyle w:val="footnote"/>
      </w:pPr>
    </w:p>
  </w:footnote>
  <w:footnote w:id="225">
    <w:p w14:paraId="5085154D" w14:textId="07D63B73" w:rsidR="0096524F" w:rsidRPr="00E3416F" w:rsidRDefault="0096524F" w:rsidP="0096524F">
      <w:pPr>
        <w:pStyle w:val="FootnoteText"/>
      </w:pPr>
      <w:r w:rsidRPr="0096524F">
        <w:rPr>
          <w:rStyle w:val="FootnoteReference"/>
          <w:rFonts w:eastAsiaTheme="majorEastAsia"/>
        </w:rPr>
        <w:footnoteRef/>
      </w:r>
      <w:r w:rsidRPr="0096524F">
        <w:rPr>
          <w:i/>
        </w:rPr>
        <w:t>See</w:t>
      </w:r>
      <w:r w:rsidRPr="0096524F">
        <w:t xml:space="preserve"> Beebe, et al., </w:t>
      </w:r>
      <w:r w:rsidRPr="0096524F">
        <w:rPr>
          <w:i/>
        </w:rPr>
        <w:t>Testing for Dilution</w:t>
      </w:r>
      <w:r w:rsidRPr="0096524F">
        <w:t xml:space="preserve">, </w:t>
      </w:r>
      <w:r w:rsidRPr="0096524F">
        <w:rPr>
          <w:i/>
        </w:rPr>
        <w:t>supra</w:t>
      </w:r>
      <w:r w:rsidRPr="0096524F">
        <w:t xml:space="preserve"> note , at 621–36 (criticizing the use of brand association surveys as a substitute for brand impairment).</w:t>
      </w:r>
    </w:p>
  </w:footnote>
  <w:footnote w:id="226">
    <w:p w14:paraId="2DDE40E5" w14:textId="4EEC211E" w:rsidR="0096524F" w:rsidRPr="00EB11B3" w:rsidRDefault="0096524F" w:rsidP="0096524F">
      <w:pPr>
        <w:pStyle w:val="FootnoteText"/>
      </w:pPr>
      <w:r w:rsidRPr="0096524F">
        <w:rPr>
          <w:vertAlign w:val="superscript"/>
        </w:rPr>
        <w:footnoteRef/>
      </w:r>
      <w:r w:rsidRPr="0096524F">
        <w:t>704 F.</w:t>
      </w:r>
      <w:r w:rsidRPr="0096524F">
        <w:t xml:space="preserve"> </w:t>
      </w:r>
      <w:r w:rsidRPr="0096524F">
        <w:t>Supp.</w:t>
      </w:r>
      <w:r w:rsidRPr="0096524F">
        <w:t xml:space="preserve"> </w:t>
      </w:r>
      <w:r w:rsidRPr="0096524F">
        <w:t>2d 305, 95 USPQ2d 1451 (S.D.N.Y.</w:t>
      </w:r>
      <w:r w:rsidRPr="0096524F">
        <w:t xml:space="preserve"> </w:t>
      </w:r>
      <w:r w:rsidRPr="0096524F">
        <w:t>2010).</w:t>
      </w:r>
    </w:p>
  </w:footnote>
  <w:footnote w:id="227">
    <w:p w14:paraId="67D6401B" w14:textId="40B35F87"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323.</w:t>
      </w:r>
    </w:p>
  </w:footnote>
  <w:footnote w:id="228">
    <w:p w14:paraId="21CA4EB9" w14:textId="3C649316" w:rsidR="0096524F" w:rsidRPr="00EB11B3" w:rsidRDefault="0096524F" w:rsidP="0096524F">
      <w:pPr>
        <w:pStyle w:val="FootnoteText"/>
      </w:pPr>
      <w:r w:rsidRPr="0096524F">
        <w:rPr>
          <w:vertAlign w:val="superscript"/>
        </w:rPr>
        <w:footnoteRef/>
      </w:r>
      <w:r w:rsidRPr="0096524F">
        <w:rPr>
          <w:i/>
        </w:rPr>
        <w:t>Id</w:t>
      </w:r>
      <w:r w:rsidRPr="0096524F">
        <w:t>.</w:t>
      </w:r>
    </w:p>
  </w:footnote>
  <w:footnote w:id="229">
    <w:p w14:paraId="04EA2163" w14:textId="32372A71" w:rsidR="0096524F" w:rsidRPr="0096524F" w:rsidRDefault="0096524F" w:rsidP="0096524F">
      <w:pPr>
        <w:pStyle w:val="FootnoteText"/>
      </w:pPr>
      <w:r w:rsidRPr="0096524F">
        <w:rPr>
          <w:rStyle w:val="FootnoteReference"/>
          <w:rFonts w:eastAsiaTheme="majorEastAsia"/>
        </w:rPr>
        <w:footnoteRef/>
      </w:r>
      <w:r w:rsidRPr="0096524F">
        <w:t xml:space="preserve">In a similarly questionable situation, the court in </w:t>
      </w:r>
      <w:r w:rsidRPr="0096524F">
        <w:rPr>
          <w:rStyle w:val="BCasenamefull"/>
        </w:rPr>
        <w:t>CrossFit, Inc. v. Maximum Human Performance, LLC</w:t>
      </w:r>
      <w:r w:rsidRPr="0096524F">
        <w:t>, 2013 U.S.</w:t>
      </w:r>
      <w:r w:rsidRPr="0096524F">
        <w:t xml:space="preserve"> </w:t>
      </w:r>
      <w:r w:rsidRPr="0096524F">
        <w:t>Dist.</w:t>
      </w:r>
      <w:r w:rsidRPr="0096524F">
        <w:t xml:space="preserve"> </w:t>
      </w:r>
      <w:r w:rsidRPr="0096524F">
        <w:t>LEXIS 53676, at *8–9 (S.D.</w:t>
      </w:r>
      <w:r w:rsidRPr="0096524F">
        <w:t xml:space="preserve"> </w:t>
      </w:r>
      <w:r w:rsidRPr="0096524F">
        <w:t>Cal.</w:t>
      </w:r>
      <w:r w:rsidRPr="0096524F">
        <w:t xml:space="preserve"> </w:t>
      </w:r>
      <w:r w:rsidRPr="0096524F">
        <w:t>Apr.</w:t>
      </w:r>
      <w:r w:rsidRPr="0096524F">
        <w:t xml:space="preserve"> </w:t>
      </w:r>
      <w:r w:rsidRPr="0096524F">
        <w:t>12, 2013), granted a preliminary injunction, finding likelihood both of fame (for the “CrossFit” mark) and dilution by blurring, the latter with very little discussion apart from a reference to the court’s earlier discussion of similarity in connection with confusion.</w:t>
      </w:r>
    </w:p>
    <w:p w14:paraId="250F9594" w14:textId="77777777" w:rsidR="0096524F" w:rsidRPr="009D67A7" w:rsidRDefault="0096524F">
      <w:pPr>
        <w:pStyle w:val="FootnoteText"/>
      </w:pPr>
    </w:p>
  </w:footnote>
  <w:footnote w:id="230">
    <w:p w14:paraId="0C6A05D0" w14:textId="1C267901" w:rsidR="0096524F" w:rsidRPr="00EB11B3" w:rsidRDefault="0096524F" w:rsidP="0096524F">
      <w:pPr>
        <w:pStyle w:val="FootnoteText"/>
      </w:pPr>
      <w:r w:rsidRPr="0096524F">
        <w:rPr>
          <w:vertAlign w:val="superscript"/>
        </w:rPr>
        <w:footnoteRef/>
      </w:r>
      <w:r w:rsidRPr="0096524F">
        <w:t>672 F.</w:t>
      </w:r>
      <w:r w:rsidRPr="0096524F">
        <w:t xml:space="preserve"> </w:t>
      </w:r>
      <w:r w:rsidRPr="0096524F">
        <w:t>Supp.</w:t>
      </w:r>
      <w:r w:rsidRPr="0096524F">
        <w:t xml:space="preserve"> </w:t>
      </w:r>
      <w:r w:rsidRPr="0096524F">
        <w:t>2d 575, 93 USPQ2d 1652 (S.D.N.Y.</w:t>
      </w:r>
      <w:r w:rsidRPr="0096524F">
        <w:t xml:space="preserve"> </w:t>
      </w:r>
      <w:r w:rsidRPr="0096524F">
        <w:t>2009).</w:t>
      </w:r>
    </w:p>
  </w:footnote>
  <w:footnote w:id="231">
    <w:p w14:paraId="3EEC39F8" w14:textId="1858391D"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593.</w:t>
      </w:r>
      <w:r w:rsidRPr="0096524F">
        <w:t xml:space="preserve"> </w:t>
      </w:r>
      <w:r w:rsidRPr="0096524F">
        <w:t xml:space="preserve">This court, like the </w:t>
      </w:r>
      <w:r w:rsidRPr="0096524F">
        <w:rPr>
          <w:i/>
        </w:rPr>
        <w:t>New York City Triathlon</w:t>
      </w:r>
      <w:r w:rsidRPr="0096524F">
        <w:t xml:space="preserve"> court, followed the Second Circuit’s decision in </w:t>
      </w:r>
      <w:r w:rsidRPr="0096524F">
        <w:rPr>
          <w:i/>
        </w:rPr>
        <w:t>Starbucks Corp</w:t>
      </w:r>
      <w:r w:rsidRPr="0096524F">
        <w:t>.</w:t>
      </w:r>
      <w:r w:rsidRPr="0096524F">
        <w:t xml:space="preserve"> </w:t>
      </w:r>
      <w:r w:rsidRPr="0096524F">
        <w:rPr>
          <w:i/>
        </w:rPr>
        <w:t>v</w:t>
      </w:r>
      <w:r w:rsidRPr="0096524F">
        <w:t>.</w:t>
      </w:r>
      <w:r w:rsidRPr="0096524F">
        <w:t xml:space="preserve"> </w:t>
      </w:r>
      <w:r w:rsidRPr="0096524F">
        <w:rPr>
          <w:i/>
        </w:rPr>
        <w:t>Wolfe’s Borough Coffee, Inc</w:t>
      </w:r>
      <w:r w:rsidRPr="0096524F">
        <w:t>., 588 F.3d 97, 92 USPQ2d 1769 (2d Cir.</w:t>
      </w:r>
      <w:r w:rsidRPr="0096524F">
        <w:t xml:space="preserve"> </w:t>
      </w:r>
      <w:r w:rsidRPr="0096524F">
        <w:t>2009), on the issue of the level of required similarity.</w:t>
      </w:r>
    </w:p>
  </w:footnote>
  <w:footnote w:id="232">
    <w:p w14:paraId="4E18680B" w14:textId="69155B7D" w:rsidR="0096524F" w:rsidRPr="00EB11B3" w:rsidRDefault="0096524F" w:rsidP="0096524F">
      <w:pPr>
        <w:pStyle w:val="FootnoteText"/>
      </w:pPr>
      <w:r w:rsidRPr="0096524F">
        <w:rPr>
          <w:vertAlign w:val="superscript"/>
        </w:rPr>
        <w:footnoteRef/>
      </w:r>
      <w:r w:rsidRPr="0096524F">
        <w:t>672 F.</w:t>
      </w:r>
      <w:r w:rsidRPr="0096524F">
        <w:t xml:space="preserve"> </w:t>
      </w:r>
      <w:r w:rsidRPr="0096524F">
        <w:t>Supp.</w:t>
      </w:r>
      <w:r w:rsidRPr="0096524F">
        <w:t xml:space="preserve"> </w:t>
      </w:r>
      <w:r w:rsidRPr="0096524F">
        <w:t>2d at 593–94.</w:t>
      </w:r>
    </w:p>
  </w:footnote>
  <w:footnote w:id="233">
    <w:p w14:paraId="71D4A31E" w14:textId="0B93C3A3"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594.</w:t>
      </w:r>
    </w:p>
  </w:footnote>
  <w:footnote w:id="234">
    <w:p w14:paraId="4CF05AC9" w14:textId="3EC4FD3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(“The intent factor does not ask whether a defendant acted in bad faith.”).</w:t>
      </w:r>
    </w:p>
  </w:footnote>
  <w:footnote w:id="235">
    <w:p w14:paraId="30B75049" w14:textId="2BC24FC2"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 xml:space="preserve">The fact that this court did </w:t>
      </w:r>
      <w:r w:rsidRPr="0096524F">
        <w:rPr>
          <w:i/>
        </w:rPr>
        <w:t>not</w:t>
      </w:r>
      <w:r w:rsidRPr="0096524F">
        <w:t xml:space="preserve"> find confusion may be significant as well.</w:t>
      </w:r>
    </w:p>
  </w:footnote>
  <w:footnote w:id="236">
    <w:p w14:paraId="65079EA2" w14:textId="587A8910" w:rsidR="0096524F" w:rsidRPr="00EB11B3" w:rsidRDefault="0096524F" w:rsidP="0096524F">
      <w:pPr>
        <w:pStyle w:val="FootnoteText"/>
      </w:pPr>
      <w:r w:rsidRPr="0096524F">
        <w:rPr>
          <w:vertAlign w:val="superscript"/>
        </w:rPr>
        <w:footnoteRef/>
      </w:r>
      <w:r w:rsidRPr="0096524F">
        <w:rPr>
          <w:i/>
        </w:rPr>
        <w:t>Id</w:t>
      </w:r>
      <w:r w:rsidRPr="0096524F">
        <w:t>.</w:t>
      </w:r>
    </w:p>
  </w:footnote>
  <w:footnote w:id="237">
    <w:p w14:paraId="3612A39B" w14:textId="587896F2"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595.</w:t>
      </w:r>
      <w:r w:rsidRPr="0096524F">
        <w:t xml:space="preserve"> </w:t>
      </w:r>
      <w:r w:rsidRPr="0096524F">
        <w:t>The court also ruled against a state dilution claim.</w:t>
      </w:r>
      <w:r w:rsidRPr="0096524F">
        <w:t xml:space="preserve"> </w:t>
      </w:r>
      <w:r w:rsidRPr="0096524F">
        <w:rPr>
          <w:i/>
        </w:rPr>
        <w:t>Id</w:t>
      </w:r>
      <w:r w:rsidRPr="0096524F">
        <w:t>.</w:t>
      </w:r>
      <w:r w:rsidRPr="0096524F">
        <w:t xml:space="preserve"> </w:t>
      </w:r>
      <w:r w:rsidRPr="0096524F">
        <w:t>at 595–96.</w:t>
      </w:r>
      <w:r w:rsidRPr="0096524F">
        <w:t xml:space="preserve"> </w:t>
      </w:r>
      <w:r w:rsidRPr="0096524F">
        <w:t>This is discussed further in Chapter 3.</w:t>
      </w:r>
    </w:p>
  </w:footnote>
  <w:footnote w:id="238">
    <w:p w14:paraId="06D52381" w14:textId="2F4B4FC8" w:rsidR="0096524F" w:rsidRPr="00EB11B3" w:rsidRDefault="0096524F" w:rsidP="0096524F">
      <w:pPr>
        <w:pStyle w:val="FootnoteText"/>
      </w:pPr>
      <w:r w:rsidRPr="0096524F">
        <w:rPr>
          <w:vertAlign w:val="superscript"/>
        </w:rPr>
        <w:footnoteRef/>
      </w:r>
      <w:r w:rsidRPr="0096524F">
        <w:t xml:space="preserve">In a very odd case, one district court, after concluding that New York and federal law should be analyzed the same way, applied factors used under </w:t>
      </w:r>
      <w:r w:rsidRPr="0096524F">
        <w:rPr>
          <w:i/>
        </w:rPr>
        <w:t>New York</w:t>
      </w:r>
      <w:r w:rsidRPr="0096524F">
        <w:t xml:space="preserve"> law </w:t>
      </w:r>
      <w:r w:rsidRPr="0096524F">
        <w:rPr>
          <w:i/>
        </w:rPr>
        <w:t>in lieu of</w:t>
      </w:r>
      <w:r w:rsidRPr="0096524F">
        <w:t xml:space="preserve"> the TDRA factors to find dilution.</w:t>
      </w:r>
      <w:r w:rsidRPr="0096524F">
        <w:t xml:space="preserve"> </w:t>
      </w:r>
      <w:r w:rsidRPr="0096524F">
        <w:t>Gucci Am., Inc.</w:t>
      </w:r>
      <w:r w:rsidRPr="0096524F">
        <w:t xml:space="preserve"> </w:t>
      </w:r>
      <w:r w:rsidRPr="0096524F">
        <w:t>v.</w:t>
      </w:r>
      <w:r w:rsidRPr="0096524F">
        <w:t xml:space="preserve"> </w:t>
      </w:r>
      <w:r w:rsidRPr="0096524F">
        <w:t>Gucci, 2009 U.S.</w:t>
      </w:r>
      <w:r w:rsidRPr="0096524F">
        <w:t xml:space="preserve"> </w:t>
      </w:r>
      <w:r w:rsidRPr="0096524F">
        <w:t>Dist.</w:t>
      </w:r>
      <w:r w:rsidRPr="0096524F">
        <w:t xml:space="preserve"> </w:t>
      </w:r>
      <w:r w:rsidRPr="0096524F">
        <w:t>LEXIS 124888, at *78–80 (S.D.N.Y.</w:t>
      </w:r>
      <w:r w:rsidRPr="0096524F">
        <w:t xml:space="preserve"> </w:t>
      </w:r>
      <w:r w:rsidRPr="0096524F">
        <w:t>Aug.</w:t>
      </w:r>
      <w:r w:rsidRPr="0096524F">
        <w:t xml:space="preserve"> </w:t>
      </w:r>
      <w:r w:rsidRPr="0096524F">
        <w:t>5, 2009).</w:t>
      </w:r>
      <w:r w:rsidRPr="0096524F">
        <w:t xml:space="preserve"> </w:t>
      </w:r>
      <w:r w:rsidRPr="0096524F">
        <w:t xml:space="preserve">Given the Second Circuit’s rejection of the equation of New York and federal law, </w:t>
      </w:r>
      <w:r w:rsidRPr="0096524F">
        <w:rPr>
          <w:i/>
        </w:rPr>
        <w:t>see</w:t>
      </w:r>
      <w:r w:rsidRPr="0096524F">
        <w:t xml:space="preserve"> Starbucks Corp.</w:t>
      </w:r>
      <w:r w:rsidRPr="0096524F">
        <w:t xml:space="preserve"> </w:t>
      </w:r>
      <w:r w:rsidRPr="0096524F">
        <w:t>v.</w:t>
      </w:r>
      <w:r w:rsidRPr="0096524F">
        <w:t xml:space="preserve"> </w:t>
      </w:r>
      <w:r w:rsidRPr="0096524F">
        <w:t>Wolfe’s Borough Coffee, Inc., 588 F.3d 97, 114, 92 USPQ2d 1769 (2d Cir.</w:t>
      </w:r>
      <w:r w:rsidRPr="0096524F">
        <w:t xml:space="preserve"> </w:t>
      </w:r>
      <w:r w:rsidRPr="0096524F">
        <w:t>2009), this decision should be regarded as aberrational.</w:t>
      </w:r>
    </w:p>
  </w:footnote>
  <w:footnote w:id="239">
    <w:p w14:paraId="554E59A1" w14:textId="63B01671" w:rsidR="0096524F" w:rsidRPr="00EB11B3" w:rsidRDefault="0096524F" w:rsidP="0096524F">
      <w:pPr>
        <w:pStyle w:val="FootnoteText"/>
      </w:pPr>
      <w:r w:rsidRPr="0096524F">
        <w:rPr>
          <w:vertAlign w:val="superscript"/>
        </w:rPr>
        <w:footnoteRef/>
      </w:r>
      <w:r w:rsidRPr="0096524F">
        <w:t>84 USPQ2d 1820 (E.D.</w:t>
      </w:r>
      <w:r w:rsidRPr="0096524F">
        <w:t xml:space="preserve"> </w:t>
      </w:r>
      <w:r w:rsidRPr="0096524F">
        <w:t>Cal.</w:t>
      </w:r>
      <w:r w:rsidRPr="0096524F">
        <w:t xml:space="preserve"> </w:t>
      </w:r>
      <w:r w:rsidRPr="0096524F">
        <w:t>2007).</w:t>
      </w:r>
    </w:p>
  </w:footnote>
  <w:footnote w:id="240">
    <w:p w14:paraId="2B1AAD24" w14:textId="77407947"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1822.</w:t>
      </w:r>
    </w:p>
  </w:footnote>
  <w:footnote w:id="241">
    <w:p w14:paraId="5FE8D711" w14:textId="7F799FE3" w:rsidR="0096524F" w:rsidRPr="00EB11B3" w:rsidRDefault="0096524F" w:rsidP="0096524F">
      <w:pPr>
        <w:pStyle w:val="FootnoteText"/>
      </w:pPr>
      <w:r w:rsidRPr="0096524F">
        <w:rPr>
          <w:vertAlign w:val="superscript"/>
        </w:rPr>
        <w:footnoteRef/>
      </w:r>
      <w:r w:rsidRPr="0096524F">
        <w:t>The Ninth Circuit had used this test in place of substantial similarity.</w:t>
      </w:r>
      <w:r w:rsidRPr="0096524F">
        <w:t xml:space="preserve"> </w:t>
      </w:r>
      <w:r w:rsidRPr="0096524F">
        <w:t>Whether it made any difference in the cases is unclear.</w:t>
      </w:r>
      <w:r w:rsidRPr="0096524F">
        <w:t xml:space="preserve"> </w:t>
      </w:r>
      <w:r w:rsidRPr="0096524F">
        <w:t>The Ninth Circuit has since changed the standard it uses for similarity.</w:t>
      </w:r>
      <w:r w:rsidRPr="0096524F">
        <w:t xml:space="preserve"> </w:t>
      </w:r>
      <w:r w:rsidRPr="0096524F">
        <w:rPr>
          <w:i/>
        </w:rPr>
        <w:t xml:space="preserve">See </w:t>
      </w:r>
      <w:r w:rsidRPr="0096524F">
        <w:t>§III, below,.</w:t>
      </w:r>
    </w:p>
  </w:footnote>
  <w:footnote w:id="242">
    <w:p w14:paraId="7B7D229E" w14:textId="3B5A347E" w:rsidR="0096524F" w:rsidRPr="00EB11B3" w:rsidRDefault="0096524F" w:rsidP="0096524F">
      <w:pPr>
        <w:pStyle w:val="FootnoteText"/>
      </w:pPr>
      <w:r w:rsidRPr="0096524F">
        <w:rPr>
          <w:vertAlign w:val="superscript"/>
        </w:rPr>
        <w:footnoteRef/>
      </w:r>
      <w:r w:rsidRPr="0096524F">
        <w:t>The court found that, although there were some other “Nike” mark users, those uses were minor.</w:t>
      </w:r>
      <w:r w:rsidRPr="0096524F">
        <w:t xml:space="preserve"> </w:t>
      </w:r>
      <w:r w:rsidRPr="0096524F">
        <w:t>84 USPQ2d at 1827.</w:t>
      </w:r>
    </w:p>
  </w:footnote>
  <w:footnote w:id="243">
    <w:p w14:paraId="251461F8" w14:textId="77F7B47C" w:rsidR="0096524F" w:rsidRPr="00EB11B3" w:rsidRDefault="0096524F" w:rsidP="0096524F">
      <w:pPr>
        <w:pStyle w:val="FootnoteText"/>
      </w:pPr>
      <w:r w:rsidRPr="0096524F">
        <w:rPr>
          <w:vertAlign w:val="superscript"/>
        </w:rPr>
        <w:footnoteRef/>
      </w:r>
      <w:r w:rsidRPr="0096524F">
        <w:t>The court did not believe defendant’s explanation of how its mark was chosen.</w:t>
      </w:r>
      <w:r w:rsidRPr="0096524F">
        <w:t xml:space="preserve"> </w:t>
      </w:r>
      <w:r w:rsidRPr="0096524F">
        <w:rPr>
          <w:i/>
        </w:rPr>
        <w:t>Id</w:t>
      </w:r>
      <w:r w:rsidRPr="0096524F">
        <w:t>.</w:t>
      </w:r>
      <w:r w:rsidRPr="0096524F">
        <w:t xml:space="preserve"> </w:t>
      </w:r>
      <w:r w:rsidRPr="0096524F">
        <w:t>at 1828.</w:t>
      </w:r>
    </w:p>
  </w:footnote>
  <w:footnote w:id="244">
    <w:p w14:paraId="36A39C19" w14:textId="74D3DDF9"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1824–25, 1828.</w:t>
      </w:r>
    </w:p>
  </w:footnote>
  <w:footnote w:id="245">
    <w:p w14:paraId="1EC7040B" w14:textId="2FEC5BA8" w:rsidR="0096524F" w:rsidRDefault="0096524F" w:rsidP="0096524F">
      <w:pPr>
        <w:pStyle w:val="FootnoteText"/>
      </w:pPr>
      <w:r w:rsidRPr="0096524F">
        <w:rPr>
          <w:rStyle w:val="FootnoteReference"/>
          <w:rFonts w:eastAsiaTheme="majorEastAsia"/>
        </w:rPr>
        <w:footnoteRef/>
      </w:r>
      <w:r w:rsidRPr="0096524F">
        <w:t>328 F.</w:t>
      </w:r>
      <w:r w:rsidRPr="0096524F">
        <w:t xml:space="preserve"> </w:t>
      </w:r>
      <w:r w:rsidRPr="0096524F">
        <w:t>Supp.</w:t>
      </w:r>
      <w:r w:rsidRPr="0096524F">
        <w:t xml:space="preserve"> </w:t>
      </w:r>
      <w:r w:rsidRPr="0096524F">
        <w:t>3d 1007 (N.D.</w:t>
      </w:r>
      <w:r w:rsidRPr="0096524F">
        <w:t xml:space="preserve"> </w:t>
      </w:r>
      <w:r w:rsidRPr="0096524F">
        <w:t>Cal.</w:t>
      </w:r>
      <w:r w:rsidRPr="0096524F">
        <w:t xml:space="preserve"> </w:t>
      </w:r>
      <w:r w:rsidRPr="0096524F">
        <w:t>2018).</w:t>
      </w:r>
    </w:p>
  </w:footnote>
  <w:footnote w:id="246">
    <w:p w14:paraId="59773A71" w14:textId="7EF78D11" w:rsidR="0096524F" w:rsidRPr="00293C00" w:rsidRDefault="0096524F" w:rsidP="0096524F">
      <w:pPr>
        <w:pStyle w:val="FootnoteText"/>
      </w:pPr>
      <w:r w:rsidRPr="0096524F">
        <w:rPr>
          <w:rStyle w:val="FootnoteReference"/>
          <w:rFonts w:eastAsiaTheme="majorEastAsia"/>
        </w:rPr>
        <w:footnoteRef/>
      </w:r>
      <w:r w:rsidRPr="0096524F">
        <w:rPr>
          <w:i/>
        </w:rPr>
        <w:t>Id</w:t>
      </w:r>
      <w:r w:rsidRPr="0096524F">
        <w:t>.</w:t>
      </w:r>
      <w:r w:rsidRPr="0096524F">
        <w:t xml:space="preserve"> </w:t>
      </w:r>
      <w:r w:rsidRPr="0096524F">
        <w:t>at 1023.</w:t>
      </w:r>
    </w:p>
  </w:footnote>
  <w:footnote w:id="247">
    <w:p w14:paraId="4112B7D3" w14:textId="79EBCFDD" w:rsidR="0096524F" w:rsidRPr="00293C00" w:rsidRDefault="0096524F" w:rsidP="0096524F">
      <w:pPr>
        <w:pStyle w:val="FootnoteText"/>
      </w:pPr>
      <w:r w:rsidRPr="0096524F">
        <w:rPr>
          <w:rStyle w:val="FootnoteReference"/>
          <w:rFonts w:eastAsiaTheme="majorEastAsia"/>
        </w:rPr>
        <w:footnoteRef/>
      </w:r>
      <w:r w:rsidRPr="0096524F">
        <w:rPr>
          <w:i/>
        </w:rPr>
        <w:t>Id</w:t>
      </w:r>
      <w:r w:rsidRPr="0096524F">
        <w:t>.</w:t>
      </w:r>
      <w:r w:rsidRPr="0096524F">
        <w:t xml:space="preserve"> </w:t>
      </w:r>
      <w:r w:rsidRPr="0096524F">
        <w:t>at 1024.</w:t>
      </w:r>
      <w:r w:rsidRPr="0096524F">
        <w:t xml:space="preserve"> </w:t>
      </w:r>
      <w:r w:rsidRPr="0096524F">
        <w:t>The court found only one other user of Versace, in another product area.</w:t>
      </w:r>
    </w:p>
  </w:footnote>
  <w:footnote w:id="248">
    <w:p w14:paraId="2A695F65" w14:textId="669259E1" w:rsidR="0096524F" w:rsidRPr="0096524F" w:rsidRDefault="0096524F" w:rsidP="0096524F">
      <w:pPr>
        <w:pStyle w:val="FootnoteText"/>
      </w:pPr>
      <w:r w:rsidRPr="0096524F">
        <w:rPr>
          <w:rStyle w:val="FootnoteReference"/>
          <w:rFonts w:eastAsiaTheme="majorEastAsia"/>
        </w:rPr>
        <w:footnoteRef/>
      </w:r>
      <w:r w:rsidRPr="0096524F">
        <w:rPr>
          <w:i/>
        </w:rPr>
        <w:t>Id.</w:t>
      </w:r>
    </w:p>
    <w:p w14:paraId="277D75DE" w14:textId="77777777" w:rsidR="0096524F" w:rsidRPr="00293C00" w:rsidRDefault="0096524F" w:rsidP="002E4090">
      <w:pPr>
        <w:pStyle w:val="FootnoteText"/>
      </w:pPr>
    </w:p>
  </w:footnote>
  <w:footnote w:id="249">
    <w:p w14:paraId="1AEBE86C" w14:textId="6590D83B" w:rsidR="0096524F" w:rsidRPr="00EB11B3" w:rsidRDefault="0096524F" w:rsidP="0096524F">
      <w:pPr>
        <w:pStyle w:val="FootnoteText"/>
      </w:pPr>
      <w:r w:rsidRPr="0096524F">
        <w:rPr>
          <w:vertAlign w:val="superscript"/>
        </w:rPr>
        <w:footnoteRef/>
      </w:r>
      <w:r w:rsidRPr="0096524F">
        <w:t>2008 WL 4724756, 2008 BL 241740 (E.D.</w:t>
      </w:r>
      <w:r w:rsidRPr="0096524F">
        <w:t xml:space="preserve"> </w:t>
      </w:r>
      <w:r w:rsidRPr="0096524F">
        <w:t>Mich.</w:t>
      </w:r>
      <w:r w:rsidRPr="0096524F">
        <w:t xml:space="preserve"> </w:t>
      </w:r>
      <w:r w:rsidRPr="0096524F">
        <w:t>Oct.</w:t>
      </w:r>
      <w:r w:rsidRPr="0096524F">
        <w:t xml:space="preserve"> </w:t>
      </w:r>
      <w:r w:rsidRPr="0096524F">
        <w:t>24, 2008).</w:t>
      </w:r>
    </w:p>
  </w:footnote>
  <w:footnote w:id="250">
    <w:p w14:paraId="306C1EDF" w14:textId="178EEBAD"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*15.</w:t>
      </w:r>
    </w:p>
  </w:footnote>
  <w:footnote w:id="251">
    <w:p w14:paraId="05CEADE7" w14:textId="60F404A4" w:rsidR="0096524F" w:rsidRPr="00EB11B3" w:rsidRDefault="0096524F" w:rsidP="0096524F">
      <w:pPr>
        <w:pStyle w:val="FootnoteText"/>
      </w:pPr>
      <w:r w:rsidRPr="0096524F">
        <w:rPr>
          <w:vertAlign w:val="superscript"/>
        </w:rPr>
        <w:footnoteRef/>
      </w:r>
      <w:r w:rsidRPr="0096524F">
        <w:rPr>
          <w:i/>
        </w:rPr>
        <w:t>Id</w:t>
      </w:r>
      <w:r w:rsidRPr="0096524F">
        <w:t>.</w:t>
      </w:r>
    </w:p>
  </w:footnote>
  <w:footnote w:id="252">
    <w:p w14:paraId="424E71D5" w14:textId="0C62FBA5" w:rsidR="0096524F" w:rsidRPr="00EB11B3" w:rsidRDefault="0096524F" w:rsidP="0096524F">
      <w:pPr>
        <w:pStyle w:val="FootnoteText"/>
      </w:pPr>
      <w:r w:rsidRPr="0096524F">
        <w:rPr>
          <w:vertAlign w:val="superscript"/>
        </w:rPr>
        <w:footnoteRef/>
      </w:r>
      <w:r w:rsidRPr="0096524F">
        <w:t>590 F.</w:t>
      </w:r>
      <w:r w:rsidRPr="0096524F">
        <w:t xml:space="preserve"> </w:t>
      </w:r>
      <w:r w:rsidRPr="0096524F">
        <w:t>Supp.</w:t>
      </w:r>
      <w:r w:rsidRPr="0096524F">
        <w:t xml:space="preserve"> </w:t>
      </w:r>
      <w:r w:rsidRPr="0096524F">
        <w:t>2d 1306 (D.</w:t>
      </w:r>
      <w:r w:rsidRPr="0096524F">
        <w:t xml:space="preserve"> </w:t>
      </w:r>
      <w:r w:rsidRPr="0096524F">
        <w:t>Nev.</w:t>
      </w:r>
      <w:r w:rsidRPr="0096524F">
        <w:t xml:space="preserve"> </w:t>
      </w:r>
      <w:r w:rsidRPr="0096524F">
        <w:t xml:space="preserve">2008), </w:t>
      </w:r>
      <w:r w:rsidRPr="0096524F">
        <w:rPr>
          <w:i/>
        </w:rPr>
        <w:t>aff’d</w:t>
      </w:r>
      <w:r w:rsidRPr="0096524F">
        <w:t>, 610 F.3d 1088, 95 USPQ2d 1571 (9th Cir.</w:t>
      </w:r>
      <w:r w:rsidRPr="0096524F">
        <w:t xml:space="preserve"> </w:t>
      </w:r>
      <w:r w:rsidRPr="0096524F">
        <w:t>2010).</w:t>
      </w:r>
    </w:p>
  </w:footnote>
  <w:footnote w:id="253">
    <w:p w14:paraId="487A84D0" w14:textId="5F97B1C1" w:rsidR="0096524F" w:rsidRPr="00EB11B3" w:rsidRDefault="0096524F" w:rsidP="0096524F">
      <w:pPr>
        <w:pStyle w:val="FootnoteText"/>
      </w:pPr>
      <w:r w:rsidRPr="0096524F">
        <w:rPr>
          <w:vertAlign w:val="superscript"/>
        </w:rPr>
        <w:footnoteRef/>
      </w:r>
      <w:r w:rsidRPr="0096524F">
        <w:rPr>
          <w:i/>
        </w:rPr>
        <w:t>Id</w:t>
      </w:r>
      <w:r w:rsidRPr="0096524F">
        <w:t xml:space="preserve"> at 1320.</w:t>
      </w:r>
      <w:r w:rsidRPr="0096524F">
        <w:t xml:space="preserve"> </w:t>
      </w:r>
      <w:r w:rsidRPr="0096524F">
        <w:t xml:space="preserve">In </w:t>
      </w:r>
      <w:r w:rsidRPr="0096524F">
        <w:rPr>
          <w:i/>
        </w:rPr>
        <w:t>Dallas Cowboys Football Club, Ltd</w:t>
      </w:r>
      <w:r w:rsidRPr="0096524F">
        <w:t>.</w:t>
      </w:r>
      <w:r w:rsidRPr="0096524F">
        <w:t xml:space="preserve"> </w:t>
      </w:r>
      <w:r w:rsidRPr="0096524F">
        <w:rPr>
          <w:i/>
        </w:rPr>
        <w:t>v</w:t>
      </w:r>
      <w:r w:rsidRPr="0096524F">
        <w:t>.</w:t>
      </w:r>
      <w:r w:rsidRPr="0096524F">
        <w:t xml:space="preserve"> </w:t>
      </w:r>
      <w:r w:rsidRPr="0096524F">
        <w:rPr>
          <w:i/>
        </w:rPr>
        <w:t>America’s Team Props</w:t>
      </w:r>
      <w:r w:rsidRPr="0096524F">
        <w:t>.</w:t>
      </w:r>
      <w:r w:rsidRPr="0096524F">
        <w:rPr>
          <w:i/>
        </w:rPr>
        <w:t>, Inc</w:t>
      </w:r>
      <w:r w:rsidRPr="0096524F">
        <w:t>., 616 F.</w:t>
      </w:r>
      <w:r w:rsidRPr="0096524F">
        <w:t xml:space="preserve"> </w:t>
      </w:r>
      <w:r w:rsidRPr="0096524F">
        <w:t>Supp.</w:t>
      </w:r>
      <w:r w:rsidRPr="0096524F">
        <w:t xml:space="preserve"> </w:t>
      </w:r>
      <w:r w:rsidRPr="0096524F">
        <w:t>2d 622, 92 USPQ2d 1325 (N.D.</w:t>
      </w:r>
      <w:r w:rsidRPr="0096524F">
        <w:t xml:space="preserve"> </w:t>
      </w:r>
      <w:r w:rsidRPr="0096524F">
        <w:t>Tex.</w:t>
      </w:r>
      <w:r w:rsidRPr="0096524F">
        <w:t xml:space="preserve"> </w:t>
      </w:r>
      <w:r w:rsidRPr="0096524F">
        <w:t>2009), the court found that defendant’s sale of America’s Team merchandise infringed and diluted the football team’s mark.</w:t>
      </w:r>
      <w:r w:rsidRPr="0096524F">
        <w:t xml:space="preserve"> </w:t>
      </w:r>
      <w:r w:rsidRPr="0096524F">
        <w:t>However, when considering blurring, although the court stated that the factors of similarity and intent to cause association favored the plaintiff, the court did not come to a conclusion about blurring, and appeared to rest its decision about dilution on the issue of tarnishment.</w:t>
      </w:r>
      <w:r w:rsidRPr="0096524F">
        <w:t xml:space="preserve"> </w:t>
      </w:r>
      <w:r w:rsidRPr="0096524F">
        <w:rPr>
          <w:i/>
        </w:rPr>
        <w:t>Id</w:t>
      </w:r>
      <w:r w:rsidRPr="0096524F">
        <w:t>.</w:t>
      </w:r>
      <w:r w:rsidRPr="0096524F">
        <w:t xml:space="preserve"> </w:t>
      </w:r>
      <w:r w:rsidRPr="0096524F">
        <w:t>at 643.</w:t>
      </w:r>
    </w:p>
  </w:footnote>
  <w:footnote w:id="254">
    <w:p w14:paraId="282DA046" w14:textId="6567C35A" w:rsidR="0096524F" w:rsidRPr="00EB11B3" w:rsidRDefault="0096524F" w:rsidP="0096524F">
      <w:pPr>
        <w:pStyle w:val="FootnoteText"/>
      </w:pPr>
      <w:r w:rsidRPr="0096524F">
        <w:rPr>
          <w:vertAlign w:val="superscript"/>
        </w:rPr>
        <w:footnoteRef/>
      </w:r>
      <w:r w:rsidRPr="0096524F">
        <w:t>610 F.3d 1088, 1091, 95 USPQ2d 1571 (9th Cir.</w:t>
      </w:r>
      <w:r w:rsidRPr="0096524F">
        <w:t xml:space="preserve"> </w:t>
      </w:r>
      <w:r w:rsidRPr="0096524F">
        <w:t>2010).</w:t>
      </w:r>
    </w:p>
  </w:footnote>
  <w:footnote w:id="255">
    <w:p w14:paraId="41B636E2" w14:textId="598B26BB" w:rsidR="0096524F" w:rsidRPr="00EB11B3" w:rsidRDefault="0096524F" w:rsidP="0096524F">
      <w:pPr>
        <w:pStyle w:val="FootnoteText"/>
      </w:pPr>
      <w:r w:rsidRPr="0096524F">
        <w:rPr>
          <w:vertAlign w:val="superscript"/>
        </w:rPr>
        <w:footnoteRef/>
      </w:r>
      <w:r w:rsidRPr="0096524F">
        <w:rPr>
          <w:i/>
        </w:rPr>
        <w:t>Id</w:t>
      </w:r>
      <w:r w:rsidRPr="0096524F">
        <w:t>.</w:t>
      </w:r>
    </w:p>
  </w:footnote>
  <w:footnote w:id="256">
    <w:p w14:paraId="2DD65E60" w14:textId="4A59CA2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1092 (noting that “[the mark] Visa plays only weakly off the word’s association with international travel”).</w:t>
      </w:r>
    </w:p>
  </w:footnote>
  <w:footnote w:id="257">
    <w:p w14:paraId="678CBCF6" w14:textId="3281EFE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1090.</w:t>
      </w:r>
      <w:r w:rsidRPr="0096524F">
        <w:t xml:space="preserve"> </w:t>
      </w:r>
      <w:r w:rsidRPr="0096524F">
        <w:rPr>
          <w:i/>
        </w:rPr>
        <w:t>See</w:t>
      </w:r>
      <w:r w:rsidRPr="0096524F">
        <w:t xml:space="preserve"> General Motors Corp.</w:t>
      </w:r>
      <w:r w:rsidRPr="0096524F">
        <w:t xml:space="preserve"> </w:t>
      </w:r>
      <w:r w:rsidRPr="0096524F">
        <w:t>v.</w:t>
      </w:r>
      <w:r w:rsidRPr="0096524F">
        <w:t xml:space="preserve"> </w:t>
      </w:r>
      <w:r w:rsidRPr="0096524F">
        <w:t>Rapp Chevrolet, Inc., 2013 U.S.</w:t>
      </w:r>
      <w:r w:rsidRPr="0096524F">
        <w:t xml:space="preserve"> </w:t>
      </w:r>
      <w:r w:rsidRPr="0096524F">
        <w:t>Dist.</w:t>
      </w:r>
      <w:r w:rsidRPr="0096524F">
        <w:t xml:space="preserve"> </w:t>
      </w:r>
      <w:r w:rsidRPr="0096524F">
        <w:t>LEXIS 74234, at *21 (D.S.D.</w:t>
      </w:r>
      <w:r w:rsidRPr="0096524F">
        <w:t xml:space="preserve"> </w:t>
      </w:r>
      <w:r w:rsidRPr="0096524F">
        <w:t>May 21, 2013) (franchise holdover;</w:t>
      </w:r>
      <w:r w:rsidRPr="0096524F">
        <w:t xml:space="preserve"> </w:t>
      </w:r>
      <w:r w:rsidRPr="0096524F">
        <w:t>court cites essentially identical mark, though without the “bow” logo).</w:t>
      </w:r>
    </w:p>
  </w:footnote>
  <w:footnote w:id="258">
    <w:p w14:paraId="521D5B65" w14:textId="3DDD0D51" w:rsidR="0096524F" w:rsidRPr="00882ED4" w:rsidRDefault="0096524F" w:rsidP="0096524F">
      <w:pPr>
        <w:pStyle w:val="FootnoteText"/>
        <w:rPr>
          <w:lang w:val="sv-SE"/>
        </w:rPr>
      </w:pPr>
      <w:r w:rsidRPr="0096524F">
        <w:rPr>
          <w:vertAlign w:val="superscript"/>
        </w:rPr>
        <w:footnoteRef/>
      </w:r>
      <w:r w:rsidRPr="0096524F">
        <w:rPr>
          <w:i/>
        </w:rPr>
        <w:t>Visa Int’l</w:t>
      </w:r>
      <w:r w:rsidRPr="0096524F">
        <w:t>, 610 F.3d at 1091.</w:t>
      </w:r>
    </w:p>
  </w:footnote>
  <w:footnote w:id="259">
    <w:p w14:paraId="0C33DE39" w14:textId="6454B032"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1090, 1092 (“the injury addressed by anti-dilution law in fact occurs when marks are placed in new and different contexts, thereby weakening the mark’s ability to bring to mind the plaintiff’s goods or services”).</w:t>
      </w:r>
    </w:p>
  </w:footnote>
  <w:footnote w:id="260">
    <w:p w14:paraId="6A86E41B" w14:textId="4D69D7F0" w:rsidR="0096524F" w:rsidRPr="0096524F" w:rsidRDefault="0096524F" w:rsidP="0096524F">
      <w:pPr>
        <w:pStyle w:val="FootnoteText"/>
      </w:pPr>
      <w:r w:rsidRPr="0096524F">
        <w:rPr>
          <w:vertAlign w:val="superscript"/>
        </w:rPr>
        <w:footnoteRef/>
      </w:r>
      <w:r w:rsidRPr="0096524F">
        <w:t>2012 U.S.</w:t>
      </w:r>
      <w:r w:rsidRPr="0096524F">
        <w:t xml:space="preserve"> </w:t>
      </w:r>
      <w:r w:rsidRPr="0096524F">
        <w:t>Dist.</w:t>
      </w:r>
      <w:r w:rsidRPr="0096524F">
        <w:t xml:space="preserve"> </w:t>
      </w:r>
      <w:r w:rsidRPr="0096524F">
        <w:t>LEXIS 151569 (S.D.N.Y.</w:t>
      </w:r>
      <w:r w:rsidRPr="0096524F">
        <w:t xml:space="preserve"> </w:t>
      </w:r>
      <w:r w:rsidRPr="0096524F">
        <w:t>Oct.</w:t>
      </w:r>
      <w:r w:rsidRPr="0096524F">
        <w:t xml:space="preserve"> </w:t>
      </w:r>
      <w:r w:rsidRPr="0096524F">
        <w:t>17, 2012) (default judgment).</w:t>
      </w:r>
    </w:p>
    <w:p w14:paraId="53E9C290" w14:textId="77777777" w:rsidR="0096524F" w:rsidRDefault="0096524F" w:rsidP="00D758BD">
      <w:pPr>
        <w:pStyle w:val="footnote"/>
      </w:pPr>
    </w:p>
  </w:footnote>
  <w:footnote w:id="261">
    <w:p w14:paraId="29B003E0" w14:textId="1FF84ADA"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*14–15.</w:t>
      </w:r>
    </w:p>
    <w:p w14:paraId="609167C3" w14:textId="77777777" w:rsidR="0096524F" w:rsidRDefault="0096524F" w:rsidP="00D758BD">
      <w:pPr>
        <w:pStyle w:val="footnote"/>
      </w:pPr>
    </w:p>
  </w:footnote>
  <w:footnote w:id="262">
    <w:p w14:paraId="16CB7919" w14:textId="7C5C090B" w:rsidR="0096524F" w:rsidRDefault="0096524F" w:rsidP="0096524F">
      <w:pPr>
        <w:pStyle w:val="FootnoteText"/>
      </w:pPr>
      <w:r w:rsidRPr="0096524F">
        <w:rPr>
          <w:rStyle w:val="FootnoteReference"/>
          <w:rFonts w:eastAsiaTheme="majorEastAsia"/>
        </w:rPr>
        <w:footnoteRef/>
      </w:r>
      <w:r w:rsidRPr="0096524F">
        <w:t>2019 WL 1081039, 2019 BL 83986 (D.</w:t>
      </w:r>
      <w:r w:rsidRPr="0096524F">
        <w:t xml:space="preserve"> </w:t>
      </w:r>
      <w:r w:rsidRPr="0096524F">
        <w:t>Colo.</w:t>
      </w:r>
      <w:r w:rsidRPr="0096524F">
        <w:t xml:space="preserve"> </w:t>
      </w:r>
      <w:r w:rsidRPr="0096524F">
        <w:t>Jan.</w:t>
      </w:r>
      <w:r w:rsidRPr="0096524F">
        <w:t xml:space="preserve"> </w:t>
      </w:r>
      <w:r w:rsidRPr="0096524F">
        <w:t>18, 2019) (magistrate judge;</w:t>
      </w:r>
      <w:r w:rsidRPr="0096524F">
        <w:t xml:space="preserve"> </w:t>
      </w:r>
      <w:r w:rsidRPr="0096524F">
        <w:t>default judgment recommended).</w:t>
      </w:r>
    </w:p>
  </w:footnote>
  <w:footnote w:id="263">
    <w:p w14:paraId="1D202A02" w14:textId="135C5B20" w:rsidR="0096524F" w:rsidRPr="00987762" w:rsidRDefault="0096524F" w:rsidP="0096524F">
      <w:pPr>
        <w:pStyle w:val="FootnoteText"/>
      </w:pPr>
      <w:r w:rsidRPr="0096524F">
        <w:rPr>
          <w:rStyle w:val="FootnoteReference"/>
          <w:rFonts w:eastAsiaTheme="majorEastAsia"/>
        </w:rPr>
        <w:footnoteRef/>
      </w:r>
      <w:r w:rsidRPr="0096524F">
        <w:rPr>
          <w:i/>
        </w:rPr>
        <w:t>Id</w:t>
      </w:r>
      <w:r w:rsidRPr="0096524F">
        <w:t>.</w:t>
      </w:r>
      <w:r w:rsidRPr="0096524F">
        <w:t xml:space="preserve"> </w:t>
      </w:r>
      <w:r w:rsidRPr="0096524F">
        <w:t>at *7.</w:t>
      </w:r>
    </w:p>
  </w:footnote>
  <w:footnote w:id="264">
    <w:p w14:paraId="5C1568FB" w14:textId="59208A81" w:rsidR="0096524F" w:rsidRPr="00987762" w:rsidRDefault="0096524F" w:rsidP="0096524F">
      <w:pPr>
        <w:pStyle w:val="FootnoteText"/>
      </w:pPr>
      <w:r w:rsidRPr="0096524F">
        <w:rPr>
          <w:rStyle w:val="FootnoteReference"/>
          <w:rFonts w:eastAsiaTheme="majorEastAsia"/>
        </w:rPr>
        <w:footnoteRef/>
      </w:r>
      <w:r w:rsidRPr="0096524F">
        <w:rPr>
          <w:i/>
        </w:rPr>
        <w:t>Id</w:t>
      </w:r>
      <w:r w:rsidRPr="0096524F">
        <w:t>.</w:t>
      </w:r>
      <w:r w:rsidRPr="0096524F">
        <w:t xml:space="preserve"> </w:t>
      </w:r>
      <w:r w:rsidRPr="0096524F">
        <w:t>at *8.</w:t>
      </w:r>
    </w:p>
  </w:footnote>
  <w:footnote w:id="265">
    <w:p w14:paraId="5DCECC2F" w14:textId="54F7CE8E" w:rsidR="0096524F" w:rsidRPr="006D39DD" w:rsidRDefault="0096524F" w:rsidP="0096524F">
      <w:pPr>
        <w:pStyle w:val="FootnoteText"/>
      </w:pPr>
      <w:r w:rsidRPr="0096524F">
        <w:rPr>
          <w:rStyle w:val="FootnoteReference"/>
          <w:rFonts w:eastAsiaTheme="majorEastAsia"/>
        </w:rPr>
        <w:footnoteRef/>
      </w:r>
      <w:r w:rsidRPr="0096524F">
        <w:t>2018 WL 4854069, 2018 BL 368818 (E.D.</w:t>
      </w:r>
      <w:r w:rsidRPr="0096524F">
        <w:t xml:space="preserve"> </w:t>
      </w:r>
      <w:r w:rsidRPr="0096524F">
        <w:t>Va.</w:t>
      </w:r>
      <w:r w:rsidRPr="0096524F">
        <w:t xml:space="preserve"> </w:t>
      </w:r>
      <w:r w:rsidRPr="0096524F">
        <w:t>Oct.</w:t>
      </w:r>
      <w:r w:rsidRPr="0096524F">
        <w:t xml:space="preserve"> </w:t>
      </w:r>
      <w:r w:rsidRPr="0096524F">
        <w:t>5, 2018).</w:t>
      </w:r>
    </w:p>
  </w:footnote>
  <w:footnote w:id="266">
    <w:p w14:paraId="531927AB" w14:textId="337F768A" w:rsidR="0096524F" w:rsidRPr="00910FB3" w:rsidRDefault="0096524F" w:rsidP="0096524F">
      <w:pPr>
        <w:pStyle w:val="FootnoteText"/>
      </w:pPr>
      <w:r w:rsidRPr="0096524F">
        <w:rPr>
          <w:rStyle w:val="FootnoteReference"/>
          <w:rFonts w:eastAsiaTheme="majorEastAsia"/>
        </w:rPr>
        <w:footnoteRef/>
      </w:r>
      <w:r w:rsidRPr="0096524F">
        <w:rPr>
          <w:i/>
        </w:rPr>
        <w:t>Id</w:t>
      </w:r>
      <w:r w:rsidRPr="0096524F">
        <w:t>.</w:t>
      </w:r>
      <w:r w:rsidRPr="0096524F">
        <w:t xml:space="preserve"> </w:t>
      </w:r>
      <w:r w:rsidRPr="0096524F">
        <w:t>at *2.</w:t>
      </w:r>
      <w:r w:rsidRPr="0096524F">
        <w:t xml:space="preserve"> </w:t>
      </w:r>
      <w:r w:rsidRPr="0096524F">
        <w:rPr>
          <w:i/>
        </w:rPr>
        <w:t>Accord</w:t>
      </w:r>
      <w:r w:rsidRPr="0096524F">
        <w:t xml:space="preserve"> Juul Labs, Inc.</w:t>
      </w:r>
      <w:r w:rsidRPr="0096524F">
        <w:t xml:space="preserve"> </w:t>
      </w:r>
      <w:r w:rsidRPr="0096524F">
        <w:t>v.</w:t>
      </w:r>
      <w:r w:rsidRPr="0096524F">
        <w:t xml:space="preserve"> </w:t>
      </w:r>
      <w:r w:rsidRPr="0096524F">
        <w:t>Unincorporated Ass’ns Identified in Schedule A, 2019 WL 2411427, at *2 (E.D.</w:t>
      </w:r>
      <w:r w:rsidRPr="0096524F">
        <w:t xml:space="preserve"> </w:t>
      </w:r>
      <w:r w:rsidRPr="0096524F">
        <w:t>Va.</w:t>
      </w:r>
      <w:r w:rsidRPr="0096524F">
        <w:t xml:space="preserve"> </w:t>
      </w:r>
      <w:r w:rsidRPr="0096524F">
        <w:t>June 7, 2019).</w:t>
      </w:r>
    </w:p>
  </w:footnote>
  <w:footnote w:id="267">
    <w:p w14:paraId="7B98972F" w14:textId="171E78B4" w:rsidR="0096524F" w:rsidRDefault="0096524F" w:rsidP="0096524F">
      <w:pPr>
        <w:pStyle w:val="FootnoteText"/>
      </w:pPr>
      <w:r w:rsidRPr="0096524F">
        <w:rPr>
          <w:rStyle w:val="FootnoteReference"/>
          <w:rFonts w:eastAsiaTheme="majorEastAsia"/>
        </w:rPr>
        <w:footnoteRef/>
      </w:r>
      <w:r w:rsidRPr="0096524F">
        <w:t>2020 WL 1821023, 2020 BL 134514 (E.D.</w:t>
      </w:r>
      <w:r w:rsidRPr="0096524F">
        <w:t xml:space="preserve"> </w:t>
      </w:r>
      <w:r w:rsidRPr="0096524F">
        <w:t>Mich.</w:t>
      </w:r>
      <w:r w:rsidRPr="0096524F">
        <w:t xml:space="preserve"> </w:t>
      </w:r>
      <w:r w:rsidRPr="0096524F">
        <w:t>Apr.</w:t>
      </w:r>
      <w:r w:rsidRPr="0096524F">
        <w:t xml:space="preserve"> </w:t>
      </w:r>
      <w:r w:rsidRPr="0096524F">
        <w:t>10, 2020).</w:t>
      </w:r>
    </w:p>
  </w:footnote>
  <w:footnote w:id="268">
    <w:p w14:paraId="39C294AC" w14:textId="3BF34860" w:rsidR="0096524F" w:rsidRPr="0064301F" w:rsidRDefault="0096524F" w:rsidP="0096524F">
      <w:pPr>
        <w:pStyle w:val="FootnoteText"/>
      </w:pPr>
      <w:r w:rsidRPr="0096524F">
        <w:rPr>
          <w:rStyle w:val="FootnoteReference"/>
          <w:rFonts w:eastAsiaTheme="majorEastAsia"/>
        </w:rPr>
        <w:footnoteRef/>
      </w:r>
      <w:r w:rsidRPr="0096524F">
        <w:rPr>
          <w:i/>
        </w:rPr>
        <w:t>Id.</w:t>
      </w:r>
      <w:r w:rsidRPr="0096524F">
        <w:rPr>
          <w:i/>
        </w:rPr>
        <w:t xml:space="preserve"> </w:t>
      </w:r>
      <w:r w:rsidRPr="0096524F">
        <w:t>at *3.</w:t>
      </w:r>
    </w:p>
  </w:footnote>
  <w:footnote w:id="269">
    <w:p w14:paraId="49D06AB7" w14:textId="45F3CA2C" w:rsidR="0096524F" w:rsidRDefault="0096524F" w:rsidP="0096524F">
      <w:pPr>
        <w:pStyle w:val="FootnoteText"/>
      </w:pPr>
      <w:r w:rsidRPr="0096524F">
        <w:rPr>
          <w:rStyle w:val="FootnoteReference"/>
          <w:rFonts w:eastAsiaTheme="majorEastAsia"/>
        </w:rPr>
        <w:footnoteRef/>
      </w:r>
      <w:r w:rsidRPr="0096524F">
        <w:t>No.</w:t>
      </w:r>
      <w:r w:rsidRPr="0096524F">
        <w:t xml:space="preserve"> </w:t>
      </w:r>
      <w:r w:rsidRPr="0096524F">
        <w:t>CV 17-2149 (SJF)(AYS), 2020 WL 1914762 (E.D.N.Y.</w:t>
      </w:r>
      <w:r w:rsidRPr="0096524F">
        <w:t xml:space="preserve"> </w:t>
      </w:r>
      <w:r w:rsidRPr="0096524F">
        <w:t>Feb.</w:t>
      </w:r>
      <w:r w:rsidRPr="0096524F">
        <w:t xml:space="preserve"> </w:t>
      </w:r>
      <w:r w:rsidRPr="0096524F">
        <w:t>28, 2020) (magistrate judge opinion).</w:t>
      </w:r>
    </w:p>
  </w:footnote>
  <w:footnote w:id="270">
    <w:p w14:paraId="2395FD76" w14:textId="7F2C6636" w:rsidR="0096524F" w:rsidRPr="007F16CD" w:rsidRDefault="0096524F" w:rsidP="0096524F">
      <w:pPr>
        <w:pStyle w:val="FootnoteText"/>
      </w:pPr>
      <w:r w:rsidRPr="0096524F">
        <w:rPr>
          <w:rStyle w:val="FootnoteReference"/>
          <w:rFonts w:eastAsiaTheme="majorEastAsia"/>
        </w:rPr>
        <w:footnoteRef/>
      </w:r>
      <w:r w:rsidRPr="0096524F">
        <w:rPr>
          <w:i/>
        </w:rPr>
        <w:t>Id</w:t>
      </w:r>
      <w:r w:rsidRPr="0096524F">
        <w:t>.</w:t>
      </w:r>
      <w:r w:rsidRPr="0096524F">
        <w:t xml:space="preserve"> </w:t>
      </w:r>
      <w:r w:rsidRPr="0096524F">
        <w:t>at *10.</w:t>
      </w:r>
    </w:p>
  </w:footnote>
  <w:footnote w:id="271">
    <w:p w14:paraId="07095503" w14:textId="39C70A45" w:rsidR="0096524F" w:rsidRPr="00747291" w:rsidRDefault="0096524F" w:rsidP="0096524F">
      <w:pPr>
        <w:pStyle w:val="FootnoteText"/>
      </w:pPr>
      <w:r w:rsidRPr="0096524F">
        <w:rPr>
          <w:rStyle w:val="FootnoteReference"/>
          <w:rFonts w:eastAsiaTheme="majorEastAsia"/>
        </w:rPr>
        <w:footnoteRef/>
      </w:r>
      <w:r w:rsidRPr="0096524F">
        <w:t>2023 WL 7107272, at *6–7, 2023 BL 263683 (C.D.</w:t>
      </w:r>
      <w:r w:rsidRPr="0096524F">
        <w:t xml:space="preserve"> </w:t>
      </w:r>
      <w:r w:rsidRPr="0096524F">
        <w:t>Cal.</w:t>
      </w:r>
      <w:r w:rsidRPr="0096524F">
        <w:t xml:space="preserve"> </w:t>
      </w:r>
      <w:r w:rsidRPr="0096524F">
        <w:t>Aug.</w:t>
      </w:r>
      <w:r w:rsidRPr="0096524F">
        <w:t xml:space="preserve"> </w:t>
      </w:r>
      <w:r w:rsidRPr="0096524F">
        <w:t>1, 2023).</w:t>
      </w:r>
    </w:p>
  </w:footnote>
  <w:footnote w:id="272">
    <w:p w14:paraId="3A8803CC" w14:textId="20E338F4" w:rsidR="0096524F" w:rsidRPr="0096524F" w:rsidRDefault="0096524F" w:rsidP="0096524F">
      <w:pPr>
        <w:pStyle w:val="FootnoteText"/>
      </w:pPr>
      <w:r w:rsidRPr="0096524F">
        <w:rPr>
          <w:vertAlign w:val="superscript"/>
        </w:rPr>
        <w:footnoteRef/>
      </w:r>
      <w:r w:rsidRPr="0096524F">
        <w:t>886 F.</w:t>
      </w:r>
      <w:r w:rsidRPr="0096524F">
        <w:t xml:space="preserve"> </w:t>
      </w:r>
      <w:r w:rsidRPr="0096524F">
        <w:t>Supp.</w:t>
      </w:r>
      <w:r w:rsidRPr="0096524F">
        <w:t xml:space="preserve"> </w:t>
      </w:r>
      <w:r w:rsidRPr="0096524F">
        <w:t>2d 529, 105 USPQ2d 1230 (E.D.</w:t>
      </w:r>
      <w:r w:rsidRPr="0096524F">
        <w:t xml:space="preserve"> </w:t>
      </w:r>
      <w:r w:rsidRPr="0096524F">
        <w:t>Va.</w:t>
      </w:r>
      <w:r w:rsidRPr="0096524F">
        <w:t xml:space="preserve"> </w:t>
      </w:r>
      <w:r w:rsidRPr="0096524F">
        <w:t>2012).</w:t>
      </w:r>
    </w:p>
    <w:p w14:paraId="0F068A12" w14:textId="77777777" w:rsidR="0096524F" w:rsidRPr="007F16CD" w:rsidRDefault="0096524F" w:rsidP="00D758BD">
      <w:pPr>
        <w:pStyle w:val="footnote"/>
      </w:pPr>
    </w:p>
  </w:footnote>
  <w:footnote w:id="273">
    <w:p w14:paraId="57331408" w14:textId="655A0F90"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536.</w:t>
      </w:r>
    </w:p>
    <w:p w14:paraId="5D946E0A" w14:textId="77777777" w:rsidR="0096524F" w:rsidRPr="007F16CD" w:rsidRDefault="0096524F" w:rsidP="00D758BD">
      <w:pPr>
        <w:pStyle w:val="footnote"/>
      </w:pPr>
    </w:p>
  </w:footnote>
  <w:footnote w:id="274">
    <w:p w14:paraId="6776DB01" w14:textId="4B140185" w:rsidR="0096524F" w:rsidRPr="0096524F" w:rsidRDefault="0096524F" w:rsidP="0096524F">
      <w:pPr>
        <w:pStyle w:val="FootnoteText"/>
      </w:pPr>
      <w:r w:rsidRPr="0096524F">
        <w:rPr>
          <w:vertAlign w:val="superscript"/>
        </w:rPr>
        <w:footnoteRef/>
      </w:r>
      <w:r w:rsidRPr="0096524F">
        <w:t>adidas Am., Inc.</w:t>
      </w:r>
      <w:r w:rsidRPr="0096524F">
        <w:t xml:space="preserve"> </w:t>
      </w:r>
      <w:r w:rsidRPr="0096524F">
        <w:t>v.</w:t>
      </w:r>
      <w:r w:rsidRPr="0096524F">
        <w:t xml:space="preserve"> </w:t>
      </w:r>
      <w:r w:rsidRPr="0096524F">
        <w:t>Skechers USA, Inc., 149 F.</w:t>
      </w:r>
      <w:r w:rsidRPr="0096524F">
        <w:t xml:space="preserve"> </w:t>
      </w:r>
      <w:r w:rsidRPr="0096524F">
        <w:t>Supp.</w:t>
      </w:r>
      <w:r w:rsidRPr="0096524F">
        <w:t xml:space="preserve"> </w:t>
      </w:r>
      <w:r w:rsidRPr="0096524F">
        <w:t>3d 1222, 1247 (D.</w:t>
      </w:r>
      <w:r w:rsidRPr="0096524F">
        <w:t xml:space="preserve"> </w:t>
      </w:r>
      <w:r w:rsidRPr="0096524F">
        <w:t>Or.</w:t>
      </w:r>
      <w:r w:rsidRPr="0096524F">
        <w:t xml:space="preserve"> </w:t>
      </w:r>
      <w:r w:rsidRPr="0096524F">
        <w:t xml:space="preserve">2016), </w:t>
      </w:r>
      <w:r w:rsidRPr="0096524F">
        <w:rPr>
          <w:i/>
        </w:rPr>
        <w:t>aff’d in part, rev’d in part on other grounds</w:t>
      </w:r>
      <w:r w:rsidRPr="0096524F">
        <w:t>, 890 F.3d 747 (9th Cir.</w:t>
      </w:r>
      <w:r w:rsidRPr="0096524F">
        <w:t xml:space="preserve"> </w:t>
      </w:r>
      <w:r w:rsidRPr="0096524F">
        <w:t>2018).</w:t>
      </w:r>
    </w:p>
    <w:p w14:paraId="55BCAF92" w14:textId="77777777" w:rsidR="0096524F" w:rsidRDefault="0096524F" w:rsidP="00D758BD">
      <w:pPr>
        <w:pStyle w:val="footnote"/>
      </w:pPr>
    </w:p>
  </w:footnote>
  <w:footnote w:id="275">
    <w:p w14:paraId="2B0CC787" w14:textId="598B2EF8" w:rsidR="0096524F" w:rsidRPr="0096524F" w:rsidRDefault="0096524F" w:rsidP="0096524F">
      <w:pPr>
        <w:pStyle w:val="FootnoteText"/>
      </w:pPr>
      <w:r w:rsidRPr="0096524F">
        <w:rPr>
          <w:vertAlign w:val="superscript"/>
        </w:rPr>
        <w:footnoteRef/>
      </w:r>
      <w:r w:rsidRPr="0096524F">
        <w:rPr>
          <w:i/>
        </w:rPr>
        <w:t>Id</w:t>
      </w:r>
      <w:r w:rsidRPr="0096524F">
        <w:t>.</w:t>
      </w:r>
    </w:p>
    <w:p w14:paraId="244F5CA9" w14:textId="77777777" w:rsidR="0096524F" w:rsidRDefault="0096524F" w:rsidP="00D758BD">
      <w:pPr>
        <w:pStyle w:val="footnote"/>
      </w:pPr>
    </w:p>
  </w:footnote>
  <w:footnote w:id="276">
    <w:p w14:paraId="5A67BD40" w14:textId="4B95D043" w:rsidR="0096524F" w:rsidRPr="0096524F" w:rsidRDefault="0096524F" w:rsidP="0096524F">
      <w:pPr>
        <w:pStyle w:val="FootnoteText"/>
      </w:pPr>
      <w:r w:rsidRPr="0096524F">
        <w:rPr>
          <w:vertAlign w:val="superscript"/>
        </w:rPr>
        <w:footnoteRef/>
      </w:r>
      <w:r w:rsidRPr="0096524F">
        <w:t>890 F.3d 747, 758–59 (9th Cir.</w:t>
      </w:r>
      <w:r w:rsidRPr="0096524F">
        <w:t xml:space="preserve"> </w:t>
      </w:r>
      <w:r w:rsidRPr="0096524F">
        <w:t>2018).</w:t>
      </w:r>
      <w:r w:rsidRPr="0096524F">
        <w:t xml:space="preserve"> </w:t>
      </w:r>
      <w:r w:rsidRPr="0096524F">
        <w:t>The appeals court reversed the district court on the issue of irreparable harm.</w:t>
      </w:r>
      <w:r w:rsidRPr="0096524F">
        <w:t xml:space="preserve"> </w:t>
      </w:r>
      <w:r w:rsidRPr="0096524F">
        <w:rPr>
          <w:i/>
        </w:rPr>
        <w:t>Id</w:t>
      </w:r>
      <w:r w:rsidRPr="0096524F">
        <w:t>.</w:t>
      </w:r>
      <w:r w:rsidRPr="0096524F">
        <w:t xml:space="preserve"> </w:t>
      </w:r>
      <w:r w:rsidRPr="0096524F">
        <w:t>at 759–60.</w:t>
      </w:r>
      <w:r w:rsidRPr="0096524F">
        <w:t xml:space="preserve"> </w:t>
      </w:r>
      <w:r w:rsidRPr="0096524F">
        <w:t>This issue is discussed in Chapter 11, §A.</w:t>
      </w:r>
    </w:p>
    <w:p w14:paraId="58D42853" w14:textId="77777777" w:rsidR="0096524F" w:rsidRDefault="0096524F" w:rsidP="00D758BD">
      <w:pPr>
        <w:pStyle w:val="footnote"/>
      </w:pPr>
    </w:p>
  </w:footnote>
  <w:footnote w:id="277">
    <w:p w14:paraId="0E1E6217" w14:textId="4D6370F5" w:rsidR="0096524F" w:rsidRPr="0096524F" w:rsidRDefault="0096524F" w:rsidP="0096524F">
      <w:pPr>
        <w:pStyle w:val="FootnoteText"/>
      </w:pPr>
      <w:r w:rsidRPr="0096524F">
        <w:rPr>
          <w:vertAlign w:val="superscript"/>
        </w:rPr>
        <w:footnoteRef/>
      </w:r>
      <w:r w:rsidRPr="0096524F">
        <w:rPr>
          <w:i/>
        </w:rPr>
        <w:t>Id</w:t>
      </w:r>
      <w:r w:rsidRPr="0096524F">
        <w:t>.</w:t>
      </w:r>
    </w:p>
    <w:p w14:paraId="3EA5D137" w14:textId="77777777" w:rsidR="0096524F" w:rsidRDefault="0096524F" w:rsidP="00D758BD">
      <w:pPr>
        <w:pStyle w:val="footnote"/>
      </w:pPr>
    </w:p>
  </w:footnote>
  <w:footnote w:id="278">
    <w:p w14:paraId="38113269" w14:textId="4F4B5491" w:rsidR="0096524F" w:rsidRPr="0096524F" w:rsidRDefault="0096524F" w:rsidP="0096524F">
      <w:pPr>
        <w:pStyle w:val="FootnoteText"/>
      </w:pPr>
      <w:r w:rsidRPr="0096524F">
        <w:rPr>
          <w:vertAlign w:val="superscript"/>
        </w:rPr>
        <w:footnoteRef/>
      </w:r>
      <w:r w:rsidRPr="0096524F">
        <w:t>Deere &amp; Co.</w:t>
      </w:r>
      <w:r w:rsidRPr="0096524F">
        <w:t xml:space="preserve"> </w:t>
      </w:r>
      <w:r w:rsidRPr="0096524F">
        <w:t>v.</w:t>
      </w:r>
      <w:r w:rsidRPr="0096524F">
        <w:t xml:space="preserve"> </w:t>
      </w:r>
      <w:r w:rsidRPr="0096524F">
        <w:t>FIMCO, Inc., 302 F.</w:t>
      </w:r>
      <w:r w:rsidRPr="0096524F">
        <w:t xml:space="preserve"> </w:t>
      </w:r>
      <w:r w:rsidRPr="0096524F">
        <w:t>Supp.</w:t>
      </w:r>
      <w:r w:rsidRPr="0096524F">
        <w:t xml:space="preserve"> </w:t>
      </w:r>
      <w:r w:rsidRPr="0096524F">
        <w:t>3d 837 (W.D.</w:t>
      </w:r>
      <w:r w:rsidRPr="0096524F">
        <w:t xml:space="preserve"> </w:t>
      </w:r>
      <w:r w:rsidRPr="0096524F">
        <w:t>Ky.</w:t>
      </w:r>
      <w:r w:rsidRPr="0096524F">
        <w:t xml:space="preserve"> </w:t>
      </w:r>
      <w:r w:rsidRPr="0096524F">
        <w:t>2017).</w:t>
      </w:r>
    </w:p>
    <w:p w14:paraId="06C7A563" w14:textId="77777777" w:rsidR="0096524F" w:rsidRDefault="0096524F" w:rsidP="00D758BD">
      <w:pPr>
        <w:pStyle w:val="footnote"/>
      </w:pPr>
    </w:p>
  </w:footnote>
  <w:footnote w:id="279">
    <w:p w14:paraId="4FD7C53F" w14:textId="7AF13FF1"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901.</w:t>
      </w:r>
    </w:p>
    <w:p w14:paraId="23B6E193" w14:textId="77777777" w:rsidR="0096524F" w:rsidRPr="00882ED4" w:rsidRDefault="0096524F" w:rsidP="00D758BD">
      <w:pPr>
        <w:pStyle w:val="footnote"/>
        <w:rPr>
          <w:lang w:val="da-DK"/>
        </w:rPr>
      </w:pPr>
    </w:p>
  </w:footnote>
  <w:footnote w:id="280">
    <w:p w14:paraId="4AEC214C" w14:textId="142EF1B2"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897–900.</w:t>
      </w:r>
    </w:p>
    <w:p w14:paraId="5FC641DD" w14:textId="77777777" w:rsidR="0096524F" w:rsidRPr="00882ED4" w:rsidRDefault="0096524F" w:rsidP="00D758BD">
      <w:pPr>
        <w:pStyle w:val="footnote"/>
        <w:rPr>
          <w:lang w:val="da-DK"/>
        </w:rPr>
      </w:pPr>
    </w:p>
  </w:footnote>
  <w:footnote w:id="281">
    <w:p w14:paraId="0CCF351A" w14:textId="67FAF7ED"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901.</w:t>
      </w:r>
    </w:p>
    <w:p w14:paraId="0434D6A1" w14:textId="77777777" w:rsidR="0096524F" w:rsidRPr="00882ED4" w:rsidRDefault="0096524F" w:rsidP="00D758BD">
      <w:pPr>
        <w:pStyle w:val="footnote"/>
        <w:rPr>
          <w:lang w:val="da-DK"/>
        </w:rPr>
      </w:pPr>
    </w:p>
  </w:footnote>
  <w:footnote w:id="282">
    <w:p w14:paraId="296359B4" w14:textId="7F1C7F90" w:rsidR="0096524F" w:rsidRPr="00882ED4" w:rsidRDefault="0096524F" w:rsidP="0096524F">
      <w:pPr>
        <w:pStyle w:val="FootnoteText"/>
        <w:rPr>
          <w:lang w:val="da-DK"/>
        </w:rPr>
      </w:pPr>
      <w:r w:rsidRPr="0096524F">
        <w:rPr>
          <w:vertAlign w:val="superscript"/>
        </w:rPr>
        <w:footnoteRef/>
      </w:r>
      <w:r w:rsidRPr="0096524F">
        <w:t>Louis Vuitton Malletier, S.A.</w:t>
      </w:r>
      <w:r w:rsidRPr="0096524F">
        <w:t xml:space="preserve"> </w:t>
      </w:r>
      <w:r w:rsidRPr="0096524F">
        <w:t>v.</w:t>
      </w:r>
      <w:r w:rsidRPr="0096524F">
        <w:t xml:space="preserve"> </w:t>
      </w:r>
      <w:r w:rsidRPr="0096524F">
        <w:t>Hyundai Motor Am., 2012 U.S.</w:t>
      </w:r>
      <w:r w:rsidRPr="0096524F">
        <w:t xml:space="preserve"> </w:t>
      </w:r>
      <w:r w:rsidRPr="0096524F">
        <w:t>Dist.</w:t>
      </w:r>
      <w:r w:rsidRPr="0096524F">
        <w:t xml:space="preserve"> </w:t>
      </w:r>
      <w:r w:rsidRPr="0096524F">
        <w:t>LEXIS 42795, at *3–4 (S.D.N.Y.</w:t>
      </w:r>
      <w:r w:rsidRPr="0096524F">
        <w:t xml:space="preserve"> </w:t>
      </w:r>
      <w:r w:rsidRPr="0096524F">
        <w:t>Mar.</w:t>
      </w:r>
      <w:r w:rsidRPr="0096524F">
        <w:t xml:space="preserve"> </w:t>
      </w:r>
      <w:r w:rsidRPr="0096524F">
        <w:t>22, 2012).</w:t>
      </w:r>
    </w:p>
  </w:footnote>
  <w:footnote w:id="283">
    <w:p w14:paraId="3C633F7D" w14:textId="66F11A80"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*18–34.</w:t>
      </w:r>
      <w:r w:rsidRPr="0096524F">
        <w:t xml:space="preserve"> </w:t>
      </w:r>
      <w:r w:rsidRPr="0096524F">
        <w:t>The evidence of actual association was somewhat meager compared with other cases, at only 15% in Louis Vuitton’s expert survey.</w:t>
      </w:r>
      <w:r w:rsidRPr="0096524F">
        <w:t xml:space="preserve"> </w:t>
      </w:r>
      <w:r w:rsidRPr="0096524F">
        <w:rPr>
          <w:i/>
        </w:rPr>
        <w:t>Id</w:t>
      </w:r>
      <w:r w:rsidRPr="0096524F">
        <w:t>.</w:t>
      </w:r>
      <w:r w:rsidRPr="0096524F">
        <w:t xml:space="preserve"> </w:t>
      </w:r>
      <w:r w:rsidRPr="0096524F">
        <w:t>at *30.</w:t>
      </w:r>
      <w:r w:rsidRPr="0096524F">
        <w:t xml:space="preserve"> </w:t>
      </w:r>
      <w:r w:rsidRPr="0096524F">
        <w:t>But the court still found it to be favorable to Vuitton.</w:t>
      </w:r>
      <w:r w:rsidRPr="0096524F">
        <w:t xml:space="preserve"> </w:t>
      </w:r>
      <w:r w:rsidRPr="0096524F">
        <w:rPr>
          <w:i/>
        </w:rPr>
        <w:t>Id</w:t>
      </w:r>
      <w:r w:rsidRPr="0096524F">
        <w:t>.</w:t>
      </w:r>
      <w:r w:rsidRPr="0096524F">
        <w:t xml:space="preserve"> </w:t>
      </w:r>
      <w:r w:rsidRPr="0096524F">
        <w:t>at *31–34.</w:t>
      </w:r>
    </w:p>
  </w:footnote>
  <w:footnote w:id="284">
    <w:p w14:paraId="54E6BF20" w14:textId="4A928A39" w:rsidR="0096524F" w:rsidRPr="00EB11B3" w:rsidRDefault="0096524F" w:rsidP="0096524F">
      <w:pPr>
        <w:pStyle w:val="FootnoteText"/>
      </w:pPr>
      <w:r w:rsidRPr="0096524F">
        <w:rPr>
          <w:vertAlign w:val="superscript"/>
        </w:rPr>
        <w:footnoteRef/>
      </w:r>
      <w:r w:rsidRPr="0096524F">
        <w:t>It could be seen as possible tarnishment, if people were confused and also believed that Hyundai was a low quality brand.</w:t>
      </w:r>
      <w:r w:rsidRPr="0096524F">
        <w:t xml:space="preserve"> </w:t>
      </w:r>
      <w:r w:rsidRPr="0096524F">
        <w:t>But the court did not present that argument.</w:t>
      </w:r>
      <w:r w:rsidRPr="0096524F">
        <w:t xml:space="preserve"> </w:t>
      </w:r>
      <w:r w:rsidRPr="0096524F">
        <w:t>The court also rejected a fair use argument.</w:t>
      </w:r>
      <w:r w:rsidRPr="0096524F">
        <w:t xml:space="preserve"> </w:t>
      </w:r>
      <w:r w:rsidRPr="0096524F">
        <w:rPr>
          <w:i/>
        </w:rPr>
        <w:t>Id</w:t>
      </w:r>
      <w:r w:rsidRPr="0096524F">
        <w:t>.</w:t>
      </w:r>
      <w:r w:rsidRPr="0096524F">
        <w:t xml:space="preserve"> </w:t>
      </w:r>
      <w:r w:rsidRPr="0096524F">
        <w:t>at *47–61.</w:t>
      </w:r>
    </w:p>
  </w:footnote>
  <w:footnote w:id="285">
    <w:p w14:paraId="2AA8AB83" w14:textId="72CD91DC" w:rsidR="0096524F" w:rsidRPr="00EB11B3" w:rsidRDefault="0096524F" w:rsidP="0096524F">
      <w:pPr>
        <w:pStyle w:val="FootnoteText"/>
      </w:pPr>
      <w:r w:rsidRPr="0096524F">
        <w:rPr>
          <w:vertAlign w:val="superscript"/>
        </w:rPr>
        <w:footnoteRef/>
      </w:r>
      <w:r w:rsidRPr="0096524F">
        <w:t>In the European Union, free riding is a separate form of dilution.</w:t>
      </w:r>
      <w:r w:rsidRPr="0096524F">
        <w:t xml:space="preserve"> </w:t>
      </w:r>
      <w:r w:rsidRPr="0096524F">
        <w:rPr>
          <w:i/>
        </w:rPr>
        <w:t>See</w:t>
      </w:r>
      <w:r w:rsidRPr="0096524F">
        <w:t xml:space="preserve"> Chapter 15, §III.A.1.d.</w:t>
      </w:r>
    </w:p>
  </w:footnote>
  <w:footnote w:id="286">
    <w:p w14:paraId="541938F8" w14:textId="4922667E" w:rsidR="0096524F" w:rsidRPr="00EB11B3" w:rsidRDefault="0096524F" w:rsidP="0096524F">
      <w:pPr>
        <w:pStyle w:val="FootnoteText"/>
      </w:pPr>
      <w:r w:rsidRPr="0096524F">
        <w:rPr>
          <w:vertAlign w:val="superscript"/>
        </w:rPr>
        <w:footnoteRef/>
      </w:r>
      <w:r w:rsidRPr="0096524F">
        <w:t>96 USPQ2d 1479</w:t>
      </w:r>
      <w:r w:rsidRPr="0096524F">
        <w:rPr>
          <w:b/>
        </w:rPr>
        <w:t xml:space="preserve"> </w:t>
      </w:r>
      <w:r w:rsidRPr="0096524F">
        <w:t>(T.T.A.B.</w:t>
      </w:r>
      <w:r w:rsidRPr="0096524F">
        <w:t xml:space="preserve"> </w:t>
      </w:r>
      <w:r w:rsidRPr="0096524F">
        <w:t>2010).</w:t>
      </w:r>
    </w:p>
  </w:footnote>
  <w:footnote w:id="287">
    <w:p w14:paraId="472C02E5" w14:textId="53618701"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1497.</w:t>
      </w:r>
    </w:p>
  </w:footnote>
  <w:footnote w:id="288">
    <w:p w14:paraId="088FF214" w14:textId="5F85025C"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1497–98.</w:t>
      </w:r>
    </w:p>
  </w:footnote>
  <w:footnote w:id="289">
    <w:p w14:paraId="68645325" w14:textId="0CB86AD4"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1498.</w:t>
      </w:r>
    </w:p>
  </w:footnote>
  <w:footnote w:id="290">
    <w:p w14:paraId="61DC1532" w14:textId="19E6ED9B" w:rsidR="0096524F" w:rsidRPr="00882ED4" w:rsidRDefault="0096524F" w:rsidP="0096524F">
      <w:pPr>
        <w:pStyle w:val="FootnoteText"/>
        <w:rPr>
          <w:lang w:val="da-DK"/>
        </w:rPr>
      </w:pPr>
      <w:r w:rsidRPr="0096524F">
        <w:rPr>
          <w:vertAlign w:val="superscript"/>
        </w:rPr>
        <w:footnoteRef/>
      </w:r>
      <w:r w:rsidRPr="0096524F">
        <w:rPr>
          <w:i/>
        </w:rPr>
        <w:t>Id</w:t>
      </w:r>
      <w:r w:rsidRPr="0096524F">
        <w:t>.</w:t>
      </w:r>
    </w:p>
  </w:footnote>
  <w:footnote w:id="291">
    <w:p w14:paraId="29CC65FF" w14:textId="4B361BB0"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1498 &amp; n.36.</w:t>
      </w:r>
    </w:p>
  </w:footnote>
  <w:footnote w:id="292">
    <w:p w14:paraId="1A231A94" w14:textId="6807DDA9" w:rsidR="0096524F" w:rsidRPr="00882ED4" w:rsidRDefault="0096524F" w:rsidP="0096524F">
      <w:pPr>
        <w:pStyle w:val="FootnoteText"/>
        <w:rPr>
          <w:lang w:val="da-DK"/>
        </w:rPr>
      </w:pPr>
      <w:r w:rsidRPr="0096524F">
        <w:rPr>
          <w:vertAlign w:val="superscript"/>
        </w:rPr>
        <w:footnoteRef/>
      </w:r>
      <w:r w:rsidRPr="0096524F">
        <w:t>100 USPQ2d 1018 (T.T.A.B.</w:t>
      </w:r>
      <w:r w:rsidRPr="0096524F">
        <w:t xml:space="preserve"> </w:t>
      </w:r>
      <w:r w:rsidRPr="0096524F">
        <w:t>2011).</w:t>
      </w:r>
    </w:p>
  </w:footnote>
  <w:footnote w:id="293">
    <w:p w14:paraId="3ED1E4CE" w14:textId="75D11A9B"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1027.</w:t>
      </w:r>
    </w:p>
  </w:footnote>
  <w:footnote w:id="294">
    <w:p w14:paraId="6B1FDCD8" w14:textId="1F5ECE1A"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1027–30.</w:t>
      </w:r>
      <w:r w:rsidRPr="0096524F">
        <w:t xml:space="preserve"> </w:t>
      </w:r>
      <w:r w:rsidRPr="0096524F">
        <w:t>As to exclusivity of use, the Board discounted third-party registrations in the absence of any showing of actual use.</w:t>
      </w:r>
      <w:r w:rsidRPr="0096524F">
        <w:t xml:space="preserve"> </w:t>
      </w:r>
      <w:r w:rsidRPr="0096524F">
        <w:rPr>
          <w:i/>
        </w:rPr>
        <w:t>Id</w:t>
      </w:r>
      <w:r w:rsidRPr="0096524F">
        <w:t>.</w:t>
      </w:r>
      <w:r w:rsidRPr="0096524F">
        <w:t xml:space="preserve"> </w:t>
      </w:r>
      <w:r w:rsidRPr="0096524F">
        <w:t>at 1028.</w:t>
      </w:r>
    </w:p>
  </w:footnote>
  <w:footnote w:id="295">
    <w:p w14:paraId="2B7BCCCD" w14:textId="13156FD3"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1030.</w:t>
      </w:r>
    </w:p>
  </w:footnote>
  <w:footnote w:id="296">
    <w:p w14:paraId="49C1A681" w14:textId="386FA3DB" w:rsidR="0096524F" w:rsidRPr="00882ED4" w:rsidRDefault="0096524F" w:rsidP="0096524F">
      <w:pPr>
        <w:pStyle w:val="FootnoteText"/>
        <w:rPr>
          <w:lang w:val="da-DK"/>
        </w:rPr>
      </w:pPr>
      <w:r w:rsidRPr="0096524F">
        <w:rPr>
          <w:vertAlign w:val="superscript"/>
        </w:rPr>
        <w:footnoteRef/>
      </w:r>
      <w:r w:rsidRPr="0096524F">
        <w:rPr>
          <w:i/>
        </w:rPr>
        <w:t>Id</w:t>
      </w:r>
      <w:r w:rsidRPr="0096524F">
        <w:t>.</w:t>
      </w:r>
    </w:p>
  </w:footnote>
  <w:footnote w:id="297">
    <w:p w14:paraId="4752C6B5" w14:textId="2DEDD6DC"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1030–31.</w:t>
      </w:r>
    </w:p>
  </w:footnote>
  <w:footnote w:id="298">
    <w:p w14:paraId="064D9F90" w14:textId="185888A5"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1031.</w:t>
      </w:r>
    </w:p>
  </w:footnote>
  <w:footnote w:id="299">
    <w:p w14:paraId="3185EB72" w14:textId="177EE9CD" w:rsidR="0096524F" w:rsidRPr="00882ED4" w:rsidRDefault="0096524F" w:rsidP="0096524F">
      <w:pPr>
        <w:pStyle w:val="FootnoteText"/>
        <w:rPr>
          <w:lang w:val="da-DK"/>
        </w:rPr>
      </w:pPr>
      <w:r w:rsidRPr="0096524F">
        <w:rPr>
          <w:vertAlign w:val="superscript"/>
        </w:rPr>
        <w:footnoteRef/>
      </w:r>
      <w:r w:rsidRPr="0096524F">
        <w:rPr>
          <w:i/>
        </w:rPr>
        <w:t>Id</w:t>
      </w:r>
      <w:r w:rsidRPr="0096524F">
        <w:t>.</w:t>
      </w:r>
    </w:p>
  </w:footnote>
  <w:footnote w:id="300">
    <w:p w14:paraId="315E7097" w14:textId="7ADC185D" w:rsidR="0096524F" w:rsidRPr="00882ED4" w:rsidRDefault="0096524F" w:rsidP="0096524F">
      <w:pPr>
        <w:pStyle w:val="FootnoteText"/>
        <w:rPr>
          <w:lang w:val="da-DK"/>
        </w:rPr>
      </w:pPr>
      <w:r w:rsidRPr="0096524F">
        <w:rPr>
          <w:vertAlign w:val="superscript"/>
        </w:rPr>
        <w:footnoteRef/>
      </w:r>
      <w:r w:rsidRPr="0096524F">
        <w:rPr>
          <w:i/>
        </w:rPr>
        <w:t>Id</w:t>
      </w:r>
      <w:r w:rsidRPr="0096524F">
        <w:t>.</w:t>
      </w:r>
    </w:p>
  </w:footnote>
  <w:footnote w:id="301">
    <w:p w14:paraId="7FED3C91" w14:textId="689F9F25" w:rsidR="0096524F" w:rsidRPr="00882ED4" w:rsidRDefault="0096524F" w:rsidP="0096524F">
      <w:pPr>
        <w:pStyle w:val="FootnoteText"/>
        <w:rPr>
          <w:lang w:val="da-DK"/>
        </w:rPr>
      </w:pPr>
      <w:r w:rsidRPr="0096524F">
        <w:rPr>
          <w:vertAlign w:val="superscript"/>
        </w:rPr>
        <w:footnoteRef/>
      </w:r>
      <w:r w:rsidRPr="0096524F">
        <w:rPr>
          <w:i/>
        </w:rPr>
        <w:t>Id</w:t>
      </w:r>
      <w:r w:rsidRPr="0096524F">
        <w:t>.</w:t>
      </w:r>
    </w:p>
  </w:footnote>
  <w:footnote w:id="302">
    <w:p w14:paraId="04BBCE93" w14:textId="0CDB7003" w:rsidR="0096524F" w:rsidRPr="00882ED4" w:rsidRDefault="0096524F" w:rsidP="0096524F">
      <w:pPr>
        <w:pStyle w:val="FootnoteText"/>
        <w:rPr>
          <w:lang w:val="da-DK"/>
        </w:rPr>
      </w:pPr>
      <w:r w:rsidRPr="0096524F">
        <w:rPr>
          <w:vertAlign w:val="superscript"/>
        </w:rPr>
        <w:footnoteRef/>
      </w:r>
      <w:r w:rsidRPr="0096524F">
        <w:t>100 USPQ2d 1868 (T.T.A.B.</w:t>
      </w:r>
      <w:r w:rsidRPr="0096524F">
        <w:t xml:space="preserve"> </w:t>
      </w:r>
      <w:r w:rsidRPr="0096524F">
        <w:t>2011).</w:t>
      </w:r>
    </w:p>
  </w:footnote>
  <w:footnote w:id="303">
    <w:p w14:paraId="46BFD1B0" w14:textId="4EA935EB"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1871.</w:t>
      </w:r>
    </w:p>
  </w:footnote>
  <w:footnote w:id="304">
    <w:p w14:paraId="021061F1" w14:textId="4C864C4A"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1888–89.</w:t>
      </w:r>
    </w:p>
  </w:footnote>
  <w:footnote w:id="305">
    <w:p w14:paraId="77253841" w14:textId="57299D81"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1888.</w:t>
      </w:r>
    </w:p>
  </w:footnote>
  <w:footnote w:id="306">
    <w:p w14:paraId="5A020F17" w14:textId="728C49E8" w:rsidR="0096524F" w:rsidRPr="00882ED4" w:rsidRDefault="0096524F" w:rsidP="0096524F">
      <w:pPr>
        <w:pStyle w:val="FootnoteText"/>
        <w:rPr>
          <w:lang w:val="da-DK"/>
        </w:rPr>
      </w:pPr>
      <w:r w:rsidRPr="0096524F">
        <w:rPr>
          <w:vertAlign w:val="superscript"/>
        </w:rPr>
        <w:footnoteRef/>
      </w:r>
      <w:r w:rsidRPr="0096524F">
        <w:rPr>
          <w:i/>
        </w:rPr>
        <w:t>Id</w:t>
      </w:r>
      <w:r w:rsidRPr="0096524F">
        <w:t>.</w:t>
      </w:r>
    </w:p>
  </w:footnote>
  <w:footnote w:id="307">
    <w:p w14:paraId="61E0908F" w14:textId="0AFC46A4"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1889.</w:t>
      </w:r>
    </w:p>
  </w:footnote>
  <w:footnote w:id="308">
    <w:p w14:paraId="3C245A80" w14:textId="0B2EB0B6"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1889–90.</w:t>
      </w:r>
    </w:p>
  </w:footnote>
  <w:footnote w:id="309">
    <w:p w14:paraId="07DF765A" w14:textId="0DBCA4CC" w:rsidR="0096524F" w:rsidRPr="00882ED4" w:rsidRDefault="0096524F" w:rsidP="0096524F">
      <w:pPr>
        <w:pStyle w:val="FootnoteText"/>
        <w:rPr>
          <w:lang w:val="da-DK"/>
        </w:rPr>
      </w:pPr>
      <w:r w:rsidRPr="0096524F">
        <w:rPr>
          <w:vertAlign w:val="superscript"/>
        </w:rPr>
        <w:footnoteRef/>
      </w:r>
      <w:r w:rsidRPr="0096524F">
        <w:t>102 USPQ2d 1187 (T.T.A.B.</w:t>
      </w:r>
      <w:r w:rsidRPr="0096524F">
        <w:t xml:space="preserve"> </w:t>
      </w:r>
      <w:r w:rsidRPr="0096524F">
        <w:t>2012).</w:t>
      </w:r>
    </w:p>
  </w:footnote>
  <w:footnote w:id="310">
    <w:p w14:paraId="3D098400" w14:textId="193DF343"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1189.</w:t>
      </w:r>
    </w:p>
  </w:footnote>
  <w:footnote w:id="311">
    <w:p w14:paraId="640C3173" w14:textId="049DF5E1"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1889–90.</w:t>
      </w:r>
      <w:r w:rsidRPr="0096524F">
        <w:t xml:space="preserve"> </w:t>
      </w:r>
      <w:r w:rsidRPr="0096524F">
        <w:t>The Board still went through the factors, finding similarity, high degree of recognition, and intent to create an association.</w:t>
      </w:r>
      <w:r w:rsidRPr="0096524F">
        <w:t xml:space="preserve"> </w:t>
      </w:r>
      <w:r w:rsidRPr="0096524F">
        <w:rPr>
          <w:i/>
        </w:rPr>
        <w:t>Id</w:t>
      </w:r>
      <w:r w:rsidRPr="0096524F">
        <w:t>.</w:t>
      </w:r>
      <w:r w:rsidRPr="0096524F">
        <w:t xml:space="preserve"> </w:t>
      </w:r>
      <w:r w:rsidRPr="0096524F">
        <w:t>at 1198–99.</w:t>
      </w:r>
      <w:r w:rsidRPr="0096524F">
        <w:t xml:space="preserve"> </w:t>
      </w:r>
      <w:r w:rsidRPr="0096524F">
        <w:t>It also found actual association.</w:t>
      </w:r>
      <w:r w:rsidRPr="0096524F">
        <w:t xml:space="preserve"> </w:t>
      </w:r>
      <w:r w:rsidRPr="0096524F">
        <w:rPr>
          <w:i/>
        </w:rPr>
        <w:t>Id</w:t>
      </w:r>
      <w:r w:rsidRPr="0096524F">
        <w:t>.</w:t>
      </w:r>
      <w:r w:rsidRPr="0096524F">
        <w:t xml:space="preserve"> </w:t>
      </w:r>
      <w:r w:rsidRPr="0096524F">
        <w:t>at 1199.</w:t>
      </w:r>
    </w:p>
  </w:footnote>
  <w:footnote w:id="312">
    <w:p w14:paraId="14333487" w14:textId="3AEE7222"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1199–1200.</w:t>
      </w:r>
      <w:r w:rsidRPr="0096524F">
        <w:t xml:space="preserve"> </w:t>
      </w:r>
      <w:r w:rsidRPr="0096524F">
        <w:t>The fair use exclusion is discussed in Chapter 10, §II.</w:t>
      </w:r>
    </w:p>
  </w:footnote>
  <w:footnote w:id="313">
    <w:p w14:paraId="7691BFB1" w14:textId="689D616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1200.</w:t>
      </w:r>
    </w:p>
  </w:footnote>
  <w:footnote w:id="314">
    <w:p w14:paraId="4897C655" w14:textId="78AFCC6B" w:rsidR="0096524F" w:rsidRPr="00EB11B3" w:rsidRDefault="0096524F" w:rsidP="0096524F">
      <w:pPr>
        <w:pStyle w:val="FootnoteText"/>
      </w:pPr>
      <w:r w:rsidRPr="0096524F">
        <w:rPr>
          <w:vertAlign w:val="superscript"/>
        </w:rPr>
        <w:footnoteRef/>
      </w:r>
      <w:r w:rsidRPr="0096524F">
        <w:rPr>
          <w:i/>
        </w:rPr>
        <w:t>Id</w:t>
      </w:r>
      <w:r w:rsidRPr="0096524F">
        <w:t>.</w:t>
      </w:r>
    </w:p>
  </w:footnote>
  <w:footnote w:id="315">
    <w:p w14:paraId="51BDBD07" w14:textId="0B4210B2" w:rsidR="0096524F" w:rsidRPr="0096524F" w:rsidRDefault="0096524F" w:rsidP="0096524F">
      <w:pPr>
        <w:pStyle w:val="FootnoteText"/>
      </w:pPr>
      <w:r w:rsidRPr="0096524F">
        <w:rPr>
          <w:vertAlign w:val="superscript"/>
        </w:rPr>
        <w:footnoteRef/>
      </w:r>
      <w:r w:rsidRPr="0096524F">
        <w:t>110 USPQ2d 2013 (T.T.A.B.</w:t>
      </w:r>
      <w:r w:rsidRPr="0096524F">
        <w:t xml:space="preserve"> </w:t>
      </w:r>
      <w:r w:rsidRPr="0096524F">
        <w:t>2014).</w:t>
      </w:r>
      <w:r w:rsidRPr="0096524F">
        <w:t xml:space="preserve"> </w:t>
      </w:r>
      <w:r w:rsidRPr="0096524F">
        <w:t>It is worth noting that the applicant in this case did not file a brief in opposition to the opposer’s materials.</w:t>
      </w:r>
      <w:r w:rsidRPr="0096524F">
        <w:t xml:space="preserve"> </w:t>
      </w:r>
      <w:r w:rsidRPr="0096524F">
        <w:t>The case was decided using an expedited procedure that was stipulated to by both parties.</w:t>
      </w:r>
      <w:r w:rsidRPr="0096524F">
        <w:t xml:space="preserve"> </w:t>
      </w:r>
      <w:r w:rsidRPr="0096524F">
        <w:rPr>
          <w:i/>
        </w:rPr>
        <w:t>Id</w:t>
      </w:r>
      <w:r w:rsidRPr="0096524F">
        <w:t>.</w:t>
      </w:r>
      <w:r w:rsidRPr="0096524F">
        <w:t xml:space="preserve"> </w:t>
      </w:r>
      <w:r w:rsidRPr="0096524F">
        <w:t>at 2016–17.</w:t>
      </w:r>
    </w:p>
    <w:p w14:paraId="77099D77" w14:textId="77777777" w:rsidR="0096524F" w:rsidRPr="00882ED4" w:rsidRDefault="0096524F" w:rsidP="00D758BD">
      <w:pPr>
        <w:pStyle w:val="footnote"/>
        <w:rPr>
          <w:lang w:val="da-DK"/>
        </w:rPr>
      </w:pPr>
    </w:p>
  </w:footnote>
  <w:footnote w:id="316">
    <w:p w14:paraId="2447B1CE" w14:textId="00873ED4"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2025.</w:t>
      </w:r>
    </w:p>
    <w:p w14:paraId="6D7CE35B" w14:textId="77777777" w:rsidR="0096524F" w:rsidRPr="00882ED4" w:rsidRDefault="0096524F" w:rsidP="00D758BD">
      <w:pPr>
        <w:pStyle w:val="footnote"/>
        <w:rPr>
          <w:lang w:val="da-DK"/>
        </w:rPr>
      </w:pPr>
    </w:p>
  </w:footnote>
  <w:footnote w:id="317">
    <w:p w14:paraId="3553D063" w14:textId="5A86BF82" w:rsidR="0096524F" w:rsidRPr="0096524F" w:rsidRDefault="0096524F" w:rsidP="0096524F">
      <w:pPr>
        <w:pStyle w:val="FootnoteText"/>
      </w:pPr>
      <w:r w:rsidRPr="0096524F">
        <w:rPr>
          <w:vertAlign w:val="superscript"/>
        </w:rPr>
        <w:footnoteRef/>
      </w:r>
      <w:r w:rsidRPr="0096524F">
        <w:rPr>
          <w:i/>
        </w:rPr>
        <w:t>See</w:t>
      </w:r>
      <w:r w:rsidRPr="0096524F">
        <w:t>,</w:t>
      </w:r>
      <w:r w:rsidRPr="0096524F">
        <w:rPr>
          <w:i/>
        </w:rPr>
        <w:t xml:space="preserve"> e.g.</w:t>
      </w:r>
      <w:r w:rsidRPr="0096524F">
        <w:t>, Visa Int’l Serv.</w:t>
      </w:r>
      <w:r w:rsidRPr="0096524F">
        <w:t xml:space="preserve"> </w:t>
      </w:r>
      <w:r w:rsidRPr="0096524F">
        <w:t>Ass’n v.</w:t>
      </w:r>
      <w:r w:rsidRPr="0096524F">
        <w:t xml:space="preserve"> </w:t>
      </w:r>
      <w:r w:rsidRPr="0096524F">
        <w:t>JSL Corp., 610 F.3d 1088, 1090, 95 USPQ2d 1571 (9th Cir.</w:t>
      </w:r>
      <w:r w:rsidRPr="0096524F">
        <w:t xml:space="preserve"> </w:t>
      </w:r>
      <w:r w:rsidRPr="0096524F">
        <w:t>2010) (citing cases invoking a presumption of dilution where the marks are identical);</w:t>
      </w:r>
      <w:r w:rsidRPr="0096524F">
        <w:t xml:space="preserve"> </w:t>
      </w:r>
      <w:r w:rsidRPr="0096524F">
        <w:t>Wells Fargo Bank, N.A.</w:t>
      </w:r>
      <w:r w:rsidRPr="0096524F">
        <w:t xml:space="preserve"> </w:t>
      </w:r>
      <w:r w:rsidRPr="0096524F">
        <w:t>v.</w:t>
      </w:r>
      <w:r w:rsidRPr="0096524F">
        <w:t xml:space="preserve"> </w:t>
      </w:r>
      <w:r w:rsidRPr="0096524F">
        <w:t>United Credit Recovery, LLC, 2015 U.S.</w:t>
      </w:r>
      <w:r w:rsidRPr="0096524F">
        <w:t xml:space="preserve"> </w:t>
      </w:r>
      <w:r w:rsidRPr="0096524F">
        <w:t>Dist.</w:t>
      </w:r>
      <w:r w:rsidRPr="0096524F">
        <w:t xml:space="preserve"> </w:t>
      </w:r>
      <w:r w:rsidRPr="0096524F">
        <w:t>LEXIS 183689 (M.D.</w:t>
      </w:r>
      <w:r w:rsidRPr="0096524F">
        <w:t xml:space="preserve"> </w:t>
      </w:r>
      <w:r w:rsidRPr="0096524F">
        <w:t>Fla.</w:t>
      </w:r>
      <w:r w:rsidRPr="0096524F">
        <w:t xml:space="preserve"> </w:t>
      </w:r>
      <w:r w:rsidRPr="0096524F">
        <w:t>Mar.</w:t>
      </w:r>
      <w:r w:rsidRPr="0096524F">
        <w:t xml:space="preserve"> </w:t>
      </w:r>
      <w:r w:rsidRPr="0096524F">
        <w:t>4, 2015) (magistrate judge opinion) (presuming dilution from use of identical marks).</w:t>
      </w:r>
      <w:r w:rsidRPr="0096524F">
        <w:t xml:space="preserve"> </w:t>
      </w:r>
      <w:r w:rsidRPr="0096524F">
        <w:rPr>
          <w:i/>
        </w:rPr>
        <w:t>Cf.</w:t>
      </w:r>
      <w:r w:rsidRPr="0096524F">
        <w:rPr>
          <w:i/>
        </w:rPr>
        <w:t xml:space="preserve"> </w:t>
      </w:r>
      <w:r w:rsidRPr="0096524F">
        <w:t>Nike, Inc.</w:t>
      </w:r>
      <w:r w:rsidRPr="0096524F">
        <w:t xml:space="preserve"> </w:t>
      </w:r>
      <w:r w:rsidRPr="0096524F">
        <w:t>v.</w:t>
      </w:r>
      <w:r w:rsidRPr="0096524F">
        <w:t xml:space="preserve"> </w:t>
      </w:r>
      <w:r w:rsidRPr="0096524F">
        <w:t>Capital E Fin.</w:t>
      </w:r>
      <w:r w:rsidRPr="0096524F">
        <w:t xml:space="preserve"> </w:t>
      </w:r>
      <w:r w:rsidRPr="0096524F">
        <w:t>Co., 2016 WL 3771778, at *8 (T.T.A.B.</w:t>
      </w:r>
      <w:r w:rsidRPr="0096524F">
        <w:t xml:space="preserve"> </w:t>
      </w:r>
      <w:r w:rsidRPr="0096524F">
        <w:t>June 24, 2016) (non-precedential) (noting that the marks were “in part identical” and that this favored a finding of likely dilution).</w:t>
      </w:r>
    </w:p>
    <w:p w14:paraId="6B6E4918" w14:textId="77777777" w:rsidR="0096524F" w:rsidRDefault="0096524F" w:rsidP="00D758BD">
      <w:pPr>
        <w:pStyle w:val="footnote"/>
      </w:pPr>
    </w:p>
  </w:footnote>
  <w:footnote w:id="318">
    <w:p w14:paraId="72758FA6" w14:textId="61EACFEE" w:rsidR="0096524F" w:rsidRPr="0096524F" w:rsidRDefault="0096524F" w:rsidP="0096524F">
      <w:pPr>
        <w:pStyle w:val="FootnoteText"/>
      </w:pPr>
      <w:r w:rsidRPr="0096524F">
        <w:rPr>
          <w:vertAlign w:val="superscript"/>
        </w:rPr>
        <w:footnoteRef/>
      </w:r>
      <w:r w:rsidRPr="0096524F">
        <w:t>See Chapter 8, §III.A.1, for a discussion of the Board’s analysis of fame.</w:t>
      </w:r>
    </w:p>
    <w:p w14:paraId="2314CF77" w14:textId="77777777" w:rsidR="0096524F" w:rsidRDefault="0096524F" w:rsidP="00D758BD">
      <w:pPr>
        <w:pStyle w:val="footnote"/>
      </w:pPr>
    </w:p>
  </w:footnote>
  <w:footnote w:id="319">
    <w:p w14:paraId="3D3DBF29" w14:textId="54B67944" w:rsidR="0096524F" w:rsidRPr="0096524F" w:rsidRDefault="0096524F" w:rsidP="0096524F">
      <w:pPr>
        <w:pStyle w:val="FootnoteText"/>
      </w:pPr>
      <w:r w:rsidRPr="0096524F">
        <w:rPr>
          <w:vertAlign w:val="superscript"/>
        </w:rPr>
        <w:footnoteRef/>
      </w:r>
      <w:r w:rsidRPr="0096524F">
        <w:rPr>
          <w:i/>
        </w:rPr>
        <w:t>Chanel</w:t>
      </w:r>
      <w:r w:rsidRPr="0096524F">
        <w:t>, 110 USPQ2d at 2025, 2026.</w:t>
      </w:r>
      <w:r w:rsidRPr="0096524F">
        <w:t xml:space="preserve"> </w:t>
      </w:r>
      <w:r w:rsidRPr="0096524F">
        <w:t>Although the Chanel mark is derived from the name of its founder, designer “Coco” Chanel, its acquired distinctiveness was deemed very high.</w:t>
      </w:r>
      <w:r w:rsidRPr="0096524F">
        <w:t xml:space="preserve"> </w:t>
      </w:r>
      <w:r w:rsidRPr="0096524F">
        <w:rPr>
          <w:i/>
        </w:rPr>
        <w:t>Id</w:t>
      </w:r>
      <w:r w:rsidRPr="0096524F">
        <w:t>.</w:t>
      </w:r>
      <w:r w:rsidRPr="0096524F">
        <w:t xml:space="preserve"> </w:t>
      </w:r>
      <w:r w:rsidRPr="0096524F">
        <w:t>at 2025.</w:t>
      </w:r>
    </w:p>
    <w:p w14:paraId="04DB4D6F" w14:textId="77777777" w:rsidR="0096524F" w:rsidRDefault="0096524F" w:rsidP="00D758BD">
      <w:pPr>
        <w:pStyle w:val="footnote"/>
      </w:pPr>
    </w:p>
  </w:footnote>
  <w:footnote w:id="320">
    <w:p w14:paraId="080E269C" w14:textId="77570921"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2025–26.</w:t>
      </w:r>
    </w:p>
    <w:p w14:paraId="21EBF5A2" w14:textId="77777777" w:rsidR="0096524F" w:rsidRDefault="0096524F" w:rsidP="00D758BD">
      <w:pPr>
        <w:pStyle w:val="footnote"/>
      </w:pPr>
    </w:p>
  </w:footnote>
  <w:footnote w:id="321">
    <w:p w14:paraId="589FEBE6" w14:textId="6106389D"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2026.</w:t>
      </w:r>
    </w:p>
    <w:p w14:paraId="0A29B4BE" w14:textId="77777777" w:rsidR="0096524F" w:rsidRDefault="0096524F" w:rsidP="00D758BD">
      <w:pPr>
        <w:pStyle w:val="footnote"/>
      </w:pPr>
    </w:p>
  </w:footnote>
  <w:footnote w:id="322">
    <w:p w14:paraId="5105A961" w14:textId="46B6C22A" w:rsidR="0096524F" w:rsidRPr="0096524F" w:rsidRDefault="0096524F" w:rsidP="0096524F">
      <w:pPr>
        <w:pStyle w:val="FootnoteText"/>
      </w:pPr>
      <w:r w:rsidRPr="0096524F">
        <w:rPr>
          <w:vertAlign w:val="superscript"/>
        </w:rPr>
        <w:footnoteRef/>
      </w:r>
      <w:r w:rsidRPr="0096524F">
        <w:rPr>
          <w:i/>
        </w:rPr>
        <w:t>Id</w:t>
      </w:r>
      <w:r w:rsidRPr="0096524F">
        <w:t>.</w:t>
      </w:r>
    </w:p>
    <w:p w14:paraId="613FDF87" w14:textId="77777777" w:rsidR="0096524F" w:rsidRDefault="0096524F" w:rsidP="00D758BD">
      <w:pPr>
        <w:pStyle w:val="footnote"/>
      </w:pPr>
    </w:p>
  </w:footnote>
  <w:footnote w:id="323">
    <w:p w14:paraId="07142FFB" w14:textId="6C43AB02" w:rsidR="0096524F" w:rsidRPr="0096524F" w:rsidRDefault="0096524F" w:rsidP="0096524F">
      <w:pPr>
        <w:pStyle w:val="FootnoteText"/>
      </w:pPr>
      <w:r w:rsidRPr="0096524F">
        <w:rPr>
          <w:vertAlign w:val="superscript"/>
        </w:rPr>
        <w:footnoteRef/>
      </w:r>
      <w:r w:rsidRPr="0096524F">
        <w:rPr>
          <w:i/>
        </w:rPr>
        <w:t>Id</w:t>
      </w:r>
      <w:r w:rsidRPr="0096524F">
        <w:t>.</w:t>
      </w:r>
    </w:p>
    <w:p w14:paraId="2C816FB9" w14:textId="77777777" w:rsidR="0096524F" w:rsidRDefault="0096524F" w:rsidP="00D758BD">
      <w:pPr>
        <w:pStyle w:val="footnote"/>
      </w:pPr>
    </w:p>
  </w:footnote>
  <w:footnote w:id="324">
    <w:p w14:paraId="7278C468" w14:textId="2304C2A2" w:rsidR="0096524F" w:rsidRPr="0096524F" w:rsidRDefault="0096524F" w:rsidP="0096524F">
      <w:pPr>
        <w:pStyle w:val="FootnoteText"/>
      </w:pPr>
      <w:r w:rsidRPr="0096524F">
        <w:rPr>
          <w:vertAlign w:val="superscript"/>
        </w:rPr>
        <w:footnoteRef/>
      </w:r>
      <w:r w:rsidRPr="0096524F">
        <w:t>114 USPQ2d 1497 (T.T.A.B.</w:t>
      </w:r>
      <w:r w:rsidRPr="0096524F">
        <w:t xml:space="preserve"> </w:t>
      </w:r>
      <w:r w:rsidRPr="0096524F">
        <w:t>2015).</w:t>
      </w:r>
    </w:p>
    <w:p w14:paraId="1E13B561" w14:textId="77777777" w:rsidR="0096524F" w:rsidRDefault="0096524F" w:rsidP="00D758BD">
      <w:pPr>
        <w:pStyle w:val="footnote"/>
      </w:pPr>
    </w:p>
  </w:footnote>
  <w:footnote w:id="325">
    <w:p w14:paraId="324F6FF7" w14:textId="7B045F30"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1512.</w:t>
      </w:r>
      <w:r w:rsidRPr="0096524F">
        <w:t xml:space="preserve"> </w:t>
      </w:r>
      <w:r w:rsidRPr="0096524F">
        <w:t>It is noteworthy that this case was decided by a panel of seven Administrative Trademark Judges, including the Chief Judge and the Deputy Chief Judge.</w:t>
      </w:r>
    </w:p>
    <w:p w14:paraId="2C871752" w14:textId="77777777" w:rsidR="0096524F" w:rsidRDefault="0096524F" w:rsidP="00D758BD">
      <w:pPr>
        <w:pStyle w:val="footnote"/>
      </w:pPr>
    </w:p>
  </w:footnote>
  <w:footnote w:id="326">
    <w:p w14:paraId="1461944D" w14:textId="4AE73BB0" w:rsidR="0096524F" w:rsidRPr="0096524F" w:rsidRDefault="0096524F" w:rsidP="0096524F">
      <w:pPr>
        <w:pStyle w:val="FootnoteText"/>
      </w:pPr>
      <w:r w:rsidRPr="0096524F">
        <w:rPr>
          <w:vertAlign w:val="superscript"/>
        </w:rPr>
        <w:footnoteRef/>
      </w:r>
      <w:r w:rsidRPr="0096524F">
        <w:t>See Chapter 8 for a discussion of the issue of fame of the Yankees’ marks.</w:t>
      </w:r>
    </w:p>
    <w:p w14:paraId="7E82FE5F" w14:textId="77777777" w:rsidR="0096524F" w:rsidRDefault="0096524F" w:rsidP="00D758BD">
      <w:pPr>
        <w:pStyle w:val="footnote"/>
      </w:pPr>
    </w:p>
  </w:footnote>
  <w:footnote w:id="327">
    <w:p w14:paraId="0A45966B" w14:textId="437C82C5" w:rsidR="0096524F" w:rsidRPr="0096524F" w:rsidRDefault="0096524F" w:rsidP="0096524F">
      <w:pPr>
        <w:pStyle w:val="FootnoteText"/>
      </w:pPr>
      <w:r w:rsidRPr="0096524F">
        <w:rPr>
          <w:vertAlign w:val="superscript"/>
        </w:rPr>
        <w:footnoteRef/>
      </w:r>
      <w:r w:rsidRPr="0096524F">
        <w:t>In the context of an intent-to-use application, the Board has held that the date of application constitutes a constructive use date for use in commerce purposes and for determining the relevant date for fame.</w:t>
      </w:r>
      <w:r w:rsidRPr="0096524F">
        <w:t xml:space="preserve"> </w:t>
      </w:r>
      <w:r w:rsidRPr="0096524F">
        <w:t>114 USPQ2d at 1505–06.</w:t>
      </w:r>
    </w:p>
    <w:p w14:paraId="2AA8357A" w14:textId="77777777" w:rsidR="0096524F" w:rsidRDefault="0096524F" w:rsidP="00D758BD">
      <w:pPr>
        <w:pStyle w:val="footnote"/>
      </w:pPr>
    </w:p>
  </w:footnote>
  <w:footnote w:id="328">
    <w:p w14:paraId="224385B5" w14:textId="2E57F75A" w:rsidR="0096524F" w:rsidRPr="0096524F" w:rsidRDefault="0096524F" w:rsidP="0096524F">
      <w:pPr>
        <w:pStyle w:val="FootnoteText"/>
      </w:pPr>
      <w:r w:rsidRPr="0096524F">
        <w:rPr>
          <w:vertAlign w:val="superscript"/>
        </w:rPr>
        <w:footnoteRef/>
      </w:r>
      <w:r w:rsidRPr="0096524F">
        <w:t>In the case of the logo mark, all but the factor of actual association favored the Yankees.</w:t>
      </w:r>
      <w:r w:rsidRPr="0096524F">
        <w:t xml:space="preserve"> </w:t>
      </w:r>
      <w:r w:rsidRPr="0096524F">
        <w:t>In the case of the word mark, all but actual association and exclusive use favored the Yankees.</w:t>
      </w:r>
      <w:r w:rsidRPr="0096524F">
        <w:t xml:space="preserve"> </w:t>
      </w:r>
      <w:r w:rsidRPr="0096524F">
        <w:t>The other factors were found to be neutral.</w:t>
      </w:r>
    </w:p>
    <w:p w14:paraId="136D358B" w14:textId="77777777" w:rsidR="0096524F" w:rsidRDefault="0096524F" w:rsidP="00D758BD">
      <w:pPr>
        <w:pStyle w:val="footnote"/>
      </w:pPr>
    </w:p>
  </w:footnote>
  <w:footnote w:id="329">
    <w:p w14:paraId="35583082" w14:textId="36CFB28A" w:rsidR="0096524F" w:rsidRPr="0096524F" w:rsidRDefault="0096524F" w:rsidP="0096524F">
      <w:pPr>
        <w:pStyle w:val="FootnoteText"/>
      </w:pPr>
      <w:r w:rsidRPr="0096524F">
        <w:rPr>
          <w:vertAlign w:val="superscript"/>
        </w:rPr>
        <w:footnoteRef/>
      </w:r>
      <w:r w:rsidRPr="0096524F">
        <w:t>114 USPQ2d at 1507.</w:t>
      </w:r>
    </w:p>
    <w:p w14:paraId="1349BF13" w14:textId="77777777" w:rsidR="0096524F" w:rsidRDefault="0096524F" w:rsidP="00D758BD">
      <w:pPr>
        <w:pStyle w:val="footnote"/>
      </w:pPr>
    </w:p>
  </w:footnote>
  <w:footnote w:id="330">
    <w:p w14:paraId="7F678CF3" w14:textId="21CE8F47"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1508.</w:t>
      </w:r>
      <w:r w:rsidRPr="0096524F">
        <w:t xml:space="preserve"> </w:t>
      </w:r>
      <w:r w:rsidRPr="0096524F">
        <w:t>There was no evidence of actual association—not surprising in an intent-to-use situation.</w:t>
      </w:r>
      <w:r w:rsidRPr="0096524F">
        <w:t xml:space="preserve"> </w:t>
      </w:r>
      <w:r w:rsidRPr="0096524F">
        <w:rPr>
          <w:i/>
        </w:rPr>
        <w:t>Id</w:t>
      </w:r>
      <w:r w:rsidRPr="0096524F">
        <w:t>.</w:t>
      </w:r>
      <w:r w:rsidRPr="0096524F">
        <w:t xml:space="preserve"> </w:t>
      </w:r>
      <w:r w:rsidRPr="0096524F">
        <w:t>at 1509.</w:t>
      </w:r>
      <w:r w:rsidRPr="0096524F">
        <w:t xml:space="preserve"> </w:t>
      </w:r>
      <w:r w:rsidRPr="0096524F">
        <w:t>Nevertheless, it is interesting that the Yankees did not attempt a survey.</w:t>
      </w:r>
      <w:r w:rsidRPr="0096524F">
        <w:t xml:space="preserve"> </w:t>
      </w:r>
      <w:r w:rsidRPr="0096524F">
        <w:t>That omission might be significant if the applicant actually uses the mark despite the rejection and the Yankees want to use the TTAB decision preclusively in a subsequent suit.</w:t>
      </w:r>
    </w:p>
    <w:p w14:paraId="42973C4A" w14:textId="77777777" w:rsidR="0096524F" w:rsidRDefault="0096524F" w:rsidP="00D758BD">
      <w:pPr>
        <w:pStyle w:val="footnote"/>
      </w:pPr>
    </w:p>
  </w:footnote>
  <w:footnote w:id="331">
    <w:p w14:paraId="0A5CACFB" w14:textId="0C5B4E9E" w:rsidR="0096524F" w:rsidRPr="0096524F" w:rsidRDefault="0096524F" w:rsidP="0096524F">
      <w:pPr>
        <w:pStyle w:val="FootnoteText"/>
      </w:pPr>
      <w:r w:rsidRPr="0096524F">
        <w:rPr>
          <w:vertAlign w:val="superscript"/>
        </w:rPr>
        <w:footnoteRef/>
      </w:r>
      <w:r w:rsidRPr="0096524F">
        <w:rPr>
          <w:i/>
        </w:rPr>
        <w:t>See id.</w:t>
      </w:r>
      <w:r w:rsidRPr="0096524F">
        <w:rPr>
          <w:i/>
        </w:rPr>
        <w:t xml:space="preserve"> </w:t>
      </w:r>
      <w:r w:rsidRPr="0096524F">
        <w:t>at 1509 (citing Research in Motion Ltd.</w:t>
      </w:r>
      <w:r w:rsidRPr="0096524F">
        <w:t xml:space="preserve"> </w:t>
      </w:r>
      <w:r w:rsidRPr="0096524F">
        <w:t>v.</w:t>
      </w:r>
      <w:r w:rsidRPr="0096524F">
        <w:t xml:space="preserve"> </w:t>
      </w:r>
      <w:r w:rsidRPr="0096524F">
        <w:t>Defining Presence Mktg.</w:t>
      </w:r>
      <w:r w:rsidRPr="0096524F">
        <w:t xml:space="preserve"> </w:t>
      </w:r>
      <w:r w:rsidRPr="0096524F">
        <w:t>Grp., Inc., 102 USPQ2d 1187, 1200 (T.T.A.B.</w:t>
      </w:r>
      <w:r w:rsidRPr="0096524F">
        <w:t xml:space="preserve"> </w:t>
      </w:r>
      <w:r w:rsidRPr="0096524F">
        <w:t>2012) (citing Louis Vuitton Malletier, S.A.</w:t>
      </w:r>
      <w:r w:rsidRPr="0096524F">
        <w:t xml:space="preserve"> </w:t>
      </w:r>
      <w:r w:rsidRPr="0096524F">
        <w:t>v.</w:t>
      </w:r>
      <w:r w:rsidRPr="0096524F">
        <w:t xml:space="preserve"> </w:t>
      </w:r>
      <w:r w:rsidRPr="0096524F">
        <w:t>Haute Diggity Dog, LLC, 507 F.3d 252, 84 USPQ2d 1969 (4th Cir.</w:t>
      </w:r>
      <w:r w:rsidRPr="0096524F">
        <w:t xml:space="preserve"> </w:t>
      </w:r>
      <w:r w:rsidRPr="0096524F">
        <w:t>2007))).</w:t>
      </w:r>
    </w:p>
    <w:p w14:paraId="2064E217" w14:textId="77777777" w:rsidR="0096524F" w:rsidRDefault="0096524F" w:rsidP="00D758BD">
      <w:pPr>
        <w:pStyle w:val="footnote"/>
      </w:pPr>
    </w:p>
  </w:footnote>
  <w:footnote w:id="332">
    <w:p w14:paraId="61D2C692" w14:textId="25E3C33D"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1509–10.</w:t>
      </w:r>
    </w:p>
    <w:p w14:paraId="6E18C952" w14:textId="77777777" w:rsidR="0096524F" w:rsidRDefault="0096524F" w:rsidP="00D758BD">
      <w:pPr>
        <w:pStyle w:val="footnote"/>
      </w:pPr>
    </w:p>
  </w:footnote>
  <w:footnote w:id="333">
    <w:p w14:paraId="357D3579" w14:textId="2DC5CBB6" w:rsidR="0096524F" w:rsidRPr="0096524F" w:rsidRDefault="0096524F" w:rsidP="0096524F">
      <w:pPr>
        <w:pStyle w:val="FootnoteText"/>
      </w:pPr>
      <w:r w:rsidRPr="0096524F">
        <w:rPr>
          <w:vertAlign w:val="superscript"/>
        </w:rPr>
        <w:footnoteRef/>
      </w:r>
      <w:r w:rsidRPr="0096524F">
        <w:t xml:space="preserve">Unfortunately, this distinction also appears to have been lost on the applicant, who, according to the Board, “assert[ed] as an affirmative defense that its marks are parodies.” </w:t>
      </w:r>
      <w:r w:rsidRPr="0096524F">
        <w:rPr>
          <w:i/>
        </w:rPr>
        <w:t>Id</w:t>
      </w:r>
      <w:r w:rsidRPr="0096524F">
        <w:t>.</w:t>
      </w:r>
      <w:r w:rsidRPr="0096524F">
        <w:t xml:space="preserve"> </w:t>
      </w:r>
      <w:r w:rsidRPr="0096524F">
        <w:t>at 1509.</w:t>
      </w:r>
    </w:p>
    <w:p w14:paraId="1F79408B" w14:textId="77777777" w:rsidR="0096524F" w:rsidRDefault="0096524F" w:rsidP="00D758BD">
      <w:pPr>
        <w:pStyle w:val="footnote"/>
      </w:pPr>
    </w:p>
  </w:footnote>
  <w:footnote w:id="334">
    <w:p w14:paraId="0893EE98" w14:textId="1824C2B6" w:rsidR="0096524F" w:rsidRPr="0096524F" w:rsidRDefault="0096524F" w:rsidP="0096524F">
      <w:pPr>
        <w:pStyle w:val="FootnoteText"/>
      </w:pPr>
      <w:r w:rsidRPr="0096524F">
        <w:rPr>
          <w:vertAlign w:val="superscript"/>
        </w:rPr>
        <w:footnoteRef/>
      </w:r>
      <w:r w:rsidRPr="0096524F">
        <w:rPr>
          <w:i/>
        </w:rPr>
        <w:t>Haute Diggity Dog</w:t>
      </w:r>
      <w:r w:rsidRPr="0096524F">
        <w:t>, 507 F.3d at 267.</w:t>
      </w:r>
    </w:p>
    <w:p w14:paraId="2E35018E" w14:textId="77777777" w:rsidR="0096524F" w:rsidRDefault="0096524F" w:rsidP="00D758BD">
      <w:pPr>
        <w:pStyle w:val="footnote"/>
      </w:pPr>
    </w:p>
  </w:footnote>
  <w:footnote w:id="335">
    <w:p w14:paraId="4E55D5DB" w14:textId="01A1E1F2" w:rsidR="0096524F" w:rsidRPr="0096524F" w:rsidRDefault="0096524F" w:rsidP="0096524F">
      <w:pPr>
        <w:pStyle w:val="FootnoteText"/>
      </w:pPr>
      <w:r w:rsidRPr="0096524F">
        <w:rPr>
          <w:vertAlign w:val="superscript"/>
        </w:rPr>
        <w:footnoteRef/>
      </w:r>
      <w:r w:rsidRPr="0096524F">
        <w:t>The record showed a number of third-party registrations of takeoffs on The House That Ruth Built.</w:t>
      </w:r>
      <w:r w:rsidRPr="0096524F">
        <w:t xml:space="preserve"> </w:t>
      </w:r>
      <w:r w:rsidRPr="0096524F">
        <w:rPr>
          <w:i/>
        </w:rPr>
        <w:t>New York Yankees P’ship</w:t>
      </w:r>
      <w:r w:rsidRPr="0096524F">
        <w:t>, 114 USPQ2d at 1511.</w:t>
      </w:r>
      <w:r w:rsidRPr="0096524F">
        <w:t xml:space="preserve"> </w:t>
      </w:r>
      <w:r w:rsidRPr="0096524F">
        <w:t xml:space="preserve">But the applicant supplied little evidence of </w:t>
      </w:r>
      <w:r w:rsidRPr="0096524F">
        <w:rPr>
          <w:i/>
        </w:rPr>
        <w:t>use</w:t>
      </w:r>
      <w:r w:rsidRPr="0096524F">
        <w:t xml:space="preserve"> of those marks, so the Board found the exclusivity factor to be neutral.</w:t>
      </w:r>
      <w:r w:rsidRPr="0096524F">
        <w:t xml:space="preserve"> </w:t>
      </w:r>
      <w:r w:rsidRPr="0096524F">
        <w:rPr>
          <w:i/>
        </w:rPr>
        <w:t>Id</w:t>
      </w:r>
      <w:r w:rsidRPr="0096524F">
        <w:t>.</w:t>
      </w:r>
    </w:p>
    <w:p w14:paraId="4DFA0C9F" w14:textId="77777777" w:rsidR="0096524F" w:rsidRDefault="0096524F" w:rsidP="00D758BD">
      <w:pPr>
        <w:pStyle w:val="footnote"/>
      </w:pPr>
    </w:p>
  </w:footnote>
  <w:footnote w:id="336">
    <w:p w14:paraId="5375B28B" w14:textId="3A65BD9B"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1512.</w:t>
      </w:r>
      <w:r w:rsidRPr="0096524F">
        <w:t xml:space="preserve"> </w:t>
      </w:r>
      <w:r w:rsidRPr="0096524F">
        <w:t>As with the TopHat logo parody, the Board did not set out how the Yankees’ mark would be harmed by the parody.</w:t>
      </w:r>
    </w:p>
    <w:p w14:paraId="654F51F7" w14:textId="77777777" w:rsidR="0096524F" w:rsidRDefault="0096524F" w:rsidP="00D758BD">
      <w:pPr>
        <w:pStyle w:val="footnote"/>
      </w:pPr>
    </w:p>
  </w:footnote>
  <w:footnote w:id="337">
    <w:p w14:paraId="2DCCDC33" w14:textId="54D85376" w:rsidR="0096524F" w:rsidRPr="0096524F" w:rsidRDefault="0096524F" w:rsidP="0096524F">
      <w:pPr>
        <w:pStyle w:val="FootnoteText"/>
      </w:pPr>
      <w:r w:rsidRPr="0096524F">
        <w:rPr>
          <w:vertAlign w:val="superscript"/>
        </w:rPr>
        <w:footnoteRef/>
      </w:r>
      <w:r w:rsidRPr="0096524F">
        <w:t>ESRT Empire State Bldg., L.L.C.</w:t>
      </w:r>
      <w:r w:rsidRPr="0096524F">
        <w:t xml:space="preserve"> </w:t>
      </w:r>
      <w:r w:rsidRPr="0096524F">
        <w:t>v.</w:t>
      </w:r>
      <w:r w:rsidRPr="0096524F">
        <w:t xml:space="preserve"> </w:t>
      </w:r>
      <w:r w:rsidRPr="0096524F">
        <w:t>Liang, Opp.</w:t>
      </w:r>
      <w:r w:rsidRPr="0096524F">
        <w:t xml:space="preserve"> </w:t>
      </w:r>
      <w:r w:rsidRPr="0096524F">
        <w:t>No.</w:t>
      </w:r>
      <w:r w:rsidRPr="0096524F">
        <w:t xml:space="preserve"> </w:t>
      </w:r>
      <w:r w:rsidRPr="0096524F">
        <w:t>91204122, at 19 (T.T.A.B.</w:t>
      </w:r>
      <w:r w:rsidRPr="0096524F">
        <w:t xml:space="preserve"> </w:t>
      </w:r>
      <w:r w:rsidRPr="0096524F">
        <w:t>June 17, 2016) (non-precedential).</w:t>
      </w:r>
    </w:p>
    <w:p w14:paraId="27286D11" w14:textId="77777777" w:rsidR="0096524F" w:rsidRDefault="0096524F" w:rsidP="00D758BD">
      <w:pPr>
        <w:pStyle w:val="footnote"/>
      </w:pPr>
    </w:p>
  </w:footnote>
  <w:footnote w:id="338">
    <w:p w14:paraId="54483A59" w14:textId="6C27C217"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17.</w:t>
      </w:r>
    </w:p>
    <w:p w14:paraId="71F34A43" w14:textId="77777777" w:rsidR="0096524F" w:rsidRPr="00882ED4" w:rsidRDefault="0096524F" w:rsidP="00D758BD">
      <w:pPr>
        <w:pStyle w:val="footnote"/>
        <w:rPr>
          <w:lang w:val="da-DK"/>
        </w:rPr>
      </w:pPr>
    </w:p>
  </w:footnote>
  <w:footnote w:id="339">
    <w:p w14:paraId="21B9A887" w14:textId="4C4DEF68" w:rsidR="0096524F" w:rsidRPr="0096524F" w:rsidRDefault="0096524F" w:rsidP="0096524F">
      <w:pPr>
        <w:pStyle w:val="FootnoteText"/>
      </w:pPr>
      <w:r w:rsidRPr="0096524F">
        <w:rPr>
          <w:vertAlign w:val="superscript"/>
        </w:rPr>
        <w:footnoteRef/>
      </w:r>
      <w:r w:rsidRPr="0096524F">
        <w:rPr>
          <w:i/>
        </w:rPr>
        <w:t>Id</w:t>
      </w:r>
      <w:r w:rsidRPr="0096524F">
        <w:t>.</w:t>
      </w:r>
    </w:p>
    <w:p w14:paraId="6A82F491" w14:textId="77777777" w:rsidR="0096524F" w:rsidRPr="00882ED4" w:rsidRDefault="0096524F" w:rsidP="00D758BD">
      <w:pPr>
        <w:pStyle w:val="footnote"/>
        <w:rPr>
          <w:lang w:val="da-DK"/>
        </w:rPr>
      </w:pPr>
    </w:p>
  </w:footnote>
  <w:footnote w:id="340">
    <w:p w14:paraId="774281B8" w14:textId="64E636C8"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17–18.</w:t>
      </w:r>
    </w:p>
    <w:p w14:paraId="4D775E10" w14:textId="77777777" w:rsidR="0096524F" w:rsidRPr="00882ED4" w:rsidRDefault="0096524F" w:rsidP="00D758BD">
      <w:pPr>
        <w:pStyle w:val="footnote"/>
        <w:rPr>
          <w:lang w:val="da-DK"/>
        </w:rPr>
      </w:pPr>
    </w:p>
  </w:footnote>
  <w:footnote w:id="341">
    <w:p w14:paraId="2BF463BE" w14:textId="6ED073DD"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18.</w:t>
      </w:r>
    </w:p>
    <w:p w14:paraId="59A3363B" w14:textId="77777777" w:rsidR="0096524F" w:rsidRDefault="0096524F" w:rsidP="00D758BD">
      <w:pPr>
        <w:pStyle w:val="footnote"/>
      </w:pPr>
    </w:p>
  </w:footnote>
  <w:footnote w:id="342">
    <w:p w14:paraId="199575C2" w14:textId="4DF9E3FD"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19.</w:t>
      </w:r>
    </w:p>
    <w:p w14:paraId="15D36141" w14:textId="77777777" w:rsidR="0096524F" w:rsidRDefault="0096524F" w:rsidP="00D758BD">
      <w:pPr>
        <w:pStyle w:val="footnote"/>
      </w:pPr>
    </w:p>
  </w:footnote>
  <w:footnote w:id="343">
    <w:p w14:paraId="4FA8636E" w14:textId="06AC40BF"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(“these factors [lack of intent or actual association] are insufficient to overcome a finding of dilution in this case”).</w:t>
      </w:r>
    </w:p>
    <w:p w14:paraId="09FB56EB" w14:textId="77777777" w:rsidR="0096524F" w:rsidRDefault="0096524F" w:rsidP="00D758BD">
      <w:pPr>
        <w:pStyle w:val="footnote"/>
      </w:pPr>
    </w:p>
  </w:footnote>
  <w:footnote w:id="344">
    <w:p w14:paraId="0C776624" w14:textId="193C9F14"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13–14.</w:t>
      </w:r>
    </w:p>
    <w:p w14:paraId="5B9634A4" w14:textId="77777777" w:rsidR="0096524F" w:rsidRDefault="0096524F" w:rsidP="00D758BD">
      <w:pPr>
        <w:pStyle w:val="footnote"/>
      </w:pPr>
    </w:p>
  </w:footnote>
  <w:footnote w:id="345">
    <w:p w14:paraId="57AA2699" w14:textId="41C843FA" w:rsidR="0096524F" w:rsidRPr="0096524F" w:rsidRDefault="0096524F" w:rsidP="0096524F">
      <w:pPr>
        <w:pStyle w:val="FootnoteText"/>
      </w:pPr>
      <w:r w:rsidRPr="0096524F">
        <w:rPr>
          <w:vertAlign w:val="superscript"/>
        </w:rPr>
        <w:footnoteRef/>
      </w:r>
      <w:r w:rsidRPr="0096524F">
        <w:t>2016 WL 3771778 (T.T.A.B.</w:t>
      </w:r>
      <w:r w:rsidRPr="0096524F">
        <w:t xml:space="preserve"> </w:t>
      </w:r>
      <w:r w:rsidRPr="0096524F">
        <w:t>June 24, 2016) (non-precedential).</w:t>
      </w:r>
    </w:p>
    <w:p w14:paraId="359795B9" w14:textId="77777777" w:rsidR="0096524F" w:rsidRDefault="0096524F" w:rsidP="00D758BD">
      <w:pPr>
        <w:pStyle w:val="footnote"/>
      </w:pPr>
    </w:p>
  </w:footnote>
  <w:footnote w:id="346">
    <w:p w14:paraId="34C036B3" w14:textId="45AF84E0"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*9.</w:t>
      </w:r>
    </w:p>
    <w:p w14:paraId="4CFF4851" w14:textId="77777777" w:rsidR="0096524F" w:rsidRPr="00882ED4" w:rsidRDefault="0096524F" w:rsidP="00D758BD">
      <w:pPr>
        <w:pStyle w:val="footnote"/>
        <w:rPr>
          <w:lang w:val="da-DK"/>
        </w:rPr>
      </w:pPr>
    </w:p>
  </w:footnote>
  <w:footnote w:id="347">
    <w:p w14:paraId="5B176740" w14:textId="79897191"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*8.</w:t>
      </w:r>
    </w:p>
    <w:p w14:paraId="2BE0F21F" w14:textId="77777777" w:rsidR="0096524F" w:rsidRPr="00882ED4" w:rsidRDefault="0096524F" w:rsidP="00D758BD">
      <w:pPr>
        <w:pStyle w:val="footnote"/>
        <w:rPr>
          <w:lang w:val="da-DK"/>
        </w:rPr>
      </w:pPr>
    </w:p>
  </w:footnote>
  <w:footnote w:id="348">
    <w:p w14:paraId="4C6EC30E" w14:textId="2F966019" w:rsidR="0096524F" w:rsidRPr="0096524F" w:rsidRDefault="0096524F" w:rsidP="0096524F">
      <w:pPr>
        <w:pStyle w:val="FootnoteText"/>
      </w:pPr>
      <w:r w:rsidRPr="0096524F">
        <w:rPr>
          <w:vertAlign w:val="superscript"/>
        </w:rPr>
        <w:footnoteRef/>
      </w:r>
      <w:r w:rsidRPr="0096524F">
        <w:t>Id.</w:t>
      </w:r>
    </w:p>
    <w:p w14:paraId="503DC25B" w14:textId="77777777" w:rsidR="0096524F" w:rsidRPr="00882ED4" w:rsidRDefault="0096524F" w:rsidP="00D758BD">
      <w:pPr>
        <w:pStyle w:val="footnote"/>
        <w:rPr>
          <w:lang w:val="da-DK"/>
        </w:rPr>
      </w:pPr>
    </w:p>
  </w:footnote>
  <w:footnote w:id="349">
    <w:p w14:paraId="4EA2A79D" w14:textId="28D6D2F8"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*11.</w:t>
      </w:r>
    </w:p>
    <w:p w14:paraId="510510F8" w14:textId="77777777" w:rsidR="0096524F" w:rsidRDefault="0096524F" w:rsidP="00D758BD">
      <w:pPr>
        <w:pStyle w:val="footnote"/>
      </w:pPr>
    </w:p>
  </w:footnote>
  <w:footnote w:id="350">
    <w:p w14:paraId="0BDA3BC7" w14:textId="1FA79600" w:rsidR="0096524F" w:rsidRPr="00EB11B3" w:rsidRDefault="0096524F" w:rsidP="0096524F">
      <w:pPr>
        <w:pStyle w:val="FootnoteText"/>
      </w:pPr>
      <w:r w:rsidRPr="0096524F">
        <w:rPr>
          <w:vertAlign w:val="superscript"/>
        </w:rPr>
        <w:footnoteRef/>
      </w:r>
      <w:r w:rsidRPr="0096524F">
        <w:t>Even if the mental association does occur, that does not necessarily mean that dilution is likely to occur.</w:t>
      </w:r>
      <w:r w:rsidRPr="0096524F">
        <w:t xml:space="preserve"> </w:t>
      </w:r>
      <w:r w:rsidRPr="0096524F">
        <w:t>Moseley v.</w:t>
      </w:r>
      <w:r w:rsidRPr="0096524F">
        <w:t xml:space="preserve"> </w:t>
      </w:r>
      <w:r w:rsidRPr="0096524F">
        <w:t>V Secret Catalogue, Inc., 537 U.S.</w:t>
      </w:r>
      <w:r w:rsidRPr="0096524F">
        <w:t xml:space="preserve"> </w:t>
      </w:r>
      <w:r w:rsidRPr="0096524F">
        <w:t>418, 434, 65 USPQ2d 1801 (2003) (“‘Blurring’ is not a necessary consequence of mental association.</w:t>
      </w:r>
      <w:r w:rsidRPr="0096524F">
        <w:t xml:space="preserve"> </w:t>
      </w:r>
      <w:r w:rsidRPr="0096524F">
        <w:t>(Nor, for that matter, is ‘tarnishing.’)”).</w:t>
      </w:r>
    </w:p>
  </w:footnote>
  <w:footnote w:id="351">
    <w:p w14:paraId="48E80FBA" w14:textId="15D08421" w:rsidR="0096524F" w:rsidRPr="00EB11B3" w:rsidRDefault="0096524F" w:rsidP="0096524F">
      <w:pPr>
        <w:pStyle w:val="FootnoteText"/>
      </w:pPr>
      <w:r w:rsidRPr="0096524F">
        <w:rPr>
          <w:vertAlign w:val="superscript"/>
        </w:rPr>
        <w:footnoteRef/>
      </w:r>
      <w:r w:rsidRPr="0096524F">
        <w:t>Luigino’s, Inc.</w:t>
      </w:r>
      <w:r w:rsidRPr="0096524F">
        <w:t xml:space="preserve"> </w:t>
      </w:r>
      <w:r w:rsidRPr="0096524F">
        <w:t>v.</w:t>
      </w:r>
      <w:r w:rsidRPr="0096524F">
        <w:t xml:space="preserve"> </w:t>
      </w:r>
      <w:r w:rsidRPr="0096524F">
        <w:t>Stouffer Corp., 170 F.3d 827, 833, 50 USPQ2d 1047 (8th Cir.</w:t>
      </w:r>
      <w:r w:rsidRPr="0096524F">
        <w:t xml:space="preserve"> </w:t>
      </w:r>
      <w:r w:rsidRPr="0096524F">
        <w:t>1999).</w:t>
      </w:r>
    </w:p>
  </w:footnote>
  <w:footnote w:id="352">
    <w:p w14:paraId="14C6C254" w14:textId="47C2D7B3"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w:t>
      </w:r>
      <w:r w:rsidRPr="0096524F">
        <w:rPr>
          <w:b/>
        </w:rPr>
        <w:t xml:space="preserve"> </w:t>
      </w:r>
      <w:r w:rsidRPr="0096524F">
        <w:t>Ringling Bros.-Barnum &amp; Bailey Combined Shows, Inc.</w:t>
      </w:r>
      <w:r w:rsidRPr="0096524F">
        <w:t xml:space="preserve"> </w:t>
      </w:r>
      <w:r w:rsidRPr="0096524F">
        <w:t>v.</w:t>
      </w:r>
      <w:r w:rsidRPr="0096524F">
        <w:t xml:space="preserve"> </w:t>
      </w:r>
      <w:r w:rsidRPr="0096524F">
        <w:t>Utah Div.</w:t>
      </w:r>
      <w:r w:rsidRPr="0096524F">
        <w:t xml:space="preserve"> </w:t>
      </w:r>
      <w:r w:rsidRPr="0096524F">
        <w:t>of Travel Dev., 955 F.</w:t>
      </w:r>
      <w:r w:rsidRPr="0096524F">
        <w:t xml:space="preserve"> </w:t>
      </w:r>
      <w:r w:rsidRPr="0096524F">
        <w:t>Supp.</w:t>
      </w:r>
      <w:r w:rsidRPr="0096524F">
        <w:t xml:space="preserve"> </w:t>
      </w:r>
      <w:r w:rsidRPr="0096524F">
        <w:t>605, 618, 42 USPQ2d 1161 (E.D.</w:t>
      </w:r>
      <w:r w:rsidRPr="0096524F">
        <w:t xml:space="preserve"> </w:t>
      </w:r>
      <w:r w:rsidRPr="0096524F">
        <w:t>Va.</w:t>
      </w:r>
      <w:r w:rsidRPr="0096524F">
        <w:t xml:space="preserve"> </w:t>
      </w:r>
      <w:r w:rsidRPr="0096524F">
        <w:t xml:space="preserve">1997), </w:t>
      </w:r>
      <w:r w:rsidRPr="0096524F">
        <w:rPr>
          <w:i/>
        </w:rPr>
        <w:t>aff’d,</w:t>
      </w:r>
      <w:r w:rsidRPr="0096524F">
        <w:t xml:space="preserve"> 170 F.3d 449, 50 USPQ2d 1065 (4th Cir.), </w:t>
      </w:r>
      <w:r w:rsidRPr="0096524F">
        <w:rPr>
          <w:i/>
        </w:rPr>
        <w:t>cert</w:t>
      </w:r>
      <w:r w:rsidRPr="0096524F">
        <w:t>.</w:t>
      </w:r>
      <w:r w:rsidRPr="0096524F">
        <w:t xml:space="preserve"> </w:t>
      </w:r>
      <w:r w:rsidRPr="0096524F">
        <w:rPr>
          <w:i/>
        </w:rPr>
        <w:t>denied,</w:t>
      </w:r>
      <w:r w:rsidRPr="0096524F">
        <w:t xml:space="preserve"> 528 U.S.</w:t>
      </w:r>
      <w:r w:rsidRPr="0096524F">
        <w:t xml:space="preserve"> </w:t>
      </w:r>
      <w:r w:rsidRPr="0096524F">
        <w:t>923 (1999);</w:t>
      </w:r>
      <w:r w:rsidRPr="0096524F">
        <w:t xml:space="preserve"> </w:t>
      </w:r>
      <w:r w:rsidRPr="0096524F">
        <w:t>McNeil Consumer Brands, Inc.</w:t>
      </w:r>
      <w:r w:rsidRPr="0096524F">
        <w:t xml:space="preserve"> </w:t>
      </w:r>
      <w:r w:rsidRPr="0096524F">
        <w:t>v.</w:t>
      </w:r>
      <w:r w:rsidRPr="0096524F">
        <w:t xml:space="preserve"> </w:t>
      </w:r>
      <w:r w:rsidRPr="0096524F">
        <w:t>U.S.</w:t>
      </w:r>
      <w:r w:rsidRPr="0096524F">
        <w:t xml:space="preserve"> </w:t>
      </w:r>
      <w:r w:rsidRPr="0096524F">
        <w:t>Dentek Corp., 116 F.</w:t>
      </w:r>
      <w:r w:rsidRPr="0096524F">
        <w:t xml:space="preserve"> </w:t>
      </w:r>
      <w:r w:rsidRPr="0096524F">
        <w:t>Supp.</w:t>
      </w:r>
      <w:r w:rsidRPr="0096524F">
        <w:t xml:space="preserve"> </w:t>
      </w:r>
      <w:r w:rsidRPr="0096524F">
        <w:t>2d 604, 608, 56 USPQ2d 1758 (E.D.</w:t>
      </w:r>
      <w:r w:rsidRPr="0096524F">
        <w:t xml:space="preserve"> </w:t>
      </w:r>
      <w:r w:rsidRPr="0096524F">
        <w:t>Pa.</w:t>
      </w:r>
      <w:r w:rsidRPr="0096524F">
        <w:t xml:space="preserve"> </w:t>
      </w:r>
      <w:r w:rsidRPr="0096524F">
        <w:t>2000);</w:t>
      </w:r>
      <w:r w:rsidRPr="0096524F">
        <w:t xml:space="preserve"> </w:t>
      </w:r>
      <w:r w:rsidRPr="0096524F">
        <w:t>Eli Lilly &amp; Co.</w:t>
      </w:r>
      <w:r w:rsidRPr="0096524F">
        <w:t xml:space="preserve"> </w:t>
      </w:r>
      <w:r w:rsidRPr="0096524F">
        <w:t>v.</w:t>
      </w:r>
      <w:r w:rsidRPr="0096524F">
        <w:t xml:space="preserve"> </w:t>
      </w:r>
      <w:r w:rsidRPr="0096524F">
        <w:t>Natural Answers, Inc., 86 F.</w:t>
      </w:r>
      <w:r w:rsidRPr="0096524F">
        <w:t xml:space="preserve"> </w:t>
      </w:r>
      <w:r w:rsidRPr="0096524F">
        <w:t>Supp.</w:t>
      </w:r>
      <w:r w:rsidRPr="0096524F">
        <w:t xml:space="preserve"> </w:t>
      </w:r>
      <w:r w:rsidRPr="0096524F">
        <w:t>2d 834, 852 (S.D.</w:t>
      </w:r>
      <w:r w:rsidRPr="0096524F">
        <w:t xml:space="preserve"> </w:t>
      </w:r>
      <w:r w:rsidRPr="0096524F">
        <w:t xml:space="preserve">Ind.), </w:t>
      </w:r>
      <w:r w:rsidRPr="0096524F">
        <w:rPr>
          <w:i/>
        </w:rPr>
        <w:t>aff’d</w:t>
      </w:r>
      <w:r w:rsidRPr="0096524F">
        <w:t>, 233 F.3d 456, 56 USPQ2d 1942 (7th Cir.</w:t>
      </w:r>
      <w:r w:rsidRPr="0096524F">
        <w:t xml:space="preserve"> </w:t>
      </w:r>
      <w:r w:rsidRPr="0096524F">
        <w:t>2000);</w:t>
      </w:r>
      <w:r w:rsidRPr="0096524F">
        <w:t xml:space="preserve"> </w:t>
      </w:r>
      <w:r w:rsidRPr="0096524F">
        <w:t>Hershey Foods Corp.</w:t>
      </w:r>
      <w:r w:rsidRPr="0096524F">
        <w:t xml:space="preserve"> </w:t>
      </w:r>
      <w:r w:rsidRPr="0096524F">
        <w:t>v.</w:t>
      </w:r>
      <w:r w:rsidRPr="0096524F">
        <w:t xml:space="preserve"> </w:t>
      </w:r>
      <w:r w:rsidRPr="0096524F">
        <w:t>Mars, Inc.</w:t>
      </w:r>
      <w:r w:rsidRPr="0096524F">
        <w:t xml:space="preserve"> </w:t>
      </w:r>
      <w:r w:rsidRPr="0096524F">
        <w:t>998 F.</w:t>
      </w:r>
      <w:r w:rsidRPr="0096524F">
        <w:t xml:space="preserve"> </w:t>
      </w:r>
      <w:r w:rsidRPr="0096524F">
        <w:t>Supp.</w:t>
      </w:r>
      <w:r w:rsidRPr="0096524F">
        <w:t xml:space="preserve"> </w:t>
      </w:r>
      <w:r w:rsidRPr="0096524F">
        <w:t>500, 520 (M.D.</w:t>
      </w:r>
      <w:r w:rsidRPr="0096524F">
        <w:t xml:space="preserve"> </w:t>
      </w:r>
      <w:r w:rsidRPr="0096524F">
        <w:t>Pa.</w:t>
      </w:r>
      <w:r w:rsidRPr="0096524F">
        <w:t xml:space="preserve"> </w:t>
      </w:r>
      <w:r w:rsidRPr="0096524F">
        <w:t>1998);</w:t>
      </w:r>
      <w:r w:rsidRPr="0096524F">
        <w:t xml:space="preserve"> </w:t>
      </w:r>
      <w:r w:rsidRPr="0096524F">
        <w:t>American Cyanamid Corp.</w:t>
      </w:r>
      <w:r w:rsidRPr="0096524F">
        <w:t xml:space="preserve"> </w:t>
      </w:r>
      <w:r w:rsidRPr="0096524F">
        <w:t>v.</w:t>
      </w:r>
      <w:r w:rsidRPr="0096524F">
        <w:t xml:space="preserve"> </w:t>
      </w:r>
      <w:r w:rsidRPr="0096524F">
        <w:t>Nutraceutical Corp., 54 F.</w:t>
      </w:r>
      <w:r w:rsidRPr="0096524F">
        <w:t xml:space="preserve"> </w:t>
      </w:r>
      <w:r w:rsidRPr="0096524F">
        <w:t>Supp.</w:t>
      </w:r>
      <w:r w:rsidRPr="0096524F">
        <w:t xml:space="preserve"> </w:t>
      </w:r>
      <w:r w:rsidRPr="0096524F">
        <w:t>2d 379, 392 (D.N.J.</w:t>
      </w:r>
      <w:r w:rsidRPr="0096524F">
        <w:t xml:space="preserve"> </w:t>
      </w:r>
      <w:r w:rsidRPr="0096524F">
        <w:t>1999);</w:t>
      </w:r>
      <w:r w:rsidRPr="0096524F">
        <w:t xml:space="preserve"> </w:t>
      </w:r>
      <w:r w:rsidRPr="0096524F">
        <w:t>Ringling Bros.-Barnum &amp; Bailey Combined Shows, Inc.</w:t>
      </w:r>
      <w:r w:rsidRPr="0096524F">
        <w:t xml:space="preserve"> </w:t>
      </w:r>
      <w:r w:rsidRPr="0096524F">
        <w:t>v.</w:t>
      </w:r>
      <w:r w:rsidRPr="0096524F">
        <w:t xml:space="preserve"> </w:t>
      </w:r>
      <w:r w:rsidRPr="0096524F">
        <w:t>B.E.</w:t>
      </w:r>
      <w:r w:rsidRPr="0096524F">
        <w:t xml:space="preserve"> </w:t>
      </w:r>
      <w:r w:rsidRPr="0096524F">
        <w:t>Windows Corp., 937 F.</w:t>
      </w:r>
      <w:r w:rsidRPr="0096524F">
        <w:t xml:space="preserve"> </w:t>
      </w:r>
      <w:r w:rsidRPr="0096524F">
        <w:t>Supp.</w:t>
      </w:r>
      <w:r w:rsidRPr="0096524F">
        <w:t xml:space="preserve"> </w:t>
      </w:r>
      <w:r w:rsidRPr="0096524F">
        <w:t>204, 211, 40 USPQ2d 1010 (S.D.N.Y.</w:t>
      </w:r>
      <w:r w:rsidRPr="0096524F">
        <w:t xml:space="preserve"> </w:t>
      </w:r>
      <w:r w:rsidRPr="0096524F">
        <w:t>1996);</w:t>
      </w:r>
      <w:r w:rsidRPr="0096524F">
        <w:t xml:space="preserve"> </w:t>
      </w:r>
      <w:r w:rsidRPr="0096524F">
        <w:t>Elvis Presley Enters., Inc.</w:t>
      </w:r>
      <w:r w:rsidRPr="0096524F">
        <w:t xml:space="preserve"> </w:t>
      </w:r>
      <w:r w:rsidRPr="0096524F">
        <w:t>v.</w:t>
      </w:r>
      <w:r w:rsidRPr="0096524F">
        <w:t xml:space="preserve"> </w:t>
      </w:r>
      <w:r w:rsidRPr="0096524F">
        <w:t>Capece, 950 F.</w:t>
      </w:r>
      <w:r w:rsidRPr="0096524F">
        <w:t xml:space="preserve"> </w:t>
      </w:r>
      <w:r w:rsidRPr="0096524F">
        <w:t>Supp.</w:t>
      </w:r>
      <w:r w:rsidRPr="0096524F">
        <w:t xml:space="preserve"> </w:t>
      </w:r>
      <w:r w:rsidRPr="0096524F">
        <w:t>783, 798 (S.D.</w:t>
      </w:r>
      <w:r w:rsidRPr="0096524F">
        <w:t xml:space="preserve"> </w:t>
      </w:r>
      <w:r w:rsidRPr="0096524F">
        <w:t>Tex.</w:t>
      </w:r>
      <w:r w:rsidRPr="0096524F">
        <w:t xml:space="preserve"> </w:t>
      </w:r>
      <w:r w:rsidRPr="0096524F">
        <w:t xml:space="preserve">1996), </w:t>
      </w:r>
      <w:r w:rsidRPr="0096524F">
        <w:rPr>
          <w:i/>
        </w:rPr>
        <w:t>rev’d on other grounds,</w:t>
      </w:r>
      <w:r w:rsidRPr="0096524F">
        <w:t xml:space="preserve"> 141 F.3d 188, 46 USPQ2d 1737 (5th Cir.</w:t>
      </w:r>
      <w:r w:rsidRPr="0096524F">
        <w:t xml:space="preserve"> </w:t>
      </w:r>
      <w:r w:rsidRPr="0096524F">
        <w:t>1998);</w:t>
      </w:r>
      <w:r w:rsidRPr="0096524F">
        <w:t xml:space="preserve"> </w:t>
      </w:r>
      <w:r w:rsidRPr="0096524F">
        <w:t>Michael Caruso &amp; Co.</w:t>
      </w:r>
      <w:r w:rsidRPr="0096524F">
        <w:t xml:space="preserve"> </w:t>
      </w:r>
      <w:r w:rsidRPr="0096524F">
        <w:t>v.</w:t>
      </w:r>
      <w:r w:rsidRPr="0096524F">
        <w:t xml:space="preserve"> </w:t>
      </w:r>
      <w:r w:rsidRPr="0096524F">
        <w:t>Estefan Enters., Inc., 994 F.</w:t>
      </w:r>
      <w:r w:rsidRPr="0096524F">
        <w:t xml:space="preserve"> </w:t>
      </w:r>
      <w:r w:rsidRPr="0096524F">
        <w:t>Supp.</w:t>
      </w:r>
      <w:r w:rsidRPr="0096524F">
        <w:t xml:space="preserve"> </w:t>
      </w:r>
      <w:r w:rsidRPr="0096524F">
        <w:t>1454, 1464 (S.D.</w:t>
      </w:r>
      <w:r w:rsidRPr="0096524F">
        <w:t xml:space="preserve"> </w:t>
      </w:r>
      <w:r w:rsidRPr="0096524F">
        <w:t xml:space="preserve">Fla.), </w:t>
      </w:r>
      <w:r w:rsidRPr="0096524F">
        <w:rPr>
          <w:i/>
        </w:rPr>
        <w:t>aff’d mem</w:t>
      </w:r>
      <w:r w:rsidRPr="0096524F">
        <w:t>., 166 F.3d 353 (11th Cir.</w:t>
      </w:r>
      <w:r w:rsidRPr="0096524F">
        <w:t xml:space="preserve"> </w:t>
      </w:r>
      <w:r w:rsidRPr="0096524F">
        <w:t>1998);</w:t>
      </w:r>
      <w:r w:rsidRPr="0096524F">
        <w:t xml:space="preserve"> </w:t>
      </w:r>
      <w:r w:rsidRPr="0096524F">
        <w:t>Toro Co.</w:t>
      </w:r>
      <w:r w:rsidRPr="0096524F">
        <w:t xml:space="preserve"> </w:t>
      </w:r>
      <w:r w:rsidRPr="0096524F">
        <w:t>v.</w:t>
      </w:r>
      <w:r w:rsidRPr="0096524F">
        <w:t xml:space="preserve"> </w:t>
      </w:r>
      <w:r w:rsidRPr="0096524F">
        <w:t>ToroHead, Inc., 61 USPQ2d 1164, 1183 (T.T.A.B.</w:t>
      </w:r>
      <w:r w:rsidRPr="0096524F">
        <w:t xml:space="preserve"> </w:t>
      </w:r>
      <w:r w:rsidRPr="0096524F">
        <w:t>2001).</w:t>
      </w:r>
      <w:r w:rsidRPr="0096524F">
        <w:t xml:space="preserve"> </w:t>
      </w:r>
      <w:r w:rsidRPr="0096524F">
        <w:rPr>
          <w:i/>
        </w:rPr>
        <w:t xml:space="preserve">See </w:t>
      </w:r>
      <w:r w:rsidRPr="0096524F">
        <w:t>Nabisco, Inc.</w:t>
      </w:r>
      <w:r w:rsidRPr="0096524F">
        <w:t xml:space="preserve"> </w:t>
      </w:r>
      <w:r w:rsidRPr="0096524F">
        <w:t>v.</w:t>
      </w:r>
      <w:r w:rsidRPr="0096524F">
        <w:t xml:space="preserve"> </w:t>
      </w:r>
      <w:r w:rsidRPr="0096524F">
        <w:t>PF Brands, Inc., 191 F.3d 208, 218, 51 USPQ2d 1882 (2d Cir.</w:t>
      </w:r>
      <w:r w:rsidRPr="0096524F">
        <w:t xml:space="preserve"> </w:t>
      </w:r>
      <w:r w:rsidRPr="0096524F">
        <w:t>1999).</w:t>
      </w:r>
    </w:p>
  </w:footnote>
  <w:footnote w:id="353">
    <w:p w14:paraId="591CE6DE" w14:textId="421DAA5E" w:rsidR="0096524F" w:rsidRPr="00EB11B3" w:rsidRDefault="0096524F" w:rsidP="0096524F">
      <w:pPr>
        <w:pStyle w:val="FootnoteText"/>
      </w:pPr>
      <w:r w:rsidRPr="0096524F">
        <w:rPr>
          <w:vertAlign w:val="superscript"/>
        </w:rPr>
        <w:footnoteRef/>
      </w:r>
      <w:r w:rsidRPr="0096524F">
        <w:t>Lanham Act §43(c)(2)(B), (C), 15 U.S.C.</w:t>
      </w:r>
      <w:r w:rsidRPr="0096524F">
        <w:t xml:space="preserve"> </w:t>
      </w:r>
      <w:r w:rsidRPr="0096524F">
        <w:t>§1125(c)(2)(B), (C).</w:t>
      </w:r>
    </w:p>
  </w:footnote>
  <w:footnote w:id="354">
    <w:p w14:paraId="65516240" w14:textId="0DA6A518" w:rsidR="0096524F" w:rsidRPr="00EB11B3" w:rsidRDefault="0096524F" w:rsidP="0096524F">
      <w:pPr>
        <w:pStyle w:val="FootnoteText"/>
      </w:pPr>
      <w:r w:rsidRPr="0096524F">
        <w:rPr>
          <w:vertAlign w:val="superscript"/>
        </w:rPr>
        <w:footnoteRef/>
      </w:r>
      <w:r w:rsidRPr="0096524F">
        <w:rPr>
          <w:i/>
        </w:rPr>
        <w:t>See</w:t>
      </w:r>
      <w:r w:rsidRPr="0096524F">
        <w:t xml:space="preserve"> Century 21 Real Estate, LLC v.</w:t>
      </w:r>
      <w:r w:rsidRPr="0096524F">
        <w:t xml:space="preserve"> </w:t>
      </w:r>
      <w:r w:rsidRPr="0096524F">
        <w:t>Century Ins.</w:t>
      </w:r>
      <w:r w:rsidRPr="0096524F">
        <w:t xml:space="preserve"> </w:t>
      </w:r>
      <w:r w:rsidRPr="0096524F">
        <w:t>Group, 2007 WL 484555, at *15, 2007 BL 223744 (D.</w:t>
      </w:r>
      <w:r w:rsidRPr="0096524F">
        <w:t xml:space="preserve"> </w:t>
      </w:r>
      <w:r w:rsidRPr="0096524F">
        <w:t>Ariz.</w:t>
      </w:r>
      <w:r w:rsidRPr="0096524F">
        <w:t xml:space="preserve"> </w:t>
      </w:r>
      <w:r w:rsidRPr="0096524F">
        <w:t>Feb.</w:t>
      </w:r>
      <w:r w:rsidRPr="0096524F">
        <w:t xml:space="preserve"> </w:t>
      </w:r>
      <w:r w:rsidRPr="0096524F">
        <w:t xml:space="preserve">6, 2007) (lack of substantial similarity means a lack of mental association), </w:t>
      </w:r>
      <w:r w:rsidRPr="0096524F">
        <w:rPr>
          <w:i/>
        </w:rPr>
        <w:t>aff’d</w:t>
      </w:r>
      <w:r w:rsidRPr="0096524F">
        <w:t>, 300 F.</w:t>
      </w:r>
      <w:r w:rsidRPr="0096524F">
        <w:t xml:space="preserve"> </w:t>
      </w:r>
      <w:r w:rsidRPr="0096524F">
        <w:t>App’x.</w:t>
      </w:r>
      <w:r w:rsidRPr="0096524F">
        <w:t xml:space="preserve"> </w:t>
      </w:r>
      <w:r w:rsidRPr="0096524F">
        <w:t>527 (9th Cir.</w:t>
      </w:r>
      <w:r w:rsidRPr="0096524F">
        <w:t xml:space="preserve"> </w:t>
      </w:r>
      <w:r w:rsidRPr="0096524F">
        <w:t>2008).</w:t>
      </w:r>
      <w:r w:rsidRPr="0096524F">
        <w:t xml:space="preserve"> </w:t>
      </w:r>
      <w:r w:rsidRPr="0096524F">
        <w:t>Even before the TDRA, the similarity between the user’s mark and the famous mark was an essential facet of the analysis.</w:t>
      </w:r>
      <w:r w:rsidRPr="0096524F">
        <w:t xml:space="preserve"> </w:t>
      </w:r>
      <w:r w:rsidRPr="0096524F">
        <w:t xml:space="preserve">The </w:t>
      </w:r>
      <w:r w:rsidRPr="0096524F">
        <w:rPr>
          <w:i/>
        </w:rPr>
        <w:t>Nabisco</w:t>
      </w:r>
      <w:r w:rsidRPr="0096524F">
        <w:t xml:space="preserve"> multifactor analysis, the more simplified </w:t>
      </w:r>
      <w:r w:rsidRPr="0096524F">
        <w:rPr>
          <w:i/>
        </w:rPr>
        <w:t>Eli Lilly</w:t>
      </w:r>
      <w:r w:rsidRPr="0096524F">
        <w:t xml:space="preserve"> analysis, and the </w:t>
      </w:r>
      <w:r w:rsidRPr="0096524F">
        <w:rPr>
          <w:i/>
        </w:rPr>
        <w:t>Moseley</w:t>
      </w:r>
      <w:r w:rsidRPr="0096524F">
        <w:t xml:space="preserve"> actual-harm test all considered the similarity of the marks.</w:t>
      </w:r>
      <w:r w:rsidRPr="0096524F">
        <w:t xml:space="preserve"> </w:t>
      </w:r>
      <w:r w:rsidRPr="0096524F">
        <w:t>Nabisco, Inc.</w:t>
      </w:r>
      <w:r w:rsidRPr="0096524F">
        <w:t xml:space="preserve"> </w:t>
      </w:r>
      <w:r w:rsidRPr="0096524F">
        <w:t>v.</w:t>
      </w:r>
      <w:r w:rsidRPr="0096524F">
        <w:t xml:space="preserve"> </w:t>
      </w:r>
      <w:r w:rsidRPr="0096524F">
        <w:t>PF Brands, Inc., 191 F.3d 208, 218, 51 USPQ2d 1882 (2d Cir.</w:t>
      </w:r>
      <w:r w:rsidRPr="0096524F">
        <w:t xml:space="preserve"> </w:t>
      </w:r>
      <w:r w:rsidRPr="0096524F">
        <w:t>1999);</w:t>
      </w:r>
      <w:r w:rsidRPr="0096524F">
        <w:t xml:space="preserve"> </w:t>
      </w:r>
      <w:r w:rsidRPr="0096524F">
        <w:t>Eli Lilly &amp; Co.</w:t>
      </w:r>
      <w:r w:rsidRPr="0096524F">
        <w:t xml:space="preserve"> </w:t>
      </w:r>
      <w:r w:rsidRPr="0096524F">
        <w:t>v.</w:t>
      </w:r>
      <w:r w:rsidRPr="0096524F">
        <w:t xml:space="preserve"> </w:t>
      </w:r>
      <w:r w:rsidRPr="0096524F">
        <w:t>Natural Answers, Inc., 233 F.3d 456, 469, 56 USPQ2d 1942 (7th Cir.</w:t>
      </w:r>
      <w:r w:rsidRPr="0096524F">
        <w:t xml:space="preserve"> </w:t>
      </w:r>
      <w:r w:rsidRPr="0096524F">
        <w:t>2000);</w:t>
      </w:r>
      <w:r w:rsidRPr="0096524F">
        <w:t xml:space="preserve"> </w:t>
      </w:r>
      <w:r w:rsidRPr="0096524F">
        <w:t>Moseley v.</w:t>
      </w:r>
      <w:r w:rsidRPr="0096524F">
        <w:t xml:space="preserve"> </w:t>
      </w:r>
      <w:r w:rsidRPr="0096524F">
        <w:t>V Secret Catalogue, Inc., 537 U.S.</w:t>
      </w:r>
      <w:r w:rsidRPr="0096524F">
        <w:t xml:space="preserve"> </w:t>
      </w:r>
      <w:r w:rsidRPr="0096524F">
        <w:t>418, 432, 65 USPQ2d 1801 (2003).</w:t>
      </w:r>
      <w:r w:rsidRPr="0096524F">
        <w:t xml:space="preserve"> </w:t>
      </w:r>
      <w:r w:rsidRPr="0096524F">
        <w:rPr>
          <w:i/>
        </w:rPr>
        <w:t>See also</w:t>
      </w:r>
      <w:r w:rsidRPr="0096524F">
        <w:t xml:space="preserve"> Ringling Bros.-Barnum &amp; Bailey Combined Shows, Inc.</w:t>
      </w:r>
      <w:r w:rsidRPr="0096524F">
        <w:t xml:space="preserve"> </w:t>
      </w:r>
      <w:r w:rsidRPr="0096524F">
        <w:t>v.</w:t>
      </w:r>
      <w:r w:rsidRPr="0096524F">
        <w:t xml:space="preserve"> </w:t>
      </w:r>
      <w:r w:rsidRPr="0096524F">
        <w:t>Utah Div.</w:t>
      </w:r>
      <w:r w:rsidRPr="0096524F">
        <w:t xml:space="preserve"> </w:t>
      </w:r>
      <w:r w:rsidRPr="0096524F">
        <w:t xml:space="preserve">of Travel Dev., 170 F.3d 449, 453, 50 USPQ2d 1065 (4th Cir.), </w:t>
      </w:r>
      <w:r w:rsidRPr="0096524F">
        <w:rPr>
          <w:i/>
        </w:rPr>
        <w:t>cert</w:t>
      </w:r>
      <w:r w:rsidRPr="0096524F">
        <w:t>.</w:t>
      </w:r>
      <w:r w:rsidRPr="0096524F">
        <w:t xml:space="preserve"> </w:t>
      </w:r>
      <w:r w:rsidRPr="0096524F">
        <w:rPr>
          <w:i/>
        </w:rPr>
        <w:t>denied</w:t>
      </w:r>
      <w:r w:rsidRPr="0096524F">
        <w:t>, 528 U.S.</w:t>
      </w:r>
      <w:r w:rsidRPr="0096524F">
        <w:t xml:space="preserve"> </w:t>
      </w:r>
      <w:r w:rsidRPr="0096524F">
        <w:t>923 (1999) (discussing need for similarity).</w:t>
      </w:r>
      <w:r w:rsidRPr="0096524F">
        <w:t xml:space="preserve"> </w:t>
      </w:r>
      <w:r w:rsidRPr="0096524F">
        <w:t xml:space="preserve">Under </w:t>
      </w:r>
      <w:r w:rsidRPr="0096524F">
        <w:rPr>
          <w:i/>
        </w:rPr>
        <w:t>Moseley</w:t>
      </w:r>
      <w:r w:rsidRPr="0096524F">
        <w:t>, if the uses were so similar as to be considered identical, then that would constitute circumstantial evidence of dilution.</w:t>
      </w:r>
      <w:r w:rsidRPr="0096524F">
        <w:t xml:space="preserve"> </w:t>
      </w:r>
      <w:r w:rsidRPr="0096524F">
        <w:rPr>
          <w:i/>
        </w:rPr>
        <w:t>Moseley</w:t>
      </w:r>
      <w:r w:rsidRPr="0096524F">
        <w:t>, 537 U.S.</w:t>
      </w:r>
      <w:r w:rsidRPr="0096524F">
        <w:t xml:space="preserve"> </w:t>
      </w:r>
      <w:r w:rsidRPr="0096524F">
        <w:t>at 434.</w:t>
      </w:r>
    </w:p>
  </w:footnote>
  <w:footnote w:id="355">
    <w:p w14:paraId="2758C82A" w14:textId="4D1843A3" w:rsidR="0096524F" w:rsidRPr="00EB11B3" w:rsidRDefault="0096524F" w:rsidP="0096524F">
      <w:pPr>
        <w:pStyle w:val="FootnoteText"/>
      </w:pPr>
      <w:r w:rsidRPr="0096524F">
        <w:rPr>
          <w:vertAlign w:val="superscript"/>
        </w:rPr>
        <w:footnoteRef/>
      </w:r>
      <w:r w:rsidRPr="0096524F">
        <w:rPr>
          <w:i/>
        </w:rPr>
        <w:t>See</w:t>
      </w:r>
      <w:r w:rsidRPr="0096524F">
        <w:t xml:space="preserve"> Starbucks Corp.</w:t>
      </w:r>
      <w:r w:rsidRPr="0096524F">
        <w:t xml:space="preserve"> </w:t>
      </w:r>
      <w:r w:rsidRPr="0096524F">
        <w:t>v.</w:t>
      </w:r>
      <w:r w:rsidRPr="0096524F">
        <w:t xml:space="preserve"> </w:t>
      </w:r>
      <w:r w:rsidRPr="0096524F">
        <w:t>Wolfe’s Borough Coffee, Inc., 588 F.3d 97, 107–08, 92 USPQ2d 1769 (2d Cir.</w:t>
      </w:r>
      <w:r w:rsidRPr="0096524F">
        <w:t xml:space="preserve"> </w:t>
      </w:r>
      <w:r w:rsidRPr="0096524F">
        <w:t>2009) (discussing the substantial similarity requirement that prevailed prior to the TDRA).</w:t>
      </w:r>
    </w:p>
  </w:footnote>
  <w:footnote w:id="356">
    <w:p w14:paraId="7C40BE61" w14:textId="36E7ADB7" w:rsidR="0096524F" w:rsidRPr="00EB11B3" w:rsidRDefault="0096524F" w:rsidP="0096524F">
      <w:pPr>
        <w:pStyle w:val="FootnoteText"/>
      </w:pPr>
      <w:r w:rsidRPr="0096524F">
        <w:rPr>
          <w:vertAlign w:val="superscript"/>
        </w:rPr>
        <w:footnoteRef/>
      </w:r>
      <w:r w:rsidRPr="0096524F">
        <w:rPr>
          <w:i/>
        </w:rPr>
        <w:t xml:space="preserve">See </w:t>
      </w:r>
      <w:r w:rsidRPr="0096524F">
        <w:t>Levi Strauss &amp; Co.</w:t>
      </w:r>
      <w:r w:rsidRPr="0096524F">
        <w:t xml:space="preserve"> </w:t>
      </w:r>
      <w:r w:rsidRPr="0096524F">
        <w:t>v.</w:t>
      </w:r>
      <w:r w:rsidRPr="0096524F">
        <w:t xml:space="preserve"> </w:t>
      </w:r>
      <w:r w:rsidRPr="0096524F">
        <w:t>Abercrombie &amp; Fitch Trading Co., 633 F.3d 1158, 1162–65, 97 USPQ2d 1947 (9th Cir.</w:t>
      </w:r>
      <w:r w:rsidRPr="0096524F">
        <w:t xml:space="preserve"> </w:t>
      </w:r>
      <w:r w:rsidRPr="0096524F">
        <w:t>2011) (discussing the “identical or nearly identical” requirement that formerly prevailed in the Ninth Circuit).</w:t>
      </w:r>
      <w:r w:rsidRPr="0096524F">
        <w:t xml:space="preserve"> </w:t>
      </w:r>
      <w:r w:rsidRPr="0096524F">
        <w:t>See also below, §III.A.</w:t>
      </w:r>
      <w:r w:rsidRPr="0096524F">
        <w:t xml:space="preserve"> </w:t>
      </w:r>
      <w:r w:rsidRPr="0096524F">
        <w:t>for a discussion of the “substantial similarity” requirement.</w:t>
      </w:r>
    </w:p>
  </w:footnote>
  <w:footnote w:id="357">
    <w:p w14:paraId="287E3F78" w14:textId="606E4D9E" w:rsidR="0096524F" w:rsidRPr="00EB11B3" w:rsidRDefault="0096524F" w:rsidP="0096524F">
      <w:pPr>
        <w:pStyle w:val="FootnoteText"/>
      </w:pPr>
      <w:r w:rsidRPr="0096524F">
        <w:rPr>
          <w:vertAlign w:val="superscript"/>
        </w:rPr>
        <w:footnoteRef/>
      </w:r>
      <w:r w:rsidRPr="0096524F">
        <w:t>Lanham Act §43(c)(2)(B), 15 U.S.C.</w:t>
      </w:r>
      <w:r w:rsidRPr="0096524F">
        <w:t xml:space="preserve"> </w:t>
      </w:r>
      <w:r w:rsidRPr="0096524F">
        <w:t>§1125(c)(2)(B).</w:t>
      </w:r>
    </w:p>
  </w:footnote>
  <w:footnote w:id="358">
    <w:p w14:paraId="251380D6" w14:textId="710015BA"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§43(c)(2)(B)(i), 15 U.S.C.</w:t>
      </w:r>
      <w:r w:rsidRPr="0096524F">
        <w:t xml:space="preserve"> </w:t>
      </w:r>
      <w:r w:rsidRPr="0096524F">
        <w:t>§1125(c)(2)(B)(i).</w:t>
      </w:r>
    </w:p>
  </w:footnote>
  <w:footnote w:id="359">
    <w:p w14:paraId="41DBDEBE" w14:textId="673A6145" w:rsidR="0096524F" w:rsidRPr="00882ED4" w:rsidRDefault="0096524F" w:rsidP="0096524F">
      <w:pPr>
        <w:pStyle w:val="FootnoteText"/>
        <w:rPr>
          <w:lang w:val="da-DK"/>
        </w:rPr>
      </w:pPr>
      <w:r w:rsidRPr="0096524F">
        <w:rPr>
          <w:vertAlign w:val="superscript"/>
        </w:rPr>
        <w:footnoteRef/>
      </w:r>
      <w:r w:rsidRPr="0096524F">
        <w:t>588 F.3d 97, 92 USPQ2d 1769 (2d Cir.</w:t>
      </w:r>
      <w:r w:rsidRPr="0096524F">
        <w:t xml:space="preserve"> </w:t>
      </w:r>
      <w:r w:rsidRPr="0096524F">
        <w:t>2009).</w:t>
      </w:r>
    </w:p>
  </w:footnote>
  <w:footnote w:id="360">
    <w:p w14:paraId="0BD40DAC" w14:textId="2B4E6F04"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108.</w:t>
      </w:r>
    </w:p>
  </w:footnote>
  <w:footnote w:id="361">
    <w:p w14:paraId="79A627FC" w14:textId="7B05BC66" w:rsidR="0096524F" w:rsidRPr="00EB11B3" w:rsidRDefault="0096524F" w:rsidP="0096524F">
      <w:pPr>
        <w:pStyle w:val="FootnoteText"/>
      </w:pPr>
      <w:r w:rsidRPr="0096524F">
        <w:rPr>
          <w:vertAlign w:val="superscript"/>
        </w:rPr>
        <w:footnoteRef/>
      </w:r>
      <w:r w:rsidRPr="0096524F">
        <w:rPr>
          <w:i/>
        </w:rPr>
        <w:t>Id</w:t>
      </w:r>
      <w:r w:rsidRPr="0096524F">
        <w:t>.</w:t>
      </w:r>
    </w:p>
  </w:footnote>
  <w:footnote w:id="362">
    <w:p w14:paraId="0CCD70B7" w14:textId="55946B4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The court opined that a highly distinctive mark may be diluted more by a less similar mark than one of lesser distinctiveness.</w:t>
      </w:r>
      <w:r w:rsidRPr="0096524F">
        <w:t xml:space="preserve"> </w:t>
      </w:r>
      <w:r w:rsidRPr="0096524F">
        <w:rPr>
          <w:i/>
        </w:rPr>
        <w:t>Id</w:t>
      </w:r>
      <w:r w:rsidRPr="0096524F">
        <w:t>.</w:t>
      </w:r>
      <w:r w:rsidRPr="0096524F">
        <w:t xml:space="preserve"> </w:t>
      </w:r>
      <w:r w:rsidRPr="0096524F">
        <w:t>at 109.</w:t>
      </w:r>
      <w:r w:rsidRPr="0096524F">
        <w:t xml:space="preserve"> </w:t>
      </w:r>
      <w:r w:rsidRPr="0096524F">
        <w:t>It remanded to the district court to analyze the matter further on the facts of the case.</w:t>
      </w:r>
      <w:r w:rsidRPr="0096524F">
        <w:t xml:space="preserve"> </w:t>
      </w:r>
      <w:r w:rsidRPr="0096524F">
        <w:rPr>
          <w:i/>
        </w:rPr>
        <w:t>Id</w:t>
      </w:r>
      <w:r w:rsidRPr="0096524F">
        <w:t>.</w:t>
      </w:r>
      <w:r w:rsidRPr="0096524F">
        <w:t xml:space="preserve"> </w:t>
      </w:r>
      <w:r w:rsidRPr="0096524F">
        <w:t>at 108–09.</w:t>
      </w:r>
      <w:r w:rsidRPr="0096524F">
        <w:t xml:space="preserve"> </w:t>
      </w:r>
      <w:r w:rsidRPr="0096524F">
        <w:t xml:space="preserve">The Second Circuit reaffirmed its approach in </w:t>
      </w:r>
      <w:r w:rsidRPr="0096524F">
        <w:rPr>
          <w:i/>
        </w:rPr>
        <w:t>Tiffany (NJ), Inc</w:t>
      </w:r>
      <w:r w:rsidRPr="0096524F">
        <w:t>.</w:t>
      </w:r>
      <w:r w:rsidRPr="0096524F">
        <w:t xml:space="preserve"> </w:t>
      </w:r>
      <w:r w:rsidRPr="0096524F">
        <w:rPr>
          <w:i/>
        </w:rPr>
        <w:t>v</w:t>
      </w:r>
      <w:r w:rsidRPr="0096524F">
        <w:t>.</w:t>
      </w:r>
      <w:r w:rsidRPr="0096524F">
        <w:t xml:space="preserve"> </w:t>
      </w:r>
      <w:r w:rsidRPr="0096524F">
        <w:rPr>
          <w:i/>
        </w:rPr>
        <w:t>eBay, Inc</w:t>
      </w:r>
      <w:r w:rsidRPr="0096524F">
        <w:t xml:space="preserve">., 600 F.3d 93, 111 n.17, 94 USPQ2d 1188 (2d Cir.), </w:t>
      </w:r>
      <w:r w:rsidRPr="0096524F">
        <w:rPr>
          <w:i/>
        </w:rPr>
        <w:t>cert</w:t>
      </w:r>
      <w:r w:rsidRPr="0096524F">
        <w:t>.</w:t>
      </w:r>
      <w:r w:rsidRPr="0096524F">
        <w:t xml:space="preserve"> </w:t>
      </w:r>
      <w:r w:rsidRPr="0096524F">
        <w:rPr>
          <w:i/>
        </w:rPr>
        <w:t>denied</w:t>
      </w:r>
      <w:r w:rsidRPr="0096524F">
        <w:t>, 131 S.</w:t>
      </w:r>
      <w:r w:rsidRPr="0096524F">
        <w:t xml:space="preserve"> </w:t>
      </w:r>
      <w:r w:rsidRPr="0096524F">
        <w:t>Ct.</w:t>
      </w:r>
      <w:r w:rsidRPr="0096524F">
        <w:t xml:space="preserve"> </w:t>
      </w:r>
      <w:r w:rsidRPr="0096524F">
        <w:t>647 (2010).</w:t>
      </w:r>
      <w:r w:rsidRPr="0096524F">
        <w:t xml:space="preserve"> </w:t>
      </w:r>
      <w:r w:rsidRPr="0096524F">
        <w:t xml:space="preserve">However, the </w:t>
      </w:r>
      <w:r w:rsidRPr="0096524F">
        <w:rPr>
          <w:i/>
        </w:rPr>
        <w:t xml:space="preserve">Starbucks </w:t>
      </w:r>
      <w:r w:rsidRPr="0096524F">
        <w:t>court retained the substantial similarity test for state law dilution claims, making the analysis of dilution cases that include state claims somewhat more complicated.</w:t>
      </w:r>
      <w:r w:rsidRPr="0096524F">
        <w:t xml:space="preserve"> </w:t>
      </w:r>
      <w:r w:rsidRPr="0096524F">
        <w:t>588 F.3d at 114.</w:t>
      </w:r>
      <w:r w:rsidRPr="0096524F">
        <w:t xml:space="preserve"> </w:t>
      </w:r>
      <w:r w:rsidRPr="0096524F">
        <w:t xml:space="preserve">Since all but a few state dilution statutes are either similar to the New York statute construed in </w:t>
      </w:r>
      <w:r w:rsidRPr="0096524F">
        <w:rPr>
          <w:i/>
        </w:rPr>
        <w:t>Starbucks</w:t>
      </w:r>
      <w:r w:rsidRPr="0096524F">
        <w:t>, or use the language of the original FTDA, presumably most would still be analyzed under the substantial similarity standard.</w:t>
      </w:r>
      <w:r w:rsidRPr="0096524F">
        <w:t xml:space="preserve"> </w:t>
      </w:r>
      <w:r w:rsidRPr="0096524F">
        <w:t>Less clear is the analysis under state statutes patterned after the 2007 Model Bill.</w:t>
      </w:r>
      <w:r w:rsidRPr="0096524F">
        <w:t xml:space="preserve"> </w:t>
      </w:r>
      <w:r w:rsidRPr="0096524F">
        <w:t>Although those statutes use the TDRA’s definition of dilution by blurring, they do not include the statutory factors.</w:t>
      </w:r>
      <w:r w:rsidRPr="0096524F">
        <w:t xml:space="preserve"> </w:t>
      </w:r>
      <w:r w:rsidRPr="0096524F">
        <w:t>See Chapter 3, §III.B.3, for a discussion of this issue.</w:t>
      </w:r>
    </w:p>
  </w:footnote>
  <w:footnote w:id="363">
    <w:p w14:paraId="259EA71D" w14:textId="51413DA2" w:rsidR="0096524F" w:rsidRPr="00EB11B3" w:rsidRDefault="0096524F" w:rsidP="0096524F">
      <w:pPr>
        <w:pStyle w:val="FootnoteText"/>
      </w:pPr>
      <w:r w:rsidRPr="0096524F">
        <w:rPr>
          <w:vertAlign w:val="superscript"/>
        </w:rPr>
        <w:footnoteRef/>
      </w:r>
      <w:r w:rsidRPr="0096524F">
        <w:t>633 F.3d 1158, 97 USPQ2d 1947 (9th Cir.</w:t>
      </w:r>
      <w:r w:rsidRPr="0096524F">
        <w:t xml:space="preserve"> </w:t>
      </w:r>
      <w:r w:rsidRPr="0096524F">
        <w:t>2011).</w:t>
      </w:r>
    </w:p>
  </w:footnote>
  <w:footnote w:id="364">
    <w:p w14:paraId="5B5B4FDC" w14:textId="39E43333"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1162–64 (citing Thane Int’l, Inc.</w:t>
      </w:r>
      <w:r w:rsidRPr="0096524F">
        <w:t xml:space="preserve"> </w:t>
      </w:r>
      <w:r w:rsidRPr="0096524F">
        <w:t>v.</w:t>
      </w:r>
      <w:r w:rsidRPr="0096524F">
        <w:t xml:space="preserve"> </w:t>
      </w:r>
      <w:r w:rsidRPr="0096524F">
        <w:t>Trek Bicycle Corp., 305 F.3d 894, 64 USPQ2d 1564 (9th Cir.</w:t>
      </w:r>
      <w:r w:rsidRPr="0096524F">
        <w:t xml:space="preserve"> </w:t>
      </w:r>
      <w:r w:rsidRPr="0096524F">
        <w:t>2002) and Playboy Enters., Inc.</w:t>
      </w:r>
      <w:r w:rsidRPr="0096524F">
        <w:t xml:space="preserve"> </w:t>
      </w:r>
      <w:r w:rsidRPr="0096524F">
        <w:t>v.</w:t>
      </w:r>
      <w:r w:rsidRPr="0096524F">
        <w:t xml:space="preserve"> </w:t>
      </w:r>
      <w:r w:rsidRPr="0096524F">
        <w:t>Welles, 279 F.3d 796, 61 USPQ2d 1508 (9th Cir.</w:t>
      </w:r>
      <w:r w:rsidRPr="0096524F">
        <w:t xml:space="preserve"> </w:t>
      </w:r>
      <w:r w:rsidRPr="0096524F">
        <w:t>2002)).</w:t>
      </w:r>
    </w:p>
  </w:footnote>
  <w:footnote w:id="365">
    <w:p w14:paraId="4C71B35C" w14:textId="5C6AF951" w:rsidR="0096524F" w:rsidRPr="00EB11B3" w:rsidRDefault="0096524F" w:rsidP="0096524F">
      <w:pPr>
        <w:pStyle w:val="FootnoteText"/>
      </w:pPr>
      <w:r w:rsidRPr="0096524F">
        <w:rPr>
          <w:vertAlign w:val="superscript"/>
        </w:rPr>
        <w:footnoteRef/>
      </w:r>
      <w:r w:rsidRPr="0096524F">
        <w:t xml:space="preserve">In </w:t>
      </w:r>
      <w:r w:rsidRPr="0096524F">
        <w:rPr>
          <w:i/>
        </w:rPr>
        <w:t>Thane International, Inc</w:t>
      </w:r>
      <w:r w:rsidRPr="0096524F">
        <w:t>.</w:t>
      </w:r>
      <w:r w:rsidRPr="0096524F">
        <w:t xml:space="preserve"> </w:t>
      </w:r>
      <w:r w:rsidRPr="0096524F">
        <w:rPr>
          <w:i/>
        </w:rPr>
        <w:t>v</w:t>
      </w:r>
      <w:r w:rsidRPr="0096524F">
        <w:t>.</w:t>
      </w:r>
      <w:r w:rsidRPr="0096524F">
        <w:t xml:space="preserve"> </w:t>
      </w:r>
      <w:r w:rsidRPr="0096524F">
        <w:rPr>
          <w:i/>
        </w:rPr>
        <w:t>Trek Bicycle Corp</w:t>
      </w:r>
      <w:r w:rsidRPr="0096524F">
        <w:t>., 305 F.3d 894, 64 USPQ2d 1564 (9th Cir.</w:t>
      </w:r>
      <w:r w:rsidRPr="0096524F">
        <w:t xml:space="preserve"> </w:t>
      </w:r>
      <w:r w:rsidRPr="0096524F">
        <w:t>2002), where the question was the similarity of the mark OrbiTrek to the allegedly famous mark Trek (the latter primarily known as a mark for bicycles), the court found that a jury could view them as identical or nearly so.</w:t>
      </w:r>
      <w:r w:rsidRPr="0096524F">
        <w:t xml:space="preserve"> </w:t>
      </w:r>
      <w:r w:rsidRPr="0096524F">
        <w:rPr>
          <w:i/>
        </w:rPr>
        <w:t>Id</w:t>
      </w:r>
      <w:r w:rsidRPr="0096524F">
        <w:t>.</w:t>
      </w:r>
      <w:r w:rsidRPr="0096524F">
        <w:t xml:space="preserve"> </w:t>
      </w:r>
      <w:r w:rsidRPr="0096524F">
        <w:t>at 907.</w:t>
      </w:r>
      <w:r w:rsidRPr="0096524F">
        <w:t xml:space="preserve"> </w:t>
      </w:r>
      <w:r w:rsidRPr="0096524F">
        <w:t xml:space="preserve">In </w:t>
      </w:r>
      <w:r w:rsidRPr="0096524F">
        <w:rPr>
          <w:i/>
        </w:rPr>
        <w:t>Perfumebay</w:t>
      </w:r>
      <w:r w:rsidRPr="0096524F">
        <w:t>.</w:t>
      </w:r>
      <w:r w:rsidRPr="0096524F">
        <w:rPr>
          <w:i/>
        </w:rPr>
        <w:t>com, Inc</w:t>
      </w:r>
      <w:r w:rsidRPr="0096524F">
        <w:t>.</w:t>
      </w:r>
      <w:r w:rsidRPr="0096524F">
        <w:t xml:space="preserve"> </w:t>
      </w:r>
      <w:r w:rsidRPr="0096524F">
        <w:rPr>
          <w:i/>
        </w:rPr>
        <w:t>v</w:t>
      </w:r>
      <w:r w:rsidRPr="0096524F">
        <w:t>.</w:t>
      </w:r>
      <w:r w:rsidRPr="0096524F">
        <w:t xml:space="preserve"> </w:t>
      </w:r>
      <w:r w:rsidRPr="0096524F">
        <w:rPr>
          <w:i/>
        </w:rPr>
        <w:t>eBay, Inc</w:t>
      </w:r>
      <w:r w:rsidRPr="0096524F">
        <w:t>.</w:t>
      </w:r>
      <w:r w:rsidRPr="0096524F">
        <w:rPr>
          <w:i/>
        </w:rPr>
        <w:t xml:space="preserve">, </w:t>
      </w:r>
      <w:r w:rsidRPr="0096524F">
        <w:t>506 F.3d 1165, 84 USPQ2d 1865 (9th Cir.</w:t>
      </w:r>
      <w:r w:rsidRPr="0096524F">
        <w:t xml:space="preserve"> </w:t>
      </w:r>
      <w:r w:rsidRPr="0096524F">
        <w:t>2007), the Ninth Circuit found that Perfumebay was sufficiently similar to eBay to merit dilution protection.</w:t>
      </w:r>
      <w:r w:rsidRPr="0096524F">
        <w:t xml:space="preserve"> </w:t>
      </w:r>
      <w:r w:rsidRPr="0096524F">
        <w:rPr>
          <w:i/>
        </w:rPr>
        <w:t>Id</w:t>
      </w:r>
      <w:r w:rsidRPr="0096524F">
        <w:t>.</w:t>
      </w:r>
      <w:r w:rsidRPr="0096524F">
        <w:t xml:space="preserve"> </w:t>
      </w:r>
      <w:r w:rsidRPr="0096524F">
        <w:t>at 1181.</w:t>
      </w:r>
      <w:r w:rsidRPr="0096524F">
        <w:t xml:space="preserve"> </w:t>
      </w:r>
      <w:r w:rsidRPr="0096524F">
        <w:t>In particular, the court held that the district court (which had ruled the two marks were not sufficiently similar) erred by not considering the strength of the eBay mark in its similarity analysis.</w:t>
      </w:r>
      <w:r w:rsidRPr="0096524F">
        <w:t xml:space="preserve"> </w:t>
      </w:r>
      <w:r w:rsidRPr="0096524F">
        <w:rPr>
          <w:i/>
        </w:rPr>
        <w:t>Id</w:t>
      </w:r>
      <w:r w:rsidRPr="0096524F">
        <w:t>.</w:t>
      </w:r>
      <w:r w:rsidRPr="0096524F">
        <w:t xml:space="preserve"> </w:t>
      </w:r>
      <w:r w:rsidRPr="0096524F">
        <w:t xml:space="preserve">As a result, it appears that the test of “nearly identical” is of little value, because </w:t>
      </w:r>
      <w:r w:rsidRPr="0096524F">
        <w:rPr>
          <w:i/>
        </w:rPr>
        <w:t>all</w:t>
      </w:r>
      <w:r w:rsidRPr="0096524F">
        <w:t xml:space="preserve"> of the marks in question will be very strong and, presumably, all will be considered “nearly identical” to a very large range of marks.</w:t>
      </w:r>
    </w:p>
  </w:footnote>
  <w:footnote w:id="366">
    <w:p w14:paraId="0AD74FE0" w14:textId="7D337729" w:rsidR="0096524F" w:rsidRPr="00EB11B3" w:rsidRDefault="0096524F" w:rsidP="0096524F">
      <w:pPr>
        <w:pStyle w:val="FootnoteText"/>
      </w:pPr>
      <w:r w:rsidRPr="0096524F">
        <w:rPr>
          <w:vertAlign w:val="superscript"/>
        </w:rPr>
        <w:footnoteRef/>
      </w:r>
      <w:r w:rsidRPr="0096524F">
        <w:t>633 F.3d at 1166–68 (noting its citation in three post-TDRA cases in the Ninth Circuit).</w:t>
      </w:r>
    </w:p>
  </w:footnote>
  <w:footnote w:id="367">
    <w:p w14:paraId="7F790E3C" w14:textId="0EEB7737"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1170–71.</w:t>
      </w:r>
    </w:p>
  </w:footnote>
  <w:footnote w:id="368">
    <w:p w14:paraId="3E308EAB" w14:textId="7A4923D6"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1172.</w:t>
      </w:r>
    </w:p>
  </w:footnote>
  <w:footnote w:id="369">
    <w:p w14:paraId="48745AF8" w14:textId="62F0C50C"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1171.</w:t>
      </w:r>
    </w:p>
  </w:footnote>
  <w:footnote w:id="370">
    <w:p w14:paraId="1E40CCF0" w14:textId="49C44463"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1172–73.</w:t>
      </w:r>
    </w:p>
  </w:footnote>
  <w:footnote w:id="371">
    <w:p w14:paraId="0222710F" w14:textId="09805A71"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1172 n.10.</w:t>
      </w:r>
    </w:p>
  </w:footnote>
  <w:footnote w:id="372">
    <w:p w14:paraId="4F286246" w14:textId="222EF548"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1172.</w:t>
      </w:r>
      <w:r w:rsidRPr="0096524F">
        <w:t xml:space="preserve"> </w:t>
      </w:r>
      <w:r w:rsidRPr="0096524F">
        <w:t>The court then decided that the district court’s reliance on that standard was not harmless, and remanded for reconsideration using the proper standard.</w:t>
      </w:r>
      <w:r w:rsidRPr="0096524F">
        <w:t xml:space="preserve"> </w:t>
      </w:r>
      <w:r w:rsidRPr="0096524F">
        <w:rPr>
          <w:i/>
        </w:rPr>
        <w:t>Id</w:t>
      </w:r>
      <w:r w:rsidRPr="0096524F">
        <w:t>.</w:t>
      </w:r>
      <w:r w:rsidRPr="0096524F">
        <w:t xml:space="preserve"> </w:t>
      </w:r>
      <w:r w:rsidRPr="0096524F">
        <w:t>at 1174–75.</w:t>
      </w:r>
      <w:r w:rsidRPr="0096524F">
        <w:t xml:space="preserve"> </w:t>
      </w:r>
      <w:r w:rsidRPr="0096524F">
        <w:t>On remand, Levi Strauss apparently decided not to pursue its dilution claim and it was dismissed.</w:t>
      </w:r>
      <w:r w:rsidRPr="0096524F">
        <w:t xml:space="preserve"> </w:t>
      </w:r>
      <w:r w:rsidRPr="0096524F">
        <w:rPr>
          <w:i/>
        </w:rPr>
        <w:t>See</w:t>
      </w:r>
      <w:r w:rsidRPr="0096524F">
        <w:t xml:space="preserve"> Levi Strauss &amp; Co.</w:t>
      </w:r>
      <w:r w:rsidRPr="0096524F">
        <w:t xml:space="preserve"> </w:t>
      </w:r>
      <w:r w:rsidRPr="0096524F">
        <w:t>v.</w:t>
      </w:r>
      <w:r w:rsidRPr="0096524F">
        <w:t xml:space="preserve"> </w:t>
      </w:r>
      <w:r w:rsidRPr="0096524F">
        <w:t>Abercrombie &amp; Fitch Trading Co., 719 F.3d 1367, 1370, 107 USPQ2d 1167 (Fed.</w:t>
      </w:r>
      <w:r w:rsidRPr="0096524F">
        <w:t xml:space="preserve"> </w:t>
      </w:r>
      <w:r w:rsidRPr="0096524F">
        <w:t>Cir.</w:t>
      </w:r>
      <w:r w:rsidRPr="0096524F">
        <w:t xml:space="preserve"> </w:t>
      </w:r>
      <w:r w:rsidRPr="0096524F">
        <w:t>2013) (recounting the history of the litigation between the parties).</w:t>
      </w:r>
    </w:p>
  </w:footnote>
  <w:footnote w:id="373">
    <w:p w14:paraId="7929A799" w14:textId="520A3FD0" w:rsidR="0096524F" w:rsidRPr="00EB11B3" w:rsidRDefault="0096524F" w:rsidP="0096524F">
      <w:pPr>
        <w:pStyle w:val="FootnoteText"/>
      </w:pPr>
      <w:r w:rsidRPr="0096524F">
        <w:rPr>
          <w:vertAlign w:val="superscript"/>
        </w:rPr>
        <w:footnoteRef/>
      </w:r>
      <w:r w:rsidRPr="0096524F">
        <w:t>633 F.3d at 1173 n.12.</w:t>
      </w:r>
    </w:p>
  </w:footnote>
  <w:footnote w:id="374">
    <w:p w14:paraId="682DDE0F" w14:textId="7E8482C0" w:rsidR="0096524F" w:rsidRPr="00EB11B3" w:rsidRDefault="0096524F" w:rsidP="0096524F">
      <w:pPr>
        <w:pStyle w:val="FootnoteText"/>
      </w:pPr>
      <w:r w:rsidRPr="0096524F">
        <w:rPr>
          <w:vertAlign w:val="superscript"/>
        </w:rPr>
        <w:footnoteRef/>
      </w:r>
      <w:r w:rsidRPr="0096524F">
        <w:t>94 USPQ2d 1645 (T.T.A.B.</w:t>
      </w:r>
      <w:r w:rsidRPr="0096524F">
        <w:t xml:space="preserve"> </w:t>
      </w:r>
      <w:r w:rsidRPr="0096524F">
        <w:t xml:space="preserve">2010), </w:t>
      </w:r>
      <w:r w:rsidRPr="0096524F">
        <w:rPr>
          <w:i/>
        </w:rPr>
        <w:t>aff’d</w:t>
      </w:r>
      <w:r w:rsidRPr="0096524F">
        <w:t>, 637 F.3d 1344, 98 USPQ2d 1253 (Fed.</w:t>
      </w:r>
      <w:r w:rsidRPr="0096524F">
        <w:t xml:space="preserve"> </w:t>
      </w:r>
      <w:r w:rsidRPr="0096524F">
        <w:t>Cir.</w:t>
      </w:r>
      <w:r w:rsidRPr="0096524F">
        <w:t xml:space="preserve"> </w:t>
      </w:r>
      <w:r w:rsidRPr="0096524F">
        <w:t>2011) (the Federal Circuit did not discuss this aspect of the TTAB’s decision).</w:t>
      </w:r>
    </w:p>
  </w:footnote>
  <w:footnote w:id="375">
    <w:p w14:paraId="517F898A" w14:textId="3C98F769"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1667.</w:t>
      </w:r>
    </w:p>
  </w:footnote>
  <w:footnote w:id="376">
    <w:p w14:paraId="1CED10E9" w14:textId="69878E24"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 xml:space="preserve">It noted when analyzing likelihood of confusion, a single factor could be determinative, and adopted a similar approach to dilution, </w:t>
      </w:r>
      <w:r w:rsidRPr="0096524F">
        <w:rPr>
          <w:i/>
        </w:rPr>
        <w:t>id</w:t>
      </w:r>
      <w:r w:rsidRPr="0096524F">
        <w:t>.</w:t>
      </w:r>
      <w:r w:rsidRPr="0096524F">
        <w:t xml:space="preserve"> </w:t>
      </w:r>
      <w:r w:rsidRPr="0096524F">
        <w:t>(citing Kellogg Co.</w:t>
      </w:r>
      <w:r w:rsidRPr="0096524F">
        <w:t xml:space="preserve"> </w:t>
      </w:r>
      <w:r w:rsidRPr="0096524F">
        <w:t>v.</w:t>
      </w:r>
      <w:r w:rsidRPr="0096524F">
        <w:t xml:space="preserve"> </w:t>
      </w:r>
      <w:r w:rsidRPr="0096524F">
        <w:t>Pack’em Enters., Inc., 951 F.2d 330, 21 USPQ2d 1142 (Fed.</w:t>
      </w:r>
      <w:r w:rsidRPr="0096524F">
        <w:t xml:space="preserve"> </w:t>
      </w:r>
      <w:r w:rsidRPr="0096524F">
        <w:t>Cir.</w:t>
      </w:r>
      <w:r w:rsidRPr="0096524F">
        <w:t xml:space="preserve"> </w:t>
      </w:r>
      <w:r w:rsidRPr="0096524F">
        <w:t>1991)).</w:t>
      </w:r>
      <w:r w:rsidRPr="0096524F">
        <w:t xml:space="preserve"> </w:t>
      </w:r>
      <w:r w:rsidRPr="0096524F">
        <w:t>On the other hand, rather than deny a dilution claim solely on the basis of lack of substantial similarity, the TTAB analyzed the other factors as well, finding that the lack of substantial similarity meant that this factor weighed heavily against the opposer.</w:t>
      </w:r>
      <w:r w:rsidRPr="0096524F">
        <w:t xml:space="preserve"> </w:t>
      </w:r>
      <w:r w:rsidRPr="0096524F">
        <w:rPr>
          <w:i/>
        </w:rPr>
        <w:t>Id</w:t>
      </w:r>
      <w:r w:rsidRPr="0096524F">
        <w:t>.</w:t>
      </w:r>
      <w:r w:rsidRPr="0096524F">
        <w:t xml:space="preserve"> </w:t>
      </w:r>
      <w:r w:rsidRPr="0096524F">
        <w:t>at 1667 (weight of similarity factor), 1668–69 (applying other TDRA factors).</w:t>
      </w:r>
    </w:p>
  </w:footnote>
  <w:footnote w:id="377">
    <w:p w14:paraId="755F1F07" w14:textId="2D662491" w:rsidR="0096524F" w:rsidRPr="00882ED4" w:rsidRDefault="0096524F" w:rsidP="0096524F">
      <w:pPr>
        <w:pStyle w:val="FootnoteText"/>
        <w:rPr>
          <w:lang w:val="da-DK"/>
        </w:rPr>
      </w:pPr>
      <w:r w:rsidRPr="0096524F">
        <w:rPr>
          <w:vertAlign w:val="superscript"/>
        </w:rPr>
        <w:footnoteRef/>
      </w:r>
      <w:r w:rsidRPr="0096524F">
        <w:t>100 USPQ2d 1018 (T.T.A.B.</w:t>
      </w:r>
      <w:r w:rsidRPr="0096524F">
        <w:t xml:space="preserve"> </w:t>
      </w:r>
      <w:r w:rsidRPr="0096524F">
        <w:t>2011).</w:t>
      </w:r>
    </w:p>
  </w:footnote>
  <w:footnote w:id="378">
    <w:p w14:paraId="6A707691" w14:textId="1064D91E"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1029–30.</w:t>
      </w:r>
    </w:p>
  </w:footnote>
  <w:footnote w:id="379">
    <w:p w14:paraId="4F1AD864" w14:textId="07EA05CE" w:rsidR="0096524F" w:rsidRPr="00EB11B3" w:rsidRDefault="0096524F" w:rsidP="0096524F">
      <w:pPr>
        <w:pStyle w:val="FootnoteText"/>
      </w:pPr>
      <w:r w:rsidRPr="0096524F">
        <w:rPr>
          <w:vertAlign w:val="superscript"/>
        </w:rPr>
        <w:footnoteRef/>
      </w:r>
      <w:r w:rsidRPr="0096524F">
        <w:t>UMG Recordings, Inc.</w:t>
      </w:r>
      <w:r w:rsidRPr="0096524F">
        <w:t xml:space="preserve"> </w:t>
      </w:r>
      <w:r w:rsidRPr="0096524F">
        <w:t>v.</w:t>
      </w:r>
      <w:r w:rsidRPr="0096524F">
        <w:t xml:space="preserve"> </w:t>
      </w:r>
      <w:r w:rsidRPr="0096524F">
        <w:t>Mattel, Inc., 100 USPQ2d 1868, 1888 (T.T.A.B.</w:t>
      </w:r>
      <w:r w:rsidRPr="0096524F">
        <w:t xml:space="preserve"> </w:t>
      </w:r>
      <w:r w:rsidRPr="0096524F">
        <w:t>2011);</w:t>
      </w:r>
      <w:r w:rsidRPr="0096524F">
        <w:t xml:space="preserve"> </w:t>
      </w:r>
      <w:r w:rsidRPr="0096524F">
        <w:rPr>
          <w:i/>
        </w:rPr>
        <w:t>see</w:t>
      </w:r>
      <w:r w:rsidRPr="0096524F">
        <w:t xml:space="preserve"> Research in Motion Ltd.</w:t>
      </w:r>
      <w:r w:rsidRPr="0096524F">
        <w:t xml:space="preserve"> </w:t>
      </w:r>
      <w:r w:rsidRPr="0096524F">
        <w:t>v.</w:t>
      </w:r>
      <w:r w:rsidRPr="0096524F">
        <w:t xml:space="preserve"> </w:t>
      </w:r>
      <w:r w:rsidRPr="0096524F">
        <w:t>Defining Presence Mktg.</w:t>
      </w:r>
      <w:r w:rsidRPr="0096524F">
        <w:t xml:space="preserve"> </w:t>
      </w:r>
      <w:r w:rsidRPr="0096524F">
        <w:t>Group, Inc., 102 USPQ2d 1187, 1197 (T.T.A.B.</w:t>
      </w:r>
      <w:r w:rsidRPr="0096524F">
        <w:t xml:space="preserve"> </w:t>
      </w:r>
      <w:r w:rsidRPr="0096524F">
        <w:t>2012) (“it is sufficient that the terms be highly similar”).</w:t>
      </w:r>
    </w:p>
  </w:footnote>
  <w:footnote w:id="380">
    <w:p w14:paraId="513691CB" w14:textId="37ED6243" w:rsidR="0096524F" w:rsidRPr="0096524F" w:rsidRDefault="0096524F" w:rsidP="0096524F">
      <w:pPr>
        <w:pStyle w:val="FootnoteText"/>
      </w:pPr>
      <w:r w:rsidRPr="0096524F">
        <w:rPr>
          <w:vertAlign w:val="superscript"/>
        </w:rPr>
        <w:footnoteRef/>
      </w:r>
      <w:r w:rsidRPr="0096524F">
        <w:rPr>
          <w:i/>
        </w:rPr>
        <w:t>E.g.</w:t>
      </w:r>
      <w:r w:rsidRPr="0096524F">
        <w:t>, Hershey Co.</w:t>
      </w:r>
      <w:r w:rsidRPr="0096524F">
        <w:t xml:space="preserve"> </w:t>
      </w:r>
      <w:r w:rsidRPr="0096524F">
        <w:t>v.</w:t>
      </w:r>
      <w:r w:rsidRPr="0096524F">
        <w:t xml:space="preserve"> </w:t>
      </w:r>
      <w:r w:rsidRPr="0096524F">
        <w:t>Promotion in Motion, Inc., 2013 WL 12157828, at *23, 2013 BL 19594 (D.N.J.</w:t>
      </w:r>
      <w:r w:rsidRPr="0096524F">
        <w:t xml:space="preserve"> </w:t>
      </w:r>
      <w:r w:rsidRPr="0096524F">
        <w:t>Jan.</w:t>
      </w:r>
      <w:r w:rsidRPr="0096524F">
        <w:t xml:space="preserve"> </w:t>
      </w:r>
      <w:r w:rsidRPr="0096524F">
        <w:t>18, 2013) (finding the issue unresolved in the Third Circuit).</w:t>
      </w:r>
    </w:p>
    <w:p w14:paraId="3584083E" w14:textId="77777777" w:rsidR="0096524F" w:rsidRDefault="0096524F" w:rsidP="0025342C">
      <w:pPr>
        <w:pStyle w:val="footnote"/>
      </w:pPr>
    </w:p>
  </w:footnote>
  <w:footnote w:id="381">
    <w:p w14:paraId="1D2A8589" w14:textId="28DF878C" w:rsidR="0096524F" w:rsidRPr="00EB11B3" w:rsidRDefault="0096524F" w:rsidP="0096524F">
      <w:pPr>
        <w:pStyle w:val="FootnoteText"/>
      </w:pPr>
      <w:r w:rsidRPr="0096524F">
        <w:rPr>
          <w:vertAlign w:val="superscript"/>
        </w:rPr>
        <w:footnoteRef/>
      </w:r>
      <w:r w:rsidRPr="0096524F">
        <w:rPr>
          <w:i/>
        </w:rPr>
        <w:t>See</w:t>
      </w:r>
      <w:r w:rsidRPr="0096524F">
        <w:t xml:space="preserve"> Shell Trademark Mgmt.</w:t>
      </w:r>
      <w:r w:rsidRPr="0096524F">
        <w:t xml:space="preserve"> </w:t>
      </w:r>
      <w:r w:rsidRPr="0096524F">
        <w:t>BV v.</w:t>
      </w:r>
      <w:r w:rsidRPr="0096524F">
        <w:t xml:space="preserve"> </w:t>
      </w:r>
      <w:r w:rsidRPr="0096524F">
        <w:t>Canadian Am.</w:t>
      </w:r>
      <w:r w:rsidRPr="0096524F">
        <w:t xml:space="preserve"> </w:t>
      </w:r>
      <w:r w:rsidRPr="0096524F">
        <w:t>Oil Co., 2002 WL 32104586, at *7 (N.D.</w:t>
      </w:r>
      <w:r w:rsidRPr="0096524F">
        <w:t xml:space="preserve"> </w:t>
      </w:r>
      <w:r w:rsidRPr="0096524F">
        <w:t>Cal.</w:t>
      </w:r>
      <w:r w:rsidRPr="0096524F">
        <w:t xml:space="preserve"> </w:t>
      </w:r>
      <w:r w:rsidRPr="0096524F">
        <w:t>May 21, 2002) (stating that sales of a competing gasoline brand by franchisee with a very dissimilar name at the same gas station raised a “serious question” as to whether dilution by blurring could result) (magistrate judge opinion).</w:t>
      </w:r>
    </w:p>
  </w:footnote>
  <w:footnote w:id="382">
    <w:p w14:paraId="7ED5361D" w14:textId="53D7FD60" w:rsidR="0096524F" w:rsidRPr="0096524F" w:rsidRDefault="0096524F" w:rsidP="0096524F">
      <w:pPr>
        <w:pStyle w:val="FootnoteText"/>
      </w:pPr>
      <w:r w:rsidRPr="0096524F">
        <w:rPr>
          <w:vertAlign w:val="superscript"/>
        </w:rPr>
        <w:footnoteRef/>
      </w:r>
      <w:r w:rsidRPr="0096524F">
        <w:rPr>
          <w:i/>
        </w:rPr>
        <w:t>E.g.</w:t>
      </w:r>
      <w:r w:rsidRPr="0096524F">
        <w:t>, Visa Int’l Serv.</w:t>
      </w:r>
      <w:r w:rsidRPr="0096524F">
        <w:t xml:space="preserve"> </w:t>
      </w:r>
      <w:r w:rsidRPr="0096524F">
        <w:t>Ass’n v.</w:t>
      </w:r>
      <w:r w:rsidRPr="0096524F">
        <w:t xml:space="preserve"> </w:t>
      </w:r>
      <w:r w:rsidRPr="0096524F">
        <w:t>JSL Corp., 610 F.3d 1088, 1090, 95 USPQ2d 1571 (9th Cir.</w:t>
      </w:r>
      <w:r w:rsidRPr="0096524F">
        <w:t xml:space="preserve"> </w:t>
      </w:r>
      <w:r w:rsidRPr="0096524F">
        <w:t>2010);</w:t>
      </w:r>
      <w:r w:rsidRPr="0096524F">
        <w:t xml:space="preserve"> </w:t>
      </w:r>
      <w:r w:rsidRPr="0096524F">
        <w:t>Caracol Television, S.A.</w:t>
      </w:r>
      <w:r w:rsidRPr="0096524F">
        <w:t xml:space="preserve"> </w:t>
      </w:r>
      <w:r w:rsidRPr="0096524F">
        <w:t>v.</w:t>
      </w:r>
      <w:r w:rsidRPr="0096524F">
        <w:t xml:space="preserve"> </w:t>
      </w:r>
      <w:r w:rsidRPr="0096524F">
        <w:t>TVMia Int’l Corp., 2017 WL 6389719, at *3, 2017 BL 445105 (S.D.</w:t>
      </w:r>
      <w:r w:rsidRPr="0096524F">
        <w:t xml:space="preserve"> </w:t>
      </w:r>
      <w:r w:rsidRPr="0096524F">
        <w:t>Fla.</w:t>
      </w:r>
      <w:r w:rsidRPr="0096524F">
        <w:t xml:space="preserve"> </w:t>
      </w:r>
      <w:r w:rsidRPr="0096524F">
        <w:t>Dec.</w:t>
      </w:r>
      <w:r w:rsidRPr="0096524F">
        <w:t xml:space="preserve"> </w:t>
      </w:r>
      <w:r w:rsidRPr="0096524F">
        <w:t>13, 2017) (identity of marks sufficient—notably, the court did not even discuss fame);</w:t>
      </w:r>
      <w:r w:rsidRPr="0096524F">
        <w:t xml:space="preserve"> </w:t>
      </w:r>
      <w:r w:rsidRPr="0096524F">
        <w:t>Bentley Motors Corp.</w:t>
      </w:r>
      <w:r w:rsidRPr="0096524F">
        <w:t xml:space="preserve"> </w:t>
      </w:r>
      <w:r w:rsidRPr="0096524F">
        <w:t>v.</w:t>
      </w:r>
      <w:r w:rsidRPr="0096524F">
        <w:t xml:space="preserve"> </w:t>
      </w:r>
      <w:r w:rsidRPr="0096524F">
        <w:t>McEntegart, 976 F.</w:t>
      </w:r>
      <w:r w:rsidRPr="0096524F">
        <w:t xml:space="preserve"> </w:t>
      </w:r>
      <w:r w:rsidRPr="0096524F">
        <w:t>Supp.</w:t>
      </w:r>
      <w:r w:rsidRPr="0096524F">
        <w:t xml:space="preserve"> </w:t>
      </w:r>
      <w:r w:rsidRPr="0096524F">
        <w:t>2d 1297, 1314 (M.D.</w:t>
      </w:r>
      <w:r w:rsidRPr="0096524F">
        <w:t xml:space="preserve"> </w:t>
      </w:r>
      <w:r w:rsidRPr="0096524F">
        <w:t>Fla.</w:t>
      </w:r>
      <w:r w:rsidRPr="0096524F">
        <w:t xml:space="preserve"> </w:t>
      </w:r>
      <w:r w:rsidRPr="0096524F">
        <w:t>2013).</w:t>
      </w:r>
      <w:r w:rsidRPr="0096524F">
        <w:t xml:space="preserve"> </w:t>
      </w:r>
      <w:r w:rsidRPr="0096524F">
        <w:rPr>
          <w:i/>
        </w:rPr>
        <w:t>See</w:t>
      </w:r>
      <w:r w:rsidRPr="0096524F">
        <w:t xml:space="preserve"> Chanel, Inc.</w:t>
      </w:r>
      <w:r w:rsidRPr="0096524F">
        <w:t xml:space="preserve"> </w:t>
      </w:r>
      <w:r w:rsidRPr="0096524F">
        <w:t>v.</w:t>
      </w:r>
      <w:r w:rsidRPr="0096524F">
        <w:t xml:space="preserve"> </w:t>
      </w:r>
      <w:r w:rsidRPr="0096524F">
        <w:t>Van Doren, 2016 WL 7444995, at *5–6, 2016 BL 431548 (N.D.</w:t>
      </w:r>
      <w:r w:rsidRPr="0096524F">
        <w:t xml:space="preserve"> </w:t>
      </w:r>
      <w:r w:rsidRPr="0096524F">
        <w:t>Tex.</w:t>
      </w:r>
      <w:r w:rsidRPr="0096524F">
        <w:t xml:space="preserve"> </w:t>
      </w:r>
      <w:r w:rsidRPr="0096524F">
        <w:t>Nov.</w:t>
      </w:r>
      <w:r w:rsidRPr="0096524F">
        <w:t xml:space="preserve"> </w:t>
      </w:r>
      <w:r w:rsidRPr="0096524F">
        <w:t>28, 2016) (defendant used identical marks—motion for summary judgment on this issue unopposed);</w:t>
      </w:r>
      <w:r w:rsidRPr="0096524F">
        <w:t xml:space="preserve"> </w:t>
      </w:r>
      <w:r w:rsidRPr="0096524F">
        <w:t>Bridgestone Brands, LLC v.</w:t>
      </w:r>
      <w:r w:rsidRPr="0096524F">
        <w:t xml:space="preserve"> </w:t>
      </w:r>
      <w:r w:rsidRPr="0096524F">
        <w:t>Dastgah, 2016 WL 1070670, at *4, 2016 BL 84276 (N.D.</w:t>
      </w:r>
      <w:r w:rsidRPr="0096524F">
        <w:t xml:space="preserve"> </w:t>
      </w:r>
      <w:r w:rsidRPr="0096524F">
        <w:t>Cal.</w:t>
      </w:r>
      <w:r w:rsidRPr="0096524F">
        <w:t xml:space="preserve"> </w:t>
      </w:r>
      <w:r w:rsidRPr="0096524F">
        <w:t>Mar.</w:t>
      </w:r>
      <w:r w:rsidRPr="0096524F">
        <w:t xml:space="preserve"> </w:t>
      </w:r>
      <w:r w:rsidRPr="0096524F">
        <w:t>18, 2016) (noting the identity of the marks, but not formally applying a presumption).</w:t>
      </w:r>
      <w:r w:rsidRPr="0096524F">
        <w:t xml:space="preserve"> </w:t>
      </w:r>
      <w:r w:rsidRPr="0096524F">
        <w:rPr>
          <w:i/>
        </w:rPr>
        <w:t>See</w:t>
      </w:r>
      <w:r w:rsidRPr="0096524F">
        <w:t xml:space="preserve"> Prudential Ins.</w:t>
      </w:r>
      <w:r w:rsidRPr="0096524F">
        <w:t xml:space="preserve"> </w:t>
      </w:r>
      <w:r w:rsidRPr="0096524F">
        <w:t>Co.</w:t>
      </w:r>
      <w:r w:rsidRPr="0096524F">
        <w:t xml:space="preserve"> </w:t>
      </w:r>
      <w:r w:rsidRPr="0096524F">
        <w:t>of Am.</w:t>
      </w:r>
      <w:r w:rsidRPr="0096524F">
        <w:t xml:space="preserve"> </w:t>
      </w:r>
      <w:r w:rsidRPr="0096524F">
        <w:t>v.</w:t>
      </w:r>
      <w:r w:rsidRPr="0096524F">
        <w:t xml:space="preserve"> </w:t>
      </w:r>
      <w:r w:rsidRPr="0096524F">
        <w:t>Infinity Funding Corp., 2011 WL 13228042, at *5 (C.D.</w:t>
      </w:r>
      <w:r w:rsidRPr="0096524F">
        <w:t xml:space="preserve"> </w:t>
      </w:r>
      <w:r w:rsidRPr="0096524F">
        <w:t>Cal.</w:t>
      </w:r>
      <w:r w:rsidRPr="0096524F">
        <w:t xml:space="preserve"> </w:t>
      </w:r>
      <w:r w:rsidRPr="0096524F">
        <w:t>May 31, 2011) (use of identical marks shows intent to create association).</w:t>
      </w:r>
      <w:r w:rsidRPr="0096524F">
        <w:t xml:space="preserve"> </w:t>
      </w:r>
      <w:r w:rsidRPr="0096524F">
        <w:rPr>
          <w:i/>
        </w:rPr>
        <w:t>But cf.</w:t>
      </w:r>
      <w:r w:rsidRPr="0096524F">
        <w:rPr>
          <w:i/>
        </w:rPr>
        <w:t xml:space="preserve"> </w:t>
      </w:r>
      <w:r w:rsidRPr="0096524F">
        <w:t>Chanel, Inc.</w:t>
      </w:r>
      <w:r w:rsidRPr="0096524F">
        <w:t xml:space="preserve"> </w:t>
      </w:r>
      <w:r w:rsidRPr="0096524F">
        <w:t>v.</w:t>
      </w:r>
      <w:r w:rsidRPr="0096524F">
        <w:t xml:space="preserve"> </w:t>
      </w:r>
      <w:r w:rsidRPr="0096524F">
        <w:t>Makarczyk, 110 USPQ2d 2013 (T.T.A.B.</w:t>
      </w:r>
      <w:r w:rsidRPr="0096524F">
        <w:t xml:space="preserve"> </w:t>
      </w:r>
      <w:r w:rsidRPr="0096524F">
        <w:t>2014) (identical marks, but no invocation of a presumption).</w:t>
      </w:r>
    </w:p>
    <w:p w14:paraId="5489FA2F" w14:textId="77777777" w:rsidR="0096524F" w:rsidRDefault="0096524F" w:rsidP="00D27268">
      <w:pPr>
        <w:pStyle w:val="footnote"/>
      </w:pPr>
    </w:p>
  </w:footnote>
  <w:footnote w:id="383">
    <w:p w14:paraId="77CB9086" w14:textId="0F339983" w:rsidR="0096524F" w:rsidRPr="0096524F" w:rsidRDefault="0096524F" w:rsidP="0096524F">
      <w:pPr>
        <w:pStyle w:val="FootnoteText"/>
      </w:pPr>
      <w:r w:rsidRPr="0096524F">
        <w:rPr>
          <w:vertAlign w:val="superscript"/>
        </w:rPr>
        <w:footnoteRef/>
      </w:r>
      <w:r w:rsidRPr="0096524F">
        <w:rPr>
          <w:i/>
        </w:rPr>
        <w:t>E.g.</w:t>
      </w:r>
      <w:r w:rsidRPr="0096524F">
        <w:t>, adidas Am., Inc.</w:t>
      </w:r>
      <w:r w:rsidRPr="0096524F">
        <w:t xml:space="preserve"> </w:t>
      </w:r>
      <w:r w:rsidRPr="0096524F">
        <w:t>v.</w:t>
      </w:r>
      <w:r w:rsidRPr="0096524F">
        <w:t xml:space="preserve"> </w:t>
      </w:r>
      <w:r w:rsidRPr="0096524F">
        <w:t>Skechers USA, Inc., 149 F.</w:t>
      </w:r>
      <w:r w:rsidRPr="0096524F">
        <w:t xml:space="preserve"> </w:t>
      </w:r>
      <w:r w:rsidRPr="0096524F">
        <w:t>Supp.</w:t>
      </w:r>
      <w:r w:rsidRPr="0096524F">
        <w:t xml:space="preserve"> </w:t>
      </w:r>
      <w:r w:rsidRPr="0096524F">
        <w:t>3d 1222, 1247–48 (D.</w:t>
      </w:r>
      <w:r w:rsidRPr="0096524F">
        <w:t xml:space="preserve"> </w:t>
      </w:r>
      <w:r w:rsidRPr="0096524F">
        <w:t>Or.</w:t>
      </w:r>
      <w:r w:rsidRPr="0096524F">
        <w:t xml:space="preserve"> </w:t>
      </w:r>
      <w:r w:rsidRPr="0096524F">
        <w:t xml:space="preserve">2016) (detailing evidence supporting application of the factors required for an injunction), </w:t>
      </w:r>
      <w:r w:rsidRPr="0096524F">
        <w:rPr>
          <w:i/>
        </w:rPr>
        <w:t>aff’d in part, rev’d in part on other grounds</w:t>
      </w:r>
      <w:r w:rsidRPr="0096524F">
        <w:t>, 890 F.3d 747 (9th Cir.</w:t>
      </w:r>
      <w:r w:rsidRPr="0096524F">
        <w:t xml:space="preserve"> </w:t>
      </w:r>
      <w:r w:rsidRPr="0096524F">
        <w:t>2018).</w:t>
      </w:r>
    </w:p>
    <w:p w14:paraId="577460E9" w14:textId="77777777" w:rsidR="0096524F" w:rsidRDefault="0096524F" w:rsidP="00D758BD">
      <w:pPr>
        <w:pStyle w:val="footnote"/>
      </w:pPr>
    </w:p>
  </w:footnote>
  <w:footnote w:id="384">
    <w:p w14:paraId="5F133FF1" w14:textId="01198F82" w:rsidR="0096524F" w:rsidRPr="00EB11B3" w:rsidRDefault="0096524F" w:rsidP="0096524F">
      <w:pPr>
        <w:pStyle w:val="FootnoteText"/>
      </w:pPr>
      <w:r w:rsidRPr="0096524F">
        <w:rPr>
          <w:vertAlign w:val="superscript"/>
        </w:rPr>
        <w:footnoteRef/>
      </w:r>
      <w:r w:rsidRPr="0096524F">
        <w:t>As indicated in §II.D.4, above, parody claims are usually unsuccessful.</w:t>
      </w:r>
      <w:r w:rsidRPr="0096524F">
        <w:t xml:space="preserve"> </w:t>
      </w:r>
      <w:r w:rsidRPr="0096524F">
        <w:t>Courts frequently cite a lack of intent to comment on the famous mark as a reason to reject such claims.</w:t>
      </w:r>
    </w:p>
  </w:footnote>
  <w:footnote w:id="385">
    <w:p w14:paraId="7CAEB99E" w14:textId="4994F4C8" w:rsidR="0096524F" w:rsidRPr="0096524F" w:rsidRDefault="0096524F" w:rsidP="0096524F">
      <w:pPr>
        <w:pStyle w:val="FootnoteText"/>
      </w:pPr>
      <w:r w:rsidRPr="0096524F">
        <w:rPr>
          <w:vertAlign w:val="superscript"/>
        </w:rPr>
        <w:footnoteRef/>
      </w:r>
      <w:r w:rsidRPr="0096524F">
        <w:rPr>
          <w:i/>
        </w:rPr>
        <w:t>See also</w:t>
      </w:r>
      <w:r w:rsidRPr="0096524F">
        <w:t xml:space="preserve"> Chapter 12, §V.B.</w:t>
      </w:r>
    </w:p>
    <w:p w14:paraId="5613EA78" w14:textId="77777777" w:rsidR="0096524F" w:rsidRDefault="0096524F" w:rsidP="00D758BD">
      <w:pPr>
        <w:pStyle w:val="footnote"/>
      </w:pPr>
    </w:p>
  </w:footnote>
  <w:footnote w:id="386">
    <w:p w14:paraId="4CED371D" w14:textId="4E9A96D4" w:rsidR="0096524F" w:rsidRPr="0096524F" w:rsidRDefault="0096524F" w:rsidP="0096524F">
      <w:pPr>
        <w:pStyle w:val="FootnoteText"/>
      </w:pPr>
      <w:r w:rsidRPr="0096524F">
        <w:rPr>
          <w:vertAlign w:val="superscript"/>
        </w:rPr>
        <w:footnoteRef/>
      </w:r>
      <w:r w:rsidRPr="0096524F">
        <w:t>Starbucks Corp.</w:t>
      </w:r>
      <w:r w:rsidRPr="0096524F">
        <w:t xml:space="preserve"> </w:t>
      </w:r>
      <w:r w:rsidRPr="0096524F">
        <w:t>v.</w:t>
      </w:r>
      <w:r w:rsidRPr="0096524F">
        <w:t xml:space="preserve"> </w:t>
      </w:r>
      <w:r w:rsidRPr="0096524F">
        <w:t>Wolfe’s Borough Coffee, Inc., 736 F.3d 198, 207, 108 USPQ2d 1581 (2d Cir.</w:t>
      </w:r>
      <w:r w:rsidRPr="0096524F">
        <w:t xml:space="preserve"> </w:t>
      </w:r>
      <w:r w:rsidRPr="0096524F">
        <w:t>2013).</w:t>
      </w:r>
    </w:p>
    <w:p w14:paraId="436837CA" w14:textId="77777777" w:rsidR="0096524F" w:rsidRDefault="0096524F" w:rsidP="00D758BD">
      <w:pPr>
        <w:pStyle w:val="footnote"/>
      </w:pPr>
    </w:p>
  </w:footnote>
  <w:footnote w:id="387">
    <w:p w14:paraId="58FF6A97" w14:textId="4734BF6F" w:rsidR="0096524F" w:rsidRPr="0096524F" w:rsidRDefault="0096524F" w:rsidP="0096524F">
      <w:pPr>
        <w:pStyle w:val="FootnoteText"/>
      </w:pPr>
      <w:r w:rsidRPr="0096524F">
        <w:rPr>
          <w:vertAlign w:val="superscript"/>
        </w:rPr>
        <w:footnoteRef/>
      </w:r>
      <w:r w:rsidRPr="0096524F">
        <w:t>Swatch AG v.</w:t>
      </w:r>
      <w:r w:rsidRPr="0096524F">
        <w:t xml:space="preserve"> </w:t>
      </w:r>
      <w:r w:rsidRPr="0096524F">
        <w:t>Beehive Wholesale, LLC, 739 F.3d 150, 155, 109 USPQ2d 1291 (4th Cir.</w:t>
      </w:r>
      <w:r w:rsidRPr="0096524F">
        <w:t xml:space="preserve"> </w:t>
      </w:r>
      <w:r w:rsidRPr="0096524F">
        <w:t>2014).</w:t>
      </w:r>
    </w:p>
    <w:p w14:paraId="59A913B2" w14:textId="77777777" w:rsidR="0096524F" w:rsidRDefault="0096524F" w:rsidP="00D758BD">
      <w:pPr>
        <w:pStyle w:val="footnote"/>
      </w:pPr>
    </w:p>
  </w:footnote>
  <w:footnote w:id="388">
    <w:p w14:paraId="7500C50B" w14:textId="727F6D5A" w:rsidR="0096524F" w:rsidRPr="00EB11B3" w:rsidRDefault="0096524F" w:rsidP="0096524F">
      <w:pPr>
        <w:pStyle w:val="FootnoteText"/>
      </w:pPr>
      <w:r w:rsidRPr="0096524F">
        <w:rPr>
          <w:vertAlign w:val="superscript"/>
        </w:rPr>
        <w:footnoteRef/>
      </w:r>
      <w:r w:rsidRPr="0096524F">
        <w:rPr>
          <w:i/>
        </w:rPr>
        <w:t>See</w:t>
      </w:r>
      <w:r w:rsidRPr="0096524F">
        <w:t xml:space="preserve"> Chapter 3, §IV.B.1.</w:t>
      </w:r>
    </w:p>
  </w:footnote>
  <w:footnote w:id="389">
    <w:p w14:paraId="38D114D6" w14:textId="31CA825D" w:rsidR="0096524F" w:rsidRPr="00EB11B3" w:rsidRDefault="0096524F" w:rsidP="0096524F">
      <w:pPr>
        <w:pStyle w:val="FootnoteText"/>
      </w:pPr>
      <w:r w:rsidRPr="0096524F">
        <w:rPr>
          <w:vertAlign w:val="superscript"/>
        </w:rPr>
        <w:footnoteRef/>
      </w:r>
      <w:r w:rsidRPr="0096524F">
        <w:rPr>
          <w:i/>
        </w:rPr>
        <w:t>See, e</w:t>
      </w:r>
      <w:r w:rsidRPr="0096524F">
        <w:t>.</w:t>
      </w:r>
      <w:r w:rsidRPr="0096524F">
        <w:rPr>
          <w:i/>
        </w:rPr>
        <w:t>g</w:t>
      </w:r>
      <w:r w:rsidRPr="0096524F">
        <w:t>., Lucasfilm Ltd.</w:t>
      </w:r>
      <w:r w:rsidRPr="0096524F">
        <w:t xml:space="preserve"> </w:t>
      </w:r>
      <w:r w:rsidRPr="0096524F">
        <w:t>v.</w:t>
      </w:r>
      <w:r w:rsidRPr="0096524F">
        <w:t xml:space="preserve"> </w:t>
      </w:r>
      <w:r w:rsidRPr="0096524F">
        <w:t>Media Mkt.</w:t>
      </w:r>
      <w:r w:rsidRPr="0096524F">
        <w:t xml:space="preserve"> </w:t>
      </w:r>
      <w:r w:rsidRPr="0096524F">
        <w:t>Grp., Ltd., 182 F.</w:t>
      </w:r>
      <w:r w:rsidRPr="0096524F">
        <w:t xml:space="preserve"> </w:t>
      </w:r>
      <w:r w:rsidRPr="0096524F">
        <w:t>Supp.</w:t>
      </w:r>
      <w:r w:rsidRPr="0096524F">
        <w:t xml:space="preserve"> </w:t>
      </w:r>
      <w:r w:rsidRPr="0096524F">
        <w:t>2d 897, 900 (N.D.</w:t>
      </w:r>
      <w:r w:rsidRPr="0096524F">
        <w:t xml:space="preserve"> </w:t>
      </w:r>
      <w:r w:rsidRPr="0096524F">
        <w:t>Cal.</w:t>
      </w:r>
      <w:r w:rsidRPr="0096524F">
        <w:t xml:space="preserve"> </w:t>
      </w:r>
      <w:r w:rsidRPr="0096524F">
        <w:t>2002) (pornographic parody of Star Wars;</w:t>
      </w:r>
      <w:r w:rsidRPr="0096524F">
        <w:t xml:space="preserve"> </w:t>
      </w:r>
      <w:r w:rsidRPr="0096524F">
        <w:t>tarnishing but exempted as noncommercial use under FTDA);</w:t>
      </w:r>
      <w:r w:rsidRPr="0096524F">
        <w:t xml:space="preserve"> </w:t>
      </w:r>
      <w:r w:rsidRPr="0096524F">
        <w:t>Mattel, Inc.</w:t>
      </w:r>
      <w:r w:rsidRPr="0096524F">
        <w:t xml:space="preserve"> </w:t>
      </w:r>
      <w:r w:rsidRPr="0096524F">
        <w:t>v.</w:t>
      </w:r>
      <w:r w:rsidRPr="0096524F">
        <w:t xml:space="preserve"> </w:t>
      </w:r>
      <w:r w:rsidRPr="0096524F">
        <w:t>Internet Dimensions, Inc., 55 USPQ2d 1620 (S.D.N.Y.</w:t>
      </w:r>
      <w:r w:rsidRPr="0096524F">
        <w:t xml:space="preserve"> </w:t>
      </w:r>
      <w:r w:rsidRPr="0096524F">
        <w:t>2000) (pornographic Internet site);</w:t>
      </w:r>
      <w:r w:rsidRPr="0096524F">
        <w:t xml:space="preserve"> </w:t>
      </w:r>
      <w:r w:rsidRPr="0096524F">
        <w:t>American Express Co.</w:t>
      </w:r>
      <w:r w:rsidRPr="0096524F">
        <w:t xml:space="preserve"> </w:t>
      </w:r>
      <w:r w:rsidRPr="0096524F">
        <w:t>v.</w:t>
      </w:r>
      <w:r w:rsidRPr="0096524F">
        <w:t xml:space="preserve"> </w:t>
      </w:r>
      <w:r w:rsidRPr="0096524F">
        <w:t>Vibra Approved Labs.</w:t>
      </w:r>
      <w:r w:rsidRPr="0096524F">
        <w:t xml:space="preserve"> </w:t>
      </w:r>
      <w:r w:rsidRPr="0096524F">
        <w:t>Corp., 10 USPQ2d 2006 (S.D.N.Y.</w:t>
      </w:r>
      <w:r w:rsidRPr="0096524F">
        <w:t xml:space="preserve"> </w:t>
      </w:r>
      <w:r w:rsidRPr="0096524F">
        <w:t>1989) (“condom card”);</w:t>
      </w:r>
      <w:r w:rsidRPr="0096524F">
        <w:t xml:space="preserve"> </w:t>
      </w:r>
      <w:r w:rsidRPr="0096524F">
        <w:t>Coca-Cola Co.</w:t>
      </w:r>
      <w:r w:rsidRPr="0096524F">
        <w:t xml:space="preserve"> </w:t>
      </w:r>
      <w:r w:rsidRPr="0096524F">
        <w:t>v.</w:t>
      </w:r>
      <w:r w:rsidRPr="0096524F">
        <w:t xml:space="preserve"> </w:t>
      </w:r>
      <w:r w:rsidRPr="0096524F">
        <w:t>Alma-Leo U.S.A., Inc., 719 F.</w:t>
      </w:r>
      <w:r w:rsidRPr="0096524F">
        <w:t xml:space="preserve"> </w:t>
      </w:r>
      <w:r w:rsidRPr="0096524F">
        <w:t>Supp.</w:t>
      </w:r>
      <w:r w:rsidRPr="0096524F">
        <w:t xml:space="preserve"> </w:t>
      </w:r>
      <w:r w:rsidRPr="0096524F">
        <w:t>725, 12 USPQ2d 1487 (N.D.</w:t>
      </w:r>
      <w:r w:rsidRPr="0096524F">
        <w:t xml:space="preserve"> </w:t>
      </w:r>
      <w:r w:rsidRPr="0096524F">
        <w:t>Ill.</w:t>
      </w:r>
      <w:r w:rsidRPr="0096524F">
        <w:t xml:space="preserve"> </w:t>
      </w:r>
      <w:r w:rsidRPr="0096524F">
        <w:t>1989) (candy powder resembling cocaine in bottles resembling Coke bottles).</w:t>
      </w:r>
      <w:r w:rsidRPr="0096524F">
        <w:t xml:space="preserve"> </w:t>
      </w:r>
      <w:r w:rsidRPr="0096524F">
        <w:rPr>
          <w:i/>
        </w:rPr>
        <w:t>See also</w:t>
      </w:r>
      <w:r w:rsidRPr="0096524F">
        <w:t xml:space="preserve"> Deborah Heart &amp; Lung Ctr.</w:t>
      </w:r>
      <w:r w:rsidRPr="0096524F">
        <w:t xml:space="preserve"> </w:t>
      </w:r>
      <w:r w:rsidRPr="0096524F">
        <w:t>v.</w:t>
      </w:r>
      <w:r w:rsidRPr="0096524F">
        <w:t xml:space="preserve"> </w:t>
      </w:r>
      <w:r w:rsidRPr="0096524F">
        <w:t>Children of the World Found., Ltd., 99 F.</w:t>
      </w:r>
      <w:r w:rsidRPr="0096524F">
        <w:t xml:space="preserve"> </w:t>
      </w:r>
      <w:r w:rsidRPr="0096524F">
        <w:t>Supp.</w:t>
      </w:r>
      <w:r w:rsidRPr="0096524F">
        <w:t xml:space="preserve"> </w:t>
      </w:r>
      <w:r w:rsidRPr="0096524F">
        <w:t>2d 481, 55 USPQ2d 1088 (D.N.J.</w:t>
      </w:r>
      <w:r w:rsidRPr="0096524F">
        <w:t xml:space="preserve"> </w:t>
      </w:r>
      <w:r w:rsidRPr="0096524F">
        <w:t>2000) (competing charity foundations);</w:t>
      </w:r>
      <w:r w:rsidRPr="0096524F">
        <w:t xml:space="preserve"> </w:t>
      </w:r>
      <w:r w:rsidRPr="0096524F">
        <w:t>Jews for Jesus v.</w:t>
      </w:r>
      <w:r w:rsidRPr="0096524F">
        <w:t xml:space="preserve"> </w:t>
      </w:r>
      <w:r w:rsidRPr="0096524F">
        <w:t>Brodsky, 993 F.</w:t>
      </w:r>
      <w:r w:rsidRPr="0096524F">
        <w:t xml:space="preserve"> </w:t>
      </w:r>
      <w:r w:rsidRPr="0096524F">
        <w:t>Supp.</w:t>
      </w:r>
      <w:r w:rsidRPr="0096524F">
        <w:t xml:space="preserve"> </w:t>
      </w:r>
      <w:r w:rsidRPr="0096524F">
        <w:t xml:space="preserve">282, 46 USPQ2d 1652 (D.N.J.), </w:t>
      </w:r>
      <w:r w:rsidRPr="0096524F">
        <w:rPr>
          <w:i/>
        </w:rPr>
        <w:t>aff’d</w:t>
      </w:r>
      <w:r w:rsidRPr="0096524F">
        <w:t>, 159 F.3d 1351 (3d Cir.</w:t>
      </w:r>
      <w:r w:rsidRPr="0096524F">
        <w:t xml:space="preserve"> </w:t>
      </w:r>
      <w:r w:rsidRPr="0096524F">
        <w:t>1998) (critical Web site).</w:t>
      </w:r>
    </w:p>
  </w:footnote>
  <w:footnote w:id="390">
    <w:p w14:paraId="7CD66E85" w14:textId="7310EEF5"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w:t>
      </w:r>
      <w:r w:rsidRPr="0096524F">
        <w:rPr>
          <w:i/>
        </w:rPr>
        <w:t>, Mattel</w:t>
      </w:r>
      <w:r w:rsidRPr="0096524F">
        <w:t>, 55 USPQ2d at 1627 (pornographic Internet site);</w:t>
      </w:r>
      <w:r w:rsidRPr="0096524F">
        <w:t xml:space="preserve"> </w:t>
      </w:r>
      <w:r w:rsidRPr="0096524F">
        <w:rPr>
          <w:i/>
        </w:rPr>
        <w:t>Coca-Cola Co</w:t>
      </w:r>
      <w:r w:rsidRPr="0096524F">
        <w:t>., 719 F.</w:t>
      </w:r>
      <w:r w:rsidRPr="0096524F">
        <w:t xml:space="preserve"> </w:t>
      </w:r>
      <w:r w:rsidRPr="0096524F">
        <w:t>Supp.</w:t>
      </w:r>
      <w:r w:rsidRPr="0096524F">
        <w:t xml:space="preserve"> </w:t>
      </w:r>
      <w:r w:rsidRPr="0096524F">
        <w:t>at 728 (candy powder resembling cocaine in bottles resembling Coke bottles).</w:t>
      </w:r>
    </w:p>
  </w:footnote>
  <w:footnote w:id="391">
    <w:p w14:paraId="05D40013" w14:textId="4832740B" w:rsidR="0096524F" w:rsidRPr="0096524F" w:rsidRDefault="0096524F" w:rsidP="0096524F">
      <w:pPr>
        <w:pStyle w:val="FootnoteText"/>
      </w:pPr>
      <w:r w:rsidRPr="0096524F">
        <w:rPr>
          <w:vertAlign w:val="superscript"/>
        </w:rPr>
        <w:footnoteRef/>
      </w:r>
      <w:r w:rsidRPr="0096524F">
        <w:t>The legitimacy of famous mark owners’ concerns about the potential for tarnishment may be overblown.</w:t>
      </w:r>
      <w:r w:rsidRPr="0096524F">
        <w:t xml:space="preserve"> </w:t>
      </w:r>
      <w:r w:rsidRPr="0096524F">
        <w:t>Some recent empirical evidence casts doubt on whether tarnishment of famous marks is actually a likely outcome.</w:t>
      </w:r>
      <w:r w:rsidRPr="0096524F">
        <w:t xml:space="preserve"> </w:t>
      </w:r>
      <w:r w:rsidRPr="0096524F">
        <w:t xml:space="preserve">Christo Boshoff, </w:t>
      </w:r>
      <w:r w:rsidRPr="0096524F">
        <w:rPr>
          <w:i/>
        </w:rPr>
        <w:t>The Lady Doth Protest Too Much:</w:t>
      </w:r>
      <w:r w:rsidRPr="0096524F">
        <w:rPr>
          <w:i/>
        </w:rPr>
        <w:t xml:space="preserve"> </w:t>
      </w:r>
      <w:r w:rsidRPr="0096524F">
        <w:rPr>
          <w:i/>
        </w:rPr>
        <w:t>A Neurophysiological Perspective on Brand Tarnishment</w:t>
      </w:r>
      <w:r w:rsidRPr="0096524F">
        <w:t xml:space="preserve">, 25 </w:t>
      </w:r>
      <w:r w:rsidRPr="0096524F">
        <w:rPr>
          <w:smallCaps/>
        </w:rPr>
        <w:t>J.</w:t>
      </w:r>
      <w:r w:rsidRPr="0096524F">
        <w:rPr>
          <w:smallCaps/>
        </w:rPr>
        <w:t xml:space="preserve"> </w:t>
      </w:r>
      <w:r w:rsidRPr="0096524F">
        <w:rPr>
          <w:smallCaps/>
        </w:rPr>
        <w:t>Prod.</w:t>
      </w:r>
      <w:r w:rsidRPr="0096524F">
        <w:rPr>
          <w:smallCaps/>
        </w:rPr>
        <w:t xml:space="preserve"> </w:t>
      </w:r>
      <w:r w:rsidRPr="0096524F">
        <w:rPr>
          <w:smallCaps/>
        </w:rPr>
        <w:t>&amp; Brand Mgmt</w:t>
      </w:r>
      <w:r w:rsidRPr="0096524F">
        <w:t>.</w:t>
      </w:r>
      <w:r w:rsidRPr="0096524F">
        <w:t xml:space="preserve"> </w:t>
      </w:r>
      <w:r w:rsidRPr="0096524F">
        <w:t>(2016).</w:t>
      </w:r>
    </w:p>
    <w:p w14:paraId="31137CB8" w14:textId="77777777" w:rsidR="0096524F" w:rsidRDefault="0096524F" w:rsidP="00D758BD">
      <w:pPr>
        <w:pStyle w:val="footnote"/>
      </w:pPr>
    </w:p>
  </w:footnote>
  <w:footnote w:id="392">
    <w:p w14:paraId="173EAD84" w14:textId="36914B6F" w:rsidR="0096524F" w:rsidRPr="00EB11B3" w:rsidRDefault="0096524F" w:rsidP="0096524F">
      <w:pPr>
        <w:pStyle w:val="FootnoteText"/>
      </w:pPr>
      <w:r w:rsidRPr="0096524F">
        <w:rPr>
          <w:vertAlign w:val="superscript"/>
        </w:rPr>
        <w:footnoteRef/>
      </w:r>
      <w:r w:rsidRPr="0096524F">
        <w:t>Moseley v.</w:t>
      </w:r>
      <w:r w:rsidRPr="0096524F">
        <w:t xml:space="preserve"> </w:t>
      </w:r>
      <w:r w:rsidRPr="0096524F">
        <w:t>V Secret Catalogue, Inc., 537 U.S.</w:t>
      </w:r>
      <w:r w:rsidRPr="0096524F">
        <w:t xml:space="preserve"> </w:t>
      </w:r>
      <w:r w:rsidRPr="0096524F">
        <w:t>418, 432, 65 USPQ2d 1801 (2003) (noting that the original FTDA definition of dilution did not clearly encompass tarnishment).</w:t>
      </w:r>
    </w:p>
  </w:footnote>
  <w:footnote w:id="393">
    <w:p w14:paraId="7C87FB3E" w14:textId="529AB06C" w:rsidR="0096524F" w:rsidRPr="00EB11B3" w:rsidRDefault="0096524F" w:rsidP="0096524F">
      <w:pPr>
        <w:pStyle w:val="FootnoteText"/>
      </w:pPr>
      <w:r w:rsidRPr="0096524F">
        <w:rPr>
          <w:vertAlign w:val="superscript"/>
        </w:rPr>
        <w:footnoteRef/>
      </w:r>
      <w:r w:rsidRPr="0096524F">
        <w:t>Lanham Act §43(c)(2)(C), 15 U.S.C.</w:t>
      </w:r>
      <w:r w:rsidRPr="0096524F">
        <w:t xml:space="preserve"> </w:t>
      </w:r>
      <w:r w:rsidRPr="0096524F">
        <w:t>§1125(c)(2)(C).</w:t>
      </w:r>
      <w:r w:rsidRPr="0096524F">
        <w:t xml:space="preserve"> </w:t>
      </w:r>
      <w:r w:rsidRPr="0096524F">
        <w:t>Whether tarnishment really is a form of dilution could be questioned.</w:t>
      </w:r>
      <w:r w:rsidRPr="0096524F">
        <w:t xml:space="preserve"> </w:t>
      </w:r>
      <w:r w:rsidRPr="0096524F">
        <w:t>The original 1987 USTA proposal to enact a federal dilution statute considered tarnishment to be a different type of claim.</w:t>
      </w:r>
      <w:r w:rsidRPr="0096524F">
        <w:t xml:space="preserve"> </w:t>
      </w:r>
      <w:r w:rsidRPr="0096524F">
        <w:t xml:space="preserve">The </w:t>
      </w:r>
      <w:r w:rsidRPr="0096524F">
        <w:rPr>
          <w:i/>
        </w:rPr>
        <w:t>Restatement</w:t>
      </w:r>
      <w:r w:rsidRPr="0096524F">
        <w:t xml:space="preserve"> is somewhat similar to the TDRA, in that it focuses on harm to the reputational values of the mark.</w:t>
      </w:r>
      <w:r w:rsidRPr="0096524F">
        <w:t xml:space="preserve"> </w:t>
      </w:r>
      <w:r w:rsidRPr="0096524F">
        <w:rPr>
          <w:smallCaps/>
        </w:rPr>
        <w:t>Restatement (Third) of Unfair Competition</w:t>
      </w:r>
      <w:r w:rsidRPr="0096524F">
        <w:t xml:space="preserve"> §25(1)(b).</w:t>
      </w:r>
    </w:p>
  </w:footnote>
  <w:footnote w:id="394">
    <w:p w14:paraId="75885C19" w14:textId="1BD14DD9" w:rsidR="0096524F" w:rsidRPr="00EB11B3" w:rsidRDefault="0096524F" w:rsidP="0096524F">
      <w:pPr>
        <w:pStyle w:val="FootnoteText"/>
      </w:pPr>
      <w:r w:rsidRPr="0096524F">
        <w:rPr>
          <w:vertAlign w:val="superscript"/>
        </w:rPr>
        <w:footnoteRef/>
      </w:r>
      <w:r w:rsidRPr="0096524F">
        <w:t>Lanham Act §43(c)(3)(A)–(C), 15 U.S.C.</w:t>
      </w:r>
      <w:r w:rsidRPr="0096524F">
        <w:t xml:space="preserve"> </w:t>
      </w:r>
      <w:r w:rsidRPr="0096524F">
        <w:t>§1125(c)(3)(A)–(C).</w:t>
      </w:r>
      <w:r w:rsidRPr="0096524F">
        <w:t xml:space="preserve"> </w:t>
      </w:r>
      <w:r w:rsidRPr="0096524F">
        <w:t>See Chapter 10 for a discussion of the exclusions.</w:t>
      </w:r>
    </w:p>
  </w:footnote>
  <w:footnote w:id="395">
    <w:p w14:paraId="4BCE348E" w14:textId="47013013" w:rsidR="0096524F" w:rsidRPr="00EB11B3" w:rsidRDefault="0096524F" w:rsidP="0096524F">
      <w:pPr>
        <w:pStyle w:val="FootnoteText"/>
      </w:pPr>
      <w:r w:rsidRPr="0096524F">
        <w:rPr>
          <w:vertAlign w:val="superscript"/>
        </w:rPr>
        <w:footnoteRef/>
      </w:r>
      <w:r w:rsidRPr="0096524F">
        <w:rPr>
          <w:i/>
        </w:rPr>
        <w:t>See</w:t>
      </w:r>
      <w:r w:rsidRPr="0096524F">
        <w:t xml:space="preserve"> Chapter 3, §IV.B.</w:t>
      </w:r>
    </w:p>
  </w:footnote>
  <w:footnote w:id="396">
    <w:p w14:paraId="09C5F543" w14:textId="139E23DE" w:rsidR="0096524F" w:rsidRPr="004C156C" w:rsidRDefault="0096524F" w:rsidP="0096524F">
      <w:pPr>
        <w:pStyle w:val="FootnoteText"/>
      </w:pPr>
      <w:r w:rsidRPr="0096524F">
        <w:rPr>
          <w:rStyle w:val="FootnoteReference"/>
          <w:rFonts w:eastAsiaTheme="majorEastAsia"/>
        </w:rPr>
        <w:footnoteRef/>
      </w:r>
      <w:r w:rsidRPr="0096524F">
        <w:t>In this regard, the decision in PNC Fin.</w:t>
      </w:r>
      <w:r w:rsidRPr="0096524F">
        <w:t xml:space="preserve"> </w:t>
      </w:r>
      <w:r w:rsidRPr="0096524F">
        <w:t>Services Group, Inc.</w:t>
      </w:r>
      <w:r w:rsidRPr="0096524F">
        <w:t xml:space="preserve"> </w:t>
      </w:r>
      <w:r w:rsidRPr="0096524F">
        <w:t>v.</w:t>
      </w:r>
      <w:r w:rsidRPr="0096524F">
        <w:t xml:space="preserve"> </w:t>
      </w:r>
      <w:r w:rsidRPr="0096524F">
        <w:t>Plaid, Inc., 2024 WL 3691607, 2024 BL 272248 (W.D.</w:t>
      </w:r>
      <w:r w:rsidRPr="0096524F">
        <w:t xml:space="preserve"> </w:t>
      </w:r>
      <w:r w:rsidRPr="0096524F">
        <w:t>Pa.</w:t>
      </w:r>
      <w:r w:rsidRPr="0096524F">
        <w:t xml:space="preserve"> </w:t>
      </w:r>
      <w:r w:rsidRPr="0096524F">
        <w:t>Aug.</w:t>
      </w:r>
      <w:r w:rsidRPr="0096524F">
        <w:t xml:space="preserve"> </w:t>
      </w:r>
      <w:r w:rsidRPr="0096524F">
        <w:t>7, 2024) is interesting.</w:t>
      </w:r>
      <w:r w:rsidRPr="0096524F">
        <w:t xml:space="preserve"> </w:t>
      </w:r>
      <w:r w:rsidRPr="0096524F">
        <w:t>There, the court excluded an expert’s opinion about possible tarnishment of plaintiff’s brand, stating that it could confuse the jury regarding the issue of confusion (there was no dilution claim asserted).</w:t>
      </w:r>
      <w:r w:rsidRPr="0096524F">
        <w:t xml:space="preserve"> </w:t>
      </w:r>
      <w:r w:rsidRPr="0096524F">
        <w:rPr>
          <w:i/>
        </w:rPr>
        <w:t>Id</w:t>
      </w:r>
      <w:r w:rsidRPr="0096524F">
        <w:t>.</w:t>
      </w:r>
      <w:r w:rsidRPr="0096524F">
        <w:t xml:space="preserve"> </w:t>
      </w:r>
      <w:r w:rsidRPr="0096524F">
        <w:t>at *6.</w:t>
      </w:r>
    </w:p>
  </w:footnote>
  <w:footnote w:id="397">
    <w:p w14:paraId="5D394D7C" w14:textId="7F7B0C59" w:rsidR="0096524F" w:rsidRPr="00EB11B3" w:rsidRDefault="0096524F" w:rsidP="0096524F">
      <w:pPr>
        <w:pStyle w:val="FootnoteText"/>
      </w:pPr>
      <w:r w:rsidRPr="0096524F">
        <w:rPr>
          <w:vertAlign w:val="superscript"/>
        </w:rPr>
        <w:footnoteRef/>
      </w:r>
      <w:r w:rsidRPr="0096524F">
        <w:rPr>
          <w:i/>
        </w:rPr>
        <w:t>See</w:t>
      </w:r>
      <w:r w:rsidRPr="0096524F">
        <w:t xml:space="preserve"> V Secret Catalogue, Inc.</w:t>
      </w:r>
      <w:r w:rsidRPr="0096524F">
        <w:t xml:space="preserve"> </w:t>
      </w:r>
      <w:r w:rsidRPr="0096524F">
        <w:t>v.</w:t>
      </w:r>
      <w:r w:rsidRPr="0096524F">
        <w:t xml:space="preserve"> </w:t>
      </w:r>
      <w:r w:rsidRPr="0096524F">
        <w:t>Moseley, 605 F.3d 382, 95 USPQ2d 1050 (6th Cir.</w:t>
      </w:r>
      <w:r w:rsidRPr="0096524F">
        <w:t xml:space="preserve"> </w:t>
      </w:r>
      <w:r w:rsidRPr="0096524F">
        <w:t xml:space="preserve">2010) (imposing a presumption of tarnishment when famous mark is used by another in association with a sexual connotation), </w:t>
      </w:r>
      <w:r w:rsidRPr="0096524F">
        <w:rPr>
          <w:i/>
        </w:rPr>
        <w:t>cert</w:t>
      </w:r>
      <w:r w:rsidRPr="0096524F">
        <w:t>.</w:t>
      </w:r>
      <w:r w:rsidRPr="0096524F">
        <w:t xml:space="preserve"> </w:t>
      </w:r>
      <w:r w:rsidRPr="0096524F">
        <w:rPr>
          <w:i/>
        </w:rPr>
        <w:t>denied</w:t>
      </w:r>
      <w:r w:rsidRPr="0096524F">
        <w:t>, 131 S.</w:t>
      </w:r>
      <w:r w:rsidRPr="0096524F">
        <w:t xml:space="preserve"> </w:t>
      </w:r>
      <w:r w:rsidRPr="0096524F">
        <w:t>Ct.</w:t>
      </w:r>
      <w:r w:rsidRPr="0096524F">
        <w:t xml:space="preserve"> </w:t>
      </w:r>
      <w:r w:rsidRPr="0096524F">
        <w:t>1003 (2011).</w:t>
      </w:r>
      <w:r w:rsidRPr="0096524F">
        <w:t xml:space="preserve"> </w:t>
      </w:r>
      <w:r w:rsidRPr="0096524F">
        <w:t>This decision is discussed in detail below, §II.E.2.a.ii.</w:t>
      </w:r>
    </w:p>
  </w:footnote>
  <w:footnote w:id="398">
    <w:p w14:paraId="7138BAA5" w14:textId="3D71CEDC" w:rsidR="0096524F" w:rsidRPr="00FC2AE2"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Victoria’s Cyber Secret Ltd.</w:t>
      </w:r>
      <w:r w:rsidRPr="0096524F">
        <w:t xml:space="preserve"> </w:t>
      </w:r>
      <w:r w:rsidRPr="0096524F">
        <w:t>P’ship v.</w:t>
      </w:r>
      <w:r w:rsidRPr="0096524F">
        <w:t xml:space="preserve"> </w:t>
      </w:r>
      <w:r w:rsidRPr="0096524F">
        <w:t>V Secret Catalogue, Inc., 161 F.</w:t>
      </w:r>
      <w:r w:rsidRPr="0096524F">
        <w:t xml:space="preserve"> </w:t>
      </w:r>
      <w:r w:rsidRPr="0096524F">
        <w:t>Supp.</w:t>
      </w:r>
      <w:r w:rsidRPr="0096524F">
        <w:t xml:space="preserve"> </w:t>
      </w:r>
      <w:r w:rsidRPr="0096524F">
        <w:t>2d 1339, 1355 (S.D.</w:t>
      </w:r>
      <w:r w:rsidRPr="0096524F">
        <w:t xml:space="preserve"> </w:t>
      </w:r>
      <w:r w:rsidRPr="0096524F">
        <w:t>Fla.</w:t>
      </w:r>
      <w:r w:rsidRPr="0096524F">
        <w:t xml:space="preserve"> </w:t>
      </w:r>
      <w:r w:rsidRPr="0096524F">
        <w:t>2001) (use of various domains containing names similar to Victoria’s Secret for Web sites with pornography);</w:t>
      </w:r>
      <w:r w:rsidRPr="0096524F">
        <w:t xml:space="preserve"> </w:t>
      </w:r>
      <w:r w:rsidRPr="0096524F">
        <w:t>Online Partners.com, Inc.</w:t>
      </w:r>
      <w:r w:rsidRPr="0096524F">
        <w:t xml:space="preserve"> </w:t>
      </w:r>
      <w:r w:rsidRPr="0096524F">
        <w:t>v.</w:t>
      </w:r>
      <w:r w:rsidRPr="0096524F">
        <w:t xml:space="preserve"> </w:t>
      </w:r>
      <w:r w:rsidRPr="0096524F">
        <w:t>Atlanticnet Media Corp., 2000 WL 101242, 2000 BL 1434 (N.D.</w:t>
      </w:r>
      <w:r w:rsidRPr="0096524F">
        <w:t xml:space="preserve"> </w:t>
      </w:r>
      <w:r w:rsidRPr="0096524F">
        <w:t>Cal.</w:t>
      </w:r>
      <w:r w:rsidRPr="0096524F">
        <w:t xml:space="preserve"> </w:t>
      </w:r>
      <w:r w:rsidRPr="0096524F">
        <w:t>Jan.</w:t>
      </w:r>
      <w:r w:rsidRPr="0096524F">
        <w:t xml:space="preserve"> </w:t>
      </w:r>
      <w:r w:rsidRPr="0096524F">
        <w:t>20, 2000), (plaintiff’s Gay.net site tarnished by defendant’s Gaynet.com, which contained pornographic images);</w:t>
      </w:r>
      <w:r w:rsidRPr="0096524F">
        <w:t xml:space="preserve"> </w:t>
      </w:r>
      <w:r w:rsidRPr="0096524F">
        <w:t>Classified Ventures, LLC v.</w:t>
      </w:r>
      <w:r w:rsidRPr="0096524F">
        <w:t xml:space="preserve"> </w:t>
      </w:r>
      <w:r w:rsidRPr="0096524F">
        <w:t>Softcell Mktg., Inc., 109 F.</w:t>
      </w:r>
      <w:r w:rsidRPr="0096524F">
        <w:t xml:space="preserve"> </w:t>
      </w:r>
      <w:r w:rsidRPr="0096524F">
        <w:t>Supp.</w:t>
      </w:r>
      <w:r w:rsidRPr="0096524F">
        <w:t xml:space="preserve"> </w:t>
      </w:r>
      <w:r w:rsidRPr="0096524F">
        <w:t>2d 898, 901 (N.D.</w:t>
      </w:r>
      <w:r w:rsidRPr="0096524F">
        <w:t xml:space="preserve"> </w:t>
      </w:r>
      <w:r w:rsidRPr="0096524F">
        <w:t>Ill.</w:t>
      </w:r>
      <w:r w:rsidRPr="0096524F">
        <w:t xml:space="preserve"> </w:t>
      </w:r>
      <w:r w:rsidRPr="0096524F">
        <w:t>2000) (spam e-mails, often touting pornography services, used plaintiff’s cars.com trademark as a domain name for the origination of the e-mail);</w:t>
      </w:r>
      <w:r w:rsidRPr="0096524F">
        <w:t xml:space="preserve"> </w:t>
      </w:r>
      <w:r w:rsidRPr="0096524F">
        <w:rPr>
          <w:i/>
        </w:rPr>
        <w:t>see</w:t>
      </w:r>
      <w:r w:rsidRPr="0096524F">
        <w:t xml:space="preserve"> Hasbro, Inc.</w:t>
      </w:r>
      <w:r w:rsidRPr="0096524F">
        <w:t xml:space="preserve"> </w:t>
      </w:r>
      <w:r w:rsidRPr="0096524F">
        <w:t>v.</w:t>
      </w:r>
      <w:r w:rsidRPr="0096524F">
        <w:t xml:space="preserve"> </w:t>
      </w:r>
      <w:r w:rsidRPr="0096524F">
        <w:t>Internet Entm’t Group, Ltd., 40 USPQ2d 1479, 1480 (W.D.</w:t>
      </w:r>
      <w:r w:rsidRPr="0096524F">
        <w:t xml:space="preserve"> </w:t>
      </w:r>
      <w:r w:rsidRPr="0096524F">
        <w:t>Wash.</w:t>
      </w:r>
      <w:r w:rsidRPr="0096524F">
        <w:t xml:space="preserve"> </w:t>
      </w:r>
      <w:r w:rsidRPr="0096524F">
        <w:t>1996) (finding dilution where defendant used candyland.com for pornography services on the Internet, but without using the term “tarnishment”).</w:t>
      </w:r>
    </w:p>
  </w:footnote>
  <w:footnote w:id="399">
    <w:p w14:paraId="27C39A35" w14:textId="3BE7054A"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Kraft Foods Holdings, Inc.</w:t>
      </w:r>
      <w:r w:rsidRPr="0096524F">
        <w:t xml:space="preserve"> </w:t>
      </w:r>
      <w:r w:rsidRPr="0096524F">
        <w:t>v.</w:t>
      </w:r>
      <w:r w:rsidRPr="0096524F">
        <w:t xml:space="preserve"> </w:t>
      </w:r>
      <w:r w:rsidRPr="0096524F">
        <w:t>Helm, 205 F.</w:t>
      </w:r>
      <w:r w:rsidRPr="0096524F">
        <w:t xml:space="preserve"> </w:t>
      </w:r>
      <w:r w:rsidRPr="0096524F">
        <w:t>Supp.</w:t>
      </w:r>
      <w:r w:rsidRPr="0096524F">
        <w:t xml:space="preserve"> </w:t>
      </w:r>
      <w:r w:rsidRPr="0096524F">
        <w:t>2d 942, 63 USPQ2d 1353 (N.D.</w:t>
      </w:r>
      <w:r w:rsidRPr="0096524F">
        <w:t xml:space="preserve"> </w:t>
      </w:r>
      <w:r w:rsidRPr="0096524F">
        <w:t>Ill.</w:t>
      </w:r>
      <w:r w:rsidRPr="0096524F">
        <w:t xml:space="preserve"> </w:t>
      </w:r>
      <w:r w:rsidRPr="0096524F">
        <w:t>2002) (defendant called himself “King VelVeeda” and used that nickname on a Web site offering sexually oriented material).</w:t>
      </w:r>
    </w:p>
  </w:footnote>
  <w:footnote w:id="400">
    <w:p w14:paraId="59AD90C0" w14:textId="23379244" w:rsidR="0096524F" w:rsidRPr="00EB11B3" w:rsidRDefault="0096524F" w:rsidP="0096524F">
      <w:pPr>
        <w:pStyle w:val="FootnoteText"/>
      </w:pPr>
      <w:r w:rsidRPr="0096524F">
        <w:rPr>
          <w:vertAlign w:val="superscript"/>
        </w:rPr>
        <w:footnoteRef/>
      </w:r>
      <w:r w:rsidRPr="0096524F">
        <w:t>Lanham Act §43(c)(2)(C), 15 U.S.C.</w:t>
      </w:r>
      <w:r w:rsidRPr="0096524F">
        <w:t xml:space="preserve"> </w:t>
      </w:r>
      <w:r w:rsidRPr="0096524F">
        <w:t>§1125(c)(2)(C).</w:t>
      </w:r>
    </w:p>
  </w:footnote>
  <w:footnote w:id="401">
    <w:p w14:paraId="7AF87419" w14:textId="28C2C552" w:rsidR="0096524F" w:rsidRPr="00EB11B3" w:rsidRDefault="0096524F" w:rsidP="0096524F">
      <w:pPr>
        <w:pStyle w:val="FootnoteText"/>
      </w:pPr>
      <w:r w:rsidRPr="0096524F">
        <w:rPr>
          <w:vertAlign w:val="superscript"/>
        </w:rPr>
        <w:footnoteRef/>
      </w:r>
      <w:r w:rsidRPr="0096524F">
        <w:rPr>
          <w:i/>
        </w:rPr>
        <w:t>See id</w:t>
      </w:r>
      <w:r w:rsidRPr="0096524F">
        <w:t>.</w:t>
      </w:r>
      <w:r w:rsidRPr="0096524F">
        <w:t xml:space="preserve"> </w:t>
      </w:r>
      <w:r w:rsidRPr="0096524F">
        <w:t>§43(c)(1), 15 U.S.C.</w:t>
      </w:r>
      <w:r w:rsidRPr="0096524F">
        <w:t xml:space="preserve"> </w:t>
      </w:r>
      <w:r w:rsidRPr="0096524F">
        <w:t>§1125(c)(1).</w:t>
      </w:r>
    </w:p>
  </w:footnote>
  <w:footnote w:id="402">
    <w:p w14:paraId="6AF66C24" w14:textId="3842B0A4" w:rsidR="0096524F" w:rsidRPr="00EB11B3" w:rsidRDefault="0096524F" w:rsidP="0096524F">
      <w:pPr>
        <w:pStyle w:val="FootnoteText"/>
      </w:pPr>
      <w:r w:rsidRPr="0096524F">
        <w:rPr>
          <w:vertAlign w:val="superscript"/>
        </w:rPr>
        <w:footnoteRef/>
      </w:r>
      <w:r w:rsidRPr="0096524F">
        <w:t>The store was initially named Victor’s Secret, but was changed when Victoria’s Secret objected.</w:t>
      </w:r>
    </w:p>
  </w:footnote>
  <w:footnote w:id="403">
    <w:p w14:paraId="09EB3A00" w14:textId="07F495F5" w:rsidR="0096524F" w:rsidRPr="00EB11B3" w:rsidRDefault="0096524F" w:rsidP="0096524F">
      <w:pPr>
        <w:pStyle w:val="FootnoteText"/>
      </w:pPr>
      <w:r w:rsidRPr="0096524F">
        <w:rPr>
          <w:vertAlign w:val="superscript"/>
        </w:rPr>
        <w:footnoteRef/>
      </w:r>
      <w:r w:rsidRPr="0096524F">
        <w:t>Moseley v.</w:t>
      </w:r>
      <w:r w:rsidRPr="0096524F">
        <w:t xml:space="preserve"> </w:t>
      </w:r>
      <w:r w:rsidRPr="0096524F">
        <w:t>V Secret Catalogue, Inc., 537 U.S.</w:t>
      </w:r>
      <w:r w:rsidRPr="0096524F">
        <w:t xml:space="preserve"> </w:t>
      </w:r>
      <w:r w:rsidRPr="0096524F">
        <w:t>418, 65 USPQ2d 1801 (2003).</w:t>
      </w:r>
    </w:p>
  </w:footnote>
  <w:footnote w:id="404">
    <w:p w14:paraId="19DDA752" w14:textId="72FF16E0" w:rsidR="0096524F" w:rsidRPr="00EB11B3" w:rsidRDefault="0096524F" w:rsidP="0096524F">
      <w:pPr>
        <w:pStyle w:val="FootnoteText"/>
      </w:pPr>
      <w:r w:rsidRPr="0096524F">
        <w:rPr>
          <w:vertAlign w:val="superscript"/>
        </w:rPr>
        <w:footnoteRef/>
      </w:r>
      <w:r w:rsidRPr="0096524F">
        <w:t>605 F.3d 382, 95 USPQ2d 1050 (6th Cir.</w:t>
      </w:r>
      <w:r w:rsidRPr="0096524F">
        <w:t xml:space="preserve"> </w:t>
      </w:r>
      <w:r w:rsidRPr="0096524F">
        <w:t xml:space="preserve">2010), </w:t>
      </w:r>
      <w:r w:rsidRPr="0096524F">
        <w:rPr>
          <w:i/>
        </w:rPr>
        <w:t>cert</w:t>
      </w:r>
      <w:r w:rsidRPr="0096524F">
        <w:t>.</w:t>
      </w:r>
      <w:r w:rsidRPr="0096524F">
        <w:t xml:space="preserve"> </w:t>
      </w:r>
      <w:r w:rsidRPr="0096524F">
        <w:rPr>
          <w:i/>
        </w:rPr>
        <w:t xml:space="preserve">denied, </w:t>
      </w:r>
      <w:r w:rsidRPr="0096524F">
        <w:t>131 S.</w:t>
      </w:r>
      <w:r w:rsidRPr="0096524F">
        <w:t xml:space="preserve"> </w:t>
      </w:r>
      <w:r w:rsidRPr="0096524F">
        <w:t>Ct.</w:t>
      </w:r>
      <w:r w:rsidRPr="0096524F">
        <w:t xml:space="preserve"> </w:t>
      </w:r>
      <w:r w:rsidRPr="0096524F">
        <w:t>1003 (2011).</w:t>
      </w:r>
    </w:p>
  </w:footnote>
  <w:footnote w:id="405">
    <w:p w14:paraId="5D9F6DD0" w14:textId="57D7B4C8" w:rsidR="0096524F" w:rsidRPr="00EB11B3" w:rsidRDefault="0096524F" w:rsidP="0096524F">
      <w:pPr>
        <w:pStyle w:val="FootnoteText"/>
      </w:pPr>
      <w:r w:rsidRPr="0096524F">
        <w:rPr>
          <w:vertAlign w:val="superscript"/>
        </w:rPr>
        <w:footnoteRef/>
      </w:r>
      <w:r w:rsidRPr="0096524F">
        <w:t xml:space="preserve">The court also called it a “strong inference,” </w:t>
      </w:r>
      <w:r w:rsidRPr="0096524F">
        <w:rPr>
          <w:i/>
        </w:rPr>
        <w:t>id</w:t>
      </w:r>
      <w:r w:rsidRPr="0096524F">
        <w:t>.</w:t>
      </w:r>
      <w:r w:rsidRPr="0096524F">
        <w:t xml:space="preserve"> </w:t>
      </w:r>
      <w:r w:rsidRPr="0096524F">
        <w:t>at 389, but in view of the burden-shifting effect mandated by the court, it seems more logical to call it a presumption.</w:t>
      </w:r>
      <w:r w:rsidRPr="0096524F">
        <w:t xml:space="preserve"> </w:t>
      </w:r>
      <w:r w:rsidRPr="0096524F">
        <w:t>On the other hand, Judge Gibbons’ concurring opinion may make the court’s approach something less than a burden-shifting presumption.</w:t>
      </w:r>
      <w:r w:rsidRPr="0096524F">
        <w:t xml:space="preserve"> </w:t>
      </w:r>
      <w:r w:rsidRPr="0096524F">
        <w:rPr>
          <w:i/>
        </w:rPr>
        <w:t>See</w:t>
      </w:r>
      <w:r w:rsidRPr="0096524F">
        <w:t xml:space="preserve"> </w:t>
      </w:r>
      <w:r w:rsidRPr="0096524F">
        <w:rPr>
          <w:i/>
        </w:rPr>
        <w:t>id</w:t>
      </w:r>
      <w:r w:rsidRPr="0096524F">
        <w:t>.</w:t>
      </w:r>
      <w:r w:rsidRPr="0096524F">
        <w:t xml:space="preserve"> </w:t>
      </w:r>
      <w:r w:rsidRPr="0096524F">
        <w:t>at 390 (Gibbons, J., concurring).</w:t>
      </w:r>
    </w:p>
  </w:footnote>
  <w:footnote w:id="406">
    <w:p w14:paraId="0EDC8F0C" w14:textId="093F4AE1"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388.</w:t>
      </w:r>
      <w:r w:rsidRPr="0096524F">
        <w:t xml:space="preserve"> </w:t>
      </w:r>
      <w:r w:rsidRPr="0096524F">
        <w:t>This appears to be a burden of production-shifting presumption, rather than a burden of persuasion-shifting presumption.</w:t>
      </w:r>
    </w:p>
  </w:footnote>
  <w:footnote w:id="407">
    <w:p w14:paraId="671CED78" w14:textId="46BEBB3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387–88.</w:t>
      </w:r>
      <w:r w:rsidRPr="0096524F">
        <w:t xml:space="preserve"> </w:t>
      </w:r>
      <w:r w:rsidRPr="0096524F">
        <w:t xml:space="preserve">The quotation is from the court, not the </w:t>
      </w:r>
      <w:r w:rsidRPr="0096524F">
        <w:rPr>
          <w:i/>
        </w:rPr>
        <w:t>Restatement</w:t>
      </w:r>
      <w:r w:rsidRPr="0096524F">
        <w:t>.</w:t>
      </w:r>
      <w:r w:rsidRPr="0096524F">
        <w:t xml:space="preserve"> </w:t>
      </w:r>
      <w:r w:rsidRPr="0096524F">
        <w:t xml:space="preserve">The </w:t>
      </w:r>
      <w:r w:rsidRPr="0096524F">
        <w:rPr>
          <w:i/>
        </w:rPr>
        <w:t>Restatement</w:t>
      </w:r>
      <w:r w:rsidRPr="0096524F">
        <w:t xml:space="preserve"> is discussed in Chapters 1, 2, and 5.</w:t>
      </w:r>
    </w:p>
  </w:footnote>
  <w:footnote w:id="408">
    <w:p w14:paraId="78790066" w14:textId="1E21B9C0"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388.</w:t>
      </w:r>
    </w:p>
  </w:footnote>
  <w:footnote w:id="409">
    <w:p w14:paraId="5A25FFB0" w14:textId="751891E8" w:rsidR="0096524F" w:rsidRPr="00EB11B3" w:rsidRDefault="0096524F" w:rsidP="0096524F">
      <w:pPr>
        <w:pStyle w:val="FootnoteText"/>
      </w:pPr>
      <w:r w:rsidRPr="0096524F">
        <w:rPr>
          <w:vertAlign w:val="superscript"/>
        </w:rPr>
        <w:footnoteRef/>
      </w:r>
      <w:r w:rsidRPr="0096524F">
        <w:rPr>
          <w:i/>
        </w:rPr>
        <w:t>See</w:t>
      </w:r>
      <w:r w:rsidRPr="0096524F">
        <w:t xml:space="preserve"> L.L.</w:t>
      </w:r>
      <w:r w:rsidRPr="0096524F">
        <w:t xml:space="preserve"> </w:t>
      </w:r>
      <w:r w:rsidRPr="0096524F">
        <w:t>Bean, Inc.</w:t>
      </w:r>
      <w:r w:rsidRPr="0096524F">
        <w:t xml:space="preserve"> </w:t>
      </w:r>
      <w:r w:rsidRPr="0096524F">
        <w:t>v.</w:t>
      </w:r>
      <w:r w:rsidRPr="0096524F">
        <w:t xml:space="preserve"> </w:t>
      </w:r>
      <w:r w:rsidRPr="0096524F">
        <w:t>Drake Publishers, Inc., 811 F.2d 26, 1 USPQ2d 1753 (1st Cir.1987);</w:t>
      </w:r>
      <w:r w:rsidRPr="0096524F">
        <w:t xml:space="preserve"> </w:t>
      </w:r>
      <w:r w:rsidRPr="0096524F">
        <w:t>Playboy Enters., Inc.</w:t>
      </w:r>
      <w:r w:rsidRPr="0096524F">
        <w:t xml:space="preserve"> </w:t>
      </w:r>
      <w:r w:rsidRPr="0096524F">
        <w:t>v.</w:t>
      </w:r>
      <w:r w:rsidRPr="0096524F">
        <w:t xml:space="preserve"> </w:t>
      </w:r>
      <w:r w:rsidRPr="0096524F">
        <w:t>Webbworld, Inc., 991 F.</w:t>
      </w:r>
      <w:r w:rsidRPr="0096524F">
        <w:t xml:space="preserve"> </w:t>
      </w:r>
      <w:r w:rsidRPr="0096524F">
        <w:t>Supp.</w:t>
      </w:r>
      <w:r w:rsidRPr="0096524F">
        <w:t xml:space="preserve"> </w:t>
      </w:r>
      <w:r w:rsidRPr="0096524F">
        <w:t>543, 559, 45 USPQ2d 1641 (N.D.</w:t>
      </w:r>
      <w:r w:rsidRPr="0096524F">
        <w:t xml:space="preserve"> </w:t>
      </w:r>
      <w:r w:rsidRPr="0096524F">
        <w:t>Tex.</w:t>
      </w:r>
      <w:r w:rsidRPr="0096524F">
        <w:t xml:space="preserve"> </w:t>
      </w:r>
      <w:r w:rsidRPr="0096524F">
        <w:t xml:space="preserve">1997), </w:t>
      </w:r>
      <w:r w:rsidRPr="0096524F">
        <w:rPr>
          <w:i/>
        </w:rPr>
        <w:t>aff’d,</w:t>
      </w:r>
      <w:r w:rsidRPr="0096524F">
        <w:t xml:space="preserve"> 168 F.3d 486 (5th Cir.</w:t>
      </w:r>
      <w:r w:rsidRPr="0096524F">
        <w:t xml:space="preserve"> </w:t>
      </w:r>
      <w:r w:rsidRPr="0096524F">
        <w:t>1999);</w:t>
      </w:r>
      <w:r w:rsidRPr="0096524F">
        <w:t xml:space="preserve"> </w:t>
      </w:r>
      <w:r w:rsidRPr="0096524F">
        <w:t>Playboy Enters., Inc.</w:t>
      </w:r>
      <w:r w:rsidRPr="0096524F">
        <w:t xml:space="preserve"> </w:t>
      </w:r>
      <w:r w:rsidRPr="0096524F">
        <w:t>v.</w:t>
      </w:r>
      <w:r w:rsidRPr="0096524F">
        <w:t xml:space="preserve"> </w:t>
      </w:r>
      <w:r w:rsidRPr="0096524F">
        <w:t>Netscape Commc’ns Corp., 55 F.</w:t>
      </w:r>
      <w:r w:rsidRPr="0096524F">
        <w:t xml:space="preserve"> </w:t>
      </w:r>
      <w:r w:rsidRPr="0096524F">
        <w:t>Supp.</w:t>
      </w:r>
      <w:r w:rsidRPr="0096524F">
        <w:t xml:space="preserve"> </w:t>
      </w:r>
      <w:r w:rsidRPr="0096524F">
        <w:t>2d 1070, 1089, 52 USPQ2d 1162 (C.D.</w:t>
      </w:r>
      <w:r w:rsidRPr="0096524F">
        <w:t xml:space="preserve"> </w:t>
      </w:r>
      <w:r w:rsidRPr="0096524F">
        <w:t xml:space="preserve">Cal.), </w:t>
      </w:r>
      <w:r w:rsidRPr="0096524F">
        <w:rPr>
          <w:i/>
        </w:rPr>
        <w:t>aff’d mem</w:t>
      </w:r>
      <w:r w:rsidRPr="0096524F">
        <w:t>., 202 F.3d 278 (9th Cir.</w:t>
      </w:r>
      <w:r w:rsidRPr="0096524F">
        <w:t xml:space="preserve"> </w:t>
      </w:r>
      <w:r w:rsidRPr="0096524F">
        <w:t>1999).</w:t>
      </w:r>
    </w:p>
  </w:footnote>
  <w:footnote w:id="410">
    <w:p w14:paraId="25F966B9" w14:textId="136F04B1" w:rsidR="0096524F" w:rsidRPr="00EB11B3" w:rsidRDefault="0096524F" w:rsidP="0096524F">
      <w:pPr>
        <w:pStyle w:val="FootnoteText"/>
      </w:pPr>
      <w:r w:rsidRPr="0096524F">
        <w:rPr>
          <w:vertAlign w:val="superscript"/>
        </w:rPr>
        <w:footnoteRef/>
      </w:r>
      <w:r w:rsidRPr="0096524F">
        <w:t xml:space="preserve">605 F.3d at 387 (quoting </w:t>
      </w:r>
      <w:r w:rsidRPr="0096524F">
        <w:rPr>
          <w:smallCaps/>
        </w:rPr>
        <w:t>House Judiciary Report</w:t>
      </w:r>
      <w:r w:rsidRPr="0096524F">
        <w:t>, 109th Cong.</w:t>
      </w:r>
      <w:r w:rsidRPr="0096524F">
        <w:t xml:space="preserve"> </w:t>
      </w:r>
      <w:r w:rsidRPr="0096524F">
        <w:t>(2d Sess.</w:t>
      </w:r>
      <w:r w:rsidRPr="0096524F">
        <w:t xml:space="preserve"> </w:t>
      </w:r>
      <w:r w:rsidRPr="0096524F">
        <w:t>2006), reprinted in U.S.C.C.A.N.</w:t>
      </w:r>
      <w:r w:rsidRPr="0096524F">
        <w:t xml:space="preserve"> </w:t>
      </w:r>
      <w:r w:rsidRPr="0096524F">
        <w:t>1091, 1092, 1097).</w:t>
      </w:r>
    </w:p>
  </w:footnote>
  <w:footnote w:id="411">
    <w:p w14:paraId="29984C25" w14:textId="4AA25B4E"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390 (Gibbons, J., concurring).</w:t>
      </w:r>
    </w:p>
  </w:footnote>
  <w:footnote w:id="412">
    <w:p w14:paraId="76CC63BB" w14:textId="17CC8067" w:rsidR="0096524F" w:rsidRPr="00EB11B3" w:rsidRDefault="0096524F" w:rsidP="0096524F">
      <w:pPr>
        <w:pStyle w:val="FootnoteText"/>
      </w:pPr>
      <w:r w:rsidRPr="0096524F">
        <w:rPr>
          <w:vertAlign w:val="superscript"/>
        </w:rPr>
        <w:footnoteRef/>
      </w:r>
      <w:r w:rsidRPr="0096524F">
        <w:rPr>
          <w:i/>
        </w:rPr>
        <w:t>See</w:t>
      </w:r>
      <w:r w:rsidRPr="0096524F">
        <w:t xml:space="preserve"> </w:t>
      </w:r>
      <w:r w:rsidRPr="0096524F">
        <w:rPr>
          <w:smallCaps/>
        </w:rPr>
        <w:t>Fed.</w:t>
      </w:r>
      <w:r w:rsidRPr="0096524F">
        <w:rPr>
          <w:smallCaps/>
        </w:rPr>
        <w:t xml:space="preserve"> </w:t>
      </w:r>
      <w:r w:rsidRPr="0096524F">
        <w:rPr>
          <w:smallCaps/>
        </w:rPr>
        <w:t>R.</w:t>
      </w:r>
      <w:r w:rsidRPr="0096524F">
        <w:rPr>
          <w:smallCaps/>
        </w:rPr>
        <w:t xml:space="preserve"> </w:t>
      </w:r>
      <w:r w:rsidRPr="0096524F">
        <w:rPr>
          <w:smallCaps/>
        </w:rPr>
        <w:t>Evid.</w:t>
      </w:r>
      <w:r w:rsidRPr="0096524F">
        <w:rPr>
          <w:smallCaps/>
        </w:rPr>
        <w:t xml:space="preserve"> </w:t>
      </w:r>
      <w:r w:rsidRPr="0096524F">
        <w:t>301;</w:t>
      </w:r>
      <w:r w:rsidRPr="0096524F">
        <w:t xml:space="preserve"> </w:t>
      </w:r>
      <w:r w:rsidRPr="0096524F">
        <w:rPr>
          <w:smallCaps/>
        </w:rPr>
        <w:t>Charles A.</w:t>
      </w:r>
      <w:r w:rsidRPr="0096524F">
        <w:rPr>
          <w:smallCaps/>
        </w:rPr>
        <w:t xml:space="preserve"> </w:t>
      </w:r>
      <w:r w:rsidRPr="0096524F">
        <w:rPr>
          <w:smallCaps/>
        </w:rPr>
        <w:t>Wright &amp; Kenneth W.</w:t>
      </w:r>
      <w:r w:rsidRPr="0096524F">
        <w:rPr>
          <w:smallCaps/>
        </w:rPr>
        <w:t xml:space="preserve"> </w:t>
      </w:r>
      <w:r w:rsidRPr="0096524F">
        <w:rPr>
          <w:smallCaps/>
        </w:rPr>
        <w:t>Graham, Jr.,</w:t>
      </w:r>
      <w:r w:rsidRPr="0096524F">
        <w:t xml:space="preserve"> 21B </w:t>
      </w:r>
      <w:r w:rsidRPr="0096524F">
        <w:rPr>
          <w:smallCaps/>
        </w:rPr>
        <w:t>Fed.</w:t>
      </w:r>
      <w:r w:rsidRPr="0096524F">
        <w:rPr>
          <w:smallCaps/>
        </w:rPr>
        <w:t xml:space="preserve"> </w:t>
      </w:r>
      <w:r w:rsidRPr="0096524F">
        <w:rPr>
          <w:smallCaps/>
        </w:rPr>
        <w:t>Prac.</w:t>
      </w:r>
      <w:r w:rsidRPr="0096524F">
        <w:rPr>
          <w:smallCaps/>
        </w:rPr>
        <w:t xml:space="preserve"> </w:t>
      </w:r>
      <w:r w:rsidRPr="0096524F">
        <w:rPr>
          <w:smallCaps/>
        </w:rPr>
        <w:t>&amp; Proc.</w:t>
      </w:r>
      <w:r w:rsidRPr="0096524F">
        <w:rPr>
          <w:smallCaps/>
        </w:rPr>
        <w:t xml:space="preserve"> </w:t>
      </w:r>
      <w:r w:rsidRPr="0096524F">
        <w:rPr>
          <w:smallCaps/>
        </w:rPr>
        <w:t>Evid</w:t>
      </w:r>
      <w:r w:rsidRPr="0096524F">
        <w:t>.</w:t>
      </w:r>
      <w:r w:rsidRPr="0096524F">
        <w:t xml:space="preserve"> </w:t>
      </w:r>
      <w:r w:rsidRPr="0096524F">
        <w:t>§5126 (2d ed.) (discussing the effect of presumptions under Rule 301).</w:t>
      </w:r>
    </w:p>
  </w:footnote>
  <w:footnote w:id="413">
    <w:p w14:paraId="0FE36E3E" w14:textId="10BAEC22" w:rsidR="0096524F" w:rsidRPr="00EB11B3" w:rsidRDefault="0096524F" w:rsidP="0096524F">
      <w:pPr>
        <w:pStyle w:val="FootnoteText"/>
      </w:pPr>
      <w:r w:rsidRPr="0096524F">
        <w:rPr>
          <w:vertAlign w:val="superscript"/>
        </w:rPr>
        <w:footnoteRef/>
      </w:r>
      <w:r w:rsidRPr="0096524F">
        <w:t>605 F.3d at 391 &amp; n.2 (Moore, J., dissenting).</w:t>
      </w:r>
    </w:p>
  </w:footnote>
  <w:footnote w:id="414">
    <w:p w14:paraId="7C37F31A" w14:textId="7344A377"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392 (citing Starbucks Corp.</w:t>
      </w:r>
      <w:r w:rsidRPr="0096524F">
        <w:t xml:space="preserve"> </w:t>
      </w:r>
      <w:r w:rsidRPr="0096524F">
        <w:t>v.</w:t>
      </w:r>
      <w:r w:rsidRPr="0096524F">
        <w:t xml:space="preserve"> </w:t>
      </w:r>
      <w:r w:rsidRPr="0096524F">
        <w:t>Wolfe’s Borough Coffee, Inc., 588 F.3d 97, 110, 92 USPQ2d 1769 (2d Cir.</w:t>
      </w:r>
      <w:r w:rsidRPr="0096524F">
        <w:t xml:space="preserve"> </w:t>
      </w:r>
      <w:r w:rsidRPr="0096524F">
        <w:t>2009)).</w:t>
      </w:r>
    </w:p>
  </w:footnote>
  <w:footnote w:id="415">
    <w:p w14:paraId="1176B030" w14:textId="2B4000E5"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392–94.</w:t>
      </w:r>
      <w:r w:rsidRPr="0096524F">
        <w:t xml:space="preserve"> </w:t>
      </w:r>
      <w:r w:rsidRPr="0096524F">
        <w:t>The affidavit of the Army colonel is reproduced in Appendix D.</w:t>
      </w:r>
    </w:p>
  </w:footnote>
  <w:footnote w:id="416">
    <w:p w14:paraId="355D1D0A" w14:textId="516F23FD"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394 &amp; n.4.</w:t>
      </w:r>
    </w:p>
  </w:footnote>
  <w:footnote w:id="417">
    <w:p w14:paraId="4C32D309" w14:textId="0C4E8B79" w:rsidR="0096524F" w:rsidRDefault="0096524F" w:rsidP="0096524F">
      <w:pPr>
        <w:pStyle w:val="FootnoteText"/>
      </w:pPr>
      <w:r w:rsidRPr="0096524F">
        <w:rPr>
          <w:rStyle w:val="FootnoteReference"/>
          <w:rFonts w:eastAsiaTheme="majorEastAsia"/>
        </w:rPr>
        <w:footnoteRef/>
      </w:r>
      <w:r w:rsidRPr="0096524F">
        <w:t>Gathering Spot, LLC v.</w:t>
      </w:r>
      <w:r w:rsidRPr="0096524F">
        <w:t xml:space="preserve"> </w:t>
      </w:r>
      <w:r w:rsidRPr="0096524F">
        <w:t>Gathering Spot at Burlington Village LLC, 2023 WL 11897502, at *5, 2023 BL 504197 (E.D.</w:t>
      </w:r>
      <w:r w:rsidRPr="0096524F">
        <w:t xml:space="preserve"> </w:t>
      </w:r>
      <w:r w:rsidRPr="0096524F">
        <w:t>Tenn.</w:t>
      </w:r>
      <w:r w:rsidRPr="0096524F">
        <w:t xml:space="preserve"> </w:t>
      </w:r>
      <w:r w:rsidRPr="0096524F">
        <w:t>Aug.</w:t>
      </w:r>
      <w:r w:rsidRPr="0096524F">
        <w:t xml:space="preserve"> </w:t>
      </w:r>
      <w:r w:rsidRPr="0096524F">
        <w:t>29, 2023) (finding defendant’s use of the social media handle GSpot for its services satisfied the presumption).</w:t>
      </w:r>
    </w:p>
  </w:footnote>
  <w:footnote w:id="418">
    <w:p w14:paraId="7B942BA3" w14:textId="2FC46FB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389.</w:t>
      </w:r>
    </w:p>
  </w:footnote>
  <w:footnote w:id="419">
    <w:p w14:paraId="16D4C5D1" w14:textId="1B66B27B" w:rsidR="0096524F" w:rsidRPr="00EB11B3" w:rsidRDefault="0096524F" w:rsidP="0096524F">
      <w:pPr>
        <w:pStyle w:val="FootnoteText"/>
      </w:pPr>
      <w:r w:rsidRPr="0096524F">
        <w:rPr>
          <w:vertAlign w:val="superscript"/>
        </w:rPr>
        <w:footnoteRef/>
      </w:r>
      <w:r w:rsidRPr="0096524F">
        <w:rPr>
          <w:i/>
        </w:rPr>
        <w:t>See</w:t>
      </w:r>
      <w:r w:rsidRPr="0096524F">
        <w:t xml:space="preserve"> 4 </w:t>
      </w:r>
      <w:r w:rsidRPr="0096524F">
        <w:rPr>
          <w:smallCaps/>
        </w:rPr>
        <w:t>J.</w:t>
      </w:r>
      <w:r w:rsidRPr="0096524F">
        <w:rPr>
          <w:smallCaps/>
        </w:rPr>
        <w:t xml:space="preserve"> </w:t>
      </w:r>
      <w:r w:rsidRPr="0096524F">
        <w:rPr>
          <w:smallCaps/>
        </w:rPr>
        <w:t>Thomas McCarthy, McCarthy on Trademarks and Unfair Competition</w:t>
      </w:r>
      <w:r w:rsidRPr="0096524F">
        <w:t xml:space="preserve"> §23:2 (4th ed.</w:t>
      </w:r>
      <w:r w:rsidRPr="0096524F">
        <w:t xml:space="preserve"> </w:t>
      </w:r>
      <w:r w:rsidRPr="0096524F">
        <w:t>2011) (citing cases indicating that 15% or even 8.5% may be considered significant levels of confusion).</w:t>
      </w:r>
    </w:p>
  </w:footnote>
  <w:footnote w:id="420">
    <w:p w14:paraId="257D33BD" w14:textId="4DD9E1F7" w:rsidR="0096524F" w:rsidRPr="0096524F" w:rsidRDefault="0096524F" w:rsidP="0096524F">
      <w:pPr>
        <w:pStyle w:val="FootnoteText"/>
      </w:pPr>
      <w:r w:rsidRPr="0096524F">
        <w:rPr>
          <w:vertAlign w:val="superscript"/>
        </w:rPr>
        <w:footnoteRef/>
      </w:r>
      <w:r w:rsidRPr="0096524F">
        <w:t>Christopher Buccafusco et al., Testing Tarnishment in Trademark and Copyright Law:</w:t>
      </w:r>
      <w:r w:rsidRPr="0096524F">
        <w:t xml:space="preserve"> </w:t>
      </w:r>
      <w:r w:rsidRPr="0096524F">
        <w:t xml:space="preserve">The Effect of Pornographic Versions of Protected Marks and Works, 94 </w:t>
      </w:r>
      <w:r w:rsidRPr="0096524F">
        <w:rPr>
          <w:smallCaps/>
        </w:rPr>
        <w:t>Wash.</w:t>
      </w:r>
      <w:r w:rsidRPr="0096524F">
        <w:rPr>
          <w:smallCaps/>
        </w:rPr>
        <w:t xml:space="preserve"> </w:t>
      </w:r>
      <w:r w:rsidRPr="0096524F">
        <w:rPr>
          <w:smallCaps/>
        </w:rPr>
        <w:t>U.</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341 (2016).</w:t>
      </w:r>
    </w:p>
    <w:p w14:paraId="4F36B0CD" w14:textId="77777777" w:rsidR="0096524F" w:rsidRDefault="0096524F" w:rsidP="00D758BD">
      <w:pPr>
        <w:pStyle w:val="footnote"/>
      </w:pPr>
    </w:p>
  </w:footnote>
  <w:footnote w:id="421">
    <w:p w14:paraId="65D93C9A" w14:textId="0EFBC991" w:rsidR="0096524F" w:rsidRPr="0096524F" w:rsidRDefault="0096524F" w:rsidP="0096524F">
      <w:pPr>
        <w:pStyle w:val="FootnoteText"/>
      </w:pPr>
      <w:r w:rsidRPr="0096524F">
        <w:rPr>
          <w:vertAlign w:val="superscript"/>
        </w:rPr>
        <w:footnoteRef/>
      </w:r>
      <w:r w:rsidRPr="0096524F">
        <w:t>582 U.S.</w:t>
      </w:r>
      <w:r w:rsidRPr="0096524F">
        <w:t xml:space="preserve"> </w:t>
      </w:r>
      <w:r w:rsidRPr="0096524F">
        <w:t>218 (2017).</w:t>
      </w:r>
    </w:p>
    <w:p w14:paraId="59F6DE0D" w14:textId="77777777" w:rsidR="0096524F" w:rsidRDefault="0096524F" w:rsidP="00D758BD">
      <w:pPr>
        <w:pStyle w:val="footnote"/>
      </w:pPr>
    </w:p>
  </w:footnote>
  <w:footnote w:id="422">
    <w:p w14:paraId="1C3D64BA" w14:textId="180EDC23" w:rsidR="0096524F" w:rsidRDefault="0096524F" w:rsidP="0096524F">
      <w:pPr>
        <w:pStyle w:val="FootnoteText"/>
      </w:pPr>
      <w:r w:rsidRPr="0096524F">
        <w:rPr>
          <w:rStyle w:val="FootnoteReference"/>
          <w:rFonts w:eastAsiaTheme="majorEastAsia"/>
        </w:rPr>
        <w:footnoteRef/>
      </w:r>
      <w:r w:rsidRPr="0096524F">
        <w:t>588 U.S.</w:t>
      </w:r>
      <w:r w:rsidRPr="0096524F">
        <w:t xml:space="preserve"> </w:t>
      </w:r>
      <w:r w:rsidRPr="0096524F">
        <w:t>388 (2019).</w:t>
      </w:r>
    </w:p>
  </w:footnote>
  <w:footnote w:id="423">
    <w:p w14:paraId="6C32DAEF" w14:textId="0C57938C" w:rsidR="0096524F" w:rsidRPr="0096524F" w:rsidRDefault="0096524F" w:rsidP="0096524F">
      <w:pPr>
        <w:pStyle w:val="FootnoteText"/>
      </w:pPr>
      <w:r w:rsidRPr="0096524F">
        <w:rPr>
          <w:vertAlign w:val="superscript"/>
        </w:rPr>
        <w:footnoteRef/>
      </w:r>
      <w:r w:rsidRPr="0096524F">
        <w:rPr>
          <w:i/>
        </w:rPr>
        <w:t xml:space="preserve">See Tam, </w:t>
      </w:r>
      <w:r w:rsidRPr="0096524F">
        <w:t>582 U.S.</w:t>
      </w:r>
      <w:r w:rsidRPr="0096524F">
        <w:t xml:space="preserve"> </w:t>
      </w:r>
      <w:r w:rsidRPr="0096524F">
        <w:t>at 246 (“[The ban on disparaging marks] is not an anti-discrimination clause;</w:t>
      </w:r>
      <w:r w:rsidRPr="0096524F">
        <w:t xml:space="preserve"> </w:t>
      </w:r>
      <w:r w:rsidRPr="0096524F">
        <w:t>it is a happy-talk clause.</w:t>
      </w:r>
      <w:r w:rsidRPr="0096524F">
        <w:t xml:space="preserve"> </w:t>
      </w:r>
      <w:r w:rsidRPr="0096524F">
        <w:t>In this way, it goes much further than is necessary to serve the interest asserted.”) (opinion of Alito, J.);</w:t>
      </w:r>
      <w:r w:rsidRPr="0096524F">
        <w:t xml:space="preserve"> </w:t>
      </w:r>
      <w:r w:rsidRPr="0096524F">
        <w:rPr>
          <w:i/>
        </w:rPr>
        <w:t>id.</w:t>
      </w:r>
      <w:r w:rsidRPr="0096524F">
        <w:rPr>
          <w:i/>
        </w:rPr>
        <w:t xml:space="preserve"> </w:t>
      </w:r>
      <w:r w:rsidRPr="0096524F">
        <w:t>at 248–250 (Kennedy, J., concurring) (“At its most basic, the test for viewpoint discrimination is whether—within the relevant subject category—the government has singled out a subset of messages for disfavor based on the views expressed. … The First Amendment’s viewpoint neutrality principle protects more than the right to identify with a particular side.</w:t>
      </w:r>
      <w:r w:rsidRPr="0096524F">
        <w:t xml:space="preserve"> </w:t>
      </w:r>
      <w:r w:rsidRPr="0096524F">
        <w:t>It protects the right to create and present arguments for particular positions in particular ways, as the speaker chooses.</w:t>
      </w:r>
      <w:r w:rsidRPr="0096524F">
        <w:t xml:space="preserve"> </w:t>
      </w:r>
      <w:r w:rsidRPr="0096524F">
        <w:t>By mandating positivity, the law here might silence dissent and distort the marketplace of ideas. … The Government may not insulate a law from charges of viewpoint discrimination by tying censorship to the reaction of the speaker’s audience.”).</w:t>
      </w:r>
    </w:p>
    <w:p w14:paraId="7605FB9B" w14:textId="77777777" w:rsidR="0096524F" w:rsidRDefault="0096524F" w:rsidP="00D758BD">
      <w:pPr>
        <w:pStyle w:val="footnote"/>
      </w:pPr>
    </w:p>
  </w:footnote>
  <w:footnote w:id="424">
    <w:p w14:paraId="291C8C02" w14:textId="16C41A35" w:rsidR="0096524F" w:rsidRPr="00746D6D" w:rsidRDefault="0096524F" w:rsidP="0096524F">
      <w:pPr>
        <w:pStyle w:val="FootnoteText"/>
      </w:pPr>
      <w:r w:rsidRPr="0096524F">
        <w:rPr>
          <w:rStyle w:val="FootnoteReference"/>
          <w:rFonts w:eastAsiaTheme="majorEastAsia"/>
        </w:rPr>
        <w:footnoteRef/>
      </w:r>
      <w:r w:rsidRPr="0096524F">
        <w:rPr>
          <w:i/>
        </w:rPr>
        <w:t>Brunetti</w:t>
      </w:r>
      <w:r w:rsidRPr="0096524F">
        <w:t>, 588 U.S.</w:t>
      </w:r>
      <w:r w:rsidRPr="0096524F">
        <w:t xml:space="preserve"> </w:t>
      </w:r>
      <w:r w:rsidRPr="0096524F">
        <w:t>at 394–95.</w:t>
      </w:r>
    </w:p>
  </w:footnote>
  <w:footnote w:id="425">
    <w:p w14:paraId="519D3190" w14:textId="67EB155C" w:rsidR="0096524F" w:rsidRPr="00EB11B3" w:rsidRDefault="0096524F" w:rsidP="0096524F">
      <w:pPr>
        <w:pStyle w:val="FootnoteText"/>
      </w:pPr>
      <w:r w:rsidRPr="0096524F">
        <w:rPr>
          <w:vertAlign w:val="superscript"/>
        </w:rPr>
        <w:footnoteRef/>
      </w:r>
      <w:r w:rsidRPr="0096524F">
        <w:t>605 F.3d at 386–87.</w:t>
      </w:r>
    </w:p>
  </w:footnote>
  <w:footnote w:id="426">
    <w:p w14:paraId="101F35EC" w14:textId="1294AE4B" w:rsidR="0096524F" w:rsidRPr="00EB11B3" w:rsidRDefault="0096524F" w:rsidP="0096524F">
      <w:pPr>
        <w:pStyle w:val="FootnoteText"/>
      </w:pPr>
      <w:r w:rsidRPr="0096524F">
        <w:rPr>
          <w:vertAlign w:val="superscript"/>
        </w:rPr>
        <w:footnoteRef/>
      </w:r>
      <w:r w:rsidRPr="0096524F">
        <w:t>537 U.S.</w:t>
      </w:r>
      <w:r w:rsidRPr="0096524F">
        <w:t xml:space="preserve"> </w:t>
      </w:r>
      <w:r w:rsidRPr="0096524F">
        <w:t>at 432;</w:t>
      </w:r>
      <w:r w:rsidRPr="0096524F">
        <w:t xml:space="preserve"> </w:t>
      </w:r>
      <w:r w:rsidRPr="0096524F">
        <w:rPr>
          <w:i/>
        </w:rPr>
        <w:t>see id</w:t>
      </w:r>
      <w:r w:rsidRPr="0096524F">
        <w:t>.</w:t>
      </w:r>
      <w:r w:rsidRPr="0096524F">
        <w:t xml:space="preserve"> </w:t>
      </w:r>
      <w:r w:rsidRPr="0096524F">
        <w:t>at 430 (noting that older state laws expressly include claims for tarnishment).</w:t>
      </w:r>
      <w:r w:rsidRPr="0096524F">
        <w:t xml:space="preserve"> </w:t>
      </w:r>
      <w:r w:rsidRPr="0096524F">
        <w:t>The Court noted that the Sixth Circuit affirmed both blurring and tarnishment claims.</w:t>
      </w:r>
      <w:r w:rsidRPr="0096524F">
        <w:t xml:space="preserve"> </w:t>
      </w:r>
      <w:r w:rsidRPr="0096524F">
        <w:rPr>
          <w:i/>
        </w:rPr>
        <w:t>Id</w:t>
      </w:r>
      <w:r w:rsidRPr="0096524F">
        <w:t>.</w:t>
      </w:r>
      <w:r w:rsidRPr="0096524F">
        <w:t xml:space="preserve"> </w:t>
      </w:r>
      <w:r w:rsidRPr="0096524F">
        <w:t>at 432.</w:t>
      </w:r>
    </w:p>
  </w:footnote>
  <w:footnote w:id="427">
    <w:p w14:paraId="1B4ADEE0" w14:textId="6CEF339B"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434.</w:t>
      </w:r>
    </w:p>
  </w:footnote>
  <w:footnote w:id="428">
    <w:p w14:paraId="08F1B593" w14:textId="1AE027D5"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Victoria’s Cyber Secret Ltd.</w:t>
      </w:r>
      <w:r w:rsidRPr="0096524F">
        <w:t xml:space="preserve"> </w:t>
      </w:r>
      <w:r w:rsidRPr="0096524F">
        <w:t>P’ship v.</w:t>
      </w:r>
      <w:r w:rsidRPr="0096524F">
        <w:t xml:space="preserve"> </w:t>
      </w:r>
      <w:r w:rsidRPr="0096524F">
        <w:t>V Secret Catalogue, Inc., 161 F.</w:t>
      </w:r>
      <w:r w:rsidRPr="0096524F">
        <w:t xml:space="preserve"> </w:t>
      </w:r>
      <w:r w:rsidRPr="0096524F">
        <w:t>Supp.</w:t>
      </w:r>
      <w:r w:rsidRPr="0096524F">
        <w:t xml:space="preserve"> </w:t>
      </w:r>
      <w:r w:rsidRPr="0096524F">
        <w:t>2d 1339, 1355 (S.D.</w:t>
      </w:r>
      <w:r w:rsidRPr="0096524F">
        <w:t xml:space="preserve"> </w:t>
      </w:r>
      <w:r w:rsidRPr="0096524F">
        <w:t>Fla.</w:t>
      </w:r>
      <w:r w:rsidRPr="0096524F">
        <w:t xml:space="preserve"> </w:t>
      </w:r>
      <w:r w:rsidRPr="0096524F">
        <w:t>2001) (use of various domains containing names similar to Victoria’s Secret for Web sites with pornography);</w:t>
      </w:r>
      <w:r w:rsidRPr="0096524F">
        <w:t xml:space="preserve"> </w:t>
      </w:r>
      <w:r w:rsidRPr="0096524F">
        <w:t>Online Partners.com, Inc.</w:t>
      </w:r>
      <w:r w:rsidRPr="0096524F">
        <w:t xml:space="preserve"> </w:t>
      </w:r>
      <w:r w:rsidRPr="0096524F">
        <w:t>v.</w:t>
      </w:r>
      <w:r w:rsidRPr="0096524F">
        <w:t xml:space="preserve"> </w:t>
      </w:r>
      <w:r w:rsidRPr="0096524F">
        <w:t>Atlanticnet Media Corp., 2000 WL 101242, 2000 BL 1434 (N.D.</w:t>
      </w:r>
      <w:r w:rsidRPr="0096524F">
        <w:t xml:space="preserve"> </w:t>
      </w:r>
      <w:r w:rsidRPr="0096524F">
        <w:t>Cal.</w:t>
      </w:r>
      <w:r w:rsidRPr="0096524F">
        <w:t xml:space="preserve"> </w:t>
      </w:r>
      <w:r w:rsidRPr="0096524F">
        <w:t>Jan.</w:t>
      </w:r>
      <w:r w:rsidRPr="0096524F">
        <w:t xml:space="preserve"> </w:t>
      </w:r>
      <w:r w:rsidRPr="0096524F">
        <w:t>20, 2000) (plaintiff’s gay.net site tarnished by defendant’s gaynet.com, which contained pornographic images);</w:t>
      </w:r>
      <w:r w:rsidRPr="0096524F">
        <w:t xml:space="preserve"> </w:t>
      </w:r>
      <w:r w:rsidRPr="0096524F">
        <w:t>Classified Ventures, LLC v.</w:t>
      </w:r>
      <w:r w:rsidRPr="0096524F">
        <w:t xml:space="preserve"> </w:t>
      </w:r>
      <w:r w:rsidRPr="0096524F">
        <w:t>Softcell Marketing, Inc., 109 F.</w:t>
      </w:r>
      <w:r w:rsidRPr="0096524F">
        <w:t xml:space="preserve"> </w:t>
      </w:r>
      <w:r w:rsidRPr="0096524F">
        <w:t>Supp.</w:t>
      </w:r>
      <w:r w:rsidRPr="0096524F">
        <w:t xml:space="preserve"> </w:t>
      </w:r>
      <w:r w:rsidRPr="0096524F">
        <w:t>2d 898, 901 (N.D.</w:t>
      </w:r>
      <w:r w:rsidRPr="0096524F">
        <w:t xml:space="preserve"> </w:t>
      </w:r>
      <w:r w:rsidRPr="0096524F">
        <w:t>Ill.</w:t>
      </w:r>
      <w:r w:rsidRPr="0096524F">
        <w:t xml:space="preserve"> </w:t>
      </w:r>
      <w:r w:rsidRPr="0096524F">
        <w:t>2000) (spam e-mails, often touting pornography services, used plaintiff’s cars.com trademark as a domain name for the origination of the e-mail);</w:t>
      </w:r>
      <w:r w:rsidRPr="0096524F">
        <w:t xml:space="preserve"> </w:t>
      </w:r>
      <w:r w:rsidRPr="0096524F">
        <w:rPr>
          <w:i/>
        </w:rPr>
        <w:t>see</w:t>
      </w:r>
      <w:r w:rsidRPr="0096524F">
        <w:t xml:space="preserve"> Hasbro, Inc.</w:t>
      </w:r>
      <w:r w:rsidRPr="0096524F">
        <w:t xml:space="preserve"> </w:t>
      </w:r>
      <w:r w:rsidRPr="0096524F">
        <w:t>v.</w:t>
      </w:r>
      <w:r w:rsidRPr="0096524F">
        <w:t xml:space="preserve"> </w:t>
      </w:r>
      <w:r w:rsidRPr="0096524F">
        <w:t>Internet Entm’t Group, Ltd., 40 USPQ2d 1479, 1480 (W.D.</w:t>
      </w:r>
      <w:r w:rsidRPr="0096524F">
        <w:t xml:space="preserve"> </w:t>
      </w:r>
      <w:r w:rsidRPr="0096524F">
        <w:t>Wash.</w:t>
      </w:r>
      <w:r w:rsidRPr="0096524F">
        <w:t xml:space="preserve"> </w:t>
      </w:r>
      <w:r w:rsidRPr="0096524F">
        <w:t>1996) (finding dilution where defendant used candyland.com for pornography services on the Internet, but without using the term “tarnishment”).</w:t>
      </w:r>
    </w:p>
  </w:footnote>
  <w:footnote w:id="429">
    <w:p w14:paraId="69DCF266" w14:textId="1356262C"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Southeastern La.</w:t>
      </w:r>
      <w:r w:rsidRPr="0096524F">
        <w:t xml:space="preserve"> </w:t>
      </w:r>
      <w:r w:rsidRPr="0096524F">
        <w:t>Entm’t v.</w:t>
      </w:r>
      <w:r w:rsidRPr="0096524F">
        <w:t xml:space="preserve"> </w:t>
      </w:r>
      <w:r w:rsidRPr="0096524F">
        <w:t>Hollywood Entm’t Corp., 56 USPQ2d 1688, 1692 (E.D.</w:t>
      </w:r>
      <w:r w:rsidRPr="0096524F">
        <w:t xml:space="preserve"> </w:t>
      </w:r>
      <w:r w:rsidRPr="0096524F">
        <w:t>La.</w:t>
      </w:r>
      <w:r w:rsidRPr="0096524F">
        <w:t xml:space="preserve"> </w:t>
      </w:r>
      <w:r w:rsidRPr="0096524F">
        <w:t>2000) (Hollywood Video tarnished by Hollywood Connexxion, which distributes adult videos).</w:t>
      </w:r>
      <w:r w:rsidRPr="0096524F">
        <w:t xml:space="preserve"> </w:t>
      </w:r>
      <w:r w:rsidRPr="0096524F">
        <w:rPr>
          <w:i/>
        </w:rPr>
        <w:t>See</w:t>
      </w:r>
      <w:r w:rsidRPr="0096524F">
        <w:t xml:space="preserve"> V Secret Catalogue, Inc.</w:t>
      </w:r>
      <w:r w:rsidRPr="0096524F">
        <w:t xml:space="preserve"> </w:t>
      </w:r>
      <w:r w:rsidRPr="0096524F">
        <w:t>v.</w:t>
      </w:r>
      <w:r w:rsidRPr="0096524F">
        <w:t xml:space="preserve"> </w:t>
      </w:r>
      <w:r w:rsidRPr="0096524F">
        <w:t>Moseley, 259 F.3d 464, 477 (6th Cir.</w:t>
      </w:r>
      <w:r w:rsidRPr="0096524F">
        <w:t xml:space="preserve"> </w:t>
      </w:r>
      <w:r w:rsidRPr="0096524F">
        <w:t xml:space="preserve">2001) (calling it “a classic instance of dilution by tarnishing (associating the Victoria’s Secret name with sex toys and lewd coffee mugs) and blurring”), </w:t>
      </w:r>
      <w:r w:rsidRPr="0096524F">
        <w:rPr>
          <w:i/>
        </w:rPr>
        <w:t>rev’d on other grounds,</w:t>
      </w:r>
      <w:r w:rsidRPr="0096524F">
        <w:t xml:space="preserve"> 418 U.S.</w:t>
      </w:r>
      <w:r w:rsidRPr="0096524F">
        <w:t xml:space="preserve"> </w:t>
      </w:r>
      <w:r w:rsidRPr="0096524F">
        <w:t>537 (2003).</w:t>
      </w:r>
    </w:p>
  </w:footnote>
  <w:footnote w:id="430">
    <w:p w14:paraId="11C77810" w14:textId="508D605E" w:rsidR="0096524F" w:rsidRPr="00EB11B3" w:rsidRDefault="0096524F" w:rsidP="0096524F">
      <w:pPr>
        <w:pStyle w:val="FootnoteText"/>
      </w:pPr>
      <w:r w:rsidRPr="0096524F">
        <w:rPr>
          <w:vertAlign w:val="superscript"/>
        </w:rPr>
        <w:footnoteRef/>
      </w:r>
      <w:r w:rsidRPr="0096524F">
        <w:rPr>
          <w:i/>
        </w:rPr>
        <w:t>See</w:t>
      </w:r>
      <w:r w:rsidRPr="0096524F">
        <w:t xml:space="preserve"> Playboy Enters., Inc.</w:t>
      </w:r>
      <w:r w:rsidRPr="0096524F">
        <w:t xml:space="preserve"> </w:t>
      </w:r>
      <w:r w:rsidRPr="0096524F">
        <w:t>v.</w:t>
      </w:r>
      <w:r w:rsidRPr="0096524F">
        <w:t xml:space="preserve"> </w:t>
      </w:r>
      <w:r w:rsidRPr="0096524F">
        <w:t>Webbworld, Inc., 991 F.</w:t>
      </w:r>
      <w:r w:rsidRPr="0096524F">
        <w:t xml:space="preserve"> </w:t>
      </w:r>
      <w:r w:rsidRPr="0096524F">
        <w:t>Supp.</w:t>
      </w:r>
      <w:r w:rsidRPr="0096524F">
        <w:t xml:space="preserve"> </w:t>
      </w:r>
      <w:r w:rsidRPr="0096524F">
        <w:t>543, 559, 45 USPQ2d 1641 (N.D.</w:t>
      </w:r>
      <w:r w:rsidRPr="0096524F">
        <w:t xml:space="preserve"> </w:t>
      </w:r>
      <w:r w:rsidRPr="0096524F">
        <w:t>Tex.</w:t>
      </w:r>
      <w:r w:rsidRPr="0096524F">
        <w:t xml:space="preserve"> </w:t>
      </w:r>
      <w:r w:rsidRPr="0096524F">
        <w:t xml:space="preserve">1997), </w:t>
      </w:r>
      <w:r w:rsidRPr="0096524F">
        <w:rPr>
          <w:i/>
        </w:rPr>
        <w:t>aff’d,</w:t>
      </w:r>
      <w:r w:rsidRPr="0096524F">
        <w:t xml:space="preserve"> 168 F.3d 486 (5th Cir.</w:t>
      </w:r>
      <w:r w:rsidRPr="0096524F">
        <w:t xml:space="preserve"> </w:t>
      </w:r>
      <w:r w:rsidRPr="0096524F">
        <w:t>1999);</w:t>
      </w:r>
      <w:r w:rsidRPr="0096524F">
        <w:t xml:space="preserve"> </w:t>
      </w:r>
      <w:r w:rsidRPr="0096524F">
        <w:t>Playboy Enters., Inc.</w:t>
      </w:r>
      <w:r w:rsidRPr="0096524F">
        <w:t xml:space="preserve"> </w:t>
      </w:r>
      <w:r w:rsidRPr="0096524F">
        <w:t>v.</w:t>
      </w:r>
      <w:r w:rsidRPr="0096524F">
        <w:t xml:space="preserve"> </w:t>
      </w:r>
      <w:r w:rsidRPr="0096524F">
        <w:t>Netscape Commc’ns Corp., 55 F.</w:t>
      </w:r>
      <w:r w:rsidRPr="0096524F">
        <w:t xml:space="preserve"> </w:t>
      </w:r>
      <w:r w:rsidRPr="0096524F">
        <w:t>Supp.</w:t>
      </w:r>
      <w:r w:rsidRPr="0096524F">
        <w:t xml:space="preserve"> </w:t>
      </w:r>
      <w:r w:rsidRPr="0096524F">
        <w:t>2d 1070, 1089, 52 USPQ2d 1162 (C.D.</w:t>
      </w:r>
      <w:r w:rsidRPr="0096524F">
        <w:t xml:space="preserve"> </w:t>
      </w:r>
      <w:r w:rsidRPr="0096524F">
        <w:t xml:space="preserve">Cal.), </w:t>
      </w:r>
      <w:r w:rsidRPr="0096524F">
        <w:rPr>
          <w:i/>
        </w:rPr>
        <w:t>aff’d mem</w:t>
      </w:r>
      <w:r w:rsidRPr="0096524F">
        <w:t>., 202 F.3d 278 (9th Cir.</w:t>
      </w:r>
      <w:r w:rsidRPr="0096524F">
        <w:t xml:space="preserve"> </w:t>
      </w:r>
      <w:r w:rsidRPr="0096524F">
        <w:t>1999).</w:t>
      </w:r>
      <w:r w:rsidRPr="0096524F">
        <w:t xml:space="preserve"> </w:t>
      </w:r>
      <w:r w:rsidRPr="0096524F">
        <w:t>Catalogue merchant L.L.</w:t>
      </w:r>
      <w:r w:rsidRPr="0096524F">
        <w:t xml:space="preserve"> </w:t>
      </w:r>
      <w:r w:rsidRPr="0096524F">
        <w:t>Bean lost a dilution claim under state law brought against a parody that associated L.L.</w:t>
      </w:r>
      <w:r w:rsidRPr="0096524F">
        <w:t xml:space="preserve"> </w:t>
      </w:r>
      <w:r w:rsidRPr="0096524F">
        <w:t>Bean with sexually oriented products.</w:t>
      </w:r>
      <w:r w:rsidRPr="0096524F">
        <w:t xml:space="preserve"> </w:t>
      </w:r>
      <w:r w:rsidRPr="0096524F">
        <w:t>L.L.</w:t>
      </w:r>
      <w:r w:rsidRPr="0096524F">
        <w:t xml:space="preserve"> </w:t>
      </w:r>
      <w:r w:rsidRPr="0096524F">
        <w:t>Bean, Inc.</w:t>
      </w:r>
      <w:r w:rsidRPr="0096524F">
        <w:t xml:space="preserve"> </w:t>
      </w:r>
      <w:r w:rsidRPr="0096524F">
        <w:t>v.</w:t>
      </w:r>
      <w:r w:rsidRPr="0096524F">
        <w:t xml:space="preserve"> </w:t>
      </w:r>
      <w:r w:rsidRPr="0096524F">
        <w:t>Drake Publishers, Inc., 811 F.2d 26, 1 USPQ2d 1753 (1st Cir.</w:t>
      </w:r>
      <w:r w:rsidRPr="0096524F">
        <w:t xml:space="preserve"> </w:t>
      </w:r>
      <w:r w:rsidRPr="0096524F">
        <w:t>1987).</w:t>
      </w:r>
    </w:p>
  </w:footnote>
  <w:footnote w:id="431">
    <w:p w14:paraId="38A7E527" w14:textId="77587536" w:rsidR="0096524F" w:rsidRPr="00EB11B3" w:rsidRDefault="0096524F" w:rsidP="0096524F">
      <w:pPr>
        <w:pStyle w:val="FootnoteText"/>
      </w:pPr>
      <w:r w:rsidRPr="0096524F">
        <w:rPr>
          <w:vertAlign w:val="superscript"/>
        </w:rPr>
        <w:footnoteRef/>
      </w:r>
      <w:r w:rsidRPr="0096524F">
        <w:t>Ringling Bros.-Barnum &amp; Bailey Combined Shows, Inc.</w:t>
      </w:r>
      <w:r w:rsidRPr="0096524F">
        <w:t xml:space="preserve"> </w:t>
      </w:r>
      <w:r w:rsidRPr="0096524F">
        <w:t>v.</w:t>
      </w:r>
      <w:r w:rsidRPr="0096524F">
        <w:t xml:space="preserve"> </w:t>
      </w:r>
      <w:r w:rsidRPr="0096524F">
        <w:t>B.E.</w:t>
      </w:r>
      <w:r w:rsidRPr="0096524F">
        <w:t xml:space="preserve"> </w:t>
      </w:r>
      <w:r w:rsidRPr="0096524F">
        <w:t>Windows Corp., 937 F.</w:t>
      </w:r>
      <w:r w:rsidRPr="0096524F">
        <w:t xml:space="preserve"> </w:t>
      </w:r>
      <w:r w:rsidRPr="0096524F">
        <w:t>Supp.</w:t>
      </w:r>
      <w:r w:rsidRPr="0096524F">
        <w:t xml:space="preserve"> </w:t>
      </w:r>
      <w:r w:rsidRPr="0096524F">
        <w:t>204, 211 (S.D.N.Y.</w:t>
      </w:r>
      <w:r w:rsidRPr="0096524F">
        <w:t xml:space="preserve"> </w:t>
      </w:r>
      <w:r w:rsidRPr="0096524F">
        <w:t>1996).</w:t>
      </w:r>
    </w:p>
  </w:footnote>
  <w:footnote w:id="432">
    <w:p w14:paraId="5EFD87D3" w14:textId="32BD69ED" w:rsidR="0096524F" w:rsidRPr="00EB11B3" w:rsidRDefault="0096524F" w:rsidP="0096524F">
      <w:pPr>
        <w:pStyle w:val="FootnoteText"/>
      </w:pPr>
      <w:r w:rsidRPr="0096524F">
        <w:rPr>
          <w:vertAlign w:val="superscript"/>
        </w:rPr>
        <w:footnoteRef/>
      </w:r>
      <w:r w:rsidRPr="0096524F">
        <w:t>605 F.3d 382, 95 USPQ2d 1050 (6th Cir.</w:t>
      </w:r>
      <w:r w:rsidRPr="0096524F">
        <w:t xml:space="preserve"> </w:t>
      </w:r>
      <w:r w:rsidRPr="0096524F">
        <w:t xml:space="preserve">2010), </w:t>
      </w:r>
      <w:r w:rsidRPr="0096524F">
        <w:rPr>
          <w:i/>
        </w:rPr>
        <w:t>cert</w:t>
      </w:r>
      <w:r w:rsidRPr="0096524F">
        <w:t>.</w:t>
      </w:r>
      <w:r w:rsidRPr="0096524F">
        <w:t xml:space="preserve"> </w:t>
      </w:r>
      <w:r w:rsidRPr="0096524F">
        <w:rPr>
          <w:i/>
        </w:rPr>
        <w:t>denied</w:t>
      </w:r>
      <w:r w:rsidRPr="0096524F">
        <w:t>, 562 U.S.</w:t>
      </w:r>
      <w:r w:rsidRPr="0096524F">
        <w:t xml:space="preserve"> </w:t>
      </w:r>
      <w:r w:rsidRPr="0096524F">
        <w:t>1179 (2011).</w:t>
      </w:r>
    </w:p>
  </w:footnote>
  <w:footnote w:id="433">
    <w:p w14:paraId="1B42C8EE" w14:textId="2795879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390.</w:t>
      </w:r>
    </w:p>
  </w:footnote>
  <w:footnote w:id="434">
    <w:p w14:paraId="4BB1D274" w14:textId="62AFB6DB" w:rsidR="0096524F" w:rsidRPr="00EB11B3" w:rsidRDefault="0096524F" w:rsidP="0096524F">
      <w:pPr>
        <w:pStyle w:val="FootnoteText"/>
      </w:pPr>
      <w:r w:rsidRPr="0096524F">
        <w:rPr>
          <w:vertAlign w:val="superscript"/>
        </w:rPr>
        <w:footnoteRef/>
      </w:r>
      <w:r w:rsidRPr="0096524F">
        <w:t>558 F.</w:t>
      </w:r>
      <w:r w:rsidRPr="0096524F">
        <w:t xml:space="preserve"> </w:t>
      </w:r>
      <w:r w:rsidRPr="0096524F">
        <w:t>Supp.</w:t>
      </w:r>
      <w:r w:rsidRPr="0096524F">
        <w:t xml:space="preserve"> </w:t>
      </w:r>
      <w:r w:rsidRPr="0096524F">
        <w:t>2d 734, 87 USPQ2d 1240 (W.D.</w:t>
      </w:r>
      <w:r w:rsidRPr="0096524F">
        <w:t xml:space="preserve"> </w:t>
      </w:r>
      <w:r w:rsidRPr="0096524F">
        <w:t>Ky.</w:t>
      </w:r>
      <w:r w:rsidRPr="0096524F">
        <w:t xml:space="preserve"> </w:t>
      </w:r>
      <w:r w:rsidRPr="0096524F">
        <w:t xml:space="preserve">2008), </w:t>
      </w:r>
      <w:r w:rsidRPr="0096524F">
        <w:rPr>
          <w:i/>
        </w:rPr>
        <w:t>aff’d</w:t>
      </w:r>
      <w:r w:rsidRPr="0096524F">
        <w:t>, 605 F.3d 382, 95 USPQ2d 1050 (6th Cir.</w:t>
      </w:r>
      <w:r w:rsidRPr="0096524F">
        <w:t xml:space="preserve"> </w:t>
      </w:r>
      <w:r w:rsidRPr="0096524F">
        <w:t xml:space="preserve">2010), </w:t>
      </w:r>
      <w:r w:rsidRPr="0096524F">
        <w:rPr>
          <w:i/>
        </w:rPr>
        <w:t>cert</w:t>
      </w:r>
      <w:r w:rsidRPr="0096524F">
        <w:t>.</w:t>
      </w:r>
      <w:r w:rsidRPr="0096524F">
        <w:t xml:space="preserve"> </w:t>
      </w:r>
      <w:r w:rsidRPr="0096524F">
        <w:rPr>
          <w:i/>
        </w:rPr>
        <w:t>denied</w:t>
      </w:r>
      <w:r w:rsidRPr="0096524F">
        <w:t>, 562 U.S.</w:t>
      </w:r>
      <w:r w:rsidRPr="0096524F">
        <w:t xml:space="preserve"> </w:t>
      </w:r>
      <w:r w:rsidRPr="0096524F">
        <w:t>1179 (2011).</w:t>
      </w:r>
      <w:r w:rsidRPr="0096524F">
        <w:t xml:space="preserve"> </w:t>
      </w:r>
      <w:r w:rsidRPr="0096524F">
        <w:t>The case sat in the Sixth Circuit for four years before that court remanded to the district court.</w:t>
      </w:r>
      <w:r w:rsidRPr="0096524F">
        <w:t xml:space="preserve"> </w:t>
      </w:r>
      <w:r w:rsidRPr="0096524F">
        <w:t>The district court then applied the TDRA to the blurring and tarnishment claims.</w:t>
      </w:r>
    </w:p>
  </w:footnote>
  <w:footnote w:id="435">
    <w:p w14:paraId="7DBC2DD8" w14:textId="0A06ED84"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750.</w:t>
      </w:r>
      <w:r w:rsidRPr="0096524F">
        <w:t xml:space="preserve"> </w:t>
      </w:r>
      <w:r w:rsidRPr="0096524F">
        <w:t>The dissenting judge in the Sixth Circuit also noted that the context of the case might well preclude a tarnishment claim.</w:t>
      </w:r>
      <w:r w:rsidRPr="0096524F">
        <w:t xml:space="preserve"> </w:t>
      </w:r>
      <w:r w:rsidRPr="0096524F">
        <w:t>605 F.3d at 394 &amp; n.4 (Moore, J., dissenting).</w:t>
      </w:r>
    </w:p>
  </w:footnote>
  <w:footnote w:id="436">
    <w:p w14:paraId="4487219D" w14:textId="37DA104B" w:rsidR="0096524F" w:rsidRPr="00EB11B3" w:rsidRDefault="0096524F" w:rsidP="0096524F">
      <w:pPr>
        <w:pStyle w:val="FootnoteText"/>
      </w:pPr>
      <w:r w:rsidRPr="0096524F">
        <w:rPr>
          <w:vertAlign w:val="superscript"/>
        </w:rPr>
        <w:footnoteRef/>
      </w:r>
      <w:r w:rsidRPr="0096524F">
        <w:t>605 F.3d at 388–89.</w:t>
      </w:r>
      <w:r w:rsidRPr="0096524F">
        <w:t xml:space="preserve"> </w:t>
      </w:r>
      <w:r w:rsidRPr="0096524F">
        <w:t>The Sixth Circuit’s opinion is discussed in greater detail above §II.E.2.ii.</w:t>
      </w:r>
    </w:p>
  </w:footnote>
  <w:footnote w:id="437">
    <w:p w14:paraId="122CC3DE" w14:textId="7B5115E2" w:rsidR="0096524F" w:rsidRPr="00EB11B3" w:rsidRDefault="0096524F" w:rsidP="0096524F">
      <w:pPr>
        <w:pStyle w:val="FootnoteText"/>
      </w:pPr>
      <w:r w:rsidRPr="0096524F">
        <w:rPr>
          <w:vertAlign w:val="superscript"/>
        </w:rPr>
        <w:footnoteRef/>
      </w:r>
      <w:r w:rsidRPr="0096524F">
        <w:t>Pfizer, Inc.</w:t>
      </w:r>
      <w:r w:rsidRPr="0096524F">
        <w:t xml:space="preserve"> </w:t>
      </w:r>
      <w:r w:rsidRPr="0096524F">
        <w:t>v.</w:t>
      </w:r>
      <w:r w:rsidRPr="0096524F">
        <w:t xml:space="preserve"> </w:t>
      </w:r>
      <w:r w:rsidRPr="0096524F">
        <w:t>Sachs, 652 F.</w:t>
      </w:r>
      <w:r w:rsidRPr="0096524F">
        <w:t xml:space="preserve"> </w:t>
      </w:r>
      <w:r w:rsidRPr="0096524F">
        <w:t>Supp.</w:t>
      </w:r>
      <w:r w:rsidRPr="0096524F">
        <w:t xml:space="preserve"> </w:t>
      </w:r>
      <w:r w:rsidRPr="0096524F">
        <w:t>2d 512, 525, 92 USPQ2d 1835 (S.D.N.Y.</w:t>
      </w:r>
      <w:r w:rsidRPr="0096524F">
        <w:t xml:space="preserve"> </w:t>
      </w:r>
      <w:r w:rsidRPr="0096524F">
        <w:t>2009).</w:t>
      </w:r>
    </w:p>
  </w:footnote>
  <w:footnote w:id="438">
    <w:p w14:paraId="0BEC69F7" w14:textId="46D2A164"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525.</w:t>
      </w:r>
    </w:p>
  </w:footnote>
  <w:footnote w:id="439">
    <w:p w14:paraId="6B100E9B" w14:textId="11111B54" w:rsidR="0096524F" w:rsidRPr="0096524F" w:rsidRDefault="0096524F" w:rsidP="0096524F">
      <w:pPr>
        <w:pStyle w:val="FootnoteText"/>
      </w:pPr>
      <w:r w:rsidRPr="0096524F">
        <w:rPr>
          <w:vertAlign w:val="superscript"/>
        </w:rPr>
        <w:footnoteRef/>
      </w:r>
      <w:r w:rsidRPr="0096524F">
        <w:t>886 F.</w:t>
      </w:r>
      <w:r w:rsidRPr="0096524F">
        <w:t xml:space="preserve"> </w:t>
      </w:r>
      <w:r w:rsidRPr="0096524F">
        <w:t>Supp.</w:t>
      </w:r>
      <w:r w:rsidRPr="0096524F">
        <w:t xml:space="preserve"> </w:t>
      </w:r>
      <w:r w:rsidRPr="0096524F">
        <w:t>2d 529, 105 USPQ2d 1230 (E.D.</w:t>
      </w:r>
      <w:r w:rsidRPr="0096524F">
        <w:t xml:space="preserve"> </w:t>
      </w:r>
      <w:r w:rsidRPr="0096524F">
        <w:t>Va.</w:t>
      </w:r>
      <w:r w:rsidRPr="0096524F">
        <w:t xml:space="preserve"> </w:t>
      </w:r>
      <w:r w:rsidRPr="0096524F">
        <w:t>2012).</w:t>
      </w:r>
    </w:p>
    <w:p w14:paraId="620D3A08" w14:textId="77777777" w:rsidR="0096524F" w:rsidRPr="00882ED4" w:rsidRDefault="0096524F" w:rsidP="00D758BD">
      <w:pPr>
        <w:pStyle w:val="footnote"/>
        <w:rPr>
          <w:lang w:val="da-DK"/>
        </w:rPr>
      </w:pPr>
    </w:p>
  </w:footnote>
  <w:footnote w:id="440">
    <w:p w14:paraId="42165060" w14:textId="19865B43"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537.</w:t>
      </w:r>
    </w:p>
    <w:p w14:paraId="6D165062" w14:textId="77777777" w:rsidR="0096524F" w:rsidRPr="00882ED4" w:rsidRDefault="0096524F" w:rsidP="00D758BD">
      <w:pPr>
        <w:pStyle w:val="footnote"/>
        <w:rPr>
          <w:lang w:val="da-DK"/>
        </w:rPr>
      </w:pPr>
    </w:p>
  </w:footnote>
  <w:footnote w:id="441">
    <w:p w14:paraId="7F574D8D" w14:textId="49F5143E" w:rsidR="0096524F" w:rsidRPr="0096524F" w:rsidRDefault="0096524F" w:rsidP="0096524F">
      <w:pPr>
        <w:pStyle w:val="FootnoteText"/>
      </w:pPr>
      <w:r w:rsidRPr="0096524F">
        <w:rPr>
          <w:vertAlign w:val="superscript"/>
        </w:rPr>
        <w:footnoteRef/>
      </w:r>
      <w:r w:rsidRPr="0096524F">
        <w:t>2012 U.S.</w:t>
      </w:r>
      <w:r w:rsidRPr="0096524F">
        <w:t xml:space="preserve"> </w:t>
      </w:r>
      <w:r w:rsidRPr="0096524F">
        <w:t>Dist.</w:t>
      </w:r>
      <w:r w:rsidRPr="0096524F">
        <w:t xml:space="preserve"> </w:t>
      </w:r>
      <w:r w:rsidRPr="0096524F">
        <w:t>LEXIS 163851 (E.D.</w:t>
      </w:r>
      <w:r w:rsidRPr="0096524F">
        <w:t xml:space="preserve"> </w:t>
      </w:r>
      <w:r w:rsidRPr="0096524F">
        <w:t>Va.</w:t>
      </w:r>
      <w:r w:rsidRPr="0096524F">
        <w:t xml:space="preserve"> </w:t>
      </w:r>
      <w:r w:rsidRPr="0096524F">
        <w:t>July 12, 2012).</w:t>
      </w:r>
    </w:p>
    <w:p w14:paraId="534727C3" w14:textId="77777777" w:rsidR="0096524F" w:rsidRDefault="0096524F" w:rsidP="00D758BD">
      <w:pPr>
        <w:pStyle w:val="footnote"/>
      </w:pPr>
    </w:p>
  </w:footnote>
  <w:footnote w:id="442">
    <w:p w14:paraId="7767F7D0" w14:textId="5267DC53"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*29.</w:t>
      </w:r>
    </w:p>
    <w:p w14:paraId="6A9ACFE9" w14:textId="77777777" w:rsidR="0096524F" w:rsidRDefault="0096524F" w:rsidP="00D758BD">
      <w:pPr>
        <w:pStyle w:val="footnote"/>
      </w:pPr>
    </w:p>
  </w:footnote>
  <w:footnote w:id="443">
    <w:p w14:paraId="715A6816" w14:textId="2C57631F" w:rsidR="0096524F" w:rsidRPr="00EB11B3" w:rsidRDefault="0096524F" w:rsidP="0096524F">
      <w:pPr>
        <w:pStyle w:val="FootnoteText"/>
      </w:pPr>
      <w:r w:rsidRPr="0096524F">
        <w:rPr>
          <w:vertAlign w:val="superscript"/>
        </w:rPr>
        <w:footnoteRef/>
      </w:r>
      <w:r w:rsidRPr="0096524F">
        <w:t>American Dairy Queen Corp.</w:t>
      </w:r>
      <w:r w:rsidRPr="0096524F">
        <w:t xml:space="preserve"> </w:t>
      </w:r>
      <w:r w:rsidRPr="0096524F">
        <w:t>v.</w:t>
      </w:r>
      <w:r w:rsidRPr="0096524F">
        <w:t xml:space="preserve"> </w:t>
      </w:r>
      <w:r w:rsidRPr="0096524F">
        <w:t>New Line Prods., Inc., 35 F.</w:t>
      </w:r>
      <w:r w:rsidRPr="0096524F">
        <w:t xml:space="preserve"> </w:t>
      </w:r>
      <w:r w:rsidRPr="0096524F">
        <w:t>Supp.</w:t>
      </w:r>
      <w:r w:rsidRPr="0096524F">
        <w:t xml:space="preserve"> </w:t>
      </w:r>
      <w:r w:rsidRPr="0096524F">
        <w:t>2d 727, 733 (D.</w:t>
      </w:r>
      <w:r w:rsidRPr="0096524F">
        <w:t xml:space="preserve"> </w:t>
      </w:r>
      <w:r w:rsidRPr="0096524F">
        <w:t>Minn.</w:t>
      </w:r>
      <w:r w:rsidRPr="0096524F">
        <w:t xml:space="preserve"> </w:t>
      </w:r>
      <w:r w:rsidRPr="0096524F">
        <w:t>1998).</w:t>
      </w:r>
    </w:p>
  </w:footnote>
  <w:footnote w:id="444">
    <w:p w14:paraId="19F56B19" w14:textId="757C44D3"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728–29.</w:t>
      </w:r>
    </w:p>
  </w:footnote>
  <w:footnote w:id="445">
    <w:p w14:paraId="1054EDFC" w14:textId="3B694957"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733–34.</w:t>
      </w:r>
    </w:p>
  </w:footnote>
  <w:footnote w:id="446">
    <w:p w14:paraId="2AB2C36B" w14:textId="2EF5F220" w:rsidR="0096524F" w:rsidRPr="00EB11B3" w:rsidRDefault="0096524F" w:rsidP="0096524F">
      <w:pPr>
        <w:pStyle w:val="FootnoteText"/>
      </w:pPr>
      <w:r w:rsidRPr="0096524F">
        <w:rPr>
          <w:vertAlign w:val="superscript"/>
        </w:rPr>
        <w:footnoteRef/>
      </w:r>
      <w:r w:rsidRPr="0096524F">
        <w:t>America Online, Inc.</w:t>
      </w:r>
      <w:r w:rsidRPr="0096524F">
        <w:t xml:space="preserve"> </w:t>
      </w:r>
      <w:r w:rsidRPr="0096524F">
        <w:t>v.</w:t>
      </w:r>
      <w:r w:rsidRPr="0096524F">
        <w:t xml:space="preserve"> </w:t>
      </w:r>
      <w:r w:rsidRPr="0096524F">
        <w:t>IMS, 24 F.</w:t>
      </w:r>
      <w:r w:rsidRPr="0096524F">
        <w:t xml:space="preserve"> </w:t>
      </w:r>
      <w:r w:rsidRPr="0096524F">
        <w:t>Supp.</w:t>
      </w:r>
      <w:r w:rsidRPr="0096524F">
        <w:t xml:space="preserve"> </w:t>
      </w:r>
      <w:r w:rsidRPr="0096524F">
        <w:t>2d 548, 552, 48 USPQ2d 1857 (E.D.</w:t>
      </w:r>
      <w:r w:rsidRPr="0096524F">
        <w:t xml:space="preserve"> </w:t>
      </w:r>
      <w:r w:rsidRPr="0096524F">
        <w:t>Va.</w:t>
      </w:r>
      <w:r w:rsidRPr="0096524F">
        <w:t xml:space="preserve"> </w:t>
      </w:r>
      <w:r w:rsidRPr="0096524F">
        <w:t>1998).</w:t>
      </w:r>
    </w:p>
  </w:footnote>
  <w:footnote w:id="447">
    <w:p w14:paraId="074A4635" w14:textId="512F5DA7" w:rsidR="0096524F" w:rsidRPr="00EB11B3" w:rsidRDefault="0096524F" w:rsidP="0096524F">
      <w:pPr>
        <w:pStyle w:val="FootnoteText"/>
      </w:pPr>
      <w:r w:rsidRPr="0096524F">
        <w:rPr>
          <w:vertAlign w:val="superscript"/>
        </w:rPr>
        <w:footnoteRef/>
      </w:r>
      <w:r w:rsidRPr="0096524F">
        <w:t>America Online, Inc.</w:t>
      </w:r>
      <w:r w:rsidRPr="0096524F">
        <w:t xml:space="preserve"> </w:t>
      </w:r>
      <w:r w:rsidRPr="0096524F">
        <w:t>v.</w:t>
      </w:r>
      <w:r w:rsidRPr="0096524F">
        <w:t xml:space="preserve"> </w:t>
      </w:r>
      <w:r w:rsidRPr="0096524F">
        <w:t>LGCM, Inc., 46 F.</w:t>
      </w:r>
      <w:r w:rsidRPr="0096524F">
        <w:t xml:space="preserve"> </w:t>
      </w:r>
      <w:r w:rsidRPr="0096524F">
        <w:t>Supp.</w:t>
      </w:r>
      <w:r w:rsidRPr="0096524F">
        <w:t xml:space="preserve"> </w:t>
      </w:r>
      <w:r w:rsidRPr="0096524F">
        <w:t>2d 444, 448 (E.D.</w:t>
      </w:r>
      <w:r w:rsidRPr="0096524F">
        <w:t xml:space="preserve"> </w:t>
      </w:r>
      <w:r w:rsidRPr="0096524F">
        <w:t>Va.</w:t>
      </w:r>
      <w:r w:rsidRPr="0096524F">
        <w:t xml:space="preserve"> </w:t>
      </w:r>
      <w:r w:rsidRPr="0096524F">
        <w:t>1998).</w:t>
      </w:r>
      <w:r w:rsidRPr="0096524F">
        <w:t xml:space="preserve"> </w:t>
      </w:r>
      <w:r w:rsidRPr="0096524F">
        <w:rPr>
          <w:i/>
        </w:rPr>
        <w:t>See</w:t>
      </w:r>
      <w:r w:rsidRPr="0096524F">
        <w:t xml:space="preserve"> Hotmail Corp.</w:t>
      </w:r>
      <w:r w:rsidRPr="0096524F">
        <w:t xml:space="preserve"> </w:t>
      </w:r>
      <w:r w:rsidRPr="0096524F">
        <w:t>v.</w:t>
      </w:r>
      <w:r w:rsidRPr="0096524F">
        <w:t xml:space="preserve"> </w:t>
      </w:r>
      <w:r w:rsidRPr="0096524F">
        <w:t>Van$ Money Pie, Inc., 47 USPQ2d 1020, 1026 (N.D.</w:t>
      </w:r>
      <w:r w:rsidRPr="0096524F">
        <w:t xml:space="preserve"> </w:t>
      </w:r>
      <w:r w:rsidRPr="0096524F">
        <w:t>Cal.</w:t>
      </w:r>
      <w:r w:rsidRPr="0096524F">
        <w:t xml:space="preserve"> </w:t>
      </w:r>
      <w:r w:rsidRPr="0096524F">
        <w:t>1998).</w:t>
      </w:r>
    </w:p>
  </w:footnote>
  <w:footnote w:id="448">
    <w:p w14:paraId="2E8A7AA3" w14:textId="33AFBA01" w:rsidR="0096524F" w:rsidRPr="00EB11B3" w:rsidRDefault="0096524F" w:rsidP="0096524F">
      <w:pPr>
        <w:pStyle w:val="FootnoteText"/>
      </w:pPr>
      <w:r w:rsidRPr="0096524F">
        <w:rPr>
          <w:vertAlign w:val="superscript"/>
        </w:rPr>
        <w:footnoteRef/>
      </w:r>
      <w:r w:rsidRPr="0096524F">
        <w:t>Lucasfilm Ltd.</w:t>
      </w:r>
      <w:r w:rsidRPr="0096524F">
        <w:t xml:space="preserve"> </w:t>
      </w:r>
      <w:r w:rsidRPr="0096524F">
        <w:t>v.</w:t>
      </w:r>
      <w:r w:rsidRPr="0096524F">
        <w:t xml:space="preserve"> </w:t>
      </w:r>
      <w:r w:rsidRPr="0096524F">
        <w:t>Media Mkt.</w:t>
      </w:r>
      <w:r w:rsidRPr="0096524F">
        <w:t xml:space="preserve"> </w:t>
      </w:r>
      <w:r w:rsidRPr="0096524F">
        <w:t>Group, Ltd., 182 F.</w:t>
      </w:r>
      <w:r w:rsidRPr="0096524F">
        <w:t xml:space="preserve"> </w:t>
      </w:r>
      <w:r w:rsidRPr="0096524F">
        <w:t>Supp.</w:t>
      </w:r>
      <w:r w:rsidRPr="0096524F">
        <w:t xml:space="preserve"> </w:t>
      </w:r>
      <w:r w:rsidRPr="0096524F">
        <w:t>2d 897, 900 (N.D.</w:t>
      </w:r>
      <w:r w:rsidRPr="0096524F">
        <w:t xml:space="preserve"> </w:t>
      </w:r>
      <w:r w:rsidRPr="0096524F">
        <w:t>Cal.</w:t>
      </w:r>
      <w:r w:rsidRPr="0096524F">
        <w:t xml:space="preserve"> </w:t>
      </w:r>
      <w:r w:rsidRPr="0096524F">
        <w:t>2002) (parody of Star Wars).</w:t>
      </w:r>
      <w:r w:rsidRPr="0096524F">
        <w:t xml:space="preserve"> </w:t>
      </w:r>
      <w:r w:rsidRPr="0096524F">
        <w:t>The noncommercial use exclusion is discussed in Chapter 10, §IV.</w:t>
      </w:r>
      <w:r w:rsidRPr="0096524F">
        <w:t xml:space="preserve"> </w:t>
      </w:r>
      <w:r w:rsidRPr="0096524F">
        <w:t>It might also be a “fair use” as a parody under §43(c)(3)(A)(ii), but most courts probably would deem such a use to be “unfair.”</w:t>
      </w:r>
    </w:p>
  </w:footnote>
  <w:footnote w:id="449">
    <w:p w14:paraId="190AE75B" w14:textId="3CDDA5F4" w:rsidR="0096524F" w:rsidRPr="00882ED4" w:rsidRDefault="0096524F" w:rsidP="0096524F">
      <w:pPr>
        <w:pStyle w:val="FootnoteText"/>
        <w:rPr>
          <w:lang w:val="sv-SE"/>
        </w:rPr>
      </w:pPr>
      <w:r w:rsidRPr="0096524F">
        <w:rPr>
          <w:vertAlign w:val="superscript"/>
        </w:rPr>
        <w:footnoteRef/>
      </w:r>
      <w:r w:rsidRPr="0096524F">
        <w:t>94 F.</w:t>
      </w:r>
      <w:r w:rsidRPr="0096524F">
        <w:t xml:space="preserve"> </w:t>
      </w:r>
      <w:r w:rsidRPr="0096524F">
        <w:t>Supp.</w:t>
      </w:r>
      <w:r w:rsidRPr="0096524F">
        <w:t xml:space="preserve"> </w:t>
      </w:r>
      <w:r w:rsidRPr="0096524F">
        <w:t>2d 566 (E.D.</w:t>
      </w:r>
      <w:r w:rsidRPr="0096524F">
        <w:t xml:space="preserve"> </w:t>
      </w:r>
      <w:r w:rsidRPr="0096524F">
        <w:t>Pa.</w:t>
      </w:r>
      <w:r w:rsidRPr="0096524F">
        <w:t xml:space="preserve"> </w:t>
      </w:r>
      <w:r w:rsidRPr="0096524F">
        <w:t>1999).</w:t>
      </w:r>
    </w:p>
  </w:footnote>
  <w:footnote w:id="450">
    <w:p w14:paraId="5BF2D574" w14:textId="2128C1B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572.</w:t>
      </w:r>
    </w:p>
  </w:footnote>
  <w:footnote w:id="451">
    <w:p w14:paraId="0A299684" w14:textId="339C2821" w:rsidR="0096524F" w:rsidRPr="00EB11B3" w:rsidRDefault="0096524F" w:rsidP="0096524F">
      <w:pPr>
        <w:pStyle w:val="FootnoteText"/>
      </w:pPr>
      <w:r w:rsidRPr="0096524F">
        <w:rPr>
          <w:vertAlign w:val="superscript"/>
        </w:rPr>
        <w:footnoteRef/>
      </w:r>
      <w:r w:rsidRPr="0096524F">
        <w:rPr>
          <w:i/>
        </w:rPr>
        <w:t>Id</w:t>
      </w:r>
      <w:r w:rsidRPr="0096524F">
        <w:t>.</w:t>
      </w:r>
    </w:p>
  </w:footnote>
  <w:footnote w:id="452">
    <w:p w14:paraId="7AA7BC09" w14:textId="1EEFCE04" w:rsidR="0096524F" w:rsidRPr="00EB11B3" w:rsidRDefault="0096524F" w:rsidP="0096524F">
      <w:pPr>
        <w:pStyle w:val="FootnoteText"/>
      </w:pPr>
      <w:r w:rsidRPr="0096524F">
        <w:rPr>
          <w:vertAlign w:val="superscript"/>
        </w:rPr>
        <w:footnoteRef/>
      </w:r>
      <w:r w:rsidRPr="0096524F">
        <w:t>79 F.</w:t>
      </w:r>
      <w:r w:rsidRPr="0096524F">
        <w:t xml:space="preserve"> </w:t>
      </w:r>
      <w:r w:rsidRPr="0096524F">
        <w:t>Supp.</w:t>
      </w:r>
      <w:r w:rsidRPr="0096524F">
        <w:t xml:space="preserve"> </w:t>
      </w:r>
      <w:r w:rsidRPr="0096524F">
        <w:t>2d 331 (S.D.N.Y.</w:t>
      </w:r>
      <w:r w:rsidRPr="0096524F">
        <w:t xml:space="preserve"> </w:t>
      </w:r>
      <w:r w:rsidRPr="0096524F">
        <w:t>1999).</w:t>
      </w:r>
    </w:p>
  </w:footnote>
  <w:footnote w:id="453">
    <w:p w14:paraId="323A0AE2" w14:textId="08BC38A2"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346.</w:t>
      </w:r>
    </w:p>
  </w:footnote>
  <w:footnote w:id="454">
    <w:p w14:paraId="732BEC09" w14:textId="37D54CA2" w:rsidR="0096524F" w:rsidRPr="00EB11B3" w:rsidRDefault="0096524F" w:rsidP="0096524F">
      <w:pPr>
        <w:pStyle w:val="FootnoteText"/>
      </w:pPr>
      <w:r w:rsidRPr="0096524F">
        <w:rPr>
          <w:vertAlign w:val="superscript"/>
        </w:rPr>
        <w:footnoteRef/>
      </w:r>
      <w:r w:rsidRPr="0096524F">
        <w:rPr>
          <w:i/>
        </w:rPr>
        <w:t>Id</w:t>
      </w:r>
      <w:r w:rsidRPr="0096524F">
        <w:t>.</w:t>
      </w:r>
    </w:p>
  </w:footnote>
  <w:footnote w:id="455">
    <w:p w14:paraId="2E9D279A" w14:textId="14833A21" w:rsidR="0096524F" w:rsidRDefault="0096524F" w:rsidP="0096524F">
      <w:pPr>
        <w:pStyle w:val="FootnoteText"/>
      </w:pPr>
      <w:r w:rsidRPr="0096524F">
        <w:rPr>
          <w:rStyle w:val="FootnoteReference"/>
          <w:rFonts w:eastAsiaTheme="majorEastAsia"/>
        </w:rPr>
        <w:footnoteRef/>
      </w:r>
      <w:r w:rsidRPr="0096524F">
        <w:t>2024 WL 5423045, 2024 BL 489268 (D.P.R.</w:t>
      </w:r>
      <w:r w:rsidRPr="0096524F">
        <w:t xml:space="preserve"> </w:t>
      </w:r>
      <w:r w:rsidRPr="0096524F">
        <w:t>Jan.</w:t>
      </w:r>
      <w:r w:rsidRPr="0096524F">
        <w:t xml:space="preserve"> </w:t>
      </w:r>
      <w:r w:rsidRPr="0096524F">
        <w:t>25, 2024).</w:t>
      </w:r>
    </w:p>
  </w:footnote>
  <w:footnote w:id="456">
    <w:p w14:paraId="1B862EDC" w14:textId="0CE9BC05" w:rsidR="0096524F" w:rsidRPr="00FA1311" w:rsidRDefault="0096524F" w:rsidP="0096524F">
      <w:pPr>
        <w:pStyle w:val="FootnoteText"/>
      </w:pPr>
      <w:r w:rsidRPr="0096524F">
        <w:rPr>
          <w:rStyle w:val="FootnoteReference"/>
          <w:rFonts w:eastAsiaTheme="majorEastAsia"/>
        </w:rPr>
        <w:footnoteRef/>
      </w:r>
      <w:r w:rsidRPr="0096524F">
        <w:rPr>
          <w:i/>
        </w:rPr>
        <w:t>Id</w:t>
      </w:r>
      <w:r w:rsidRPr="0096524F">
        <w:t>.</w:t>
      </w:r>
      <w:r w:rsidRPr="0096524F">
        <w:t xml:space="preserve"> </w:t>
      </w:r>
      <w:r w:rsidRPr="0096524F">
        <w:t>at *9.</w:t>
      </w:r>
    </w:p>
  </w:footnote>
  <w:footnote w:id="457">
    <w:p w14:paraId="3F861321" w14:textId="3D6FA28F" w:rsidR="0096524F" w:rsidRPr="00EB11B3" w:rsidRDefault="0096524F" w:rsidP="0096524F">
      <w:pPr>
        <w:pStyle w:val="FootnoteText"/>
      </w:pPr>
      <w:r w:rsidRPr="0096524F">
        <w:rPr>
          <w:vertAlign w:val="superscript"/>
        </w:rPr>
        <w:footnoteRef/>
      </w:r>
      <w:r w:rsidRPr="0096524F">
        <w:t>704 F.</w:t>
      </w:r>
      <w:r w:rsidRPr="0096524F">
        <w:t xml:space="preserve"> </w:t>
      </w:r>
      <w:r w:rsidRPr="0096524F">
        <w:t>Supp.</w:t>
      </w:r>
      <w:r w:rsidRPr="0096524F">
        <w:t xml:space="preserve"> </w:t>
      </w:r>
      <w:r w:rsidRPr="0096524F">
        <w:t>2d 305, 95 USPQ2d 1451 (S.D.N.Y.</w:t>
      </w:r>
      <w:r w:rsidRPr="0096524F">
        <w:t xml:space="preserve"> </w:t>
      </w:r>
      <w:r w:rsidRPr="0096524F">
        <w:t>2010).</w:t>
      </w:r>
    </w:p>
  </w:footnote>
  <w:footnote w:id="458">
    <w:p w14:paraId="167CEDC9" w14:textId="663DA7D4" w:rsidR="0096524F" w:rsidRPr="00FC2AE2"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323.</w:t>
      </w:r>
      <w:r w:rsidRPr="0096524F">
        <w:t xml:space="preserve"> </w:t>
      </w:r>
      <w:r w:rsidRPr="0096524F">
        <w:rPr>
          <w:i/>
        </w:rPr>
        <w:t>See also</w:t>
      </w:r>
      <w:r w:rsidRPr="0096524F">
        <w:t xml:space="preserve"> New York Times Co.</w:t>
      </w:r>
      <w:r w:rsidRPr="0096524F">
        <w:t xml:space="preserve"> </w:t>
      </w:r>
      <w:r w:rsidRPr="0096524F">
        <w:t>v.</w:t>
      </w:r>
      <w:r w:rsidRPr="0096524F">
        <w:t xml:space="preserve"> </w:t>
      </w:r>
      <w:r w:rsidRPr="0096524F">
        <w:t>Microsoft Corp., 2025 WL 1009179, at *25, 2025 BL 114980 (S.D.N.Y.</w:t>
      </w:r>
      <w:r w:rsidRPr="0096524F">
        <w:t xml:space="preserve"> </w:t>
      </w:r>
      <w:r w:rsidRPr="0096524F">
        <w:t>Apr.</w:t>
      </w:r>
      <w:r w:rsidRPr="0096524F">
        <w:t xml:space="preserve"> </w:t>
      </w:r>
      <w:r w:rsidRPr="0096524F">
        <w:t>4, 2025), where the court, in the course of denying a motion to dismiss based on a lack of fame, indicated that the plaintiff newspapers had asserted a tarnishment claim by alleging that defendant’s artificial intelligence engine diluted their trademarks by incorrectly identifying certain “low quality writing” as attributable to the plaintiffs.</w:t>
      </w:r>
    </w:p>
  </w:footnote>
  <w:footnote w:id="459">
    <w:p w14:paraId="4EBFC1D7" w14:textId="55F502F8" w:rsidR="0096524F" w:rsidRPr="0096524F" w:rsidRDefault="0096524F" w:rsidP="0096524F">
      <w:pPr>
        <w:pStyle w:val="FootnoteText"/>
      </w:pPr>
      <w:r w:rsidRPr="0096524F">
        <w:rPr>
          <w:vertAlign w:val="superscript"/>
        </w:rPr>
        <w:footnoteRef/>
      </w:r>
      <w:r w:rsidRPr="0096524F">
        <w:t>2016 WL 8223436, 2016 BL 491146 (E.D.</w:t>
      </w:r>
      <w:r w:rsidRPr="0096524F">
        <w:t xml:space="preserve"> </w:t>
      </w:r>
      <w:r w:rsidRPr="0096524F">
        <w:t>Va.</w:t>
      </w:r>
      <w:r w:rsidRPr="0096524F">
        <w:t xml:space="preserve"> </w:t>
      </w:r>
      <w:r w:rsidRPr="0096524F">
        <w:t>Apr.</w:t>
      </w:r>
      <w:r w:rsidRPr="0096524F">
        <w:t xml:space="preserve"> </w:t>
      </w:r>
      <w:r w:rsidRPr="0096524F">
        <w:t>8, 2016).</w:t>
      </w:r>
    </w:p>
    <w:p w14:paraId="2D7C44C0" w14:textId="77777777" w:rsidR="0096524F" w:rsidRPr="00FC2AE2" w:rsidRDefault="0096524F" w:rsidP="006B217F">
      <w:pPr>
        <w:pStyle w:val="footnote"/>
      </w:pPr>
    </w:p>
  </w:footnote>
  <w:footnote w:id="460">
    <w:p w14:paraId="756E45E1" w14:textId="665C613B"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*7.</w:t>
      </w:r>
    </w:p>
    <w:p w14:paraId="227BB1CA" w14:textId="77777777" w:rsidR="0096524F" w:rsidRDefault="0096524F" w:rsidP="00D758BD">
      <w:pPr>
        <w:pStyle w:val="footnote"/>
      </w:pPr>
    </w:p>
  </w:footnote>
  <w:footnote w:id="461">
    <w:p w14:paraId="15BBAE46" w14:textId="6FDF5ADA" w:rsidR="0096524F" w:rsidRPr="00FC2AE2" w:rsidRDefault="0096524F" w:rsidP="0096524F">
      <w:pPr>
        <w:pStyle w:val="FootnoteText"/>
        <w:rPr>
          <w:lang w:val="sv-SE"/>
        </w:rPr>
      </w:pPr>
      <w:r w:rsidRPr="0096524F">
        <w:rPr>
          <w:rStyle w:val="FootnoteReference"/>
          <w:rFonts w:eastAsiaTheme="majorEastAsia"/>
        </w:rPr>
        <w:footnoteRef/>
      </w:r>
      <w:r w:rsidRPr="0096524F">
        <w:t>744 F.</w:t>
      </w:r>
      <w:r w:rsidRPr="0096524F">
        <w:t xml:space="preserve"> </w:t>
      </w:r>
      <w:r w:rsidRPr="0096524F">
        <w:t>Supp.</w:t>
      </w:r>
      <w:r w:rsidRPr="0096524F">
        <w:t xml:space="preserve"> </w:t>
      </w:r>
      <w:r w:rsidRPr="0096524F">
        <w:t>3d 894 (D.</w:t>
      </w:r>
      <w:r w:rsidRPr="0096524F">
        <w:t xml:space="preserve"> </w:t>
      </w:r>
      <w:r w:rsidRPr="0096524F">
        <w:t>Minn.</w:t>
      </w:r>
      <w:r w:rsidRPr="0096524F">
        <w:t xml:space="preserve"> </w:t>
      </w:r>
      <w:r w:rsidRPr="0096524F">
        <w:t>2024).</w:t>
      </w:r>
    </w:p>
  </w:footnote>
  <w:footnote w:id="462">
    <w:p w14:paraId="3D2B18F8" w14:textId="010AFFE3" w:rsidR="0096524F" w:rsidRPr="00FC2AE2" w:rsidRDefault="0096524F" w:rsidP="0096524F">
      <w:pPr>
        <w:pStyle w:val="FootnoteText"/>
        <w:rPr>
          <w:lang w:val="nb-NO"/>
        </w:rPr>
      </w:pPr>
      <w:r w:rsidRPr="0096524F">
        <w:rPr>
          <w:rStyle w:val="FootnoteReference"/>
          <w:rFonts w:eastAsiaTheme="majorEastAsia"/>
        </w:rPr>
        <w:footnoteRef/>
      </w:r>
      <w:r w:rsidRPr="0096524F">
        <w:rPr>
          <w:i/>
        </w:rPr>
        <w:t>Id</w:t>
      </w:r>
      <w:r w:rsidRPr="0096524F">
        <w:t>.</w:t>
      </w:r>
      <w:r w:rsidRPr="0096524F">
        <w:t xml:space="preserve"> </w:t>
      </w:r>
      <w:r w:rsidRPr="0096524F">
        <w:t>at 905.</w:t>
      </w:r>
    </w:p>
  </w:footnote>
  <w:footnote w:id="463">
    <w:p w14:paraId="53440057" w14:textId="34FB0514" w:rsidR="0096524F" w:rsidRDefault="0096524F" w:rsidP="0096524F">
      <w:pPr>
        <w:pStyle w:val="FootnoteText"/>
      </w:pPr>
      <w:r w:rsidRPr="0096524F">
        <w:rPr>
          <w:rStyle w:val="FootnoteReference"/>
          <w:rFonts w:eastAsiaTheme="majorEastAsia"/>
        </w:rPr>
        <w:footnoteRef/>
      </w:r>
      <w:r w:rsidRPr="0096524F">
        <w:t>328 F.</w:t>
      </w:r>
      <w:r w:rsidRPr="0096524F">
        <w:t xml:space="preserve"> </w:t>
      </w:r>
      <w:r w:rsidRPr="0096524F">
        <w:t>Supp.</w:t>
      </w:r>
      <w:r w:rsidRPr="0096524F">
        <w:t xml:space="preserve"> </w:t>
      </w:r>
      <w:r w:rsidRPr="0096524F">
        <w:t>3d 1007 (N.D.</w:t>
      </w:r>
      <w:r w:rsidRPr="0096524F">
        <w:t xml:space="preserve"> </w:t>
      </w:r>
      <w:r w:rsidRPr="0096524F">
        <w:t>Cal.</w:t>
      </w:r>
      <w:r w:rsidRPr="0096524F">
        <w:t xml:space="preserve"> </w:t>
      </w:r>
      <w:r w:rsidRPr="0096524F">
        <w:t>2018).</w:t>
      </w:r>
    </w:p>
  </w:footnote>
  <w:footnote w:id="464">
    <w:p w14:paraId="5FF499A6" w14:textId="1E0746B6" w:rsidR="0096524F" w:rsidRPr="00542CDE" w:rsidRDefault="0096524F" w:rsidP="0096524F">
      <w:pPr>
        <w:pStyle w:val="FootnoteText"/>
      </w:pPr>
      <w:r w:rsidRPr="0096524F">
        <w:rPr>
          <w:rStyle w:val="FootnoteReference"/>
          <w:rFonts w:eastAsiaTheme="majorEastAsia"/>
        </w:rPr>
        <w:footnoteRef/>
      </w:r>
      <w:r w:rsidRPr="0096524F">
        <w:rPr>
          <w:i/>
        </w:rPr>
        <w:t>Id</w:t>
      </w:r>
      <w:r w:rsidRPr="0096524F">
        <w:t>.</w:t>
      </w:r>
      <w:r w:rsidRPr="0096524F">
        <w:t xml:space="preserve"> </w:t>
      </w:r>
      <w:r w:rsidRPr="0096524F">
        <w:t>at 1024.</w:t>
      </w:r>
    </w:p>
  </w:footnote>
  <w:footnote w:id="465">
    <w:p w14:paraId="0D6FEB9C" w14:textId="184A3E1F" w:rsidR="0096524F" w:rsidRPr="00EB11B3" w:rsidRDefault="0096524F" w:rsidP="0096524F">
      <w:pPr>
        <w:pStyle w:val="FootnoteText"/>
      </w:pPr>
      <w:r w:rsidRPr="0096524F">
        <w:rPr>
          <w:vertAlign w:val="superscript"/>
        </w:rPr>
        <w:footnoteRef/>
      </w:r>
      <w:r w:rsidRPr="0096524F">
        <w:t xml:space="preserve">203 F.3d 596 (9th Cir.), </w:t>
      </w:r>
      <w:r w:rsidRPr="0096524F">
        <w:rPr>
          <w:i/>
        </w:rPr>
        <w:t>cert</w:t>
      </w:r>
      <w:r w:rsidRPr="0096524F">
        <w:t>.</w:t>
      </w:r>
      <w:r w:rsidRPr="0096524F">
        <w:t xml:space="preserve"> </w:t>
      </w:r>
      <w:r w:rsidRPr="0096524F">
        <w:rPr>
          <w:i/>
        </w:rPr>
        <w:t>denied,</w:t>
      </w:r>
      <w:r w:rsidRPr="0096524F">
        <w:t xml:space="preserve"> 531 U.S.</w:t>
      </w:r>
      <w:r w:rsidRPr="0096524F">
        <w:t xml:space="preserve"> </w:t>
      </w:r>
      <w:r w:rsidRPr="0096524F">
        <w:t>871 (2000).</w:t>
      </w:r>
    </w:p>
  </w:footnote>
  <w:footnote w:id="466">
    <w:p w14:paraId="10AFBD40" w14:textId="733DEFB5"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609.</w:t>
      </w:r>
    </w:p>
  </w:footnote>
  <w:footnote w:id="467">
    <w:p w14:paraId="392755B1" w14:textId="7029A89D"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608–09.</w:t>
      </w:r>
      <w:r w:rsidRPr="0096524F">
        <w:t xml:space="preserve"> </w:t>
      </w:r>
      <w:r w:rsidRPr="0096524F">
        <w:t>The court appeared skeptical that poor quality alone could even support a tarnishment claim.</w:t>
      </w:r>
      <w:r w:rsidRPr="0096524F">
        <w:t xml:space="preserve"> </w:t>
      </w:r>
      <w:r w:rsidRPr="0096524F">
        <w:rPr>
          <w:i/>
        </w:rPr>
        <w:t>Id</w:t>
      </w:r>
      <w:r w:rsidRPr="0096524F">
        <w:t>.</w:t>
      </w:r>
      <w:r w:rsidRPr="0096524F">
        <w:t xml:space="preserve"> </w:t>
      </w:r>
      <w:r w:rsidRPr="0096524F">
        <w:t>at 609.</w:t>
      </w:r>
    </w:p>
  </w:footnote>
  <w:footnote w:id="468">
    <w:p w14:paraId="7FA9C4B6" w14:textId="62B9531A" w:rsidR="0096524F" w:rsidRPr="00EB11B3" w:rsidRDefault="0096524F" w:rsidP="0096524F">
      <w:pPr>
        <w:pStyle w:val="FootnoteText"/>
      </w:pPr>
      <w:r w:rsidRPr="0096524F">
        <w:rPr>
          <w:vertAlign w:val="superscript"/>
        </w:rPr>
        <w:footnoteRef/>
      </w:r>
      <w:r w:rsidRPr="0096524F">
        <w:t>2010 WL 900525, 2010 BL 399404 (S.D.</w:t>
      </w:r>
      <w:r w:rsidRPr="0096524F">
        <w:t xml:space="preserve"> </w:t>
      </w:r>
      <w:r w:rsidRPr="0096524F">
        <w:t>Fla.</w:t>
      </w:r>
      <w:r w:rsidRPr="0096524F">
        <w:t xml:space="preserve"> </w:t>
      </w:r>
      <w:r w:rsidRPr="0096524F">
        <w:t>Mar.</w:t>
      </w:r>
      <w:r w:rsidRPr="0096524F">
        <w:t xml:space="preserve"> </w:t>
      </w:r>
      <w:r w:rsidRPr="0096524F">
        <w:t>11, 2010).</w:t>
      </w:r>
    </w:p>
  </w:footnote>
  <w:footnote w:id="469">
    <w:p w14:paraId="1FBFC2A4" w14:textId="09368307"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w:t>
      </w:r>
    </w:p>
  </w:footnote>
  <w:footnote w:id="470">
    <w:p w14:paraId="7B6A9285" w14:textId="763B271F" w:rsidR="0096524F" w:rsidRPr="0096524F" w:rsidRDefault="0096524F" w:rsidP="0096524F">
      <w:pPr>
        <w:pStyle w:val="FootnoteText"/>
      </w:pPr>
      <w:r w:rsidRPr="0096524F">
        <w:rPr>
          <w:vertAlign w:val="superscript"/>
        </w:rPr>
        <w:footnoteRef/>
      </w:r>
      <w:r w:rsidRPr="0096524F">
        <w:t>2013 U.S.</w:t>
      </w:r>
      <w:r w:rsidRPr="0096524F">
        <w:t xml:space="preserve"> </w:t>
      </w:r>
      <w:r w:rsidRPr="0096524F">
        <w:t>Dist.</w:t>
      </w:r>
      <w:r w:rsidRPr="0096524F">
        <w:t xml:space="preserve"> </w:t>
      </w:r>
      <w:r w:rsidRPr="0096524F">
        <w:t>LEXIS 41810 (W.D.</w:t>
      </w:r>
      <w:r w:rsidRPr="0096524F">
        <w:t xml:space="preserve"> </w:t>
      </w:r>
      <w:r w:rsidRPr="0096524F">
        <w:t>Wash.</w:t>
      </w:r>
      <w:r w:rsidRPr="0096524F">
        <w:t xml:space="preserve"> </w:t>
      </w:r>
      <w:r w:rsidRPr="0096524F">
        <w:t>Mar.</w:t>
      </w:r>
      <w:r w:rsidRPr="0096524F">
        <w:t xml:space="preserve"> </w:t>
      </w:r>
      <w:r w:rsidRPr="0096524F">
        <w:t>25, 2013).</w:t>
      </w:r>
    </w:p>
    <w:p w14:paraId="4283E8A2" w14:textId="77777777" w:rsidR="0096524F" w:rsidRDefault="0096524F" w:rsidP="00D758BD">
      <w:pPr>
        <w:pStyle w:val="footnote"/>
      </w:pPr>
    </w:p>
  </w:footnote>
  <w:footnote w:id="471">
    <w:p w14:paraId="6BC5F3FC" w14:textId="0B4D5DEA"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*36–39.</w:t>
      </w:r>
    </w:p>
    <w:p w14:paraId="242DF120" w14:textId="77777777" w:rsidR="0096524F" w:rsidRPr="00882ED4" w:rsidRDefault="0096524F" w:rsidP="00D758BD">
      <w:pPr>
        <w:pStyle w:val="footnote"/>
        <w:rPr>
          <w:lang w:val="da-DK"/>
        </w:rPr>
      </w:pPr>
    </w:p>
  </w:footnote>
  <w:footnote w:id="472">
    <w:p w14:paraId="5B2C0B9C" w14:textId="5ADC252F" w:rsidR="0096524F" w:rsidRPr="0096524F" w:rsidRDefault="0096524F" w:rsidP="0096524F">
      <w:pPr>
        <w:pStyle w:val="FootnoteText"/>
      </w:pPr>
      <w:r w:rsidRPr="0096524F">
        <w:rPr>
          <w:vertAlign w:val="superscript"/>
        </w:rPr>
        <w:footnoteRef/>
      </w:r>
      <w:r w:rsidRPr="0096524F">
        <w:t>2015 WL 7283176, 2015 BL 377863 (N.D.</w:t>
      </w:r>
      <w:r w:rsidRPr="0096524F">
        <w:t xml:space="preserve"> </w:t>
      </w:r>
      <w:r w:rsidRPr="0096524F">
        <w:t>Ind.</w:t>
      </w:r>
      <w:r w:rsidRPr="0096524F">
        <w:t xml:space="preserve"> </w:t>
      </w:r>
      <w:r w:rsidRPr="0096524F">
        <w:t>Nov.</w:t>
      </w:r>
      <w:r w:rsidRPr="0096524F">
        <w:t xml:space="preserve"> </w:t>
      </w:r>
      <w:r w:rsidRPr="0096524F">
        <w:t>17, 2015).</w:t>
      </w:r>
    </w:p>
    <w:p w14:paraId="43C6353D" w14:textId="77777777" w:rsidR="0096524F" w:rsidRPr="00FC2AE2" w:rsidRDefault="0096524F" w:rsidP="00C65B0B">
      <w:pPr>
        <w:pStyle w:val="footnote"/>
      </w:pPr>
    </w:p>
  </w:footnote>
  <w:footnote w:id="473">
    <w:p w14:paraId="1AF7B169" w14:textId="3218A097"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*1–2, 4.</w:t>
      </w:r>
    </w:p>
    <w:p w14:paraId="2B5DB73A" w14:textId="77777777" w:rsidR="0096524F" w:rsidRDefault="0096524F" w:rsidP="00D758BD">
      <w:pPr>
        <w:pStyle w:val="footnote"/>
      </w:pPr>
    </w:p>
  </w:footnote>
  <w:footnote w:id="474">
    <w:p w14:paraId="7FED14FB" w14:textId="2420D3EC" w:rsidR="0096524F" w:rsidRPr="0096524F" w:rsidRDefault="0096524F" w:rsidP="0096524F">
      <w:pPr>
        <w:pStyle w:val="FootnoteText"/>
      </w:pPr>
      <w:r w:rsidRPr="0096524F">
        <w:rPr>
          <w:vertAlign w:val="superscript"/>
        </w:rPr>
        <w:footnoteRef/>
      </w:r>
      <w:r w:rsidRPr="0096524F">
        <w:t>2017 U.S.</w:t>
      </w:r>
      <w:r w:rsidRPr="0096524F">
        <w:t xml:space="preserve"> </w:t>
      </w:r>
      <w:r w:rsidRPr="0096524F">
        <w:t>Dist.</w:t>
      </w:r>
      <w:r w:rsidRPr="0096524F">
        <w:t xml:space="preserve"> </w:t>
      </w:r>
      <w:r w:rsidRPr="0096524F">
        <w:t>LEXIS 17576, 2017 WL 510896, 2017 BL 38164 (N.D.</w:t>
      </w:r>
      <w:r w:rsidRPr="0096524F">
        <w:t xml:space="preserve"> </w:t>
      </w:r>
      <w:r w:rsidRPr="0096524F">
        <w:t>Ga.</w:t>
      </w:r>
      <w:r w:rsidRPr="0096524F">
        <w:t xml:space="preserve"> </w:t>
      </w:r>
      <w:r w:rsidRPr="0096524F">
        <w:t>Feb.</w:t>
      </w:r>
      <w:r w:rsidRPr="0096524F">
        <w:t xml:space="preserve"> </w:t>
      </w:r>
      <w:r w:rsidRPr="0096524F">
        <w:t>8, 2017).</w:t>
      </w:r>
    </w:p>
    <w:p w14:paraId="454AEAFA" w14:textId="77777777" w:rsidR="0096524F" w:rsidRDefault="0096524F" w:rsidP="00231D02">
      <w:pPr>
        <w:pStyle w:val="footnote"/>
      </w:pPr>
    </w:p>
  </w:footnote>
  <w:footnote w:id="475">
    <w:p w14:paraId="340D6DD7" w14:textId="1F37A95B"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*15–19.</w:t>
      </w:r>
      <w:r w:rsidRPr="0096524F">
        <w:t xml:space="preserve"> </w:t>
      </w:r>
      <w:r w:rsidRPr="0096524F">
        <w:rPr>
          <w:i/>
        </w:rPr>
        <w:t>Accord</w:t>
      </w:r>
      <w:r w:rsidRPr="0096524F">
        <w:t xml:space="preserve"> Eleutian Tech., Inc.</w:t>
      </w:r>
      <w:r w:rsidRPr="0096524F">
        <w:t xml:space="preserve"> </w:t>
      </w:r>
      <w:r w:rsidRPr="0096524F">
        <w:t>v.</w:t>
      </w:r>
      <w:r w:rsidRPr="0096524F">
        <w:t xml:space="preserve"> </w:t>
      </w:r>
      <w:r w:rsidRPr="0096524F">
        <w:t>Ellucian Co., 2017 U.S.</w:t>
      </w:r>
      <w:r w:rsidRPr="0096524F">
        <w:t xml:space="preserve"> </w:t>
      </w:r>
      <w:r w:rsidRPr="0096524F">
        <w:t>Dist.</w:t>
      </w:r>
      <w:r w:rsidRPr="0096524F">
        <w:t xml:space="preserve"> </w:t>
      </w:r>
      <w:r w:rsidRPr="0096524F">
        <w:t>LEXIS 25589, at *17–21 (D.</w:t>
      </w:r>
      <w:r w:rsidRPr="0096524F">
        <w:t xml:space="preserve"> </w:t>
      </w:r>
      <w:r w:rsidRPr="0096524F">
        <w:t>Utah Feb.</w:t>
      </w:r>
      <w:r w:rsidRPr="0096524F">
        <w:t xml:space="preserve"> </w:t>
      </w:r>
      <w:r w:rsidRPr="0096524F">
        <w:t>21, 2017) (dismissing allegations of tarnishment as conclusory, but with leave to amend).</w:t>
      </w:r>
    </w:p>
    <w:p w14:paraId="023B9EBC" w14:textId="77777777" w:rsidR="0096524F" w:rsidRDefault="0096524F" w:rsidP="00D758BD">
      <w:pPr>
        <w:pStyle w:val="footnote"/>
      </w:pPr>
    </w:p>
  </w:footnote>
  <w:footnote w:id="476">
    <w:p w14:paraId="1C932EF4" w14:textId="520CFA9B" w:rsidR="0096524F" w:rsidRPr="00882ED4" w:rsidRDefault="0096524F" w:rsidP="0096524F">
      <w:pPr>
        <w:pStyle w:val="FootnoteText"/>
        <w:rPr>
          <w:lang w:val="es-US"/>
        </w:rPr>
      </w:pPr>
      <w:r w:rsidRPr="0096524F">
        <w:rPr>
          <w:vertAlign w:val="superscript"/>
        </w:rPr>
        <w:footnoteRef/>
      </w:r>
      <w:r w:rsidRPr="0096524F">
        <w:t>588 F.3d 97, 92 USPQ2d 1769 (2d Cir.</w:t>
      </w:r>
      <w:r w:rsidRPr="0096524F">
        <w:t xml:space="preserve"> </w:t>
      </w:r>
      <w:r w:rsidRPr="0096524F">
        <w:t>2009).</w:t>
      </w:r>
    </w:p>
  </w:footnote>
  <w:footnote w:id="477">
    <w:p w14:paraId="7531AA1B" w14:textId="3568C2BA"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111.</w:t>
      </w:r>
    </w:p>
  </w:footnote>
  <w:footnote w:id="478">
    <w:p w14:paraId="5F1C73A0" w14:textId="6A025E0F" w:rsidR="0096524F" w:rsidRPr="00EB11B3" w:rsidRDefault="0096524F" w:rsidP="0096524F">
      <w:pPr>
        <w:pStyle w:val="FootnoteText"/>
      </w:pPr>
      <w:r w:rsidRPr="0096524F">
        <w:rPr>
          <w:vertAlign w:val="superscript"/>
        </w:rPr>
        <w:footnoteRef/>
      </w:r>
      <w:r w:rsidRPr="0096524F">
        <w:t>10 F.</w:t>
      </w:r>
      <w:r w:rsidRPr="0096524F">
        <w:t xml:space="preserve"> </w:t>
      </w:r>
      <w:r w:rsidRPr="0096524F">
        <w:t>Supp.</w:t>
      </w:r>
      <w:r w:rsidRPr="0096524F">
        <w:t xml:space="preserve"> </w:t>
      </w:r>
      <w:r w:rsidRPr="0096524F">
        <w:t>2d 271, 47 USPQ2d 1558 (S.D.N.Y.</w:t>
      </w:r>
      <w:r w:rsidRPr="0096524F">
        <w:t xml:space="preserve"> </w:t>
      </w:r>
      <w:r w:rsidRPr="0096524F">
        <w:t>1998).</w:t>
      </w:r>
    </w:p>
  </w:footnote>
  <w:footnote w:id="479">
    <w:p w14:paraId="60D61882" w14:textId="683A4BF8"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287–89.</w:t>
      </w:r>
      <w:r w:rsidRPr="0096524F">
        <w:t xml:space="preserve"> </w:t>
      </w:r>
      <w:r w:rsidRPr="0096524F">
        <w:t xml:space="preserve">Both parties used service marks whose key term was “Lexington.” </w:t>
      </w:r>
      <w:r w:rsidRPr="0096524F">
        <w:rPr>
          <w:i/>
        </w:rPr>
        <w:t>See also</w:t>
      </w:r>
      <w:r w:rsidRPr="0096524F">
        <w:t xml:space="preserve"> Kellogg Co.</w:t>
      </w:r>
      <w:r w:rsidRPr="0096524F">
        <w:t xml:space="preserve"> </w:t>
      </w:r>
      <w:r w:rsidRPr="0096524F">
        <w:t>v.</w:t>
      </w:r>
      <w:r w:rsidRPr="0096524F">
        <w:t xml:space="preserve"> </w:t>
      </w:r>
      <w:r w:rsidRPr="0096524F">
        <w:t>Exxon Mobil Corp., 192 F.</w:t>
      </w:r>
      <w:r w:rsidRPr="0096524F">
        <w:t xml:space="preserve"> </w:t>
      </w:r>
      <w:r w:rsidRPr="0096524F">
        <w:t>Supp.</w:t>
      </w:r>
      <w:r w:rsidRPr="0096524F">
        <w:t xml:space="preserve"> </w:t>
      </w:r>
      <w:r w:rsidRPr="0096524F">
        <w:t>2d 790, 809-11 59 USPQ2d 1551 (W.D.</w:t>
      </w:r>
      <w:r w:rsidRPr="0096524F">
        <w:t xml:space="preserve"> </w:t>
      </w:r>
      <w:r w:rsidRPr="0096524F">
        <w:t>Tenn.</w:t>
      </w:r>
      <w:r w:rsidRPr="0096524F">
        <w:t xml:space="preserve"> </w:t>
      </w:r>
      <w:r w:rsidRPr="0096524F">
        <w:t>2001) (rejecting state law tarnishment claim that association of Exxon’s cartoon tiger with oil company would tarnish Kellogg’s Tony the Tiger mark).</w:t>
      </w:r>
      <w:r w:rsidRPr="0096524F">
        <w:t xml:space="preserve"> </w:t>
      </w:r>
      <w:r w:rsidRPr="0096524F">
        <w:rPr>
          <w:i/>
        </w:rPr>
        <w:t>Cf</w:t>
      </w:r>
      <w:r w:rsidRPr="0096524F">
        <w:t>.</w:t>
      </w:r>
      <w:r w:rsidRPr="0096524F">
        <w:t xml:space="preserve"> </w:t>
      </w:r>
      <w:r w:rsidRPr="0096524F">
        <w:t>Motorsport Eng’g, Inc.</w:t>
      </w:r>
      <w:r w:rsidRPr="0096524F">
        <w:t xml:space="preserve"> </w:t>
      </w:r>
      <w:r w:rsidRPr="0096524F">
        <w:t>v.</w:t>
      </w:r>
      <w:r w:rsidRPr="0096524F">
        <w:t xml:space="preserve"> </w:t>
      </w:r>
      <w:r w:rsidRPr="0096524F">
        <w:t>Maserati, S.P.A., 183 F.</w:t>
      </w:r>
      <w:r w:rsidRPr="0096524F">
        <w:t xml:space="preserve"> </w:t>
      </w:r>
      <w:r w:rsidRPr="0096524F">
        <w:t>Supp.</w:t>
      </w:r>
      <w:r w:rsidRPr="0096524F">
        <w:t xml:space="preserve"> </w:t>
      </w:r>
      <w:r w:rsidRPr="0096524F">
        <w:t>2d 209, 227 (D.</w:t>
      </w:r>
      <w:r w:rsidRPr="0096524F">
        <w:t xml:space="preserve"> </w:t>
      </w:r>
      <w:r w:rsidRPr="0096524F">
        <w:t>Mass.</w:t>
      </w:r>
      <w:r w:rsidRPr="0096524F">
        <w:t xml:space="preserve"> </w:t>
      </w:r>
      <w:r w:rsidRPr="0096524F">
        <w:t xml:space="preserve">2001) (denying summary judgment on tarnishment claim for lack of evidence where plaintiff continued to hold self out as Maserati dealer after franchise expired), </w:t>
      </w:r>
      <w:r w:rsidRPr="0096524F">
        <w:rPr>
          <w:i/>
        </w:rPr>
        <w:t>aff’d</w:t>
      </w:r>
      <w:r w:rsidRPr="0096524F">
        <w:t>, 316 F.3d 26 (1st Cir.</w:t>
      </w:r>
      <w:r w:rsidRPr="0096524F">
        <w:t xml:space="preserve"> </w:t>
      </w:r>
      <w:r w:rsidRPr="0096524F">
        <w:t>2002) (the court of appeals did not discuss the tarnishment claim).</w:t>
      </w:r>
    </w:p>
  </w:footnote>
  <w:footnote w:id="480">
    <w:p w14:paraId="08DFD80C" w14:textId="31438800" w:rsidR="0096524F" w:rsidRPr="00EB11B3" w:rsidRDefault="0096524F" w:rsidP="0096524F">
      <w:pPr>
        <w:pStyle w:val="FootnoteText"/>
      </w:pPr>
      <w:r w:rsidRPr="0096524F">
        <w:rPr>
          <w:vertAlign w:val="superscript"/>
        </w:rPr>
        <w:footnoteRef/>
      </w:r>
      <w:r w:rsidRPr="0096524F">
        <w:t>61 F.</w:t>
      </w:r>
      <w:r w:rsidRPr="0096524F">
        <w:t xml:space="preserve"> </w:t>
      </w:r>
      <w:r w:rsidRPr="0096524F">
        <w:t>Supp.</w:t>
      </w:r>
      <w:r w:rsidRPr="0096524F">
        <w:t xml:space="preserve"> </w:t>
      </w:r>
      <w:r w:rsidRPr="0096524F">
        <w:t>2d 700 (N.D.</w:t>
      </w:r>
      <w:r w:rsidRPr="0096524F">
        <w:t xml:space="preserve"> </w:t>
      </w:r>
      <w:r w:rsidRPr="0096524F">
        <w:t>Ohio 1999).</w:t>
      </w:r>
    </w:p>
  </w:footnote>
  <w:footnote w:id="481">
    <w:p w14:paraId="5E26B450" w14:textId="1F8145E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718.</w:t>
      </w:r>
    </w:p>
  </w:footnote>
  <w:footnote w:id="482">
    <w:p w14:paraId="32E0F154" w14:textId="7F296F93" w:rsidR="0096524F" w:rsidRPr="00EB11B3" w:rsidRDefault="0096524F" w:rsidP="0096524F">
      <w:pPr>
        <w:pStyle w:val="FootnoteText"/>
      </w:pPr>
      <w:r w:rsidRPr="0096524F">
        <w:rPr>
          <w:vertAlign w:val="superscript"/>
        </w:rPr>
        <w:footnoteRef/>
      </w:r>
      <w:r w:rsidRPr="0096524F">
        <w:t>129 F.</w:t>
      </w:r>
      <w:r w:rsidRPr="0096524F">
        <w:t xml:space="preserve"> </w:t>
      </w:r>
      <w:r w:rsidRPr="0096524F">
        <w:t>Supp.</w:t>
      </w:r>
      <w:r w:rsidRPr="0096524F">
        <w:t xml:space="preserve"> </w:t>
      </w:r>
      <w:r w:rsidRPr="0096524F">
        <w:t>2d 254 (S.D.N.Y.</w:t>
      </w:r>
      <w:r w:rsidRPr="0096524F">
        <w:t xml:space="preserve"> </w:t>
      </w:r>
      <w:r w:rsidRPr="0096524F">
        <w:t>2001).</w:t>
      </w:r>
    </w:p>
  </w:footnote>
  <w:footnote w:id="483">
    <w:p w14:paraId="54A9C0D1" w14:textId="3D649753"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257.</w:t>
      </w:r>
    </w:p>
  </w:footnote>
  <w:footnote w:id="484">
    <w:p w14:paraId="1DC962A8" w14:textId="570E1927" w:rsidR="0096524F" w:rsidRPr="00EB11B3" w:rsidRDefault="0096524F" w:rsidP="0096524F">
      <w:pPr>
        <w:pStyle w:val="FootnoteText"/>
      </w:pPr>
      <w:r w:rsidRPr="0096524F">
        <w:rPr>
          <w:vertAlign w:val="superscript"/>
        </w:rPr>
        <w:footnoteRef/>
      </w:r>
      <w:r w:rsidRPr="0096524F">
        <w:rPr>
          <w:i/>
        </w:rPr>
        <w:t>Id</w:t>
      </w:r>
      <w:r w:rsidRPr="0096524F">
        <w:t>.</w:t>
      </w:r>
    </w:p>
  </w:footnote>
  <w:footnote w:id="485">
    <w:p w14:paraId="44D9E285" w14:textId="29814F68" w:rsidR="0096524F" w:rsidRPr="00EB11B3" w:rsidRDefault="0096524F" w:rsidP="0096524F">
      <w:pPr>
        <w:pStyle w:val="FootnoteText"/>
      </w:pPr>
      <w:r w:rsidRPr="0096524F">
        <w:rPr>
          <w:vertAlign w:val="superscript"/>
        </w:rPr>
        <w:footnoteRef/>
      </w:r>
      <w:r w:rsidRPr="0096524F">
        <w:t>267 F.</w:t>
      </w:r>
      <w:r w:rsidRPr="0096524F">
        <w:t xml:space="preserve"> </w:t>
      </w:r>
      <w:r w:rsidRPr="0096524F">
        <w:t>Supp.</w:t>
      </w:r>
      <w:r w:rsidRPr="0096524F">
        <w:t xml:space="preserve"> </w:t>
      </w:r>
      <w:r w:rsidRPr="0096524F">
        <w:t>2d 1268, 1332–33 (S.D.</w:t>
      </w:r>
      <w:r w:rsidRPr="0096524F">
        <w:t xml:space="preserve"> </w:t>
      </w:r>
      <w:r w:rsidRPr="0096524F">
        <w:t>Fla.</w:t>
      </w:r>
      <w:r w:rsidRPr="0096524F">
        <w:t xml:space="preserve"> </w:t>
      </w:r>
      <w:r w:rsidRPr="0096524F">
        <w:t>2003).</w:t>
      </w:r>
    </w:p>
  </w:footnote>
  <w:footnote w:id="486">
    <w:p w14:paraId="7FA08777" w14:textId="214BC395"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7-Eleven, Inc.</w:t>
      </w:r>
      <w:r w:rsidRPr="0096524F">
        <w:t xml:space="preserve"> </w:t>
      </w:r>
      <w:r w:rsidRPr="0096524F">
        <w:t>v.</w:t>
      </w:r>
      <w:r w:rsidRPr="0096524F">
        <w:t xml:space="preserve"> </w:t>
      </w:r>
      <w:r w:rsidRPr="0096524F">
        <w:t>McEvoy, 300 F.</w:t>
      </w:r>
      <w:r w:rsidRPr="0096524F">
        <w:t xml:space="preserve"> </w:t>
      </w:r>
      <w:r w:rsidRPr="0096524F">
        <w:t>Supp.</w:t>
      </w:r>
      <w:r w:rsidRPr="0096524F">
        <w:t xml:space="preserve"> </w:t>
      </w:r>
      <w:r w:rsidRPr="0096524F">
        <w:t>2d 352, 357 (D.</w:t>
      </w:r>
      <w:r w:rsidRPr="0096524F">
        <w:t xml:space="preserve"> </w:t>
      </w:r>
      <w:r w:rsidRPr="0096524F">
        <w:t>Md.</w:t>
      </w:r>
      <w:r w:rsidRPr="0096524F">
        <w:t xml:space="preserve"> </w:t>
      </w:r>
      <w:r w:rsidRPr="0096524F">
        <w:t>2004) (terminated franchisee).</w:t>
      </w:r>
    </w:p>
  </w:footnote>
  <w:footnote w:id="487">
    <w:p w14:paraId="6EFB01EF" w14:textId="2022467D" w:rsidR="0096524F" w:rsidRDefault="0096524F" w:rsidP="0096524F">
      <w:pPr>
        <w:pStyle w:val="FootnoteText"/>
      </w:pPr>
      <w:r w:rsidRPr="0096524F">
        <w:rPr>
          <w:rStyle w:val="FootnoteReference"/>
          <w:rFonts w:eastAsiaTheme="majorEastAsia"/>
        </w:rPr>
        <w:footnoteRef/>
      </w:r>
      <w:r w:rsidRPr="0096524F">
        <w:t>Food Market Merch., Inc.</w:t>
      </w:r>
      <w:r w:rsidRPr="0096524F">
        <w:t xml:space="preserve"> </w:t>
      </w:r>
      <w:r w:rsidRPr="0096524F">
        <w:t>v.</w:t>
      </w:r>
      <w:r w:rsidRPr="0096524F">
        <w:t xml:space="preserve"> </w:t>
      </w:r>
      <w:r w:rsidRPr="0096524F">
        <w:t>California Milk Processing Bd., 2020 WL 2194013, at *8, 2020 BL 170383 (E.D.</w:t>
      </w:r>
      <w:r w:rsidRPr="0096524F">
        <w:t xml:space="preserve"> </w:t>
      </w:r>
      <w:r w:rsidRPr="0096524F">
        <w:t>Cal.</w:t>
      </w:r>
      <w:r w:rsidRPr="0096524F">
        <w:t xml:space="preserve"> </w:t>
      </w:r>
      <w:r w:rsidRPr="0096524F">
        <w:t>May 6, 2020) (dismissing a counterclaim).</w:t>
      </w:r>
    </w:p>
  </w:footnote>
  <w:footnote w:id="488">
    <w:p w14:paraId="6CEB3373" w14:textId="3B3DC7C4" w:rsidR="0096524F" w:rsidRPr="009D3449" w:rsidRDefault="0096524F" w:rsidP="0096524F">
      <w:pPr>
        <w:pStyle w:val="FootnoteText"/>
      </w:pPr>
      <w:r w:rsidRPr="0096524F">
        <w:rPr>
          <w:rStyle w:val="FootnoteReference"/>
        </w:rPr>
        <w:footnoteRef/>
      </w:r>
      <w:r w:rsidRPr="0096524F">
        <w:rPr>
          <w:i/>
        </w:rPr>
        <w:t>Id</w:t>
      </w:r>
      <w:r w:rsidRPr="0096524F">
        <w:t>.</w:t>
      </w:r>
      <w:r w:rsidRPr="0096524F">
        <w:t xml:space="preserve"> </w:t>
      </w:r>
      <w:r w:rsidRPr="0096524F">
        <w:rPr>
          <w:i/>
        </w:rPr>
        <w:t>Cf.</w:t>
      </w:r>
      <w:r w:rsidRPr="0096524F">
        <w:rPr>
          <w:i/>
        </w:rPr>
        <w:t xml:space="preserve"> </w:t>
      </w:r>
      <w:r w:rsidRPr="0096524F">
        <w:t>Hallmark Licensing LLC v.</w:t>
      </w:r>
      <w:r w:rsidRPr="0096524F">
        <w:t xml:space="preserve"> </w:t>
      </w:r>
      <w:r w:rsidRPr="0096524F">
        <w:t>Dickens, Inc., No.</w:t>
      </w:r>
      <w:r w:rsidRPr="0096524F">
        <w:t xml:space="preserve"> </w:t>
      </w:r>
      <w:r w:rsidRPr="0096524F">
        <w:t>CV 17-2149 (SJF)(AYS), 2020 WL 1914762, at *10 (E.D.N.Y.</w:t>
      </w:r>
      <w:r w:rsidRPr="0096524F">
        <w:t xml:space="preserve"> </w:t>
      </w:r>
      <w:r w:rsidRPr="0096524F">
        <w:t>Feb.</w:t>
      </w:r>
      <w:r w:rsidRPr="0096524F">
        <w:t xml:space="preserve"> </w:t>
      </w:r>
      <w:r w:rsidRPr="0096524F">
        <w:t>28, 2020) (finding blurring through distribution of outdated greeting cards).</w:t>
      </w:r>
    </w:p>
  </w:footnote>
  <w:footnote w:id="489">
    <w:p w14:paraId="52D3C59F" w14:textId="7BB5D4D6" w:rsidR="0096524F" w:rsidRPr="003F50C4"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w:t>
      </w:r>
      <w:r w:rsidRPr="0096524F">
        <w:rPr>
          <w:i/>
        </w:rPr>
        <w:t xml:space="preserve">, </w:t>
      </w:r>
      <w:r w:rsidRPr="0096524F">
        <w:t>Nike Inc.</w:t>
      </w:r>
      <w:r w:rsidRPr="0096524F">
        <w:t xml:space="preserve"> </w:t>
      </w:r>
      <w:r w:rsidRPr="0096524F">
        <w:t>v.</w:t>
      </w:r>
      <w:r w:rsidRPr="0096524F">
        <w:t xml:space="preserve"> </w:t>
      </w:r>
      <w:r w:rsidRPr="0096524F">
        <w:t>Variety Wholesalers, Inc., 274 F.</w:t>
      </w:r>
      <w:r w:rsidRPr="0096524F">
        <w:t xml:space="preserve"> </w:t>
      </w:r>
      <w:r w:rsidRPr="0096524F">
        <w:t>Supp.</w:t>
      </w:r>
      <w:r w:rsidRPr="0096524F">
        <w:t xml:space="preserve"> </w:t>
      </w:r>
      <w:r w:rsidRPr="0096524F">
        <w:t>2d 1352, 1372 (S.D.</w:t>
      </w:r>
      <w:r w:rsidRPr="0096524F">
        <w:t xml:space="preserve"> </w:t>
      </w:r>
      <w:r w:rsidRPr="0096524F">
        <w:t>Ga.</w:t>
      </w:r>
      <w:r w:rsidRPr="0096524F">
        <w:t xml:space="preserve"> </w:t>
      </w:r>
      <w:r w:rsidRPr="0096524F">
        <w:t>2003) (counterfeit goods);</w:t>
      </w:r>
      <w:r w:rsidRPr="0096524F">
        <w:t xml:space="preserve"> </w:t>
      </w:r>
      <w:r w:rsidRPr="0096524F">
        <w:t>Scott Fetzer Co.</w:t>
      </w:r>
      <w:r w:rsidRPr="0096524F">
        <w:t xml:space="preserve"> </w:t>
      </w:r>
      <w:r w:rsidRPr="0096524F">
        <w:t>v.</w:t>
      </w:r>
      <w:r w:rsidRPr="0096524F">
        <w:t xml:space="preserve"> </w:t>
      </w:r>
      <w:r w:rsidRPr="0096524F">
        <w:t>Gehring, 288 F.</w:t>
      </w:r>
      <w:r w:rsidRPr="0096524F">
        <w:t xml:space="preserve"> </w:t>
      </w:r>
      <w:r w:rsidRPr="0096524F">
        <w:t>Supp.</w:t>
      </w:r>
      <w:r w:rsidRPr="0096524F">
        <w:t xml:space="preserve"> </w:t>
      </w:r>
      <w:r w:rsidRPr="0096524F">
        <w:t>2d 696, 701–02 (E.D.</w:t>
      </w:r>
      <w:r w:rsidRPr="0096524F">
        <w:t xml:space="preserve"> </w:t>
      </w:r>
      <w:r w:rsidRPr="0096524F">
        <w:t>Pa.</w:t>
      </w:r>
      <w:r w:rsidRPr="0096524F">
        <w:t xml:space="preserve"> </w:t>
      </w:r>
      <w:r w:rsidRPr="0096524F">
        <w:t>2003) (sale of genuine goods in an unauthorized manner);</w:t>
      </w:r>
      <w:r w:rsidRPr="0096524F">
        <w:t xml:space="preserve"> </w:t>
      </w:r>
      <w:r w:rsidRPr="0096524F">
        <w:t>Perkins Sch.</w:t>
      </w:r>
      <w:r w:rsidRPr="0096524F">
        <w:t xml:space="preserve"> </w:t>
      </w:r>
      <w:r w:rsidRPr="0096524F">
        <w:t>for the Blind v.</w:t>
      </w:r>
      <w:r w:rsidRPr="0096524F">
        <w:t xml:space="preserve"> </w:t>
      </w:r>
      <w:r w:rsidRPr="0096524F">
        <w:t>Maxi-Aids, Inc., 274 F.</w:t>
      </w:r>
      <w:r w:rsidRPr="0096524F">
        <w:t xml:space="preserve"> </w:t>
      </w:r>
      <w:r w:rsidRPr="0096524F">
        <w:t>Supp.</w:t>
      </w:r>
      <w:r w:rsidRPr="0096524F">
        <w:t xml:space="preserve"> </w:t>
      </w:r>
      <w:r w:rsidRPr="0096524F">
        <w:t>2d 319, 325–26, 69 USPQ2d 1932 (E.D.N.Y.</w:t>
      </w:r>
      <w:r w:rsidRPr="0096524F">
        <w:t xml:space="preserve"> </w:t>
      </w:r>
      <w:r w:rsidRPr="0096524F">
        <w:t>2003) (gray market goods with substituted warranty).</w:t>
      </w:r>
      <w:r w:rsidRPr="0096524F">
        <w:t xml:space="preserve"> </w:t>
      </w:r>
      <w:r w:rsidRPr="0096524F">
        <w:t xml:space="preserve">As seen by these cases, this was true even under the actual dilution standard enunciated in </w:t>
      </w:r>
      <w:r w:rsidRPr="0096524F">
        <w:rPr>
          <w:i/>
        </w:rPr>
        <w:t>Moseley v</w:t>
      </w:r>
      <w:r w:rsidRPr="0096524F">
        <w:t>.</w:t>
      </w:r>
      <w:r w:rsidRPr="0096524F">
        <w:t xml:space="preserve"> </w:t>
      </w:r>
      <w:r w:rsidRPr="0096524F">
        <w:rPr>
          <w:i/>
        </w:rPr>
        <w:t>V Secret Catalogue, Inc</w:t>
      </w:r>
      <w:r w:rsidRPr="0096524F">
        <w:t>.</w:t>
      </w:r>
      <w:r w:rsidRPr="0096524F">
        <w:t xml:space="preserve"> </w:t>
      </w:r>
      <w:r w:rsidRPr="0096524F">
        <w:rPr>
          <w:i/>
        </w:rPr>
        <w:t>See</w:t>
      </w:r>
      <w:r w:rsidRPr="0096524F">
        <w:t xml:space="preserve"> H-D U.S.A.</w:t>
      </w:r>
      <w:r w:rsidRPr="0096524F">
        <w:t xml:space="preserve"> </w:t>
      </w:r>
      <w:r w:rsidRPr="0096524F">
        <w:t>LLC v.</w:t>
      </w:r>
      <w:r w:rsidRPr="0096524F">
        <w:t xml:space="preserve"> </w:t>
      </w:r>
      <w:r w:rsidRPr="0096524F">
        <w:t>Square Wear, LLC, 2020 WL1821023 (E.D.</w:t>
      </w:r>
      <w:r w:rsidRPr="0096524F">
        <w:t xml:space="preserve"> </w:t>
      </w:r>
      <w:r w:rsidRPr="0096524F">
        <w:t>Mich.</w:t>
      </w:r>
      <w:r w:rsidRPr="0096524F">
        <w:t xml:space="preserve"> </w:t>
      </w:r>
      <w:r w:rsidRPr="0096524F">
        <w:t>Apr.</w:t>
      </w:r>
      <w:r w:rsidRPr="0096524F">
        <w:t xml:space="preserve"> </w:t>
      </w:r>
      <w:r w:rsidRPr="0096524F">
        <w:t>10, 2020) (sale of merchandise with Harley-Davidson marks).</w:t>
      </w:r>
      <w:r w:rsidRPr="0096524F">
        <w:t xml:space="preserve"> </w:t>
      </w:r>
      <w:r w:rsidRPr="0096524F">
        <w:rPr>
          <w:i/>
        </w:rPr>
        <w:t>See</w:t>
      </w:r>
      <w:r w:rsidRPr="0096524F">
        <w:t xml:space="preserve"> Fossil Grp., Inc.</w:t>
      </w:r>
      <w:r w:rsidRPr="0096524F">
        <w:t xml:space="preserve"> </w:t>
      </w:r>
      <w:r w:rsidRPr="0096524F">
        <w:t>v.</w:t>
      </w:r>
      <w:r w:rsidRPr="0096524F">
        <w:t xml:space="preserve"> </w:t>
      </w:r>
      <w:r w:rsidRPr="0096524F">
        <w:t>Angel Seller LLC, 2025 WL 1031062, at *7, 2025 BL 117060 (E.D.N.Y.</w:t>
      </w:r>
      <w:r w:rsidRPr="0096524F">
        <w:t xml:space="preserve"> </w:t>
      </w:r>
      <w:r w:rsidRPr="0096524F">
        <w:t>Apr.</w:t>
      </w:r>
      <w:r w:rsidRPr="0096524F">
        <w:t xml:space="preserve"> </w:t>
      </w:r>
      <w:r w:rsidRPr="0096524F">
        <w:t>7, 2025) (denying motion for summary judgment on the issue of tarnishment, the court apparently assumed that selling counterfeit goods would be tarnishing, but found an issue of fact as to whether the goods were counterfeit).</w:t>
      </w:r>
      <w:r w:rsidRPr="0096524F">
        <w:t xml:space="preserve"> </w:t>
      </w:r>
      <w:r w:rsidRPr="0096524F">
        <w:rPr>
          <w:i/>
        </w:rPr>
        <w:t>See also</w:t>
      </w:r>
      <w:r w:rsidRPr="0096524F">
        <w:t xml:space="preserve"> 3M Co.</w:t>
      </w:r>
      <w:r w:rsidRPr="0096524F">
        <w:t xml:space="preserve"> </w:t>
      </w:r>
      <w:r w:rsidRPr="0096524F">
        <w:t>v.</w:t>
      </w:r>
      <w:r w:rsidRPr="0096524F">
        <w:t xml:space="preserve"> </w:t>
      </w:r>
      <w:r w:rsidRPr="0096524F">
        <w:t>Ugly Juice, LLC, 2021 WL 1947579, at *5, 2021 BL 180088 (N.D.</w:t>
      </w:r>
      <w:r w:rsidRPr="0096524F">
        <w:t xml:space="preserve"> </w:t>
      </w:r>
      <w:r w:rsidRPr="0096524F">
        <w:t>Cal.</w:t>
      </w:r>
      <w:r w:rsidRPr="0096524F">
        <w:t xml:space="preserve"> </w:t>
      </w:r>
      <w:r w:rsidRPr="0096524F">
        <w:t>May 14, 2021) (granting preliminary injunction for dilution based on counterfeit goods, without specifying whether blurring or dilution).</w:t>
      </w:r>
    </w:p>
  </w:footnote>
  <w:footnote w:id="490">
    <w:p w14:paraId="76275E58" w14:textId="14763C21" w:rsidR="0096524F" w:rsidRPr="00EB11B3" w:rsidRDefault="0096524F" w:rsidP="0096524F">
      <w:pPr>
        <w:pStyle w:val="FootnoteText"/>
      </w:pPr>
      <w:r w:rsidRPr="0096524F">
        <w:rPr>
          <w:vertAlign w:val="superscript"/>
        </w:rPr>
        <w:footnoteRef/>
      </w:r>
      <w:r w:rsidRPr="0096524F">
        <w:t>Moseley v.</w:t>
      </w:r>
      <w:r w:rsidRPr="0096524F">
        <w:t xml:space="preserve"> </w:t>
      </w:r>
      <w:r w:rsidRPr="0096524F">
        <w:t>V Secret Catalogue, Inc., 537 U.S.</w:t>
      </w:r>
      <w:r w:rsidRPr="0096524F">
        <w:t xml:space="preserve"> </w:t>
      </w:r>
      <w:r w:rsidRPr="0096524F">
        <w:t>418, 434, 65 USPQ2d 1801 (2003).</w:t>
      </w:r>
      <w:r w:rsidRPr="0096524F">
        <w:t xml:space="preserve"> </w:t>
      </w:r>
      <w:r w:rsidRPr="0096524F">
        <w:t>This standard has been alluded to even after the TDRA instituted a likelihood-of-dilution standard.</w:t>
      </w:r>
      <w:r w:rsidRPr="0096524F">
        <w:t xml:space="preserve"> </w:t>
      </w:r>
      <w:r w:rsidRPr="0096524F">
        <w:t>Visa Int’l Serv.</w:t>
      </w:r>
      <w:r w:rsidRPr="0096524F">
        <w:t xml:space="preserve"> </w:t>
      </w:r>
      <w:r w:rsidRPr="0096524F">
        <w:t>Ass’n v.</w:t>
      </w:r>
      <w:r w:rsidRPr="0096524F">
        <w:t xml:space="preserve"> </w:t>
      </w:r>
      <w:r w:rsidRPr="0096524F">
        <w:t>JSL Corp., 610 F.3d 1088, 1090, 95 USPQ2d 1571 (9th Cir.</w:t>
      </w:r>
      <w:r w:rsidRPr="0096524F">
        <w:t xml:space="preserve"> </w:t>
      </w:r>
      <w:r w:rsidRPr="0096524F">
        <w:t>2010).</w:t>
      </w:r>
      <w:r w:rsidRPr="0096524F">
        <w:t xml:space="preserve"> </w:t>
      </w:r>
      <w:r w:rsidRPr="0096524F">
        <w:t>Obviously, if there is actual dilution, then there is also a likelihood of dilution.</w:t>
      </w:r>
    </w:p>
  </w:footnote>
  <w:footnote w:id="491">
    <w:p w14:paraId="3585A30D" w14:textId="6F1B73D3" w:rsidR="0096524F" w:rsidRPr="00EB11B3" w:rsidRDefault="0096524F" w:rsidP="0096524F">
      <w:pPr>
        <w:pStyle w:val="FootnoteText"/>
      </w:pPr>
      <w:r w:rsidRPr="0096524F">
        <w:rPr>
          <w:vertAlign w:val="superscript"/>
        </w:rPr>
        <w:footnoteRef/>
      </w:r>
      <w:r w:rsidRPr="0096524F">
        <w:t>In other words, the public is confused.</w:t>
      </w:r>
      <w:r w:rsidRPr="0096524F">
        <w:t xml:space="preserve"> </w:t>
      </w:r>
      <w:r w:rsidRPr="0096524F">
        <w:t>If consumers are not confused, then the poor quality of the goods should not be seen as a reflection on the famous mark owner.</w:t>
      </w:r>
    </w:p>
  </w:footnote>
  <w:footnote w:id="492">
    <w:p w14:paraId="4B13757A" w14:textId="08C990DD" w:rsidR="0096524F" w:rsidRPr="00EB11B3" w:rsidRDefault="0096524F" w:rsidP="0096524F">
      <w:pPr>
        <w:pStyle w:val="FootnoteText"/>
      </w:pPr>
      <w:r w:rsidRPr="0096524F">
        <w:rPr>
          <w:vertAlign w:val="superscript"/>
        </w:rPr>
        <w:footnoteRef/>
      </w:r>
      <w:r w:rsidRPr="0096524F">
        <w:t>381 F.3d 477, 72 USPQ2d 1011 (5th Cir.</w:t>
      </w:r>
      <w:r w:rsidRPr="0096524F">
        <w:t xml:space="preserve"> </w:t>
      </w:r>
      <w:r w:rsidRPr="0096524F">
        <w:t>2004).</w:t>
      </w:r>
    </w:p>
  </w:footnote>
  <w:footnote w:id="493">
    <w:p w14:paraId="593CA663" w14:textId="367A755E" w:rsidR="0096524F" w:rsidRPr="00590C44"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489–90.</w:t>
      </w:r>
      <w:r w:rsidRPr="0096524F">
        <w:t xml:space="preserve"> </w:t>
      </w:r>
      <w:r w:rsidRPr="0096524F">
        <w:rPr>
          <w:i/>
        </w:rPr>
        <w:t>See</w:t>
      </w:r>
      <w:r w:rsidRPr="0096524F">
        <w:t xml:space="preserve"> Food Mkt.</w:t>
      </w:r>
      <w:r w:rsidRPr="0096524F">
        <w:t xml:space="preserve"> </w:t>
      </w:r>
      <w:r w:rsidRPr="0096524F">
        <w:t>Merch., Inc.</w:t>
      </w:r>
      <w:r w:rsidRPr="0096524F">
        <w:t xml:space="preserve"> </w:t>
      </w:r>
      <w:r w:rsidRPr="0096524F">
        <w:t>v.</w:t>
      </w:r>
      <w:r w:rsidRPr="0096524F">
        <w:t xml:space="preserve"> </w:t>
      </w:r>
      <w:r w:rsidRPr="0096524F">
        <w:t>California Milk Processor Bd., 2018 WL 2540323, at *11, 2018 BL 192998 (E.D.</w:t>
      </w:r>
      <w:r w:rsidRPr="0096524F">
        <w:t xml:space="preserve"> </w:t>
      </w:r>
      <w:r w:rsidRPr="0096524F">
        <w:t>Cal.</w:t>
      </w:r>
      <w:r w:rsidRPr="0096524F">
        <w:t xml:space="preserve"> </w:t>
      </w:r>
      <w:r w:rsidRPr="0096524F">
        <w:t>May 31, 2018) (dismissing complaint of tarnishment based on sales of genuine, but outdated, branded goods);</w:t>
      </w:r>
      <w:r w:rsidRPr="0096524F">
        <w:t xml:space="preserve"> </w:t>
      </w:r>
      <w:r w:rsidRPr="0096524F">
        <w:t>John Paul Mitchell Sys.</w:t>
      </w:r>
      <w:r w:rsidRPr="0096524F">
        <w:t xml:space="preserve"> </w:t>
      </w:r>
      <w:r w:rsidRPr="0096524F">
        <w:t>v.</w:t>
      </w:r>
      <w:r w:rsidRPr="0096524F">
        <w:t xml:space="preserve"> </w:t>
      </w:r>
      <w:r w:rsidRPr="0096524F">
        <w:t>Randalls Food Mkts., Inc., 17 S.W.3d 721, 736–37 (Tex.</w:t>
      </w:r>
      <w:r w:rsidRPr="0096524F">
        <w:t xml:space="preserve"> </w:t>
      </w:r>
      <w:r w:rsidRPr="0096524F">
        <w:t>App.</w:t>
      </w:r>
      <w:r w:rsidRPr="0096524F">
        <w:t xml:space="preserve"> </w:t>
      </w:r>
      <w:r w:rsidRPr="0096524F">
        <w:t>2000) (sales of plaintiff’s genuine goods not actionable as dilution under Texas law).</w:t>
      </w:r>
    </w:p>
  </w:footnote>
  <w:footnote w:id="494">
    <w:p w14:paraId="71B1A8CF" w14:textId="3DD5F3AD" w:rsidR="0096524F" w:rsidRPr="0096524F" w:rsidRDefault="0096524F" w:rsidP="0096524F">
      <w:pPr>
        <w:pStyle w:val="FootnoteText"/>
      </w:pPr>
      <w:r w:rsidRPr="0096524F">
        <w:rPr>
          <w:vertAlign w:val="superscript"/>
        </w:rPr>
        <w:footnoteRef/>
      </w:r>
      <w:r w:rsidRPr="0096524F">
        <w:t>2013 WL 12064859 (S.D.</w:t>
      </w:r>
      <w:r w:rsidRPr="0096524F">
        <w:t xml:space="preserve"> </w:t>
      </w:r>
      <w:r w:rsidRPr="0096524F">
        <w:t>Fla.</w:t>
      </w:r>
      <w:r w:rsidRPr="0096524F">
        <w:t xml:space="preserve"> </w:t>
      </w:r>
      <w:r w:rsidRPr="0096524F">
        <w:t>Nov.</w:t>
      </w:r>
      <w:r w:rsidRPr="0096524F">
        <w:t xml:space="preserve"> </w:t>
      </w:r>
      <w:r w:rsidRPr="0096524F">
        <w:t>13, 2013).</w:t>
      </w:r>
    </w:p>
    <w:p w14:paraId="47A610B3" w14:textId="77777777" w:rsidR="0096524F" w:rsidRDefault="0096524F" w:rsidP="00D758BD">
      <w:pPr>
        <w:pStyle w:val="footnote"/>
      </w:pPr>
    </w:p>
  </w:footnote>
  <w:footnote w:id="495">
    <w:p w14:paraId="0CF888A1" w14:textId="12F574A9"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*1–2.</w:t>
      </w:r>
    </w:p>
    <w:p w14:paraId="359E463B" w14:textId="77777777" w:rsidR="0096524F" w:rsidRDefault="0096524F" w:rsidP="00D758BD">
      <w:pPr>
        <w:pStyle w:val="footnote"/>
      </w:pPr>
    </w:p>
  </w:footnote>
  <w:footnote w:id="496">
    <w:p w14:paraId="4A4FDC48" w14:textId="46325129"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*6.</w:t>
      </w:r>
      <w:r w:rsidRPr="0096524F">
        <w:t xml:space="preserve"> </w:t>
      </w:r>
      <w:r w:rsidRPr="0096524F">
        <w:rPr>
          <w:i/>
        </w:rPr>
        <w:t>See</w:t>
      </w:r>
      <w:r w:rsidRPr="0096524F">
        <w:t xml:space="preserve"> Animacord Ltd.</w:t>
      </w:r>
      <w:r w:rsidRPr="0096524F">
        <w:t xml:space="preserve"> </w:t>
      </w:r>
      <w:r w:rsidRPr="0096524F">
        <w:t>v.</w:t>
      </w:r>
      <w:r w:rsidRPr="0096524F">
        <w:t xml:space="preserve"> </w:t>
      </w:r>
      <w:r w:rsidRPr="0096524F">
        <w:t>Individuals P’ships and Unincorp’d Assns.</w:t>
      </w:r>
      <w:r w:rsidRPr="0096524F">
        <w:t xml:space="preserve"> </w:t>
      </w:r>
      <w:r w:rsidRPr="0096524F">
        <w:t>Identified on Schedule “A”, 2023 WL 6206452, at *13, 2023 BL 314156 (E.D.</w:t>
      </w:r>
      <w:r w:rsidRPr="0096524F">
        <w:t xml:space="preserve"> </w:t>
      </w:r>
      <w:r w:rsidRPr="0096524F">
        <w:t>Va.</w:t>
      </w:r>
      <w:r w:rsidRPr="0096524F">
        <w:t xml:space="preserve"> </w:t>
      </w:r>
      <w:r w:rsidRPr="0096524F">
        <w:t>Feb.</w:t>
      </w:r>
      <w:r w:rsidRPr="0096524F">
        <w:t xml:space="preserve"> </w:t>
      </w:r>
      <w:r w:rsidRPr="0096524F">
        <w:t>28, 2023) (allegations of selling counterfeit goods not sufficient for tarnishment where no showing that goods were of inferior quality;</w:t>
      </w:r>
      <w:r w:rsidRPr="0096524F">
        <w:t xml:space="preserve"> </w:t>
      </w:r>
      <w:r w:rsidRPr="0096524F">
        <w:t>but allegations sufficed for blurring);</w:t>
      </w:r>
      <w:r w:rsidRPr="0096524F">
        <w:t xml:space="preserve"> </w:t>
      </w:r>
      <w:r w:rsidRPr="0096524F">
        <w:t>Brain Pharma, LLC v.</w:t>
      </w:r>
      <w:r w:rsidRPr="0096524F">
        <w:t xml:space="preserve"> </w:t>
      </w:r>
      <w:r w:rsidRPr="0096524F">
        <w:t>Scalini, 858 F.</w:t>
      </w:r>
      <w:r w:rsidRPr="0096524F">
        <w:t xml:space="preserve"> </w:t>
      </w:r>
      <w:r w:rsidRPr="0096524F">
        <w:t>Supp.</w:t>
      </w:r>
      <w:r w:rsidRPr="0096524F">
        <w:t xml:space="preserve"> </w:t>
      </w:r>
      <w:r w:rsidRPr="0096524F">
        <w:t>2d 1349, 1358 (S.D.</w:t>
      </w:r>
      <w:r w:rsidRPr="0096524F">
        <w:t xml:space="preserve"> </w:t>
      </w:r>
      <w:r w:rsidRPr="0096524F">
        <w:t>Fla.</w:t>
      </w:r>
      <w:r w:rsidRPr="0096524F">
        <w:t xml:space="preserve"> </w:t>
      </w:r>
      <w:r w:rsidRPr="0096524F">
        <w:t>2012).</w:t>
      </w:r>
    </w:p>
    <w:p w14:paraId="74C29CCE" w14:textId="77777777" w:rsidR="0096524F" w:rsidRDefault="0096524F" w:rsidP="00461DD8">
      <w:pPr>
        <w:pStyle w:val="footnote"/>
      </w:pPr>
    </w:p>
  </w:footnote>
  <w:footnote w:id="497">
    <w:p w14:paraId="68CD59DF" w14:textId="136072A1" w:rsidR="0096524F" w:rsidRPr="00FF725F" w:rsidRDefault="0096524F" w:rsidP="0096524F">
      <w:pPr>
        <w:pStyle w:val="FootnoteText"/>
      </w:pPr>
      <w:r w:rsidRPr="0096524F">
        <w:rPr>
          <w:vertAlign w:val="superscript"/>
        </w:rPr>
        <w:footnoteRef/>
      </w:r>
      <w:r w:rsidRPr="0096524F">
        <w:t>Hilton Worldwide, Inc.</w:t>
      </w:r>
      <w:r w:rsidRPr="0096524F">
        <w:t xml:space="preserve"> </w:t>
      </w:r>
      <w:r w:rsidRPr="0096524F">
        <w:t>v.</w:t>
      </w:r>
      <w:r w:rsidRPr="0096524F">
        <w:t xml:space="preserve"> </w:t>
      </w:r>
      <w:r w:rsidRPr="0096524F">
        <w:t>Global Advert., Inc., 2016 WL 8223436, at *7, 2016 BL 491146 (E.D.</w:t>
      </w:r>
      <w:r w:rsidRPr="0096524F">
        <w:t xml:space="preserve"> </w:t>
      </w:r>
      <w:r w:rsidRPr="0096524F">
        <w:t>Va.</w:t>
      </w:r>
      <w:r w:rsidRPr="0096524F">
        <w:t xml:space="preserve"> </w:t>
      </w:r>
      <w:r w:rsidRPr="0096524F">
        <w:t>Apr.</w:t>
      </w:r>
      <w:r w:rsidRPr="0096524F">
        <w:t xml:space="preserve"> </w:t>
      </w:r>
      <w:r w:rsidRPr="0096524F">
        <w:t>8, 2016).</w:t>
      </w:r>
      <w:r w:rsidRPr="0096524F">
        <w:t xml:space="preserve"> </w:t>
      </w:r>
      <w:r w:rsidRPr="0096524F">
        <w:rPr>
          <w:i/>
        </w:rPr>
        <w:t>See</w:t>
      </w:r>
      <w:r w:rsidRPr="0096524F">
        <w:t xml:space="preserve"> American Airlines, Inc.</w:t>
      </w:r>
      <w:r w:rsidRPr="0096524F">
        <w:t xml:space="preserve"> </w:t>
      </w:r>
      <w:r w:rsidRPr="0096524F">
        <w:t>v.</w:t>
      </w:r>
      <w:r w:rsidRPr="0096524F">
        <w:t xml:space="preserve"> </w:t>
      </w:r>
      <w:r w:rsidRPr="0096524F">
        <w:t>Shahi World &amp; Travels LLC, 2023 WL 3952332, at *17, 2023 BL 200049 (E.D.</w:t>
      </w:r>
      <w:r w:rsidRPr="0096524F">
        <w:t xml:space="preserve"> </w:t>
      </w:r>
      <w:r w:rsidRPr="0096524F">
        <w:t>Va.</w:t>
      </w:r>
      <w:r w:rsidRPr="0096524F">
        <w:t xml:space="preserve"> </w:t>
      </w:r>
      <w:r w:rsidRPr="0096524F">
        <w:t>June 12, 2023) (plaintiff sufficiently pled tarnishment claim);</w:t>
      </w:r>
      <w:r w:rsidRPr="0096524F">
        <w:t xml:space="preserve"> </w:t>
      </w:r>
      <w:r w:rsidRPr="0096524F">
        <w:t>Advance Magazine Publishers, Inc.</w:t>
      </w:r>
      <w:r w:rsidRPr="0096524F">
        <w:t xml:space="preserve"> </w:t>
      </w:r>
      <w:r w:rsidRPr="0096524F">
        <w:t>v.</w:t>
      </w:r>
      <w:r w:rsidRPr="0096524F">
        <w:t xml:space="preserve"> </w:t>
      </w:r>
      <w:r w:rsidRPr="0096524F">
        <w:t>Tinsley, 2019 WL 1285089, at *3, 2019 BL 95194 (E.D.</w:t>
      </w:r>
      <w:r w:rsidRPr="0096524F">
        <w:t xml:space="preserve"> </w:t>
      </w:r>
      <w:r w:rsidRPr="0096524F">
        <w:t>Mich.</w:t>
      </w:r>
      <w:r w:rsidRPr="0096524F">
        <w:t xml:space="preserve"> </w:t>
      </w:r>
      <w:r w:rsidRPr="0096524F">
        <w:t>Mar.</w:t>
      </w:r>
      <w:r w:rsidRPr="0096524F">
        <w:t xml:space="preserve"> </w:t>
      </w:r>
      <w:r w:rsidRPr="0096524F">
        <w:t>20, 2019) (default judgment;</w:t>
      </w:r>
      <w:r w:rsidRPr="0096524F">
        <w:t xml:space="preserve"> </w:t>
      </w:r>
      <w:r w:rsidRPr="0096524F">
        <w:t>defendant used plaintiff’s marks in her domain names and falsely represented herself as a writer for plaintiff’s publications—court found this to satisfy tarnishment).</w:t>
      </w:r>
    </w:p>
  </w:footnote>
  <w:footnote w:id="498">
    <w:p w14:paraId="0BDA6902" w14:textId="7DDEC630" w:rsidR="0096524F" w:rsidRDefault="0096524F" w:rsidP="0096524F">
      <w:pPr>
        <w:pStyle w:val="FootnoteText"/>
      </w:pPr>
      <w:r w:rsidRPr="0096524F">
        <w:rPr>
          <w:rStyle w:val="FootnoteReference"/>
          <w:rFonts w:eastAsiaTheme="majorEastAsia"/>
        </w:rPr>
        <w:footnoteRef/>
      </w:r>
      <w:r w:rsidRPr="0096524F">
        <w:t>Microsoft Corp.</w:t>
      </w:r>
      <w:r w:rsidRPr="0096524F">
        <w:t xml:space="preserve"> </w:t>
      </w:r>
      <w:r w:rsidRPr="0096524F">
        <w:t>v.</w:t>
      </w:r>
      <w:r w:rsidRPr="0096524F">
        <w:t xml:space="preserve"> </w:t>
      </w:r>
      <w:r w:rsidRPr="0096524F">
        <w:t>Does 1-2, 2018 WL 6186826, at *8, 2018 BL 438344 (E.D.</w:t>
      </w:r>
      <w:r w:rsidRPr="0096524F">
        <w:t xml:space="preserve"> </w:t>
      </w:r>
      <w:r w:rsidRPr="0096524F">
        <w:t>Va.</w:t>
      </w:r>
      <w:r w:rsidRPr="0096524F">
        <w:t xml:space="preserve"> </w:t>
      </w:r>
      <w:r w:rsidRPr="0096524F">
        <w:t>Oct.</w:t>
      </w:r>
      <w:r w:rsidRPr="0096524F">
        <w:t xml:space="preserve"> </w:t>
      </w:r>
      <w:r w:rsidRPr="0096524F">
        <w:t>31, 2018).</w:t>
      </w:r>
    </w:p>
  </w:footnote>
  <w:footnote w:id="499">
    <w:p w14:paraId="6DC361F2" w14:textId="1F3D78BF" w:rsidR="0096524F" w:rsidRPr="00EB11B3" w:rsidRDefault="0096524F" w:rsidP="0096524F">
      <w:pPr>
        <w:pStyle w:val="FootnoteText"/>
      </w:pPr>
      <w:r w:rsidRPr="0096524F">
        <w:rPr>
          <w:vertAlign w:val="superscript"/>
        </w:rPr>
        <w:footnoteRef/>
      </w:r>
      <w:r w:rsidRPr="0096524F">
        <w:t>500 F.</w:t>
      </w:r>
      <w:r w:rsidRPr="0096524F">
        <w:t xml:space="preserve"> </w:t>
      </w:r>
      <w:r w:rsidRPr="0096524F">
        <w:t>Supp.</w:t>
      </w:r>
      <w:r w:rsidRPr="0096524F">
        <w:t xml:space="preserve"> </w:t>
      </w:r>
      <w:r w:rsidRPr="0096524F">
        <w:t>2d 296 (S.D.N.Y.</w:t>
      </w:r>
      <w:r w:rsidRPr="0096524F">
        <w:t xml:space="preserve"> </w:t>
      </w:r>
      <w:r w:rsidRPr="0096524F">
        <w:t>2007).</w:t>
      </w:r>
    </w:p>
  </w:footnote>
  <w:footnote w:id="500">
    <w:p w14:paraId="48444F97" w14:textId="6AA4FD6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312.</w:t>
      </w:r>
      <w:r w:rsidRPr="0096524F">
        <w:t xml:space="preserve"> </w:t>
      </w:r>
      <w:r w:rsidRPr="0096524F">
        <w:t xml:space="preserve">The court also noted that the Second Circuit takes a “‘broad view of tarnishment.’” </w:t>
      </w:r>
      <w:r w:rsidRPr="0096524F">
        <w:rPr>
          <w:i/>
        </w:rPr>
        <w:t>Id</w:t>
      </w:r>
      <w:r w:rsidRPr="0096524F">
        <w:t>.</w:t>
      </w:r>
      <w:r w:rsidRPr="0096524F">
        <w:t xml:space="preserve"> </w:t>
      </w:r>
      <w:r w:rsidRPr="0096524F">
        <w:t>at 308 (quoting Hormel Foods Corp.</w:t>
      </w:r>
      <w:r w:rsidRPr="0096524F">
        <w:t xml:space="preserve"> </w:t>
      </w:r>
      <w:r w:rsidRPr="0096524F">
        <w:t>v.</w:t>
      </w:r>
      <w:r w:rsidRPr="0096524F">
        <w:t xml:space="preserve"> </w:t>
      </w:r>
      <w:r w:rsidRPr="0096524F">
        <w:t>Jim Henson Prods., Inc., 73 F.3d 497, 507 (2d Cir.</w:t>
      </w:r>
      <w:r w:rsidRPr="0096524F">
        <w:t xml:space="preserve"> </w:t>
      </w:r>
      <w:r w:rsidRPr="0096524F">
        <w:t>1996)).</w:t>
      </w:r>
    </w:p>
  </w:footnote>
  <w:footnote w:id="501">
    <w:p w14:paraId="6918B237" w14:textId="14B52D01" w:rsidR="0096524F" w:rsidRPr="00EB11B3" w:rsidRDefault="0096524F" w:rsidP="0096524F">
      <w:pPr>
        <w:pStyle w:val="FootnoteText"/>
      </w:pPr>
      <w:r w:rsidRPr="0096524F">
        <w:rPr>
          <w:vertAlign w:val="superscript"/>
        </w:rPr>
        <w:footnoteRef/>
      </w:r>
      <w:r w:rsidRPr="0096524F">
        <w:t>In the European Union, a claim in this situation could be brought under a provision that imposes liability for using an identical mark on identical goods without any requirement of confusion.</w:t>
      </w:r>
      <w:r w:rsidRPr="0096524F">
        <w:t xml:space="preserve"> </w:t>
      </w:r>
      <w:r w:rsidRPr="0096524F">
        <w:rPr>
          <w:i/>
        </w:rPr>
        <w:t>See, e</w:t>
      </w:r>
      <w:r w:rsidRPr="0096524F">
        <w:t>.</w:t>
      </w:r>
      <w:r w:rsidRPr="0096524F">
        <w:rPr>
          <w:i/>
        </w:rPr>
        <w:t>g</w:t>
      </w:r>
      <w:r w:rsidRPr="0096524F">
        <w:t>., Council Regulation (EC) No.</w:t>
      </w:r>
      <w:r w:rsidRPr="0096524F">
        <w:t xml:space="preserve"> </w:t>
      </w:r>
      <w:r w:rsidRPr="0096524F">
        <w:t>40/941 of 20 December 1993 on the Community trade mark, Art.</w:t>
      </w:r>
      <w:r w:rsidRPr="0096524F">
        <w:t xml:space="preserve"> </w:t>
      </w:r>
      <w:r w:rsidRPr="0096524F">
        <w:t>9(1)(a).</w:t>
      </w:r>
      <w:r w:rsidRPr="0096524F">
        <w:t xml:space="preserve"> </w:t>
      </w:r>
      <w:r w:rsidRPr="0096524F">
        <w:t>This and other similar provisions are discussed in Chapter 15.</w:t>
      </w:r>
    </w:p>
  </w:footnote>
  <w:footnote w:id="502">
    <w:p w14:paraId="515B3BE4" w14:textId="2C5B0420" w:rsidR="0096524F" w:rsidRPr="004667C7"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H-D USA LLC v.</w:t>
      </w:r>
      <w:r w:rsidRPr="0096524F">
        <w:t xml:space="preserve"> </w:t>
      </w:r>
      <w:r w:rsidRPr="0096524F">
        <w:t>Mayo, 2016 WL 7839144, at *2, 2016 BL 446732 (E.D.</w:t>
      </w:r>
      <w:r w:rsidRPr="0096524F">
        <w:t xml:space="preserve"> </w:t>
      </w:r>
      <w:r w:rsidRPr="0096524F">
        <w:t>Wis.</w:t>
      </w:r>
      <w:r w:rsidRPr="0096524F">
        <w:t xml:space="preserve"> </w:t>
      </w:r>
      <w:r w:rsidRPr="0096524F">
        <w:t>June 10, 2016) (unopposed motion for summary judgment);</w:t>
      </w:r>
      <w:r w:rsidRPr="0096524F">
        <w:t xml:space="preserve"> </w:t>
      </w:r>
      <w:r w:rsidRPr="0096524F">
        <w:t>Otter Prods., LLC v.</w:t>
      </w:r>
      <w:r w:rsidRPr="0096524F">
        <w:t xml:space="preserve"> </w:t>
      </w:r>
      <w:r w:rsidRPr="0096524F">
        <w:t>Berrios, 2013 U.S.</w:t>
      </w:r>
      <w:r w:rsidRPr="0096524F">
        <w:t xml:space="preserve"> </w:t>
      </w:r>
      <w:r w:rsidRPr="0096524F">
        <w:t>Dist.</w:t>
      </w:r>
      <w:r w:rsidRPr="0096524F">
        <w:t xml:space="preserve"> </w:t>
      </w:r>
      <w:r w:rsidRPr="0096524F">
        <w:t>LEXIS 147139, at *18 (C.D.</w:t>
      </w:r>
      <w:r w:rsidRPr="0096524F">
        <w:t xml:space="preserve"> </w:t>
      </w:r>
      <w:r w:rsidRPr="0096524F">
        <w:t>Cal.</w:t>
      </w:r>
      <w:r w:rsidRPr="0096524F">
        <w:t xml:space="preserve"> </w:t>
      </w:r>
      <w:r w:rsidRPr="0096524F">
        <w:t>Oct.</w:t>
      </w:r>
      <w:r w:rsidRPr="0096524F">
        <w:t xml:space="preserve"> </w:t>
      </w:r>
      <w:r w:rsidRPr="0096524F">
        <w:t>10, 2013);</w:t>
      </w:r>
      <w:r w:rsidRPr="0096524F">
        <w:t xml:space="preserve"> </w:t>
      </w:r>
      <w:r w:rsidRPr="0096524F">
        <w:t>Burberry Ltd.</w:t>
      </w:r>
      <w:r w:rsidRPr="0096524F">
        <w:t xml:space="preserve"> </w:t>
      </w:r>
      <w:r w:rsidRPr="0096524F">
        <w:t>v.</w:t>
      </w:r>
      <w:r w:rsidRPr="0096524F">
        <w:t xml:space="preserve"> </w:t>
      </w:r>
      <w:r w:rsidRPr="0096524F">
        <w:t>Designers Imports, Inc., 2010 U.S.</w:t>
      </w:r>
      <w:r w:rsidRPr="0096524F">
        <w:t xml:space="preserve"> </w:t>
      </w:r>
      <w:r w:rsidRPr="0096524F">
        <w:t>Dist.</w:t>
      </w:r>
      <w:r w:rsidRPr="0096524F">
        <w:t xml:space="preserve"> </w:t>
      </w:r>
      <w:r w:rsidRPr="0096524F">
        <w:t>LEXIS 3605, at *20 (S.D.N.Y.</w:t>
      </w:r>
      <w:r w:rsidRPr="0096524F">
        <w:t xml:space="preserve"> </w:t>
      </w:r>
      <w:r w:rsidRPr="0096524F">
        <w:t>Jan.</w:t>
      </w:r>
      <w:r w:rsidRPr="0096524F">
        <w:t xml:space="preserve"> </w:t>
      </w:r>
      <w:r w:rsidRPr="0096524F">
        <w:t>19, 2010);</w:t>
      </w:r>
      <w:r w:rsidRPr="0096524F">
        <w:t xml:space="preserve"> </w:t>
      </w:r>
      <w:r w:rsidRPr="0096524F">
        <w:t>Farouk Sys., Inc.</w:t>
      </w:r>
      <w:r w:rsidRPr="0096524F">
        <w:t xml:space="preserve"> </w:t>
      </w:r>
      <w:r w:rsidRPr="0096524F">
        <w:t>v.</w:t>
      </w:r>
      <w:r w:rsidRPr="0096524F">
        <w:t xml:space="preserve"> </w:t>
      </w:r>
      <w:r w:rsidRPr="0096524F">
        <w:t>Parmar, 2008 U.S.</w:t>
      </w:r>
      <w:r w:rsidRPr="0096524F">
        <w:t xml:space="preserve"> </w:t>
      </w:r>
      <w:r w:rsidRPr="0096524F">
        <w:t>Dist.</w:t>
      </w:r>
      <w:r w:rsidRPr="0096524F">
        <w:t xml:space="preserve"> </w:t>
      </w:r>
      <w:r w:rsidRPr="0096524F">
        <w:t>LEXIS 62920, at *6 (S.D.</w:t>
      </w:r>
      <w:r w:rsidRPr="0096524F">
        <w:t xml:space="preserve"> </w:t>
      </w:r>
      <w:r w:rsidRPr="0096524F">
        <w:t>Tex.</w:t>
      </w:r>
      <w:r w:rsidRPr="0096524F">
        <w:t xml:space="preserve"> </w:t>
      </w:r>
      <w:r w:rsidRPr="0096524F">
        <w:t>Aug.</w:t>
      </w:r>
      <w:r w:rsidRPr="0096524F">
        <w:t xml:space="preserve"> </w:t>
      </w:r>
      <w:r w:rsidRPr="0096524F">
        <w:t>14, 2008) (citing defendant’s “inferior” product);</w:t>
      </w:r>
      <w:r w:rsidRPr="0096524F">
        <w:t xml:space="preserve"> </w:t>
      </w:r>
      <w:r w:rsidRPr="0096524F">
        <w:t>Pepsico, Inc.</w:t>
      </w:r>
      <w:r w:rsidRPr="0096524F">
        <w:t xml:space="preserve"> </w:t>
      </w:r>
      <w:r w:rsidRPr="0096524F">
        <w:t>v.</w:t>
      </w:r>
      <w:r w:rsidRPr="0096524F">
        <w:t xml:space="preserve"> </w:t>
      </w:r>
      <w:r w:rsidRPr="0096524F">
        <w:t>Irie Motivations, Inc., 2008 U.S.</w:t>
      </w:r>
      <w:r w:rsidRPr="0096524F">
        <w:t xml:space="preserve"> </w:t>
      </w:r>
      <w:r w:rsidRPr="0096524F">
        <w:t>Dist.</w:t>
      </w:r>
      <w:r w:rsidRPr="0096524F">
        <w:t xml:space="preserve"> </w:t>
      </w:r>
      <w:r w:rsidRPr="0096524F">
        <w:t>LEXIS 108025 (C.D.</w:t>
      </w:r>
      <w:r w:rsidRPr="0096524F">
        <w:t xml:space="preserve"> </w:t>
      </w:r>
      <w:r w:rsidRPr="0096524F">
        <w:t>Cal.</w:t>
      </w:r>
      <w:r w:rsidRPr="0096524F">
        <w:t xml:space="preserve"> </w:t>
      </w:r>
      <w:r w:rsidRPr="0096524F">
        <w:t>2008) (did not specify whether blurring or tarnishment);</w:t>
      </w:r>
      <w:r w:rsidRPr="0096524F">
        <w:t xml:space="preserve"> </w:t>
      </w:r>
      <w:r w:rsidRPr="0096524F">
        <w:t>Diane von Furstenberg Studio v.</w:t>
      </w:r>
      <w:r w:rsidRPr="0096524F">
        <w:t xml:space="preserve"> </w:t>
      </w:r>
      <w:r w:rsidRPr="0096524F">
        <w:t>Snyder, 2007 U.S.</w:t>
      </w:r>
      <w:r w:rsidRPr="0096524F">
        <w:t xml:space="preserve"> </w:t>
      </w:r>
      <w:r w:rsidRPr="0096524F">
        <w:t>Dist.</w:t>
      </w:r>
      <w:r w:rsidRPr="0096524F">
        <w:t xml:space="preserve"> </w:t>
      </w:r>
      <w:r w:rsidRPr="0096524F">
        <w:t>LEXIS 66633, at *9–11 (E.D.</w:t>
      </w:r>
      <w:r w:rsidRPr="0096524F">
        <w:t xml:space="preserve"> </w:t>
      </w:r>
      <w:r w:rsidRPr="0096524F">
        <w:t>Va.</w:t>
      </w:r>
      <w:r w:rsidRPr="0096524F">
        <w:t xml:space="preserve"> </w:t>
      </w:r>
      <w:r w:rsidRPr="0096524F">
        <w:t>2007).</w:t>
      </w:r>
      <w:r w:rsidRPr="0096524F">
        <w:t xml:space="preserve"> </w:t>
      </w:r>
      <w:r w:rsidRPr="0096524F">
        <w:rPr>
          <w:i/>
        </w:rPr>
        <w:t>Cf.</w:t>
      </w:r>
      <w:r w:rsidRPr="0096524F">
        <w:rPr>
          <w:i/>
        </w:rPr>
        <w:t xml:space="preserve"> </w:t>
      </w:r>
      <w:r w:rsidRPr="0096524F">
        <w:t>Bentley Motors Corp.</w:t>
      </w:r>
      <w:r w:rsidRPr="0096524F">
        <w:t xml:space="preserve"> </w:t>
      </w:r>
      <w:r w:rsidRPr="0096524F">
        <w:t>v.</w:t>
      </w:r>
      <w:r w:rsidRPr="0096524F">
        <w:t xml:space="preserve"> </w:t>
      </w:r>
      <w:r w:rsidRPr="0096524F">
        <w:t>McEntegart, 976 F.</w:t>
      </w:r>
      <w:r w:rsidRPr="0096524F">
        <w:t xml:space="preserve"> </w:t>
      </w:r>
      <w:r w:rsidRPr="0096524F">
        <w:t>Supp.</w:t>
      </w:r>
      <w:r w:rsidRPr="0096524F">
        <w:t xml:space="preserve"> </w:t>
      </w:r>
      <w:r w:rsidRPr="0096524F">
        <w:t>2d 1297, 1313–14 (M.D.</w:t>
      </w:r>
      <w:r w:rsidRPr="0096524F">
        <w:t xml:space="preserve"> </w:t>
      </w:r>
      <w:r w:rsidRPr="0096524F">
        <w:t>Fla.</w:t>
      </w:r>
      <w:r w:rsidRPr="0096524F">
        <w:t xml:space="preserve"> </w:t>
      </w:r>
      <w:r w:rsidRPr="0096524F">
        <w:t>2013) (use on kit cars;</w:t>
      </w:r>
      <w:r w:rsidRPr="0096524F">
        <w:t xml:space="preserve"> </w:t>
      </w:r>
      <w:r w:rsidRPr="0096524F">
        <w:t>court did not clearly identify whether blurring or tarnishment).</w:t>
      </w:r>
    </w:p>
  </w:footnote>
  <w:footnote w:id="503">
    <w:p w14:paraId="05BCB556" w14:textId="6DB72B24" w:rsidR="0096524F" w:rsidRPr="00EB11B3" w:rsidRDefault="0096524F" w:rsidP="0096524F">
      <w:pPr>
        <w:pStyle w:val="FootnoteText"/>
      </w:pPr>
      <w:r w:rsidRPr="0096524F">
        <w:rPr>
          <w:vertAlign w:val="superscript"/>
        </w:rPr>
        <w:footnoteRef/>
      </w:r>
      <w:r w:rsidRPr="0096524F">
        <w:t>Lanham Act §§43(c)(3)(A)(ii), (c)(3)(C), 15 U.S.C.</w:t>
      </w:r>
      <w:r w:rsidRPr="0096524F">
        <w:t xml:space="preserve"> </w:t>
      </w:r>
      <w:r w:rsidRPr="0096524F">
        <w:t>§§1125(c)(3)(A)(ii), (c)(3)(C).</w:t>
      </w:r>
    </w:p>
  </w:footnote>
  <w:footnote w:id="504">
    <w:p w14:paraId="28EC0A86" w14:textId="3AB9FE0A" w:rsidR="0096524F" w:rsidRPr="00EB11B3" w:rsidRDefault="0096524F" w:rsidP="0096524F">
      <w:pPr>
        <w:pStyle w:val="FootnoteText"/>
      </w:pPr>
      <w:r w:rsidRPr="0096524F">
        <w:rPr>
          <w:vertAlign w:val="superscript"/>
        </w:rPr>
        <w:footnoteRef/>
      </w:r>
      <w:r w:rsidRPr="0096524F">
        <w:rPr>
          <w:i/>
        </w:rPr>
        <w:t>See</w:t>
      </w:r>
      <w:r w:rsidRPr="0096524F">
        <w:t xml:space="preserve"> Chapter 10, §§II.C and IV.</w:t>
      </w:r>
    </w:p>
  </w:footnote>
  <w:footnote w:id="505">
    <w:p w14:paraId="1D092E71" w14:textId="0AEE10CD"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Mattel, Inc.</w:t>
      </w:r>
      <w:r w:rsidRPr="0096524F">
        <w:t xml:space="preserve"> </w:t>
      </w:r>
      <w:r w:rsidRPr="0096524F">
        <w:t>v.</w:t>
      </w:r>
      <w:r w:rsidRPr="0096524F">
        <w:t xml:space="preserve"> </w:t>
      </w:r>
      <w:r w:rsidRPr="0096524F">
        <w:t>MCA Records, Inc., 296 F.3d 894, 63 USPQ2d 1715 (9th Cir.</w:t>
      </w:r>
      <w:r w:rsidRPr="0096524F">
        <w:t xml:space="preserve"> </w:t>
      </w:r>
      <w:r w:rsidRPr="0096524F">
        <w:t>2002),</w:t>
      </w:r>
      <w:r w:rsidRPr="0096524F">
        <w:rPr>
          <w:i/>
        </w:rPr>
        <w:t xml:space="preserve"> cert</w:t>
      </w:r>
      <w:r w:rsidRPr="0096524F">
        <w:t>.</w:t>
      </w:r>
      <w:r w:rsidRPr="0096524F">
        <w:t xml:space="preserve"> </w:t>
      </w:r>
      <w:r w:rsidRPr="0096524F">
        <w:rPr>
          <w:i/>
        </w:rPr>
        <w:t>denied</w:t>
      </w:r>
      <w:r w:rsidRPr="0096524F">
        <w:t>, 537 U.S.</w:t>
      </w:r>
      <w:r w:rsidRPr="0096524F">
        <w:t xml:space="preserve"> </w:t>
      </w:r>
      <w:r w:rsidRPr="0096524F">
        <w:t>1171 (2003);</w:t>
      </w:r>
      <w:r w:rsidRPr="0096524F">
        <w:t xml:space="preserve"> </w:t>
      </w:r>
      <w:r w:rsidRPr="0096524F">
        <w:t>Smith v.</w:t>
      </w:r>
      <w:r w:rsidRPr="0096524F">
        <w:t xml:space="preserve"> </w:t>
      </w:r>
      <w:r w:rsidRPr="0096524F">
        <w:t>Wal-Mart Stores, Inc., 537 F.</w:t>
      </w:r>
      <w:r w:rsidRPr="0096524F">
        <w:t xml:space="preserve"> </w:t>
      </w:r>
      <w:r w:rsidRPr="0096524F">
        <w:t>Supp.</w:t>
      </w:r>
      <w:r w:rsidRPr="0096524F">
        <w:t xml:space="preserve"> </w:t>
      </w:r>
      <w:r w:rsidRPr="0096524F">
        <w:t>2d 1302, 1339–40 (N.D.</w:t>
      </w:r>
      <w:r w:rsidRPr="0096524F">
        <w:t xml:space="preserve"> </w:t>
      </w:r>
      <w:r w:rsidRPr="0096524F">
        <w:t>Ga.</w:t>
      </w:r>
      <w:r w:rsidRPr="0096524F">
        <w:t xml:space="preserve"> </w:t>
      </w:r>
      <w:r w:rsidRPr="0096524F">
        <w:t>2008);</w:t>
      </w:r>
      <w:r w:rsidRPr="0096524F">
        <w:t xml:space="preserve"> </w:t>
      </w:r>
      <w:r w:rsidRPr="0096524F">
        <w:t>Lucasfilm Ltd.</w:t>
      </w:r>
      <w:r w:rsidRPr="0096524F">
        <w:t xml:space="preserve"> </w:t>
      </w:r>
      <w:r w:rsidRPr="0096524F">
        <w:t>v.</w:t>
      </w:r>
      <w:r w:rsidRPr="0096524F">
        <w:t xml:space="preserve"> </w:t>
      </w:r>
      <w:r w:rsidRPr="0096524F">
        <w:t>Media Mkt.</w:t>
      </w:r>
      <w:r w:rsidRPr="0096524F">
        <w:t xml:space="preserve"> </w:t>
      </w:r>
      <w:r w:rsidRPr="0096524F">
        <w:t>Group, Ltd., 182 F.</w:t>
      </w:r>
      <w:r w:rsidRPr="0096524F">
        <w:t xml:space="preserve"> </w:t>
      </w:r>
      <w:r w:rsidRPr="0096524F">
        <w:t>Supp.</w:t>
      </w:r>
      <w:r w:rsidRPr="0096524F">
        <w:t xml:space="preserve"> </w:t>
      </w:r>
      <w:r w:rsidRPr="0096524F">
        <w:t>2d 897, 900 (N.D.</w:t>
      </w:r>
      <w:r w:rsidRPr="0096524F">
        <w:t xml:space="preserve"> </w:t>
      </w:r>
      <w:r w:rsidRPr="0096524F">
        <w:t>Cal.</w:t>
      </w:r>
      <w:r w:rsidRPr="0096524F">
        <w:t xml:space="preserve"> </w:t>
      </w:r>
      <w:r w:rsidRPr="0096524F">
        <w:t>2002);</w:t>
      </w:r>
      <w:r w:rsidRPr="0096524F">
        <w:t xml:space="preserve"> </w:t>
      </w:r>
      <w:r w:rsidRPr="0096524F">
        <w:t>Ford Motor Co.</w:t>
      </w:r>
      <w:r w:rsidRPr="0096524F">
        <w:t xml:space="preserve"> </w:t>
      </w:r>
      <w:r w:rsidRPr="0096524F">
        <w:t>v.</w:t>
      </w:r>
      <w:r w:rsidRPr="0096524F">
        <w:t xml:space="preserve"> </w:t>
      </w:r>
      <w:r w:rsidRPr="0096524F">
        <w:t>2600 Enters., 177 F.</w:t>
      </w:r>
      <w:r w:rsidRPr="0096524F">
        <w:t xml:space="preserve"> </w:t>
      </w:r>
      <w:r w:rsidRPr="0096524F">
        <w:t>Supp.</w:t>
      </w:r>
      <w:r w:rsidRPr="0096524F">
        <w:t xml:space="preserve"> </w:t>
      </w:r>
      <w:r w:rsidRPr="0096524F">
        <w:t>2d 661, 664–65, 61 USPQ2d 1757 (E.D.</w:t>
      </w:r>
      <w:r w:rsidRPr="0096524F">
        <w:t xml:space="preserve"> </w:t>
      </w:r>
      <w:r w:rsidRPr="0096524F">
        <w:t>Mich.</w:t>
      </w:r>
      <w:r w:rsidRPr="0096524F">
        <w:t xml:space="preserve"> </w:t>
      </w:r>
      <w:r w:rsidRPr="0096524F">
        <w:t>2001);</w:t>
      </w:r>
      <w:r w:rsidRPr="0096524F">
        <w:t xml:space="preserve"> </w:t>
      </w:r>
      <w:r w:rsidRPr="0096524F">
        <w:t>Northland Ins.</w:t>
      </w:r>
      <w:r w:rsidRPr="0096524F">
        <w:t xml:space="preserve"> </w:t>
      </w:r>
      <w:r w:rsidRPr="0096524F">
        <w:t>Cos.</w:t>
      </w:r>
      <w:r w:rsidRPr="0096524F">
        <w:t xml:space="preserve"> </w:t>
      </w:r>
      <w:r w:rsidRPr="0096524F">
        <w:t>v.</w:t>
      </w:r>
      <w:r w:rsidRPr="0096524F">
        <w:t xml:space="preserve"> </w:t>
      </w:r>
      <w:r w:rsidRPr="0096524F">
        <w:t>Blaylock, 115 F.</w:t>
      </w:r>
      <w:r w:rsidRPr="0096524F">
        <w:t xml:space="preserve"> </w:t>
      </w:r>
      <w:r w:rsidRPr="0096524F">
        <w:t>Supp.</w:t>
      </w:r>
      <w:r w:rsidRPr="0096524F">
        <w:t xml:space="preserve"> </w:t>
      </w:r>
      <w:r w:rsidRPr="0096524F">
        <w:t>2d 1108, 1123, 56 USPQ2d 1662 (D.</w:t>
      </w:r>
      <w:r w:rsidRPr="0096524F">
        <w:t xml:space="preserve"> </w:t>
      </w:r>
      <w:r w:rsidRPr="0096524F">
        <w:t>Minn.</w:t>
      </w:r>
      <w:r w:rsidRPr="0096524F">
        <w:t xml:space="preserve"> </w:t>
      </w:r>
      <w:r w:rsidRPr="0096524F">
        <w:t>2000);</w:t>
      </w:r>
      <w:r w:rsidRPr="0096524F">
        <w:t xml:space="preserve"> </w:t>
      </w:r>
      <w:r w:rsidRPr="0096524F">
        <w:t>Bally Total Fitness Holding Corp.</w:t>
      </w:r>
      <w:r w:rsidRPr="0096524F">
        <w:t xml:space="preserve"> </w:t>
      </w:r>
      <w:r w:rsidRPr="0096524F">
        <w:t>v.</w:t>
      </w:r>
      <w:r w:rsidRPr="0096524F">
        <w:t xml:space="preserve"> </w:t>
      </w:r>
      <w:r w:rsidRPr="0096524F">
        <w:t>Faber, 29 F.</w:t>
      </w:r>
      <w:r w:rsidRPr="0096524F">
        <w:t xml:space="preserve"> </w:t>
      </w:r>
      <w:r w:rsidRPr="0096524F">
        <w:t>Supp.</w:t>
      </w:r>
      <w:r w:rsidRPr="0096524F">
        <w:t xml:space="preserve"> </w:t>
      </w:r>
      <w:r w:rsidRPr="0096524F">
        <w:t>2d 1161, 1167, 50 USPQ2d 1840 (C.D.</w:t>
      </w:r>
      <w:r w:rsidRPr="0096524F">
        <w:t xml:space="preserve"> </w:t>
      </w:r>
      <w:r w:rsidRPr="0096524F">
        <w:t>Cal.</w:t>
      </w:r>
      <w:r w:rsidRPr="0096524F">
        <w:t xml:space="preserve"> </w:t>
      </w:r>
      <w:r w:rsidRPr="0096524F">
        <w:t>1998).</w:t>
      </w:r>
    </w:p>
  </w:footnote>
  <w:footnote w:id="506">
    <w:p w14:paraId="5D1F7F29" w14:textId="3ABE8CEF" w:rsidR="0096524F" w:rsidRPr="00EB11B3" w:rsidRDefault="0096524F" w:rsidP="0096524F">
      <w:pPr>
        <w:pStyle w:val="FootnoteText"/>
      </w:pPr>
      <w:r w:rsidRPr="0096524F">
        <w:rPr>
          <w:vertAlign w:val="superscript"/>
        </w:rPr>
        <w:footnoteRef/>
      </w:r>
      <w:r w:rsidRPr="0096524F">
        <w:t xml:space="preserve">141 </w:t>
      </w:r>
      <w:r w:rsidRPr="0096524F">
        <w:rPr>
          <w:smallCaps/>
        </w:rPr>
        <w:t>Cong.</w:t>
      </w:r>
      <w:r w:rsidRPr="0096524F">
        <w:rPr>
          <w:smallCaps/>
        </w:rPr>
        <w:t xml:space="preserve"> </w:t>
      </w:r>
      <w:r w:rsidRPr="0096524F">
        <w:rPr>
          <w:smallCaps/>
        </w:rPr>
        <w:t>Rec.</w:t>
      </w:r>
      <w:r w:rsidRPr="0096524F">
        <w:rPr>
          <w:smallCaps/>
        </w:rPr>
        <w:t xml:space="preserve"> </w:t>
      </w:r>
      <w:r w:rsidRPr="0096524F">
        <w:t>H14,318 (remarks of Rep.</w:t>
      </w:r>
      <w:r w:rsidRPr="0096524F">
        <w:t xml:space="preserve"> </w:t>
      </w:r>
      <w:r w:rsidRPr="0096524F">
        <w:t>Moorhead) (Dec.</w:t>
      </w:r>
      <w:r w:rsidRPr="0096524F">
        <w:t xml:space="preserve"> </w:t>
      </w:r>
      <w:r w:rsidRPr="0096524F">
        <w:t>12, 1995).</w:t>
      </w:r>
      <w:r w:rsidRPr="0096524F">
        <w:t xml:space="preserve"> </w:t>
      </w:r>
      <w:r w:rsidRPr="0096524F">
        <w:t>The addition of parody and commentary to the “fair use” exclusion under the TDRA reinforces this conclusion.</w:t>
      </w:r>
    </w:p>
  </w:footnote>
  <w:footnote w:id="507">
    <w:p w14:paraId="2342D635" w14:textId="69186BE3" w:rsidR="0096524F" w:rsidRPr="0096524F" w:rsidRDefault="0096524F" w:rsidP="0096524F">
      <w:pPr>
        <w:pStyle w:val="FootnoteText"/>
      </w:pPr>
      <w:r w:rsidRPr="0096524F">
        <w:rPr>
          <w:vertAlign w:val="superscript"/>
        </w:rPr>
        <w:footnoteRef/>
      </w:r>
      <w:r w:rsidRPr="0096524F">
        <w:t>582 U.S.</w:t>
      </w:r>
      <w:r w:rsidRPr="0096524F">
        <w:t xml:space="preserve"> </w:t>
      </w:r>
      <w:r w:rsidRPr="0096524F">
        <w:t>218 (2017).</w:t>
      </w:r>
    </w:p>
    <w:p w14:paraId="56206C8B" w14:textId="77777777" w:rsidR="0096524F" w:rsidRDefault="0096524F" w:rsidP="00D758BD">
      <w:pPr>
        <w:pStyle w:val="footnote"/>
      </w:pPr>
    </w:p>
  </w:footnote>
  <w:footnote w:id="508">
    <w:p w14:paraId="2FF9F0BE" w14:textId="455DCB90" w:rsidR="0096524F" w:rsidRDefault="0096524F" w:rsidP="0096524F">
      <w:pPr>
        <w:pStyle w:val="FootnoteText"/>
      </w:pPr>
      <w:r w:rsidRPr="0096524F">
        <w:rPr>
          <w:vertAlign w:val="superscript"/>
        </w:rPr>
        <w:footnoteRef/>
      </w:r>
      <w:r w:rsidRPr="0096524F">
        <w:t>588 U.S.</w:t>
      </w:r>
      <w:r w:rsidRPr="0096524F">
        <w:t xml:space="preserve"> </w:t>
      </w:r>
      <w:r w:rsidRPr="0096524F">
        <w:t>388 (2019).</w:t>
      </w:r>
    </w:p>
  </w:footnote>
  <w:footnote w:id="509">
    <w:p w14:paraId="3C8B4AD3" w14:textId="3590488D" w:rsidR="0096524F" w:rsidRPr="0096524F" w:rsidRDefault="0096524F" w:rsidP="0096524F">
      <w:pPr>
        <w:pStyle w:val="FootnoteText"/>
      </w:pPr>
      <w:r w:rsidRPr="0096524F">
        <w:rPr>
          <w:vertAlign w:val="superscript"/>
        </w:rPr>
        <w:footnoteRef/>
      </w:r>
      <w:r w:rsidRPr="0096524F">
        <w:t xml:space="preserve">The possible effect of </w:t>
      </w:r>
      <w:r w:rsidRPr="0096524F">
        <w:rPr>
          <w:i/>
        </w:rPr>
        <w:t>Tam</w:t>
      </w:r>
      <w:r w:rsidRPr="0096524F">
        <w:t xml:space="preserve"> and </w:t>
      </w:r>
      <w:r w:rsidRPr="0096524F">
        <w:rPr>
          <w:i/>
        </w:rPr>
        <w:t>Brunetti</w:t>
      </w:r>
      <w:r w:rsidRPr="0096524F">
        <w:t xml:space="preserve"> on federal tarnishment claims is discussed more fully in §II.E.3, below, and in Chapter 10.</w:t>
      </w:r>
    </w:p>
    <w:p w14:paraId="46C24A75" w14:textId="77777777" w:rsidR="0096524F" w:rsidRDefault="0096524F" w:rsidP="00D758BD">
      <w:pPr>
        <w:pStyle w:val="footnote"/>
      </w:pPr>
    </w:p>
  </w:footnote>
  <w:footnote w:id="510">
    <w:p w14:paraId="06719D80" w14:textId="3C5ACD63" w:rsidR="0096524F" w:rsidRPr="00EB11B3" w:rsidRDefault="0096524F" w:rsidP="0096524F">
      <w:pPr>
        <w:pStyle w:val="FootnoteText"/>
      </w:pPr>
      <w:r w:rsidRPr="0096524F">
        <w:rPr>
          <w:vertAlign w:val="superscript"/>
        </w:rPr>
        <w:footnoteRef/>
      </w:r>
      <w:r w:rsidRPr="0096524F">
        <w:t>It should be noted that these cases may now be brought more easily under the Anticybersquatting Consumer Protection Act (ACPA).</w:t>
      </w:r>
      <w:r w:rsidRPr="0096524F">
        <w:t xml:space="preserve"> </w:t>
      </w:r>
      <w:r w:rsidRPr="0096524F">
        <w:rPr>
          <w:i/>
        </w:rPr>
        <w:t>E</w:t>
      </w:r>
      <w:r w:rsidRPr="0096524F">
        <w:t>.</w:t>
      </w:r>
      <w:r w:rsidRPr="0096524F">
        <w:rPr>
          <w:i/>
        </w:rPr>
        <w:t>g</w:t>
      </w:r>
      <w:r w:rsidRPr="0096524F">
        <w:t>., E &amp; J Gallo Winery v.</w:t>
      </w:r>
      <w:r w:rsidRPr="0096524F">
        <w:t xml:space="preserve"> </w:t>
      </w:r>
      <w:r w:rsidRPr="0096524F">
        <w:t>Spider Webs Ltd., 129 F.</w:t>
      </w:r>
      <w:r w:rsidRPr="0096524F">
        <w:t xml:space="preserve"> </w:t>
      </w:r>
      <w:r w:rsidRPr="0096524F">
        <w:t>Supp.</w:t>
      </w:r>
      <w:r w:rsidRPr="0096524F">
        <w:t xml:space="preserve"> </w:t>
      </w:r>
      <w:r w:rsidRPr="0096524F">
        <w:t>2d 1033, 1045 (S.D.</w:t>
      </w:r>
      <w:r w:rsidRPr="0096524F">
        <w:t xml:space="preserve"> </w:t>
      </w:r>
      <w:r w:rsidRPr="0096524F">
        <w:t>Tex.</w:t>
      </w:r>
      <w:r w:rsidRPr="0096524F">
        <w:t xml:space="preserve"> </w:t>
      </w:r>
      <w:r w:rsidRPr="0096524F">
        <w:t xml:space="preserve">2001) (finding liability under the ACPA for use of earnestandjuliogallo.com for a Web site critical of Gallo), </w:t>
      </w:r>
      <w:r w:rsidRPr="0096524F">
        <w:rPr>
          <w:i/>
        </w:rPr>
        <w:t>aff’d,</w:t>
      </w:r>
      <w:r w:rsidRPr="0096524F">
        <w:t xml:space="preserve"> 286 F.3d 270, 62 USPQ2d 1404 (5th Cir.</w:t>
      </w:r>
      <w:r w:rsidRPr="0096524F">
        <w:t xml:space="preserve"> </w:t>
      </w:r>
      <w:r w:rsidRPr="0096524F">
        <w:t>2002).</w:t>
      </w:r>
      <w:r w:rsidRPr="0096524F">
        <w:t xml:space="preserve"> </w:t>
      </w:r>
      <w:r w:rsidRPr="0096524F">
        <w:t>See Chapter 14 for a discussion of the ACPA.</w:t>
      </w:r>
    </w:p>
  </w:footnote>
  <w:footnote w:id="511">
    <w:p w14:paraId="2098334D" w14:textId="02862DD4" w:rsidR="0096524F" w:rsidRPr="00EB11B3" w:rsidRDefault="0096524F" w:rsidP="0096524F">
      <w:pPr>
        <w:pStyle w:val="FootnoteText"/>
      </w:pPr>
      <w:r w:rsidRPr="0096524F">
        <w:rPr>
          <w:vertAlign w:val="superscript"/>
        </w:rPr>
        <w:footnoteRef/>
      </w:r>
      <w:r w:rsidRPr="0096524F">
        <w:t>993 F.</w:t>
      </w:r>
      <w:r w:rsidRPr="0096524F">
        <w:t xml:space="preserve"> </w:t>
      </w:r>
      <w:r w:rsidRPr="0096524F">
        <w:t>Supp.</w:t>
      </w:r>
      <w:r w:rsidRPr="0096524F">
        <w:t xml:space="preserve"> </w:t>
      </w:r>
      <w:r w:rsidRPr="0096524F">
        <w:t xml:space="preserve">282, 46 USPQ2d 1652 (D.N.J.), </w:t>
      </w:r>
      <w:r w:rsidRPr="0096524F">
        <w:rPr>
          <w:i/>
        </w:rPr>
        <w:t>aff’d mem</w:t>
      </w:r>
      <w:r w:rsidRPr="0096524F">
        <w:t>., 159 F.3d 1351 (3d Cir.</w:t>
      </w:r>
      <w:r w:rsidRPr="0096524F">
        <w:t xml:space="preserve"> </w:t>
      </w:r>
      <w:r w:rsidRPr="0096524F">
        <w:t>1998).</w:t>
      </w:r>
    </w:p>
  </w:footnote>
  <w:footnote w:id="512">
    <w:p w14:paraId="132452DD" w14:textId="53CEE1B1"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307.</w:t>
      </w:r>
      <w:r w:rsidRPr="0096524F">
        <w:t xml:space="preserve"> </w:t>
      </w:r>
      <w:r w:rsidRPr="0096524F">
        <w:rPr>
          <w:i/>
        </w:rPr>
        <w:t>See also</w:t>
      </w:r>
      <w:r w:rsidRPr="0096524F">
        <w:t xml:space="preserve"> Planned Parenthood Fed’n of Am., Inc.</w:t>
      </w:r>
      <w:r w:rsidRPr="0096524F">
        <w:t xml:space="preserve"> </w:t>
      </w:r>
      <w:r w:rsidRPr="0096524F">
        <w:t>v.</w:t>
      </w:r>
      <w:r w:rsidRPr="0096524F">
        <w:t xml:space="preserve"> </w:t>
      </w:r>
      <w:r w:rsidRPr="0096524F">
        <w:t>Bucci, 42 USPQ2d 1430 (S.D.N.Y.</w:t>
      </w:r>
      <w:r w:rsidRPr="0096524F">
        <w:t xml:space="preserve"> </w:t>
      </w:r>
      <w:r w:rsidRPr="0096524F">
        <w:t xml:space="preserve">1997), </w:t>
      </w:r>
      <w:r w:rsidRPr="0096524F">
        <w:rPr>
          <w:i/>
        </w:rPr>
        <w:t>aff’d,</w:t>
      </w:r>
      <w:r w:rsidRPr="0096524F">
        <w:t xml:space="preserve"> 152 F.3d 920 (2d Cir.), </w:t>
      </w:r>
      <w:r w:rsidRPr="0096524F">
        <w:rPr>
          <w:i/>
        </w:rPr>
        <w:t>cert</w:t>
      </w:r>
      <w:r w:rsidRPr="0096524F">
        <w:t>.</w:t>
      </w:r>
      <w:r w:rsidRPr="0096524F">
        <w:t xml:space="preserve"> </w:t>
      </w:r>
      <w:r w:rsidRPr="0096524F">
        <w:rPr>
          <w:i/>
        </w:rPr>
        <w:t>denied,</w:t>
      </w:r>
      <w:r w:rsidRPr="0096524F">
        <w:t xml:space="preserve"> 525 U.S.</w:t>
      </w:r>
      <w:r w:rsidRPr="0096524F">
        <w:t xml:space="preserve"> </w:t>
      </w:r>
      <w:r w:rsidRPr="0096524F">
        <w:t>834 (1998) (antiabortion site using plannedparenthood.com domain name found diluting, though largely on confusion grounds).</w:t>
      </w:r>
      <w:r w:rsidRPr="0096524F">
        <w:t xml:space="preserve"> </w:t>
      </w:r>
      <w:r w:rsidRPr="0096524F">
        <w:rPr>
          <w:i/>
        </w:rPr>
        <w:t>Cf</w:t>
      </w:r>
      <w:r w:rsidRPr="0096524F">
        <w:t>.</w:t>
      </w:r>
      <w:r w:rsidRPr="0096524F">
        <w:t xml:space="preserve"> </w:t>
      </w:r>
      <w:r w:rsidRPr="0096524F">
        <w:t>People for the Ethical Treatment of Animals, Inc.</w:t>
      </w:r>
      <w:r w:rsidRPr="0096524F">
        <w:t xml:space="preserve"> </w:t>
      </w:r>
      <w:r w:rsidRPr="0096524F">
        <w:t>v.</w:t>
      </w:r>
      <w:r w:rsidRPr="0096524F">
        <w:t xml:space="preserve"> </w:t>
      </w:r>
      <w:r w:rsidRPr="0096524F">
        <w:t>Doughney, 113 F.</w:t>
      </w:r>
      <w:r w:rsidRPr="0096524F">
        <w:t xml:space="preserve"> </w:t>
      </w:r>
      <w:r w:rsidRPr="0096524F">
        <w:t>Supp.</w:t>
      </w:r>
      <w:r w:rsidRPr="0096524F">
        <w:t xml:space="preserve"> </w:t>
      </w:r>
      <w:r w:rsidRPr="0096524F">
        <w:t>2d 915, 920 (E.D.</w:t>
      </w:r>
      <w:r w:rsidRPr="0096524F">
        <w:t xml:space="preserve"> </w:t>
      </w:r>
      <w:r w:rsidRPr="0096524F">
        <w:t>Va.</w:t>
      </w:r>
      <w:r w:rsidRPr="0096524F">
        <w:t xml:space="preserve"> </w:t>
      </w:r>
      <w:r w:rsidRPr="0096524F">
        <w:t xml:space="preserve">2000) (finding dilution by </w:t>
      </w:r>
      <w:r w:rsidRPr="0096524F">
        <w:rPr>
          <w:i/>
        </w:rPr>
        <w:t>blurring</w:t>
      </w:r>
      <w:r w:rsidRPr="0096524F">
        <w:t xml:space="preserve"> from defendant’s peta.org Web site, which featured material antithetical to the plaintiff organization’s beliefs), </w:t>
      </w:r>
      <w:r w:rsidRPr="0096524F">
        <w:rPr>
          <w:i/>
        </w:rPr>
        <w:t>aff’d on other grounds,</w:t>
      </w:r>
      <w:r w:rsidRPr="0096524F">
        <w:t xml:space="preserve"> 263 F.3d 359, 60 USPQ2d 1109 (4th Cir.</w:t>
      </w:r>
      <w:r w:rsidRPr="0096524F">
        <w:t xml:space="preserve"> </w:t>
      </w:r>
      <w:r w:rsidRPr="0096524F">
        <w:t>2001) (affirmed on ACPA grounds).</w:t>
      </w:r>
    </w:p>
  </w:footnote>
  <w:footnote w:id="513">
    <w:p w14:paraId="17BECA2A" w14:textId="321F0EA6" w:rsidR="0096524F" w:rsidRPr="00EB11B3" w:rsidRDefault="0096524F" w:rsidP="0096524F">
      <w:pPr>
        <w:pStyle w:val="FootnoteText"/>
      </w:pPr>
      <w:r w:rsidRPr="0096524F">
        <w:rPr>
          <w:vertAlign w:val="superscript"/>
        </w:rPr>
        <w:footnoteRef/>
      </w:r>
      <w:r w:rsidRPr="0096524F">
        <w:t>205 F.</w:t>
      </w:r>
      <w:r w:rsidRPr="0096524F">
        <w:t xml:space="preserve"> </w:t>
      </w:r>
      <w:r w:rsidRPr="0096524F">
        <w:t>Supp.</w:t>
      </w:r>
      <w:r w:rsidRPr="0096524F">
        <w:t xml:space="preserve"> </w:t>
      </w:r>
      <w:r w:rsidRPr="0096524F">
        <w:t>2d 942, 63 USPQ2d 1353 (N.D.</w:t>
      </w:r>
      <w:r w:rsidRPr="0096524F">
        <w:t xml:space="preserve"> </w:t>
      </w:r>
      <w:r w:rsidRPr="0096524F">
        <w:t>Ill.</w:t>
      </w:r>
      <w:r w:rsidRPr="0096524F">
        <w:t xml:space="preserve"> </w:t>
      </w:r>
      <w:r w:rsidRPr="0096524F">
        <w:t>2002).</w:t>
      </w:r>
    </w:p>
  </w:footnote>
  <w:footnote w:id="514">
    <w:p w14:paraId="46CE7133" w14:textId="3A4B32D1"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954–55.</w:t>
      </w:r>
      <w:r w:rsidRPr="0096524F">
        <w:t xml:space="preserve"> </w:t>
      </w:r>
      <w:r w:rsidRPr="0096524F">
        <w:t>For a discussion of the noncommercial use exclusion under the FTDA, see Chapter 10, §IV.</w:t>
      </w:r>
      <w:r w:rsidRPr="0096524F">
        <w:t xml:space="preserve"> </w:t>
      </w:r>
      <w:r w:rsidRPr="0096524F">
        <w:t xml:space="preserve">Although the TDRA added a fair use exclusion specifically aimed at parody and commentary, the use on a sexually explicit Web site probably would not be considered a “fair use.” </w:t>
      </w:r>
      <w:r w:rsidRPr="0096524F">
        <w:rPr>
          <w:i/>
        </w:rPr>
        <w:t>See</w:t>
      </w:r>
      <w:r w:rsidRPr="0096524F">
        <w:t xml:space="preserve"> Chapter 10, §II.</w:t>
      </w:r>
    </w:p>
  </w:footnote>
  <w:footnote w:id="515">
    <w:p w14:paraId="5240ED37" w14:textId="507144F0" w:rsidR="0096524F" w:rsidRPr="00EB11B3" w:rsidRDefault="0096524F" w:rsidP="0096524F">
      <w:pPr>
        <w:pStyle w:val="FootnoteText"/>
      </w:pPr>
      <w:r w:rsidRPr="0096524F">
        <w:rPr>
          <w:vertAlign w:val="superscript"/>
        </w:rPr>
        <w:footnoteRef/>
      </w:r>
      <w:r w:rsidRPr="0096524F">
        <w:t>29 F.</w:t>
      </w:r>
      <w:r w:rsidRPr="0096524F">
        <w:t xml:space="preserve"> </w:t>
      </w:r>
      <w:r w:rsidRPr="0096524F">
        <w:t>Supp.</w:t>
      </w:r>
      <w:r w:rsidRPr="0096524F">
        <w:t xml:space="preserve"> </w:t>
      </w:r>
      <w:r w:rsidRPr="0096524F">
        <w:t>2d 1161, 50 USPQ2d 1840 (C.D.</w:t>
      </w:r>
      <w:r w:rsidRPr="0096524F">
        <w:t xml:space="preserve"> </w:t>
      </w:r>
      <w:r w:rsidRPr="0096524F">
        <w:t>Cal.</w:t>
      </w:r>
      <w:r w:rsidRPr="0096524F">
        <w:t xml:space="preserve"> </w:t>
      </w:r>
      <w:r w:rsidRPr="0096524F">
        <w:t>1998).</w:t>
      </w:r>
    </w:p>
  </w:footnote>
  <w:footnote w:id="516">
    <w:p w14:paraId="37B530F3" w14:textId="71E95F34" w:rsidR="0096524F" w:rsidRPr="00EB11B3" w:rsidRDefault="0096524F" w:rsidP="0096524F">
      <w:pPr>
        <w:pStyle w:val="FootnoteText"/>
      </w:pPr>
      <w:r w:rsidRPr="0096524F">
        <w:rPr>
          <w:vertAlign w:val="superscript"/>
        </w:rPr>
        <w:footnoteRef/>
      </w:r>
      <w:r w:rsidRPr="0096524F">
        <w:t>The site did not use Bally as part of the domain name address.</w:t>
      </w:r>
      <w:r w:rsidRPr="0096524F">
        <w:t xml:space="preserve"> </w:t>
      </w:r>
      <w:r w:rsidRPr="0096524F">
        <w:rPr>
          <w:i/>
        </w:rPr>
        <w:t>Id</w:t>
      </w:r>
      <w:r w:rsidRPr="0096524F">
        <w:t>.</w:t>
      </w:r>
      <w:r w:rsidRPr="0096524F">
        <w:t xml:space="preserve"> </w:t>
      </w:r>
      <w:r w:rsidRPr="0096524F">
        <w:t>at 1167–68.</w:t>
      </w:r>
    </w:p>
  </w:footnote>
  <w:footnote w:id="517">
    <w:p w14:paraId="3553B163" w14:textId="223EB5FD"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rPr>
          <w:i/>
        </w:rPr>
        <w:t>See</w:t>
      </w:r>
      <w:r w:rsidRPr="0096524F">
        <w:t xml:space="preserve"> Ford Motor Co.</w:t>
      </w:r>
      <w:r w:rsidRPr="0096524F">
        <w:t xml:space="preserve"> </w:t>
      </w:r>
      <w:r w:rsidRPr="0096524F">
        <w:t>v.</w:t>
      </w:r>
      <w:r w:rsidRPr="0096524F">
        <w:t xml:space="preserve"> </w:t>
      </w:r>
      <w:r w:rsidRPr="0096524F">
        <w:t>2600 Enters., 177 F.</w:t>
      </w:r>
      <w:r w:rsidRPr="0096524F">
        <w:t xml:space="preserve"> </w:t>
      </w:r>
      <w:r w:rsidRPr="0096524F">
        <w:t>Supp.</w:t>
      </w:r>
      <w:r w:rsidRPr="0096524F">
        <w:t xml:space="preserve"> </w:t>
      </w:r>
      <w:r w:rsidRPr="0096524F">
        <w:t>2d 661, 665, 61 USPQ2d 1757 (E.D.</w:t>
      </w:r>
      <w:r w:rsidRPr="0096524F">
        <w:t xml:space="preserve"> </w:t>
      </w:r>
      <w:r w:rsidRPr="0096524F">
        <w:t>Mich.</w:t>
      </w:r>
      <w:r w:rsidRPr="0096524F">
        <w:t xml:space="preserve"> </w:t>
      </w:r>
      <w:r w:rsidRPr="0096524F">
        <w:t>2001) (defendant’s “fuckgeneralmotors.com” site, which provided automatic link to plaintiff’s “ford.com” site, held exempt).</w:t>
      </w:r>
    </w:p>
  </w:footnote>
  <w:footnote w:id="518">
    <w:p w14:paraId="11FC07F7" w14:textId="08410BAF" w:rsidR="0096524F" w:rsidRPr="00EB11B3" w:rsidRDefault="0096524F" w:rsidP="0096524F">
      <w:pPr>
        <w:pStyle w:val="FootnoteText"/>
      </w:pPr>
      <w:r w:rsidRPr="0096524F">
        <w:rPr>
          <w:vertAlign w:val="superscript"/>
        </w:rPr>
        <w:footnoteRef/>
      </w:r>
      <w:r w:rsidRPr="0096524F">
        <w:t>University of Kansas v.</w:t>
      </w:r>
      <w:r w:rsidRPr="0096524F">
        <w:t xml:space="preserve"> </w:t>
      </w:r>
      <w:r w:rsidRPr="0096524F">
        <w:t>Sinks, 644 F.</w:t>
      </w:r>
      <w:r w:rsidRPr="0096524F">
        <w:t xml:space="preserve"> </w:t>
      </w:r>
      <w:r w:rsidRPr="0096524F">
        <w:t>Supp.</w:t>
      </w:r>
      <w:r w:rsidRPr="0096524F">
        <w:t xml:space="preserve"> </w:t>
      </w:r>
      <w:r w:rsidRPr="0096524F">
        <w:t>2d 1287, 1294 (D.</w:t>
      </w:r>
      <w:r w:rsidRPr="0096524F">
        <w:t xml:space="preserve"> </w:t>
      </w:r>
      <w:r w:rsidRPr="0096524F">
        <w:t>Kan.</w:t>
      </w:r>
      <w:r w:rsidRPr="0096524F">
        <w:t xml:space="preserve"> </w:t>
      </w:r>
      <w:r w:rsidRPr="0096524F">
        <w:t>2008).</w:t>
      </w:r>
      <w:r w:rsidRPr="0096524F">
        <w:t xml:space="preserve"> </w:t>
      </w:r>
      <w:r w:rsidRPr="0096524F">
        <w:t>The court cited two pieces of testimony—one by a university employee and one concerning an Internet blog.</w:t>
      </w:r>
    </w:p>
  </w:footnote>
  <w:footnote w:id="519">
    <w:p w14:paraId="4F63CE7F" w14:textId="3E387B10" w:rsidR="0096524F" w:rsidRPr="00EB11B3" w:rsidRDefault="0096524F" w:rsidP="0096524F">
      <w:pPr>
        <w:pStyle w:val="FootnoteText"/>
      </w:pPr>
      <w:r w:rsidRPr="0096524F">
        <w:rPr>
          <w:vertAlign w:val="superscript"/>
        </w:rPr>
        <w:footnoteRef/>
      </w:r>
      <w:r w:rsidRPr="0096524F">
        <w:t>652 F.</w:t>
      </w:r>
      <w:r w:rsidRPr="0096524F">
        <w:t xml:space="preserve"> </w:t>
      </w:r>
      <w:r w:rsidRPr="0096524F">
        <w:t>Supp.</w:t>
      </w:r>
      <w:r w:rsidRPr="0096524F">
        <w:t xml:space="preserve"> </w:t>
      </w:r>
      <w:r w:rsidRPr="0096524F">
        <w:t>2d 512, 92 USPQ2d 1835 (S.D.N.Y.</w:t>
      </w:r>
      <w:r w:rsidRPr="0096524F">
        <w:t xml:space="preserve"> </w:t>
      </w:r>
      <w:r w:rsidRPr="0096524F">
        <w:t>2009).</w:t>
      </w:r>
    </w:p>
  </w:footnote>
  <w:footnote w:id="520">
    <w:p w14:paraId="56C99A05" w14:textId="5AD881FA"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525.</w:t>
      </w:r>
    </w:p>
  </w:footnote>
  <w:footnote w:id="521">
    <w:p w14:paraId="1B10FEED" w14:textId="092F5E6B" w:rsidR="0096524F" w:rsidRPr="00EB11B3" w:rsidRDefault="0096524F" w:rsidP="0096524F">
      <w:pPr>
        <w:pStyle w:val="FootnoteText"/>
      </w:pPr>
      <w:r w:rsidRPr="0096524F">
        <w:rPr>
          <w:vertAlign w:val="superscript"/>
        </w:rPr>
        <w:footnoteRef/>
      </w:r>
      <w:r w:rsidRPr="0096524F">
        <w:t>See §II.E.2.a, above, for a discussion of tarnishment in sexually oriented situations.</w:t>
      </w:r>
    </w:p>
  </w:footnote>
  <w:footnote w:id="522">
    <w:p w14:paraId="76FE8798" w14:textId="3EFF3035" w:rsidR="0096524F" w:rsidRPr="0096524F" w:rsidRDefault="0096524F" w:rsidP="0096524F">
      <w:pPr>
        <w:pStyle w:val="FootnoteText"/>
      </w:pPr>
      <w:r w:rsidRPr="0096524F">
        <w:rPr>
          <w:vertAlign w:val="superscript"/>
        </w:rPr>
        <w:footnoteRef/>
      </w:r>
      <w:r w:rsidRPr="0096524F">
        <w:t>Radiance Found., Inc.</w:t>
      </w:r>
      <w:r w:rsidRPr="0096524F">
        <w:t xml:space="preserve"> </w:t>
      </w:r>
      <w:r w:rsidRPr="0096524F">
        <w:t>v.</w:t>
      </w:r>
      <w:r w:rsidRPr="0096524F">
        <w:t xml:space="preserve"> </w:t>
      </w:r>
      <w:r w:rsidRPr="0096524F">
        <w:t>NAACP, 25 F.</w:t>
      </w:r>
      <w:r w:rsidRPr="0096524F">
        <w:t xml:space="preserve"> </w:t>
      </w:r>
      <w:r w:rsidRPr="0096524F">
        <w:t>Supp.</w:t>
      </w:r>
      <w:r w:rsidRPr="0096524F">
        <w:t xml:space="preserve"> </w:t>
      </w:r>
      <w:r w:rsidRPr="0096524F">
        <w:t>3d 865, 895–96, 111 USPQ2d 1863 (E.D.</w:t>
      </w:r>
      <w:r w:rsidRPr="0096524F">
        <w:t xml:space="preserve"> </w:t>
      </w:r>
      <w:r w:rsidRPr="0096524F">
        <w:t>Va.</w:t>
      </w:r>
      <w:r w:rsidRPr="0096524F">
        <w:t xml:space="preserve"> </w:t>
      </w:r>
      <w:r w:rsidRPr="0096524F">
        <w:t xml:space="preserve">2014), </w:t>
      </w:r>
      <w:r w:rsidRPr="0096524F">
        <w:rPr>
          <w:i/>
        </w:rPr>
        <w:t>vacated and remanded</w:t>
      </w:r>
      <w:r w:rsidRPr="0096524F">
        <w:t>, 786 F.3d 316, 114 USPQ2d 1772 (4th Cir.</w:t>
      </w:r>
      <w:r w:rsidRPr="0096524F">
        <w:t xml:space="preserve"> </w:t>
      </w:r>
      <w:r w:rsidRPr="0096524F">
        <w:t>2015).</w:t>
      </w:r>
    </w:p>
    <w:p w14:paraId="1DA4BC3F" w14:textId="77777777" w:rsidR="0096524F" w:rsidRDefault="0096524F" w:rsidP="00D758BD">
      <w:pPr>
        <w:pStyle w:val="footnote"/>
      </w:pPr>
    </w:p>
  </w:footnote>
  <w:footnote w:id="523">
    <w:p w14:paraId="5859932E" w14:textId="25A9E0B0" w:rsidR="0096524F" w:rsidRPr="0096524F" w:rsidRDefault="0096524F" w:rsidP="0096524F">
      <w:pPr>
        <w:pStyle w:val="FootnoteText"/>
      </w:pPr>
      <w:r w:rsidRPr="0096524F">
        <w:rPr>
          <w:vertAlign w:val="superscript"/>
        </w:rPr>
        <w:footnoteRef/>
      </w:r>
      <w:r w:rsidRPr="0096524F">
        <w:t>786 F.3d 316, 114 USPQ2d 1772 (4th Cir.</w:t>
      </w:r>
      <w:r w:rsidRPr="0096524F">
        <w:t xml:space="preserve"> </w:t>
      </w:r>
      <w:r w:rsidRPr="0096524F">
        <w:t>2015).</w:t>
      </w:r>
    </w:p>
    <w:p w14:paraId="7F70331C" w14:textId="77777777" w:rsidR="0096524F" w:rsidRDefault="0096524F" w:rsidP="00D758BD">
      <w:pPr>
        <w:pStyle w:val="footnote"/>
      </w:pPr>
    </w:p>
  </w:footnote>
  <w:footnote w:id="524">
    <w:p w14:paraId="264DEB5E" w14:textId="5EE939AB"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330.</w:t>
      </w:r>
    </w:p>
    <w:p w14:paraId="164B4267" w14:textId="77777777" w:rsidR="0096524F" w:rsidRDefault="0096524F" w:rsidP="00D758BD">
      <w:pPr>
        <w:pStyle w:val="footnote"/>
      </w:pPr>
    </w:p>
  </w:footnote>
  <w:footnote w:id="525">
    <w:p w14:paraId="2CB44014" w14:textId="34563BD9"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331–32.</w:t>
      </w:r>
      <w:r w:rsidRPr="0096524F">
        <w:t xml:space="preserve"> </w:t>
      </w:r>
      <w:r w:rsidRPr="0096524F">
        <w:t>See Chapter 10 for a discussion of the statutory exclusions.</w:t>
      </w:r>
    </w:p>
    <w:p w14:paraId="1A0B1B81" w14:textId="77777777" w:rsidR="0096524F" w:rsidRDefault="0096524F" w:rsidP="00D758BD">
      <w:pPr>
        <w:pStyle w:val="footnote"/>
      </w:pPr>
    </w:p>
  </w:footnote>
  <w:footnote w:id="526">
    <w:p w14:paraId="2C0E2F29" w14:textId="7D042F37" w:rsidR="0096524F" w:rsidRPr="0096524F" w:rsidRDefault="0096524F" w:rsidP="0096524F">
      <w:pPr>
        <w:pStyle w:val="FootnoteText"/>
      </w:pPr>
      <w:r w:rsidRPr="0096524F">
        <w:rPr>
          <w:vertAlign w:val="superscript"/>
        </w:rPr>
        <w:footnoteRef/>
      </w:r>
      <w:r w:rsidRPr="0096524F">
        <w:t>291 F.</w:t>
      </w:r>
      <w:r w:rsidRPr="0096524F">
        <w:t xml:space="preserve"> </w:t>
      </w:r>
      <w:r w:rsidRPr="0096524F">
        <w:t>Supp.</w:t>
      </w:r>
      <w:r w:rsidRPr="0096524F">
        <w:t xml:space="preserve"> </w:t>
      </w:r>
      <w:r w:rsidRPr="0096524F">
        <w:t>3d 891 (D.</w:t>
      </w:r>
      <w:r w:rsidRPr="0096524F">
        <w:t xml:space="preserve"> </w:t>
      </w:r>
      <w:r w:rsidRPr="0096524F">
        <w:t>Ariz.</w:t>
      </w:r>
      <w:r w:rsidRPr="0096524F">
        <w:t xml:space="preserve"> </w:t>
      </w:r>
      <w:r w:rsidRPr="0096524F">
        <w:t xml:space="preserve">2018), </w:t>
      </w:r>
      <w:r w:rsidRPr="0096524F">
        <w:rPr>
          <w:i/>
        </w:rPr>
        <w:t>rev’d</w:t>
      </w:r>
      <w:r w:rsidRPr="0096524F">
        <w:t>, 953 F.3d 1170 (9th Cir.</w:t>
      </w:r>
      <w:r w:rsidRPr="0096524F">
        <w:t xml:space="preserve"> </w:t>
      </w:r>
      <w:r w:rsidRPr="0096524F">
        <w:t xml:space="preserve">2020), </w:t>
      </w:r>
      <w:r w:rsidRPr="0096524F">
        <w:rPr>
          <w:i/>
        </w:rPr>
        <w:t>rev’d</w:t>
      </w:r>
      <w:r w:rsidRPr="0096524F">
        <w:t>, 599 U.S.</w:t>
      </w:r>
      <w:r w:rsidRPr="0096524F">
        <w:t xml:space="preserve"> </w:t>
      </w:r>
      <w:r w:rsidRPr="0096524F">
        <w:t>140 (2023) (finding the noncommercial use exclusion not applicable).</w:t>
      </w:r>
    </w:p>
    <w:p w14:paraId="37340FF0" w14:textId="77777777" w:rsidR="0096524F" w:rsidRDefault="0096524F" w:rsidP="00D758BD">
      <w:pPr>
        <w:pStyle w:val="footnote"/>
      </w:pPr>
    </w:p>
  </w:footnote>
  <w:footnote w:id="527">
    <w:p w14:paraId="63366FAC" w14:textId="2494395C"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898.</w:t>
      </w:r>
    </w:p>
    <w:p w14:paraId="3A670083" w14:textId="77777777" w:rsidR="0096524F" w:rsidRDefault="0096524F" w:rsidP="00D758BD">
      <w:pPr>
        <w:pStyle w:val="footnote"/>
      </w:pPr>
    </w:p>
  </w:footnote>
  <w:footnote w:id="528">
    <w:p w14:paraId="78BFA2AD" w14:textId="0FD4546B"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901–05.</w:t>
      </w:r>
      <w:r w:rsidRPr="0096524F">
        <w:t xml:space="preserve"> </w:t>
      </w:r>
      <w:r w:rsidRPr="0096524F">
        <w:t>On appeal, the Ninth Circuit found that this constituted a noncommercial use and reversed the finding of dilution.</w:t>
      </w:r>
      <w:r w:rsidRPr="0096524F">
        <w:t xml:space="preserve"> </w:t>
      </w:r>
      <w:r w:rsidRPr="0096524F">
        <w:t>953 F.3d 1170, 1176 (9th Cir.</w:t>
      </w:r>
      <w:r w:rsidRPr="0096524F">
        <w:t xml:space="preserve"> </w:t>
      </w:r>
      <w:r w:rsidRPr="0096524F">
        <w:t>2020).</w:t>
      </w:r>
      <w:r w:rsidRPr="0096524F">
        <w:t xml:space="preserve"> </w:t>
      </w:r>
      <w:r w:rsidRPr="0096524F">
        <w:t xml:space="preserve">The court of appeals also vacated and remanded the district court’s finding of infringement by confusion on the grounds that </w:t>
      </w:r>
      <w:r w:rsidRPr="0096524F">
        <w:rPr>
          <w:rStyle w:val="BCasenamefull"/>
        </w:rPr>
        <w:t>Rogers v. Grimaldi</w:t>
      </w:r>
      <w:r w:rsidRPr="0096524F">
        <w:t xml:space="preserve"> provided a defense to infringement.</w:t>
      </w:r>
      <w:r w:rsidRPr="0096524F">
        <w:t xml:space="preserve"> </w:t>
      </w:r>
      <w:r w:rsidRPr="0096524F">
        <w:t xml:space="preserve">However, the Supreme Court reversed the Ninth Circuit, finding </w:t>
      </w:r>
      <w:r w:rsidRPr="0096524F">
        <w:rPr>
          <w:i/>
        </w:rPr>
        <w:t>Rogers</w:t>
      </w:r>
      <w:r w:rsidRPr="0096524F">
        <w:t xml:space="preserve"> inapplicable where the offending use was as a trademark, and also found the noncommercial use exclusion inapplicable when the use was as a trademark.</w:t>
      </w:r>
      <w:r w:rsidRPr="0096524F">
        <w:t xml:space="preserve"> </w:t>
      </w:r>
      <w:r w:rsidRPr="0096524F">
        <w:t>599 U.S.</w:t>
      </w:r>
      <w:r w:rsidRPr="0096524F">
        <w:t xml:space="preserve"> </w:t>
      </w:r>
      <w:r w:rsidRPr="0096524F">
        <w:t>140 (2023).</w:t>
      </w:r>
      <w:r w:rsidRPr="0096524F">
        <w:t xml:space="preserve"> </w:t>
      </w:r>
      <w:r w:rsidRPr="0096524F">
        <w:t>The case was remanded to the district court, which again found dilution by tarnishment.</w:t>
      </w:r>
      <w:r w:rsidRPr="0096524F">
        <w:t xml:space="preserve"> </w:t>
      </w:r>
      <w:r w:rsidRPr="0096524F">
        <w:t>2025 WL 275909, at *19, 2025 BL 21521 (D.</w:t>
      </w:r>
      <w:r w:rsidRPr="0096524F">
        <w:t xml:space="preserve"> </w:t>
      </w:r>
      <w:r w:rsidRPr="0096524F">
        <w:t>Ariz.</w:t>
      </w:r>
      <w:r w:rsidRPr="0096524F">
        <w:t xml:space="preserve"> </w:t>
      </w:r>
      <w:r w:rsidRPr="0096524F">
        <w:t>Jan.</w:t>
      </w:r>
      <w:r w:rsidRPr="0096524F">
        <w:t xml:space="preserve"> </w:t>
      </w:r>
      <w:r w:rsidRPr="0096524F">
        <w:t>21, 2025).</w:t>
      </w:r>
      <w:r w:rsidRPr="0096524F">
        <w:t xml:space="preserve"> </w:t>
      </w:r>
      <w:r w:rsidRPr="0096524F">
        <w:t>The Supreme Court’s decision is discussed in Chapter 10, Section IV.D.1.</w:t>
      </w:r>
    </w:p>
    <w:p w14:paraId="6AD0D00A" w14:textId="77777777" w:rsidR="0096524F" w:rsidRPr="002C660D" w:rsidRDefault="0096524F" w:rsidP="00F56A21">
      <w:pPr>
        <w:pStyle w:val="footnote"/>
      </w:pPr>
    </w:p>
  </w:footnote>
  <w:footnote w:id="529">
    <w:p w14:paraId="02733555" w14:textId="5FB752ED" w:rsidR="0096524F" w:rsidRPr="00EB11B3" w:rsidRDefault="0096524F" w:rsidP="0096524F">
      <w:pPr>
        <w:pStyle w:val="FootnoteText"/>
      </w:pPr>
      <w:r w:rsidRPr="0096524F">
        <w:rPr>
          <w:vertAlign w:val="superscript"/>
        </w:rPr>
        <w:footnoteRef/>
      </w:r>
      <w:r w:rsidRPr="0096524F">
        <w:t>14 F.</w:t>
      </w:r>
      <w:r w:rsidRPr="0096524F">
        <w:t xml:space="preserve"> </w:t>
      </w:r>
      <w:r w:rsidRPr="0096524F">
        <w:t>Supp.</w:t>
      </w:r>
      <w:r w:rsidRPr="0096524F">
        <w:t xml:space="preserve"> </w:t>
      </w:r>
      <w:r w:rsidRPr="0096524F">
        <w:t>2d 947, 48 USPQ2d 1759 (N.D.</w:t>
      </w:r>
      <w:r w:rsidRPr="0096524F">
        <w:t xml:space="preserve"> </w:t>
      </w:r>
      <w:r w:rsidRPr="0096524F">
        <w:t>Tex.</w:t>
      </w:r>
      <w:r w:rsidRPr="0096524F">
        <w:t xml:space="preserve"> </w:t>
      </w:r>
      <w:r w:rsidRPr="0096524F">
        <w:t xml:space="preserve">1998), </w:t>
      </w:r>
      <w:r w:rsidRPr="0096524F">
        <w:rPr>
          <w:i/>
        </w:rPr>
        <w:t>aff’d,</w:t>
      </w:r>
      <w:r w:rsidRPr="0096524F">
        <w:t xml:space="preserve"> 179 F.3d 384, 51 USPQ2d 1365 (5th Cir.</w:t>
      </w:r>
      <w:r w:rsidRPr="0096524F">
        <w:t xml:space="preserve"> </w:t>
      </w:r>
      <w:r w:rsidRPr="0096524F">
        <w:t>1999).</w:t>
      </w:r>
    </w:p>
  </w:footnote>
  <w:footnote w:id="530">
    <w:p w14:paraId="2B8AEB6D" w14:textId="16F547E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951.</w:t>
      </w:r>
    </w:p>
  </w:footnote>
  <w:footnote w:id="531">
    <w:p w14:paraId="530CC252" w14:textId="5AD55CA3"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954.</w:t>
      </w:r>
    </w:p>
  </w:footnote>
  <w:footnote w:id="532">
    <w:p w14:paraId="5759C521" w14:textId="5CA966D3" w:rsidR="0096524F" w:rsidRPr="00EB11B3" w:rsidRDefault="0096524F" w:rsidP="0096524F">
      <w:pPr>
        <w:pStyle w:val="FootnoteText"/>
      </w:pPr>
      <w:r w:rsidRPr="0096524F">
        <w:rPr>
          <w:vertAlign w:val="superscript"/>
        </w:rPr>
        <w:footnoteRef/>
      </w:r>
      <w:r w:rsidRPr="0096524F">
        <w:t>221 F.</w:t>
      </w:r>
      <w:r w:rsidRPr="0096524F">
        <w:t xml:space="preserve"> </w:t>
      </w:r>
      <w:r w:rsidRPr="0096524F">
        <w:t>Supp.</w:t>
      </w:r>
      <w:r w:rsidRPr="0096524F">
        <w:t xml:space="preserve"> </w:t>
      </w:r>
      <w:r w:rsidRPr="0096524F">
        <w:t>2d 410 (S.D.N.Y.</w:t>
      </w:r>
      <w:r w:rsidRPr="0096524F">
        <w:t xml:space="preserve"> </w:t>
      </w:r>
      <w:r w:rsidRPr="0096524F">
        <w:t>2002).</w:t>
      </w:r>
    </w:p>
  </w:footnote>
  <w:footnote w:id="533">
    <w:p w14:paraId="4D7842A0" w14:textId="7F57C763"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422–23.</w:t>
      </w:r>
      <w:r w:rsidRPr="0096524F">
        <w:t xml:space="preserve"> </w:t>
      </w:r>
      <w:r w:rsidRPr="0096524F">
        <w:t xml:space="preserve">Quoting the Ninth Circuit, the plaintiff was “‘advised to chill.’” </w:t>
      </w:r>
      <w:r w:rsidRPr="0096524F">
        <w:rPr>
          <w:i/>
        </w:rPr>
        <w:t>Id</w:t>
      </w:r>
      <w:r w:rsidRPr="0096524F">
        <w:t>.</w:t>
      </w:r>
      <w:r w:rsidRPr="0096524F">
        <w:t xml:space="preserve"> </w:t>
      </w:r>
      <w:r w:rsidRPr="0096524F">
        <w:t>at 425 (quoting Mattel, Inc.</w:t>
      </w:r>
      <w:r w:rsidRPr="0096524F">
        <w:t xml:space="preserve"> </w:t>
      </w:r>
      <w:r w:rsidRPr="0096524F">
        <w:t>v.</w:t>
      </w:r>
      <w:r w:rsidRPr="0096524F">
        <w:t xml:space="preserve"> </w:t>
      </w:r>
      <w:r w:rsidRPr="0096524F">
        <w:t>MCA Records, Inc., 296 F.3d 894, 908, 63 USPQ2d 1715 (9th Cir.</w:t>
      </w:r>
      <w:r w:rsidRPr="0096524F">
        <w:t xml:space="preserve"> </w:t>
      </w:r>
      <w:r w:rsidRPr="0096524F">
        <w:t xml:space="preserve">2002), </w:t>
      </w:r>
      <w:r w:rsidRPr="0096524F">
        <w:rPr>
          <w:i/>
        </w:rPr>
        <w:t>cert</w:t>
      </w:r>
      <w:r w:rsidRPr="0096524F">
        <w:t>.</w:t>
      </w:r>
      <w:r w:rsidRPr="0096524F">
        <w:t xml:space="preserve"> </w:t>
      </w:r>
      <w:r w:rsidRPr="0096524F">
        <w:rPr>
          <w:i/>
        </w:rPr>
        <w:t>denied</w:t>
      </w:r>
      <w:r w:rsidRPr="0096524F">
        <w:t>, 537 U.S.</w:t>
      </w:r>
      <w:r w:rsidRPr="0096524F">
        <w:t xml:space="preserve"> </w:t>
      </w:r>
      <w:r w:rsidRPr="0096524F">
        <w:t>1171 (2003)).</w:t>
      </w:r>
    </w:p>
  </w:footnote>
  <w:footnote w:id="534">
    <w:p w14:paraId="1A0F833E" w14:textId="71EA7A7F" w:rsidR="0096524F" w:rsidRPr="00EB11B3" w:rsidRDefault="0096524F" w:rsidP="0096524F">
      <w:pPr>
        <w:pStyle w:val="FootnoteText"/>
      </w:pPr>
      <w:r w:rsidRPr="0096524F">
        <w:rPr>
          <w:vertAlign w:val="superscript"/>
        </w:rPr>
        <w:footnoteRef/>
      </w:r>
      <w:r w:rsidRPr="0096524F">
        <w:t>507 F.3d 252, 84 USPQ2d 1969 (4th Cir.</w:t>
      </w:r>
      <w:r w:rsidRPr="0096524F">
        <w:t xml:space="preserve"> </w:t>
      </w:r>
      <w:r w:rsidRPr="0096524F">
        <w:t>2007).</w:t>
      </w:r>
    </w:p>
  </w:footnote>
  <w:footnote w:id="535">
    <w:p w14:paraId="2C64306D" w14:textId="7D8B1366" w:rsidR="0096524F" w:rsidRPr="00EB11B3" w:rsidRDefault="0096524F" w:rsidP="0096524F">
      <w:pPr>
        <w:pStyle w:val="FootnoteText"/>
      </w:pPr>
      <w:r w:rsidRPr="0096524F">
        <w:rPr>
          <w:vertAlign w:val="superscript"/>
        </w:rPr>
        <w:footnoteRef/>
      </w:r>
      <w:r w:rsidRPr="0096524F">
        <w:t>177 F.</w:t>
      </w:r>
      <w:r w:rsidRPr="0096524F">
        <w:t xml:space="preserve"> </w:t>
      </w:r>
      <w:r w:rsidRPr="0096524F">
        <w:t>Supp.</w:t>
      </w:r>
      <w:r w:rsidRPr="0096524F">
        <w:t xml:space="preserve"> </w:t>
      </w:r>
      <w:r w:rsidRPr="0096524F">
        <w:t>2d 661, 61 USPQ2d 1757 (E.D.</w:t>
      </w:r>
      <w:r w:rsidRPr="0096524F">
        <w:t xml:space="preserve"> </w:t>
      </w:r>
      <w:r w:rsidRPr="0096524F">
        <w:t>Mich.</w:t>
      </w:r>
      <w:r w:rsidRPr="0096524F">
        <w:t xml:space="preserve"> </w:t>
      </w:r>
      <w:r w:rsidRPr="0096524F">
        <w:t>2001).</w:t>
      </w:r>
    </w:p>
  </w:footnote>
  <w:footnote w:id="536">
    <w:p w14:paraId="622956BF" w14:textId="65893060"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664.</w:t>
      </w:r>
    </w:p>
  </w:footnote>
  <w:footnote w:id="537">
    <w:p w14:paraId="54B84DBA" w14:textId="53ED0E2E"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The court also found the use to be protected by the noncommercial use exemption.</w:t>
      </w:r>
      <w:r w:rsidRPr="0096524F">
        <w:t xml:space="preserve"> </w:t>
      </w:r>
      <w:r w:rsidRPr="0096524F">
        <w:rPr>
          <w:i/>
        </w:rPr>
        <w:t>Id</w:t>
      </w:r>
      <w:r w:rsidRPr="0096524F">
        <w:t>.</w:t>
      </w:r>
      <w:r w:rsidRPr="0096524F">
        <w:t xml:space="preserve"> </w:t>
      </w:r>
      <w:r w:rsidRPr="0096524F">
        <w:t>at 664–65.</w:t>
      </w:r>
    </w:p>
  </w:footnote>
  <w:footnote w:id="538">
    <w:p w14:paraId="3A5EBE3F" w14:textId="2AC21A9D" w:rsidR="0096524F" w:rsidRPr="00EB11B3" w:rsidRDefault="0096524F" w:rsidP="0096524F">
      <w:pPr>
        <w:pStyle w:val="FootnoteText"/>
      </w:pPr>
      <w:r w:rsidRPr="0096524F">
        <w:rPr>
          <w:vertAlign w:val="superscript"/>
        </w:rPr>
        <w:footnoteRef/>
      </w:r>
      <w:r w:rsidRPr="0096524F">
        <w:t>28 F.</w:t>
      </w:r>
      <w:r w:rsidRPr="0096524F">
        <w:t xml:space="preserve"> </w:t>
      </w:r>
      <w:r w:rsidRPr="0096524F">
        <w:t>Supp.</w:t>
      </w:r>
      <w:r w:rsidRPr="0096524F">
        <w:t xml:space="preserve"> </w:t>
      </w:r>
      <w:r w:rsidRPr="0096524F">
        <w:t>2d 1120 (C.D.</w:t>
      </w:r>
      <w:r w:rsidRPr="0096524F">
        <w:t xml:space="preserve"> </w:t>
      </w:r>
      <w:r w:rsidRPr="0096524F">
        <w:t>Cal.</w:t>
      </w:r>
      <w:r w:rsidRPr="0096524F">
        <w:t xml:space="preserve"> </w:t>
      </w:r>
      <w:r w:rsidRPr="0096524F">
        <w:t xml:space="preserve">1998), </w:t>
      </w:r>
      <w:r w:rsidRPr="0096524F">
        <w:rPr>
          <w:i/>
        </w:rPr>
        <w:t>aff’d</w:t>
      </w:r>
      <w:r w:rsidRPr="0096524F">
        <w:t>, 296 F.3d 894, 63 USPQ2d 1715 (9th Cir.</w:t>
      </w:r>
      <w:r w:rsidRPr="0096524F">
        <w:t xml:space="preserve"> </w:t>
      </w:r>
      <w:r w:rsidRPr="0096524F">
        <w:t xml:space="preserve">2002), </w:t>
      </w:r>
      <w:r w:rsidRPr="0096524F">
        <w:rPr>
          <w:i/>
        </w:rPr>
        <w:t>cert</w:t>
      </w:r>
      <w:r w:rsidRPr="0096524F">
        <w:t>.</w:t>
      </w:r>
      <w:r w:rsidRPr="0096524F">
        <w:t xml:space="preserve"> </w:t>
      </w:r>
      <w:r w:rsidRPr="0096524F">
        <w:rPr>
          <w:i/>
        </w:rPr>
        <w:t>denied</w:t>
      </w:r>
      <w:r w:rsidRPr="0096524F">
        <w:t>, 537 U.S.</w:t>
      </w:r>
      <w:r w:rsidRPr="0096524F">
        <w:t xml:space="preserve"> </w:t>
      </w:r>
      <w:r w:rsidRPr="0096524F">
        <w:t>1171 (2003).</w:t>
      </w:r>
      <w:r w:rsidRPr="0096524F">
        <w:t xml:space="preserve"> </w:t>
      </w:r>
      <w:r w:rsidRPr="0096524F">
        <w:t>The Ninth Circuit found this to be a noncommercial use.</w:t>
      </w:r>
      <w:r w:rsidRPr="0096524F">
        <w:t xml:space="preserve"> </w:t>
      </w:r>
      <w:r w:rsidRPr="0096524F">
        <w:rPr>
          <w:i/>
        </w:rPr>
        <w:t>See</w:t>
      </w:r>
      <w:r w:rsidRPr="0096524F">
        <w:t xml:space="preserve"> Chapter 10, §IV.</w:t>
      </w:r>
    </w:p>
  </w:footnote>
  <w:footnote w:id="539">
    <w:p w14:paraId="7A1ABB8A" w14:textId="22073B04"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1156.</w:t>
      </w:r>
      <w:r w:rsidRPr="0096524F">
        <w:t xml:space="preserve"> </w:t>
      </w:r>
      <w:r w:rsidRPr="0096524F">
        <w:rPr>
          <w:i/>
        </w:rPr>
        <w:t>See id</w:t>
      </w:r>
      <w:r w:rsidRPr="0096524F">
        <w:t>.</w:t>
      </w:r>
      <w:r w:rsidRPr="0096524F">
        <w:t xml:space="preserve"> </w:t>
      </w:r>
      <w:r w:rsidRPr="0096524F">
        <w:t>at 1125 (describing the song “Barbie Girl”).</w:t>
      </w:r>
    </w:p>
  </w:footnote>
  <w:footnote w:id="540">
    <w:p w14:paraId="7E57ED6C" w14:textId="7EF343D0" w:rsidR="0096524F" w:rsidRPr="00EB11B3" w:rsidRDefault="0096524F" w:rsidP="0096524F">
      <w:pPr>
        <w:pStyle w:val="FootnoteText"/>
      </w:pPr>
      <w:r w:rsidRPr="0096524F">
        <w:rPr>
          <w:vertAlign w:val="superscript"/>
        </w:rPr>
        <w:footnoteRef/>
      </w:r>
      <w:r w:rsidRPr="0096524F">
        <w:rPr>
          <w:i/>
        </w:rPr>
        <w:t>See</w:t>
      </w:r>
      <w:r w:rsidRPr="0096524F">
        <w:t xml:space="preserve"> </w:t>
      </w:r>
      <w:r w:rsidRPr="0096524F">
        <w:rPr>
          <w:i/>
        </w:rPr>
        <w:t>id</w:t>
      </w:r>
      <w:r w:rsidRPr="0096524F">
        <w:t>.</w:t>
      </w:r>
      <w:r w:rsidRPr="0096524F">
        <w:t xml:space="preserve"> </w:t>
      </w:r>
      <w:r w:rsidRPr="0096524F">
        <w:t>at 1156.</w:t>
      </w:r>
    </w:p>
  </w:footnote>
  <w:footnote w:id="541">
    <w:p w14:paraId="57D89BB6" w14:textId="557D8F80"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1155.</w:t>
      </w:r>
    </w:p>
  </w:footnote>
  <w:footnote w:id="542">
    <w:p w14:paraId="4A5CE26C" w14:textId="264995CB"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1156 (quoting L.L.</w:t>
      </w:r>
      <w:r w:rsidRPr="0096524F">
        <w:t xml:space="preserve"> </w:t>
      </w:r>
      <w:r w:rsidRPr="0096524F">
        <w:t>Bean, Inc.</w:t>
      </w:r>
      <w:r w:rsidRPr="0096524F">
        <w:t xml:space="preserve"> </w:t>
      </w:r>
      <w:r w:rsidRPr="0096524F">
        <w:t>v.</w:t>
      </w:r>
      <w:r w:rsidRPr="0096524F">
        <w:t xml:space="preserve"> </w:t>
      </w:r>
      <w:r w:rsidRPr="0096524F">
        <w:t xml:space="preserve">Drake Publishers, Inc., 811 F.2d 26, 33, 1 USPQ2d 1753 (1st Cir.), </w:t>
      </w:r>
      <w:r w:rsidRPr="0096524F">
        <w:rPr>
          <w:i/>
        </w:rPr>
        <w:t>cert</w:t>
      </w:r>
      <w:r w:rsidRPr="0096524F">
        <w:t>.</w:t>
      </w:r>
      <w:r w:rsidRPr="0096524F">
        <w:t xml:space="preserve"> </w:t>
      </w:r>
      <w:r w:rsidRPr="0096524F">
        <w:rPr>
          <w:i/>
        </w:rPr>
        <w:t>denied,</w:t>
      </w:r>
      <w:r w:rsidRPr="0096524F">
        <w:t xml:space="preserve"> 483 U.S.</w:t>
      </w:r>
      <w:r w:rsidRPr="0096524F">
        <w:t xml:space="preserve"> </w:t>
      </w:r>
      <w:r w:rsidRPr="0096524F">
        <w:t>1013 (1987)).</w:t>
      </w:r>
    </w:p>
  </w:footnote>
  <w:footnote w:id="543">
    <w:p w14:paraId="366169AC" w14:textId="3BCB8DC7" w:rsidR="0096524F" w:rsidRPr="00EB11B3" w:rsidRDefault="0096524F" w:rsidP="0096524F">
      <w:pPr>
        <w:pStyle w:val="FootnoteText"/>
      </w:pPr>
      <w:r w:rsidRPr="0096524F">
        <w:rPr>
          <w:vertAlign w:val="superscript"/>
        </w:rPr>
        <w:footnoteRef/>
      </w:r>
      <w:r w:rsidRPr="0096524F">
        <w:t>Moseley v.</w:t>
      </w:r>
      <w:r w:rsidRPr="0096524F">
        <w:t xml:space="preserve"> </w:t>
      </w:r>
      <w:r w:rsidRPr="0096524F">
        <w:t>V Secret Catalogue, Inc., 537 U.S.</w:t>
      </w:r>
      <w:r w:rsidRPr="0096524F">
        <w:t xml:space="preserve"> </w:t>
      </w:r>
      <w:r w:rsidRPr="0096524F">
        <w:t>418, 65 USPQ2d 1801 (2003).</w:t>
      </w:r>
    </w:p>
  </w:footnote>
  <w:footnote w:id="544">
    <w:p w14:paraId="211110B3" w14:textId="63DCCBB7" w:rsidR="0096524F" w:rsidRPr="00EB11B3" w:rsidRDefault="0096524F" w:rsidP="0096524F">
      <w:pPr>
        <w:pStyle w:val="FootnoteText"/>
      </w:pPr>
      <w:r w:rsidRPr="0096524F">
        <w:rPr>
          <w:vertAlign w:val="superscript"/>
        </w:rPr>
        <w:footnoteRef/>
      </w:r>
      <w:r w:rsidRPr="0096524F">
        <w:t>287 F.</w:t>
      </w:r>
      <w:r w:rsidRPr="0096524F">
        <w:t xml:space="preserve"> </w:t>
      </w:r>
      <w:r w:rsidRPr="0096524F">
        <w:t>Supp.</w:t>
      </w:r>
      <w:r w:rsidRPr="0096524F">
        <w:t xml:space="preserve"> </w:t>
      </w:r>
      <w:r w:rsidRPr="0096524F">
        <w:t>2d 913, 68 USPQ2d 1461 (C.D.</w:t>
      </w:r>
      <w:r w:rsidRPr="0096524F">
        <w:t xml:space="preserve"> </w:t>
      </w:r>
      <w:r w:rsidRPr="0096524F">
        <w:t>Ill.</w:t>
      </w:r>
      <w:r w:rsidRPr="0096524F">
        <w:t xml:space="preserve"> </w:t>
      </w:r>
      <w:r w:rsidRPr="0096524F">
        <w:t>2003).</w:t>
      </w:r>
    </w:p>
  </w:footnote>
  <w:footnote w:id="545">
    <w:p w14:paraId="33A5E927" w14:textId="700441A5"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922.</w:t>
      </w:r>
    </w:p>
  </w:footnote>
  <w:footnote w:id="546">
    <w:p w14:paraId="482A0727" w14:textId="6153D14A" w:rsidR="0096524F" w:rsidRPr="00EB11B3" w:rsidRDefault="0096524F" w:rsidP="0096524F">
      <w:pPr>
        <w:pStyle w:val="FootnoteText"/>
      </w:pPr>
      <w:r w:rsidRPr="0096524F">
        <w:rPr>
          <w:vertAlign w:val="superscript"/>
        </w:rPr>
        <w:footnoteRef/>
      </w:r>
      <w:r w:rsidRPr="0096524F">
        <w:t>286 F.</w:t>
      </w:r>
      <w:r w:rsidRPr="0096524F">
        <w:t xml:space="preserve"> </w:t>
      </w:r>
      <w:r w:rsidRPr="0096524F">
        <w:t>Supp.</w:t>
      </w:r>
      <w:r w:rsidRPr="0096524F">
        <w:t xml:space="preserve"> </w:t>
      </w:r>
      <w:r w:rsidRPr="0096524F">
        <w:t>2d 1254, 68 USPQ2d 1841 (N.D.</w:t>
      </w:r>
      <w:r w:rsidRPr="0096524F">
        <w:t xml:space="preserve"> </w:t>
      </w:r>
      <w:r w:rsidRPr="0096524F">
        <w:t>Cal.</w:t>
      </w:r>
      <w:r w:rsidRPr="0096524F">
        <w:t xml:space="preserve"> </w:t>
      </w:r>
      <w:r w:rsidRPr="0096524F">
        <w:t>2003).</w:t>
      </w:r>
    </w:p>
  </w:footnote>
  <w:footnote w:id="547">
    <w:p w14:paraId="3554A7CD" w14:textId="3216D883" w:rsidR="0096524F" w:rsidRPr="00EB11B3" w:rsidRDefault="0096524F" w:rsidP="0096524F">
      <w:pPr>
        <w:pStyle w:val="FootnoteText"/>
      </w:pPr>
      <w:r w:rsidRPr="0096524F">
        <w:rPr>
          <w:vertAlign w:val="superscript"/>
        </w:rPr>
        <w:footnoteRef/>
      </w:r>
      <w:r w:rsidRPr="0096524F">
        <w:t>The court found that the depiction neither lessened the source-identifying capacity of the mark nor caused people to make unfavorable associations with the mark.</w:t>
      </w:r>
      <w:r w:rsidRPr="0096524F">
        <w:t xml:space="preserve"> </w:t>
      </w:r>
      <w:r w:rsidRPr="0096524F">
        <w:rPr>
          <w:i/>
        </w:rPr>
        <w:t>Id</w:t>
      </w:r>
      <w:r w:rsidRPr="0096524F">
        <w:t>.</w:t>
      </w:r>
      <w:r w:rsidRPr="0096524F">
        <w:t xml:space="preserve"> </w:t>
      </w:r>
      <w:r w:rsidRPr="0096524F">
        <w:t>at 1261.</w:t>
      </w:r>
      <w:r w:rsidRPr="0096524F">
        <w:t xml:space="preserve"> </w:t>
      </w:r>
      <w:r w:rsidRPr="0096524F">
        <w:rPr>
          <w:i/>
        </w:rPr>
        <w:t>See also</w:t>
      </w:r>
      <w:r w:rsidRPr="0096524F">
        <w:t xml:space="preserve"> GTFM, LLC v.</w:t>
      </w:r>
      <w:r w:rsidRPr="0096524F">
        <w:t xml:space="preserve"> </w:t>
      </w:r>
      <w:r w:rsidRPr="0096524F">
        <w:t>Universal Studios, Inc., 79 USPQ2d 1213, 1216 (S.D.N.Y.</w:t>
      </w:r>
      <w:r w:rsidRPr="0096524F">
        <w:t xml:space="preserve"> </w:t>
      </w:r>
      <w:r w:rsidRPr="0096524F">
        <w:t>2006) (no tarnishment from use of parody of FUBU mark);</w:t>
      </w:r>
      <w:r w:rsidRPr="0096524F">
        <w:t xml:space="preserve"> </w:t>
      </w:r>
      <w:r w:rsidRPr="0096524F">
        <w:t>Playmakers, LLC v.</w:t>
      </w:r>
      <w:r w:rsidRPr="0096524F">
        <w:t xml:space="preserve"> </w:t>
      </w:r>
      <w:r w:rsidRPr="0096524F">
        <w:t>ESPN, Inc., 297 F.</w:t>
      </w:r>
      <w:r w:rsidRPr="0096524F">
        <w:t xml:space="preserve"> </w:t>
      </w:r>
      <w:r w:rsidRPr="0096524F">
        <w:t>Supp.</w:t>
      </w:r>
      <w:r w:rsidRPr="0096524F">
        <w:t xml:space="preserve"> </w:t>
      </w:r>
      <w:r w:rsidRPr="0096524F">
        <w:t>2d 1277, 69 USPQ2d 1439 (W.D.</w:t>
      </w:r>
      <w:r w:rsidRPr="0096524F">
        <w:t xml:space="preserve"> </w:t>
      </w:r>
      <w:r w:rsidRPr="0096524F">
        <w:t>Wash.</w:t>
      </w:r>
      <w:r w:rsidRPr="0096524F">
        <w:t xml:space="preserve"> </w:t>
      </w:r>
      <w:r w:rsidRPr="0096524F">
        <w:t xml:space="preserve">2003) (rejecting claim by sports agency that the “Playmakers” television series tarnished its Playmakers mark, on the grounds that the plaintiff’s mark was not sufficiently strong to merit dilution protection), </w:t>
      </w:r>
      <w:r w:rsidRPr="0096524F">
        <w:rPr>
          <w:i/>
        </w:rPr>
        <w:t>aff’d</w:t>
      </w:r>
      <w:r w:rsidRPr="0096524F">
        <w:t>, 376 F.3d 894, 71 USPQ2d 1759 (9th Cir.</w:t>
      </w:r>
      <w:r w:rsidRPr="0096524F">
        <w:t xml:space="preserve"> </w:t>
      </w:r>
      <w:r w:rsidRPr="0096524F">
        <w:t>2004) (no ruling on dilution).</w:t>
      </w:r>
    </w:p>
  </w:footnote>
  <w:footnote w:id="548">
    <w:p w14:paraId="0EAE279F" w14:textId="43A44BF7" w:rsidR="0096524F" w:rsidRPr="00EB11B3" w:rsidRDefault="0096524F" w:rsidP="0096524F">
      <w:pPr>
        <w:pStyle w:val="FootnoteText"/>
      </w:pPr>
      <w:r w:rsidRPr="0096524F">
        <w:rPr>
          <w:vertAlign w:val="superscript"/>
        </w:rPr>
        <w:footnoteRef/>
      </w:r>
      <w:r w:rsidRPr="0096524F">
        <w:t>280 F.</w:t>
      </w:r>
      <w:r w:rsidRPr="0096524F">
        <w:t xml:space="preserve"> </w:t>
      </w:r>
      <w:r w:rsidRPr="0096524F">
        <w:t>Supp.</w:t>
      </w:r>
      <w:r w:rsidRPr="0096524F">
        <w:t xml:space="preserve"> </w:t>
      </w:r>
      <w:r w:rsidRPr="0096524F">
        <w:t>2d 413 (W.D.</w:t>
      </w:r>
      <w:r w:rsidRPr="0096524F">
        <w:t xml:space="preserve"> </w:t>
      </w:r>
      <w:r w:rsidRPr="0096524F">
        <w:t>Pa.</w:t>
      </w:r>
      <w:r w:rsidRPr="0096524F">
        <w:t xml:space="preserve"> </w:t>
      </w:r>
      <w:r w:rsidRPr="0096524F">
        <w:t>2003).</w:t>
      </w:r>
    </w:p>
  </w:footnote>
  <w:footnote w:id="549">
    <w:p w14:paraId="0D12712B" w14:textId="317CF202"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443.</w:t>
      </w:r>
    </w:p>
  </w:footnote>
  <w:footnote w:id="550">
    <w:p w14:paraId="0401A1DB" w14:textId="0F6161E6" w:rsidR="0096524F" w:rsidRPr="00EB11B3" w:rsidRDefault="0096524F" w:rsidP="0096524F">
      <w:pPr>
        <w:pStyle w:val="FootnoteText"/>
      </w:pPr>
      <w:r w:rsidRPr="0096524F">
        <w:rPr>
          <w:vertAlign w:val="superscript"/>
        </w:rPr>
        <w:footnoteRef/>
      </w:r>
      <w:r w:rsidRPr="0096524F">
        <w:t>For a discussion of these exclusions under §43(c)(3), see Chapter 10, §§II and IV.</w:t>
      </w:r>
    </w:p>
  </w:footnote>
  <w:footnote w:id="551">
    <w:p w14:paraId="7134A760" w14:textId="20704E57" w:rsidR="0096524F" w:rsidRPr="00EB11B3" w:rsidRDefault="0096524F" w:rsidP="0096524F">
      <w:pPr>
        <w:pStyle w:val="FootnoteText"/>
      </w:pPr>
      <w:r w:rsidRPr="0096524F">
        <w:rPr>
          <w:vertAlign w:val="superscript"/>
        </w:rPr>
        <w:footnoteRef/>
      </w:r>
      <w:r w:rsidRPr="0096524F">
        <w:t>507 F.3d 252, 267, 84 USPQ2d 1969 (4th Cir.</w:t>
      </w:r>
      <w:r w:rsidRPr="0096524F">
        <w:t xml:space="preserve"> </w:t>
      </w:r>
      <w:r w:rsidRPr="0096524F">
        <w:t>2007).</w:t>
      </w:r>
    </w:p>
  </w:footnote>
  <w:footnote w:id="552">
    <w:p w14:paraId="1F621F66" w14:textId="215CF718"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268–69.</w:t>
      </w:r>
    </w:p>
  </w:footnote>
  <w:footnote w:id="553">
    <w:p w14:paraId="2B3619B4" w14:textId="0F7C2923" w:rsidR="0096524F" w:rsidRPr="00EB11B3" w:rsidRDefault="0096524F" w:rsidP="0096524F">
      <w:pPr>
        <w:pStyle w:val="FootnoteText"/>
      </w:pPr>
      <w:r w:rsidRPr="0096524F">
        <w:rPr>
          <w:vertAlign w:val="superscript"/>
        </w:rPr>
        <w:footnoteRef/>
      </w:r>
      <w:r w:rsidRPr="0096524F">
        <w:t>666 F.</w:t>
      </w:r>
      <w:r w:rsidRPr="0096524F">
        <w:t xml:space="preserve"> </w:t>
      </w:r>
      <w:r w:rsidRPr="0096524F">
        <w:t>Supp.</w:t>
      </w:r>
      <w:r w:rsidRPr="0096524F">
        <w:t xml:space="preserve"> </w:t>
      </w:r>
      <w:r w:rsidRPr="0096524F">
        <w:t>2d 974 (E.D.</w:t>
      </w:r>
      <w:r w:rsidRPr="0096524F">
        <w:t xml:space="preserve"> </w:t>
      </w:r>
      <w:r w:rsidRPr="0096524F">
        <w:t>Mo.</w:t>
      </w:r>
      <w:r w:rsidRPr="0096524F">
        <w:t xml:space="preserve"> </w:t>
      </w:r>
      <w:r w:rsidRPr="0096524F">
        <w:t>2008).</w:t>
      </w:r>
    </w:p>
  </w:footnote>
  <w:footnote w:id="554">
    <w:p w14:paraId="350D1318" w14:textId="06800852"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987–88.</w:t>
      </w:r>
    </w:p>
  </w:footnote>
  <w:footnote w:id="555">
    <w:p w14:paraId="60F4E888" w14:textId="7C1FD4A8" w:rsidR="0096524F" w:rsidRPr="0096524F" w:rsidRDefault="0096524F" w:rsidP="0096524F">
      <w:pPr>
        <w:pStyle w:val="FootnoteText"/>
      </w:pPr>
      <w:r w:rsidRPr="0096524F">
        <w:rPr>
          <w:vertAlign w:val="superscript"/>
        </w:rPr>
        <w:footnoteRef/>
      </w:r>
      <w:r w:rsidRPr="0096524F">
        <w:t>2013 U.S.</w:t>
      </w:r>
      <w:r w:rsidRPr="0096524F">
        <w:t xml:space="preserve"> </w:t>
      </w:r>
      <w:r w:rsidRPr="0096524F">
        <w:t>Dist.</w:t>
      </w:r>
      <w:r w:rsidRPr="0096524F">
        <w:t xml:space="preserve"> </w:t>
      </w:r>
      <w:r w:rsidRPr="0096524F">
        <w:t>LEXIS 113465 (S.D.N.Y.</w:t>
      </w:r>
      <w:r w:rsidRPr="0096524F">
        <w:t xml:space="preserve"> </w:t>
      </w:r>
      <w:r w:rsidRPr="0096524F">
        <w:t>Aug.</w:t>
      </w:r>
      <w:r w:rsidRPr="0096524F">
        <w:t xml:space="preserve"> </w:t>
      </w:r>
      <w:r w:rsidRPr="0096524F">
        <w:t>12, 2013).</w:t>
      </w:r>
    </w:p>
    <w:p w14:paraId="2E898E43" w14:textId="77777777" w:rsidR="0096524F" w:rsidRDefault="0096524F" w:rsidP="00D758BD">
      <w:pPr>
        <w:pStyle w:val="footnote"/>
      </w:pPr>
    </w:p>
  </w:footnote>
  <w:footnote w:id="556">
    <w:p w14:paraId="6B38AE45" w14:textId="78CBF8E5"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*8–10.</w:t>
      </w:r>
      <w:r w:rsidRPr="0096524F">
        <w:t xml:space="preserve"> </w:t>
      </w:r>
      <w:r w:rsidRPr="0096524F">
        <w:t>See §IV, below, for a discussion of the need for defendant to make use of the mark as defendant’s trademark in order to constitute dilution.</w:t>
      </w:r>
    </w:p>
    <w:p w14:paraId="78826B53" w14:textId="77777777" w:rsidR="0096524F" w:rsidRDefault="0096524F" w:rsidP="00D758BD">
      <w:pPr>
        <w:pStyle w:val="footnote"/>
      </w:pPr>
    </w:p>
  </w:footnote>
  <w:footnote w:id="557">
    <w:p w14:paraId="3A2534B8" w14:textId="046BEB0F" w:rsidR="0096524F" w:rsidRPr="00EB11B3" w:rsidRDefault="0096524F" w:rsidP="0096524F">
      <w:pPr>
        <w:pStyle w:val="FootnoteText"/>
      </w:pPr>
      <w:r w:rsidRPr="0096524F">
        <w:rPr>
          <w:vertAlign w:val="superscript"/>
        </w:rPr>
        <w:footnoteRef/>
      </w:r>
      <w:r w:rsidRPr="0096524F">
        <w:rPr>
          <w:i/>
        </w:rPr>
        <w:t>See, e</w:t>
      </w:r>
      <w:r w:rsidRPr="0096524F">
        <w:t>.</w:t>
      </w:r>
      <w:r w:rsidRPr="0096524F">
        <w:rPr>
          <w:i/>
        </w:rPr>
        <w:t>g</w:t>
      </w:r>
      <w:r w:rsidRPr="0096524F">
        <w:t>., Louis Vuitton Malletier, S.A.</w:t>
      </w:r>
      <w:r w:rsidRPr="0096524F">
        <w:t xml:space="preserve"> </w:t>
      </w:r>
      <w:r w:rsidRPr="0096524F">
        <w:t>v.</w:t>
      </w:r>
      <w:r w:rsidRPr="0096524F">
        <w:t xml:space="preserve"> </w:t>
      </w:r>
      <w:r w:rsidRPr="0096524F">
        <w:t>Haute Diggity Dog, LLC, 507 F.3d 252, 267, 84 USPQ2d 1969 (4th Cir.</w:t>
      </w:r>
      <w:r w:rsidRPr="0096524F">
        <w:t xml:space="preserve"> </w:t>
      </w:r>
      <w:r w:rsidRPr="0096524F">
        <w:t>2007);</w:t>
      </w:r>
      <w:r w:rsidRPr="0096524F">
        <w:t xml:space="preserve"> </w:t>
      </w:r>
      <w:r w:rsidRPr="0096524F">
        <w:t>Lyons P’ship v.</w:t>
      </w:r>
      <w:r w:rsidRPr="0096524F">
        <w:t xml:space="preserve"> </w:t>
      </w:r>
      <w:r w:rsidRPr="0096524F">
        <w:t>Giannoulas, 14 F.</w:t>
      </w:r>
      <w:r w:rsidRPr="0096524F">
        <w:t xml:space="preserve"> </w:t>
      </w:r>
      <w:r w:rsidRPr="0096524F">
        <w:t>Supp.</w:t>
      </w:r>
      <w:r w:rsidRPr="0096524F">
        <w:t xml:space="preserve"> </w:t>
      </w:r>
      <w:r w:rsidRPr="0096524F">
        <w:t>2d 947, 954, 48 USPQ2d 1759 (N.D.</w:t>
      </w:r>
      <w:r w:rsidRPr="0096524F">
        <w:t xml:space="preserve"> </w:t>
      </w:r>
      <w:r w:rsidRPr="0096524F">
        <w:t>Tex.</w:t>
      </w:r>
      <w:r w:rsidRPr="0096524F">
        <w:t xml:space="preserve"> </w:t>
      </w:r>
      <w:r w:rsidRPr="0096524F">
        <w:t xml:space="preserve">1998), </w:t>
      </w:r>
      <w:r w:rsidRPr="0096524F">
        <w:rPr>
          <w:i/>
        </w:rPr>
        <w:t>aff’d,</w:t>
      </w:r>
      <w:r w:rsidRPr="0096524F">
        <w:t xml:space="preserve"> 179 F.3d 384, 51 USPQ2d 1365 (5th Cir.</w:t>
      </w:r>
      <w:r w:rsidRPr="0096524F">
        <w:t xml:space="preserve"> </w:t>
      </w:r>
      <w:r w:rsidRPr="0096524F">
        <w:t>1999);</w:t>
      </w:r>
      <w:r w:rsidRPr="0096524F">
        <w:t xml:space="preserve"> </w:t>
      </w:r>
      <w:r w:rsidRPr="0096524F">
        <w:t>Hormel Foods Corp.</w:t>
      </w:r>
      <w:r w:rsidRPr="0096524F">
        <w:t xml:space="preserve"> </w:t>
      </w:r>
      <w:r w:rsidRPr="0096524F">
        <w:t>v.</w:t>
      </w:r>
      <w:r w:rsidRPr="0096524F">
        <w:t xml:space="preserve"> </w:t>
      </w:r>
      <w:r w:rsidRPr="0096524F">
        <w:t>Jim Henson Prods., Inc., 73 F.3d 497, 506, 37 USPQ2d 1516 (2d Cir.</w:t>
      </w:r>
      <w:r w:rsidRPr="0096524F">
        <w:t xml:space="preserve"> </w:t>
      </w:r>
      <w:r w:rsidRPr="0096524F">
        <w:t>1996);</w:t>
      </w:r>
      <w:r w:rsidRPr="0096524F">
        <w:t xml:space="preserve"> </w:t>
      </w:r>
      <w:r w:rsidRPr="0096524F">
        <w:t>Jordache Enters., Inc.</w:t>
      </w:r>
      <w:r w:rsidRPr="0096524F">
        <w:t xml:space="preserve"> </w:t>
      </w:r>
      <w:r w:rsidRPr="0096524F">
        <w:t>v.</w:t>
      </w:r>
      <w:r w:rsidRPr="0096524F">
        <w:t xml:space="preserve"> </w:t>
      </w:r>
      <w:r w:rsidRPr="0096524F">
        <w:t>Hogg Wyld, Ltd., 828 F.2d 1482, 1490, 4 USPQ2d 1216 (10th Cir.</w:t>
      </w:r>
      <w:r w:rsidRPr="0096524F">
        <w:t xml:space="preserve"> </w:t>
      </w:r>
      <w:r w:rsidRPr="0096524F">
        <w:t>1987).</w:t>
      </w:r>
    </w:p>
  </w:footnote>
  <w:footnote w:id="558">
    <w:p w14:paraId="3B1FDCF4" w14:textId="6E79713F" w:rsidR="0096524F" w:rsidRPr="00EB11B3" w:rsidRDefault="0096524F" w:rsidP="0096524F">
      <w:pPr>
        <w:pStyle w:val="FootnoteText"/>
      </w:pPr>
      <w:r w:rsidRPr="0096524F">
        <w:rPr>
          <w:vertAlign w:val="superscript"/>
        </w:rPr>
        <w:footnoteRef/>
      </w:r>
      <w:r w:rsidRPr="0096524F">
        <w:rPr>
          <w:i/>
        </w:rPr>
        <w:t>See</w:t>
      </w:r>
      <w:r w:rsidRPr="0096524F">
        <w:t xml:space="preserve"> Deere &amp; Co.</w:t>
      </w:r>
      <w:r w:rsidRPr="0096524F">
        <w:t xml:space="preserve"> </w:t>
      </w:r>
      <w:r w:rsidRPr="0096524F">
        <w:t>v.</w:t>
      </w:r>
      <w:r w:rsidRPr="0096524F">
        <w:t xml:space="preserve"> </w:t>
      </w:r>
      <w:r w:rsidRPr="0096524F">
        <w:t>MTD Prods., Inc., 41 F.3d 39, 32 USPQ2d 1936 (2d Cir.</w:t>
      </w:r>
      <w:r w:rsidRPr="0096524F">
        <w:t xml:space="preserve"> </w:t>
      </w:r>
      <w:r w:rsidRPr="0096524F">
        <w:t>1994).</w:t>
      </w:r>
      <w:r w:rsidRPr="0096524F">
        <w:t xml:space="preserve"> </w:t>
      </w:r>
      <w:r w:rsidRPr="0096524F">
        <w:t xml:space="preserve">Actually, the </w:t>
      </w:r>
      <w:r w:rsidRPr="0096524F">
        <w:rPr>
          <w:i/>
        </w:rPr>
        <w:t>Deere</w:t>
      </w:r>
      <w:r w:rsidRPr="0096524F">
        <w:t xml:space="preserve"> opinion stated that it was </w:t>
      </w:r>
      <w:r w:rsidRPr="0096524F">
        <w:rPr>
          <w:i/>
        </w:rPr>
        <w:t>not</w:t>
      </w:r>
      <w:r w:rsidRPr="0096524F">
        <w:t xml:space="preserve"> basing its holding on a tarnishment theory.</w:t>
      </w:r>
      <w:r w:rsidRPr="0096524F">
        <w:t xml:space="preserve"> </w:t>
      </w:r>
      <w:r w:rsidRPr="0096524F">
        <w:rPr>
          <w:i/>
        </w:rPr>
        <w:t>Id</w:t>
      </w:r>
      <w:r w:rsidRPr="0096524F">
        <w:t>.</w:t>
      </w:r>
      <w:r w:rsidRPr="0096524F">
        <w:t xml:space="preserve"> </w:t>
      </w:r>
      <w:r w:rsidRPr="0096524F">
        <w:t>at 44 (“Nor is there tarnishment.</w:t>
      </w:r>
      <w:r w:rsidRPr="0096524F">
        <w:t xml:space="preserve"> </w:t>
      </w:r>
      <w:r w:rsidRPr="0096524F">
        <w:t>…”).</w:t>
      </w:r>
      <w:r w:rsidRPr="0096524F">
        <w:t xml:space="preserve"> </w:t>
      </w:r>
      <w:r w:rsidRPr="0096524F">
        <w:t xml:space="preserve">However, the Second Circuit later reinterpreted </w:t>
      </w:r>
      <w:r w:rsidRPr="0096524F">
        <w:rPr>
          <w:i/>
        </w:rPr>
        <w:t>Deere</w:t>
      </w:r>
      <w:r w:rsidRPr="0096524F">
        <w:t xml:space="preserve"> as “better understood as a recognition of a broad view of tarnishment.” </w:t>
      </w:r>
      <w:r w:rsidRPr="0096524F">
        <w:rPr>
          <w:i/>
        </w:rPr>
        <w:t>Hormel Foods,</w:t>
      </w:r>
      <w:r w:rsidRPr="0096524F">
        <w:t xml:space="preserve"> 73 F.3d at 507.</w:t>
      </w:r>
    </w:p>
  </w:footnote>
  <w:footnote w:id="559">
    <w:p w14:paraId="25F2CB38" w14:textId="3B317C40" w:rsidR="0096524F" w:rsidRPr="00EB11B3" w:rsidRDefault="0096524F" w:rsidP="0096524F">
      <w:pPr>
        <w:pStyle w:val="FootnoteText"/>
      </w:pPr>
      <w:r w:rsidRPr="0096524F">
        <w:rPr>
          <w:vertAlign w:val="superscript"/>
        </w:rPr>
        <w:footnoteRef/>
      </w:r>
      <w:r w:rsidRPr="0096524F">
        <w:rPr>
          <w:smallCaps/>
        </w:rPr>
        <w:t>Restatement (Third) of Unfair Competition</w:t>
      </w:r>
      <w:r w:rsidRPr="0096524F">
        <w:t xml:space="preserve"> §25, cmt.</w:t>
      </w:r>
      <w:r w:rsidRPr="0096524F">
        <w:t xml:space="preserve"> </w:t>
      </w:r>
      <w:r w:rsidRPr="0096524F">
        <w:t>i (“extension of the antidilution statutes to protect against damaging nontrademark uses raises substantial free speech issues and duplicates other potential remedies better suited to balance the relevant interests”).</w:t>
      </w:r>
    </w:p>
  </w:footnote>
  <w:footnote w:id="560">
    <w:p w14:paraId="0507EB0D" w14:textId="64A98022" w:rsidR="0096524F" w:rsidRPr="00EB11B3" w:rsidRDefault="0096524F" w:rsidP="0096524F">
      <w:pPr>
        <w:pStyle w:val="FootnoteText"/>
      </w:pPr>
      <w:r w:rsidRPr="0096524F">
        <w:rPr>
          <w:vertAlign w:val="superscript"/>
        </w:rPr>
        <w:footnoteRef/>
      </w:r>
      <w:r w:rsidRPr="0096524F">
        <w:t>Unlike New York law, the TDRA contains a specific exclusion from dilution protection for any “[f]air use</w:t>
      </w:r>
      <w:r w:rsidRPr="0096524F">
        <w:t xml:space="preserve"> </w:t>
      </w:r>
      <w:r w:rsidRPr="0096524F">
        <w:t>…</w:t>
      </w:r>
      <w:r w:rsidRPr="0096524F">
        <w:t xml:space="preserve"> </w:t>
      </w:r>
      <w:r w:rsidRPr="0096524F">
        <w:t>of a famous mark</w:t>
      </w:r>
      <w:r w:rsidRPr="0096524F">
        <w:t xml:space="preserve"> </w:t>
      </w:r>
      <w:r w:rsidRPr="0096524F">
        <w:t>…</w:t>
      </w:r>
      <w:r w:rsidRPr="0096524F">
        <w:t xml:space="preserve"> </w:t>
      </w:r>
      <w:r w:rsidRPr="0096524F">
        <w:t>in connection with</w:t>
      </w:r>
      <w:r w:rsidRPr="0096524F">
        <w:t xml:space="preserve"> </w:t>
      </w:r>
      <w:r w:rsidRPr="0096524F">
        <w:t>…</w:t>
      </w:r>
      <w:r w:rsidRPr="0096524F">
        <w:t xml:space="preserve"> </w:t>
      </w:r>
      <w:r w:rsidRPr="0096524F">
        <w:t>advertising or promotion that permits consumers to compare goods or services.” Lanham Act §43(c)(3)(A)(i), 15 U.S.C.</w:t>
      </w:r>
      <w:r w:rsidRPr="0096524F">
        <w:t xml:space="preserve"> </w:t>
      </w:r>
      <w:r w:rsidRPr="0096524F">
        <w:t>§1125(c)(3)(A)(i).</w:t>
      </w:r>
      <w:r w:rsidRPr="0096524F">
        <w:t xml:space="preserve"> </w:t>
      </w:r>
      <w:r w:rsidRPr="0096524F">
        <w:t>It may also be that the exclusion would prevent any liability in such a case.</w:t>
      </w:r>
      <w:r w:rsidRPr="0096524F">
        <w:t xml:space="preserve"> </w:t>
      </w:r>
      <w:r w:rsidRPr="0096524F">
        <w:t>The “fair use” exclusion is discussed more fully in Chapter 10, §II.</w:t>
      </w:r>
    </w:p>
  </w:footnote>
  <w:footnote w:id="561">
    <w:p w14:paraId="556B3F62" w14:textId="1F1CD535" w:rsidR="0096524F" w:rsidRPr="00EB11B3" w:rsidRDefault="0096524F" w:rsidP="0096524F">
      <w:pPr>
        <w:pStyle w:val="FootnoteText"/>
      </w:pPr>
      <w:r w:rsidRPr="0096524F">
        <w:rPr>
          <w:vertAlign w:val="superscript"/>
        </w:rPr>
        <w:footnoteRef/>
      </w:r>
      <w:r w:rsidRPr="0096524F">
        <w:rPr>
          <w:i/>
        </w:rPr>
        <w:t>See</w:t>
      </w:r>
      <w:r w:rsidRPr="0096524F">
        <w:t xml:space="preserve"> Chapter 3, §IV.B.5.</w:t>
      </w:r>
      <w:r w:rsidRPr="0096524F">
        <w:t xml:space="preserve"> </w:t>
      </w:r>
      <w:r w:rsidRPr="0096524F">
        <w:rPr>
          <w:i/>
        </w:rPr>
        <w:t>But cf</w:t>
      </w:r>
      <w:r w:rsidRPr="0096524F">
        <w:t>.</w:t>
      </w:r>
      <w:r w:rsidRPr="0096524F">
        <w:t xml:space="preserve"> </w:t>
      </w:r>
      <w:r w:rsidRPr="0096524F">
        <w:t>V Secret Catalogue, Inc.</w:t>
      </w:r>
      <w:r w:rsidRPr="0096524F">
        <w:t xml:space="preserve"> </w:t>
      </w:r>
      <w:r w:rsidRPr="0096524F">
        <w:t>v.</w:t>
      </w:r>
      <w:r w:rsidRPr="0096524F">
        <w:t xml:space="preserve"> </w:t>
      </w:r>
      <w:r w:rsidRPr="0096524F">
        <w:t>Moseley, 605 F.3d 382, 388–89 (6th Cir.</w:t>
      </w:r>
      <w:r w:rsidRPr="0096524F">
        <w:t xml:space="preserve"> </w:t>
      </w:r>
      <w:r w:rsidRPr="0096524F">
        <w:t xml:space="preserve">2010), </w:t>
      </w:r>
      <w:r w:rsidRPr="0096524F">
        <w:rPr>
          <w:i/>
        </w:rPr>
        <w:t>cert.</w:t>
      </w:r>
      <w:r w:rsidRPr="0096524F">
        <w:rPr>
          <w:i/>
        </w:rPr>
        <w:t xml:space="preserve"> </w:t>
      </w:r>
      <w:r w:rsidRPr="0096524F">
        <w:rPr>
          <w:i/>
        </w:rPr>
        <w:t>denied</w:t>
      </w:r>
      <w:r w:rsidRPr="0096524F">
        <w:t>, 131 S.</w:t>
      </w:r>
      <w:r w:rsidRPr="0096524F">
        <w:t xml:space="preserve"> </w:t>
      </w:r>
      <w:r w:rsidRPr="0096524F">
        <w:t>Ct.</w:t>
      </w:r>
      <w:r w:rsidRPr="0096524F">
        <w:t xml:space="preserve"> </w:t>
      </w:r>
      <w:r w:rsidRPr="0096524F">
        <w:t>1003 (2011) (presumption of tarnishment in sexually oriented use cases).</w:t>
      </w:r>
    </w:p>
  </w:footnote>
  <w:footnote w:id="562">
    <w:p w14:paraId="3EB2617A" w14:textId="74786B67" w:rsidR="0096524F" w:rsidRPr="00EB11B3" w:rsidRDefault="0096524F" w:rsidP="0096524F">
      <w:pPr>
        <w:pStyle w:val="FootnoteText"/>
      </w:pPr>
      <w:r w:rsidRPr="0096524F">
        <w:rPr>
          <w:vertAlign w:val="superscript"/>
        </w:rPr>
        <w:footnoteRef/>
      </w:r>
      <w:r w:rsidRPr="0096524F">
        <w:t xml:space="preserve">The United States Trademark Association Trademark Review Commission Report and Recommendations to USTA President and Board of Directors, 77 </w:t>
      </w:r>
      <w:r w:rsidRPr="0096524F">
        <w:rPr>
          <w:smallCaps/>
        </w:rPr>
        <w:t>Trademark Rep.</w:t>
      </w:r>
      <w:r w:rsidRPr="0096524F">
        <w:rPr>
          <w:smallCaps/>
        </w:rPr>
        <w:t xml:space="preserve"> </w:t>
      </w:r>
      <w:r w:rsidRPr="0096524F">
        <w:t>375, 434 (1987).</w:t>
      </w:r>
    </w:p>
  </w:footnote>
  <w:footnote w:id="563">
    <w:p w14:paraId="4B252408" w14:textId="7277C822" w:rsidR="0096524F" w:rsidRPr="00EB11B3" w:rsidRDefault="0096524F" w:rsidP="0096524F">
      <w:pPr>
        <w:pStyle w:val="FootnoteText"/>
      </w:pPr>
      <w:r w:rsidRPr="0096524F">
        <w:rPr>
          <w:vertAlign w:val="superscript"/>
        </w:rPr>
        <w:footnoteRef/>
      </w:r>
      <w:r w:rsidRPr="0096524F">
        <w:t>221 F.</w:t>
      </w:r>
      <w:r w:rsidRPr="0096524F">
        <w:t xml:space="preserve"> </w:t>
      </w:r>
      <w:r w:rsidRPr="0096524F">
        <w:t>Supp.</w:t>
      </w:r>
      <w:r w:rsidRPr="0096524F">
        <w:t xml:space="preserve"> </w:t>
      </w:r>
      <w:r w:rsidRPr="0096524F">
        <w:t>2d 410 (S.D.N.Y.</w:t>
      </w:r>
      <w:r w:rsidRPr="0096524F">
        <w:t xml:space="preserve"> </w:t>
      </w:r>
      <w:r w:rsidRPr="0096524F">
        <w:t>2002).</w:t>
      </w:r>
    </w:p>
  </w:footnote>
  <w:footnote w:id="564">
    <w:p w14:paraId="11F48703" w14:textId="302C2281"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423.</w:t>
      </w:r>
      <w:r w:rsidRPr="0096524F">
        <w:t xml:space="preserve"> </w:t>
      </w:r>
      <w:r w:rsidRPr="0096524F">
        <w:t>The court noted that the two parties were not competitors, and found the defendant’s parody to be essentially harmless.</w:t>
      </w:r>
      <w:r w:rsidRPr="0096524F">
        <w:t xml:space="preserve"> </w:t>
      </w:r>
      <w:r w:rsidRPr="0096524F">
        <w:t>Moreover, there was no evidence that defendant’s product was of low quality.</w:t>
      </w:r>
    </w:p>
  </w:footnote>
  <w:footnote w:id="565">
    <w:p w14:paraId="53D02362" w14:textId="3B7A2157" w:rsidR="0096524F" w:rsidRPr="00EB11B3" w:rsidRDefault="0096524F" w:rsidP="0096524F">
      <w:pPr>
        <w:pStyle w:val="FootnoteText"/>
      </w:pPr>
      <w:r w:rsidRPr="0096524F">
        <w:rPr>
          <w:vertAlign w:val="superscript"/>
        </w:rPr>
        <w:footnoteRef/>
      </w:r>
      <w:r w:rsidRPr="0096524F">
        <w:t>507 F.3d 252, 84 USPQ2d 1969 (4th Cir.</w:t>
      </w:r>
      <w:r w:rsidRPr="0096524F">
        <w:t xml:space="preserve"> </w:t>
      </w:r>
      <w:r w:rsidRPr="0096524F">
        <w:t>2007).</w:t>
      </w:r>
    </w:p>
  </w:footnote>
  <w:footnote w:id="566">
    <w:p w14:paraId="6F040AD1" w14:textId="1B1CBE1E"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269.</w:t>
      </w:r>
      <w:r w:rsidRPr="0096524F">
        <w:t xml:space="preserve"> </w:t>
      </w:r>
      <w:r w:rsidRPr="0096524F">
        <w:rPr>
          <w:i/>
        </w:rPr>
        <w:t>But cf.</w:t>
      </w:r>
      <w:r w:rsidRPr="0096524F">
        <w:rPr>
          <w:i/>
        </w:rPr>
        <w:t xml:space="preserve"> </w:t>
      </w:r>
      <w:r w:rsidRPr="0096524F">
        <w:t>Radiance Found., Inc.</w:t>
      </w:r>
      <w:r w:rsidRPr="0096524F">
        <w:t xml:space="preserve"> </w:t>
      </w:r>
      <w:r w:rsidRPr="0096524F">
        <w:t>v.</w:t>
      </w:r>
      <w:r w:rsidRPr="0096524F">
        <w:t xml:space="preserve"> </w:t>
      </w:r>
      <w:r w:rsidRPr="0096524F">
        <w:t>NAACP, 25 F.</w:t>
      </w:r>
      <w:r w:rsidRPr="0096524F">
        <w:t xml:space="preserve"> </w:t>
      </w:r>
      <w:r w:rsidRPr="0096524F">
        <w:t>Supp.</w:t>
      </w:r>
      <w:r w:rsidRPr="0096524F">
        <w:t xml:space="preserve"> </w:t>
      </w:r>
      <w:r w:rsidRPr="0096524F">
        <w:t>3d 865, 895–96, 111 USPQ2d 1863 (E.D.</w:t>
      </w:r>
      <w:r w:rsidRPr="0096524F">
        <w:t xml:space="preserve"> </w:t>
      </w:r>
      <w:r w:rsidRPr="0096524F">
        <w:t>Va.</w:t>
      </w:r>
      <w:r w:rsidRPr="0096524F">
        <w:t xml:space="preserve"> </w:t>
      </w:r>
      <w:r w:rsidRPr="0096524F">
        <w:t xml:space="preserve">2014) (crediting a survey as evidence of tarnishment by party’s use of “National Association for the Abortion of Colored People”), </w:t>
      </w:r>
      <w:r w:rsidRPr="0096524F">
        <w:rPr>
          <w:i/>
        </w:rPr>
        <w:t>vacated and remanded</w:t>
      </w:r>
      <w:r w:rsidRPr="0096524F">
        <w:t>, 786 F.3d 316, 114 USPQ2d 1772 (4th Cir.</w:t>
      </w:r>
      <w:r w:rsidRPr="0096524F">
        <w:t xml:space="preserve"> </w:t>
      </w:r>
      <w:r w:rsidRPr="0096524F">
        <w:t>2015) (reversing on grounds of fair use and noncommercial use).</w:t>
      </w:r>
    </w:p>
  </w:footnote>
  <w:footnote w:id="567">
    <w:p w14:paraId="73A6BC12" w14:textId="38B64710" w:rsidR="0096524F" w:rsidRPr="00EB11B3" w:rsidRDefault="0096524F" w:rsidP="0096524F">
      <w:pPr>
        <w:pStyle w:val="FootnoteText"/>
      </w:pPr>
      <w:r w:rsidRPr="0096524F">
        <w:rPr>
          <w:vertAlign w:val="superscript"/>
        </w:rPr>
        <w:footnoteRef/>
      </w:r>
      <w:r w:rsidRPr="0096524F">
        <w:t>559 F.</w:t>
      </w:r>
      <w:r w:rsidRPr="0096524F">
        <w:t xml:space="preserve"> </w:t>
      </w:r>
      <w:r w:rsidRPr="0096524F">
        <w:t>Supp.</w:t>
      </w:r>
      <w:r w:rsidRPr="0096524F">
        <w:t xml:space="preserve"> </w:t>
      </w:r>
      <w:r w:rsidRPr="0096524F">
        <w:t>2d 472, 88 USPQ2d 1268 (S.D.N.Y.</w:t>
      </w:r>
      <w:r w:rsidRPr="0096524F">
        <w:t xml:space="preserve"> </w:t>
      </w:r>
      <w:r w:rsidRPr="0096524F">
        <w:t xml:space="preserve">2008), </w:t>
      </w:r>
      <w:r w:rsidRPr="0096524F">
        <w:rPr>
          <w:i/>
        </w:rPr>
        <w:t>aff’d in part, rev’d in part on other grounds</w:t>
      </w:r>
      <w:r w:rsidRPr="0096524F">
        <w:t>, 588 F.3d 97, 110–11, 92 USPQ2d 1769 (2d Cir.</w:t>
      </w:r>
      <w:r w:rsidRPr="0096524F">
        <w:t xml:space="preserve"> </w:t>
      </w:r>
      <w:r w:rsidRPr="0096524F">
        <w:t>2009) (affirming district court’s ruling of lack of tarnishment).</w:t>
      </w:r>
    </w:p>
  </w:footnote>
  <w:footnote w:id="568">
    <w:p w14:paraId="6A646E49" w14:textId="420EC2D2"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480.</w:t>
      </w:r>
      <w:r w:rsidRPr="0096524F">
        <w:t xml:space="preserve"> </w:t>
      </w:r>
      <w:r w:rsidRPr="0096524F">
        <w:rPr>
          <w:i/>
        </w:rPr>
        <w:t>See</w:t>
      </w:r>
      <w:r w:rsidRPr="0096524F">
        <w:t xml:space="preserve"> Anheuser-Busch, Inc.</w:t>
      </w:r>
      <w:r w:rsidRPr="0096524F">
        <w:t xml:space="preserve"> </w:t>
      </w:r>
      <w:r w:rsidRPr="0096524F">
        <w:t>v.</w:t>
      </w:r>
      <w:r w:rsidRPr="0096524F">
        <w:t xml:space="preserve"> </w:t>
      </w:r>
      <w:r w:rsidRPr="0096524F">
        <w:t>VIP Prods., LLC, 666 F.</w:t>
      </w:r>
      <w:r w:rsidRPr="0096524F">
        <w:t xml:space="preserve"> </w:t>
      </w:r>
      <w:r w:rsidRPr="0096524F">
        <w:t>Supp.</w:t>
      </w:r>
      <w:r w:rsidRPr="0096524F">
        <w:t xml:space="preserve"> </w:t>
      </w:r>
      <w:r w:rsidRPr="0096524F">
        <w:t>2d 974, 987–88 (E.D.</w:t>
      </w:r>
      <w:r w:rsidRPr="0096524F">
        <w:t xml:space="preserve"> </w:t>
      </w:r>
      <w:r w:rsidRPr="0096524F">
        <w:t>Mo.</w:t>
      </w:r>
      <w:r w:rsidRPr="0096524F">
        <w:t xml:space="preserve"> </w:t>
      </w:r>
      <w:r w:rsidRPr="0096524F">
        <w:t>2008) (rejecting tarnishment claim, citing lack of evidence of harm to reputation).</w:t>
      </w:r>
    </w:p>
  </w:footnote>
  <w:footnote w:id="569">
    <w:p w14:paraId="5589F93C" w14:textId="26A98AC1" w:rsidR="0096524F" w:rsidRPr="0096524F" w:rsidRDefault="0096524F" w:rsidP="0096524F">
      <w:pPr>
        <w:pStyle w:val="FootnoteText"/>
      </w:pPr>
      <w:r w:rsidRPr="0096524F">
        <w:rPr>
          <w:vertAlign w:val="superscript"/>
        </w:rPr>
        <w:footnoteRef/>
      </w:r>
      <w:r w:rsidRPr="0096524F">
        <w:t>582 U.S.</w:t>
      </w:r>
      <w:r w:rsidRPr="0096524F">
        <w:t xml:space="preserve"> </w:t>
      </w:r>
      <w:r w:rsidRPr="0096524F">
        <w:t>218 (2017).</w:t>
      </w:r>
    </w:p>
    <w:p w14:paraId="292B4C0A" w14:textId="77777777" w:rsidR="0096524F" w:rsidRDefault="0096524F" w:rsidP="00D758BD">
      <w:pPr>
        <w:pStyle w:val="footnote"/>
      </w:pPr>
    </w:p>
  </w:footnote>
  <w:footnote w:id="570">
    <w:p w14:paraId="31C733EA" w14:textId="10C9B37F" w:rsidR="0096524F" w:rsidRPr="0096524F" w:rsidRDefault="0096524F" w:rsidP="0096524F">
      <w:pPr>
        <w:pStyle w:val="FootnoteText"/>
      </w:pPr>
      <w:r w:rsidRPr="0096524F">
        <w:rPr>
          <w:vertAlign w:val="superscript"/>
        </w:rPr>
        <w:footnoteRef/>
      </w:r>
      <w:r w:rsidRPr="0096524F">
        <w:t>588 U.S.</w:t>
      </w:r>
      <w:r w:rsidRPr="0096524F">
        <w:t xml:space="preserve"> </w:t>
      </w:r>
      <w:r w:rsidRPr="0096524F">
        <w:t>388 (2019).</w:t>
      </w:r>
    </w:p>
    <w:p w14:paraId="421F5334" w14:textId="77777777" w:rsidR="0096524F" w:rsidRDefault="0096524F" w:rsidP="00D758BD">
      <w:pPr>
        <w:pStyle w:val="footnote"/>
      </w:pPr>
    </w:p>
  </w:footnote>
  <w:footnote w:id="571">
    <w:p w14:paraId="2DADEFE7" w14:textId="492FA7E5" w:rsidR="0096524F" w:rsidRPr="0096524F" w:rsidRDefault="0096524F" w:rsidP="0096524F">
      <w:pPr>
        <w:pStyle w:val="FootnoteText"/>
      </w:pPr>
      <w:r w:rsidRPr="0096524F">
        <w:rPr>
          <w:vertAlign w:val="superscript"/>
        </w:rPr>
        <w:footnoteRef/>
      </w:r>
      <w:r w:rsidRPr="0096524F">
        <w:t>The entire Court agreed that trademark registration did not constitute government speech.</w:t>
      </w:r>
      <w:r w:rsidRPr="0096524F">
        <w:t xml:space="preserve"> </w:t>
      </w:r>
      <w:r w:rsidRPr="0096524F">
        <w:rPr>
          <w:i/>
        </w:rPr>
        <w:t xml:space="preserve">See Tam, </w:t>
      </w:r>
      <w:r w:rsidRPr="0096524F">
        <w:t>582 U.S.</w:t>
      </w:r>
      <w:r w:rsidRPr="0096524F">
        <w:t xml:space="preserve"> </w:t>
      </w:r>
      <w:r w:rsidRPr="0096524F">
        <w:t>at 234–39 (opinion of the Court).</w:t>
      </w:r>
      <w:r w:rsidRPr="0096524F">
        <w:t xml:space="preserve"> </w:t>
      </w:r>
      <w:r w:rsidRPr="0096524F">
        <w:t>However, the Justices split on the parameters of viewpoint discrimination, and they disagreed about how, and whether, to test trademark registration under the Court’s commercial speech doctrine.</w:t>
      </w:r>
      <w:r w:rsidRPr="0096524F">
        <w:t xml:space="preserve"> </w:t>
      </w:r>
      <w:r w:rsidRPr="0096524F">
        <w:rPr>
          <w:i/>
        </w:rPr>
        <w:t>Compare id.</w:t>
      </w:r>
      <w:r w:rsidRPr="0096524F">
        <w:rPr>
          <w:i/>
        </w:rPr>
        <w:t xml:space="preserve"> </w:t>
      </w:r>
      <w:r w:rsidRPr="0096524F">
        <w:t xml:space="preserve">at 244–47 (disparagement ban fails under commercial speech analysis), </w:t>
      </w:r>
      <w:r w:rsidRPr="0096524F">
        <w:rPr>
          <w:i/>
        </w:rPr>
        <w:t>with</w:t>
      </w:r>
      <w:r w:rsidRPr="0096524F">
        <w:t xml:space="preserve"> </w:t>
      </w:r>
      <w:r w:rsidRPr="0096524F">
        <w:rPr>
          <w:i/>
        </w:rPr>
        <w:t>id.</w:t>
      </w:r>
      <w:r w:rsidRPr="0096524F">
        <w:rPr>
          <w:i/>
        </w:rPr>
        <w:t xml:space="preserve"> </w:t>
      </w:r>
      <w:r w:rsidRPr="0096524F">
        <w:t>at 252 (Kennedy, J., concurring) (without deciding whether trademarks are commercial speech, viewpoint neutrality is still required under commercial speech doctrine).</w:t>
      </w:r>
    </w:p>
    <w:p w14:paraId="04D939E7" w14:textId="77777777" w:rsidR="0096524F" w:rsidRDefault="0096524F" w:rsidP="00D758BD">
      <w:pPr>
        <w:pStyle w:val="footnote"/>
      </w:pPr>
    </w:p>
  </w:footnote>
  <w:footnote w:id="572">
    <w:p w14:paraId="49C76DBB" w14:textId="4448D236"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223.</w:t>
      </w:r>
    </w:p>
    <w:p w14:paraId="02C98E5B" w14:textId="77777777" w:rsidR="0096524F" w:rsidRPr="007F16CD" w:rsidRDefault="0096524F" w:rsidP="00D758BD">
      <w:pPr>
        <w:pStyle w:val="footnote"/>
      </w:pPr>
    </w:p>
  </w:footnote>
  <w:footnote w:id="573">
    <w:p w14:paraId="6C3326A8" w14:textId="38B5292D"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250, 253–54 (Kennedy, J., concurring).</w:t>
      </w:r>
    </w:p>
    <w:p w14:paraId="015EDBC5" w14:textId="77777777" w:rsidR="0096524F" w:rsidRPr="007F16CD" w:rsidRDefault="0096524F" w:rsidP="00D758BD">
      <w:pPr>
        <w:pStyle w:val="footnote"/>
      </w:pPr>
    </w:p>
  </w:footnote>
  <w:footnote w:id="574">
    <w:p w14:paraId="1C269F36" w14:textId="11DC2727" w:rsidR="0096524F" w:rsidRPr="002137D6" w:rsidRDefault="0096524F" w:rsidP="0096524F">
      <w:pPr>
        <w:pStyle w:val="FootnoteText"/>
      </w:pPr>
      <w:r w:rsidRPr="0096524F">
        <w:rPr>
          <w:rStyle w:val="FootnoteReference"/>
          <w:rFonts w:eastAsiaTheme="majorEastAsia"/>
        </w:rPr>
        <w:footnoteRef/>
      </w:r>
      <w:r w:rsidRPr="0096524F">
        <w:rPr>
          <w:i/>
        </w:rPr>
        <w:t>Brunetti</w:t>
      </w:r>
      <w:r w:rsidRPr="0096524F">
        <w:t>, 588 U.S.</w:t>
      </w:r>
      <w:r w:rsidRPr="0096524F">
        <w:t xml:space="preserve"> </w:t>
      </w:r>
      <w:r w:rsidRPr="0096524F">
        <w:t>at 394–95.</w:t>
      </w:r>
      <w:r w:rsidRPr="0096524F">
        <w:t xml:space="preserve"> </w:t>
      </w:r>
      <w:r w:rsidRPr="0096524F">
        <w:t>Three Justices dissented in part, arguing that, although the ban on “immoral” marks violated the First Amendment, the ban on “scandalous” marks was capable of a narrowing interpretation—namely, one that limited it to marks that were vulgar and the manner of the marks presented did not intertwine with the idea presented.</w:t>
      </w:r>
      <w:r w:rsidRPr="0096524F">
        <w:t xml:space="preserve"> </w:t>
      </w:r>
      <w:r w:rsidRPr="0096524F">
        <w:rPr>
          <w:i/>
        </w:rPr>
        <w:t>Brunetti</w:t>
      </w:r>
      <w:r w:rsidRPr="0096524F">
        <w:t>, 588 U.S.</w:t>
      </w:r>
      <w:r w:rsidRPr="0096524F">
        <w:t xml:space="preserve"> </w:t>
      </w:r>
      <w:r w:rsidRPr="0096524F">
        <w:t>at 401 (Roberts, C.J., concurring in part and dissenting in part);</w:t>
      </w:r>
      <w:r w:rsidRPr="0096524F">
        <w:t xml:space="preserve"> </w:t>
      </w:r>
      <w:r w:rsidRPr="0096524F">
        <w:rPr>
          <w:i/>
        </w:rPr>
        <w:t>id.</w:t>
      </w:r>
      <w:r w:rsidRPr="0096524F">
        <w:rPr>
          <w:i/>
        </w:rPr>
        <w:t xml:space="preserve"> </w:t>
      </w:r>
      <w:r w:rsidRPr="0096524F">
        <w:t>at 409 (Sotomayor, concurring in part and dissenting in part);</w:t>
      </w:r>
      <w:r w:rsidRPr="0096524F">
        <w:t xml:space="preserve"> </w:t>
      </w:r>
      <w:r w:rsidRPr="0096524F">
        <w:rPr>
          <w:i/>
        </w:rPr>
        <w:t>id</w:t>
      </w:r>
      <w:r w:rsidRPr="0096524F">
        <w:t>.</w:t>
      </w:r>
      <w:r w:rsidRPr="0096524F">
        <w:t xml:space="preserve"> </w:t>
      </w:r>
      <w:r w:rsidRPr="0096524F">
        <w:t>at 406–08 (Breyer, J., concurring in part and dissenting in part).</w:t>
      </w:r>
      <w:r w:rsidRPr="0096524F">
        <w:t xml:space="preserve"> </w:t>
      </w:r>
      <w:r w:rsidRPr="0096524F">
        <w:t>Justice Breyer reiterated his view, expressed elsewhere, that the categorical approach to First Amendment analysis should be changed.</w:t>
      </w:r>
      <w:r w:rsidRPr="0096524F">
        <w:t xml:space="preserve"> </w:t>
      </w:r>
      <w:r w:rsidRPr="0096524F">
        <w:rPr>
          <w:i/>
        </w:rPr>
        <w:t>See id.</w:t>
      </w:r>
      <w:r w:rsidRPr="0096524F">
        <w:rPr>
          <w:i/>
        </w:rPr>
        <w:t xml:space="preserve"> </w:t>
      </w:r>
      <w:r w:rsidRPr="0096524F">
        <w:t>at 403–05.</w:t>
      </w:r>
    </w:p>
  </w:footnote>
  <w:footnote w:id="575">
    <w:p w14:paraId="1D431AAC" w14:textId="45D6C0FC" w:rsidR="0096524F" w:rsidRPr="007F16CD" w:rsidRDefault="0096524F" w:rsidP="0096524F">
      <w:pPr>
        <w:pStyle w:val="FootnoteText"/>
      </w:pPr>
      <w:r w:rsidRPr="0096524F">
        <w:rPr>
          <w:rStyle w:val="FootnoteReference"/>
          <w:rFonts w:eastAsiaTheme="majorEastAsia"/>
        </w:rPr>
        <w:footnoteRef/>
      </w:r>
      <w:r w:rsidRPr="0096524F">
        <w:rPr>
          <w:i/>
        </w:rPr>
        <w:t>Brunetti</w:t>
      </w:r>
      <w:r w:rsidRPr="0096524F">
        <w:t>, 588 U.S.</w:t>
      </w:r>
      <w:r w:rsidRPr="0096524F">
        <w:t xml:space="preserve"> </w:t>
      </w:r>
      <w:r w:rsidRPr="0096524F">
        <w:t>at 395–96.</w:t>
      </w:r>
    </w:p>
  </w:footnote>
  <w:footnote w:id="576">
    <w:p w14:paraId="11BBCB86" w14:textId="4C228F2C" w:rsidR="0096524F" w:rsidRPr="0096524F" w:rsidRDefault="0096524F" w:rsidP="0096524F">
      <w:pPr>
        <w:pStyle w:val="FootnoteText"/>
      </w:pPr>
      <w:r w:rsidRPr="0096524F">
        <w:rPr>
          <w:vertAlign w:val="superscript"/>
        </w:rPr>
        <w:footnoteRef/>
      </w:r>
      <w:r w:rsidRPr="0096524F">
        <w:t>644 F.</w:t>
      </w:r>
      <w:r w:rsidRPr="0096524F">
        <w:t xml:space="preserve"> </w:t>
      </w:r>
      <w:r w:rsidRPr="0096524F">
        <w:t>Supp.</w:t>
      </w:r>
      <w:r w:rsidRPr="0096524F">
        <w:t xml:space="preserve"> </w:t>
      </w:r>
      <w:r w:rsidRPr="0096524F">
        <w:t>2d 1287 (D.</w:t>
      </w:r>
      <w:r w:rsidRPr="0096524F">
        <w:t xml:space="preserve"> </w:t>
      </w:r>
      <w:r w:rsidRPr="0096524F">
        <w:t>Kan.</w:t>
      </w:r>
      <w:r w:rsidRPr="0096524F">
        <w:t xml:space="preserve"> </w:t>
      </w:r>
      <w:r w:rsidRPr="0096524F">
        <w:t>2008).</w:t>
      </w:r>
    </w:p>
    <w:p w14:paraId="6C7B7F83" w14:textId="77777777" w:rsidR="0096524F" w:rsidRDefault="0096524F" w:rsidP="00D758BD">
      <w:pPr>
        <w:pStyle w:val="footnote"/>
      </w:pPr>
    </w:p>
  </w:footnote>
  <w:footnote w:id="577">
    <w:p w14:paraId="60D1FF4A" w14:textId="5AB657C4" w:rsidR="0096524F" w:rsidRPr="0096524F" w:rsidRDefault="0096524F" w:rsidP="0096524F">
      <w:pPr>
        <w:pStyle w:val="FootnoteText"/>
      </w:pPr>
      <w:r w:rsidRPr="0096524F">
        <w:rPr>
          <w:vertAlign w:val="superscript"/>
        </w:rPr>
        <w:footnoteRef/>
      </w:r>
      <w:r w:rsidRPr="0096524F">
        <w:rPr>
          <w:i/>
        </w:rPr>
        <w:t>See</w:t>
      </w:r>
      <w:r w:rsidRPr="0096524F">
        <w:t xml:space="preserve"> Jordache Enters., Inc.</w:t>
      </w:r>
      <w:r w:rsidRPr="0096524F">
        <w:t xml:space="preserve"> </w:t>
      </w:r>
      <w:r w:rsidRPr="0096524F">
        <w:t>v.</w:t>
      </w:r>
      <w:r w:rsidRPr="0096524F">
        <w:t xml:space="preserve"> </w:t>
      </w:r>
      <w:r w:rsidRPr="0096524F">
        <w:t>Hogg Wyld, Ltd., 828 F.2d 1482, 4 USPQ2d 1216 (10th Cir.</w:t>
      </w:r>
      <w:r w:rsidRPr="0096524F">
        <w:t xml:space="preserve"> </w:t>
      </w:r>
      <w:r w:rsidRPr="0096524F">
        <w:t>1987).</w:t>
      </w:r>
    </w:p>
    <w:p w14:paraId="733BAF4B" w14:textId="77777777" w:rsidR="0096524F" w:rsidRDefault="0096524F" w:rsidP="00D758BD">
      <w:pPr>
        <w:pStyle w:val="footnote"/>
      </w:pPr>
    </w:p>
  </w:footnote>
  <w:footnote w:id="578">
    <w:p w14:paraId="7ADDACE3" w14:textId="179BC212" w:rsidR="0096524F" w:rsidRPr="009F0CAB" w:rsidRDefault="0096524F" w:rsidP="0096524F">
      <w:pPr>
        <w:pStyle w:val="FootnoteText"/>
      </w:pPr>
      <w:r w:rsidRPr="0096524F">
        <w:rPr>
          <w:rStyle w:val="FootnoteReference"/>
          <w:rFonts w:eastAsiaTheme="majorEastAsia"/>
        </w:rPr>
        <w:footnoteRef/>
      </w:r>
      <w:r w:rsidRPr="0096524F">
        <w:t>If tarnishment is regarded as viewpoint-neutral, then the Court is less likely to interfere with its application.</w:t>
      </w:r>
      <w:r w:rsidRPr="0096524F">
        <w:t xml:space="preserve"> </w:t>
      </w:r>
      <w:r w:rsidRPr="0096524F">
        <w:rPr>
          <w:i/>
        </w:rPr>
        <w:t>See generally</w:t>
      </w:r>
      <w:r w:rsidRPr="0096524F">
        <w:t xml:space="preserve"> Vidal v.</w:t>
      </w:r>
      <w:r w:rsidRPr="0096524F">
        <w:t xml:space="preserve"> </w:t>
      </w:r>
      <w:r w:rsidRPr="0096524F">
        <w:t>Elster, 602 U.S.</w:t>
      </w:r>
      <w:r w:rsidRPr="0096524F">
        <w:t xml:space="preserve"> </w:t>
      </w:r>
      <w:r w:rsidRPr="0096524F">
        <w:t>286 (2024).</w:t>
      </w:r>
    </w:p>
  </w:footnote>
  <w:footnote w:id="579">
    <w:p w14:paraId="712A4555" w14:textId="438A48EC" w:rsidR="0096524F" w:rsidRPr="0096524F" w:rsidRDefault="0096524F" w:rsidP="0096524F">
      <w:pPr>
        <w:pStyle w:val="FootnoteText"/>
      </w:pPr>
      <w:r w:rsidRPr="0096524F">
        <w:rPr>
          <w:vertAlign w:val="superscript"/>
        </w:rPr>
        <w:footnoteRef/>
      </w:r>
      <w:r w:rsidRPr="0096524F">
        <w:t xml:space="preserve">This may be particularly true in proceedings in the PTO, where dilution is used to preclude registration, which the Court may view as reasonably analogous to the situations in </w:t>
      </w:r>
      <w:r w:rsidRPr="0096524F">
        <w:rPr>
          <w:i/>
        </w:rPr>
        <w:t>Tam</w:t>
      </w:r>
      <w:r w:rsidRPr="0096524F">
        <w:t xml:space="preserve"> and </w:t>
      </w:r>
      <w:r w:rsidRPr="0096524F">
        <w:rPr>
          <w:i/>
        </w:rPr>
        <w:t>Brunetti</w:t>
      </w:r>
      <w:r w:rsidRPr="0096524F">
        <w:t>.</w:t>
      </w:r>
      <w:r w:rsidRPr="0096524F">
        <w:t xml:space="preserve"> </w:t>
      </w:r>
      <w:r w:rsidRPr="0096524F">
        <w:t>On the other hand, particularly in registration situations, the Court may be reluctant to impose strict scrutiny unless the regulation is regarded as viewpoint-based.</w:t>
      </w:r>
      <w:r w:rsidRPr="0096524F">
        <w:t xml:space="preserve"> </w:t>
      </w:r>
      <w:r w:rsidRPr="0096524F">
        <w:rPr>
          <w:i/>
        </w:rPr>
        <w:t>See generally</w:t>
      </w:r>
      <w:r w:rsidRPr="0096524F">
        <w:t xml:space="preserve"> Vidal v.</w:t>
      </w:r>
      <w:r w:rsidRPr="0096524F">
        <w:t xml:space="preserve"> </w:t>
      </w:r>
      <w:r w:rsidRPr="0096524F">
        <w:t>Elster, 602 U.S.</w:t>
      </w:r>
      <w:r w:rsidRPr="0096524F">
        <w:t xml:space="preserve"> </w:t>
      </w:r>
      <w:r w:rsidRPr="0096524F">
        <w:t>286 (2024).</w:t>
      </w:r>
      <w:r w:rsidRPr="0096524F">
        <w:t xml:space="preserve"> </w:t>
      </w:r>
    </w:p>
    <w:p w14:paraId="7DB2CC94" w14:textId="77777777" w:rsidR="0096524F" w:rsidRPr="009F0CAB" w:rsidRDefault="0096524F" w:rsidP="00D758BD">
      <w:pPr>
        <w:pStyle w:val="footnote"/>
      </w:pPr>
    </w:p>
  </w:footnote>
  <w:footnote w:id="580">
    <w:p w14:paraId="133B7A9F" w14:textId="5390E3A5" w:rsidR="0096524F" w:rsidRPr="0096524F" w:rsidRDefault="0096524F" w:rsidP="0096524F">
      <w:pPr>
        <w:pStyle w:val="FootnoteText"/>
      </w:pPr>
      <w:r w:rsidRPr="0096524F">
        <w:rPr>
          <w:vertAlign w:val="superscript"/>
        </w:rPr>
        <w:footnoteRef/>
      </w:r>
      <w:r w:rsidRPr="0096524F">
        <w:t>Matal v.</w:t>
      </w:r>
      <w:r w:rsidRPr="0096524F">
        <w:t xml:space="preserve"> </w:t>
      </w:r>
      <w:r w:rsidRPr="0096524F">
        <w:t>Tam, 582 U.S.</w:t>
      </w:r>
      <w:r w:rsidRPr="0096524F">
        <w:t xml:space="preserve"> </w:t>
      </w:r>
      <w:r w:rsidRPr="0096524F">
        <w:t>218, 253 (2017) (Kennedy, J.</w:t>
      </w:r>
      <w:r w:rsidRPr="0096524F">
        <w:t xml:space="preserve"> </w:t>
      </w:r>
      <w:r w:rsidRPr="0096524F">
        <w:t>concurring).</w:t>
      </w:r>
    </w:p>
    <w:p w14:paraId="6BDBE0F4" w14:textId="77777777" w:rsidR="0096524F" w:rsidRPr="005F4B31" w:rsidRDefault="0096524F" w:rsidP="00D758BD">
      <w:pPr>
        <w:pStyle w:val="footnote"/>
      </w:pPr>
    </w:p>
  </w:footnote>
  <w:footnote w:id="581">
    <w:p w14:paraId="626B39DB" w14:textId="2B1C638C"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252.</w:t>
      </w:r>
    </w:p>
    <w:p w14:paraId="46977B99" w14:textId="77777777" w:rsidR="0096524F" w:rsidRDefault="0096524F" w:rsidP="00D758BD">
      <w:pPr>
        <w:pStyle w:val="footnote"/>
      </w:pPr>
    </w:p>
  </w:footnote>
  <w:footnote w:id="582">
    <w:p w14:paraId="5354C2DC" w14:textId="09D8E28A" w:rsidR="0096524F" w:rsidRPr="0096524F" w:rsidRDefault="0096524F" w:rsidP="0096524F">
      <w:pPr>
        <w:pStyle w:val="FootnoteText"/>
      </w:pPr>
      <w:r w:rsidRPr="0096524F">
        <w:rPr>
          <w:vertAlign w:val="superscript"/>
        </w:rPr>
        <w:footnoteRef/>
      </w:r>
      <w:r w:rsidRPr="0096524F">
        <w:t>483 U.S.</w:t>
      </w:r>
      <w:r w:rsidRPr="0096524F">
        <w:t xml:space="preserve"> </w:t>
      </w:r>
      <w:r w:rsidRPr="0096524F">
        <w:t>522, 3 USPQ2d 1145 (1987).</w:t>
      </w:r>
    </w:p>
    <w:p w14:paraId="75C44D42" w14:textId="77777777" w:rsidR="0096524F" w:rsidRDefault="0096524F" w:rsidP="00D758BD">
      <w:pPr>
        <w:pStyle w:val="footnote"/>
      </w:pPr>
    </w:p>
  </w:footnote>
  <w:footnote w:id="583">
    <w:p w14:paraId="14BC901E" w14:textId="777EE5DA" w:rsidR="0096524F" w:rsidRPr="00515503" w:rsidRDefault="0096524F" w:rsidP="0096524F">
      <w:pPr>
        <w:pStyle w:val="FootnoteText"/>
        <w:rPr>
          <w:iCs/>
        </w:rPr>
      </w:pPr>
      <w:r w:rsidRPr="0096524F">
        <w:rPr>
          <w:rStyle w:val="FootnoteReference"/>
          <w:rFonts w:eastAsiaTheme="majorEastAsia"/>
        </w:rPr>
        <w:footnoteRef/>
      </w:r>
      <w:r w:rsidRPr="0096524F">
        <w:rPr>
          <w:i/>
        </w:rPr>
        <w:t>See</w:t>
      </w:r>
      <w:r w:rsidRPr="0096524F">
        <w:t xml:space="preserve"> Vidal v.</w:t>
      </w:r>
      <w:r w:rsidRPr="0096524F">
        <w:t xml:space="preserve"> </w:t>
      </w:r>
      <w:r w:rsidRPr="0096524F">
        <w:t>Elster, 602 U.S.</w:t>
      </w:r>
      <w:r w:rsidRPr="0096524F">
        <w:t xml:space="preserve"> </w:t>
      </w:r>
      <w:r w:rsidRPr="0096524F">
        <w:t xml:space="preserve">286, 306–07 (2024) (“we have recognized that a party has no First Amendment right to piggyback off the goodwill another entity has built in its name”—citing and discussing </w:t>
      </w:r>
      <w:r w:rsidRPr="0096524F">
        <w:rPr>
          <w:i/>
        </w:rPr>
        <w:t>SFAA</w:t>
      </w:r>
      <w:r w:rsidRPr="0096524F">
        <w:t>).</w:t>
      </w:r>
    </w:p>
  </w:footnote>
  <w:footnote w:id="584">
    <w:p w14:paraId="2A2B6FC9" w14:textId="00823E03"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Pignons S.A.</w:t>
      </w:r>
      <w:r w:rsidRPr="0096524F">
        <w:t xml:space="preserve"> </w:t>
      </w:r>
      <w:r w:rsidRPr="0096524F">
        <w:t>de Mecanique de Precision v.</w:t>
      </w:r>
      <w:r w:rsidRPr="0096524F">
        <w:t xml:space="preserve"> </w:t>
      </w:r>
      <w:r w:rsidRPr="0096524F">
        <w:t>Polaroid Corp., 657 F.2d 482, 494–95, 212 USPQ 246 (1st Cir.</w:t>
      </w:r>
      <w:r w:rsidRPr="0096524F">
        <w:t xml:space="preserve"> </w:t>
      </w:r>
      <w:r w:rsidRPr="0096524F">
        <w:t>1981);</w:t>
      </w:r>
      <w:r w:rsidRPr="0096524F">
        <w:t xml:space="preserve"> </w:t>
      </w:r>
      <w:r w:rsidRPr="0096524F">
        <w:t>James Burrough Ltd., v.</w:t>
      </w:r>
      <w:r w:rsidRPr="0096524F">
        <w:t xml:space="preserve"> </w:t>
      </w:r>
      <w:r w:rsidRPr="0096524F">
        <w:t>Sign of Beefeater, Inc., 540 F.2d 266, 274 n.16, 192 USPQ 555 (7th Cir.</w:t>
      </w:r>
      <w:r w:rsidRPr="0096524F">
        <w:t xml:space="preserve"> </w:t>
      </w:r>
      <w:r w:rsidRPr="0096524F">
        <w:t>1976);</w:t>
      </w:r>
      <w:r w:rsidRPr="0096524F">
        <w:t xml:space="preserve"> </w:t>
      </w:r>
      <w:r w:rsidRPr="0096524F">
        <w:t>Bellsouth Corp.</w:t>
      </w:r>
      <w:r w:rsidRPr="0096524F">
        <w:t xml:space="preserve"> </w:t>
      </w:r>
      <w:r w:rsidRPr="0096524F">
        <w:t>v.</w:t>
      </w:r>
      <w:r w:rsidRPr="0096524F">
        <w:t xml:space="preserve"> </w:t>
      </w:r>
      <w:r w:rsidRPr="0096524F">
        <w:t>Internet Classifieds of Ohio, 1997 WL 33107251, at *23 (N.D.</w:t>
      </w:r>
      <w:r w:rsidRPr="0096524F">
        <w:t xml:space="preserve"> </w:t>
      </w:r>
      <w:r w:rsidRPr="0096524F">
        <w:t>Ga.</w:t>
      </w:r>
      <w:r w:rsidRPr="0096524F">
        <w:t xml:space="preserve"> </w:t>
      </w:r>
      <w:r w:rsidRPr="0096524F">
        <w:t>Nov.</w:t>
      </w:r>
      <w:r w:rsidRPr="0096524F">
        <w:t xml:space="preserve"> </w:t>
      </w:r>
      <w:r w:rsidRPr="0096524F">
        <w:t>12, 1997) (“a showing of likelihood of confusion is sufficient to demonstrate the dilution of a trademark”);</w:t>
      </w:r>
      <w:r w:rsidRPr="0096524F">
        <w:t xml:space="preserve"> </w:t>
      </w:r>
      <w:r w:rsidRPr="0096524F">
        <w:t>Key3Media Events, Inc.</w:t>
      </w:r>
      <w:r w:rsidRPr="0096524F">
        <w:t xml:space="preserve"> </w:t>
      </w:r>
      <w:r w:rsidRPr="0096524F">
        <w:t>v.</w:t>
      </w:r>
      <w:r w:rsidRPr="0096524F">
        <w:t xml:space="preserve"> </w:t>
      </w:r>
      <w:r w:rsidRPr="0096524F">
        <w:t>Convention Connection, Inc., 2002 WL 385546, at *3–4 (D.</w:t>
      </w:r>
      <w:r w:rsidRPr="0096524F">
        <w:t xml:space="preserve"> </w:t>
      </w:r>
      <w:r w:rsidRPr="0096524F">
        <w:t>Nev.</w:t>
      </w:r>
      <w:r w:rsidRPr="0096524F">
        <w:t xml:space="preserve"> </w:t>
      </w:r>
      <w:r w:rsidRPr="0096524F">
        <w:t>Jan.</w:t>
      </w:r>
      <w:r w:rsidRPr="0096524F">
        <w:t xml:space="preserve"> </w:t>
      </w:r>
      <w:r w:rsidRPr="0096524F">
        <w:t>25, 2002) (finding dilution but only discussing confusion);</w:t>
      </w:r>
      <w:r w:rsidRPr="0096524F">
        <w:t xml:space="preserve"> </w:t>
      </w:r>
      <w:r w:rsidRPr="0096524F">
        <w:t>CSC Brands, L.P.</w:t>
      </w:r>
      <w:r w:rsidRPr="0096524F">
        <w:t xml:space="preserve"> </w:t>
      </w:r>
      <w:r w:rsidRPr="0096524F">
        <w:t>v.</w:t>
      </w:r>
      <w:r w:rsidRPr="0096524F">
        <w:t xml:space="preserve"> </w:t>
      </w:r>
      <w:r w:rsidRPr="0096524F">
        <w:t>Herdez Corp., 191 F.</w:t>
      </w:r>
      <w:r w:rsidRPr="0096524F">
        <w:t xml:space="preserve"> </w:t>
      </w:r>
      <w:r w:rsidRPr="0096524F">
        <w:t>Supp.</w:t>
      </w:r>
      <w:r w:rsidRPr="0096524F">
        <w:t xml:space="preserve"> </w:t>
      </w:r>
      <w:r w:rsidRPr="0096524F">
        <w:t>2d 1145, 1153 (E.D.</w:t>
      </w:r>
      <w:r w:rsidRPr="0096524F">
        <w:t xml:space="preserve"> </w:t>
      </w:r>
      <w:r w:rsidRPr="0096524F">
        <w:t>Cal.</w:t>
      </w:r>
      <w:r w:rsidRPr="0096524F">
        <w:t xml:space="preserve"> </w:t>
      </w:r>
      <w:r w:rsidRPr="0096524F">
        <w:t>2001);</w:t>
      </w:r>
      <w:r w:rsidRPr="0096524F">
        <w:t xml:space="preserve"> </w:t>
      </w:r>
      <w:r w:rsidRPr="0096524F">
        <w:t>General Motors Corp.</w:t>
      </w:r>
      <w:r w:rsidRPr="0096524F">
        <w:t xml:space="preserve"> </w:t>
      </w:r>
      <w:r w:rsidRPr="0096524F">
        <w:t>v.</w:t>
      </w:r>
      <w:r w:rsidRPr="0096524F">
        <w:t xml:space="preserve"> </w:t>
      </w:r>
      <w:r w:rsidRPr="0096524F">
        <w:t>E-Publications, LLC, 2001 WL 1798648 at *4 (E.D.</w:t>
      </w:r>
      <w:r w:rsidRPr="0096524F">
        <w:t xml:space="preserve"> </w:t>
      </w:r>
      <w:r w:rsidRPr="0096524F">
        <w:t>Mich.</w:t>
      </w:r>
      <w:r w:rsidRPr="0096524F">
        <w:t xml:space="preserve"> </w:t>
      </w:r>
      <w:r w:rsidRPr="0096524F">
        <w:t>Nov.</w:t>
      </w:r>
      <w:r w:rsidRPr="0096524F">
        <w:t xml:space="preserve"> </w:t>
      </w:r>
      <w:r w:rsidRPr="0096524F">
        <w:t>26, 2001) (finding dilution with only a discussion of confusion);</w:t>
      </w:r>
      <w:r w:rsidRPr="0096524F">
        <w:t xml:space="preserve"> </w:t>
      </w:r>
      <w:r w:rsidRPr="0096524F">
        <w:t>Blaich Assocs., Inc.</w:t>
      </w:r>
      <w:r w:rsidRPr="0096524F">
        <w:t xml:space="preserve"> </w:t>
      </w:r>
      <w:r w:rsidRPr="0096524F">
        <w:t>v.</w:t>
      </w:r>
      <w:r w:rsidRPr="0096524F">
        <w:t xml:space="preserve"> </w:t>
      </w:r>
      <w:r w:rsidRPr="0096524F">
        <w:t>Coach/Blaich Real Estate of Manhasset, Inc., 719 N.Y.S.2d 820, 822 (Sup.</w:t>
      </w:r>
      <w:r w:rsidRPr="0096524F">
        <w:t xml:space="preserve"> </w:t>
      </w:r>
      <w:r w:rsidRPr="0096524F">
        <w:t>Ct.</w:t>
      </w:r>
      <w:r w:rsidRPr="0096524F">
        <w:t xml:space="preserve"> </w:t>
      </w:r>
      <w:r w:rsidRPr="0096524F">
        <w:t>Nassau Co.</w:t>
      </w:r>
      <w:r w:rsidRPr="0096524F">
        <w:t xml:space="preserve"> </w:t>
      </w:r>
      <w:r w:rsidRPr="0096524F">
        <w:t>2000);</w:t>
      </w:r>
      <w:r w:rsidRPr="0096524F">
        <w:t xml:space="preserve"> </w:t>
      </w:r>
      <w:r w:rsidRPr="0096524F">
        <w:t>Southeastern La.</w:t>
      </w:r>
      <w:r w:rsidRPr="0096524F">
        <w:t xml:space="preserve"> </w:t>
      </w:r>
      <w:r w:rsidRPr="0096524F">
        <w:t>Entm’t v.</w:t>
      </w:r>
      <w:r w:rsidRPr="0096524F">
        <w:t xml:space="preserve"> </w:t>
      </w:r>
      <w:r w:rsidRPr="0096524F">
        <w:t>Hollywood Entm’t Corp., 56 USPQ2d 1688, 1691 (E.D.</w:t>
      </w:r>
      <w:r w:rsidRPr="0096524F">
        <w:t xml:space="preserve"> </w:t>
      </w:r>
      <w:r w:rsidRPr="0096524F">
        <w:t>La.</w:t>
      </w:r>
      <w:r w:rsidRPr="0096524F">
        <w:t xml:space="preserve"> </w:t>
      </w:r>
      <w:r w:rsidRPr="0096524F">
        <w:t>2000) (FTDA case:</w:t>
      </w:r>
      <w:r w:rsidRPr="0096524F">
        <w:t xml:space="preserve"> </w:t>
      </w:r>
      <w:r w:rsidRPr="0096524F">
        <w:t>stipulation of confusion ends dilution inquiry);</w:t>
      </w:r>
      <w:r w:rsidRPr="0096524F">
        <w:t xml:space="preserve"> </w:t>
      </w:r>
      <w:r w:rsidRPr="0096524F">
        <w:t>Sherwood Ford, Inc.</w:t>
      </w:r>
      <w:r w:rsidRPr="0096524F">
        <w:t xml:space="preserve"> </w:t>
      </w:r>
      <w:r w:rsidRPr="0096524F">
        <w:t>v.</w:t>
      </w:r>
      <w:r w:rsidRPr="0096524F">
        <w:t xml:space="preserve"> </w:t>
      </w:r>
      <w:r w:rsidRPr="0096524F">
        <w:t>Ford Motor Co., 875 F.</w:t>
      </w:r>
      <w:r w:rsidRPr="0096524F">
        <w:t xml:space="preserve"> </w:t>
      </w:r>
      <w:r w:rsidRPr="0096524F">
        <w:t>Supp.</w:t>
      </w:r>
      <w:r w:rsidRPr="0096524F">
        <w:t xml:space="preserve"> </w:t>
      </w:r>
      <w:r w:rsidRPr="0096524F">
        <w:t>590, 594 (E.D.</w:t>
      </w:r>
      <w:r w:rsidRPr="0096524F">
        <w:t xml:space="preserve"> </w:t>
      </w:r>
      <w:r w:rsidRPr="0096524F">
        <w:t>Mo.</w:t>
      </w:r>
      <w:r w:rsidRPr="0096524F">
        <w:t xml:space="preserve"> </w:t>
      </w:r>
      <w:r w:rsidRPr="0096524F">
        <w:t>1995) (same set of facts demonstrates both confusion and dilution);</w:t>
      </w:r>
      <w:r w:rsidRPr="0096524F">
        <w:t xml:space="preserve"> </w:t>
      </w:r>
      <w:r w:rsidRPr="0096524F">
        <w:t>Philip Morris, Inc.</w:t>
      </w:r>
      <w:r w:rsidRPr="0096524F">
        <w:t xml:space="preserve"> </w:t>
      </w:r>
      <w:r w:rsidRPr="0096524F">
        <w:t>v.</w:t>
      </w:r>
      <w:r w:rsidRPr="0096524F">
        <w:t xml:space="preserve"> </w:t>
      </w:r>
      <w:r w:rsidRPr="0096524F">
        <w:t>Star Tobacco Corp., 879 F.</w:t>
      </w:r>
      <w:r w:rsidRPr="0096524F">
        <w:t xml:space="preserve"> </w:t>
      </w:r>
      <w:r w:rsidRPr="0096524F">
        <w:t>Supp.</w:t>
      </w:r>
      <w:r w:rsidRPr="0096524F">
        <w:t xml:space="preserve"> </w:t>
      </w:r>
      <w:r w:rsidRPr="0096524F">
        <w:t>379, 389, 35 USPQ2d 1178 (S.D.N.Y.</w:t>
      </w:r>
      <w:r w:rsidRPr="0096524F">
        <w:t xml:space="preserve"> </w:t>
      </w:r>
      <w:r w:rsidRPr="0096524F">
        <w:t>1995);</w:t>
      </w:r>
      <w:r w:rsidRPr="0096524F">
        <w:t xml:space="preserve"> </w:t>
      </w:r>
      <w:r w:rsidRPr="0096524F">
        <w:t>Nelson/Weather-Rite, Inc.</w:t>
      </w:r>
      <w:r w:rsidRPr="0096524F">
        <w:t xml:space="preserve"> </w:t>
      </w:r>
      <w:r w:rsidRPr="0096524F">
        <w:t>v.</w:t>
      </w:r>
      <w:r w:rsidRPr="0096524F">
        <w:t xml:space="preserve"> </w:t>
      </w:r>
      <w:r w:rsidRPr="0096524F">
        <w:t>Leatherman Tool Group, Inc., 40 USPQ2d 1239, 1244 (N.D.</w:t>
      </w:r>
      <w:r w:rsidRPr="0096524F">
        <w:t xml:space="preserve"> </w:t>
      </w:r>
      <w:r w:rsidRPr="0096524F">
        <w:t>Ill.</w:t>
      </w:r>
      <w:r w:rsidRPr="0096524F">
        <w:t xml:space="preserve"> </w:t>
      </w:r>
      <w:r w:rsidRPr="0096524F">
        <w:t>1995) (“a trade dress that is likely to confuse is necessarily one that is likely to dilute”);</w:t>
      </w:r>
      <w:r w:rsidRPr="0096524F">
        <w:t xml:space="preserve"> </w:t>
      </w:r>
      <w:r w:rsidRPr="0096524F">
        <w:t>Saks &amp; Co.</w:t>
      </w:r>
      <w:r w:rsidRPr="0096524F">
        <w:t xml:space="preserve"> </w:t>
      </w:r>
      <w:r w:rsidRPr="0096524F">
        <w:t>v.</w:t>
      </w:r>
      <w:r w:rsidRPr="0096524F">
        <w:t xml:space="preserve"> </w:t>
      </w:r>
      <w:r w:rsidRPr="0096524F">
        <w:t>Hill, 843 F.</w:t>
      </w:r>
      <w:r w:rsidRPr="0096524F">
        <w:t xml:space="preserve"> </w:t>
      </w:r>
      <w:r w:rsidRPr="0096524F">
        <w:t>Supp.</w:t>
      </w:r>
      <w:r w:rsidRPr="0096524F">
        <w:t xml:space="preserve"> </w:t>
      </w:r>
      <w:r w:rsidRPr="0096524F">
        <w:t>620, 624, 29 USPQ2d 1941 (S.D.</w:t>
      </w:r>
      <w:r w:rsidRPr="0096524F">
        <w:t xml:space="preserve"> </w:t>
      </w:r>
      <w:r w:rsidRPr="0096524F">
        <w:t>Cal.</w:t>
      </w:r>
      <w:r w:rsidRPr="0096524F">
        <w:t xml:space="preserve"> </w:t>
      </w:r>
      <w:r w:rsidRPr="0096524F">
        <w:t>1993);</w:t>
      </w:r>
      <w:r w:rsidRPr="0096524F">
        <w:t xml:space="preserve"> </w:t>
      </w:r>
      <w:r w:rsidRPr="0096524F">
        <w:t>Emerson Elec.</w:t>
      </w:r>
      <w:r w:rsidRPr="0096524F">
        <w:t xml:space="preserve"> </w:t>
      </w:r>
      <w:r w:rsidRPr="0096524F">
        <w:t>Co.</w:t>
      </w:r>
      <w:r w:rsidRPr="0096524F">
        <w:t xml:space="preserve"> </w:t>
      </w:r>
      <w:r w:rsidRPr="0096524F">
        <w:t>v.</w:t>
      </w:r>
      <w:r w:rsidRPr="0096524F">
        <w:t xml:space="preserve"> </w:t>
      </w:r>
      <w:r w:rsidRPr="0096524F">
        <w:t>Emerson Quiet Kool Corp., 577 F.</w:t>
      </w:r>
      <w:r w:rsidRPr="0096524F">
        <w:t xml:space="preserve"> </w:t>
      </w:r>
      <w:r w:rsidRPr="0096524F">
        <w:t>Supp.</w:t>
      </w:r>
      <w:r w:rsidRPr="0096524F">
        <w:t xml:space="preserve"> </w:t>
      </w:r>
      <w:r w:rsidRPr="0096524F">
        <w:t>668, 679, 221 USPQ 782 (E.D.</w:t>
      </w:r>
      <w:r w:rsidRPr="0096524F">
        <w:t xml:space="preserve"> </w:t>
      </w:r>
      <w:r w:rsidRPr="0096524F">
        <w:t>Mo.</w:t>
      </w:r>
      <w:r w:rsidRPr="0096524F">
        <w:t xml:space="preserve"> </w:t>
      </w:r>
      <w:r w:rsidRPr="0096524F">
        <w:t>1983) (confusion constitutes dilution);</w:t>
      </w:r>
      <w:r w:rsidRPr="0096524F">
        <w:t xml:space="preserve"> </w:t>
      </w:r>
      <w:r w:rsidRPr="0096524F">
        <w:t>Tri-Star Pictures, Inc.</w:t>
      </w:r>
      <w:r w:rsidRPr="0096524F">
        <w:t xml:space="preserve"> </w:t>
      </w:r>
      <w:r w:rsidRPr="0096524F">
        <w:t>v.</w:t>
      </w:r>
      <w:r w:rsidRPr="0096524F">
        <w:t xml:space="preserve"> </w:t>
      </w:r>
      <w:r w:rsidRPr="0096524F">
        <w:t>Unger, 14 F.</w:t>
      </w:r>
      <w:r w:rsidRPr="0096524F">
        <w:t xml:space="preserve"> </w:t>
      </w:r>
      <w:r w:rsidRPr="0096524F">
        <w:t>Supp.</w:t>
      </w:r>
      <w:r w:rsidRPr="0096524F">
        <w:t xml:space="preserve"> </w:t>
      </w:r>
      <w:r w:rsidRPr="0096524F">
        <w:t>2d 339, 363 (S.D.N.Y.</w:t>
      </w:r>
      <w:r w:rsidRPr="0096524F">
        <w:t xml:space="preserve"> </w:t>
      </w:r>
      <w:r w:rsidRPr="0096524F">
        <w:t>1998);</w:t>
      </w:r>
      <w:r w:rsidRPr="0096524F">
        <w:t xml:space="preserve"> </w:t>
      </w:r>
      <w:r w:rsidRPr="0096524F">
        <w:t>Babbit Elecs., Inc.</w:t>
      </w:r>
      <w:r w:rsidRPr="0096524F">
        <w:t xml:space="preserve"> </w:t>
      </w:r>
      <w:r w:rsidRPr="0096524F">
        <w:t>v.</w:t>
      </w:r>
      <w:r w:rsidRPr="0096524F">
        <w:t xml:space="preserve"> </w:t>
      </w:r>
      <w:r w:rsidRPr="0096524F">
        <w:t>Dynascan Corp., 38 F.3d 1161, 1182, 33 USPQ2d 1001 (11th Cir.</w:t>
      </w:r>
      <w:r w:rsidRPr="0096524F">
        <w:t xml:space="preserve"> </w:t>
      </w:r>
      <w:r w:rsidRPr="0096524F">
        <w:t>1994);</w:t>
      </w:r>
      <w:r w:rsidRPr="0096524F">
        <w:t xml:space="preserve"> </w:t>
      </w:r>
      <w:r w:rsidRPr="0096524F">
        <w:t>Lane Capital Mgmt., Inc.</w:t>
      </w:r>
      <w:r w:rsidRPr="0096524F">
        <w:t xml:space="preserve"> </w:t>
      </w:r>
      <w:r w:rsidRPr="0096524F">
        <w:t>v.</w:t>
      </w:r>
      <w:r w:rsidRPr="0096524F">
        <w:t xml:space="preserve"> </w:t>
      </w:r>
      <w:r w:rsidRPr="0096524F">
        <w:t>Lane Capital Mgmt., Inc., 15 F.</w:t>
      </w:r>
      <w:r w:rsidRPr="0096524F">
        <w:t xml:space="preserve"> </w:t>
      </w:r>
      <w:r w:rsidRPr="0096524F">
        <w:t>Supp.</w:t>
      </w:r>
      <w:r w:rsidRPr="0096524F">
        <w:t xml:space="preserve"> </w:t>
      </w:r>
      <w:r w:rsidRPr="0096524F">
        <w:t>2d 389, 400 (S.D.N.Y.</w:t>
      </w:r>
      <w:r w:rsidRPr="0096524F">
        <w:t xml:space="preserve"> </w:t>
      </w:r>
      <w:r w:rsidRPr="0096524F">
        <w:t xml:space="preserve">1998), </w:t>
      </w:r>
      <w:r w:rsidRPr="0096524F">
        <w:rPr>
          <w:i/>
        </w:rPr>
        <w:t>aff’d,</w:t>
      </w:r>
      <w:r w:rsidRPr="0096524F">
        <w:t xml:space="preserve"> 192 F.3d 337, 52 USPQ2d 1094 (2d Cir.</w:t>
      </w:r>
      <w:r w:rsidRPr="0096524F">
        <w:t xml:space="preserve"> </w:t>
      </w:r>
      <w:r w:rsidRPr="0096524F">
        <w:t>1999);</w:t>
      </w:r>
      <w:r w:rsidRPr="0096524F">
        <w:t xml:space="preserve"> </w:t>
      </w:r>
      <w:r w:rsidRPr="0096524F">
        <w:t>Kraft Gen.</w:t>
      </w:r>
      <w:r w:rsidRPr="0096524F">
        <w:t xml:space="preserve"> </w:t>
      </w:r>
      <w:r w:rsidRPr="0096524F">
        <w:t>Foods, Inc.</w:t>
      </w:r>
      <w:r w:rsidRPr="0096524F">
        <w:t xml:space="preserve"> </w:t>
      </w:r>
      <w:r w:rsidRPr="0096524F">
        <w:t>v.</w:t>
      </w:r>
      <w:r w:rsidRPr="0096524F">
        <w:t xml:space="preserve"> </w:t>
      </w:r>
      <w:r w:rsidRPr="0096524F">
        <w:t>Allied Old English, Inc., 831 F.</w:t>
      </w:r>
      <w:r w:rsidRPr="0096524F">
        <w:t xml:space="preserve"> </w:t>
      </w:r>
      <w:r w:rsidRPr="0096524F">
        <w:t>Supp.</w:t>
      </w:r>
      <w:r w:rsidRPr="0096524F">
        <w:t xml:space="preserve"> </w:t>
      </w:r>
      <w:r w:rsidRPr="0096524F">
        <w:t>123, 134, 31 USPQ2d 1094 (S.D.N.Y.</w:t>
      </w:r>
      <w:r w:rsidRPr="0096524F">
        <w:t xml:space="preserve"> </w:t>
      </w:r>
      <w:r w:rsidRPr="0096524F">
        <w:t>1993);</w:t>
      </w:r>
      <w:r w:rsidRPr="0096524F">
        <w:t xml:space="preserve"> </w:t>
      </w:r>
      <w:r w:rsidRPr="0096524F">
        <w:t>Skil Corp.</w:t>
      </w:r>
      <w:r w:rsidRPr="0096524F">
        <w:t xml:space="preserve"> </w:t>
      </w:r>
      <w:r w:rsidRPr="0096524F">
        <w:t>v.</w:t>
      </w:r>
      <w:r w:rsidRPr="0096524F">
        <w:t xml:space="preserve"> </w:t>
      </w:r>
      <w:r w:rsidRPr="0096524F">
        <w:t>Barnet, 150 N.E.2d 551, 555, 117 USPQ 461 (Sup.</w:t>
      </w:r>
      <w:r w:rsidRPr="0096524F">
        <w:t xml:space="preserve"> </w:t>
      </w:r>
      <w:r w:rsidRPr="0096524F">
        <w:t>Jud.</w:t>
      </w:r>
      <w:r w:rsidRPr="0096524F">
        <w:t xml:space="preserve"> </w:t>
      </w:r>
      <w:r w:rsidRPr="0096524F">
        <w:t>Ct.</w:t>
      </w:r>
      <w:r w:rsidRPr="0096524F">
        <w:t xml:space="preserve"> </w:t>
      </w:r>
      <w:r w:rsidRPr="0096524F">
        <w:t>Mass.</w:t>
      </w:r>
      <w:r w:rsidRPr="0096524F">
        <w:t xml:space="preserve"> </w:t>
      </w:r>
      <w:r w:rsidRPr="0096524F">
        <w:t>1958) (“any possibility that the defendant may confuse the public as to the source of the goods sold by him may be given consideration”).</w:t>
      </w:r>
      <w:r w:rsidRPr="0096524F">
        <w:t xml:space="preserve"> </w:t>
      </w:r>
      <w:r w:rsidRPr="0096524F">
        <w:rPr>
          <w:i/>
        </w:rPr>
        <w:t>See also</w:t>
      </w:r>
      <w:r w:rsidRPr="0096524F">
        <w:t xml:space="preserve"> Planetary Motion, Inc.</w:t>
      </w:r>
      <w:r w:rsidRPr="0096524F">
        <w:t xml:space="preserve"> </w:t>
      </w:r>
      <w:r w:rsidRPr="0096524F">
        <w:t>v.</w:t>
      </w:r>
      <w:r w:rsidRPr="0096524F">
        <w:t xml:space="preserve"> </w:t>
      </w:r>
      <w:r w:rsidRPr="0096524F">
        <w:t>Techsplosion, Inc., 261 F.3d 1188, 59 USPQ2d 1894 (11th Cir.</w:t>
      </w:r>
      <w:r w:rsidRPr="0096524F">
        <w:t xml:space="preserve"> </w:t>
      </w:r>
      <w:r w:rsidRPr="0096524F">
        <w:t>2001) (district court enjoined dilution under Florida law and the court of appeals apparently affirmed a dilution injunction, though it only discussed confusion).</w:t>
      </w:r>
      <w:r w:rsidRPr="0096524F">
        <w:t xml:space="preserve"> </w:t>
      </w:r>
      <w:r w:rsidRPr="0096524F">
        <w:rPr>
          <w:i/>
        </w:rPr>
        <w:t>But see</w:t>
      </w:r>
      <w:r w:rsidRPr="0096524F">
        <w:t xml:space="preserve"> AutoZone, Inc.</w:t>
      </w:r>
      <w:r w:rsidRPr="0096524F">
        <w:t xml:space="preserve"> </w:t>
      </w:r>
      <w:r w:rsidRPr="0096524F">
        <w:t>v.</w:t>
      </w:r>
      <w:r w:rsidRPr="0096524F">
        <w:t xml:space="preserve"> </w:t>
      </w:r>
      <w:r w:rsidRPr="0096524F">
        <w:t>Tandy Corp., 373 F.3d 786, 71 USPQ2d 1385 (9th Cir.</w:t>
      </w:r>
      <w:r w:rsidRPr="0096524F">
        <w:t xml:space="preserve"> </w:t>
      </w:r>
      <w:r w:rsidRPr="0096524F">
        <w:t>2004) (finding confusion to be “irrelevant” to dilution);</w:t>
      </w:r>
      <w:r w:rsidRPr="0096524F">
        <w:t xml:space="preserve"> </w:t>
      </w:r>
      <w:r w:rsidRPr="0096524F">
        <w:t>Star Mkts., Ltd.</w:t>
      </w:r>
      <w:r w:rsidRPr="0096524F">
        <w:t xml:space="preserve"> </w:t>
      </w:r>
      <w:r w:rsidRPr="0096524F">
        <w:t>v.</w:t>
      </w:r>
      <w:r w:rsidRPr="0096524F">
        <w:t xml:space="preserve"> </w:t>
      </w:r>
      <w:r w:rsidRPr="0096524F">
        <w:t>Texaco, Inc., 950 F.</w:t>
      </w:r>
      <w:r w:rsidRPr="0096524F">
        <w:t xml:space="preserve"> </w:t>
      </w:r>
      <w:r w:rsidRPr="0096524F">
        <w:t>Supp.</w:t>
      </w:r>
      <w:r w:rsidRPr="0096524F">
        <w:t xml:space="preserve"> </w:t>
      </w:r>
      <w:r w:rsidRPr="0096524F">
        <w:t>1030, 1037 (D.</w:t>
      </w:r>
      <w:r w:rsidRPr="0096524F">
        <w:t xml:space="preserve"> </w:t>
      </w:r>
      <w:r w:rsidRPr="0096524F">
        <w:t>Haw.</w:t>
      </w:r>
      <w:r w:rsidRPr="0096524F">
        <w:t xml:space="preserve"> </w:t>
      </w:r>
      <w:r w:rsidRPr="0096524F">
        <w:t>1996) (“a finding of trademark dilution does not necessarily flow from a finding of trademark infringement”).</w:t>
      </w:r>
      <w:r w:rsidRPr="0096524F">
        <w:t xml:space="preserve"> </w:t>
      </w:r>
      <w:r w:rsidRPr="0096524F">
        <w:t>Some courts have cited the existence of infringement by confusion as a reason to avoid a ruling on a dilution claim.</w:t>
      </w:r>
      <w:r w:rsidRPr="0096524F">
        <w:t xml:space="preserve"> </w:t>
      </w:r>
      <w:r w:rsidRPr="0096524F">
        <w:rPr>
          <w:i/>
        </w:rPr>
        <w:t>E</w:t>
      </w:r>
      <w:r w:rsidRPr="0096524F">
        <w:t>.</w:t>
      </w:r>
      <w:r w:rsidRPr="0096524F">
        <w:rPr>
          <w:i/>
        </w:rPr>
        <w:t>g</w:t>
      </w:r>
      <w:r w:rsidRPr="0096524F">
        <w:t>., E.</w:t>
      </w:r>
      <w:r w:rsidRPr="0096524F">
        <w:t xml:space="preserve"> </w:t>
      </w:r>
      <w:r w:rsidRPr="0096524F">
        <w:t>Remy Martin &amp; Co., S.A.</w:t>
      </w:r>
      <w:r w:rsidRPr="0096524F">
        <w:t xml:space="preserve"> </w:t>
      </w:r>
      <w:r w:rsidRPr="0096524F">
        <w:t>v.</w:t>
      </w:r>
      <w:r w:rsidRPr="0096524F">
        <w:t xml:space="preserve"> </w:t>
      </w:r>
      <w:r w:rsidRPr="0096524F">
        <w:t>Shaw-Ross Int’l Imps., Inc., 756 F.2d 1525, 1534, 225 USPQ 1131 (11th Cir.</w:t>
      </w:r>
      <w:r w:rsidRPr="0096524F">
        <w:t xml:space="preserve"> </w:t>
      </w:r>
      <w:r w:rsidRPr="0096524F">
        <w:t>1985);</w:t>
      </w:r>
      <w:r w:rsidRPr="0096524F">
        <w:t xml:space="preserve"> </w:t>
      </w:r>
      <w:r w:rsidRPr="0096524F">
        <w:t>Quabaug Rubber Co.</w:t>
      </w:r>
      <w:r w:rsidRPr="0096524F">
        <w:t xml:space="preserve"> </w:t>
      </w:r>
      <w:r w:rsidRPr="0096524F">
        <w:t>v.</w:t>
      </w:r>
      <w:r w:rsidRPr="0096524F">
        <w:t xml:space="preserve"> </w:t>
      </w:r>
      <w:r w:rsidRPr="0096524F">
        <w:t>Fabiano Shoe Co., 567 F.2d 154, 161 n.14, 195 USPQ 689 (1st Cir.</w:t>
      </w:r>
      <w:r w:rsidRPr="0096524F">
        <w:t xml:space="preserve"> </w:t>
      </w:r>
      <w:r w:rsidRPr="0096524F">
        <w:t>1977);</w:t>
      </w:r>
      <w:r w:rsidRPr="0096524F">
        <w:t xml:space="preserve"> </w:t>
      </w:r>
      <w:r w:rsidRPr="0096524F">
        <w:t>Union Carbide Corp.</w:t>
      </w:r>
      <w:r w:rsidRPr="0096524F">
        <w:t xml:space="preserve"> </w:t>
      </w:r>
      <w:r w:rsidRPr="0096524F">
        <w:t>v.</w:t>
      </w:r>
      <w:r w:rsidRPr="0096524F">
        <w:t xml:space="preserve"> </w:t>
      </w:r>
      <w:r w:rsidRPr="0096524F">
        <w:t xml:space="preserve">Ever-Ready Inc., 531 F.2d 366, 389, 188 USPQ 623 (7th Cir.), </w:t>
      </w:r>
      <w:r w:rsidRPr="0096524F">
        <w:rPr>
          <w:i/>
        </w:rPr>
        <w:t>cert</w:t>
      </w:r>
      <w:r w:rsidRPr="0096524F">
        <w:t>.</w:t>
      </w:r>
      <w:r w:rsidRPr="0096524F">
        <w:t xml:space="preserve"> </w:t>
      </w:r>
      <w:r w:rsidRPr="0096524F">
        <w:rPr>
          <w:i/>
        </w:rPr>
        <w:t>denied,</w:t>
      </w:r>
      <w:r w:rsidRPr="0096524F">
        <w:t xml:space="preserve"> 429 U.S.</w:t>
      </w:r>
      <w:r w:rsidRPr="0096524F">
        <w:t xml:space="preserve"> </w:t>
      </w:r>
      <w:r w:rsidRPr="0096524F">
        <w:t>830, 191 USPQ 416 (1976);</w:t>
      </w:r>
      <w:r w:rsidRPr="0096524F">
        <w:t xml:space="preserve"> </w:t>
      </w:r>
      <w:r w:rsidRPr="0096524F">
        <w:t>President &amp; Trs.</w:t>
      </w:r>
      <w:r w:rsidRPr="0096524F">
        <w:t xml:space="preserve"> </w:t>
      </w:r>
      <w:r w:rsidRPr="0096524F">
        <w:t>of Colby Coll.</w:t>
      </w:r>
      <w:r w:rsidRPr="0096524F">
        <w:t xml:space="preserve"> </w:t>
      </w:r>
      <w:r w:rsidRPr="0096524F">
        <w:t>v.</w:t>
      </w:r>
      <w:r w:rsidRPr="0096524F">
        <w:t xml:space="preserve"> </w:t>
      </w:r>
      <w:r w:rsidRPr="0096524F">
        <w:t>Colby College-New Hampshire, 508 F.2d 804, 808 n.4, 185 USPQ 65 (1st Cir.</w:t>
      </w:r>
      <w:r w:rsidRPr="0096524F">
        <w:t xml:space="preserve"> </w:t>
      </w:r>
      <w:r w:rsidRPr="0096524F">
        <w:t>1975);</w:t>
      </w:r>
      <w:r w:rsidRPr="0096524F">
        <w:t xml:space="preserve"> </w:t>
      </w:r>
      <w:r w:rsidRPr="0096524F">
        <w:t>OBH, Inc.</w:t>
      </w:r>
      <w:r w:rsidRPr="0096524F">
        <w:t xml:space="preserve"> </w:t>
      </w:r>
      <w:r w:rsidRPr="0096524F">
        <w:t>v.</w:t>
      </w:r>
      <w:r w:rsidRPr="0096524F">
        <w:t xml:space="preserve"> </w:t>
      </w:r>
      <w:r w:rsidRPr="0096524F">
        <w:t>Spotlight Magazine, Inc., 86 F.</w:t>
      </w:r>
      <w:r w:rsidRPr="0096524F">
        <w:t xml:space="preserve"> </w:t>
      </w:r>
      <w:r w:rsidRPr="0096524F">
        <w:t>Supp.</w:t>
      </w:r>
      <w:r w:rsidRPr="0096524F">
        <w:t xml:space="preserve"> </w:t>
      </w:r>
      <w:r w:rsidRPr="0096524F">
        <w:t>2d 176, 197 n.12, 54 USPQ2d 1383 (W.D.N.Y.</w:t>
      </w:r>
      <w:r w:rsidRPr="0096524F">
        <w:t xml:space="preserve"> </w:t>
      </w:r>
      <w:r w:rsidRPr="0096524F">
        <w:t>2000);</w:t>
      </w:r>
      <w:r w:rsidRPr="0096524F">
        <w:t xml:space="preserve"> </w:t>
      </w:r>
      <w:r w:rsidRPr="0096524F">
        <w:t>Nature’s Bounty, Inc.</w:t>
      </w:r>
      <w:r w:rsidRPr="0096524F">
        <w:t xml:space="preserve"> </w:t>
      </w:r>
      <w:r w:rsidRPr="0096524F">
        <w:t>v.</w:t>
      </w:r>
      <w:r w:rsidRPr="0096524F">
        <w:t xml:space="preserve"> </w:t>
      </w:r>
      <w:r w:rsidRPr="0096524F">
        <w:t>Superx Drugs Corp., 490 F.</w:t>
      </w:r>
      <w:r w:rsidRPr="0096524F">
        <w:t xml:space="preserve"> </w:t>
      </w:r>
      <w:r w:rsidRPr="0096524F">
        <w:t>Supp.</w:t>
      </w:r>
      <w:r w:rsidRPr="0096524F">
        <w:t xml:space="preserve"> </w:t>
      </w:r>
      <w:r w:rsidRPr="0096524F">
        <w:t>50, 55 n.6, 207 USPQ 263 (E.D.N.Y.</w:t>
      </w:r>
      <w:r w:rsidRPr="0096524F">
        <w:t xml:space="preserve"> </w:t>
      </w:r>
      <w:r w:rsidRPr="0096524F">
        <w:t>1980).</w:t>
      </w:r>
    </w:p>
  </w:footnote>
  <w:footnote w:id="585">
    <w:p w14:paraId="4ED834D7" w14:textId="4ABD4B8C" w:rsidR="0096524F" w:rsidRPr="00EB11B3" w:rsidRDefault="0096524F" w:rsidP="0096524F">
      <w:pPr>
        <w:pStyle w:val="FootnoteText"/>
      </w:pPr>
      <w:r w:rsidRPr="0096524F">
        <w:rPr>
          <w:vertAlign w:val="superscript"/>
        </w:rPr>
        <w:footnoteRef/>
      </w:r>
      <w:r w:rsidRPr="0096524F">
        <w:rPr>
          <w:i/>
        </w:rPr>
        <w:t>See</w:t>
      </w:r>
      <w:r w:rsidRPr="0096524F">
        <w:t xml:space="preserve"> CareFirst of Md., Inc.</w:t>
      </w:r>
      <w:r w:rsidRPr="0096524F">
        <w:t xml:space="preserve"> </w:t>
      </w:r>
      <w:r w:rsidRPr="0096524F">
        <w:t>v.</w:t>
      </w:r>
      <w:r w:rsidRPr="0096524F">
        <w:t xml:space="preserve"> </w:t>
      </w:r>
      <w:r w:rsidRPr="0096524F">
        <w:t>First Care, P.C., 434 F.3d 263, 274, 77 USPQ2d 1577 (4th Cir.</w:t>
      </w:r>
      <w:r w:rsidRPr="0096524F">
        <w:t xml:space="preserve"> </w:t>
      </w:r>
      <w:r w:rsidRPr="0096524F">
        <w:t>2006) (confusion survey is not evidence of dilution);</w:t>
      </w:r>
      <w:r w:rsidRPr="0096524F">
        <w:t xml:space="preserve"> </w:t>
      </w:r>
      <w:r w:rsidRPr="0096524F">
        <w:t>Louis Vuitton Malletier v.</w:t>
      </w:r>
      <w:r w:rsidRPr="0096524F">
        <w:t xml:space="preserve"> </w:t>
      </w:r>
      <w:r w:rsidRPr="0096524F">
        <w:t>Dooney &amp; Bourke, Inc., 525 F.</w:t>
      </w:r>
      <w:r w:rsidRPr="0096524F">
        <w:t xml:space="preserve"> </w:t>
      </w:r>
      <w:r w:rsidRPr="0096524F">
        <w:t>Supp.</w:t>
      </w:r>
      <w:r w:rsidRPr="0096524F">
        <w:t xml:space="preserve"> </w:t>
      </w:r>
      <w:r w:rsidRPr="0096524F">
        <w:t>2d 558, 597 (S.D.N.Y.</w:t>
      </w:r>
      <w:r w:rsidRPr="0096524F">
        <w:t xml:space="preserve"> </w:t>
      </w:r>
      <w:r w:rsidRPr="0096524F">
        <w:t>2007) (rejecting a survey on the grounds that it showed confusion but not blurring);</w:t>
      </w:r>
      <w:r w:rsidRPr="0096524F">
        <w:t xml:space="preserve"> </w:t>
      </w:r>
      <w:r w:rsidRPr="0096524F">
        <w:t>Alberto-Culver Co.</w:t>
      </w:r>
      <w:r w:rsidRPr="0096524F">
        <w:t xml:space="preserve"> </w:t>
      </w:r>
      <w:r w:rsidRPr="0096524F">
        <w:t>v.</w:t>
      </w:r>
      <w:r w:rsidRPr="0096524F">
        <w:t xml:space="preserve"> </w:t>
      </w:r>
      <w:r w:rsidRPr="0096524F">
        <w:t>Trevive, Inc., 199 F.</w:t>
      </w:r>
      <w:r w:rsidRPr="0096524F">
        <w:t xml:space="preserve"> </w:t>
      </w:r>
      <w:r w:rsidRPr="0096524F">
        <w:t>Supp.</w:t>
      </w:r>
      <w:r w:rsidRPr="0096524F">
        <w:t xml:space="preserve"> </w:t>
      </w:r>
      <w:r w:rsidRPr="0096524F">
        <w:t>2d 1004, 1006 n.3 (C.D.</w:t>
      </w:r>
      <w:r w:rsidRPr="0096524F">
        <w:t xml:space="preserve"> </w:t>
      </w:r>
      <w:r w:rsidRPr="0096524F">
        <w:t>Cal.</w:t>
      </w:r>
      <w:r w:rsidRPr="0096524F">
        <w:t xml:space="preserve"> </w:t>
      </w:r>
      <w:r w:rsidRPr="0096524F">
        <w:t>2002) (“[l]ikelihood of confusion is irrelevant to trademark dilution claims under 15 U.S.C.</w:t>
      </w:r>
      <w:r w:rsidRPr="0096524F">
        <w:t xml:space="preserve"> </w:t>
      </w:r>
      <w:r w:rsidRPr="0096524F">
        <w:t xml:space="preserve">§1125(c) and </w:t>
      </w:r>
      <w:r w:rsidRPr="0096524F">
        <w:rPr>
          <w:smallCaps/>
        </w:rPr>
        <w:t>Cal.</w:t>
      </w:r>
      <w:r w:rsidRPr="0096524F">
        <w:rPr>
          <w:smallCaps/>
        </w:rPr>
        <w:t xml:space="preserve"> </w:t>
      </w:r>
      <w:r w:rsidRPr="0096524F">
        <w:rPr>
          <w:smallCaps/>
        </w:rPr>
        <w:t>Bus.</w:t>
      </w:r>
      <w:r w:rsidRPr="0096524F">
        <w:rPr>
          <w:smallCaps/>
        </w:rPr>
        <w:t xml:space="preserve"> </w:t>
      </w:r>
      <w:r w:rsidRPr="0096524F">
        <w:rPr>
          <w:smallCaps/>
        </w:rPr>
        <w:t>&amp; Prof.</w:t>
      </w:r>
      <w:r w:rsidRPr="0096524F">
        <w:rPr>
          <w:smallCaps/>
        </w:rPr>
        <w:t xml:space="preserve"> </w:t>
      </w:r>
      <w:r w:rsidRPr="0096524F">
        <w:rPr>
          <w:smallCaps/>
        </w:rPr>
        <w:t>Code</w:t>
      </w:r>
      <w:r w:rsidRPr="0096524F">
        <w:t xml:space="preserve"> §§14330”) (citations omitted) (magistrate judge opinion).</w:t>
      </w:r>
      <w:r w:rsidRPr="0096524F">
        <w:t xml:space="preserve"> </w:t>
      </w:r>
      <w:r w:rsidRPr="0096524F">
        <w:rPr>
          <w:i/>
        </w:rPr>
        <w:t>See also</w:t>
      </w:r>
      <w:r w:rsidRPr="0096524F">
        <w:t xml:space="preserve"> NCR Corp.</w:t>
      </w:r>
      <w:r w:rsidRPr="0096524F">
        <w:t xml:space="preserve"> </w:t>
      </w:r>
      <w:r w:rsidRPr="0096524F">
        <w:t>v.</w:t>
      </w:r>
      <w:r w:rsidRPr="0096524F">
        <w:t xml:space="preserve"> </w:t>
      </w:r>
      <w:r w:rsidRPr="0096524F">
        <w:t>ATM Exch., Inc., 2006 U.S.</w:t>
      </w:r>
      <w:r w:rsidRPr="0096524F">
        <w:t xml:space="preserve"> </w:t>
      </w:r>
      <w:r w:rsidRPr="0096524F">
        <w:t>Dist.</w:t>
      </w:r>
      <w:r w:rsidRPr="0096524F">
        <w:t xml:space="preserve"> </w:t>
      </w:r>
      <w:r w:rsidRPr="0096524F">
        <w:t>LEXIS 30296, at *9 n.1 (S.D.</w:t>
      </w:r>
      <w:r w:rsidRPr="0096524F">
        <w:t xml:space="preserve"> </w:t>
      </w:r>
      <w:r w:rsidRPr="0096524F">
        <w:t>Ohio May 17, 2006).</w:t>
      </w:r>
      <w:r w:rsidRPr="0096524F">
        <w:t xml:space="preserve"> </w:t>
      </w:r>
      <w:r w:rsidRPr="0096524F">
        <w:rPr>
          <w:i/>
        </w:rPr>
        <w:t>But see</w:t>
      </w:r>
      <w:r w:rsidRPr="0096524F">
        <w:t xml:space="preserve"> Montana Prof’l Sports, LLC v.</w:t>
      </w:r>
      <w:r w:rsidRPr="0096524F">
        <w:t xml:space="preserve"> </w:t>
      </w:r>
      <w:r w:rsidRPr="0096524F">
        <w:t>Leisure Sports Mgmt., Inc., 422 F.</w:t>
      </w:r>
      <w:r w:rsidRPr="0096524F">
        <w:t xml:space="preserve"> </w:t>
      </w:r>
      <w:r w:rsidRPr="0096524F">
        <w:t>Supp.</w:t>
      </w:r>
      <w:r w:rsidRPr="0096524F">
        <w:t xml:space="preserve"> </w:t>
      </w:r>
      <w:r w:rsidRPr="0096524F">
        <w:t>2d 1271 (M.D.</w:t>
      </w:r>
      <w:r w:rsidRPr="0096524F">
        <w:t xml:space="preserve"> </w:t>
      </w:r>
      <w:r w:rsidRPr="0096524F">
        <w:t>Fla.</w:t>
      </w:r>
      <w:r w:rsidRPr="0096524F">
        <w:t xml:space="preserve"> </w:t>
      </w:r>
      <w:r w:rsidRPr="0096524F">
        <w:t>2006) (citing confusion as basis for dilution).</w:t>
      </w:r>
      <w:r w:rsidRPr="0096524F">
        <w:t xml:space="preserve"> </w:t>
      </w:r>
      <w:r w:rsidRPr="0096524F">
        <w:t>Under the original FTDA definition of dilution—lessening the capacity of a famous mark to serve as a source identifier—a similar analysis would result in the same conclusion.</w:t>
      </w:r>
    </w:p>
  </w:footnote>
  <w:footnote w:id="586">
    <w:p w14:paraId="129E9A37" w14:textId="5B0820E2" w:rsidR="0096524F" w:rsidRPr="00EB11B3" w:rsidRDefault="0096524F" w:rsidP="0096524F">
      <w:pPr>
        <w:pStyle w:val="FootnoteText"/>
      </w:pPr>
      <w:r w:rsidRPr="0096524F">
        <w:rPr>
          <w:vertAlign w:val="superscript"/>
        </w:rPr>
        <w:footnoteRef/>
      </w:r>
      <w:r w:rsidRPr="0096524F">
        <w:t>This has been called the mark’s “brand equity” by one commentator.</w:t>
      </w:r>
      <w:r w:rsidRPr="0096524F">
        <w:t xml:space="preserve"> </w:t>
      </w:r>
      <w:r w:rsidRPr="0096524F">
        <w:t xml:space="preserve">Steve Hartman, </w:t>
      </w:r>
      <w:r w:rsidRPr="0096524F">
        <w:rPr>
          <w:i/>
        </w:rPr>
        <w:t>Brand Equity Impairment—The Meaning of Dilution,</w:t>
      </w:r>
      <w:r w:rsidRPr="0096524F">
        <w:t xml:space="preserve"> 87 </w:t>
      </w:r>
      <w:r w:rsidRPr="0096524F">
        <w:rPr>
          <w:smallCaps/>
        </w:rPr>
        <w:t>Trademark Rep.</w:t>
      </w:r>
      <w:r w:rsidRPr="0096524F">
        <w:rPr>
          <w:smallCaps/>
        </w:rPr>
        <w:t xml:space="preserve"> </w:t>
      </w:r>
      <w:r w:rsidRPr="0096524F">
        <w:t>418 (1997).</w:t>
      </w:r>
    </w:p>
  </w:footnote>
  <w:footnote w:id="587">
    <w:p w14:paraId="11767D56" w14:textId="61E274F0" w:rsidR="0096524F" w:rsidRPr="00EB11B3" w:rsidRDefault="0096524F" w:rsidP="0096524F">
      <w:pPr>
        <w:pStyle w:val="FootnoteText"/>
      </w:pPr>
      <w:r w:rsidRPr="0096524F">
        <w:rPr>
          <w:vertAlign w:val="superscript"/>
        </w:rPr>
        <w:footnoteRef/>
      </w:r>
      <w:r w:rsidRPr="0096524F">
        <w:t xml:space="preserve">Interestingly, the dilution bill passed by the Senate in 1988 defined dilution as “the material reduction of the distinctive quality of a famous mark.” </w:t>
      </w:r>
      <w:r w:rsidRPr="0096524F">
        <w:rPr>
          <w:smallCaps/>
        </w:rPr>
        <w:t>S.</w:t>
      </w:r>
      <w:r w:rsidRPr="0096524F">
        <w:rPr>
          <w:smallCaps/>
        </w:rPr>
        <w:t xml:space="preserve"> </w:t>
      </w:r>
      <w:r w:rsidRPr="0096524F">
        <w:rPr>
          <w:smallCaps/>
        </w:rPr>
        <w:t>Rep.</w:t>
      </w:r>
      <w:r w:rsidRPr="0096524F">
        <w:rPr>
          <w:smallCaps/>
        </w:rPr>
        <w:t xml:space="preserve"> </w:t>
      </w:r>
      <w:r w:rsidRPr="0096524F">
        <w:rPr>
          <w:smallCaps/>
        </w:rPr>
        <w:t>No.</w:t>
      </w:r>
      <w:r w:rsidRPr="0096524F">
        <w:rPr>
          <w:smallCaps/>
        </w:rPr>
        <w:t xml:space="preserve"> </w:t>
      </w:r>
      <w:r w:rsidRPr="0096524F">
        <w:t>100-515, 100th Cong., 2d Sess.</w:t>
      </w:r>
      <w:r w:rsidRPr="0096524F">
        <w:t xml:space="preserve"> </w:t>
      </w:r>
      <w:r w:rsidRPr="0096524F">
        <w:t>22 (Sept.</w:t>
      </w:r>
      <w:r w:rsidRPr="0096524F">
        <w:t xml:space="preserve"> </w:t>
      </w:r>
      <w:r w:rsidRPr="0096524F">
        <w:t>15, 1988) (quoting S.</w:t>
      </w:r>
      <w:r w:rsidRPr="0096524F">
        <w:t xml:space="preserve"> </w:t>
      </w:r>
      <w:r w:rsidRPr="0096524F">
        <w:t>1883 §38, definition of dilution).</w:t>
      </w:r>
      <w:r w:rsidRPr="0096524F">
        <w:t xml:space="preserve"> </w:t>
      </w:r>
      <w:r w:rsidRPr="0096524F">
        <w:t>If that provision had become law, the interpretive issue would have been less problematic.</w:t>
      </w:r>
    </w:p>
  </w:footnote>
  <w:footnote w:id="588">
    <w:p w14:paraId="628D3542" w14:textId="51B999C8" w:rsidR="0096524F" w:rsidRPr="00EB11B3" w:rsidRDefault="0096524F" w:rsidP="0096524F">
      <w:pPr>
        <w:pStyle w:val="FootnoteText"/>
      </w:pPr>
      <w:r w:rsidRPr="0096524F">
        <w:rPr>
          <w:vertAlign w:val="superscript"/>
        </w:rPr>
        <w:footnoteRef/>
      </w:r>
      <w:r w:rsidRPr="0096524F">
        <w:t>See Patrick M.</w:t>
      </w:r>
      <w:r w:rsidRPr="0096524F">
        <w:t xml:space="preserve"> </w:t>
      </w:r>
      <w:r w:rsidRPr="0096524F">
        <w:t xml:space="preserve">Bible, </w:t>
      </w:r>
      <w:r w:rsidRPr="0096524F">
        <w:rPr>
          <w:i/>
        </w:rPr>
        <w:t>Defining and Quantifying Dilution Under the Federal Trademark Dilution Act of 1995:</w:t>
      </w:r>
      <w:r w:rsidRPr="0096524F">
        <w:rPr>
          <w:i/>
        </w:rPr>
        <w:t xml:space="preserve"> </w:t>
      </w:r>
      <w:r w:rsidRPr="0096524F">
        <w:rPr>
          <w:i/>
        </w:rPr>
        <w:t>Using Survey Evidence to Show Actual Dilution</w:t>
      </w:r>
      <w:r w:rsidRPr="0096524F">
        <w:t xml:space="preserve">, 70 </w:t>
      </w:r>
      <w:r w:rsidRPr="0096524F">
        <w:rPr>
          <w:smallCaps/>
        </w:rPr>
        <w:t>U.</w:t>
      </w:r>
      <w:r w:rsidRPr="0096524F">
        <w:rPr>
          <w:smallCaps/>
        </w:rPr>
        <w:t xml:space="preserve"> </w:t>
      </w:r>
      <w:r w:rsidRPr="0096524F">
        <w:rPr>
          <w:smallCaps/>
        </w:rPr>
        <w:t>Colo.</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295, 329 (1999) (suggesting measuring dilution by measuring “a reduction in a brand’s ‘typicality’ or its ‘ability to conjure up a particular category’”) (citation omitted).</w:t>
      </w:r>
      <w:r w:rsidRPr="0096524F">
        <w:t xml:space="preserve"> </w:t>
      </w:r>
      <w:r w:rsidRPr="0096524F">
        <w:t>See also Alexander F.</w:t>
      </w:r>
      <w:r w:rsidRPr="0096524F">
        <w:t xml:space="preserve"> </w:t>
      </w:r>
      <w:r w:rsidRPr="0096524F">
        <w:t xml:space="preserve">Simonson, </w:t>
      </w:r>
      <w:r w:rsidRPr="0096524F">
        <w:rPr>
          <w:i/>
        </w:rPr>
        <w:t>Dilution Law:</w:t>
      </w:r>
      <w:r w:rsidRPr="0096524F">
        <w:rPr>
          <w:i/>
        </w:rPr>
        <w:t xml:space="preserve"> </w:t>
      </w:r>
      <w:r w:rsidRPr="0096524F">
        <w:rPr>
          <w:i/>
        </w:rPr>
        <w:t>At a Crossroad?</w:t>
      </w:r>
      <w:r w:rsidRPr="0096524F">
        <w:rPr>
          <w:i/>
        </w:rPr>
        <w:t xml:space="preserve"> </w:t>
      </w:r>
      <w:r w:rsidRPr="0096524F">
        <w:rPr>
          <w:i/>
        </w:rPr>
        <w:t>How and When Do Trademarks Dilute:</w:t>
      </w:r>
      <w:r w:rsidRPr="0096524F">
        <w:rPr>
          <w:i/>
        </w:rPr>
        <w:t xml:space="preserve"> </w:t>
      </w:r>
      <w:r w:rsidRPr="0096524F">
        <w:rPr>
          <w:i/>
        </w:rPr>
        <w:t>A Behavioral Framework to Judge “Likelihood” of Dilution</w:t>
      </w:r>
      <w:r w:rsidRPr="0096524F">
        <w:t xml:space="preserve">, 83 </w:t>
      </w:r>
      <w:r w:rsidRPr="0096524F">
        <w:rPr>
          <w:smallCaps/>
        </w:rPr>
        <w:t>Trademark Rep.</w:t>
      </w:r>
      <w:r w:rsidRPr="0096524F">
        <w:rPr>
          <w:smallCaps/>
        </w:rPr>
        <w:t xml:space="preserve"> </w:t>
      </w:r>
      <w:r w:rsidRPr="0096524F">
        <w:t>149, 152–53 (1993) (discussing “typicality” dilution).</w:t>
      </w:r>
      <w:r w:rsidRPr="0096524F">
        <w:t xml:space="preserve"> </w:t>
      </w:r>
      <w:r w:rsidRPr="0096524F">
        <w:t>This interpretation is made a bit less likely by the fact that a famous mark must be recognized by the “general consuming public,” and may not be aimed at a particular product line.</w:t>
      </w:r>
    </w:p>
  </w:footnote>
  <w:footnote w:id="589">
    <w:p w14:paraId="54700D09" w14:textId="6273B0AE" w:rsidR="0096524F" w:rsidRPr="0096524F" w:rsidRDefault="0096524F" w:rsidP="0096524F">
      <w:pPr>
        <w:pStyle w:val="FootnoteText"/>
      </w:pPr>
      <w:r w:rsidRPr="0096524F">
        <w:rPr>
          <w:vertAlign w:val="superscript"/>
        </w:rPr>
        <w:footnoteRef/>
      </w:r>
      <w:r w:rsidRPr="0096524F">
        <w:rPr>
          <w:i/>
        </w:rPr>
        <w:t>See</w:t>
      </w:r>
      <w:r w:rsidRPr="0096524F">
        <w:t xml:space="preserve"> National Van Lines, Inc.</w:t>
      </w:r>
      <w:r w:rsidRPr="0096524F">
        <w:t xml:space="preserve"> </w:t>
      </w:r>
      <w:r w:rsidRPr="0096524F">
        <w:t>v.</w:t>
      </w:r>
      <w:r w:rsidRPr="0096524F">
        <w:t xml:space="preserve"> </w:t>
      </w:r>
      <w:r w:rsidRPr="0096524F">
        <w:t>National Van Lines, Inc., 2013 U.S.</w:t>
      </w:r>
      <w:r w:rsidRPr="0096524F">
        <w:t xml:space="preserve"> </w:t>
      </w:r>
      <w:r w:rsidRPr="0096524F">
        <w:t>Dist.</w:t>
      </w:r>
      <w:r w:rsidRPr="0096524F">
        <w:t xml:space="preserve"> </w:t>
      </w:r>
      <w:r w:rsidRPr="0096524F">
        <w:t>LEXIS 71111, at *15–16 (D.S.C.</w:t>
      </w:r>
      <w:r w:rsidRPr="0096524F">
        <w:t xml:space="preserve"> </w:t>
      </w:r>
      <w:r w:rsidRPr="0096524F">
        <w:t>Mar.</w:t>
      </w:r>
      <w:r w:rsidRPr="0096524F">
        <w:t xml:space="preserve"> </w:t>
      </w:r>
      <w:r w:rsidRPr="0096524F">
        <w:t>25, 2013) (in a default judgment case, noting that plaintiff’s showing of confusion would cause injury to the mark’s reputation).</w:t>
      </w:r>
    </w:p>
    <w:p w14:paraId="69B0F566" w14:textId="77777777" w:rsidR="0096524F" w:rsidRDefault="0096524F" w:rsidP="00D758BD">
      <w:pPr>
        <w:pStyle w:val="footnote"/>
      </w:pPr>
    </w:p>
  </w:footnote>
  <w:footnote w:id="590">
    <w:p w14:paraId="5689EA22" w14:textId="7962130C" w:rsidR="0096524F" w:rsidRPr="00EB11B3" w:rsidRDefault="0096524F" w:rsidP="0096524F">
      <w:pPr>
        <w:pStyle w:val="FootnoteText"/>
      </w:pPr>
      <w:r w:rsidRPr="0096524F">
        <w:rPr>
          <w:vertAlign w:val="superscript"/>
        </w:rPr>
        <w:footnoteRef/>
      </w:r>
      <w:r w:rsidRPr="0096524F">
        <w:t>See §II.B.2, above, for a discussion of legislative history indicating Congress intended that the FTDA cover tarnishment.</w:t>
      </w:r>
    </w:p>
  </w:footnote>
  <w:footnote w:id="591">
    <w:p w14:paraId="4330F5B6" w14:textId="46737E65"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Moseley v.</w:t>
      </w:r>
      <w:r w:rsidRPr="0096524F">
        <w:t xml:space="preserve"> </w:t>
      </w:r>
      <w:r w:rsidRPr="0096524F">
        <w:t>V Secret Catalogue, Inc., 537 U.S.</w:t>
      </w:r>
      <w:r w:rsidRPr="0096524F">
        <w:t xml:space="preserve"> </w:t>
      </w:r>
      <w:r w:rsidRPr="0096524F">
        <w:t>418, 65 USPQ2d 1801 (2003).</w:t>
      </w:r>
    </w:p>
  </w:footnote>
  <w:footnote w:id="592">
    <w:p w14:paraId="23782661" w14:textId="3322E227" w:rsidR="0096524F" w:rsidRPr="00EB11B3" w:rsidRDefault="0096524F" w:rsidP="0096524F">
      <w:pPr>
        <w:pStyle w:val="FootnoteText"/>
      </w:pPr>
      <w:r w:rsidRPr="0096524F">
        <w:rPr>
          <w:vertAlign w:val="superscript"/>
        </w:rPr>
        <w:footnoteRef/>
      </w:r>
      <w:r w:rsidRPr="0096524F">
        <w:t>This phenomenon exists under both state and federal law.</w:t>
      </w:r>
      <w:r w:rsidRPr="0096524F">
        <w:t xml:space="preserve"> </w:t>
      </w:r>
      <w:r w:rsidRPr="0096524F">
        <w:rPr>
          <w:i/>
        </w:rPr>
        <w:t>E</w:t>
      </w:r>
      <w:r w:rsidRPr="0096524F">
        <w:t>.</w:t>
      </w:r>
      <w:r w:rsidRPr="0096524F">
        <w:rPr>
          <w:i/>
        </w:rPr>
        <w:t>g</w:t>
      </w:r>
      <w:r w:rsidRPr="0096524F">
        <w:t>.</w:t>
      </w:r>
      <w:r w:rsidRPr="0096524F">
        <w:rPr>
          <w:i/>
        </w:rPr>
        <w:t xml:space="preserve">, </w:t>
      </w:r>
      <w:r w:rsidRPr="0096524F">
        <w:t>Community of Christ Copyright Corp.</w:t>
      </w:r>
      <w:r w:rsidRPr="0096524F">
        <w:t xml:space="preserve"> </w:t>
      </w:r>
      <w:r w:rsidRPr="0096524F">
        <w:t>v.</w:t>
      </w:r>
      <w:r w:rsidRPr="0096524F">
        <w:t xml:space="preserve"> </w:t>
      </w:r>
      <w:r w:rsidRPr="0096524F">
        <w:t>Devon Park Restoration Branch, 634 F.3d 1005, 1010, 98 USPQ2d 1167 (8th Cir.</w:t>
      </w:r>
      <w:r w:rsidRPr="0096524F">
        <w:t xml:space="preserve"> </w:t>
      </w:r>
      <w:r w:rsidRPr="0096524F">
        <w:t>2011) (Missouri law);</w:t>
      </w:r>
      <w:r w:rsidRPr="0096524F">
        <w:t xml:space="preserve"> </w:t>
      </w:r>
      <w:r w:rsidRPr="0096524F">
        <w:t>Pignons S.A.</w:t>
      </w:r>
      <w:r w:rsidRPr="0096524F">
        <w:t xml:space="preserve"> </w:t>
      </w:r>
      <w:r w:rsidRPr="0096524F">
        <w:t>de Mecanique de Precision v.</w:t>
      </w:r>
      <w:r w:rsidRPr="0096524F">
        <w:t xml:space="preserve"> </w:t>
      </w:r>
      <w:r w:rsidRPr="0096524F">
        <w:t>Polaroid Corp., 657 F.2d 482, 494–95, 212 USPQ 246 (1st Cir.</w:t>
      </w:r>
      <w:r w:rsidRPr="0096524F">
        <w:t xml:space="preserve"> </w:t>
      </w:r>
      <w:r w:rsidRPr="0096524F">
        <w:t>1981);</w:t>
      </w:r>
      <w:r w:rsidRPr="0096524F">
        <w:t xml:space="preserve"> </w:t>
      </w:r>
      <w:r w:rsidRPr="0096524F">
        <w:t>James Burrough Ltd., v.</w:t>
      </w:r>
      <w:r w:rsidRPr="0096524F">
        <w:t xml:space="preserve"> </w:t>
      </w:r>
      <w:r w:rsidRPr="0096524F">
        <w:t>Sign of Beefeater, Inc., 540 F.2d 266, 274 n.16, 192 USPQ 555 (7th Cir.</w:t>
      </w:r>
      <w:r w:rsidRPr="0096524F">
        <w:t xml:space="preserve"> </w:t>
      </w:r>
      <w:r w:rsidRPr="0096524F">
        <w:t>1976);</w:t>
      </w:r>
      <w:r w:rsidRPr="0096524F">
        <w:t xml:space="preserve"> </w:t>
      </w:r>
      <w:r w:rsidRPr="0096524F">
        <w:t>Marv-A-Les Air Charters, LLC v.</w:t>
      </w:r>
      <w:r w:rsidRPr="0096524F">
        <w:t xml:space="preserve"> </w:t>
      </w:r>
      <w:r w:rsidRPr="0096524F">
        <w:t>Sea Tow Servs.</w:t>
      </w:r>
      <w:r w:rsidRPr="0096524F">
        <w:t xml:space="preserve"> </w:t>
      </w:r>
      <w:r w:rsidRPr="0096524F">
        <w:t>Int’l, Inc., 2009 WL 2988903, at *2 (S.D.</w:t>
      </w:r>
      <w:r w:rsidRPr="0096524F">
        <w:t xml:space="preserve"> </w:t>
      </w:r>
      <w:r w:rsidRPr="0096524F">
        <w:t>Ga.</w:t>
      </w:r>
      <w:r w:rsidRPr="0096524F">
        <w:t xml:space="preserve"> </w:t>
      </w:r>
      <w:r w:rsidRPr="0096524F">
        <w:t>Sep.</w:t>
      </w:r>
      <w:r w:rsidRPr="0096524F">
        <w:t xml:space="preserve"> </w:t>
      </w:r>
      <w:r w:rsidRPr="0096524F">
        <w:t>17, 2009);</w:t>
      </w:r>
      <w:r w:rsidRPr="0096524F">
        <w:t xml:space="preserve"> </w:t>
      </w:r>
      <w:r w:rsidRPr="0096524F">
        <w:t>Key3Media Events, Inc.</w:t>
      </w:r>
      <w:r w:rsidRPr="0096524F">
        <w:t xml:space="preserve"> </w:t>
      </w:r>
      <w:r w:rsidRPr="0096524F">
        <w:t>v.</w:t>
      </w:r>
      <w:r w:rsidRPr="0096524F">
        <w:t xml:space="preserve"> </w:t>
      </w:r>
      <w:r w:rsidRPr="0096524F">
        <w:t>Convention Connection, Inc., 2002 WL 385546, at *3–4 (D.</w:t>
      </w:r>
      <w:r w:rsidRPr="0096524F">
        <w:t xml:space="preserve"> </w:t>
      </w:r>
      <w:r w:rsidRPr="0096524F">
        <w:t>Nev.</w:t>
      </w:r>
      <w:r w:rsidRPr="0096524F">
        <w:t xml:space="preserve"> </w:t>
      </w:r>
      <w:r w:rsidRPr="0096524F">
        <w:t>Jan.</w:t>
      </w:r>
      <w:r w:rsidRPr="0096524F">
        <w:t xml:space="preserve"> </w:t>
      </w:r>
      <w:r w:rsidRPr="0096524F">
        <w:t>25, 2002) (conclusory finding of dilution with only a discussion of confusion);</w:t>
      </w:r>
      <w:r w:rsidRPr="0096524F">
        <w:t xml:space="preserve"> </w:t>
      </w:r>
      <w:r w:rsidRPr="0096524F">
        <w:t>Bellsouth Corp.</w:t>
      </w:r>
      <w:r w:rsidRPr="0096524F">
        <w:t xml:space="preserve"> </w:t>
      </w:r>
      <w:r w:rsidRPr="0096524F">
        <w:t>v.</w:t>
      </w:r>
      <w:r w:rsidRPr="0096524F">
        <w:t xml:space="preserve"> </w:t>
      </w:r>
      <w:r w:rsidRPr="0096524F">
        <w:t>Internet Classifieds of Ohio, 1997 WL 33107251, at *23 (N.D.</w:t>
      </w:r>
      <w:r w:rsidRPr="0096524F">
        <w:t xml:space="preserve"> </w:t>
      </w:r>
      <w:r w:rsidRPr="0096524F">
        <w:t>Ga.</w:t>
      </w:r>
      <w:r w:rsidRPr="0096524F">
        <w:t xml:space="preserve"> </w:t>
      </w:r>
      <w:r w:rsidRPr="0096524F">
        <w:t>Nov.</w:t>
      </w:r>
      <w:r w:rsidRPr="0096524F">
        <w:t xml:space="preserve"> </w:t>
      </w:r>
      <w:r w:rsidRPr="0096524F">
        <w:t>12, 1997) (“a showing of likelihood of confusion is sufficient to demonstrate the dilution of a trademark”);</w:t>
      </w:r>
      <w:r w:rsidRPr="0096524F">
        <w:t xml:space="preserve"> </w:t>
      </w:r>
      <w:r w:rsidRPr="0096524F">
        <w:t>Blaich Assocs., Inc.</w:t>
      </w:r>
      <w:r w:rsidRPr="0096524F">
        <w:t xml:space="preserve"> </w:t>
      </w:r>
      <w:r w:rsidRPr="0096524F">
        <w:t>v.</w:t>
      </w:r>
      <w:r w:rsidRPr="0096524F">
        <w:t xml:space="preserve"> </w:t>
      </w:r>
      <w:r w:rsidRPr="0096524F">
        <w:t>Coach/Blaich Real Estate of Manhasset, Inc., 719 N.Y.S.2d 820, 822 (Sup.</w:t>
      </w:r>
      <w:r w:rsidRPr="0096524F">
        <w:t xml:space="preserve"> </w:t>
      </w:r>
      <w:r w:rsidRPr="0096524F">
        <w:t>Ct.</w:t>
      </w:r>
      <w:r w:rsidRPr="0096524F">
        <w:t xml:space="preserve"> </w:t>
      </w:r>
      <w:r w:rsidRPr="0096524F">
        <w:t>Nassau Co.</w:t>
      </w:r>
      <w:r w:rsidRPr="0096524F">
        <w:t xml:space="preserve"> </w:t>
      </w:r>
      <w:r w:rsidRPr="0096524F">
        <w:t>2000);</w:t>
      </w:r>
      <w:r w:rsidRPr="0096524F">
        <w:t xml:space="preserve"> </w:t>
      </w:r>
      <w:r w:rsidRPr="0096524F">
        <w:t>Southeastern La.</w:t>
      </w:r>
      <w:r w:rsidRPr="0096524F">
        <w:t xml:space="preserve"> </w:t>
      </w:r>
      <w:r w:rsidRPr="0096524F">
        <w:t>Entm’t v.</w:t>
      </w:r>
      <w:r w:rsidRPr="0096524F">
        <w:t xml:space="preserve"> </w:t>
      </w:r>
      <w:r w:rsidRPr="0096524F">
        <w:t>Hollywood Entm’t Corp., 56 USPQ2d 1688, 1691 (E.D.</w:t>
      </w:r>
      <w:r w:rsidRPr="0096524F">
        <w:t xml:space="preserve"> </w:t>
      </w:r>
      <w:r w:rsidRPr="0096524F">
        <w:t>La.</w:t>
      </w:r>
      <w:r w:rsidRPr="0096524F">
        <w:t xml:space="preserve"> </w:t>
      </w:r>
      <w:r w:rsidRPr="0096524F">
        <w:t>2000) (FTDA case:</w:t>
      </w:r>
      <w:r w:rsidRPr="0096524F">
        <w:t xml:space="preserve"> </w:t>
      </w:r>
      <w:r w:rsidRPr="0096524F">
        <w:t>stipulation of confusion ends dilution inquiry);</w:t>
      </w:r>
      <w:r w:rsidRPr="0096524F">
        <w:t xml:space="preserve"> </w:t>
      </w:r>
      <w:r w:rsidRPr="0096524F">
        <w:t>Sherwood Ford, Inc.</w:t>
      </w:r>
      <w:r w:rsidRPr="0096524F">
        <w:t xml:space="preserve"> </w:t>
      </w:r>
      <w:r w:rsidRPr="0096524F">
        <w:t>v.</w:t>
      </w:r>
      <w:r w:rsidRPr="0096524F">
        <w:t xml:space="preserve"> </w:t>
      </w:r>
      <w:r w:rsidRPr="0096524F">
        <w:t>Ford Motor Co., 875 F.</w:t>
      </w:r>
      <w:r w:rsidRPr="0096524F">
        <w:t xml:space="preserve"> </w:t>
      </w:r>
      <w:r w:rsidRPr="0096524F">
        <w:t>Supp.</w:t>
      </w:r>
      <w:r w:rsidRPr="0096524F">
        <w:t xml:space="preserve"> </w:t>
      </w:r>
      <w:r w:rsidRPr="0096524F">
        <w:t>590, 594 (E.D.</w:t>
      </w:r>
      <w:r w:rsidRPr="0096524F">
        <w:t xml:space="preserve"> </w:t>
      </w:r>
      <w:r w:rsidRPr="0096524F">
        <w:t>Mo.</w:t>
      </w:r>
      <w:r w:rsidRPr="0096524F">
        <w:t xml:space="preserve"> </w:t>
      </w:r>
      <w:r w:rsidRPr="0096524F">
        <w:t>1995) (same set of facts demonstrates both confusion and dilution);</w:t>
      </w:r>
      <w:r w:rsidRPr="0096524F">
        <w:t xml:space="preserve"> </w:t>
      </w:r>
      <w:r w:rsidRPr="0096524F">
        <w:t>Philip Morris, Inc.</w:t>
      </w:r>
      <w:r w:rsidRPr="0096524F">
        <w:t xml:space="preserve"> </w:t>
      </w:r>
      <w:r w:rsidRPr="0096524F">
        <w:t>v.</w:t>
      </w:r>
      <w:r w:rsidRPr="0096524F">
        <w:t xml:space="preserve"> </w:t>
      </w:r>
      <w:r w:rsidRPr="0096524F">
        <w:t>Star Tobacco Corp., 879 F.</w:t>
      </w:r>
      <w:r w:rsidRPr="0096524F">
        <w:t xml:space="preserve"> </w:t>
      </w:r>
      <w:r w:rsidRPr="0096524F">
        <w:t>Supp.</w:t>
      </w:r>
      <w:r w:rsidRPr="0096524F">
        <w:t xml:space="preserve"> </w:t>
      </w:r>
      <w:r w:rsidRPr="0096524F">
        <w:t>379, 389, 35 USPQ2d 1178 (S.D.N.Y.</w:t>
      </w:r>
      <w:r w:rsidRPr="0096524F">
        <w:t xml:space="preserve"> </w:t>
      </w:r>
      <w:r w:rsidRPr="0096524F">
        <w:t>1995);</w:t>
      </w:r>
      <w:r w:rsidRPr="0096524F">
        <w:t xml:space="preserve"> </w:t>
      </w:r>
      <w:r w:rsidRPr="0096524F">
        <w:t>Nelson/Weather-Rite, Inc.</w:t>
      </w:r>
      <w:r w:rsidRPr="0096524F">
        <w:t xml:space="preserve"> </w:t>
      </w:r>
      <w:r w:rsidRPr="0096524F">
        <w:t>v.</w:t>
      </w:r>
      <w:r w:rsidRPr="0096524F">
        <w:t xml:space="preserve"> </w:t>
      </w:r>
      <w:r w:rsidRPr="0096524F">
        <w:t>Leatherman Tool Group, Inc., 40 USPQ2d 1239, 1244 (N.D.</w:t>
      </w:r>
      <w:r w:rsidRPr="0096524F">
        <w:t xml:space="preserve"> </w:t>
      </w:r>
      <w:r w:rsidRPr="0096524F">
        <w:t>Ill.</w:t>
      </w:r>
      <w:r w:rsidRPr="0096524F">
        <w:t xml:space="preserve"> </w:t>
      </w:r>
      <w:r w:rsidRPr="0096524F">
        <w:t>1995) (“a trade dress that is likely to confuse is necessarily one that is likely to dilute”);</w:t>
      </w:r>
      <w:r w:rsidRPr="0096524F">
        <w:t xml:space="preserve"> </w:t>
      </w:r>
      <w:r w:rsidRPr="0096524F">
        <w:t>Saks &amp; Co.</w:t>
      </w:r>
      <w:r w:rsidRPr="0096524F">
        <w:t xml:space="preserve"> </w:t>
      </w:r>
      <w:r w:rsidRPr="0096524F">
        <w:t>v.</w:t>
      </w:r>
      <w:r w:rsidRPr="0096524F">
        <w:t xml:space="preserve"> </w:t>
      </w:r>
      <w:r w:rsidRPr="0096524F">
        <w:t>Hill, 843 F.</w:t>
      </w:r>
      <w:r w:rsidRPr="0096524F">
        <w:t xml:space="preserve"> </w:t>
      </w:r>
      <w:r w:rsidRPr="0096524F">
        <w:t>Supp.</w:t>
      </w:r>
      <w:r w:rsidRPr="0096524F">
        <w:t xml:space="preserve"> </w:t>
      </w:r>
      <w:r w:rsidRPr="0096524F">
        <w:t>620, 624, 29 USPQ2d 1941 (S.D.</w:t>
      </w:r>
      <w:r w:rsidRPr="0096524F">
        <w:t xml:space="preserve"> </w:t>
      </w:r>
      <w:r w:rsidRPr="0096524F">
        <w:t>Cal.</w:t>
      </w:r>
      <w:r w:rsidRPr="0096524F">
        <w:t xml:space="preserve"> </w:t>
      </w:r>
      <w:r w:rsidRPr="0096524F">
        <w:t>1993);</w:t>
      </w:r>
      <w:r w:rsidRPr="0096524F">
        <w:t xml:space="preserve"> </w:t>
      </w:r>
      <w:r w:rsidRPr="0096524F">
        <w:t>Emerson Elec.</w:t>
      </w:r>
      <w:r w:rsidRPr="0096524F">
        <w:t xml:space="preserve"> </w:t>
      </w:r>
      <w:r w:rsidRPr="0096524F">
        <w:t>Co.</w:t>
      </w:r>
      <w:r w:rsidRPr="0096524F">
        <w:t xml:space="preserve"> </w:t>
      </w:r>
      <w:r w:rsidRPr="0096524F">
        <w:t>v.</w:t>
      </w:r>
      <w:r w:rsidRPr="0096524F">
        <w:t xml:space="preserve"> </w:t>
      </w:r>
      <w:r w:rsidRPr="0096524F">
        <w:t>Emerson Quiet Kool Corp., 577 F.</w:t>
      </w:r>
      <w:r w:rsidRPr="0096524F">
        <w:t xml:space="preserve"> </w:t>
      </w:r>
      <w:r w:rsidRPr="0096524F">
        <w:t>Supp.</w:t>
      </w:r>
      <w:r w:rsidRPr="0096524F">
        <w:t xml:space="preserve"> </w:t>
      </w:r>
      <w:r w:rsidRPr="0096524F">
        <w:t>668, 679, 221 USPQ 782 (E.D.</w:t>
      </w:r>
      <w:r w:rsidRPr="0096524F">
        <w:t xml:space="preserve"> </w:t>
      </w:r>
      <w:r w:rsidRPr="0096524F">
        <w:t>Mo.</w:t>
      </w:r>
      <w:r w:rsidRPr="0096524F">
        <w:t xml:space="preserve"> </w:t>
      </w:r>
      <w:r w:rsidRPr="0096524F">
        <w:t>1983) (confusion constitutes dilution);</w:t>
      </w:r>
      <w:r w:rsidRPr="0096524F">
        <w:t xml:space="preserve"> </w:t>
      </w:r>
      <w:r w:rsidRPr="0096524F">
        <w:t>Tri-Star Pictures, Inc.</w:t>
      </w:r>
      <w:r w:rsidRPr="0096524F">
        <w:t xml:space="preserve"> </w:t>
      </w:r>
      <w:r w:rsidRPr="0096524F">
        <w:t>v.</w:t>
      </w:r>
      <w:r w:rsidRPr="0096524F">
        <w:t xml:space="preserve"> </w:t>
      </w:r>
      <w:r w:rsidRPr="0096524F">
        <w:t>Unger, 14 F.</w:t>
      </w:r>
      <w:r w:rsidRPr="0096524F">
        <w:t xml:space="preserve"> </w:t>
      </w:r>
      <w:r w:rsidRPr="0096524F">
        <w:t>Supp.</w:t>
      </w:r>
      <w:r w:rsidRPr="0096524F">
        <w:t xml:space="preserve"> </w:t>
      </w:r>
      <w:r w:rsidRPr="0096524F">
        <w:t>2d 339, 363 (S.D.N.Y.</w:t>
      </w:r>
      <w:r w:rsidRPr="0096524F">
        <w:t xml:space="preserve"> </w:t>
      </w:r>
      <w:r w:rsidRPr="0096524F">
        <w:t>1998);</w:t>
      </w:r>
      <w:r w:rsidRPr="0096524F">
        <w:t xml:space="preserve"> </w:t>
      </w:r>
      <w:r w:rsidRPr="0096524F">
        <w:t>Babbit Elecs., Inc.</w:t>
      </w:r>
      <w:r w:rsidRPr="0096524F">
        <w:t xml:space="preserve"> </w:t>
      </w:r>
      <w:r w:rsidRPr="0096524F">
        <w:t>v.</w:t>
      </w:r>
      <w:r w:rsidRPr="0096524F">
        <w:t xml:space="preserve"> </w:t>
      </w:r>
      <w:r w:rsidRPr="0096524F">
        <w:t>Dynascan Corp., 38 F.3d 1161, 1182, 33 USPQ2d 1001 (11th Cir.</w:t>
      </w:r>
      <w:r w:rsidRPr="0096524F">
        <w:t xml:space="preserve"> </w:t>
      </w:r>
      <w:r w:rsidRPr="0096524F">
        <w:t>1994);</w:t>
      </w:r>
      <w:r w:rsidRPr="0096524F">
        <w:t xml:space="preserve"> </w:t>
      </w:r>
      <w:r w:rsidRPr="0096524F">
        <w:t>Lane Capital Mgmt., Inc.</w:t>
      </w:r>
      <w:r w:rsidRPr="0096524F">
        <w:t xml:space="preserve"> </w:t>
      </w:r>
      <w:r w:rsidRPr="0096524F">
        <w:t>v.</w:t>
      </w:r>
      <w:r w:rsidRPr="0096524F">
        <w:t xml:space="preserve"> </w:t>
      </w:r>
      <w:r w:rsidRPr="0096524F">
        <w:t>Lane Capital Mgmt., Inc., 15 F.</w:t>
      </w:r>
      <w:r w:rsidRPr="0096524F">
        <w:t xml:space="preserve"> </w:t>
      </w:r>
      <w:r w:rsidRPr="0096524F">
        <w:t>Supp.</w:t>
      </w:r>
      <w:r w:rsidRPr="0096524F">
        <w:t xml:space="preserve"> </w:t>
      </w:r>
      <w:r w:rsidRPr="0096524F">
        <w:t>2d 389, 400 (S.D.N.Y.</w:t>
      </w:r>
      <w:r w:rsidRPr="0096524F">
        <w:t xml:space="preserve"> </w:t>
      </w:r>
      <w:r w:rsidRPr="0096524F">
        <w:t xml:space="preserve">1998), </w:t>
      </w:r>
      <w:r w:rsidRPr="0096524F">
        <w:rPr>
          <w:i/>
        </w:rPr>
        <w:t>aff’d,</w:t>
      </w:r>
      <w:r w:rsidRPr="0096524F">
        <w:t xml:space="preserve"> 192 F.3d 337, 52 USPQ2d 1094 (2d Cir.</w:t>
      </w:r>
      <w:r w:rsidRPr="0096524F">
        <w:t xml:space="preserve"> </w:t>
      </w:r>
      <w:r w:rsidRPr="0096524F">
        <w:t>1999);</w:t>
      </w:r>
      <w:r w:rsidRPr="0096524F">
        <w:t xml:space="preserve"> </w:t>
      </w:r>
      <w:r w:rsidRPr="0096524F">
        <w:t>Kraft Gen.</w:t>
      </w:r>
      <w:r w:rsidRPr="0096524F">
        <w:t xml:space="preserve"> </w:t>
      </w:r>
      <w:r w:rsidRPr="0096524F">
        <w:t>Foods, Inc.</w:t>
      </w:r>
      <w:r w:rsidRPr="0096524F">
        <w:t xml:space="preserve"> </w:t>
      </w:r>
      <w:r w:rsidRPr="0096524F">
        <w:t>v.</w:t>
      </w:r>
      <w:r w:rsidRPr="0096524F">
        <w:t xml:space="preserve"> </w:t>
      </w:r>
      <w:r w:rsidRPr="0096524F">
        <w:t>Allied Old English, Inc., 831 F.</w:t>
      </w:r>
      <w:r w:rsidRPr="0096524F">
        <w:t xml:space="preserve"> </w:t>
      </w:r>
      <w:r w:rsidRPr="0096524F">
        <w:t>Supp.</w:t>
      </w:r>
      <w:r w:rsidRPr="0096524F">
        <w:t xml:space="preserve"> </w:t>
      </w:r>
      <w:r w:rsidRPr="0096524F">
        <w:t>123, 134 (S.D.N.Y.</w:t>
      </w:r>
      <w:r w:rsidRPr="0096524F">
        <w:t xml:space="preserve"> </w:t>
      </w:r>
      <w:r w:rsidRPr="0096524F">
        <w:t>1993);</w:t>
      </w:r>
      <w:r w:rsidRPr="0096524F">
        <w:t xml:space="preserve"> </w:t>
      </w:r>
      <w:r w:rsidRPr="0096524F">
        <w:t>Skil Corp.</w:t>
      </w:r>
      <w:r w:rsidRPr="0096524F">
        <w:t xml:space="preserve"> </w:t>
      </w:r>
      <w:r w:rsidRPr="0096524F">
        <w:t>v.</w:t>
      </w:r>
      <w:r w:rsidRPr="0096524F">
        <w:t xml:space="preserve"> </w:t>
      </w:r>
      <w:r w:rsidRPr="0096524F">
        <w:t>Barnet, 150 N.E.2d 551, 555, 117 USPQ 461 (Sup.</w:t>
      </w:r>
      <w:r w:rsidRPr="0096524F">
        <w:t xml:space="preserve"> </w:t>
      </w:r>
      <w:r w:rsidRPr="0096524F">
        <w:t>Jud.</w:t>
      </w:r>
      <w:r w:rsidRPr="0096524F">
        <w:t xml:space="preserve"> </w:t>
      </w:r>
      <w:r w:rsidRPr="0096524F">
        <w:t>Ct.</w:t>
      </w:r>
      <w:r w:rsidRPr="0096524F">
        <w:t xml:space="preserve"> </w:t>
      </w:r>
      <w:r w:rsidRPr="0096524F">
        <w:t>Mass.</w:t>
      </w:r>
      <w:r w:rsidRPr="0096524F">
        <w:t xml:space="preserve"> </w:t>
      </w:r>
      <w:r w:rsidRPr="0096524F">
        <w:t>1958) (“any possibility that the defendant may confuse the public as to the source of the goods sold by him may be given consideration”).</w:t>
      </w:r>
      <w:r w:rsidRPr="0096524F">
        <w:t xml:space="preserve"> </w:t>
      </w:r>
      <w:r w:rsidRPr="0096524F">
        <w:rPr>
          <w:i/>
        </w:rPr>
        <w:t>See also</w:t>
      </w:r>
      <w:r w:rsidRPr="0096524F">
        <w:t xml:space="preserve"> Planetary Motion, Inc.</w:t>
      </w:r>
      <w:r w:rsidRPr="0096524F">
        <w:t xml:space="preserve"> </w:t>
      </w:r>
      <w:r w:rsidRPr="0096524F">
        <w:t>v.</w:t>
      </w:r>
      <w:r w:rsidRPr="0096524F">
        <w:t xml:space="preserve"> </w:t>
      </w:r>
      <w:r w:rsidRPr="0096524F">
        <w:t>Techsplosion Inc., 261 F.3d 1188, 59 USPQ2d 1894 (11th Cir.</w:t>
      </w:r>
      <w:r w:rsidRPr="0096524F">
        <w:t xml:space="preserve"> </w:t>
      </w:r>
      <w:r w:rsidRPr="0096524F">
        <w:t>2001) (district court enjoined dilution under Florida law and the court of appeals apparently affirmed a dilution injunction, though discussed only confusion).</w:t>
      </w:r>
      <w:r w:rsidRPr="0096524F">
        <w:t xml:space="preserve"> </w:t>
      </w:r>
      <w:r w:rsidRPr="0096524F">
        <w:rPr>
          <w:i/>
        </w:rPr>
        <w:t>See</w:t>
      </w:r>
      <w:r w:rsidRPr="0096524F">
        <w:t xml:space="preserve"> New York City Triathlon, LLC v.</w:t>
      </w:r>
      <w:r w:rsidRPr="0096524F">
        <w:t xml:space="preserve"> </w:t>
      </w:r>
      <w:r w:rsidRPr="0096524F">
        <w:t>NYC Triathlon Club, Inc., 704 F.</w:t>
      </w:r>
      <w:r w:rsidRPr="0096524F">
        <w:t xml:space="preserve"> </w:t>
      </w:r>
      <w:r w:rsidRPr="0096524F">
        <w:t>Supp.</w:t>
      </w:r>
      <w:r w:rsidRPr="0096524F">
        <w:t xml:space="preserve"> </w:t>
      </w:r>
      <w:r w:rsidRPr="0096524F">
        <w:t>2d 305, 323, 95 USPQ2d 1451 (S.D.N.Y.</w:t>
      </w:r>
      <w:r w:rsidRPr="0096524F">
        <w:t xml:space="preserve"> </w:t>
      </w:r>
      <w:r w:rsidRPr="0096524F">
        <w:t>2010) (referring to consumer’s “mistaken association” of defendant’s mark with plaintiff’s mark);</w:t>
      </w:r>
      <w:r w:rsidRPr="0096524F">
        <w:t xml:space="preserve"> </w:t>
      </w:r>
      <w:r w:rsidRPr="0096524F">
        <w:t>NeoDevices, Inc.</w:t>
      </w:r>
      <w:r w:rsidRPr="0096524F">
        <w:t xml:space="preserve"> </w:t>
      </w:r>
      <w:r w:rsidRPr="0096524F">
        <w:t>v.</w:t>
      </w:r>
      <w:r w:rsidRPr="0096524F">
        <w:t xml:space="preserve"> </w:t>
      </w:r>
      <w:r w:rsidRPr="0096524F">
        <w:t>NeoMed, Inc., 2009 WL 689881, at *5 (D.N.H.</w:t>
      </w:r>
      <w:r w:rsidRPr="0096524F">
        <w:t xml:space="preserve"> </w:t>
      </w:r>
      <w:r w:rsidRPr="0096524F">
        <w:t>Mar.</w:t>
      </w:r>
      <w:r w:rsidRPr="0096524F">
        <w:t xml:space="preserve"> </w:t>
      </w:r>
      <w:r w:rsidRPr="0096524F">
        <w:t>12, 2009) (denying personal jurisdiction, the court apparently equates confusion with dilution under New Hampshire law).</w:t>
      </w:r>
      <w:r w:rsidRPr="0096524F">
        <w:t xml:space="preserve"> </w:t>
      </w:r>
      <w:r w:rsidRPr="0096524F">
        <w:rPr>
          <w:i/>
        </w:rPr>
        <w:t>But see</w:t>
      </w:r>
      <w:r w:rsidRPr="0096524F">
        <w:t xml:space="preserve"> Star Markets, Ltd.</w:t>
      </w:r>
      <w:r w:rsidRPr="0096524F">
        <w:t xml:space="preserve"> </w:t>
      </w:r>
      <w:r w:rsidRPr="0096524F">
        <w:t>v.</w:t>
      </w:r>
      <w:r w:rsidRPr="0096524F">
        <w:t xml:space="preserve"> </w:t>
      </w:r>
      <w:r w:rsidRPr="0096524F">
        <w:t>Texaco, Inc., 950 F.</w:t>
      </w:r>
      <w:r w:rsidRPr="0096524F">
        <w:t xml:space="preserve"> </w:t>
      </w:r>
      <w:r w:rsidRPr="0096524F">
        <w:t>Supp.</w:t>
      </w:r>
      <w:r w:rsidRPr="0096524F">
        <w:t xml:space="preserve"> </w:t>
      </w:r>
      <w:r w:rsidRPr="0096524F">
        <w:t>1030, 1037 (D.</w:t>
      </w:r>
      <w:r w:rsidRPr="0096524F">
        <w:t xml:space="preserve"> </w:t>
      </w:r>
      <w:r w:rsidRPr="0096524F">
        <w:t>Haw.</w:t>
      </w:r>
      <w:r w:rsidRPr="0096524F">
        <w:t xml:space="preserve"> </w:t>
      </w:r>
      <w:r w:rsidRPr="0096524F">
        <w:t>1996) (“a finding of trademark dilution does not necessarily flow from a finding of trademark infringement”);</w:t>
      </w:r>
      <w:r w:rsidRPr="0096524F">
        <w:t xml:space="preserve"> </w:t>
      </w:r>
      <w:r w:rsidRPr="0096524F">
        <w:t>Louis Vuitton Malletier v.</w:t>
      </w:r>
      <w:r w:rsidRPr="0096524F">
        <w:t xml:space="preserve"> </w:t>
      </w:r>
      <w:r w:rsidRPr="0096524F">
        <w:t>Dooney &amp; Bourke, Inc., 525 F.</w:t>
      </w:r>
      <w:r w:rsidRPr="0096524F">
        <w:t xml:space="preserve"> </w:t>
      </w:r>
      <w:r w:rsidRPr="0096524F">
        <w:t>Supp.</w:t>
      </w:r>
      <w:r w:rsidRPr="0096524F">
        <w:t xml:space="preserve"> </w:t>
      </w:r>
      <w:r w:rsidRPr="0096524F">
        <w:t>2d 558, 597 (S.D.N.Y.</w:t>
      </w:r>
      <w:r w:rsidRPr="0096524F">
        <w:t xml:space="preserve"> </w:t>
      </w:r>
      <w:r w:rsidRPr="0096524F">
        <w:t>2007) (rejecting a survey on the grounds that it showed confusion but not blurring).</w:t>
      </w:r>
    </w:p>
  </w:footnote>
  <w:footnote w:id="593">
    <w:p w14:paraId="1AABFAFC" w14:textId="73310175" w:rsidR="0096524F" w:rsidRPr="00882ED4" w:rsidRDefault="0096524F" w:rsidP="0096524F">
      <w:pPr>
        <w:pStyle w:val="FootnoteText"/>
        <w:rPr>
          <w:lang w:val="es-US"/>
        </w:rPr>
      </w:pPr>
      <w:r w:rsidRPr="0096524F">
        <w:rPr>
          <w:vertAlign w:val="superscript"/>
        </w:rPr>
        <w:footnoteRef/>
      </w:r>
      <w:r w:rsidRPr="0096524F">
        <w:t>191 F.3d 208, 51 USPQ2d 1882 (2d Cir.</w:t>
      </w:r>
      <w:r w:rsidRPr="0096524F">
        <w:t xml:space="preserve"> </w:t>
      </w:r>
      <w:r w:rsidRPr="0096524F">
        <w:t>1999).</w:t>
      </w:r>
    </w:p>
  </w:footnote>
  <w:footnote w:id="594">
    <w:p w14:paraId="127A94A0" w14:textId="5C4ABA2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219.</w:t>
      </w:r>
    </w:p>
  </w:footnote>
  <w:footnote w:id="595">
    <w:p w14:paraId="1A1C2065" w14:textId="39D5192E" w:rsidR="0096524F" w:rsidRPr="00EB11B3" w:rsidRDefault="0096524F" w:rsidP="0096524F">
      <w:pPr>
        <w:pStyle w:val="FootnoteText"/>
      </w:pPr>
      <w:r w:rsidRPr="0096524F">
        <w:rPr>
          <w:vertAlign w:val="superscript"/>
        </w:rPr>
        <w:footnoteRef/>
      </w:r>
      <w:r w:rsidRPr="0096524F">
        <w:t>New York State Soc’y of Certified Pub.</w:t>
      </w:r>
      <w:r w:rsidRPr="0096524F">
        <w:t xml:space="preserve"> </w:t>
      </w:r>
      <w:r w:rsidRPr="0096524F">
        <w:t>Accountants v.</w:t>
      </w:r>
      <w:r w:rsidRPr="0096524F">
        <w:t xml:space="preserve"> </w:t>
      </w:r>
      <w:r w:rsidRPr="0096524F">
        <w:t>Eric Louis Assocs., Inc., 79 F.</w:t>
      </w:r>
      <w:r w:rsidRPr="0096524F">
        <w:t xml:space="preserve"> </w:t>
      </w:r>
      <w:r w:rsidRPr="0096524F">
        <w:t>Supp.</w:t>
      </w:r>
      <w:r w:rsidRPr="0096524F">
        <w:t xml:space="preserve"> </w:t>
      </w:r>
      <w:r w:rsidRPr="0096524F">
        <w:t>2d 331, 345–46 (S.D.N.Y.</w:t>
      </w:r>
      <w:r w:rsidRPr="0096524F">
        <w:t xml:space="preserve"> </w:t>
      </w:r>
      <w:r w:rsidRPr="0096524F">
        <w:t>1999).</w:t>
      </w:r>
      <w:r w:rsidRPr="0096524F">
        <w:t xml:space="preserve"> </w:t>
      </w:r>
      <w:r w:rsidRPr="0096524F">
        <w:rPr>
          <w:i/>
        </w:rPr>
        <w:t>Accord</w:t>
      </w:r>
      <w:r w:rsidRPr="0096524F">
        <w:t xml:space="preserve"> OBH, Inc.</w:t>
      </w:r>
      <w:r w:rsidRPr="0096524F">
        <w:t xml:space="preserve"> </w:t>
      </w:r>
      <w:r w:rsidRPr="0096524F">
        <w:t>v.</w:t>
      </w:r>
      <w:r w:rsidRPr="0096524F">
        <w:t xml:space="preserve"> </w:t>
      </w:r>
      <w:r w:rsidRPr="0096524F">
        <w:t>Spotlight Magazine, Inc., 86 F.</w:t>
      </w:r>
      <w:r w:rsidRPr="0096524F">
        <w:t xml:space="preserve"> </w:t>
      </w:r>
      <w:r w:rsidRPr="0096524F">
        <w:t>Supp.</w:t>
      </w:r>
      <w:r w:rsidRPr="0096524F">
        <w:t xml:space="preserve"> </w:t>
      </w:r>
      <w:r w:rsidRPr="0096524F">
        <w:t>2d 176, 195, 54 USPQ2d 1383 (W.D.N.Y.</w:t>
      </w:r>
      <w:r w:rsidRPr="0096524F">
        <w:t xml:space="preserve"> </w:t>
      </w:r>
      <w:r w:rsidRPr="0096524F">
        <w:t>2000).</w:t>
      </w:r>
    </w:p>
  </w:footnote>
  <w:footnote w:id="596">
    <w:p w14:paraId="166351C0" w14:textId="18B61720"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DS Waters of Am., Inc.</w:t>
      </w:r>
      <w:r w:rsidRPr="0096524F">
        <w:t xml:space="preserve"> </w:t>
      </w:r>
      <w:r w:rsidRPr="0096524F">
        <w:t>v.</w:t>
      </w:r>
      <w:r w:rsidRPr="0096524F">
        <w:t xml:space="preserve"> </w:t>
      </w:r>
      <w:r w:rsidRPr="0096524F">
        <w:t>Princess Abita Water, LLC, 539 F.</w:t>
      </w:r>
      <w:r w:rsidRPr="0096524F">
        <w:t xml:space="preserve"> </w:t>
      </w:r>
      <w:r w:rsidRPr="0096524F">
        <w:t>Supp.</w:t>
      </w:r>
      <w:r w:rsidRPr="0096524F">
        <w:t xml:space="preserve"> </w:t>
      </w:r>
      <w:r w:rsidRPr="0096524F">
        <w:t>2d 853, 861 n.7 (E.D.</w:t>
      </w:r>
      <w:r w:rsidRPr="0096524F">
        <w:t xml:space="preserve"> </w:t>
      </w:r>
      <w:r w:rsidRPr="0096524F">
        <w:t>La.</w:t>
      </w:r>
      <w:r w:rsidRPr="0096524F">
        <w:t xml:space="preserve"> </w:t>
      </w:r>
      <w:r w:rsidRPr="0096524F">
        <w:t>2008);</w:t>
      </w:r>
      <w:r w:rsidRPr="0096524F">
        <w:t xml:space="preserve"> </w:t>
      </w:r>
      <w:r w:rsidRPr="0096524F">
        <w:t>Klayman v.</w:t>
      </w:r>
      <w:r w:rsidRPr="0096524F">
        <w:t xml:space="preserve"> </w:t>
      </w:r>
      <w:r w:rsidRPr="0096524F">
        <w:t>Freedom Watch, Inc., 2007 U.S.</w:t>
      </w:r>
      <w:r w:rsidRPr="0096524F">
        <w:t xml:space="preserve"> </w:t>
      </w:r>
      <w:r w:rsidRPr="0096524F">
        <w:t>Dist.</w:t>
      </w:r>
      <w:r w:rsidRPr="0096524F">
        <w:t xml:space="preserve"> </w:t>
      </w:r>
      <w:r w:rsidRPr="0096524F">
        <w:t>LEXIS 83653, at *15 (S.D.</w:t>
      </w:r>
      <w:r w:rsidRPr="0096524F">
        <w:t xml:space="preserve"> </w:t>
      </w:r>
      <w:r w:rsidRPr="0096524F">
        <w:t>Fla.</w:t>
      </w:r>
      <w:r w:rsidRPr="0096524F">
        <w:t xml:space="preserve"> </w:t>
      </w:r>
      <w:r w:rsidRPr="0096524F">
        <w:t>2007);</w:t>
      </w:r>
      <w:r w:rsidRPr="0096524F">
        <w:t xml:space="preserve"> </w:t>
      </w:r>
      <w:r w:rsidRPr="0096524F">
        <w:t>AutoZone, Inc.</w:t>
      </w:r>
      <w:r w:rsidRPr="0096524F">
        <w:t xml:space="preserve"> </w:t>
      </w:r>
      <w:r w:rsidRPr="0096524F">
        <w:t>v.</w:t>
      </w:r>
      <w:r w:rsidRPr="0096524F">
        <w:t xml:space="preserve"> </w:t>
      </w:r>
      <w:r w:rsidRPr="0096524F">
        <w:t>Tandy Corp., 174 F.</w:t>
      </w:r>
      <w:r w:rsidRPr="0096524F">
        <w:t xml:space="preserve"> </w:t>
      </w:r>
      <w:r w:rsidRPr="0096524F">
        <w:t>Supp.</w:t>
      </w:r>
      <w:r w:rsidRPr="0096524F">
        <w:t xml:space="preserve"> </w:t>
      </w:r>
      <w:r w:rsidRPr="0096524F">
        <w:t>2d 718, 736–37 (M.D.</w:t>
      </w:r>
      <w:r w:rsidRPr="0096524F">
        <w:t xml:space="preserve"> </w:t>
      </w:r>
      <w:r w:rsidRPr="0096524F">
        <w:t>Tenn.</w:t>
      </w:r>
      <w:r w:rsidRPr="0096524F">
        <w:t xml:space="preserve"> </w:t>
      </w:r>
      <w:r w:rsidRPr="0096524F">
        <w:t xml:space="preserve">2001), </w:t>
      </w:r>
      <w:r w:rsidRPr="0096524F">
        <w:rPr>
          <w:i/>
        </w:rPr>
        <w:t>aff’d on other grounds</w:t>
      </w:r>
      <w:r w:rsidRPr="0096524F">
        <w:t>, 373 F.3d 786, 71 USPQ2d 1385 (6th Cir.</w:t>
      </w:r>
      <w:r w:rsidRPr="0096524F">
        <w:t xml:space="preserve"> </w:t>
      </w:r>
      <w:r w:rsidRPr="0096524F">
        <w:t>2004) (the Sixth Circuit found confusion to be “irrelevant” to dilution);</w:t>
      </w:r>
      <w:r w:rsidRPr="0096524F">
        <w:t xml:space="preserve"> </w:t>
      </w:r>
      <w:r w:rsidRPr="0096524F">
        <w:t>Ford Motor Co.</w:t>
      </w:r>
      <w:r w:rsidRPr="0096524F">
        <w:t xml:space="preserve"> </w:t>
      </w:r>
      <w:r w:rsidRPr="0096524F">
        <w:t>v.</w:t>
      </w:r>
      <w:r w:rsidRPr="0096524F">
        <w:t xml:space="preserve"> </w:t>
      </w:r>
      <w:r w:rsidRPr="0096524F">
        <w:t>Lloyd Design Corp., 184 F.</w:t>
      </w:r>
      <w:r w:rsidRPr="0096524F">
        <w:t xml:space="preserve"> </w:t>
      </w:r>
      <w:r w:rsidRPr="0096524F">
        <w:t>Supp.</w:t>
      </w:r>
      <w:r w:rsidRPr="0096524F">
        <w:t xml:space="preserve"> </w:t>
      </w:r>
      <w:r w:rsidRPr="0096524F">
        <w:t>2d 665, 681, 62 USPQ2d 1109 (E.D.</w:t>
      </w:r>
      <w:r w:rsidRPr="0096524F">
        <w:t xml:space="preserve"> </w:t>
      </w:r>
      <w:r w:rsidRPr="0096524F">
        <w:t>Mich.</w:t>
      </w:r>
      <w:r w:rsidRPr="0096524F">
        <w:t xml:space="preserve"> </w:t>
      </w:r>
      <w:r w:rsidRPr="0096524F">
        <w:t>2002);</w:t>
      </w:r>
      <w:r w:rsidRPr="0096524F">
        <w:t xml:space="preserve"> </w:t>
      </w:r>
      <w:r w:rsidRPr="0096524F">
        <w:t>Deborah Heart &amp; Lung Ctr.</w:t>
      </w:r>
      <w:r w:rsidRPr="0096524F">
        <w:t xml:space="preserve"> </w:t>
      </w:r>
      <w:r w:rsidRPr="0096524F">
        <w:t>v.</w:t>
      </w:r>
      <w:r w:rsidRPr="0096524F">
        <w:t xml:space="preserve"> </w:t>
      </w:r>
      <w:r w:rsidRPr="0096524F">
        <w:t>Children of the World Found., Ltd., 99 F.</w:t>
      </w:r>
      <w:r w:rsidRPr="0096524F">
        <w:t xml:space="preserve"> </w:t>
      </w:r>
      <w:r w:rsidRPr="0096524F">
        <w:t>Supp.</w:t>
      </w:r>
      <w:r w:rsidRPr="0096524F">
        <w:t xml:space="preserve"> </w:t>
      </w:r>
      <w:r w:rsidRPr="0096524F">
        <w:t>2d 481, 493, 55 USPQ2d 1088 (D.N.J.</w:t>
      </w:r>
      <w:r w:rsidRPr="0096524F">
        <w:t xml:space="preserve"> </w:t>
      </w:r>
      <w:r w:rsidRPr="0096524F">
        <w:t>2000) (use of a “confusingly similar mark for essentially the same services” would cause dilution).</w:t>
      </w:r>
      <w:r w:rsidRPr="0096524F">
        <w:t xml:space="preserve"> </w:t>
      </w:r>
      <w:r w:rsidRPr="0096524F">
        <w:t>On rare occasions, a court may still erroneously assert that confusion is an element of dilution.</w:t>
      </w:r>
      <w:r w:rsidRPr="0096524F">
        <w:t xml:space="preserve"> </w:t>
      </w:r>
      <w:r w:rsidRPr="0096524F">
        <w:rPr>
          <w:i/>
        </w:rPr>
        <w:t>E.g.</w:t>
      </w:r>
      <w:r w:rsidRPr="0096524F">
        <w:t>, You Fit, Inc.</w:t>
      </w:r>
      <w:r w:rsidRPr="0096524F">
        <w:t xml:space="preserve"> </w:t>
      </w:r>
      <w:r w:rsidRPr="0096524F">
        <w:t>v.</w:t>
      </w:r>
      <w:r w:rsidRPr="0096524F">
        <w:t xml:space="preserve"> </w:t>
      </w:r>
      <w:r w:rsidRPr="0096524F">
        <w:t>Pleasanton Fitness, LLC, 2013 U.S.</w:t>
      </w:r>
      <w:r w:rsidRPr="0096524F">
        <w:t xml:space="preserve"> </w:t>
      </w:r>
      <w:r w:rsidRPr="0096524F">
        <w:t>Dist.</w:t>
      </w:r>
      <w:r w:rsidRPr="0096524F">
        <w:t xml:space="preserve"> </w:t>
      </w:r>
      <w:r w:rsidRPr="0096524F">
        <w:t>LEXIS 18106, at *4 (M.D.</w:t>
      </w:r>
      <w:r w:rsidRPr="0096524F">
        <w:t xml:space="preserve"> </w:t>
      </w:r>
      <w:r w:rsidRPr="0096524F">
        <w:t>Fla.</w:t>
      </w:r>
      <w:r w:rsidRPr="0096524F">
        <w:t xml:space="preserve"> </w:t>
      </w:r>
      <w:r w:rsidRPr="0096524F">
        <w:t>Feb.</w:t>
      </w:r>
      <w:r w:rsidRPr="0096524F">
        <w:t xml:space="preserve"> </w:t>
      </w:r>
      <w:r w:rsidRPr="0096524F">
        <w:t>8, 2013) (apparently misreading an Eleventh Circuit case).</w:t>
      </w:r>
    </w:p>
  </w:footnote>
  <w:footnote w:id="597">
    <w:p w14:paraId="30CAD414" w14:textId="23E7C491" w:rsidR="0096524F" w:rsidRPr="00EB11B3" w:rsidRDefault="0096524F" w:rsidP="0096524F">
      <w:pPr>
        <w:pStyle w:val="FootnoteText"/>
      </w:pPr>
      <w:r w:rsidRPr="0096524F">
        <w:rPr>
          <w:vertAlign w:val="superscript"/>
        </w:rPr>
        <w:footnoteRef/>
      </w:r>
      <w:r w:rsidRPr="0096524F">
        <w:t>Bell v.</w:t>
      </w:r>
      <w:r w:rsidRPr="0096524F">
        <w:t xml:space="preserve"> </w:t>
      </w:r>
      <w:r w:rsidRPr="0096524F">
        <w:t>Starbucks U.S.</w:t>
      </w:r>
      <w:r w:rsidRPr="0096524F">
        <w:t xml:space="preserve"> </w:t>
      </w:r>
      <w:r w:rsidRPr="0096524F">
        <w:t>Brands Corp., 205 F.</w:t>
      </w:r>
      <w:r w:rsidRPr="0096524F">
        <w:t xml:space="preserve"> </w:t>
      </w:r>
      <w:r w:rsidRPr="0096524F">
        <w:t>App’x.</w:t>
      </w:r>
      <w:r w:rsidRPr="0096524F">
        <w:t xml:space="preserve"> </w:t>
      </w:r>
      <w:r w:rsidRPr="0096524F">
        <w:t>289 (5th Cir.</w:t>
      </w:r>
      <w:r w:rsidRPr="0096524F">
        <w:t xml:space="preserve"> </w:t>
      </w:r>
      <w:r w:rsidRPr="0096524F">
        <w:t>2006).</w:t>
      </w:r>
    </w:p>
  </w:footnote>
  <w:footnote w:id="598">
    <w:p w14:paraId="56C125E2" w14:textId="0B74C3E0" w:rsidR="0096524F" w:rsidRPr="00EB11B3" w:rsidRDefault="0096524F" w:rsidP="0096524F">
      <w:pPr>
        <w:pStyle w:val="FootnoteText"/>
      </w:pPr>
      <w:r w:rsidRPr="0096524F">
        <w:rPr>
          <w:vertAlign w:val="superscript"/>
        </w:rPr>
        <w:footnoteRef/>
      </w:r>
      <w:r w:rsidRPr="0096524F">
        <w:rPr>
          <w:i/>
        </w:rPr>
        <w:t>AutoZone</w:t>
      </w:r>
      <w:r w:rsidRPr="0096524F">
        <w:t>, 373 F.3d 786, 805, 71 USPQ2d 1385 (6th Cir.</w:t>
      </w:r>
      <w:r w:rsidRPr="0096524F">
        <w:t xml:space="preserve"> </w:t>
      </w:r>
      <w:r w:rsidRPr="0096524F">
        <w:t>2004).</w:t>
      </w:r>
      <w:r w:rsidRPr="0096524F">
        <w:t xml:space="preserve"> </w:t>
      </w:r>
      <w:r w:rsidRPr="0096524F">
        <w:rPr>
          <w:i/>
        </w:rPr>
        <w:t>See also</w:t>
      </w:r>
      <w:r w:rsidRPr="0096524F">
        <w:t xml:space="preserve"> Visa Int’l Serv.</w:t>
      </w:r>
      <w:r w:rsidRPr="0096524F">
        <w:t xml:space="preserve"> </w:t>
      </w:r>
      <w:r w:rsidRPr="0096524F">
        <w:t>Ass’n v.</w:t>
      </w:r>
      <w:r w:rsidRPr="0096524F">
        <w:t xml:space="preserve"> </w:t>
      </w:r>
      <w:r w:rsidRPr="0096524F">
        <w:t>JSL Corp., 610 F.3d 1088, 1092, 95 USPQ2d 1571 (9th Cir.</w:t>
      </w:r>
      <w:r w:rsidRPr="0096524F">
        <w:t xml:space="preserve"> </w:t>
      </w:r>
      <w:r w:rsidRPr="0096524F">
        <w:t>2010) (“the injury addressed by anti-dilution law in fact occurs when marks are placed in new and different contexts, thereby weakening the mark’s ability to bring to mind the plaintiff’s goods or services”).</w:t>
      </w:r>
    </w:p>
  </w:footnote>
  <w:footnote w:id="599">
    <w:p w14:paraId="49789260" w14:textId="1D52E4A3" w:rsidR="0096524F" w:rsidRPr="0096524F" w:rsidRDefault="0096524F" w:rsidP="0096524F">
      <w:pPr>
        <w:pStyle w:val="FootnoteText"/>
      </w:pPr>
      <w:r w:rsidRPr="0096524F">
        <w:rPr>
          <w:vertAlign w:val="superscript"/>
        </w:rPr>
        <w:footnoteRef/>
      </w:r>
      <w:r w:rsidRPr="0096524F">
        <w:t>2012 WL 2571332 (N.D.</w:t>
      </w:r>
      <w:r w:rsidRPr="0096524F">
        <w:t xml:space="preserve"> </w:t>
      </w:r>
      <w:r w:rsidRPr="0096524F">
        <w:t>Cal.</w:t>
      </w:r>
      <w:r w:rsidRPr="0096524F">
        <w:t xml:space="preserve"> </w:t>
      </w:r>
      <w:r w:rsidRPr="0096524F">
        <w:t>June 30, 2012).</w:t>
      </w:r>
    </w:p>
    <w:p w14:paraId="319443DE" w14:textId="77777777" w:rsidR="0096524F" w:rsidRDefault="0096524F" w:rsidP="00D758BD">
      <w:pPr>
        <w:pStyle w:val="footnote"/>
      </w:pPr>
    </w:p>
  </w:footnote>
  <w:footnote w:id="600">
    <w:p w14:paraId="3318C86A" w14:textId="198B1DCD"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*4.</w:t>
      </w:r>
    </w:p>
    <w:p w14:paraId="58CD6911" w14:textId="77777777" w:rsidR="0096524F" w:rsidRDefault="0096524F" w:rsidP="00D758BD">
      <w:pPr>
        <w:pStyle w:val="footnote"/>
      </w:pPr>
    </w:p>
  </w:footnote>
  <w:footnote w:id="601">
    <w:p w14:paraId="0008D8B6" w14:textId="09030882" w:rsidR="0096524F" w:rsidRPr="00EB11B3" w:rsidRDefault="0096524F" w:rsidP="0096524F">
      <w:pPr>
        <w:pStyle w:val="FootnoteText"/>
      </w:pPr>
      <w:r w:rsidRPr="0096524F">
        <w:rPr>
          <w:vertAlign w:val="superscript"/>
        </w:rPr>
        <w:footnoteRef/>
      </w:r>
      <w:r w:rsidRPr="0096524F">
        <w:rPr>
          <w:i/>
        </w:rPr>
        <w:t>See</w:t>
      </w:r>
      <w:r w:rsidRPr="0096524F">
        <w:t xml:space="preserve"> Chapter 3, §I.C.</w:t>
      </w:r>
    </w:p>
  </w:footnote>
  <w:footnote w:id="602">
    <w:p w14:paraId="7700AD94" w14:textId="546A1E32" w:rsidR="0096524F" w:rsidRPr="00EB11B3" w:rsidRDefault="0096524F" w:rsidP="0096524F">
      <w:pPr>
        <w:pStyle w:val="FootnoteText"/>
      </w:pPr>
      <w:r w:rsidRPr="0096524F">
        <w:rPr>
          <w:vertAlign w:val="superscript"/>
        </w:rPr>
        <w:footnoteRef/>
      </w:r>
      <w:r w:rsidRPr="0096524F">
        <w:t>One court remarked that a better term for this category might be “trademarkicide.” Plasticolor Molded Prods.</w:t>
      </w:r>
      <w:r w:rsidRPr="0096524F">
        <w:t xml:space="preserve"> </w:t>
      </w:r>
      <w:r w:rsidRPr="0096524F">
        <w:t>v.</w:t>
      </w:r>
      <w:r w:rsidRPr="0096524F">
        <w:t xml:space="preserve"> </w:t>
      </w:r>
      <w:r w:rsidRPr="0096524F">
        <w:t>Ford Motor Co., 713 F.</w:t>
      </w:r>
      <w:r w:rsidRPr="0096524F">
        <w:t xml:space="preserve"> </w:t>
      </w:r>
      <w:r w:rsidRPr="0096524F">
        <w:t>Supp.</w:t>
      </w:r>
      <w:r w:rsidRPr="0096524F">
        <w:t xml:space="preserve"> </w:t>
      </w:r>
      <w:r w:rsidRPr="0096524F">
        <w:t>1329, 1344 n.22, 11 USPQ2d 1023 (C.D.</w:t>
      </w:r>
      <w:r w:rsidRPr="0096524F">
        <w:t xml:space="preserve"> </w:t>
      </w:r>
      <w:r w:rsidRPr="0096524F">
        <w:t>Cal.</w:t>
      </w:r>
      <w:r w:rsidRPr="0096524F">
        <w:t xml:space="preserve"> </w:t>
      </w:r>
      <w:r w:rsidRPr="0096524F">
        <w:t xml:space="preserve">1989), </w:t>
      </w:r>
      <w:r w:rsidRPr="0096524F">
        <w:rPr>
          <w:i/>
        </w:rPr>
        <w:t>vacated by consent judgment,</w:t>
      </w:r>
      <w:r w:rsidRPr="0096524F">
        <w:t xml:space="preserve"> 767 F.</w:t>
      </w:r>
      <w:r w:rsidRPr="0096524F">
        <w:t xml:space="preserve"> </w:t>
      </w:r>
      <w:r w:rsidRPr="0096524F">
        <w:t>Supp.</w:t>
      </w:r>
      <w:r w:rsidRPr="0096524F">
        <w:t xml:space="preserve"> </w:t>
      </w:r>
      <w:r w:rsidRPr="0096524F">
        <w:t>1036, 18 USPQ2d 1975 (C.D.</w:t>
      </w:r>
      <w:r w:rsidRPr="0096524F">
        <w:t xml:space="preserve"> </w:t>
      </w:r>
      <w:r w:rsidRPr="0096524F">
        <w:t>Cal.</w:t>
      </w:r>
      <w:r w:rsidRPr="0096524F">
        <w:t xml:space="preserve"> </w:t>
      </w:r>
      <w:r w:rsidRPr="0096524F">
        <w:t>1991).</w:t>
      </w:r>
    </w:p>
  </w:footnote>
  <w:footnote w:id="603">
    <w:p w14:paraId="199B9F5A" w14:textId="2F45A541" w:rsidR="0096524F" w:rsidRPr="00EB11B3" w:rsidRDefault="0096524F" w:rsidP="0096524F">
      <w:pPr>
        <w:pStyle w:val="FootnoteText"/>
      </w:pPr>
      <w:r w:rsidRPr="0096524F">
        <w:rPr>
          <w:vertAlign w:val="superscript"/>
        </w:rPr>
        <w:footnoteRef/>
      </w:r>
      <w:r w:rsidRPr="0096524F">
        <w:t>See generally Julius R.</w:t>
      </w:r>
      <w:r w:rsidRPr="0096524F">
        <w:t xml:space="preserve"> </w:t>
      </w:r>
      <w:r w:rsidRPr="0096524F">
        <w:t>Lunsford, Trademarks and Semantics:</w:t>
      </w:r>
      <w:r w:rsidRPr="0096524F">
        <w:t xml:space="preserve"> </w:t>
      </w:r>
      <w:r w:rsidRPr="0096524F">
        <w:t xml:space="preserve">The Use and Misuse of Trademarks in Dictionaries and Trade Journals, 62 </w:t>
      </w:r>
      <w:r w:rsidRPr="0096524F">
        <w:rPr>
          <w:smallCaps/>
        </w:rPr>
        <w:t>Trademark Rep.</w:t>
      </w:r>
      <w:r w:rsidRPr="0096524F">
        <w:rPr>
          <w:smallCaps/>
        </w:rPr>
        <w:t xml:space="preserve"> </w:t>
      </w:r>
      <w:r w:rsidRPr="0096524F">
        <w:t>520 (1972);</w:t>
      </w:r>
      <w:r w:rsidRPr="0096524F">
        <w:t xml:space="preserve"> </w:t>
      </w:r>
      <w:r w:rsidRPr="0096524F">
        <w:t>Gary C.</w:t>
      </w:r>
      <w:r w:rsidRPr="0096524F">
        <w:t xml:space="preserve"> </w:t>
      </w:r>
      <w:r w:rsidRPr="0096524F">
        <w:t>Robb, Trademark Misuse in Dictionaries:</w:t>
      </w:r>
      <w:r w:rsidRPr="0096524F">
        <w:t xml:space="preserve"> </w:t>
      </w:r>
      <w:r w:rsidRPr="0096524F">
        <w:t xml:space="preserve">Inadequacy of Existing Legal Action and a Suggested Cure, 65 </w:t>
      </w:r>
      <w:r w:rsidRPr="0096524F">
        <w:rPr>
          <w:smallCaps/>
        </w:rPr>
        <w:t>Marq.</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179, 185–89 (1981).</w:t>
      </w:r>
    </w:p>
  </w:footnote>
  <w:footnote w:id="604">
    <w:p w14:paraId="47217E5A" w14:textId="1DE17FEA" w:rsidR="0096524F" w:rsidRPr="00EB11B3" w:rsidRDefault="0096524F" w:rsidP="0096524F">
      <w:pPr>
        <w:pStyle w:val="FootnoteText"/>
      </w:pPr>
      <w:r w:rsidRPr="0096524F">
        <w:rPr>
          <w:vertAlign w:val="superscript"/>
        </w:rPr>
        <w:footnoteRef/>
      </w:r>
      <w:r w:rsidRPr="0096524F">
        <w:rPr>
          <w:smallCaps/>
        </w:rPr>
        <w:t>H.R.</w:t>
      </w:r>
      <w:r w:rsidRPr="0096524F">
        <w:rPr>
          <w:smallCaps/>
        </w:rPr>
        <w:t xml:space="preserve"> </w:t>
      </w:r>
      <w:r w:rsidRPr="0096524F">
        <w:rPr>
          <w:smallCaps/>
        </w:rPr>
        <w:t>Rep.</w:t>
      </w:r>
      <w:r w:rsidRPr="0096524F">
        <w:rPr>
          <w:smallCaps/>
        </w:rPr>
        <w:t xml:space="preserve"> </w:t>
      </w:r>
      <w:r w:rsidRPr="0096524F">
        <w:rPr>
          <w:smallCaps/>
        </w:rPr>
        <w:t>No.</w:t>
      </w:r>
      <w:r w:rsidRPr="0096524F">
        <w:rPr>
          <w:smallCaps/>
        </w:rPr>
        <w:t xml:space="preserve"> </w:t>
      </w:r>
      <w:r w:rsidRPr="0096524F">
        <w:t>104-374 at 8, 104th Cong., 1st Sess.</w:t>
      </w:r>
    </w:p>
  </w:footnote>
  <w:footnote w:id="605">
    <w:p w14:paraId="79487DF2" w14:textId="77B0A144" w:rsidR="0096524F" w:rsidRPr="00EB11B3" w:rsidRDefault="0096524F" w:rsidP="0096524F">
      <w:pPr>
        <w:pStyle w:val="FootnoteText"/>
      </w:pPr>
      <w:r w:rsidRPr="0096524F">
        <w:rPr>
          <w:vertAlign w:val="superscript"/>
        </w:rPr>
        <w:footnoteRef/>
      </w:r>
      <w:r w:rsidRPr="0096524F">
        <w:rPr>
          <w:i/>
        </w:rPr>
        <w:t>See</w:t>
      </w:r>
      <w:r w:rsidRPr="0096524F">
        <w:t xml:space="preserve"> </w:t>
      </w:r>
      <w:r w:rsidRPr="0096524F">
        <w:rPr>
          <w:i/>
        </w:rPr>
        <w:t>id</w:t>
      </w:r>
      <w:r w:rsidRPr="0096524F">
        <w:t>.</w:t>
      </w:r>
      <w:r w:rsidRPr="0096524F">
        <w:t xml:space="preserve"> </w:t>
      </w:r>
      <w:r w:rsidRPr="0096524F">
        <w:t>It is possible, of course, that diminishment was simply another term for blurring.</w:t>
      </w:r>
    </w:p>
  </w:footnote>
  <w:footnote w:id="606">
    <w:p w14:paraId="75F0CF26" w14:textId="31259F7F" w:rsidR="0096524F" w:rsidRPr="00EB11B3" w:rsidRDefault="0096524F" w:rsidP="0096524F">
      <w:pPr>
        <w:pStyle w:val="FootnoteText"/>
      </w:pPr>
      <w:r w:rsidRPr="0096524F">
        <w:rPr>
          <w:vertAlign w:val="superscript"/>
        </w:rPr>
        <w:footnoteRef/>
      </w:r>
      <w:r w:rsidRPr="0096524F">
        <w:t>In addition, if dilution requires a trademark use by the second user to be actionable, then a second user who uses a famous mark as a generic term would not be making a trademark use of the famous mark.</w:t>
      </w:r>
      <w:r w:rsidRPr="0096524F">
        <w:t xml:space="preserve"> </w:t>
      </w:r>
      <w:r w:rsidRPr="0096524F">
        <w:t>For a discussion of the possible need for a trademark use, see below, §IV.</w:t>
      </w:r>
    </w:p>
  </w:footnote>
  <w:footnote w:id="607">
    <w:p w14:paraId="0325BEDC" w14:textId="68D99D8D" w:rsidR="0096524F" w:rsidRPr="00EB11B3" w:rsidRDefault="0096524F" w:rsidP="0096524F">
      <w:pPr>
        <w:pStyle w:val="FootnoteText"/>
      </w:pPr>
      <w:r w:rsidRPr="0096524F">
        <w:rPr>
          <w:vertAlign w:val="superscript"/>
        </w:rPr>
        <w:footnoteRef/>
      </w:r>
      <w:r w:rsidRPr="0096524F">
        <w:t>See Chapter 3, §IV.D, for a discussion of this issue under state law.</w:t>
      </w:r>
    </w:p>
  </w:footnote>
  <w:footnote w:id="608">
    <w:p w14:paraId="57DC528B" w14:textId="4E27A164" w:rsidR="0096524F" w:rsidRPr="00EB11B3" w:rsidRDefault="0096524F" w:rsidP="0096524F">
      <w:pPr>
        <w:pStyle w:val="FootnoteText"/>
      </w:pPr>
      <w:r w:rsidRPr="0096524F">
        <w:rPr>
          <w:vertAlign w:val="superscript"/>
        </w:rPr>
        <w:footnoteRef/>
      </w:r>
      <w:r w:rsidRPr="0096524F">
        <w:rPr>
          <w:i/>
        </w:rPr>
        <w:t>See</w:t>
      </w:r>
      <w:r w:rsidRPr="0096524F">
        <w:t xml:space="preserve"> Norton v.</w:t>
      </w:r>
      <w:r w:rsidRPr="0096524F">
        <w:t xml:space="preserve"> </w:t>
      </w:r>
      <w:r w:rsidRPr="0096524F">
        <w:t>Newage Indus., 204 USPQ 382, 384 (E.D.</w:t>
      </w:r>
      <w:r w:rsidRPr="0096524F">
        <w:t xml:space="preserve"> </w:t>
      </w:r>
      <w:r w:rsidRPr="0096524F">
        <w:t>Pa.</w:t>
      </w:r>
      <w:r w:rsidRPr="0096524F">
        <w:t xml:space="preserve"> </w:t>
      </w:r>
      <w:r w:rsidRPr="0096524F">
        <w:t>1979) (enjoining advertisement for “Tygon-type” product, where plaintiff made a product under the Tygon mark);</w:t>
      </w:r>
      <w:r w:rsidRPr="0096524F">
        <w:t xml:space="preserve"> </w:t>
      </w:r>
      <w:r w:rsidRPr="0096524F">
        <w:t>Bristol-Meyers Co.</w:t>
      </w:r>
      <w:r w:rsidRPr="0096524F">
        <w:t xml:space="preserve"> </w:t>
      </w:r>
      <w:r w:rsidRPr="0096524F">
        <w:t>v.</w:t>
      </w:r>
      <w:r w:rsidRPr="0096524F">
        <w:t xml:space="preserve"> </w:t>
      </w:r>
      <w:r w:rsidRPr="0096524F">
        <w:t>R.H.</w:t>
      </w:r>
      <w:r w:rsidRPr="0096524F">
        <w:t xml:space="preserve"> </w:t>
      </w:r>
      <w:r w:rsidRPr="0096524F">
        <w:t>Macy &amp; Co., 151 F.</w:t>
      </w:r>
      <w:r w:rsidRPr="0096524F">
        <w:t xml:space="preserve"> </w:t>
      </w:r>
      <w:r w:rsidRPr="0096524F">
        <w:t>Supp.</w:t>
      </w:r>
      <w:r w:rsidRPr="0096524F">
        <w:t xml:space="preserve"> </w:t>
      </w:r>
      <w:r w:rsidRPr="0096524F">
        <w:t>513, 514, 113 USPQ 274 (S.D.N.Y.</w:t>
      </w:r>
      <w:r w:rsidRPr="0096524F">
        <w:t xml:space="preserve"> </w:t>
      </w:r>
      <w:r w:rsidRPr="0096524F">
        <w:t>1957) (comparative advertisement);</w:t>
      </w:r>
      <w:r w:rsidRPr="0096524F">
        <w:t xml:space="preserve"> </w:t>
      </w:r>
      <w:r w:rsidRPr="0096524F">
        <w:t>Polyglycoat Corp.</w:t>
      </w:r>
      <w:r w:rsidRPr="0096524F">
        <w:t xml:space="preserve"> </w:t>
      </w:r>
      <w:r w:rsidRPr="0096524F">
        <w:t>v.</w:t>
      </w:r>
      <w:r w:rsidRPr="0096524F">
        <w:t xml:space="preserve"> </w:t>
      </w:r>
      <w:r w:rsidRPr="0096524F">
        <w:t>Environmental Chems., Inc., 509 F.</w:t>
      </w:r>
      <w:r w:rsidRPr="0096524F">
        <w:t xml:space="preserve"> </w:t>
      </w:r>
      <w:r w:rsidRPr="0096524F">
        <w:t>Supp.</w:t>
      </w:r>
      <w:r w:rsidRPr="0096524F">
        <w:t xml:space="preserve"> </w:t>
      </w:r>
      <w:r w:rsidRPr="0096524F">
        <w:t>36, 39, 214 USPQ 52 (S.D.N.Y.</w:t>
      </w:r>
      <w:r w:rsidRPr="0096524F">
        <w:t xml:space="preserve"> </w:t>
      </w:r>
      <w:r w:rsidRPr="0096524F">
        <w:t>1980) (suit by maker of Polyglycoat against maker of a product claiming to remove Polyglycoat).</w:t>
      </w:r>
    </w:p>
  </w:footnote>
  <w:footnote w:id="609">
    <w:p w14:paraId="50CA3065" w14:textId="03C5227C" w:rsidR="0096524F" w:rsidRPr="00EB11B3" w:rsidRDefault="0096524F" w:rsidP="0096524F">
      <w:pPr>
        <w:pStyle w:val="FootnoteText"/>
      </w:pPr>
      <w:r w:rsidRPr="0096524F">
        <w:rPr>
          <w:vertAlign w:val="superscript"/>
        </w:rPr>
        <w:footnoteRef/>
      </w:r>
      <w:r w:rsidRPr="0096524F">
        <w:rPr>
          <w:i/>
        </w:rPr>
        <w:t>See, e</w:t>
      </w:r>
      <w:r w:rsidRPr="0096524F">
        <w:t>.</w:t>
      </w:r>
      <w:r w:rsidRPr="0096524F">
        <w:rPr>
          <w:i/>
        </w:rPr>
        <w:t>g</w:t>
      </w:r>
      <w:r w:rsidRPr="0096524F">
        <w:t>., New Kids on the Block v.</w:t>
      </w:r>
      <w:r w:rsidRPr="0096524F">
        <w:t xml:space="preserve"> </w:t>
      </w:r>
      <w:r w:rsidRPr="0096524F">
        <w:t>News Am.</w:t>
      </w:r>
      <w:r w:rsidRPr="0096524F">
        <w:t xml:space="preserve"> </w:t>
      </w:r>
      <w:r w:rsidRPr="0096524F">
        <w:t>Publ’g Inc., 971 F.2d 302, 307, 23 USPQ2d 1534 (9th Cir.</w:t>
      </w:r>
      <w:r w:rsidRPr="0096524F">
        <w:t xml:space="preserve"> </w:t>
      </w:r>
      <w:r w:rsidRPr="0096524F">
        <w:t>1992) (nominative use permitted);</w:t>
      </w:r>
      <w:r w:rsidRPr="0096524F">
        <w:t xml:space="preserve"> </w:t>
      </w:r>
      <w:r w:rsidRPr="0096524F">
        <w:t>Smith v.</w:t>
      </w:r>
      <w:r w:rsidRPr="0096524F">
        <w:t xml:space="preserve"> </w:t>
      </w:r>
      <w:r w:rsidRPr="0096524F">
        <w:t>Chanel, Inc., 402 F.2d 562, 566–69, 159 USPQ 388 (9th Cir.</w:t>
      </w:r>
      <w:r w:rsidRPr="0096524F">
        <w:t xml:space="preserve"> </w:t>
      </w:r>
      <w:r w:rsidRPr="0096524F">
        <w:t>1968) (comparative advertising).</w:t>
      </w:r>
      <w:r w:rsidRPr="0096524F">
        <w:t xml:space="preserve"> </w:t>
      </w:r>
      <w:r w:rsidRPr="0096524F">
        <w:t xml:space="preserve">In </w:t>
      </w:r>
      <w:r w:rsidRPr="0096524F">
        <w:rPr>
          <w:i/>
        </w:rPr>
        <w:t>Smith,</w:t>
      </w:r>
      <w:r w:rsidRPr="0096524F">
        <w:t xml:space="preserve"> the court noted that the advertisement did not use Chanel’s trademark in a generic manner.</w:t>
      </w:r>
      <w:r w:rsidRPr="0096524F">
        <w:t xml:space="preserve"> </w:t>
      </w:r>
      <w:r w:rsidRPr="0096524F">
        <w:rPr>
          <w:i/>
        </w:rPr>
        <w:t>Id</w:t>
      </w:r>
      <w:r w:rsidRPr="0096524F">
        <w:t>.</w:t>
      </w:r>
      <w:r w:rsidRPr="0096524F">
        <w:t xml:space="preserve"> </w:t>
      </w:r>
      <w:r w:rsidRPr="0096524F">
        <w:t>at 569.</w:t>
      </w:r>
    </w:p>
  </w:footnote>
  <w:footnote w:id="610">
    <w:p w14:paraId="677C96CD" w14:textId="43D4207E" w:rsidR="0096524F" w:rsidRPr="00EB11B3" w:rsidRDefault="0096524F" w:rsidP="0096524F">
      <w:pPr>
        <w:pStyle w:val="FootnoteText"/>
      </w:pPr>
      <w:r w:rsidRPr="0096524F">
        <w:rPr>
          <w:vertAlign w:val="superscript"/>
        </w:rPr>
        <w:footnoteRef/>
      </w:r>
      <w:r w:rsidRPr="0096524F">
        <w:t>Lanham Act §43(c)(3)(A)(i), 15 U.S.C.</w:t>
      </w:r>
      <w:r w:rsidRPr="0096524F">
        <w:t xml:space="preserve"> </w:t>
      </w:r>
      <w:r w:rsidRPr="0096524F">
        <w:t>§1125(c)(3)(A)(i).</w:t>
      </w:r>
    </w:p>
  </w:footnote>
  <w:footnote w:id="611">
    <w:p w14:paraId="30AA887D" w14:textId="79FE2A1B" w:rsidR="0096524F" w:rsidRPr="00EB11B3" w:rsidRDefault="0096524F" w:rsidP="0096524F">
      <w:pPr>
        <w:pStyle w:val="FootnoteText"/>
      </w:pPr>
      <w:r w:rsidRPr="0096524F">
        <w:rPr>
          <w:vertAlign w:val="superscript"/>
        </w:rPr>
        <w:footnoteRef/>
      </w:r>
      <w:r w:rsidRPr="0096524F">
        <w:t>A truly nominative use would not be a generic use because it refers to the mark owner, not the product or service itself.</w:t>
      </w:r>
      <w:r w:rsidRPr="0096524F">
        <w:t xml:space="preserve"> </w:t>
      </w:r>
      <w:r w:rsidRPr="0096524F">
        <w:rPr>
          <w:i/>
        </w:rPr>
        <w:t>Compare</w:t>
      </w:r>
      <w:r w:rsidRPr="0096524F">
        <w:t xml:space="preserve"> Diversified Mktg., Inc.</w:t>
      </w:r>
      <w:r w:rsidRPr="0096524F">
        <w:t xml:space="preserve"> </w:t>
      </w:r>
      <w:r w:rsidRPr="0096524F">
        <w:t>v.</w:t>
      </w:r>
      <w:r w:rsidRPr="0096524F">
        <w:t xml:space="preserve"> </w:t>
      </w:r>
      <w:r w:rsidRPr="0096524F">
        <w:t>Estée Lauder, Inc., 705 F.</w:t>
      </w:r>
      <w:r w:rsidRPr="0096524F">
        <w:t xml:space="preserve"> </w:t>
      </w:r>
      <w:r w:rsidRPr="0096524F">
        <w:t>Supp.</w:t>
      </w:r>
      <w:r w:rsidRPr="0096524F">
        <w:t xml:space="preserve"> </w:t>
      </w:r>
      <w:r w:rsidRPr="0096524F">
        <w:t>128, 134, 9 USPQ2d 1882 (S.D.N.Y.</w:t>
      </w:r>
      <w:r w:rsidRPr="0096524F">
        <w:t xml:space="preserve"> </w:t>
      </w:r>
      <w:r w:rsidRPr="0096524F">
        <w:t xml:space="preserve">1988) (refusing to enjoin comparative advertising using the mark in a nominative fashion) </w:t>
      </w:r>
      <w:r w:rsidRPr="0096524F">
        <w:rPr>
          <w:i/>
        </w:rPr>
        <w:t>with</w:t>
      </w:r>
      <w:r w:rsidRPr="0096524F">
        <w:t xml:space="preserve"> Eventide, Inc.</w:t>
      </w:r>
      <w:r w:rsidRPr="0096524F">
        <w:t xml:space="preserve"> </w:t>
      </w:r>
      <w:r w:rsidRPr="0096524F">
        <w:t>v.</w:t>
      </w:r>
      <w:r w:rsidRPr="0096524F">
        <w:t xml:space="preserve"> </w:t>
      </w:r>
      <w:r w:rsidRPr="0096524F">
        <w:t>DOD Elecs.</w:t>
      </w:r>
      <w:r w:rsidRPr="0096524F">
        <w:t xml:space="preserve"> </w:t>
      </w:r>
      <w:r w:rsidRPr="0096524F">
        <w:t>Corp., 1995 WL 239044, at *17 (S.D.N.Y.</w:t>
      </w:r>
      <w:r w:rsidRPr="0096524F">
        <w:t xml:space="preserve"> </w:t>
      </w:r>
      <w:r w:rsidRPr="0096524F">
        <w:t>Apr.</w:t>
      </w:r>
      <w:r w:rsidRPr="0096524F">
        <w:t xml:space="preserve"> </w:t>
      </w:r>
      <w:r w:rsidRPr="0096524F">
        <w:t>24, 1995) (defendant enjoined from using plaintiff’s mark, Harmonizer, as a generic term for defendant’s competing product).</w:t>
      </w:r>
    </w:p>
  </w:footnote>
  <w:footnote w:id="612">
    <w:p w14:paraId="21E9F815" w14:textId="0389FBB9" w:rsidR="0096524F" w:rsidRPr="00EB11B3" w:rsidRDefault="0096524F" w:rsidP="0096524F">
      <w:pPr>
        <w:pStyle w:val="FootnoteText"/>
      </w:pPr>
      <w:r w:rsidRPr="0096524F">
        <w:rPr>
          <w:vertAlign w:val="superscript"/>
        </w:rPr>
        <w:footnoteRef/>
      </w:r>
      <w:r w:rsidRPr="0096524F">
        <w:t>Lanham Act §43(c)(3)(A), 15 U.S.C.</w:t>
      </w:r>
      <w:r w:rsidRPr="0096524F">
        <w:t xml:space="preserve"> </w:t>
      </w:r>
      <w:r w:rsidRPr="0096524F">
        <w:t>§1125(c)(3)(A) (excluding both descriptive and nominative fair uses).</w:t>
      </w:r>
    </w:p>
  </w:footnote>
  <w:footnote w:id="613">
    <w:p w14:paraId="6EC09349" w14:textId="779A9D97" w:rsidR="0096524F" w:rsidRPr="00EB11B3" w:rsidRDefault="0096524F" w:rsidP="0096524F">
      <w:pPr>
        <w:pStyle w:val="FootnoteText"/>
      </w:pPr>
      <w:r w:rsidRPr="0096524F">
        <w:rPr>
          <w:vertAlign w:val="superscript"/>
        </w:rPr>
        <w:footnoteRef/>
      </w:r>
      <w:r w:rsidRPr="0096524F">
        <w:t>Lanham Act §43(c)(3)(C), 15 U.S.C.</w:t>
      </w:r>
      <w:r w:rsidRPr="0096524F">
        <w:t xml:space="preserve"> </w:t>
      </w:r>
      <w:r w:rsidRPr="0096524F">
        <w:t>§1125(c)(3)(C).</w:t>
      </w:r>
    </w:p>
  </w:footnote>
  <w:footnote w:id="614">
    <w:p w14:paraId="5BFA3222" w14:textId="38C8FB2B" w:rsidR="0096524F" w:rsidRPr="00EB11B3" w:rsidRDefault="0096524F" w:rsidP="0096524F">
      <w:pPr>
        <w:pStyle w:val="FootnoteText"/>
      </w:pPr>
      <w:r w:rsidRPr="0096524F">
        <w:rPr>
          <w:vertAlign w:val="superscript"/>
        </w:rPr>
        <w:footnoteRef/>
      </w:r>
      <w:r w:rsidRPr="0096524F">
        <w:t>306 F.3d 509, 64 USPQ2d 1689 (7th Cir.</w:t>
      </w:r>
      <w:r w:rsidRPr="0096524F">
        <w:t xml:space="preserve"> </w:t>
      </w:r>
      <w:r w:rsidRPr="0096524F">
        <w:t xml:space="preserve">2002), </w:t>
      </w:r>
      <w:r w:rsidRPr="0096524F">
        <w:rPr>
          <w:i/>
        </w:rPr>
        <w:t>cert</w:t>
      </w:r>
      <w:r w:rsidRPr="0096524F">
        <w:t>.</w:t>
      </w:r>
      <w:r w:rsidRPr="0096524F">
        <w:t xml:space="preserve"> </w:t>
      </w:r>
      <w:r w:rsidRPr="0096524F">
        <w:rPr>
          <w:i/>
        </w:rPr>
        <w:t>denied</w:t>
      </w:r>
      <w:r w:rsidRPr="0096524F">
        <w:t>, 538 U.S.</w:t>
      </w:r>
      <w:r w:rsidRPr="0096524F">
        <w:t xml:space="preserve"> </w:t>
      </w:r>
      <w:r w:rsidRPr="0096524F">
        <w:t>971 (2003).</w:t>
      </w:r>
    </w:p>
  </w:footnote>
  <w:footnote w:id="615">
    <w:p w14:paraId="39602662" w14:textId="11587B70"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513.</w:t>
      </w:r>
    </w:p>
  </w:footnote>
  <w:footnote w:id="616">
    <w:p w14:paraId="51BD3A01" w14:textId="0A8430DD"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514.</w:t>
      </w:r>
    </w:p>
  </w:footnote>
  <w:footnote w:id="617">
    <w:p w14:paraId="6203A1AC" w14:textId="0C53321B" w:rsidR="0096524F" w:rsidRPr="00882ED4" w:rsidRDefault="0096524F" w:rsidP="0096524F">
      <w:pPr>
        <w:pStyle w:val="FootnoteText"/>
        <w:rPr>
          <w:lang w:val="da-DK"/>
        </w:rPr>
      </w:pPr>
      <w:r w:rsidRPr="0096524F">
        <w:rPr>
          <w:vertAlign w:val="superscript"/>
        </w:rPr>
        <w:footnoteRef/>
      </w:r>
      <w:r w:rsidRPr="0096524F">
        <w:rPr>
          <w:i/>
        </w:rPr>
        <w:t>Id</w:t>
      </w:r>
      <w:r w:rsidRPr="0096524F">
        <w:t>.</w:t>
      </w:r>
    </w:p>
  </w:footnote>
  <w:footnote w:id="618">
    <w:p w14:paraId="1DA73872" w14:textId="28529FC7" w:rsidR="0096524F" w:rsidRPr="002A0C74" w:rsidRDefault="0096524F" w:rsidP="0096524F">
      <w:pPr>
        <w:pStyle w:val="FootnoteText"/>
      </w:pPr>
      <w:r w:rsidRPr="0096524F">
        <w:rPr>
          <w:vertAlign w:val="superscript"/>
        </w:rPr>
        <w:footnoteRef/>
      </w:r>
      <w:r w:rsidRPr="0096524F">
        <w:t>Freecycle Network, Inc.</w:t>
      </w:r>
      <w:r w:rsidRPr="0096524F">
        <w:t xml:space="preserve"> </w:t>
      </w:r>
      <w:r w:rsidRPr="0096524F">
        <w:t>v.</w:t>
      </w:r>
      <w:r w:rsidRPr="0096524F">
        <w:t xml:space="preserve"> </w:t>
      </w:r>
      <w:r w:rsidRPr="0096524F">
        <w:t>Oey, 505 F.3d 898, 905–06, 84 USPQ2d 1530 (9th Cir.</w:t>
      </w:r>
      <w:r w:rsidRPr="0096524F">
        <w:t xml:space="preserve"> </w:t>
      </w:r>
      <w:r w:rsidRPr="0096524F">
        <w:t>2007).</w:t>
      </w:r>
      <w:r w:rsidRPr="0096524F">
        <w:t xml:space="preserve"> </w:t>
      </w:r>
      <w:r w:rsidRPr="0096524F">
        <w:t>The court noted that no dilution claim had been made.</w:t>
      </w:r>
      <w:r w:rsidRPr="0096524F">
        <w:t xml:space="preserve"> </w:t>
      </w:r>
      <w:r w:rsidRPr="0096524F">
        <w:rPr>
          <w:i/>
        </w:rPr>
        <w:t>Id</w:t>
      </w:r>
      <w:r w:rsidRPr="0096524F">
        <w:t>.</w:t>
      </w:r>
      <w:r w:rsidRPr="0096524F">
        <w:t xml:space="preserve"> </w:t>
      </w:r>
      <w:r w:rsidRPr="0096524F">
        <w:t>at 904 n.11.</w:t>
      </w:r>
      <w:r w:rsidRPr="0096524F">
        <w:t xml:space="preserve"> </w:t>
      </w:r>
      <w:r w:rsidRPr="0096524F">
        <w:t xml:space="preserve">However, the court also stated that “[t]he Lanham Act itself, however, contains no provision preventing the use of a trademarked term in its generic sense.” </w:t>
      </w:r>
      <w:r w:rsidRPr="0096524F">
        <w:rPr>
          <w:i/>
        </w:rPr>
        <w:t>Id</w:t>
      </w:r>
      <w:r w:rsidRPr="0096524F">
        <w:t>.</w:t>
      </w:r>
      <w:r w:rsidRPr="0096524F">
        <w:t xml:space="preserve"> </w:t>
      </w:r>
      <w:r w:rsidRPr="0096524F">
        <w:t>at 906;</w:t>
      </w:r>
      <w:r w:rsidRPr="0096524F">
        <w:t xml:space="preserve"> </w:t>
      </w:r>
      <w:r w:rsidRPr="0096524F">
        <w:rPr>
          <w:i/>
        </w:rPr>
        <w:t>see id</w:t>
      </w:r>
      <w:r w:rsidRPr="0096524F">
        <w:t>.</w:t>
      </w:r>
      <w:r w:rsidRPr="0096524F">
        <w:t xml:space="preserve"> </w:t>
      </w:r>
      <w:r w:rsidRPr="0096524F">
        <w:t>n.14.</w:t>
      </w:r>
      <w:r w:rsidRPr="0096524F">
        <w:t xml:space="preserve"> </w:t>
      </w:r>
      <w:r w:rsidRPr="0096524F">
        <w:rPr>
          <w:i/>
        </w:rPr>
        <w:t>Cf.</w:t>
      </w:r>
      <w:r w:rsidRPr="0096524F">
        <w:rPr>
          <w:i/>
        </w:rPr>
        <w:t xml:space="preserve"> </w:t>
      </w:r>
      <w:r w:rsidRPr="0096524F">
        <w:t>Illinois Tool Works, Inc.</w:t>
      </w:r>
      <w:r w:rsidRPr="0096524F">
        <w:t xml:space="preserve"> </w:t>
      </w:r>
      <w:r w:rsidRPr="0096524F">
        <w:t>v.</w:t>
      </w:r>
      <w:r w:rsidRPr="0096524F">
        <w:t xml:space="preserve"> </w:t>
      </w:r>
      <w:r w:rsidRPr="0096524F">
        <w:t>J-B Weld Co., LLC, 419 F.</w:t>
      </w:r>
      <w:r w:rsidRPr="0096524F">
        <w:t xml:space="preserve"> </w:t>
      </w:r>
      <w:r w:rsidRPr="0096524F">
        <w:t>Supp.</w:t>
      </w:r>
      <w:r w:rsidRPr="0096524F">
        <w:t xml:space="preserve"> </w:t>
      </w:r>
      <w:r w:rsidRPr="0096524F">
        <w:t>3d 382, 404 (D.</w:t>
      </w:r>
      <w:r w:rsidRPr="0096524F">
        <w:t xml:space="preserve"> </w:t>
      </w:r>
      <w:r w:rsidRPr="0096524F">
        <w:t>Conn.</w:t>
      </w:r>
      <w:r w:rsidRPr="0096524F">
        <w:t xml:space="preserve"> </w:t>
      </w:r>
      <w:r w:rsidRPr="0096524F">
        <w:t>2019) (discussing genericide as a possible basis for infringement by confusion).</w:t>
      </w:r>
    </w:p>
  </w:footnote>
  <w:footnote w:id="619">
    <w:p w14:paraId="251AA2F4" w14:textId="62C39279"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Mattel, Inc.</w:t>
      </w:r>
      <w:r w:rsidRPr="0096524F">
        <w:t xml:space="preserve"> </w:t>
      </w:r>
      <w:r w:rsidRPr="0096524F">
        <w:t>v.</w:t>
      </w:r>
      <w:r w:rsidRPr="0096524F">
        <w:t xml:space="preserve"> </w:t>
      </w:r>
      <w:r w:rsidRPr="0096524F">
        <w:t>Adventure Apparel, 2001 WL 1035140 at *1 (S.D.N.Y.</w:t>
      </w:r>
      <w:r w:rsidRPr="0096524F">
        <w:t xml:space="preserve"> </w:t>
      </w:r>
      <w:r w:rsidRPr="0096524F">
        <w:t>Sep.</w:t>
      </w:r>
      <w:r w:rsidRPr="0096524F">
        <w:t xml:space="preserve"> </w:t>
      </w:r>
      <w:r w:rsidRPr="0096524F">
        <w:t>7, 2001);</w:t>
      </w:r>
      <w:r w:rsidRPr="0096524F">
        <w:t xml:space="preserve"> </w:t>
      </w:r>
      <w:r w:rsidRPr="0096524F">
        <w:t>Ford Motor Co.</w:t>
      </w:r>
      <w:r w:rsidRPr="0096524F">
        <w:t xml:space="preserve"> </w:t>
      </w:r>
      <w:r w:rsidRPr="0096524F">
        <w:t>v.</w:t>
      </w:r>
      <w:r w:rsidRPr="0096524F">
        <w:t xml:space="preserve"> </w:t>
      </w:r>
      <w:r w:rsidRPr="0096524F">
        <w:t>Great Domains.com, Inc., 141 F.</w:t>
      </w:r>
      <w:r w:rsidRPr="0096524F">
        <w:t xml:space="preserve"> </w:t>
      </w:r>
      <w:r w:rsidRPr="0096524F">
        <w:t>Supp.</w:t>
      </w:r>
      <w:r w:rsidRPr="0096524F">
        <w:t xml:space="preserve"> </w:t>
      </w:r>
      <w:r w:rsidRPr="0096524F">
        <w:t>2d 763, 774 (E.D.</w:t>
      </w:r>
      <w:r w:rsidRPr="0096524F">
        <w:t xml:space="preserve"> </w:t>
      </w:r>
      <w:r w:rsidRPr="0096524F">
        <w:t>Mich.</w:t>
      </w:r>
      <w:r w:rsidRPr="0096524F">
        <w:t xml:space="preserve"> </w:t>
      </w:r>
      <w:r w:rsidRPr="0096524F">
        <w:t xml:space="preserve">2001), </w:t>
      </w:r>
      <w:r w:rsidRPr="0096524F">
        <w:rPr>
          <w:i/>
        </w:rPr>
        <w:t>reconsideration granted in part,</w:t>
      </w:r>
      <w:r w:rsidRPr="0096524F">
        <w:t xml:space="preserve"> 177 F.</w:t>
      </w:r>
      <w:r w:rsidRPr="0096524F">
        <w:t xml:space="preserve"> </w:t>
      </w:r>
      <w:r w:rsidRPr="0096524F">
        <w:t>Supp.</w:t>
      </w:r>
      <w:r w:rsidRPr="0096524F">
        <w:t xml:space="preserve"> </w:t>
      </w:r>
      <w:r w:rsidRPr="0096524F">
        <w:t>2d 635, 61 USPQ2d 1718 (E.D.</w:t>
      </w:r>
      <w:r w:rsidRPr="0096524F">
        <w:t xml:space="preserve"> </w:t>
      </w:r>
      <w:r w:rsidRPr="0096524F">
        <w:t>Mich.</w:t>
      </w:r>
      <w:r w:rsidRPr="0096524F">
        <w:t xml:space="preserve"> </w:t>
      </w:r>
      <w:r w:rsidRPr="0096524F">
        <w:t>2001);</w:t>
      </w:r>
      <w:r w:rsidRPr="0096524F">
        <w:t xml:space="preserve"> </w:t>
      </w:r>
      <w:r w:rsidRPr="0096524F">
        <w:t>Victoria’s Cyber Secret Ltd.</w:t>
      </w:r>
      <w:r w:rsidRPr="0096524F">
        <w:t xml:space="preserve"> </w:t>
      </w:r>
      <w:r w:rsidRPr="0096524F">
        <w:t>P’ship v.</w:t>
      </w:r>
      <w:r w:rsidRPr="0096524F">
        <w:t xml:space="preserve"> </w:t>
      </w:r>
      <w:r w:rsidRPr="0096524F">
        <w:t>V Secret Catalogue, Inc., 161 F.</w:t>
      </w:r>
      <w:r w:rsidRPr="0096524F">
        <w:t xml:space="preserve"> </w:t>
      </w:r>
      <w:r w:rsidRPr="0096524F">
        <w:t>Supp.</w:t>
      </w:r>
      <w:r w:rsidRPr="0096524F">
        <w:t xml:space="preserve"> </w:t>
      </w:r>
      <w:r w:rsidRPr="0096524F">
        <w:t>2d 1339, 1341 (S.D.</w:t>
      </w:r>
      <w:r w:rsidRPr="0096524F">
        <w:t xml:space="preserve"> </w:t>
      </w:r>
      <w:r w:rsidRPr="0096524F">
        <w:t>Fla.</w:t>
      </w:r>
      <w:r w:rsidRPr="0096524F">
        <w:t xml:space="preserve"> </w:t>
      </w:r>
      <w:r w:rsidRPr="0096524F">
        <w:t>2001).</w:t>
      </w:r>
    </w:p>
  </w:footnote>
  <w:footnote w:id="620">
    <w:p w14:paraId="74C4A049" w14:textId="03D70C52" w:rsidR="0096524F" w:rsidRPr="00EB11B3" w:rsidRDefault="0096524F" w:rsidP="0096524F">
      <w:pPr>
        <w:pStyle w:val="FootnoteText"/>
      </w:pPr>
      <w:r w:rsidRPr="0096524F">
        <w:rPr>
          <w:vertAlign w:val="superscript"/>
        </w:rPr>
        <w:footnoteRef/>
      </w:r>
      <w:r w:rsidRPr="0096524F">
        <w:t>Avery Dennison Corp.</w:t>
      </w:r>
      <w:r w:rsidRPr="0096524F">
        <w:t xml:space="preserve"> </w:t>
      </w:r>
      <w:r w:rsidRPr="0096524F">
        <w:t>v.</w:t>
      </w:r>
      <w:r w:rsidRPr="0096524F">
        <w:t xml:space="preserve"> </w:t>
      </w:r>
      <w:r w:rsidRPr="0096524F">
        <w:t>Sumpton, 189 F.3d 868, 880, 51 USPQ2d 1801 (9th Cir.</w:t>
      </w:r>
      <w:r w:rsidRPr="0096524F">
        <w:t xml:space="preserve"> </w:t>
      </w:r>
      <w:r w:rsidRPr="0096524F">
        <w:t>1999);</w:t>
      </w:r>
      <w:r w:rsidRPr="0096524F">
        <w:t xml:space="preserve"> </w:t>
      </w:r>
      <w:r w:rsidRPr="0096524F">
        <w:rPr>
          <w:i/>
        </w:rPr>
        <w:t>Victoria’s Cyber Secret,</w:t>
      </w:r>
      <w:r w:rsidRPr="0096524F">
        <w:t xml:space="preserve"> 161 F.</w:t>
      </w:r>
      <w:r w:rsidRPr="0096524F">
        <w:t xml:space="preserve"> </w:t>
      </w:r>
      <w:r w:rsidRPr="0096524F">
        <w:t>Supp.</w:t>
      </w:r>
      <w:r w:rsidRPr="0096524F">
        <w:t xml:space="preserve"> </w:t>
      </w:r>
      <w:r w:rsidRPr="0096524F">
        <w:t>2d at 1346 (discussing Anticybersquatting Consumer Protection Act).</w:t>
      </w:r>
      <w:r w:rsidRPr="0096524F">
        <w:t xml:space="preserve"> </w:t>
      </w:r>
      <w:r w:rsidRPr="0096524F">
        <w:t>The idea is that another party is, in effect, trespassing in cyberspace on the famous trademark owner’s mark, attempting to gain rights to the name.</w:t>
      </w:r>
      <w:r w:rsidRPr="0096524F">
        <w:t xml:space="preserve"> </w:t>
      </w:r>
      <w:r w:rsidRPr="0096524F">
        <w:t>Panavision Int’l, L.P.</w:t>
      </w:r>
      <w:r w:rsidRPr="0096524F">
        <w:t xml:space="preserve"> </w:t>
      </w:r>
      <w:r w:rsidRPr="0096524F">
        <w:t>v.</w:t>
      </w:r>
      <w:r w:rsidRPr="0096524F">
        <w:t xml:space="preserve"> </w:t>
      </w:r>
      <w:r w:rsidRPr="0096524F">
        <w:t>Toeppen, 141 F.3d 1316, 1326, 46 USPQ2d 1511 (9th Cir.</w:t>
      </w:r>
      <w:r w:rsidRPr="0096524F">
        <w:t xml:space="preserve"> </w:t>
      </w:r>
      <w:r w:rsidRPr="0096524F">
        <w:t>1998).</w:t>
      </w:r>
    </w:p>
  </w:footnote>
  <w:footnote w:id="621">
    <w:p w14:paraId="0FB0A6AB" w14:textId="6EF4EA8E" w:rsidR="0096524F" w:rsidRPr="00EB11B3" w:rsidRDefault="0096524F" w:rsidP="0096524F">
      <w:pPr>
        <w:pStyle w:val="FootnoteText"/>
      </w:pPr>
      <w:r w:rsidRPr="0096524F">
        <w:rPr>
          <w:vertAlign w:val="superscript"/>
        </w:rPr>
        <w:footnoteRef/>
      </w:r>
      <w:r w:rsidRPr="0096524F">
        <w:t xml:space="preserve">141 </w:t>
      </w:r>
      <w:r w:rsidRPr="0096524F">
        <w:rPr>
          <w:smallCaps/>
        </w:rPr>
        <w:t>Cong.</w:t>
      </w:r>
      <w:r w:rsidRPr="0096524F">
        <w:rPr>
          <w:smallCaps/>
        </w:rPr>
        <w:t xml:space="preserve"> </w:t>
      </w:r>
      <w:r w:rsidRPr="0096524F">
        <w:rPr>
          <w:smallCaps/>
        </w:rPr>
        <w:t>Rec.</w:t>
      </w:r>
      <w:r w:rsidRPr="0096524F">
        <w:rPr>
          <w:smallCaps/>
        </w:rPr>
        <w:t xml:space="preserve"> </w:t>
      </w:r>
      <w:r w:rsidRPr="0096524F">
        <w:t>S19,312 (Dec.</w:t>
      </w:r>
      <w:r w:rsidRPr="0096524F">
        <w:t xml:space="preserve"> </w:t>
      </w:r>
      <w:r w:rsidRPr="0096524F">
        <w:t>29, 1995).</w:t>
      </w:r>
    </w:p>
  </w:footnote>
  <w:footnote w:id="622">
    <w:p w14:paraId="580F9106" w14:textId="465E4F59"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w:t>
      </w:r>
      <w:r w:rsidRPr="0096524F">
        <w:rPr>
          <w:i/>
        </w:rPr>
        <w:t>, Victoria’s Cyber Secret,</w:t>
      </w:r>
      <w:r w:rsidRPr="0096524F">
        <w:t xml:space="preserve"> 161 F.</w:t>
      </w:r>
      <w:r w:rsidRPr="0096524F">
        <w:t xml:space="preserve"> </w:t>
      </w:r>
      <w:r w:rsidRPr="0096524F">
        <w:t>Supp.</w:t>
      </w:r>
      <w:r w:rsidRPr="0096524F">
        <w:t xml:space="preserve"> </w:t>
      </w:r>
      <w:r w:rsidRPr="0096524F">
        <w:t>2d at 1355;</w:t>
      </w:r>
      <w:r w:rsidRPr="0096524F">
        <w:t xml:space="preserve"> </w:t>
      </w:r>
      <w:r w:rsidRPr="0096524F">
        <w:t>Mattel, Inc.</w:t>
      </w:r>
      <w:r w:rsidRPr="0096524F">
        <w:t xml:space="preserve"> </w:t>
      </w:r>
      <w:r w:rsidRPr="0096524F">
        <w:t>v.</w:t>
      </w:r>
      <w:r w:rsidRPr="0096524F">
        <w:t xml:space="preserve"> </w:t>
      </w:r>
      <w:r w:rsidRPr="0096524F">
        <w:t>Internet Dimensions, Inc., 55 USPQ2d 1620, 1627 (S.D.N.Y.</w:t>
      </w:r>
      <w:r w:rsidRPr="0096524F">
        <w:t xml:space="preserve"> </w:t>
      </w:r>
      <w:r w:rsidRPr="0096524F">
        <w:t>2000);</w:t>
      </w:r>
      <w:r w:rsidRPr="0096524F">
        <w:t xml:space="preserve"> </w:t>
      </w:r>
      <w:r w:rsidRPr="0096524F">
        <w:t>Online Partners.com, Inc.</w:t>
      </w:r>
      <w:r w:rsidRPr="0096524F">
        <w:t xml:space="preserve"> </w:t>
      </w:r>
      <w:r w:rsidRPr="0096524F">
        <w:t>v.</w:t>
      </w:r>
      <w:r w:rsidRPr="0096524F">
        <w:t xml:space="preserve"> </w:t>
      </w:r>
      <w:r w:rsidRPr="0096524F">
        <w:br/>
        <w:t>Atlantic.Net Media Corp., 2000 WL 101242 (N.D.</w:t>
      </w:r>
      <w:r w:rsidRPr="0096524F">
        <w:t xml:space="preserve"> </w:t>
      </w:r>
      <w:r w:rsidRPr="0096524F">
        <w:t>Cal.</w:t>
      </w:r>
      <w:r w:rsidRPr="0096524F">
        <w:t xml:space="preserve"> </w:t>
      </w:r>
      <w:r w:rsidRPr="0096524F">
        <w:t>Jan.</w:t>
      </w:r>
      <w:r w:rsidRPr="0096524F">
        <w:t xml:space="preserve"> </w:t>
      </w:r>
      <w:r w:rsidRPr="0096524F">
        <w:t>20, 2000).</w:t>
      </w:r>
      <w:r w:rsidRPr="0096524F">
        <w:t xml:space="preserve"> </w:t>
      </w:r>
      <w:r w:rsidRPr="0096524F">
        <w:rPr>
          <w:i/>
        </w:rPr>
        <w:t>See</w:t>
      </w:r>
      <w:r w:rsidRPr="0096524F">
        <w:t xml:space="preserve"> Classified Ventures, L.L.C.</w:t>
      </w:r>
      <w:r w:rsidRPr="0096524F">
        <w:t xml:space="preserve"> </w:t>
      </w:r>
      <w:r w:rsidRPr="0096524F">
        <w:t>v.</w:t>
      </w:r>
      <w:r w:rsidRPr="0096524F">
        <w:t xml:space="preserve"> </w:t>
      </w:r>
      <w:r w:rsidRPr="0096524F">
        <w:t>Softcell Marketing, Inc., 109 F.</w:t>
      </w:r>
      <w:r w:rsidRPr="0096524F">
        <w:t xml:space="preserve"> </w:t>
      </w:r>
      <w:r w:rsidRPr="0096524F">
        <w:t>Supp.</w:t>
      </w:r>
      <w:r w:rsidRPr="0096524F">
        <w:t xml:space="preserve"> </w:t>
      </w:r>
      <w:r w:rsidRPr="0096524F">
        <w:t>2d 898, 901 (N.D.</w:t>
      </w:r>
      <w:r w:rsidRPr="0096524F">
        <w:t xml:space="preserve"> </w:t>
      </w:r>
      <w:r w:rsidRPr="0096524F">
        <w:t>Ill.</w:t>
      </w:r>
      <w:r w:rsidRPr="0096524F">
        <w:t xml:space="preserve"> </w:t>
      </w:r>
      <w:r w:rsidRPr="0096524F">
        <w:t>2000) (spam e-mail, often touting pornography services, used plaintiff’s cars.com trademark as a domain name for the origination of the e-mail);</w:t>
      </w:r>
      <w:r w:rsidRPr="0096524F">
        <w:t xml:space="preserve"> </w:t>
      </w:r>
      <w:r w:rsidRPr="0096524F">
        <w:t>Hasbro, Inc.</w:t>
      </w:r>
      <w:r w:rsidRPr="0096524F">
        <w:t xml:space="preserve"> </w:t>
      </w:r>
      <w:r w:rsidRPr="0096524F">
        <w:t>v.</w:t>
      </w:r>
      <w:r w:rsidRPr="0096524F">
        <w:t xml:space="preserve"> </w:t>
      </w:r>
      <w:r w:rsidRPr="0096524F">
        <w:t>Internet Entm’t Group, Ltd., 40 USPQ2d 1479, 1480 (W.D.</w:t>
      </w:r>
      <w:r w:rsidRPr="0096524F">
        <w:t xml:space="preserve"> </w:t>
      </w:r>
      <w:r w:rsidRPr="0096524F">
        <w:t>Wash.</w:t>
      </w:r>
      <w:r w:rsidRPr="0096524F">
        <w:t xml:space="preserve"> </w:t>
      </w:r>
      <w:r w:rsidRPr="0096524F">
        <w:t>1996) (finding dilution where defendant used candyland.com for pornography services on the Internet, but without using the term “tarnishment”).</w:t>
      </w:r>
    </w:p>
  </w:footnote>
  <w:footnote w:id="623">
    <w:p w14:paraId="4BF0D0F3" w14:textId="19B15F74" w:rsidR="0096524F" w:rsidRPr="00882ED4" w:rsidRDefault="0096524F" w:rsidP="0096524F">
      <w:pPr>
        <w:pStyle w:val="FootnoteText"/>
        <w:rPr>
          <w:lang w:val="fr-FR"/>
        </w:rPr>
      </w:pPr>
      <w:r w:rsidRPr="0096524F">
        <w:rPr>
          <w:vertAlign w:val="superscript"/>
        </w:rPr>
        <w:footnoteRef/>
      </w:r>
      <w:r w:rsidRPr="0096524F">
        <w:rPr>
          <w:i/>
        </w:rPr>
        <w:t>E</w:t>
      </w:r>
      <w:r w:rsidRPr="0096524F">
        <w:t>.</w:t>
      </w:r>
      <w:r w:rsidRPr="0096524F">
        <w:rPr>
          <w:i/>
        </w:rPr>
        <w:t>g</w:t>
      </w:r>
      <w:r w:rsidRPr="0096524F">
        <w:t>.</w:t>
      </w:r>
      <w:r w:rsidRPr="0096524F">
        <w:rPr>
          <w:i/>
        </w:rPr>
        <w:t xml:space="preserve">, </w:t>
      </w:r>
      <w:r w:rsidRPr="0096524F">
        <w:t>Mattel, Inc.</w:t>
      </w:r>
      <w:r w:rsidRPr="0096524F">
        <w:t xml:space="preserve"> </w:t>
      </w:r>
      <w:r w:rsidRPr="0096524F">
        <w:t>v.</w:t>
      </w:r>
      <w:r w:rsidRPr="0096524F">
        <w:t xml:space="preserve"> </w:t>
      </w:r>
      <w:r w:rsidRPr="0096524F">
        <w:t>Internet Dimensions, Inc., 55 USPQ2d 1620,1627 (S.D.N.Y.</w:t>
      </w:r>
      <w:r w:rsidRPr="0096524F">
        <w:t xml:space="preserve"> </w:t>
      </w:r>
      <w:r w:rsidRPr="0096524F">
        <w:t>2000).</w:t>
      </w:r>
    </w:p>
  </w:footnote>
  <w:footnote w:id="624">
    <w:p w14:paraId="43FE8153" w14:textId="649A8FAA" w:rsidR="0096524F" w:rsidRPr="00EB11B3" w:rsidRDefault="0096524F" w:rsidP="0096524F">
      <w:pPr>
        <w:pStyle w:val="FootnoteText"/>
      </w:pPr>
      <w:r w:rsidRPr="0096524F">
        <w:rPr>
          <w:vertAlign w:val="superscript"/>
        </w:rPr>
        <w:footnoteRef/>
      </w:r>
      <w:r w:rsidRPr="0096524F">
        <w:t>Ford Motor Co.</w:t>
      </w:r>
      <w:r w:rsidRPr="0096524F">
        <w:t xml:space="preserve"> </w:t>
      </w:r>
      <w:r w:rsidRPr="0096524F">
        <w:t>v.</w:t>
      </w:r>
      <w:r w:rsidRPr="0096524F">
        <w:t xml:space="preserve"> </w:t>
      </w:r>
      <w:r w:rsidRPr="0096524F">
        <w:t>Great Domains.com, Inc., 177 F.</w:t>
      </w:r>
      <w:r w:rsidRPr="0096524F">
        <w:t xml:space="preserve"> </w:t>
      </w:r>
      <w:r w:rsidRPr="0096524F">
        <w:t>Supp.</w:t>
      </w:r>
      <w:r w:rsidRPr="0096524F">
        <w:t xml:space="preserve"> </w:t>
      </w:r>
      <w:r w:rsidRPr="0096524F">
        <w:t>2d 635, 654–55, 61 USPQ2d 1718 (E.D.</w:t>
      </w:r>
      <w:r w:rsidRPr="0096524F">
        <w:t xml:space="preserve"> </w:t>
      </w:r>
      <w:r w:rsidRPr="0096524F">
        <w:t>Mich.</w:t>
      </w:r>
      <w:r w:rsidRPr="0096524F">
        <w:t xml:space="preserve"> </w:t>
      </w:r>
      <w:r w:rsidRPr="0096524F">
        <w:t>2001).</w:t>
      </w:r>
    </w:p>
  </w:footnote>
  <w:footnote w:id="625">
    <w:p w14:paraId="09189B63" w14:textId="44A7A222" w:rsidR="0096524F" w:rsidRPr="00EB11B3" w:rsidRDefault="0096524F" w:rsidP="0096524F">
      <w:pPr>
        <w:pStyle w:val="FootnoteText"/>
      </w:pPr>
      <w:r w:rsidRPr="0096524F">
        <w:rPr>
          <w:vertAlign w:val="superscript"/>
        </w:rPr>
        <w:footnoteRef/>
      </w:r>
      <w:r w:rsidRPr="0096524F">
        <w:t>Pub.</w:t>
      </w:r>
      <w:r w:rsidRPr="0096524F">
        <w:t xml:space="preserve"> </w:t>
      </w:r>
      <w:r w:rsidRPr="0096524F">
        <w:t>L.</w:t>
      </w:r>
      <w:r w:rsidRPr="0096524F">
        <w:t xml:space="preserve"> </w:t>
      </w:r>
      <w:r w:rsidRPr="0096524F">
        <w:t>No.</w:t>
      </w:r>
      <w:r w:rsidRPr="0096524F">
        <w:t xml:space="preserve"> </w:t>
      </w:r>
      <w:r w:rsidRPr="0096524F">
        <w:t>106-113, 113 Stat.</w:t>
      </w:r>
      <w:r w:rsidRPr="0096524F">
        <w:t xml:space="preserve"> </w:t>
      </w:r>
      <w:r w:rsidRPr="0096524F">
        <w:t>1536, 106th Cong., 1st Sess.</w:t>
      </w:r>
      <w:r w:rsidRPr="0096524F">
        <w:t xml:space="preserve"> </w:t>
      </w:r>
      <w:r w:rsidRPr="0096524F">
        <w:t xml:space="preserve">(1999), </w:t>
      </w:r>
      <w:r w:rsidRPr="0096524F">
        <w:rPr>
          <w:i/>
        </w:rPr>
        <w:t>codified in part at</w:t>
      </w:r>
      <w:r w:rsidRPr="0096524F">
        <w:t xml:space="preserve"> 15 U.S.C.</w:t>
      </w:r>
      <w:r w:rsidRPr="0096524F">
        <w:t xml:space="preserve"> </w:t>
      </w:r>
      <w:r w:rsidRPr="0096524F">
        <w:t>§§1125(d), 1129.</w:t>
      </w:r>
    </w:p>
  </w:footnote>
  <w:footnote w:id="626">
    <w:p w14:paraId="05FFDE64" w14:textId="023B76F0" w:rsidR="0096524F" w:rsidRPr="00EB11B3" w:rsidRDefault="0096524F" w:rsidP="0096524F">
      <w:pPr>
        <w:pStyle w:val="FootnoteText"/>
      </w:pPr>
      <w:r w:rsidRPr="0096524F">
        <w:rPr>
          <w:vertAlign w:val="superscript"/>
        </w:rPr>
        <w:footnoteRef/>
      </w:r>
      <w:r w:rsidRPr="0096524F">
        <w:t>Lanham Act §43(d)(1), 15 U.S.C.</w:t>
      </w:r>
      <w:r w:rsidRPr="0096524F">
        <w:t xml:space="preserve"> </w:t>
      </w:r>
      <w:r w:rsidRPr="0096524F">
        <w:t>§1125(d)(1).</w:t>
      </w:r>
    </w:p>
  </w:footnote>
  <w:footnote w:id="627">
    <w:p w14:paraId="3ABC6732" w14:textId="18B3F8E6" w:rsidR="0096524F" w:rsidRPr="00EB11B3" w:rsidRDefault="0096524F" w:rsidP="0096524F">
      <w:pPr>
        <w:pStyle w:val="FootnoteText"/>
      </w:pPr>
      <w:r w:rsidRPr="0096524F">
        <w:rPr>
          <w:vertAlign w:val="superscript"/>
        </w:rPr>
        <w:footnoteRef/>
      </w:r>
      <w:r w:rsidRPr="0096524F">
        <w:t>Chapter 14 discusses various issues raised by the interaction of the ACPA and the TDRA.</w:t>
      </w:r>
    </w:p>
  </w:footnote>
  <w:footnote w:id="628">
    <w:p w14:paraId="7A441096" w14:textId="299D6B2A" w:rsidR="0096524F" w:rsidRPr="00EB11B3" w:rsidRDefault="0096524F" w:rsidP="0096524F">
      <w:pPr>
        <w:pStyle w:val="FootnoteText"/>
      </w:pPr>
      <w:r w:rsidRPr="0096524F">
        <w:rPr>
          <w:vertAlign w:val="superscript"/>
        </w:rPr>
        <w:footnoteRef/>
      </w:r>
      <w:r w:rsidRPr="0096524F">
        <w:t>One may also bring an arbitration proceeding under the Uniform Domain Name Dispute Resolution Policy (UDRP) of the Internet Corporation for Assigned Names and Numbers (ICANN), which allows mark owners to use arbitration to force domain name registrants to turn over their domain names to the famous mark owner.</w:t>
      </w:r>
      <w:r w:rsidRPr="0096524F">
        <w:t xml:space="preserve"> </w:t>
      </w:r>
      <w:r w:rsidRPr="0096524F">
        <w:t>The UDRP can be found at &lt;www.icann.org/udrp/udrp-policy-24oct99.htm&gt; (last visited June 23, 2011).</w:t>
      </w:r>
    </w:p>
  </w:footnote>
  <w:footnote w:id="629">
    <w:p w14:paraId="21C0FC8C" w14:textId="1FA47EFC" w:rsidR="0096524F" w:rsidRPr="00EB11B3" w:rsidRDefault="0096524F" w:rsidP="0096524F">
      <w:pPr>
        <w:pStyle w:val="FootnoteText"/>
      </w:pPr>
      <w:r w:rsidRPr="0096524F">
        <w:rPr>
          <w:vertAlign w:val="superscript"/>
        </w:rPr>
        <w:footnoteRef/>
      </w:r>
      <w:r w:rsidRPr="0096524F">
        <w:t>302 F.3d 248, 64 USPQ2d 1248 (4th Cir.</w:t>
      </w:r>
      <w:r w:rsidRPr="0096524F">
        <w:t xml:space="preserve"> </w:t>
      </w:r>
      <w:r w:rsidRPr="0096524F">
        <w:t>2002).</w:t>
      </w:r>
    </w:p>
  </w:footnote>
  <w:footnote w:id="630">
    <w:p w14:paraId="0B69F2F8" w14:textId="6E03C6A5"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261.</w:t>
      </w:r>
    </w:p>
  </w:footnote>
  <w:footnote w:id="631">
    <w:p w14:paraId="57384D05" w14:textId="21E88F0B" w:rsidR="0096524F" w:rsidRPr="00EB11B3" w:rsidRDefault="0096524F" w:rsidP="0096524F">
      <w:pPr>
        <w:pStyle w:val="FootnoteText"/>
      </w:pPr>
      <w:r w:rsidRPr="0096524F">
        <w:rPr>
          <w:vertAlign w:val="superscript"/>
        </w:rPr>
        <w:footnoteRef/>
      </w:r>
      <w:r w:rsidRPr="0096524F">
        <w:rPr>
          <w:i/>
        </w:rPr>
        <w:t xml:space="preserve">See </w:t>
      </w:r>
      <w:r w:rsidRPr="0096524F">
        <w:t>below, §IV.</w:t>
      </w:r>
    </w:p>
  </w:footnote>
  <w:footnote w:id="632">
    <w:p w14:paraId="4195FA46" w14:textId="44B7788C"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Panavision Int’l, L.P.</w:t>
      </w:r>
      <w:r w:rsidRPr="0096524F">
        <w:t xml:space="preserve"> </w:t>
      </w:r>
      <w:r w:rsidRPr="0096524F">
        <w:t>v.</w:t>
      </w:r>
      <w:r w:rsidRPr="0096524F">
        <w:t xml:space="preserve"> </w:t>
      </w:r>
      <w:r w:rsidRPr="0096524F">
        <w:t>Toeppen, 141 F.3d 1316, 1326 (9th Cir.</w:t>
      </w:r>
      <w:r w:rsidRPr="0096524F">
        <w:t xml:space="preserve"> </w:t>
      </w:r>
      <w:r w:rsidRPr="0096524F">
        <w:t>1998);</w:t>
      </w:r>
      <w:r w:rsidRPr="0096524F">
        <w:t xml:space="preserve"> </w:t>
      </w:r>
      <w:r w:rsidRPr="0096524F">
        <w:rPr>
          <w:i/>
        </w:rPr>
        <w:t>see</w:t>
      </w:r>
      <w:r w:rsidRPr="0096524F">
        <w:t xml:space="preserve"> Deere &amp; Co.</w:t>
      </w:r>
      <w:r w:rsidRPr="0096524F">
        <w:t xml:space="preserve"> </w:t>
      </w:r>
      <w:r w:rsidRPr="0096524F">
        <w:t>v.</w:t>
      </w:r>
      <w:r w:rsidRPr="0096524F">
        <w:t xml:space="preserve"> </w:t>
      </w:r>
      <w:r w:rsidRPr="0096524F">
        <w:t>MTD Prods., Inc., 41 F.3d 39, 44 (2d Cir.</w:t>
      </w:r>
      <w:r w:rsidRPr="0096524F">
        <w:t xml:space="preserve"> </w:t>
      </w:r>
      <w:r w:rsidRPr="0096524F">
        <w:t>1994) (in a non-Internet case, stating that blurring and tarnishment are not all of the possible categories).</w:t>
      </w:r>
    </w:p>
  </w:footnote>
  <w:footnote w:id="633">
    <w:p w14:paraId="64B872F2" w14:textId="2E548B3C"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w:t>
      </w:r>
      <w:r w:rsidRPr="0096524F">
        <w:rPr>
          <w:i/>
        </w:rPr>
        <w:t>, Panavision Int’l,</w:t>
      </w:r>
      <w:r w:rsidRPr="0096524F">
        <w:t xml:space="preserve"> 141 F.3d at 1327;</w:t>
      </w:r>
      <w:r w:rsidRPr="0096524F">
        <w:t xml:space="preserve"> </w:t>
      </w:r>
      <w:r w:rsidRPr="0096524F">
        <w:t>Virtual Works, Inc.</w:t>
      </w:r>
      <w:r w:rsidRPr="0096524F">
        <w:t xml:space="preserve"> </w:t>
      </w:r>
      <w:r w:rsidRPr="0096524F">
        <w:t>v.</w:t>
      </w:r>
      <w:r w:rsidRPr="0096524F">
        <w:t xml:space="preserve"> </w:t>
      </w:r>
      <w:r w:rsidRPr="0096524F">
        <w:t>Network Solutions, Inc., 106 F.</w:t>
      </w:r>
      <w:r w:rsidRPr="0096524F">
        <w:t xml:space="preserve"> </w:t>
      </w:r>
      <w:r w:rsidRPr="0096524F">
        <w:t>Supp.</w:t>
      </w:r>
      <w:r w:rsidRPr="0096524F">
        <w:t xml:space="preserve"> </w:t>
      </w:r>
      <w:r w:rsidRPr="0096524F">
        <w:t>2d 845, 847–48, 54 USPQ2d 1126 (E.D.</w:t>
      </w:r>
      <w:r w:rsidRPr="0096524F">
        <w:t xml:space="preserve"> </w:t>
      </w:r>
      <w:r w:rsidRPr="0096524F">
        <w:t>Va.</w:t>
      </w:r>
      <w:r w:rsidRPr="0096524F">
        <w:t xml:space="preserve"> </w:t>
      </w:r>
      <w:r w:rsidRPr="0096524F">
        <w:t xml:space="preserve">2000), </w:t>
      </w:r>
      <w:r w:rsidRPr="0096524F">
        <w:rPr>
          <w:i/>
        </w:rPr>
        <w:t>aff’d on other grounds sub nom</w:t>
      </w:r>
      <w:r w:rsidRPr="0096524F">
        <w:t>.</w:t>
      </w:r>
      <w:r w:rsidRPr="0096524F">
        <w:t xml:space="preserve"> </w:t>
      </w:r>
      <w:r w:rsidRPr="0096524F">
        <w:t>Virtual Works, Inc.</w:t>
      </w:r>
      <w:r w:rsidRPr="0096524F">
        <w:t xml:space="preserve"> </w:t>
      </w:r>
      <w:r w:rsidRPr="0096524F">
        <w:t>v.</w:t>
      </w:r>
      <w:r w:rsidRPr="0096524F">
        <w:t xml:space="preserve"> </w:t>
      </w:r>
      <w:r w:rsidRPr="0096524F">
        <w:t>Volkswagen of Am., Inc., 238 F.3d 264, 57 USPQ2d 1547 (4th Cir.</w:t>
      </w:r>
      <w:r w:rsidRPr="0096524F">
        <w:t xml:space="preserve"> </w:t>
      </w:r>
      <w:r w:rsidRPr="0096524F">
        <w:t>2001) (affirmed on the district court’s ruling that defendant violated the Anticybersquatting Consumer Protection Act);</w:t>
      </w:r>
      <w:r w:rsidRPr="0096524F">
        <w:t xml:space="preserve"> </w:t>
      </w:r>
      <w:r w:rsidRPr="0096524F">
        <w:t>Jews for Jesus v.</w:t>
      </w:r>
      <w:r w:rsidRPr="0096524F">
        <w:t xml:space="preserve"> </w:t>
      </w:r>
      <w:r w:rsidRPr="0096524F">
        <w:t>Brodsky, 993 F.</w:t>
      </w:r>
      <w:r w:rsidRPr="0096524F">
        <w:t xml:space="preserve"> </w:t>
      </w:r>
      <w:r w:rsidRPr="0096524F">
        <w:t>Supp.</w:t>
      </w:r>
      <w:r w:rsidRPr="0096524F">
        <w:t xml:space="preserve"> </w:t>
      </w:r>
      <w:r w:rsidRPr="0096524F">
        <w:t xml:space="preserve">282, 306–07, 46 USPQ2d 1652 (D.N.J.), </w:t>
      </w:r>
      <w:r w:rsidRPr="0096524F">
        <w:rPr>
          <w:i/>
        </w:rPr>
        <w:t>aff’d,</w:t>
      </w:r>
      <w:r w:rsidRPr="0096524F">
        <w:t xml:space="preserve"> 159 F.3d 1351 (3d Cir.</w:t>
      </w:r>
      <w:r w:rsidRPr="0096524F">
        <w:t xml:space="preserve"> </w:t>
      </w:r>
      <w:r w:rsidRPr="0096524F">
        <w:t>1998);</w:t>
      </w:r>
      <w:r w:rsidRPr="0096524F">
        <w:t xml:space="preserve"> </w:t>
      </w:r>
      <w:r w:rsidRPr="0096524F">
        <w:t>Intermatic, Inc.</w:t>
      </w:r>
      <w:r w:rsidRPr="0096524F">
        <w:t xml:space="preserve"> </w:t>
      </w:r>
      <w:r w:rsidRPr="0096524F">
        <w:t>v.</w:t>
      </w:r>
      <w:r w:rsidRPr="0096524F">
        <w:t xml:space="preserve"> </w:t>
      </w:r>
      <w:r w:rsidRPr="0096524F">
        <w:t>Toeppen, 947 F.</w:t>
      </w:r>
      <w:r w:rsidRPr="0096524F">
        <w:t xml:space="preserve"> </w:t>
      </w:r>
      <w:r w:rsidRPr="0096524F">
        <w:t>Supp.</w:t>
      </w:r>
      <w:r w:rsidRPr="0096524F">
        <w:t xml:space="preserve"> </w:t>
      </w:r>
      <w:r w:rsidRPr="0096524F">
        <w:t>1227, 1240, 40 USPQ2d 1412 (N.D.</w:t>
      </w:r>
      <w:r w:rsidRPr="0096524F">
        <w:t xml:space="preserve"> </w:t>
      </w:r>
      <w:r w:rsidRPr="0096524F">
        <w:t>Ill.</w:t>
      </w:r>
      <w:r w:rsidRPr="0096524F">
        <w:t xml:space="preserve"> </w:t>
      </w:r>
      <w:r w:rsidRPr="0096524F">
        <w:t>1996).</w:t>
      </w:r>
    </w:p>
  </w:footnote>
  <w:footnote w:id="634">
    <w:p w14:paraId="0BE94693" w14:textId="56916EE2" w:rsidR="0096524F" w:rsidRPr="00EB11B3" w:rsidRDefault="0096524F" w:rsidP="0096524F">
      <w:pPr>
        <w:pStyle w:val="FootnoteText"/>
      </w:pPr>
      <w:r w:rsidRPr="0096524F">
        <w:rPr>
          <w:vertAlign w:val="superscript"/>
        </w:rPr>
        <w:footnoteRef/>
      </w:r>
      <w:r w:rsidRPr="0096524F">
        <w:t>141 F.3d 1316, 46 USPQ2d 1511 (9th Cir.</w:t>
      </w:r>
      <w:r w:rsidRPr="0096524F">
        <w:t xml:space="preserve"> </w:t>
      </w:r>
      <w:r w:rsidRPr="0096524F">
        <w:t>1998).</w:t>
      </w:r>
    </w:p>
  </w:footnote>
  <w:footnote w:id="635">
    <w:p w14:paraId="2D7DBAB1" w14:textId="33D4082A" w:rsidR="0096524F" w:rsidRPr="00EB11B3" w:rsidRDefault="0096524F" w:rsidP="0096524F">
      <w:pPr>
        <w:pStyle w:val="FootnoteText"/>
      </w:pPr>
      <w:r w:rsidRPr="0096524F">
        <w:rPr>
          <w:vertAlign w:val="superscript"/>
        </w:rPr>
        <w:footnoteRef/>
      </w:r>
      <w:r w:rsidRPr="0096524F">
        <w:t>947 F.</w:t>
      </w:r>
      <w:r w:rsidRPr="0096524F">
        <w:t xml:space="preserve"> </w:t>
      </w:r>
      <w:r w:rsidRPr="0096524F">
        <w:t>Supp.</w:t>
      </w:r>
      <w:r w:rsidRPr="0096524F">
        <w:t xml:space="preserve"> </w:t>
      </w:r>
      <w:r w:rsidRPr="0096524F">
        <w:t>1227, 40 USPQ2d 1412 (N.D.</w:t>
      </w:r>
      <w:r w:rsidRPr="0096524F">
        <w:t xml:space="preserve"> </w:t>
      </w:r>
      <w:r w:rsidRPr="0096524F">
        <w:t>Ill.</w:t>
      </w:r>
      <w:r w:rsidRPr="0096524F">
        <w:t xml:space="preserve"> </w:t>
      </w:r>
      <w:r w:rsidRPr="0096524F">
        <w:t>1996).</w:t>
      </w:r>
    </w:p>
  </w:footnote>
  <w:footnote w:id="636">
    <w:p w14:paraId="2865FC84" w14:textId="7C6E53C9" w:rsidR="0096524F" w:rsidRPr="00EB11B3" w:rsidRDefault="0096524F" w:rsidP="0096524F">
      <w:pPr>
        <w:pStyle w:val="FootnoteText"/>
      </w:pPr>
      <w:r w:rsidRPr="0096524F">
        <w:rPr>
          <w:vertAlign w:val="superscript"/>
        </w:rPr>
        <w:footnoteRef/>
      </w:r>
      <w:r w:rsidRPr="0096524F">
        <w:rPr>
          <w:i/>
        </w:rPr>
        <w:t>Panavision,</w:t>
      </w:r>
      <w:r w:rsidRPr="0096524F">
        <w:t xml:space="preserve"> 141 F.3d at 1326.</w:t>
      </w:r>
    </w:p>
  </w:footnote>
  <w:footnote w:id="637">
    <w:p w14:paraId="116630B8" w14:textId="2F9141CD" w:rsidR="0096524F" w:rsidRPr="00EB11B3" w:rsidRDefault="0096524F" w:rsidP="0096524F">
      <w:pPr>
        <w:pStyle w:val="FootnoteText"/>
      </w:pPr>
      <w:r w:rsidRPr="0096524F">
        <w:rPr>
          <w:vertAlign w:val="superscript"/>
        </w:rPr>
        <w:footnoteRef/>
      </w:r>
      <w:r w:rsidRPr="0096524F">
        <w:rPr>
          <w:i/>
        </w:rPr>
        <w:t>Id</w:t>
      </w:r>
      <w:r w:rsidRPr="0096524F">
        <w:t>.</w:t>
      </w:r>
    </w:p>
  </w:footnote>
  <w:footnote w:id="638">
    <w:p w14:paraId="367A81F6" w14:textId="72963202" w:rsidR="0096524F" w:rsidRPr="00EB11B3" w:rsidRDefault="0096524F" w:rsidP="0096524F">
      <w:pPr>
        <w:pStyle w:val="FootnoteText"/>
      </w:pPr>
      <w:r w:rsidRPr="0096524F">
        <w:rPr>
          <w:vertAlign w:val="superscript"/>
        </w:rPr>
        <w:footnoteRef/>
      </w:r>
      <w:r w:rsidRPr="0096524F">
        <w:rPr>
          <w:i/>
        </w:rPr>
        <w:t>Id</w:t>
      </w:r>
      <w:r w:rsidRPr="0096524F">
        <w:t>.(quoting 945 F.</w:t>
      </w:r>
      <w:r w:rsidRPr="0096524F">
        <w:t xml:space="preserve"> </w:t>
      </w:r>
      <w:r w:rsidRPr="0096524F">
        <w:t>Supp.</w:t>
      </w:r>
      <w:r w:rsidRPr="0096524F">
        <w:t xml:space="preserve"> </w:t>
      </w:r>
      <w:r w:rsidRPr="0096524F">
        <w:t>at 1304).</w:t>
      </w:r>
    </w:p>
  </w:footnote>
  <w:footnote w:id="639">
    <w:p w14:paraId="70840A02" w14:textId="1DC3AF35"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1327.</w:t>
      </w:r>
      <w:r w:rsidRPr="0096524F">
        <w:t xml:space="preserve"> </w:t>
      </w:r>
      <w:r w:rsidRPr="0096524F">
        <w:t>Toeppen did not use the domains to display or link to pornography.</w:t>
      </w:r>
      <w:r w:rsidRPr="0096524F">
        <w:t xml:space="preserve"> </w:t>
      </w:r>
      <w:r w:rsidRPr="0096524F">
        <w:t>On the panavision.com Web site, he displayed a picture of Pana, Illinois.</w:t>
      </w:r>
      <w:r w:rsidRPr="0096524F">
        <w:t xml:space="preserve"> </w:t>
      </w:r>
      <w:r w:rsidRPr="0096524F">
        <w:rPr>
          <w:i/>
        </w:rPr>
        <w:t>Id</w:t>
      </w:r>
      <w:r w:rsidRPr="0096524F">
        <w:t>.</w:t>
      </w:r>
      <w:r w:rsidRPr="0096524F">
        <w:t xml:space="preserve"> </w:t>
      </w:r>
      <w:r w:rsidRPr="0096524F">
        <w:t>at 1319.</w:t>
      </w:r>
      <w:r w:rsidRPr="0096524F">
        <w:t xml:space="preserve"> </w:t>
      </w:r>
      <w:r w:rsidRPr="0096524F">
        <w:t xml:space="preserve">On the panaflex.com Web site (Panaflex is a trademark owned by Panavision), Toeppen just put the word “hello.” </w:t>
      </w:r>
      <w:r w:rsidRPr="0096524F">
        <w:rPr>
          <w:i/>
        </w:rPr>
        <w:t>Id</w:t>
      </w:r>
      <w:r w:rsidRPr="0096524F">
        <w:t>.</w:t>
      </w:r>
      <w:r w:rsidRPr="0096524F">
        <w:t xml:space="preserve"> </w:t>
      </w:r>
      <w:r w:rsidRPr="0096524F">
        <w:t>This caused some concern about whether he was making “commercial use” of the mark, but the court found that he had done so.</w:t>
      </w:r>
      <w:r w:rsidRPr="0096524F">
        <w:t xml:space="preserve"> </w:t>
      </w:r>
      <w:r w:rsidRPr="0096524F">
        <w:t>See Chapter 7, §III, for a discussion of commercial use.</w:t>
      </w:r>
    </w:p>
  </w:footnote>
  <w:footnote w:id="640">
    <w:p w14:paraId="6294C6B5" w14:textId="77253C13" w:rsidR="0096524F" w:rsidRPr="00EB11B3" w:rsidRDefault="0096524F" w:rsidP="0096524F">
      <w:pPr>
        <w:pStyle w:val="FootnoteText"/>
      </w:pPr>
      <w:r w:rsidRPr="0096524F">
        <w:rPr>
          <w:vertAlign w:val="superscript"/>
        </w:rPr>
        <w:footnoteRef/>
      </w:r>
      <w:r w:rsidRPr="0096524F">
        <w:t>947 F.</w:t>
      </w:r>
      <w:r w:rsidRPr="0096524F">
        <w:t xml:space="preserve"> </w:t>
      </w:r>
      <w:r w:rsidRPr="0096524F">
        <w:t>Supp.</w:t>
      </w:r>
      <w:r w:rsidRPr="0096524F">
        <w:t xml:space="preserve"> </w:t>
      </w:r>
      <w:r w:rsidRPr="0096524F">
        <w:t>at 1229.</w:t>
      </w:r>
      <w:r w:rsidRPr="0096524F">
        <w:t xml:space="preserve"> </w:t>
      </w:r>
      <w:r w:rsidRPr="0096524F">
        <w:t>Toeppen also registered a number of other companies’ names as his domain names.</w:t>
      </w:r>
      <w:r w:rsidRPr="0096524F">
        <w:t xml:space="preserve"> </w:t>
      </w:r>
      <w:r w:rsidRPr="0096524F">
        <w:rPr>
          <w:i/>
        </w:rPr>
        <w:t>Id</w:t>
      </w:r>
      <w:r w:rsidRPr="0096524F">
        <w:t>.</w:t>
      </w:r>
      <w:r w:rsidRPr="0096524F">
        <w:t xml:space="preserve"> </w:t>
      </w:r>
      <w:r w:rsidRPr="0096524F">
        <w:t>at 1230.</w:t>
      </w:r>
    </w:p>
  </w:footnote>
  <w:footnote w:id="641">
    <w:p w14:paraId="7DAEC806" w14:textId="6A7E8B1A"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1240.</w:t>
      </w:r>
    </w:p>
  </w:footnote>
  <w:footnote w:id="642">
    <w:p w14:paraId="1D7726C7" w14:textId="13AB5B5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1240–41.</w:t>
      </w:r>
    </w:p>
  </w:footnote>
  <w:footnote w:id="643">
    <w:p w14:paraId="2AA161A5" w14:textId="50E86208"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Caterpillar, Inc.</w:t>
      </w:r>
      <w:r w:rsidRPr="0096524F">
        <w:t xml:space="preserve"> </w:t>
      </w:r>
      <w:r w:rsidRPr="0096524F">
        <w:t>v.</w:t>
      </w:r>
      <w:r w:rsidRPr="0096524F">
        <w:t xml:space="preserve"> </w:t>
      </w:r>
      <w:r w:rsidRPr="0096524F">
        <w:t>Telescan Techs., LLC, 2002 WL 1301304, at *5 (C.D.</w:t>
      </w:r>
      <w:r w:rsidRPr="0096524F">
        <w:t xml:space="preserve"> </w:t>
      </w:r>
      <w:r w:rsidRPr="0096524F">
        <w:t>Ill.</w:t>
      </w:r>
      <w:r w:rsidRPr="0096524F">
        <w:t xml:space="preserve"> </w:t>
      </w:r>
      <w:r w:rsidRPr="0096524F">
        <w:t>Feb.</w:t>
      </w:r>
      <w:r w:rsidRPr="0096524F">
        <w:t xml:space="preserve"> </w:t>
      </w:r>
      <w:r w:rsidRPr="0096524F">
        <w:t>13, 2002);</w:t>
      </w:r>
      <w:r w:rsidRPr="0096524F">
        <w:t xml:space="preserve"> </w:t>
      </w:r>
      <w:r w:rsidRPr="0096524F">
        <w:t>Aztar Corp.</w:t>
      </w:r>
      <w:r w:rsidRPr="0096524F">
        <w:t xml:space="preserve"> </w:t>
      </w:r>
      <w:r w:rsidRPr="0096524F">
        <w:t>v.</w:t>
      </w:r>
      <w:r w:rsidRPr="0096524F">
        <w:t xml:space="preserve"> </w:t>
      </w:r>
      <w:r w:rsidRPr="0096524F">
        <w:t>MGM Casino, 59 USPQ2d 1460, 1464 (E.D.</w:t>
      </w:r>
      <w:r w:rsidRPr="0096524F">
        <w:t xml:space="preserve"> </w:t>
      </w:r>
      <w:r w:rsidRPr="0096524F">
        <w:t>Va.</w:t>
      </w:r>
      <w:r w:rsidRPr="0096524F">
        <w:t xml:space="preserve"> </w:t>
      </w:r>
      <w:r w:rsidRPr="0096524F">
        <w:t>2001);</w:t>
      </w:r>
      <w:r w:rsidRPr="0096524F">
        <w:t xml:space="preserve"> </w:t>
      </w:r>
      <w:r w:rsidRPr="0096524F">
        <w:t>Virtual Works, Inc.</w:t>
      </w:r>
      <w:r w:rsidRPr="0096524F">
        <w:t xml:space="preserve"> </w:t>
      </w:r>
      <w:r w:rsidRPr="0096524F">
        <w:t>v.</w:t>
      </w:r>
      <w:r w:rsidRPr="0096524F">
        <w:t xml:space="preserve"> </w:t>
      </w:r>
      <w:r w:rsidRPr="0096524F">
        <w:t>Network Solutions, Inc., 106 F.</w:t>
      </w:r>
      <w:r w:rsidRPr="0096524F">
        <w:t xml:space="preserve"> </w:t>
      </w:r>
      <w:r w:rsidRPr="0096524F">
        <w:t>Supp.</w:t>
      </w:r>
      <w:r w:rsidRPr="0096524F">
        <w:t xml:space="preserve"> </w:t>
      </w:r>
      <w:r w:rsidRPr="0096524F">
        <w:t>2d 845, 847, 54 USPQ2d 1126 (E.D.</w:t>
      </w:r>
      <w:r w:rsidRPr="0096524F">
        <w:t xml:space="preserve"> </w:t>
      </w:r>
      <w:r w:rsidRPr="0096524F">
        <w:t>Va.</w:t>
      </w:r>
      <w:r w:rsidRPr="0096524F">
        <w:t xml:space="preserve"> </w:t>
      </w:r>
      <w:r w:rsidRPr="0096524F">
        <w:t xml:space="preserve">2000), </w:t>
      </w:r>
      <w:r w:rsidRPr="0096524F">
        <w:rPr>
          <w:i/>
        </w:rPr>
        <w:t>aff’d on other grounds sub nom</w:t>
      </w:r>
      <w:r w:rsidRPr="0096524F">
        <w:t>.</w:t>
      </w:r>
      <w:r w:rsidRPr="0096524F">
        <w:t xml:space="preserve"> </w:t>
      </w:r>
      <w:r w:rsidRPr="0096524F">
        <w:t>Virtual Works, Inc.</w:t>
      </w:r>
      <w:r w:rsidRPr="0096524F">
        <w:t xml:space="preserve"> </w:t>
      </w:r>
      <w:r w:rsidRPr="0096524F">
        <w:t>v.</w:t>
      </w:r>
      <w:r w:rsidRPr="0096524F">
        <w:t xml:space="preserve"> </w:t>
      </w:r>
      <w:r w:rsidRPr="0096524F">
        <w:t>Volkswagen of Am., Inc., 238 F.3d 264, 57 USPQ2d 1547 (4th Cir.</w:t>
      </w:r>
      <w:r w:rsidRPr="0096524F">
        <w:t xml:space="preserve"> </w:t>
      </w:r>
      <w:r w:rsidRPr="0096524F">
        <w:t>2001) (affirmed on violation of ACPA);</w:t>
      </w:r>
      <w:r w:rsidRPr="0096524F">
        <w:t xml:space="preserve"> </w:t>
      </w:r>
      <w:r w:rsidRPr="0096524F">
        <w:t>Paccar, Inc.</w:t>
      </w:r>
      <w:r w:rsidRPr="0096524F">
        <w:t xml:space="preserve"> </w:t>
      </w:r>
      <w:r w:rsidRPr="0096524F">
        <w:t>v.</w:t>
      </w:r>
      <w:r w:rsidRPr="0096524F">
        <w:t xml:space="preserve"> </w:t>
      </w:r>
      <w:r w:rsidRPr="0096524F">
        <w:t>Telescan Techs., L.L.C., 115 F.</w:t>
      </w:r>
      <w:r w:rsidRPr="0096524F">
        <w:t xml:space="preserve"> </w:t>
      </w:r>
      <w:r w:rsidRPr="0096524F">
        <w:t>Supp.</w:t>
      </w:r>
      <w:r w:rsidRPr="0096524F">
        <w:t xml:space="preserve"> </w:t>
      </w:r>
      <w:r w:rsidRPr="0096524F">
        <w:t>2d 772, 779–80 (E.D.</w:t>
      </w:r>
      <w:r w:rsidRPr="0096524F">
        <w:t xml:space="preserve"> </w:t>
      </w:r>
      <w:r w:rsidRPr="0096524F">
        <w:t>Mich.</w:t>
      </w:r>
      <w:r w:rsidRPr="0096524F">
        <w:t xml:space="preserve"> </w:t>
      </w:r>
      <w:r w:rsidRPr="0096524F">
        <w:t xml:space="preserve">2000), </w:t>
      </w:r>
      <w:r w:rsidRPr="0096524F">
        <w:rPr>
          <w:i/>
        </w:rPr>
        <w:t>vacated in part, aff’d in part on other grounds</w:t>
      </w:r>
      <w:r w:rsidRPr="0096524F">
        <w:t>, 319 F.3d 243, 65 USPQ2d 1761 (6th Cir.</w:t>
      </w:r>
      <w:r w:rsidRPr="0096524F">
        <w:t xml:space="preserve"> </w:t>
      </w:r>
      <w:r w:rsidRPr="0096524F">
        <w:t>2003) (the Sixth Circuit did not rule on the dilution issue);</w:t>
      </w:r>
      <w:r w:rsidRPr="0096524F">
        <w:t xml:space="preserve"> </w:t>
      </w:r>
      <w:r w:rsidRPr="0096524F">
        <w:t>Mirage Resorts, Inc.</w:t>
      </w:r>
      <w:r w:rsidRPr="0096524F">
        <w:t xml:space="preserve"> </w:t>
      </w:r>
      <w:r w:rsidRPr="0096524F">
        <w:t>v.</w:t>
      </w:r>
      <w:r w:rsidRPr="0096524F">
        <w:t xml:space="preserve"> </w:t>
      </w:r>
      <w:r w:rsidRPr="0096524F">
        <w:t>Stirpe, 152 F.</w:t>
      </w:r>
      <w:r w:rsidRPr="0096524F">
        <w:t xml:space="preserve"> </w:t>
      </w:r>
      <w:r w:rsidRPr="0096524F">
        <w:t>Supp.</w:t>
      </w:r>
      <w:r w:rsidRPr="0096524F">
        <w:t xml:space="preserve"> </w:t>
      </w:r>
      <w:r w:rsidRPr="0096524F">
        <w:t>2d 1208, 1217 (D.</w:t>
      </w:r>
      <w:r w:rsidRPr="0096524F">
        <w:t xml:space="preserve"> </w:t>
      </w:r>
      <w:r w:rsidRPr="0096524F">
        <w:t>Nev.</w:t>
      </w:r>
      <w:r w:rsidRPr="0096524F">
        <w:t xml:space="preserve"> </w:t>
      </w:r>
      <w:r w:rsidRPr="0096524F">
        <w:t>2000);</w:t>
      </w:r>
      <w:r w:rsidRPr="0096524F">
        <w:t xml:space="preserve"> </w:t>
      </w:r>
      <w:r w:rsidRPr="0096524F">
        <w:t>Jews for Jesus v.</w:t>
      </w:r>
      <w:r w:rsidRPr="0096524F">
        <w:t xml:space="preserve"> </w:t>
      </w:r>
      <w:r w:rsidRPr="0096524F">
        <w:t>Brodsky, 993 F.</w:t>
      </w:r>
      <w:r w:rsidRPr="0096524F">
        <w:t xml:space="preserve"> </w:t>
      </w:r>
      <w:r w:rsidRPr="0096524F">
        <w:t>Supp.</w:t>
      </w:r>
      <w:r w:rsidRPr="0096524F">
        <w:t xml:space="preserve"> </w:t>
      </w:r>
      <w:r w:rsidRPr="0096524F">
        <w:t xml:space="preserve">282, 306–07, 46 USPQ2d 1652 (D.N.J.), </w:t>
      </w:r>
      <w:r w:rsidRPr="0096524F">
        <w:rPr>
          <w:i/>
        </w:rPr>
        <w:t>aff’d,</w:t>
      </w:r>
      <w:r w:rsidRPr="0096524F">
        <w:t xml:space="preserve"> 159 F.3d 1351 (3d Cir.</w:t>
      </w:r>
      <w:r w:rsidRPr="0096524F">
        <w:t xml:space="preserve"> </w:t>
      </w:r>
      <w:r w:rsidRPr="0096524F">
        <w:t>1998);</w:t>
      </w:r>
      <w:r w:rsidRPr="0096524F">
        <w:t xml:space="preserve"> </w:t>
      </w:r>
      <w:r w:rsidRPr="0096524F">
        <w:t>Lozano Enters.</w:t>
      </w:r>
      <w:r w:rsidRPr="0096524F">
        <w:t xml:space="preserve"> </w:t>
      </w:r>
      <w:r w:rsidRPr="0096524F">
        <w:t>v.</w:t>
      </w:r>
      <w:r w:rsidRPr="0096524F">
        <w:t xml:space="preserve"> </w:t>
      </w:r>
      <w:r w:rsidRPr="0096524F">
        <w:t>La Opinion Publ’g Co., 44 USPQ2d 1764, 1769 (C.D.</w:t>
      </w:r>
      <w:r w:rsidRPr="0096524F">
        <w:t xml:space="preserve"> </w:t>
      </w:r>
      <w:r w:rsidRPr="0096524F">
        <w:t>Cal.</w:t>
      </w:r>
      <w:r w:rsidRPr="0096524F">
        <w:t xml:space="preserve"> </w:t>
      </w:r>
      <w:r w:rsidRPr="0096524F">
        <w:t>1997);</w:t>
      </w:r>
      <w:r w:rsidRPr="0096524F">
        <w:t xml:space="preserve"> </w:t>
      </w:r>
      <w:r w:rsidRPr="0096524F">
        <w:t>Hasbro, Inc.</w:t>
      </w:r>
      <w:r w:rsidRPr="0096524F">
        <w:t xml:space="preserve"> </w:t>
      </w:r>
      <w:r w:rsidRPr="0096524F">
        <w:t>v.</w:t>
      </w:r>
      <w:r w:rsidRPr="0096524F">
        <w:t xml:space="preserve"> </w:t>
      </w:r>
      <w:r w:rsidRPr="0096524F">
        <w:t>Internet Entm’t Group, Ltd., 40 USPQ2d 1479, 1480 (W.D.</w:t>
      </w:r>
      <w:r w:rsidRPr="0096524F">
        <w:t xml:space="preserve"> </w:t>
      </w:r>
      <w:r w:rsidRPr="0096524F">
        <w:t>Wash.</w:t>
      </w:r>
      <w:r w:rsidRPr="0096524F">
        <w:t xml:space="preserve"> </w:t>
      </w:r>
      <w:r w:rsidRPr="0096524F">
        <w:t>1996).</w:t>
      </w:r>
      <w:r w:rsidRPr="0096524F">
        <w:t xml:space="preserve"> </w:t>
      </w:r>
      <w:r w:rsidRPr="0096524F">
        <w:rPr>
          <w:i/>
        </w:rPr>
        <w:t>See</w:t>
      </w:r>
      <w:r w:rsidRPr="0096524F">
        <w:t xml:space="preserve"> Visa Int’l Serv.</w:t>
      </w:r>
      <w:r w:rsidRPr="0096524F">
        <w:t xml:space="preserve"> </w:t>
      </w:r>
      <w:r w:rsidRPr="0096524F">
        <w:t>Ass’n v.</w:t>
      </w:r>
      <w:r w:rsidRPr="0096524F">
        <w:t xml:space="preserve"> </w:t>
      </w:r>
      <w:r w:rsidRPr="0096524F">
        <w:t>JSL Corp., No.</w:t>
      </w:r>
      <w:r w:rsidRPr="0096524F">
        <w:t xml:space="preserve"> </w:t>
      </w:r>
      <w:r w:rsidRPr="0096524F">
        <w:t>CV-S-01-0294-LRH, slip op.</w:t>
      </w:r>
      <w:r w:rsidRPr="0096524F">
        <w:t xml:space="preserve"> </w:t>
      </w:r>
      <w:r w:rsidRPr="0096524F">
        <w:t>at 22–23 (D.</w:t>
      </w:r>
      <w:r w:rsidRPr="0096524F">
        <w:t xml:space="preserve"> </w:t>
      </w:r>
      <w:r w:rsidRPr="0096524F">
        <w:t>Nev.</w:t>
      </w:r>
      <w:r w:rsidRPr="0096524F">
        <w:t xml:space="preserve"> </w:t>
      </w:r>
      <w:r w:rsidRPr="0096524F">
        <w:t>Oct.</w:t>
      </w:r>
      <w:r w:rsidRPr="0096524F">
        <w:t xml:space="preserve"> </w:t>
      </w:r>
      <w:r w:rsidRPr="0096524F">
        <w:t xml:space="preserve">22, 2002) (following </w:t>
      </w:r>
      <w:r w:rsidRPr="0096524F">
        <w:rPr>
          <w:i/>
        </w:rPr>
        <w:t>Panavision</w:t>
      </w:r>
      <w:r w:rsidRPr="0096524F">
        <w:t xml:space="preserve"> and </w:t>
      </w:r>
      <w:r w:rsidRPr="0096524F">
        <w:rPr>
          <w:i/>
        </w:rPr>
        <w:t>Mirage</w:t>
      </w:r>
      <w:r w:rsidRPr="0096524F">
        <w:t xml:space="preserve"> cases), </w:t>
      </w:r>
      <w:r w:rsidRPr="0096524F">
        <w:rPr>
          <w:i/>
        </w:rPr>
        <w:t>vacated and remanded</w:t>
      </w:r>
      <w:r w:rsidRPr="0096524F">
        <w:t>, 90 F.</w:t>
      </w:r>
      <w:r w:rsidRPr="0096524F">
        <w:t xml:space="preserve"> </w:t>
      </w:r>
      <w:r w:rsidRPr="0096524F">
        <w:t>App’x.</w:t>
      </w:r>
      <w:r w:rsidRPr="0096524F">
        <w:t xml:space="preserve"> </w:t>
      </w:r>
      <w:r w:rsidRPr="0096524F">
        <w:t>484 (9th Cir.</w:t>
      </w:r>
      <w:r w:rsidRPr="0096524F">
        <w:t xml:space="preserve"> </w:t>
      </w:r>
      <w:r w:rsidRPr="0096524F">
        <w:t>2003) (unpublished opinion).</w:t>
      </w:r>
      <w:r w:rsidRPr="0096524F">
        <w:t xml:space="preserve"> </w:t>
      </w:r>
      <w:r w:rsidRPr="0096524F">
        <w:rPr>
          <w:i/>
        </w:rPr>
        <w:t>See also</w:t>
      </w:r>
      <w:r w:rsidRPr="0096524F">
        <w:t xml:space="preserve"> Planned Parenthood Fed’n of Am., Inc.</w:t>
      </w:r>
      <w:r w:rsidRPr="0096524F">
        <w:t xml:space="preserve"> </w:t>
      </w:r>
      <w:r w:rsidRPr="0096524F">
        <w:t>v.</w:t>
      </w:r>
      <w:r w:rsidRPr="0096524F">
        <w:t xml:space="preserve"> </w:t>
      </w:r>
      <w:r w:rsidRPr="0096524F">
        <w:t>Bucci, 42 USPQ2d 1430, 1441 (S.D.N.Y.</w:t>
      </w:r>
      <w:r w:rsidRPr="0096524F">
        <w:t xml:space="preserve"> </w:t>
      </w:r>
      <w:r w:rsidRPr="0096524F">
        <w:t xml:space="preserve">1997) (concluding that dilution exists, with little analysis apart from a discussion of commercial use), </w:t>
      </w:r>
      <w:r w:rsidRPr="0096524F">
        <w:rPr>
          <w:i/>
        </w:rPr>
        <w:t>aff’d mem</w:t>
      </w:r>
      <w:r w:rsidRPr="0096524F">
        <w:t xml:space="preserve">., 152 F.3d 920 (2d Cir.), </w:t>
      </w:r>
      <w:r w:rsidRPr="0096524F">
        <w:rPr>
          <w:i/>
        </w:rPr>
        <w:t>cert</w:t>
      </w:r>
      <w:r w:rsidRPr="0096524F">
        <w:t>.</w:t>
      </w:r>
      <w:r w:rsidRPr="0096524F">
        <w:t xml:space="preserve"> </w:t>
      </w:r>
      <w:r w:rsidRPr="0096524F">
        <w:rPr>
          <w:i/>
        </w:rPr>
        <w:t>denied,</w:t>
      </w:r>
      <w:r w:rsidRPr="0096524F">
        <w:t xml:space="preserve"> 525 U.S.</w:t>
      </w:r>
      <w:r w:rsidRPr="0096524F">
        <w:t xml:space="preserve"> </w:t>
      </w:r>
      <w:r w:rsidRPr="0096524F">
        <w:t>834 (1998);</w:t>
      </w:r>
      <w:r w:rsidRPr="0096524F">
        <w:t xml:space="preserve"> </w:t>
      </w:r>
      <w:r w:rsidRPr="0096524F">
        <w:t>Key3Media Events, Inc.</w:t>
      </w:r>
      <w:r w:rsidRPr="0096524F">
        <w:t xml:space="preserve"> </w:t>
      </w:r>
      <w:r w:rsidRPr="0096524F">
        <w:t>v.</w:t>
      </w:r>
      <w:r w:rsidRPr="0096524F">
        <w:t xml:space="preserve"> </w:t>
      </w:r>
      <w:r w:rsidRPr="0096524F">
        <w:t>Convention Connection, Inc., 2002 WL 385546, at *4 (D.</w:t>
      </w:r>
      <w:r w:rsidRPr="0096524F">
        <w:t xml:space="preserve"> </w:t>
      </w:r>
      <w:r w:rsidRPr="0096524F">
        <w:t>Nev.</w:t>
      </w:r>
      <w:r w:rsidRPr="0096524F">
        <w:t xml:space="preserve"> </w:t>
      </w:r>
      <w:r w:rsidRPr="0096524F">
        <w:t>Jan.</w:t>
      </w:r>
      <w:r w:rsidRPr="0096524F">
        <w:t xml:space="preserve"> </w:t>
      </w:r>
      <w:r w:rsidRPr="0096524F">
        <w:t>25, 2002) (concluding that dilution exists, with little discussion apart from noting that confusion was likely to occur).</w:t>
      </w:r>
    </w:p>
  </w:footnote>
  <w:footnote w:id="644">
    <w:p w14:paraId="5B360CD6" w14:textId="7E05ADDC" w:rsidR="0096524F" w:rsidRPr="00EB11B3" w:rsidRDefault="0096524F" w:rsidP="0096524F">
      <w:pPr>
        <w:pStyle w:val="FootnoteText"/>
      </w:pPr>
      <w:r w:rsidRPr="0096524F">
        <w:rPr>
          <w:vertAlign w:val="superscript"/>
        </w:rPr>
        <w:footnoteRef/>
      </w:r>
      <w:r w:rsidRPr="0096524F">
        <w:t>106 F.</w:t>
      </w:r>
      <w:r w:rsidRPr="0096524F">
        <w:t xml:space="preserve"> </w:t>
      </w:r>
      <w:r w:rsidRPr="0096524F">
        <w:t>Supp.</w:t>
      </w:r>
      <w:r w:rsidRPr="0096524F">
        <w:t xml:space="preserve"> </w:t>
      </w:r>
      <w:r w:rsidRPr="0096524F">
        <w:t>2d 845, 54 USPQ2d 1126 (E.D.</w:t>
      </w:r>
      <w:r w:rsidRPr="0096524F">
        <w:t xml:space="preserve"> </w:t>
      </w:r>
      <w:r w:rsidRPr="0096524F">
        <w:t>Va.</w:t>
      </w:r>
      <w:r w:rsidRPr="0096524F">
        <w:t xml:space="preserve"> </w:t>
      </w:r>
      <w:r w:rsidRPr="0096524F">
        <w:t xml:space="preserve">2000), </w:t>
      </w:r>
      <w:r w:rsidRPr="0096524F">
        <w:rPr>
          <w:i/>
        </w:rPr>
        <w:t>aff’d on other grounds,</w:t>
      </w:r>
      <w:r w:rsidRPr="0096524F">
        <w:t xml:space="preserve"> 238 F.3d 264, 57 USPQ2d 1547 (4th Cir.</w:t>
      </w:r>
      <w:r w:rsidRPr="0096524F">
        <w:t xml:space="preserve"> </w:t>
      </w:r>
      <w:r w:rsidRPr="0096524F">
        <w:t>2001) (appeals court affirmation on ACPA grounds).</w:t>
      </w:r>
    </w:p>
  </w:footnote>
  <w:footnote w:id="645">
    <w:p w14:paraId="7D0BF664" w14:textId="3AEBD2C6"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846.</w:t>
      </w:r>
    </w:p>
  </w:footnote>
  <w:footnote w:id="646">
    <w:p w14:paraId="0D4D76D2" w14:textId="0401C788"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847 (citations omitted).</w:t>
      </w:r>
    </w:p>
  </w:footnote>
  <w:footnote w:id="647">
    <w:p w14:paraId="038519B5" w14:textId="74432FC4" w:rsidR="0096524F" w:rsidRPr="00EB11B3" w:rsidRDefault="0096524F" w:rsidP="0096524F">
      <w:pPr>
        <w:pStyle w:val="FootnoteText"/>
      </w:pPr>
      <w:r w:rsidRPr="0096524F">
        <w:rPr>
          <w:vertAlign w:val="superscript"/>
        </w:rPr>
        <w:footnoteRef/>
      </w:r>
      <w:r w:rsidRPr="0096524F">
        <w:t>44 USPQ2d 1764 (C.D.</w:t>
      </w:r>
      <w:r w:rsidRPr="0096524F">
        <w:t xml:space="preserve"> </w:t>
      </w:r>
      <w:r w:rsidRPr="0096524F">
        <w:t>Cal.</w:t>
      </w:r>
      <w:r w:rsidRPr="0096524F">
        <w:t xml:space="preserve"> </w:t>
      </w:r>
      <w:r w:rsidRPr="0096524F">
        <w:t>1997).</w:t>
      </w:r>
    </w:p>
  </w:footnote>
  <w:footnote w:id="648">
    <w:p w14:paraId="65406AF8" w14:textId="53505877"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1769 (citations omitted).</w:t>
      </w:r>
    </w:p>
  </w:footnote>
  <w:footnote w:id="649">
    <w:p w14:paraId="605CFCD8" w14:textId="4C5E9F94" w:rsidR="0096524F" w:rsidRPr="00EB11B3" w:rsidRDefault="0096524F" w:rsidP="0096524F">
      <w:pPr>
        <w:pStyle w:val="FootnoteText"/>
      </w:pPr>
      <w:r w:rsidRPr="0096524F">
        <w:rPr>
          <w:vertAlign w:val="superscript"/>
        </w:rPr>
        <w:footnoteRef/>
      </w:r>
      <w:r w:rsidRPr="0096524F">
        <w:t>45 USPQ2d 1944, 1948–49 (S.D.N.Y.</w:t>
      </w:r>
      <w:r w:rsidRPr="0096524F">
        <w:t xml:space="preserve"> </w:t>
      </w:r>
      <w:r w:rsidRPr="0096524F">
        <w:t>1997).</w:t>
      </w:r>
      <w:r w:rsidRPr="0096524F">
        <w:t xml:space="preserve"> </w:t>
      </w:r>
      <w:r w:rsidRPr="0096524F">
        <w:rPr>
          <w:i/>
        </w:rPr>
        <w:t>See</w:t>
      </w:r>
      <w:r w:rsidRPr="0096524F">
        <w:t xml:space="preserve"> Trans Union LLC v.</w:t>
      </w:r>
      <w:r w:rsidRPr="0096524F">
        <w:t xml:space="preserve"> </w:t>
      </w:r>
      <w:r w:rsidRPr="0096524F">
        <w:t>Credit Research, Inc., 142 F.</w:t>
      </w:r>
      <w:r w:rsidRPr="0096524F">
        <w:t xml:space="preserve"> </w:t>
      </w:r>
      <w:r w:rsidRPr="0096524F">
        <w:t>Supp.</w:t>
      </w:r>
      <w:r w:rsidRPr="0096524F">
        <w:t xml:space="preserve"> </w:t>
      </w:r>
      <w:r w:rsidRPr="0096524F">
        <w:t>2d 1029, 1046 (N.D.</w:t>
      </w:r>
      <w:r w:rsidRPr="0096524F">
        <w:t xml:space="preserve"> </w:t>
      </w:r>
      <w:r w:rsidRPr="0096524F">
        <w:t>Ill.</w:t>
      </w:r>
      <w:r w:rsidRPr="0096524F">
        <w:t xml:space="preserve"> </w:t>
      </w:r>
      <w:r w:rsidRPr="0096524F">
        <w:t>2001) (finding defendant’s use of transunion.com, .org., and .net domains diluted plaintiff’s Trans Union mark, but with little discussion of why dilution exists);</w:t>
      </w:r>
      <w:r w:rsidRPr="0096524F">
        <w:t xml:space="preserve"> </w:t>
      </w:r>
      <w:r w:rsidRPr="0096524F">
        <w:t>Hasbro, Inc.</w:t>
      </w:r>
      <w:r w:rsidRPr="0096524F">
        <w:t xml:space="preserve"> </w:t>
      </w:r>
      <w:r w:rsidRPr="0096524F">
        <w:t>v.</w:t>
      </w:r>
      <w:r w:rsidRPr="0096524F">
        <w:t xml:space="preserve"> </w:t>
      </w:r>
      <w:r w:rsidRPr="0096524F">
        <w:t>Internet Entm’t Group, Inc., 40 USPQ2d 1479, 1480 (W.D.</w:t>
      </w:r>
      <w:r w:rsidRPr="0096524F">
        <w:t xml:space="preserve"> </w:t>
      </w:r>
      <w:r w:rsidRPr="0096524F">
        <w:t>Wash.</w:t>
      </w:r>
      <w:r w:rsidRPr="0096524F">
        <w:t xml:space="preserve"> </w:t>
      </w:r>
      <w:r w:rsidRPr="0096524F">
        <w:t>1996) (enjoining defendant’s use of candyland.com with little discussion of why dilution exists).</w:t>
      </w:r>
    </w:p>
  </w:footnote>
  <w:footnote w:id="650">
    <w:p w14:paraId="28571273" w14:textId="1A6AA6F1" w:rsidR="0096524F" w:rsidRPr="00EB11B3" w:rsidRDefault="0096524F" w:rsidP="0096524F">
      <w:pPr>
        <w:pStyle w:val="FootnoteText"/>
      </w:pPr>
      <w:r w:rsidRPr="0096524F">
        <w:rPr>
          <w:vertAlign w:val="superscript"/>
        </w:rPr>
        <w:footnoteRef/>
      </w:r>
      <w:r w:rsidRPr="0096524F">
        <w:t>Hasbro, Inc.</w:t>
      </w:r>
      <w:r w:rsidRPr="0096524F">
        <w:t xml:space="preserve"> </w:t>
      </w:r>
      <w:r w:rsidRPr="0096524F">
        <w:t>v.</w:t>
      </w:r>
      <w:r w:rsidRPr="0096524F">
        <w:t xml:space="preserve"> </w:t>
      </w:r>
      <w:r w:rsidRPr="0096524F">
        <w:t>Clue Computing, Inc., 66 F.</w:t>
      </w:r>
      <w:r w:rsidRPr="0096524F">
        <w:t xml:space="preserve"> </w:t>
      </w:r>
      <w:r w:rsidRPr="0096524F">
        <w:t>Supp.</w:t>
      </w:r>
      <w:r w:rsidRPr="0096524F">
        <w:t xml:space="preserve"> </w:t>
      </w:r>
      <w:r w:rsidRPr="0096524F">
        <w:t>2d 117, 133, 52 USPQ2d 1402 (D.</w:t>
      </w:r>
      <w:r w:rsidRPr="0096524F">
        <w:t xml:space="preserve"> </w:t>
      </w:r>
      <w:r w:rsidRPr="0096524F">
        <w:t>Mass.</w:t>
      </w:r>
      <w:r w:rsidRPr="0096524F">
        <w:t xml:space="preserve"> </w:t>
      </w:r>
      <w:r w:rsidRPr="0096524F">
        <w:t xml:space="preserve">1999), </w:t>
      </w:r>
      <w:r w:rsidRPr="0096524F">
        <w:rPr>
          <w:i/>
        </w:rPr>
        <w:t>aff’d,</w:t>
      </w:r>
      <w:r w:rsidRPr="0096524F">
        <w:t xml:space="preserve"> 232 F.3d 1, 56 USPQ2d 1766 (1st Cir.</w:t>
      </w:r>
      <w:r w:rsidRPr="0096524F">
        <w:t xml:space="preserve"> </w:t>
      </w:r>
      <w:r w:rsidRPr="0096524F">
        <w:t>2000);</w:t>
      </w:r>
      <w:r w:rsidRPr="0096524F">
        <w:t xml:space="preserve"> </w:t>
      </w:r>
      <w:r w:rsidRPr="0096524F">
        <w:t>HQM, Ltd.</w:t>
      </w:r>
      <w:r w:rsidRPr="0096524F">
        <w:t xml:space="preserve"> </w:t>
      </w:r>
      <w:r w:rsidRPr="0096524F">
        <w:t>v.</w:t>
      </w:r>
      <w:r w:rsidRPr="0096524F">
        <w:t xml:space="preserve"> </w:t>
      </w:r>
      <w:r w:rsidRPr="0096524F">
        <w:t>Hatfield, 71 F.</w:t>
      </w:r>
      <w:r w:rsidRPr="0096524F">
        <w:t xml:space="preserve"> </w:t>
      </w:r>
      <w:r w:rsidRPr="0096524F">
        <w:t>Supp.</w:t>
      </w:r>
      <w:r w:rsidRPr="0096524F">
        <w:t xml:space="preserve"> </w:t>
      </w:r>
      <w:r w:rsidRPr="0096524F">
        <w:t>2d 500 (D.</w:t>
      </w:r>
      <w:r w:rsidRPr="0096524F">
        <w:t xml:space="preserve"> </w:t>
      </w:r>
      <w:r w:rsidRPr="0096524F">
        <w:t>Md.</w:t>
      </w:r>
      <w:r w:rsidRPr="0096524F">
        <w:t xml:space="preserve"> </w:t>
      </w:r>
      <w:r w:rsidRPr="0096524F">
        <w:t>1999);</w:t>
      </w:r>
      <w:r w:rsidRPr="0096524F">
        <w:t xml:space="preserve"> </w:t>
      </w:r>
      <w:r w:rsidRPr="0096524F">
        <w:t>Strick Corp.</w:t>
      </w:r>
      <w:r w:rsidRPr="0096524F">
        <w:t xml:space="preserve"> </w:t>
      </w:r>
      <w:r w:rsidRPr="0096524F">
        <w:t>v.</w:t>
      </w:r>
      <w:r w:rsidRPr="0096524F">
        <w:t xml:space="preserve"> </w:t>
      </w:r>
      <w:r w:rsidRPr="0096524F">
        <w:t>Strickland, 162 F.</w:t>
      </w:r>
      <w:r w:rsidRPr="0096524F">
        <w:t xml:space="preserve"> </w:t>
      </w:r>
      <w:r w:rsidRPr="0096524F">
        <w:t>Supp.</w:t>
      </w:r>
      <w:r w:rsidRPr="0096524F">
        <w:t xml:space="preserve"> </w:t>
      </w:r>
      <w:r w:rsidRPr="0096524F">
        <w:t>2d 372, 379–80, 60 USPQ2d 1889 (E.D.</w:t>
      </w:r>
      <w:r w:rsidRPr="0096524F">
        <w:t xml:space="preserve"> </w:t>
      </w:r>
      <w:r w:rsidRPr="0096524F">
        <w:t>Pa.</w:t>
      </w:r>
      <w:r w:rsidRPr="0096524F">
        <w:t xml:space="preserve"> </w:t>
      </w:r>
      <w:r w:rsidRPr="0096524F">
        <w:t>2001);</w:t>
      </w:r>
      <w:r w:rsidRPr="0096524F">
        <w:t xml:space="preserve"> </w:t>
      </w:r>
      <w:r w:rsidRPr="0096524F">
        <w:rPr>
          <w:i/>
        </w:rPr>
        <w:t>see</w:t>
      </w:r>
      <w:r w:rsidRPr="0096524F">
        <w:t xml:space="preserve"> Ford Motor Co.</w:t>
      </w:r>
      <w:r w:rsidRPr="0096524F">
        <w:t xml:space="preserve"> </w:t>
      </w:r>
      <w:r w:rsidRPr="0096524F">
        <w:t>v.</w:t>
      </w:r>
      <w:r w:rsidRPr="0096524F">
        <w:t xml:space="preserve"> </w:t>
      </w:r>
      <w:r w:rsidRPr="0096524F">
        <w:t>GreatDomains.com, Inc., 177 F.</w:t>
      </w:r>
      <w:r w:rsidRPr="0096524F">
        <w:t xml:space="preserve"> </w:t>
      </w:r>
      <w:r w:rsidRPr="0096524F">
        <w:t>Supp.</w:t>
      </w:r>
      <w:r w:rsidRPr="0096524F">
        <w:t xml:space="preserve"> </w:t>
      </w:r>
      <w:r w:rsidRPr="0096524F">
        <w:t>2d 635, 652–54, 61 USPQ2d 1718 (E.D.</w:t>
      </w:r>
      <w:r w:rsidRPr="0096524F">
        <w:t xml:space="preserve"> </w:t>
      </w:r>
      <w:r w:rsidRPr="0096524F">
        <w:t>Mich.</w:t>
      </w:r>
      <w:r w:rsidRPr="0096524F">
        <w:t xml:space="preserve"> </w:t>
      </w:r>
      <w:r w:rsidRPr="0096524F">
        <w:t>2001).</w:t>
      </w:r>
    </w:p>
  </w:footnote>
  <w:footnote w:id="651">
    <w:p w14:paraId="4E4E25AE" w14:textId="08933AAE" w:rsidR="0096524F" w:rsidRPr="00EB11B3" w:rsidRDefault="0096524F" w:rsidP="0096524F">
      <w:pPr>
        <w:pStyle w:val="FootnoteText"/>
      </w:pPr>
      <w:r w:rsidRPr="0096524F">
        <w:rPr>
          <w:vertAlign w:val="superscript"/>
        </w:rPr>
        <w:footnoteRef/>
      </w:r>
      <w:r w:rsidRPr="0096524F">
        <w:t>66 F.</w:t>
      </w:r>
      <w:r w:rsidRPr="0096524F">
        <w:t xml:space="preserve"> </w:t>
      </w:r>
      <w:r w:rsidRPr="0096524F">
        <w:t>Supp.</w:t>
      </w:r>
      <w:r w:rsidRPr="0096524F">
        <w:t xml:space="preserve"> </w:t>
      </w:r>
      <w:r w:rsidRPr="0096524F">
        <w:t>2d 117, 52 USPQ2d 1402 (D.</w:t>
      </w:r>
      <w:r w:rsidRPr="0096524F">
        <w:t xml:space="preserve"> </w:t>
      </w:r>
      <w:r w:rsidRPr="0096524F">
        <w:t>Mass.</w:t>
      </w:r>
      <w:r w:rsidRPr="0096524F">
        <w:t xml:space="preserve"> </w:t>
      </w:r>
      <w:r w:rsidRPr="0096524F">
        <w:t xml:space="preserve">1999), </w:t>
      </w:r>
      <w:r w:rsidRPr="0096524F">
        <w:rPr>
          <w:i/>
        </w:rPr>
        <w:t>aff’d,</w:t>
      </w:r>
      <w:r w:rsidRPr="0096524F">
        <w:t xml:space="preserve"> 232 F.3d 1, 56 USPQ2d 1766 (1st Cir.</w:t>
      </w:r>
      <w:r w:rsidRPr="0096524F">
        <w:t xml:space="preserve"> </w:t>
      </w:r>
      <w:r w:rsidRPr="0096524F">
        <w:t>2000).</w:t>
      </w:r>
    </w:p>
  </w:footnote>
  <w:footnote w:id="652">
    <w:p w14:paraId="13C82A41" w14:textId="133ED17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133.</w:t>
      </w:r>
    </w:p>
  </w:footnote>
  <w:footnote w:id="653">
    <w:p w14:paraId="7E468A0A" w14:textId="6BF7B606" w:rsidR="0096524F" w:rsidRPr="00EB11B3" w:rsidRDefault="0096524F" w:rsidP="0096524F">
      <w:pPr>
        <w:pStyle w:val="FootnoteText"/>
      </w:pPr>
      <w:r w:rsidRPr="0096524F">
        <w:rPr>
          <w:vertAlign w:val="superscript"/>
        </w:rPr>
        <w:footnoteRef/>
      </w:r>
      <w:r w:rsidRPr="0096524F">
        <w:rPr>
          <w:i/>
        </w:rPr>
        <w:t>Id</w:t>
      </w:r>
      <w:r w:rsidRPr="0096524F">
        <w:t>.</w:t>
      </w:r>
    </w:p>
  </w:footnote>
  <w:footnote w:id="654">
    <w:p w14:paraId="650065EF" w14:textId="28CC46DA" w:rsidR="0096524F" w:rsidRPr="00EB11B3" w:rsidRDefault="0096524F" w:rsidP="0096524F">
      <w:pPr>
        <w:pStyle w:val="FootnoteText"/>
      </w:pPr>
      <w:r w:rsidRPr="0096524F">
        <w:rPr>
          <w:vertAlign w:val="superscript"/>
        </w:rPr>
        <w:footnoteRef/>
      </w:r>
      <w:r w:rsidRPr="0096524F">
        <w:t>71 F.</w:t>
      </w:r>
      <w:r w:rsidRPr="0096524F">
        <w:t xml:space="preserve"> </w:t>
      </w:r>
      <w:r w:rsidRPr="0096524F">
        <w:t>Supp.</w:t>
      </w:r>
      <w:r w:rsidRPr="0096524F">
        <w:t xml:space="preserve"> </w:t>
      </w:r>
      <w:r w:rsidRPr="0096524F">
        <w:t>2d 500 (D.</w:t>
      </w:r>
      <w:r w:rsidRPr="0096524F">
        <w:t xml:space="preserve"> </w:t>
      </w:r>
      <w:r w:rsidRPr="0096524F">
        <w:t>Md.</w:t>
      </w:r>
      <w:r w:rsidRPr="0096524F">
        <w:t xml:space="preserve"> </w:t>
      </w:r>
      <w:r w:rsidRPr="0096524F">
        <w:t>1999).</w:t>
      </w:r>
    </w:p>
  </w:footnote>
  <w:footnote w:id="655">
    <w:p w14:paraId="2848EEAD" w14:textId="190EE98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506.</w:t>
      </w:r>
    </w:p>
  </w:footnote>
  <w:footnote w:id="656">
    <w:p w14:paraId="31E79860" w14:textId="153922D1"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508–09 (citing Ringling Bros.-Barnum &amp; Bailey Combined Shows, Inc.</w:t>
      </w:r>
      <w:r w:rsidRPr="0096524F">
        <w:t xml:space="preserve"> </w:t>
      </w:r>
      <w:r w:rsidRPr="0096524F">
        <w:t>v.</w:t>
      </w:r>
      <w:r w:rsidRPr="0096524F">
        <w:t xml:space="preserve"> </w:t>
      </w:r>
      <w:r w:rsidRPr="0096524F">
        <w:t>Utah Div.</w:t>
      </w:r>
      <w:r w:rsidRPr="0096524F">
        <w:t xml:space="preserve"> </w:t>
      </w:r>
      <w:r w:rsidRPr="0096524F">
        <w:t xml:space="preserve">of Travel Dev., 170 F.3d 449, 50 USPQ2d 1065 (4th Cir.), </w:t>
      </w:r>
      <w:r w:rsidRPr="0096524F">
        <w:rPr>
          <w:i/>
        </w:rPr>
        <w:t>cert</w:t>
      </w:r>
      <w:r w:rsidRPr="0096524F">
        <w:t>.</w:t>
      </w:r>
      <w:r w:rsidRPr="0096524F">
        <w:t xml:space="preserve"> </w:t>
      </w:r>
      <w:r w:rsidRPr="0096524F">
        <w:rPr>
          <w:i/>
        </w:rPr>
        <w:t>denied,</w:t>
      </w:r>
      <w:r w:rsidRPr="0096524F">
        <w:t xml:space="preserve"> 528 U.S.</w:t>
      </w:r>
      <w:r w:rsidRPr="0096524F">
        <w:t xml:space="preserve"> </w:t>
      </w:r>
      <w:r w:rsidRPr="0096524F">
        <w:t>923 (1999)).</w:t>
      </w:r>
    </w:p>
  </w:footnote>
  <w:footnote w:id="657">
    <w:p w14:paraId="4315E68A" w14:textId="4BF972C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509.</w:t>
      </w:r>
    </w:p>
  </w:footnote>
  <w:footnote w:id="658">
    <w:p w14:paraId="2CB99C95" w14:textId="5E24F9F3" w:rsidR="0096524F" w:rsidRPr="00EB11B3" w:rsidRDefault="0096524F" w:rsidP="0096524F">
      <w:pPr>
        <w:pStyle w:val="FootnoteText"/>
      </w:pPr>
      <w:r w:rsidRPr="0096524F">
        <w:rPr>
          <w:vertAlign w:val="superscript"/>
        </w:rPr>
        <w:footnoteRef/>
      </w:r>
      <w:r w:rsidRPr="0096524F">
        <w:t>162 F.</w:t>
      </w:r>
      <w:r w:rsidRPr="0096524F">
        <w:t xml:space="preserve"> </w:t>
      </w:r>
      <w:r w:rsidRPr="0096524F">
        <w:t>Supp.</w:t>
      </w:r>
      <w:r w:rsidRPr="0096524F">
        <w:t xml:space="preserve"> </w:t>
      </w:r>
      <w:r w:rsidRPr="0096524F">
        <w:t>2d 372, 60 USPQ2d 1889 (E.D.</w:t>
      </w:r>
      <w:r w:rsidRPr="0096524F">
        <w:t xml:space="preserve"> </w:t>
      </w:r>
      <w:r w:rsidRPr="0096524F">
        <w:t>Pa.</w:t>
      </w:r>
      <w:r w:rsidRPr="0096524F">
        <w:t xml:space="preserve"> </w:t>
      </w:r>
      <w:r w:rsidRPr="0096524F">
        <w:t>2001).</w:t>
      </w:r>
    </w:p>
  </w:footnote>
  <w:footnote w:id="659">
    <w:p w14:paraId="32F77CE6" w14:textId="3BB64298" w:rsidR="0096524F" w:rsidRPr="00EB11B3" w:rsidRDefault="0096524F" w:rsidP="0096524F">
      <w:pPr>
        <w:pStyle w:val="FootnoteText"/>
      </w:pPr>
      <w:r w:rsidRPr="0096524F">
        <w:rPr>
          <w:vertAlign w:val="superscript"/>
        </w:rPr>
        <w:footnoteRef/>
      </w:r>
      <w:r w:rsidRPr="0096524F">
        <w:t>The name “strickland.com” had already been registered by someone else not connected with either party.</w:t>
      </w:r>
      <w:r w:rsidRPr="0096524F">
        <w:t xml:space="preserve"> </w:t>
      </w:r>
      <w:r w:rsidRPr="0096524F">
        <w:rPr>
          <w:i/>
        </w:rPr>
        <w:t>Id</w:t>
      </w:r>
      <w:r w:rsidRPr="0096524F">
        <w:t>.</w:t>
      </w:r>
      <w:r w:rsidRPr="0096524F">
        <w:t xml:space="preserve"> </w:t>
      </w:r>
      <w:r w:rsidRPr="0096524F">
        <w:t>at 373.</w:t>
      </w:r>
    </w:p>
  </w:footnote>
  <w:footnote w:id="660">
    <w:p w14:paraId="3AADF573" w14:textId="70AEB520"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379–80.</w:t>
      </w:r>
      <w:r w:rsidRPr="0096524F">
        <w:t xml:space="preserve"> </w:t>
      </w:r>
      <w:r w:rsidRPr="0096524F">
        <w:t>The court assumed, without deciding the issue, that Strick was a famous mark.</w:t>
      </w:r>
      <w:r w:rsidRPr="0096524F">
        <w:t xml:space="preserve"> </w:t>
      </w:r>
      <w:r w:rsidRPr="0096524F">
        <w:rPr>
          <w:i/>
        </w:rPr>
        <w:t>Id</w:t>
      </w:r>
      <w:r w:rsidRPr="0096524F">
        <w:t>.</w:t>
      </w:r>
      <w:r w:rsidRPr="0096524F">
        <w:t xml:space="preserve"> </w:t>
      </w:r>
      <w:r w:rsidRPr="0096524F">
        <w:t>at 378.</w:t>
      </w:r>
    </w:p>
  </w:footnote>
  <w:footnote w:id="661">
    <w:p w14:paraId="503FDC6C" w14:textId="5F383120"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379.</w:t>
      </w:r>
      <w:r w:rsidRPr="0096524F">
        <w:t xml:space="preserve"> </w:t>
      </w:r>
      <w:r w:rsidRPr="0096524F">
        <w:rPr>
          <w:i/>
        </w:rPr>
        <w:t>See also</w:t>
      </w:r>
      <w:r w:rsidRPr="0096524F">
        <w:t xml:space="preserve"> Ford Motor Co.</w:t>
      </w:r>
      <w:r w:rsidRPr="0096524F">
        <w:t xml:space="preserve"> </w:t>
      </w:r>
      <w:r w:rsidRPr="0096524F">
        <w:t>v.</w:t>
      </w:r>
      <w:r w:rsidRPr="0096524F">
        <w:t xml:space="preserve"> </w:t>
      </w:r>
      <w:r w:rsidRPr="0096524F">
        <w:t>2600 Enters., 177 F.</w:t>
      </w:r>
      <w:r w:rsidRPr="0096524F">
        <w:t xml:space="preserve"> </w:t>
      </w:r>
      <w:r w:rsidRPr="0096524F">
        <w:t>Supp.</w:t>
      </w:r>
      <w:r w:rsidRPr="0096524F">
        <w:t xml:space="preserve"> </w:t>
      </w:r>
      <w:r w:rsidRPr="0096524F">
        <w:t>2d 661, 665, 61 USPQ2d 1757 (E.D.</w:t>
      </w:r>
      <w:r w:rsidRPr="0096524F">
        <w:t xml:space="preserve"> </w:t>
      </w:r>
      <w:r w:rsidRPr="0096524F">
        <w:t>Mich.</w:t>
      </w:r>
      <w:r w:rsidRPr="0096524F">
        <w:t xml:space="preserve"> </w:t>
      </w:r>
      <w:r w:rsidRPr="0096524F">
        <w:t xml:space="preserve">2001) (citing and quoting </w:t>
      </w:r>
      <w:r w:rsidRPr="0096524F">
        <w:rPr>
          <w:i/>
        </w:rPr>
        <w:t>Strick</w:t>
      </w:r>
      <w:r w:rsidRPr="0096524F">
        <w:t xml:space="preserve"> in discussion of infringement claim).</w:t>
      </w:r>
    </w:p>
  </w:footnote>
  <w:footnote w:id="662">
    <w:p w14:paraId="4B29A87C" w14:textId="6F58CA02" w:rsidR="0096524F" w:rsidRPr="00EB11B3" w:rsidRDefault="0096524F" w:rsidP="0096524F">
      <w:pPr>
        <w:pStyle w:val="FootnoteText"/>
      </w:pPr>
      <w:r w:rsidRPr="0096524F">
        <w:rPr>
          <w:vertAlign w:val="superscript"/>
        </w:rPr>
        <w:footnoteRef/>
      </w:r>
      <w:r w:rsidRPr="0096524F">
        <w:t>162 F.</w:t>
      </w:r>
      <w:r w:rsidRPr="0096524F">
        <w:t xml:space="preserve"> </w:t>
      </w:r>
      <w:r w:rsidRPr="0096524F">
        <w:t>Supp.</w:t>
      </w:r>
      <w:r w:rsidRPr="0096524F">
        <w:t xml:space="preserve"> </w:t>
      </w:r>
      <w:r w:rsidRPr="0096524F">
        <w:t>at 380.</w:t>
      </w:r>
    </w:p>
  </w:footnote>
  <w:footnote w:id="663">
    <w:p w14:paraId="422D9C36" w14:textId="4DD42BD3" w:rsidR="0096524F" w:rsidRPr="00EB11B3" w:rsidRDefault="0096524F" w:rsidP="0096524F">
      <w:pPr>
        <w:pStyle w:val="FootnoteText"/>
      </w:pPr>
      <w:r w:rsidRPr="0096524F">
        <w:rPr>
          <w:vertAlign w:val="superscript"/>
        </w:rPr>
        <w:footnoteRef/>
      </w:r>
      <w:r w:rsidRPr="0096524F">
        <w:t>189 F.3d 868, 51 USPQ2d 1801 (9th Cir.</w:t>
      </w:r>
      <w:r w:rsidRPr="0096524F">
        <w:t xml:space="preserve"> </w:t>
      </w:r>
      <w:r w:rsidRPr="0096524F">
        <w:t>1999).</w:t>
      </w:r>
    </w:p>
  </w:footnote>
  <w:footnote w:id="664">
    <w:p w14:paraId="1EB7A46F" w14:textId="09C17098"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881.</w:t>
      </w:r>
    </w:p>
  </w:footnote>
  <w:footnote w:id="665">
    <w:p w14:paraId="1375DB9C" w14:textId="5D093422"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880.</w:t>
      </w:r>
    </w:p>
  </w:footnote>
  <w:footnote w:id="666">
    <w:p w14:paraId="427B6658" w14:textId="56547E8B" w:rsidR="0096524F" w:rsidRPr="00882ED4" w:rsidRDefault="0096524F" w:rsidP="0096524F">
      <w:pPr>
        <w:pStyle w:val="FootnoteText"/>
        <w:rPr>
          <w:lang w:val="da-DK"/>
        </w:rPr>
      </w:pPr>
      <w:r w:rsidRPr="0096524F">
        <w:rPr>
          <w:vertAlign w:val="superscript"/>
        </w:rPr>
        <w:footnoteRef/>
      </w:r>
      <w:r w:rsidRPr="0096524F">
        <w:t>177 F.</w:t>
      </w:r>
      <w:r w:rsidRPr="0096524F">
        <w:t xml:space="preserve"> </w:t>
      </w:r>
      <w:r w:rsidRPr="0096524F">
        <w:t>Supp.</w:t>
      </w:r>
      <w:r w:rsidRPr="0096524F">
        <w:t xml:space="preserve"> </w:t>
      </w:r>
      <w:r w:rsidRPr="0096524F">
        <w:t>2d 635, 61 USPQ2d 1718 (E.D.</w:t>
      </w:r>
      <w:r w:rsidRPr="0096524F">
        <w:t xml:space="preserve"> </w:t>
      </w:r>
      <w:r w:rsidRPr="0096524F">
        <w:t>Mich.</w:t>
      </w:r>
      <w:r w:rsidRPr="0096524F">
        <w:t xml:space="preserve"> </w:t>
      </w:r>
      <w:r w:rsidRPr="0096524F">
        <w:t>2001).</w:t>
      </w:r>
    </w:p>
  </w:footnote>
  <w:footnote w:id="667">
    <w:p w14:paraId="432ABE05" w14:textId="4521F00A"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653.</w:t>
      </w:r>
    </w:p>
  </w:footnote>
  <w:footnote w:id="668">
    <w:p w14:paraId="2DA05862" w14:textId="42029ADB" w:rsidR="0096524F" w:rsidRPr="00EB11B3" w:rsidRDefault="0096524F" w:rsidP="0096524F">
      <w:pPr>
        <w:pStyle w:val="FootnoteText"/>
      </w:pPr>
      <w:r w:rsidRPr="0096524F">
        <w:rPr>
          <w:vertAlign w:val="superscript"/>
        </w:rPr>
        <w:footnoteRef/>
      </w:r>
      <w:r w:rsidRPr="0096524F">
        <w:rPr>
          <w:i/>
        </w:rPr>
        <w:t>Id</w:t>
      </w:r>
      <w:r w:rsidRPr="0096524F">
        <w:t>.</w:t>
      </w:r>
    </w:p>
  </w:footnote>
  <w:footnote w:id="669">
    <w:p w14:paraId="34FBF791" w14:textId="78FB9A9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(quoting Strick Corp.</w:t>
      </w:r>
      <w:r w:rsidRPr="0096524F">
        <w:t xml:space="preserve"> </w:t>
      </w:r>
      <w:r w:rsidRPr="0096524F">
        <w:t>v.</w:t>
      </w:r>
      <w:r w:rsidRPr="0096524F">
        <w:t xml:space="preserve"> </w:t>
      </w:r>
      <w:r w:rsidRPr="0096524F">
        <w:t>Strickland, 162 F.</w:t>
      </w:r>
      <w:r w:rsidRPr="0096524F">
        <w:t xml:space="preserve"> </w:t>
      </w:r>
      <w:r w:rsidRPr="0096524F">
        <w:t>Supp.</w:t>
      </w:r>
      <w:r w:rsidRPr="0096524F">
        <w:t xml:space="preserve"> </w:t>
      </w:r>
      <w:r w:rsidRPr="0096524F">
        <w:t>2d 372, 380, 60 USPQ2d 1889 (E.D.</w:t>
      </w:r>
      <w:r w:rsidRPr="0096524F">
        <w:t xml:space="preserve"> </w:t>
      </w:r>
      <w:r w:rsidRPr="0096524F">
        <w:t>Pa.</w:t>
      </w:r>
      <w:r w:rsidRPr="0096524F">
        <w:t xml:space="preserve"> </w:t>
      </w:r>
      <w:r w:rsidRPr="0096524F">
        <w:t>2001)).</w:t>
      </w:r>
    </w:p>
  </w:footnote>
  <w:footnote w:id="670">
    <w:p w14:paraId="793AB25C" w14:textId="13842215" w:rsidR="0096524F" w:rsidRPr="00EB11B3" w:rsidRDefault="0096524F" w:rsidP="0096524F">
      <w:pPr>
        <w:pStyle w:val="FootnoteText"/>
      </w:pPr>
      <w:r w:rsidRPr="0096524F">
        <w:rPr>
          <w:vertAlign w:val="superscript"/>
        </w:rPr>
        <w:footnoteRef/>
      </w:r>
      <w:r w:rsidRPr="0096524F">
        <w:t>Avlon Indus.</w:t>
      </w:r>
      <w:r w:rsidRPr="0096524F">
        <w:t xml:space="preserve"> </w:t>
      </w:r>
      <w:r w:rsidRPr="0096524F">
        <w:t>v.</w:t>
      </w:r>
      <w:r w:rsidRPr="0096524F">
        <w:t xml:space="preserve"> </w:t>
      </w:r>
      <w:r w:rsidRPr="0096524F">
        <w:t>Robinson, 2005 WL 331561, at *3 (N.D.</w:t>
      </w:r>
      <w:r w:rsidRPr="0096524F">
        <w:t xml:space="preserve"> </w:t>
      </w:r>
      <w:r w:rsidRPr="0096524F">
        <w:t>Ill.</w:t>
      </w:r>
      <w:r w:rsidRPr="0096524F">
        <w:t xml:space="preserve"> </w:t>
      </w:r>
      <w:r w:rsidRPr="0096524F">
        <w:t>Feb.</w:t>
      </w:r>
      <w:r w:rsidRPr="0096524F">
        <w:t xml:space="preserve"> </w:t>
      </w:r>
      <w:r w:rsidRPr="0096524F">
        <w:t>8, 2005).</w:t>
      </w:r>
      <w:r w:rsidRPr="0096524F">
        <w:t xml:space="preserve"> </w:t>
      </w:r>
      <w:r w:rsidRPr="0096524F">
        <w:t xml:space="preserve">The court also cited the Supreme Court’s statement in </w:t>
      </w:r>
      <w:r w:rsidRPr="0096524F">
        <w:rPr>
          <w:i/>
        </w:rPr>
        <w:t>Moseley v</w:t>
      </w:r>
      <w:r w:rsidRPr="0096524F">
        <w:t>.</w:t>
      </w:r>
      <w:r w:rsidRPr="0096524F">
        <w:t xml:space="preserve"> </w:t>
      </w:r>
      <w:r w:rsidRPr="0096524F">
        <w:rPr>
          <w:i/>
        </w:rPr>
        <w:t>V Secret Catalogue, Inc</w:t>
      </w:r>
      <w:r w:rsidRPr="0096524F">
        <w:t>., 537 U.S.</w:t>
      </w:r>
      <w:r w:rsidRPr="0096524F">
        <w:t xml:space="preserve"> </w:t>
      </w:r>
      <w:r w:rsidRPr="0096524F">
        <w:t>418, 432–33, 65 USPQ2d 1801 (2003), that if the marks are identical, that would be circumstantial evidence of dilution.</w:t>
      </w:r>
    </w:p>
  </w:footnote>
  <w:footnote w:id="671">
    <w:p w14:paraId="423677B4" w14:textId="0ADB2236" w:rsidR="0096524F" w:rsidRPr="00EB11B3" w:rsidRDefault="0096524F" w:rsidP="0096524F">
      <w:pPr>
        <w:pStyle w:val="FootnoteText"/>
      </w:pPr>
      <w:r w:rsidRPr="0096524F">
        <w:rPr>
          <w:vertAlign w:val="superscript"/>
        </w:rPr>
        <w:footnoteRef/>
      </w:r>
      <w:r w:rsidRPr="0096524F">
        <w:t>Playboy Enters., Inc.</w:t>
      </w:r>
      <w:r w:rsidRPr="0096524F">
        <w:t xml:space="preserve"> </w:t>
      </w:r>
      <w:r w:rsidRPr="0096524F">
        <w:t>v.</w:t>
      </w:r>
      <w:r w:rsidRPr="0096524F">
        <w:t xml:space="preserve"> </w:t>
      </w:r>
      <w:r w:rsidRPr="0096524F">
        <w:t>Netscape Commc’ns Corp., 55 F.</w:t>
      </w:r>
      <w:r w:rsidRPr="0096524F">
        <w:t xml:space="preserve"> </w:t>
      </w:r>
      <w:r w:rsidRPr="0096524F">
        <w:t>Supp.</w:t>
      </w:r>
      <w:r w:rsidRPr="0096524F">
        <w:t xml:space="preserve"> </w:t>
      </w:r>
      <w:r w:rsidRPr="0096524F">
        <w:t>2d 1070, 1088–89, 52 USPQ2d 1162 (C.D.</w:t>
      </w:r>
      <w:r w:rsidRPr="0096524F">
        <w:t xml:space="preserve"> </w:t>
      </w:r>
      <w:r w:rsidRPr="0096524F">
        <w:t xml:space="preserve">Cal.), </w:t>
      </w:r>
      <w:r w:rsidRPr="0096524F">
        <w:rPr>
          <w:i/>
        </w:rPr>
        <w:t>aff’d mem</w:t>
      </w:r>
      <w:r w:rsidRPr="0096524F">
        <w:t>., 202 F.3d 278 (9th Cir.</w:t>
      </w:r>
      <w:r w:rsidRPr="0096524F">
        <w:t xml:space="preserve"> </w:t>
      </w:r>
      <w:r w:rsidRPr="0096524F">
        <w:t>1999).</w:t>
      </w:r>
      <w:r w:rsidRPr="0096524F">
        <w:t xml:space="preserve"> </w:t>
      </w:r>
      <w:r w:rsidRPr="0096524F">
        <w:rPr>
          <w:i/>
        </w:rPr>
        <w:t>See</w:t>
      </w:r>
      <w:r w:rsidRPr="0096524F">
        <w:t xml:space="preserve"> Avery Dennison Corp.</w:t>
      </w:r>
      <w:r w:rsidRPr="0096524F">
        <w:t xml:space="preserve"> </w:t>
      </w:r>
      <w:r w:rsidRPr="0096524F">
        <w:t>v.</w:t>
      </w:r>
      <w:r w:rsidRPr="0096524F">
        <w:t xml:space="preserve"> </w:t>
      </w:r>
      <w:r w:rsidRPr="0096524F">
        <w:t>Sumpton, 189 F.3d 868, 880 (9th Cir.</w:t>
      </w:r>
      <w:r w:rsidRPr="0096524F">
        <w:t xml:space="preserve"> </w:t>
      </w:r>
      <w:r w:rsidRPr="0096524F">
        <w:t>1999) (“Appellants do not use trademarks qua trademarks as required by the caselaw to establish commercial use”);</w:t>
      </w:r>
      <w:r w:rsidRPr="0096524F">
        <w:t xml:space="preserve"> </w:t>
      </w:r>
      <w:r w:rsidRPr="0096524F">
        <w:t>Ford Motor Co.</w:t>
      </w:r>
      <w:r w:rsidRPr="0096524F">
        <w:t xml:space="preserve"> </w:t>
      </w:r>
      <w:r w:rsidRPr="0096524F">
        <w:t>v.</w:t>
      </w:r>
      <w:r w:rsidRPr="0096524F">
        <w:t xml:space="preserve"> </w:t>
      </w:r>
      <w:r w:rsidRPr="0096524F">
        <w:t>GreatDomains.com, Inc., 177 F.</w:t>
      </w:r>
      <w:r w:rsidRPr="0096524F">
        <w:t xml:space="preserve"> </w:t>
      </w:r>
      <w:r w:rsidRPr="0096524F">
        <w:t>Supp.</w:t>
      </w:r>
      <w:r w:rsidRPr="0096524F">
        <w:t xml:space="preserve"> </w:t>
      </w:r>
      <w:r w:rsidRPr="0096524F">
        <w:t>2d 635, 654–55 (E.D.</w:t>
      </w:r>
      <w:r w:rsidRPr="0096524F">
        <w:t xml:space="preserve"> </w:t>
      </w:r>
      <w:r w:rsidRPr="0096524F">
        <w:t>Mich.</w:t>
      </w:r>
      <w:r w:rsidRPr="0096524F">
        <w:t xml:space="preserve"> </w:t>
      </w:r>
      <w:r w:rsidRPr="0096524F">
        <w:t>2001) (buying and selling of domain names containing trademarks not a use on goods and services).</w:t>
      </w:r>
    </w:p>
  </w:footnote>
  <w:footnote w:id="672">
    <w:p w14:paraId="6670B559" w14:textId="59345B35"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People for the Ethical Treatment of Animals, Inc.</w:t>
      </w:r>
      <w:r w:rsidRPr="0096524F">
        <w:t xml:space="preserve"> </w:t>
      </w:r>
      <w:r w:rsidRPr="0096524F">
        <w:t>v.</w:t>
      </w:r>
      <w:r w:rsidRPr="0096524F">
        <w:t xml:space="preserve"> </w:t>
      </w:r>
      <w:r w:rsidRPr="0096524F">
        <w:t>Doughney, 113 F.</w:t>
      </w:r>
      <w:r w:rsidRPr="0096524F">
        <w:t xml:space="preserve"> </w:t>
      </w:r>
      <w:r w:rsidRPr="0096524F">
        <w:t>Supp.</w:t>
      </w:r>
      <w:r w:rsidRPr="0096524F">
        <w:t xml:space="preserve"> </w:t>
      </w:r>
      <w:r w:rsidRPr="0096524F">
        <w:t>2d 915, 920 (E.D.</w:t>
      </w:r>
      <w:r w:rsidRPr="0096524F">
        <w:t xml:space="preserve"> </w:t>
      </w:r>
      <w:r w:rsidRPr="0096524F">
        <w:t>Va.</w:t>
      </w:r>
      <w:r w:rsidRPr="0096524F">
        <w:t xml:space="preserve"> </w:t>
      </w:r>
      <w:r w:rsidRPr="0096524F">
        <w:t xml:space="preserve">2000) (finding peta.org diluted plaintiff’s mark using the “actual harm” standard of the Fourth Circuit), </w:t>
      </w:r>
      <w:r w:rsidRPr="0096524F">
        <w:rPr>
          <w:i/>
        </w:rPr>
        <w:t>aff’d on other grounds,</w:t>
      </w:r>
      <w:r w:rsidRPr="0096524F">
        <w:t xml:space="preserve"> 263 F.3d 359, 60 USPQ2d 1109 (4th Cir.</w:t>
      </w:r>
      <w:r w:rsidRPr="0096524F">
        <w:t xml:space="preserve"> </w:t>
      </w:r>
      <w:r w:rsidRPr="0096524F">
        <w:t>2001) (affirming on ACPA grounds alone);</w:t>
      </w:r>
      <w:r w:rsidRPr="0096524F">
        <w:t xml:space="preserve"> </w:t>
      </w:r>
      <w:r w:rsidRPr="0096524F">
        <w:t>OBH, Inc.</w:t>
      </w:r>
      <w:r w:rsidRPr="0096524F">
        <w:t xml:space="preserve"> </w:t>
      </w:r>
      <w:r w:rsidRPr="0096524F">
        <w:t>v.</w:t>
      </w:r>
      <w:r w:rsidRPr="0096524F">
        <w:t xml:space="preserve"> </w:t>
      </w:r>
      <w:r w:rsidRPr="0096524F">
        <w:t>Spotlight Magazine, Inc., 86 F.</w:t>
      </w:r>
      <w:r w:rsidRPr="0096524F">
        <w:t xml:space="preserve"> </w:t>
      </w:r>
      <w:r w:rsidRPr="0096524F">
        <w:t>Supp.</w:t>
      </w:r>
      <w:r w:rsidRPr="0096524F">
        <w:t xml:space="preserve"> </w:t>
      </w:r>
      <w:r w:rsidRPr="0096524F">
        <w:t>2d 176, 194–96, 54 USPQ2d 1383 (W.D.N.Y.</w:t>
      </w:r>
      <w:r w:rsidRPr="0096524F">
        <w:t xml:space="preserve"> </w:t>
      </w:r>
      <w:r w:rsidRPr="0096524F">
        <w:t xml:space="preserve">2000) (finding www.thebuffalonews.com diluted mark of the </w:t>
      </w:r>
      <w:r w:rsidRPr="0096524F">
        <w:rPr>
          <w:i/>
        </w:rPr>
        <w:t>Buffalo News</w:t>
      </w:r>
      <w:r w:rsidRPr="0096524F">
        <w:t xml:space="preserve"> using Second Circuit’s multifactor analysis).</w:t>
      </w:r>
    </w:p>
  </w:footnote>
  <w:footnote w:id="673">
    <w:p w14:paraId="138AFE11" w14:textId="43E20788"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Trans Union LLC v.</w:t>
      </w:r>
      <w:r w:rsidRPr="0096524F">
        <w:t xml:space="preserve"> </w:t>
      </w:r>
      <w:r w:rsidRPr="0096524F">
        <w:t>Credit Research, Inc., 142 F.</w:t>
      </w:r>
      <w:r w:rsidRPr="0096524F">
        <w:t xml:space="preserve"> </w:t>
      </w:r>
      <w:r w:rsidRPr="0096524F">
        <w:t>Supp.</w:t>
      </w:r>
      <w:r w:rsidRPr="0096524F">
        <w:t xml:space="preserve"> </w:t>
      </w:r>
      <w:r w:rsidRPr="0096524F">
        <w:t>2d 1029, 1046 (N.D.</w:t>
      </w:r>
      <w:r w:rsidRPr="0096524F">
        <w:t xml:space="preserve"> </w:t>
      </w:r>
      <w:r w:rsidRPr="0096524F">
        <w:t>Ill.</w:t>
      </w:r>
      <w:r w:rsidRPr="0096524F">
        <w:t xml:space="preserve"> </w:t>
      </w:r>
      <w:r w:rsidRPr="0096524F">
        <w:t>2001) (refusing to enjoin defendant’s .com, .org, and .net domains with the name “creditbureautransunion”;</w:t>
      </w:r>
      <w:r w:rsidRPr="0096524F">
        <w:t xml:space="preserve"> </w:t>
      </w:r>
      <w:r w:rsidRPr="0096524F">
        <w:t>plaintiff’s mark was Trans Union);</w:t>
      </w:r>
      <w:r w:rsidRPr="0096524F">
        <w:t xml:space="preserve"> </w:t>
      </w:r>
      <w:r w:rsidRPr="0096524F">
        <w:rPr>
          <w:i/>
        </w:rPr>
        <w:t>see</w:t>
      </w:r>
      <w:r w:rsidRPr="0096524F">
        <w:t xml:space="preserve"> Ty Inc.</w:t>
      </w:r>
      <w:r w:rsidRPr="0096524F">
        <w:t xml:space="preserve"> </w:t>
      </w:r>
      <w:r w:rsidRPr="0096524F">
        <w:t>v.</w:t>
      </w:r>
      <w:r w:rsidRPr="0096524F">
        <w:t xml:space="preserve"> </w:t>
      </w:r>
      <w:r w:rsidRPr="0096524F">
        <w:t>Perryman, 2001 WL 826893, at *14 (N.D.</w:t>
      </w:r>
      <w:r w:rsidRPr="0096524F">
        <w:t xml:space="preserve"> </w:t>
      </w:r>
      <w:r w:rsidRPr="0096524F">
        <w:t>Ill.</w:t>
      </w:r>
      <w:r w:rsidRPr="0096524F">
        <w:t xml:space="preserve"> </w:t>
      </w:r>
      <w:r w:rsidRPr="0096524F">
        <w:t>Jul.</w:t>
      </w:r>
      <w:r w:rsidRPr="0096524F">
        <w:t xml:space="preserve"> </w:t>
      </w:r>
      <w:r w:rsidRPr="0096524F">
        <w:t xml:space="preserve">17, 2001) (“bargainbeanies.com” not similar to plaintiff’s Beanie Babies mark), </w:t>
      </w:r>
      <w:r w:rsidRPr="0096524F">
        <w:rPr>
          <w:i/>
        </w:rPr>
        <w:t>clarified at</w:t>
      </w:r>
      <w:r w:rsidRPr="0096524F">
        <w:t xml:space="preserve"> 2001 WL 1223550 (N.D.</w:t>
      </w:r>
      <w:r w:rsidRPr="0096524F">
        <w:t xml:space="preserve"> </w:t>
      </w:r>
      <w:r w:rsidRPr="0096524F">
        <w:t>Ill.</w:t>
      </w:r>
      <w:r w:rsidRPr="0096524F">
        <w:t xml:space="preserve"> </w:t>
      </w:r>
      <w:r w:rsidRPr="0096524F">
        <w:t>Oct.</w:t>
      </w:r>
      <w:r w:rsidRPr="0096524F">
        <w:t xml:space="preserve"> </w:t>
      </w:r>
      <w:r w:rsidRPr="0096524F">
        <w:t xml:space="preserve">12, 2001), </w:t>
      </w:r>
      <w:r w:rsidRPr="0096524F">
        <w:rPr>
          <w:i/>
        </w:rPr>
        <w:t>vacated on other grounds</w:t>
      </w:r>
      <w:r w:rsidRPr="0096524F">
        <w:t>, 306 F.3d 509, 64 USPQ2d 1689 (7th Cir.</w:t>
      </w:r>
      <w:r w:rsidRPr="0096524F">
        <w:t xml:space="preserve"> </w:t>
      </w:r>
      <w:r w:rsidRPr="0096524F">
        <w:t xml:space="preserve">2002) (reversing finding of dilution), </w:t>
      </w:r>
      <w:r w:rsidRPr="0096524F">
        <w:rPr>
          <w:i/>
        </w:rPr>
        <w:t>cert</w:t>
      </w:r>
      <w:r w:rsidRPr="0096524F">
        <w:t>.</w:t>
      </w:r>
      <w:r w:rsidRPr="0096524F">
        <w:t xml:space="preserve"> </w:t>
      </w:r>
      <w:r w:rsidRPr="0096524F">
        <w:rPr>
          <w:i/>
        </w:rPr>
        <w:t>denied</w:t>
      </w:r>
      <w:r w:rsidRPr="0096524F">
        <w:t>, 538 U.S.</w:t>
      </w:r>
      <w:r w:rsidRPr="0096524F">
        <w:t xml:space="preserve"> </w:t>
      </w:r>
      <w:r w:rsidRPr="0096524F">
        <w:t>971 (2003).</w:t>
      </w:r>
      <w:r w:rsidRPr="0096524F">
        <w:t xml:space="preserve"> </w:t>
      </w:r>
      <w:r w:rsidRPr="0096524F">
        <w:rPr>
          <w:i/>
        </w:rPr>
        <w:t>See also</w:t>
      </w:r>
      <w:r w:rsidRPr="0096524F">
        <w:t xml:space="preserve"> Virtual Works, Inc.</w:t>
      </w:r>
      <w:r w:rsidRPr="0096524F">
        <w:t xml:space="preserve"> </w:t>
      </w:r>
      <w:r w:rsidRPr="0096524F">
        <w:t>v.</w:t>
      </w:r>
      <w:r w:rsidRPr="0096524F">
        <w:t xml:space="preserve"> </w:t>
      </w:r>
      <w:r w:rsidRPr="0096524F">
        <w:t>Volkswagen of Am., Inc., 238 F.2d 264, 271, 57 USPQ2d 1547 (4th Cir.</w:t>
      </w:r>
      <w:r w:rsidRPr="0096524F">
        <w:t xml:space="preserve"> </w:t>
      </w:r>
      <w:r w:rsidRPr="0096524F">
        <w:t>2001) (stating that the “ACPA [Anticybersquatting Consumer Protection Act] was not enacted to give companies the right to fence off every possible combination of letters that bears any similarity to a protected mark”).</w:t>
      </w:r>
    </w:p>
  </w:footnote>
  <w:footnote w:id="674">
    <w:p w14:paraId="070276D3" w14:textId="60776E11"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Jews for Jesus v.</w:t>
      </w:r>
      <w:r w:rsidRPr="0096524F">
        <w:t xml:space="preserve"> </w:t>
      </w:r>
      <w:r w:rsidRPr="0096524F">
        <w:t>Brodsky, 993 F.</w:t>
      </w:r>
      <w:r w:rsidRPr="0096524F">
        <w:t xml:space="preserve"> </w:t>
      </w:r>
      <w:r w:rsidRPr="0096524F">
        <w:t>Supp.</w:t>
      </w:r>
      <w:r w:rsidRPr="0096524F">
        <w:t xml:space="preserve"> </w:t>
      </w:r>
      <w:r w:rsidRPr="0096524F">
        <w:t xml:space="preserve">282, 306–07, 46 USPQ2d 1652 (D.N.J.), </w:t>
      </w:r>
      <w:r w:rsidRPr="0096524F">
        <w:rPr>
          <w:i/>
        </w:rPr>
        <w:t>aff’d,</w:t>
      </w:r>
      <w:r w:rsidRPr="0096524F">
        <w:t xml:space="preserve"> 159 F.3d 1351 (3d Cir.</w:t>
      </w:r>
      <w:r w:rsidRPr="0096524F">
        <w:t xml:space="preserve"> </w:t>
      </w:r>
      <w:r w:rsidRPr="0096524F">
        <w:t>1998);</w:t>
      </w:r>
      <w:r w:rsidRPr="0096524F">
        <w:t xml:space="preserve"> </w:t>
      </w:r>
      <w:r w:rsidRPr="0096524F">
        <w:t>Intermatic, Inc.</w:t>
      </w:r>
      <w:r w:rsidRPr="0096524F">
        <w:t xml:space="preserve"> </w:t>
      </w:r>
      <w:r w:rsidRPr="0096524F">
        <w:t>v.</w:t>
      </w:r>
      <w:r w:rsidRPr="0096524F">
        <w:t xml:space="preserve"> </w:t>
      </w:r>
      <w:r w:rsidRPr="0096524F">
        <w:t>Toeppen, 947 F.</w:t>
      </w:r>
      <w:r w:rsidRPr="0096524F">
        <w:t xml:space="preserve"> </w:t>
      </w:r>
      <w:r w:rsidRPr="0096524F">
        <w:t>Supp.</w:t>
      </w:r>
      <w:r w:rsidRPr="0096524F">
        <w:t xml:space="preserve"> </w:t>
      </w:r>
      <w:r w:rsidRPr="0096524F">
        <w:t>1227, 1240–41, 40 USPQ2d 1412 (N.D.</w:t>
      </w:r>
      <w:r w:rsidRPr="0096524F">
        <w:t xml:space="preserve"> </w:t>
      </w:r>
      <w:r w:rsidRPr="0096524F">
        <w:t>Ill.</w:t>
      </w:r>
      <w:r w:rsidRPr="0096524F">
        <w:t xml:space="preserve"> </w:t>
      </w:r>
      <w:r w:rsidRPr="0096524F">
        <w:t>1996);</w:t>
      </w:r>
      <w:r w:rsidRPr="0096524F">
        <w:t xml:space="preserve"> </w:t>
      </w:r>
      <w:r w:rsidRPr="0096524F">
        <w:t>Panavision Int’l, L.P.</w:t>
      </w:r>
      <w:r w:rsidRPr="0096524F">
        <w:t xml:space="preserve"> </w:t>
      </w:r>
      <w:r w:rsidRPr="0096524F">
        <w:t>v.</w:t>
      </w:r>
      <w:r w:rsidRPr="0096524F">
        <w:t xml:space="preserve"> </w:t>
      </w:r>
      <w:r w:rsidRPr="0096524F">
        <w:t>Toeppen, 141 F.3d 1316, 1327, 46 USPQ2d 1511 (9th Cir.</w:t>
      </w:r>
      <w:r w:rsidRPr="0096524F">
        <w:t xml:space="preserve"> </w:t>
      </w:r>
      <w:r w:rsidRPr="0096524F">
        <w:t>1998).</w:t>
      </w:r>
    </w:p>
  </w:footnote>
  <w:footnote w:id="675">
    <w:p w14:paraId="6FB6F7C2" w14:textId="60C663CE" w:rsidR="0096524F" w:rsidRPr="00EB11B3" w:rsidRDefault="0096524F" w:rsidP="0096524F">
      <w:pPr>
        <w:pStyle w:val="FootnoteText"/>
      </w:pPr>
      <w:r w:rsidRPr="0096524F">
        <w:rPr>
          <w:vertAlign w:val="superscript"/>
        </w:rPr>
        <w:footnoteRef/>
      </w:r>
      <w:r w:rsidRPr="0096524F">
        <w:t>26 F.</w:t>
      </w:r>
      <w:r w:rsidRPr="0096524F">
        <w:t xml:space="preserve"> </w:t>
      </w:r>
      <w:r w:rsidRPr="0096524F">
        <w:t>Supp.</w:t>
      </w:r>
      <w:r w:rsidRPr="0096524F">
        <w:t xml:space="preserve"> </w:t>
      </w:r>
      <w:r w:rsidRPr="0096524F">
        <w:t>2d 639, 52 USPQ2d 1688 (S.D.N.Y.</w:t>
      </w:r>
      <w:r w:rsidRPr="0096524F">
        <w:t xml:space="preserve"> </w:t>
      </w:r>
      <w:r w:rsidRPr="0096524F">
        <w:t xml:space="preserve">1998), </w:t>
      </w:r>
      <w:r w:rsidRPr="0096524F">
        <w:rPr>
          <w:i/>
        </w:rPr>
        <w:t>vacated and remanded,</w:t>
      </w:r>
      <w:r w:rsidRPr="0096524F">
        <w:t xml:space="preserve"> 201 F.3d 432 (2d Cir.</w:t>
      </w:r>
      <w:r w:rsidRPr="0096524F">
        <w:t xml:space="preserve"> </w:t>
      </w:r>
      <w:r w:rsidRPr="0096524F">
        <w:t>1999).</w:t>
      </w:r>
    </w:p>
  </w:footnote>
  <w:footnote w:id="676">
    <w:p w14:paraId="387E2744" w14:textId="4B18C4A5"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644.</w:t>
      </w:r>
      <w:r w:rsidRPr="0096524F">
        <w:t xml:space="preserve"> </w:t>
      </w:r>
      <w:r w:rsidRPr="0096524F">
        <w:rPr>
          <w:i/>
        </w:rPr>
        <w:t>See</w:t>
      </w:r>
      <w:r w:rsidRPr="0096524F">
        <w:t xml:space="preserve"> Northland Ins.</w:t>
      </w:r>
      <w:r w:rsidRPr="0096524F">
        <w:t xml:space="preserve"> </w:t>
      </w:r>
      <w:r w:rsidRPr="0096524F">
        <w:t>Cos.</w:t>
      </w:r>
      <w:r w:rsidRPr="0096524F">
        <w:t xml:space="preserve"> </w:t>
      </w:r>
      <w:r w:rsidRPr="0096524F">
        <w:t>v.</w:t>
      </w:r>
      <w:r w:rsidRPr="0096524F">
        <w:t xml:space="preserve"> </w:t>
      </w:r>
      <w:r w:rsidRPr="0096524F">
        <w:t>Blaylock, 115 F.</w:t>
      </w:r>
      <w:r w:rsidRPr="0096524F">
        <w:t xml:space="preserve"> </w:t>
      </w:r>
      <w:r w:rsidRPr="0096524F">
        <w:t>Supp.</w:t>
      </w:r>
      <w:r w:rsidRPr="0096524F">
        <w:t xml:space="preserve"> </w:t>
      </w:r>
      <w:r w:rsidRPr="0096524F">
        <w:t>2d 1108, 1123, 56 USPQ2d 1662 (D.</w:t>
      </w:r>
      <w:r w:rsidRPr="0096524F">
        <w:t xml:space="preserve"> </w:t>
      </w:r>
      <w:r w:rsidRPr="0096524F">
        <w:t>Minn.</w:t>
      </w:r>
      <w:r w:rsidRPr="0096524F">
        <w:t xml:space="preserve"> </w:t>
      </w:r>
      <w:r w:rsidRPr="0096524F">
        <w:t>2000) (defendant’s use of northlandinsurance.com for a Web site critical of plaintiff held not a commercial use).</w:t>
      </w:r>
    </w:p>
  </w:footnote>
  <w:footnote w:id="677">
    <w:p w14:paraId="31D169B9" w14:textId="4B77F7F7" w:rsidR="0096524F" w:rsidRPr="00EB11B3" w:rsidRDefault="0096524F" w:rsidP="0096524F">
      <w:pPr>
        <w:pStyle w:val="FootnoteText"/>
      </w:pPr>
      <w:r w:rsidRPr="0096524F">
        <w:rPr>
          <w:vertAlign w:val="superscript"/>
        </w:rPr>
        <w:footnoteRef/>
      </w:r>
      <w:r w:rsidRPr="0096524F">
        <w:t xml:space="preserve">It is unclear how the pre-TDRA requirement of actual dilution imposed by the Supreme Court in </w:t>
      </w:r>
      <w:r w:rsidRPr="0096524F">
        <w:rPr>
          <w:i/>
        </w:rPr>
        <w:t>Moseley v</w:t>
      </w:r>
      <w:r w:rsidRPr="0096524F">
        <w:t>.</w:t>
      </w:r>
      <w:r w:rsidRPr="0096524F">
        <w:t xml:space="preserve"> </w:t>
      </w:r>
      <w:r w:rsidRPr="0096524F">
        <w:rPr>
          <w:i/>
        </w:rPr>
        <w:t>V Secret Catalogue, Inc</w:t>
      </w:r>
      <w:r w:rsidRPr="0096524F">
        <w:t>., 537 U.S.</w:t>
      </w:r>
      <w:r w:rsidRPr="0096524F">
        <w:t xml:space="preserve"> </w:t>
      </w:r>
      <w:r w:rsidRPr="0096524F">
        <w:t xml:space="preserve">418, 433, 65 USPQ2d 1801 (2003), would have affected the </w:t>
      </w:r>
      <w:r w:rsidRPr="0096524F">
        <w:rPr>
          <w:i/>
        </w:rPr>
        <w:t>per se</w:t>
      </w:r>
      <w:r w:rsidRPr="0096524F">
        <w:t xml:space="preserve"> dilution rationale.</w:t>
      </w:r>
      <w:r w:rsidRPr="0096524F">
        <w:t xml:space="preserve"> </w:t>
      </w:r>
      <w:r w:rsidRPr="0096524F">
        <w:t xml:space="preserve">On the one hand, the Court indicated that a junior use of an </w:t>
      </w:r>
      <w:r w:rsidRPr="0096524F">
        <w:rPr>
          <w:i/>
        </w:rPr>
        <w:t>identical</w:t>
      </w:r>
      <w:r w:rsidRPr="0096524F">
        <w:t xml:space="preserve"> mark may be sufficient “circumstantial evidence” of actual dilution.</w:t>
      </w:r>
      <w:r w:rsidRPr="0096524F">
        <w:t xml:space="preserve"> </w:t>
      </w:r>
      <w:r w:rsidRPr="0096524F">
        <w:rPr>
          <w:i/>
        </w:rPr>
        <w:t>Id</w:t>
      </w:r>
      <w:r w:rsidRPr="0096524F">
        <w:t>.</w:t>
      </w:r>
      <w:r w:rsidRPr="0096524F">
        <w:t xml:space="preserve"> </w:t>
      </w:r>
      <w:r w:rsidRPr="0096524F">
        <w:t>at 434.</w:t>
      </w:r>
      <w:r w:rsidRPr="0096524F">
        <w:t xml:space="preserve"> </w:t>
      </w:r>
      <w:r w:rsidRPr="0096524F">
        <w:t>If one considers www.famoustrademark.com (or .net, .org., etc.) to be the use of an identical mark, then one might view the Court’s decision as supporting this analysis.</w:t>
      </w:r>
      <w:r w:rsidRPr="0096524F">
        <w:t xml:space="preserve"> </w:t>
      </w:r>
      <w:r w:rsidRPr="0096524F">
        <w:t xml:space="preserve">(More than one court has used </w:t>
      </w:r>
      <w:r w:rsidRPr="0096524F">
        <w:rPr>
          <w:i/>
        </w:rPr>
        <w:t>Moseley</w:t>
      </w:r>
      <w:r w:rsidRPr="0096524F">
        <w:t xml:space="preserve"> in this manner.</w:t>
      </w:r>
      <w:r w:rsidRPr="0096524F">
        <w:t xml:space="preserve"> </w:t>
      </w:r>
      <w:r w:rsidRPr="0096524F">
        <w:t>Avlon Indus.</w:t>
      </w:r>
      <w:r w:rsidRPr="0096524F">
        <w:t xml:space="preserve"> </w:t>
      </w:r>
      <w:r w:rsidRPr="0096524F">
        <w:t>v.</w:t>
      </w:r>
      <w:r w:rsidRPr="0096524F">
        <w:t xml:space="preserve"> </w:t>
      </w:r>
      <w:r w:rsidRPr="0096524F">
        <w:t>Robinson, 2005 WL 331561, at *3 (N.D.</w:t>
      </w:r>
      <w:r w:rsidRPr="0096524F">
        <w:t xml:space="preserve"> </w:t>
      </w:r>
      <w:r w:rsidRPr="0096524F">
        <w:t>Ill.</w:t>
      </w:r>
      <w:r w:rsidRPr="0096524F">
        <w:t xml:space="preserve"> </w:t>
      </w:r>
      <w:r w:rsidRPr="0096524F">
        <w:t>Feb.</w:t>
      </w:r>
      <w:r w:rsidRPr="0096524F">
        <w:t xml:space="preserve"> </w:t>
      </w:r>
      <w:r w:rsidRPr="0096524F">
        <w:t>8, 2005);</w:t>
      </w:r>
      <w:r w:rsidRPr="0096524F">
        <w:t xml:space="preserve"> </w:t>
      </w:r>
      <w:r w:rsidRPr="0096524F">
        <w:t>Pinehurst, Inc.</w:t>
      </w:r>
      <w:r w:rsidRPr="0096524F">
        <w:t xml:space="preserve"> </w:t>
      </w:r>
      <w:r w:rsidRPr="0096524F">
        <w:t>v.</w:t>
      </w:r>
      <w:r w:rsidRPr="0096524F">
        <w:t xml:space="preserve"> </w:t>
      </w:r>
      <w:r w:rsidRPr="0096524F">
        <w:t>Wick, 256 F.</w:t>
      </w:r>
      <w:r w:rsidRPr="0096524F">
        <w:t xml:space="preserve"> </w:t>
      </w:r>
      <w:r w:rsidRPr="0096524F">
        <w:t>Supp.</w:t>
      </w:r>
      <w:r w:rsidRPr="0096524F">
        <w:t xml:space="preserve"> </w:t>
      </w:r>
      <w:r w:rsidRPr="0096524F">
        <w:t>2d 424, 431–32, 66 USPQ2d 1610 (M.D.N.C.</w:t>
      </w:r>
      <w:r w:rsidRPr="0096524F">
        <w:t xml:space="preserve"> </w:t>
      </w:r>
      <w:r w:rsidRPr="0096524F">
        <w:t xml:space="preserve">2003).) However, the primary rationale for the </w:t>
      </w:r>
      <w:r w:rsidRPr="0096524F">
        <w:rPr>
          <w:i/>
        </w:rPr>
        <w:t>per se</w:t>
      </w:r>
      <w:r w:rsidRPr="0096524F">
        <w:t xml:space="preserve"> test has been that the junior use “blocks” the use of the domain name by the famous mark owner.</w:t>
      </w:r>
      <w:r w:rsidRPr="0096524F">
        <w:t xml:space="preserve"> </w:t>
      </w:r>
      <w:r w:rsidRPr="0096524F">
        <w:t>That did not correspond to the original FTDA definition of dilution, or to the Court’s understanding of dilution as attacking the capacity of the mark to identify its owner.</w:t>
      </w:r>
      <w:r w:rsidRPr="0096524F">
        <w:t xml:space="preserve"> </w:t>
      </w:r>
      <w:r w:rsidRPr="0096524F">
        <w:rPr>
          <w:i/>
        </w:rPr>
        <w:t>See</w:t>
      </w:r>
      <w:r w:rsidRPr="0096524F">
        <w:t xml:space="preserve"> </w:t>
      </w:r>
      <w:r w:rsidRPr="0096524F">
        <w:rPr>
          <w:i/>
        </w:rPr>
        <w:t>Moseley</w:t>
      </w:r>
      <w:r w:rsidRPr="0096524F">
        <w:t>, 537 U.S.</w:t>
      </w:r>
      <w:r w:rsidRPr="0096524F">
        <w:t xml:space="preserve"> </w:t>
      </w:r>
      <w:r w:rsidRPr="0096524F">
        <w:t>at 433–34.</w:t>
      </w:r>
      <w:r w:rsidRPr="0096524F">
        <w:t xml:space="preserve"> </w:t>
      </w:r>
      <w:r w:rsidRPr="0096524F">
        <w:t>Moreover, the Court’s unwillingness to stretch the statutory language suggests that it would not be willing to do so to permit these dilution claims, particularly where an alternative remedy (the ACPA) exists.</w:t>
      </w:r>
      <w:r w:rsidRPr="0096524F">
        <w:t xml:space="preserve"> </w:t>
      </w:r>
      <w:r w:rsidRPr="0096524F">
        <w:t>Where the domain name does not consist solely of famoustrade</w:t>
      </w:r>
      <w:r w:rsidRPr="0096524F">
        <w:br/>
        <w:t xml:space="preserve">mark.com, the viability of a </w:t>
      </w:r>
      <w:r w:rsidRPr="0096524F">
        <w:rPr>
          <w:i/>
        </w:rPr>
        <w:t>per se</w:t>
      </w:r>
      <w:r w:rsidRPr="0096524F">
        <w:t xml:space="preserve"> analysis is even more dubious.</w:t>
      </w:r>
      <w:r w:rsidRPr="0096524F">
        <w:t xml:space="preserve"> </w:t>
      </w:r>
      <w:r w:rsidRPr="0096524F">
        <w:t>Under the actual dilution standard, mere similarity or mental association between the domain name and the famous mark did not suffice.</w:t>
      </w:r>
      <w:r w:rsidRPr="0096524F">
        <w:t xml:space="preserve"> </w:t>
      </w:r>
      <w:r w:rsidRPr="0096524F">
        <w:rPr>
          <w:i/>
        </w:rPr>
        <w:t>Id</w:t>
      </w:r>
      <w:r w:rsidRPr="0096524F">
        <w:t>.</w:t>
      </w:r>
      <w:r w:rsidRPr="0096524F">
        <w:t xml:space="preserve"> </w:t>
      </w:r>
      <w:r w:rsidRPr="0096524F">
        <w:t>at 433 (mental association does not show actual dilution).</w:t>
      </w:r>
    </w:p>
  </w:footnote>
  <w:footnote w:id="678">
    <w:p w14:paraId="0D900A87" w14:textId="3A14A95E" w:rsidR="0096524F" w:rsidRPr="00EB11B3" w:rsidRDefault="0096524F" w:rsidP="0096524F">
      <w:pPr>
        <w:pStyle w:val="FootnoteText"/>
      </w:pPr>
      <w:r w:rsidRPr="0096524F">
        <w:rPr>
          <w:vertAlign w:val="superscript"/>
        </w:rPr>
        <w:footnoteRef/>
      </w:r>
      <w:r w:rsidRPr="0096524F">
        <w:t>Nissan Motor Co., Ltd.</w:t>
      </w:r>
      <w:r w:rsidRPr="0096524F">
        <w:t xml:space="preserve"> </w:t>
      </w:r>
      <w:r w:rsidRPr="0096524F">
        <w:t>v.</w:t>
      </w:r>
      <w:r w:rsidRPr="0096524F">
        <w:t xml:space="preserve"> </w:t>
      </w:r>
      <w:r w:rsidRPr="0096524F">
        <w:t>Nissan Computer Corp., 2007 U.S.</w:t>
      </w:r>
      <w:r w:rsidRPr="0096524F">
        <w:t xml:space="preserve"> </w:t>
      </w:r>
      <w:r w:rsidRPr="0096524F">
        <w:t>Dist.</w:t>
      </w:r>
      <w:r w:rsidRPr="0096524F">
        <w:t xml:space="preserve"> </w:t>
      </w:r>
      <w:r w:rsidRPr="0096524F">
        <w:t>LEXIS 90487, at *45 (C.D.</w:t>
      </w:r>
      <w:r w:rsidRPr="0096524F">
        <w:t xml:space="preserve"> </w:t>
      </w:r>
      <w:r w:rsidRPr="0096524F">
        <w:t>Cal.</w:t>
      </w:r>
      <w:r w:rsidRPr="0096524F">
        <w:t xml:space="preserve"> </w:t>
      </w:r>
      <w:r w:rsidRPr="0096524F">
        <w:t>Sept.</w:t>
      </w:r>
      <w:r w:rsidRPr="0096524F">
        <w:t xml:space="preserve"> </w:t>
      </w:r>
      <w:r w:rsidRPr="0096524F">
        <w:t>20, 2007).</w:t>
      </w:r>
      <w:r w:rsidRPr="0096524F">
        <w:t xml:space="preserve"> </w:t>
      </w:r>
      <w:r w:rsidRPr="0096524F">
        <w:rPr>
          <w:i/>
        </w:rPr>
        <w:t>But cf</w:t>
      </w:r>
      <w:r w:rsidRPr="0096524F">
        <w:t>.</w:t>
      </w:r>
      <w:r w:rsidRPr="0096524F">
        <w:t xml:space="preserve"> </w:t>
      </w:r>
      <w:r w:rsidRPr="0096524F">
        <w:t>Ticketmaster Corp.</w:t>
      </w:r>
      <w:r w:rsidRPr="0096524F">
        <w:t xml:space="preserve"> </w:t>
      </w:r>
      <w:r w:rsidRPr="0096524F">
        <w:t>v.</w:t>
      </w:r>
      <w:r w:rsidRPr="0096524F">
        <w:t xml:space="preserve"> </w:t>
      </w:r>
      <w:r w:rsidRPr="0096524F">
        <w:t>Devane, 2008 U.S.</w:t>
      </w:r>
      <w:r w:rsidRPr="0096524F">
        <w:t xml:space="preserve"> </w:t>
      </w:r>
      <w:r w:rsidRPr="0096524F">
        <w:t>Dist.</w:t>
      </w:r>
      <w:r w:rsidRPr="0096524F">
        <w:t xml:space="preserve"> </w:t>
      </w:r>
      <w:r w:rsidRPr="0096524F">
        <w:t>LEXIS 39369, at *9 (E.D.N.C.</w:t>
      </w:r>
      <w:r w:rsidRPr="0096524F">
        <w:t xml:space="preserve"> </w:t>
      </w:r>
      <w:r w:rsidRPr="0096524F">
        <w:t>May 12, 2008), where the court entered a default judgment on several claims, including dilution.</w:t>
      </w:r>
      <w:r w:rsidRPr="0096524F">
        <w:t xml:space="preserve"> </w:t>
      </w:r>
      <w:r w:rsidRPr="0096524F">
        <w:t>The court asserted that by preventing others from potentially reaching Ticketmaster’s Web site, defendant diluted plaintiff’s mark.</w:t>
      </w:r>
      <w:r w:rsidRPr="0096524F">
        <w:t xml:space="preserve"> </w:t>
      </w:r>
      <w:r w:rsidRPr="0096524F">
        <w:t>However, defendant’s Web site was ticketmasterevent.com, not ticketmaster.com, so the claim of “blocking” seems a bit strained (though the confusion and ACPA claims were probably well founded).</w:t>
      </w:r>
      <w:r w:rsidRPr="0096524F">
        <w:t xml:space="preserve"> </w:t>
      </w:r>
      <w:r w:rsidRPr="0096524F">
        <w:t xml:space="preserve">And in </w:t>
      </w:r>
      <w:r w:rsidRPr="0096524F">
        <w:rPr>
          <w:i/>
        </w:rPr>
        <w:t>MasterCard Int’l, Inc</w:t>
      </w:r>
      <w:r w:rsidRPr="0096524F">
        <w:t>.</w:t>
      </w:r>
      <w:r w:rsidRPr="0096524F">
        <w:t xml:space="preserve"> </w:t>
      </w:r>
      <w:r w:rsidRPr="0096524F">
        <w:rPr>
          <w:i/>
        </w:rPr>
        <w:t>v</w:t>
      </w:r>
      <w:r w:rsidRPr="0096524F">
        <w:t>.</w:t>
      </w:r>
      <w:r w:rsidRPr="0096524F">
        <w:t xml:space="preserve"> </w:t>
      </w:r>
      <w:r w:rsidRPr="0096524F">
        <w:rPr>
          <w:i/>
        </w:rPr>
        <w:t>Trehan</w:t>
      </w:r>
      <w:r w:rsidRPr="0096524F">
        <w:t>, 629 F.</w:t>
      </w:r>
      <w:r w:rsidRPr="0096524F">
        <w:t xml:space="preserve"> </w:t>
      </w:r>
      <w:r w:rsidRPr="0096524F">
        <w:t>Supp.</w:t>
      </w:r>
      <w:r w:rsidRPr="0096524F">
        <w:t xml:space="preserve"> </w:t>
      </w:r>
      <w:r w:rsidRPr="0096524F">
        <w:t>2d 824, 832–33 (N.D.</w:t>
      </w:r>
      <w:r w:rsidRPr="0096524F">
        <w:t xml:space="preserve"> </w:t>
      </w:r>
      <w:r w:rsidRPr="0096524F">
        <w:t>Ill.</w:t>
      </w:r>
      <w:r w:rsidRPr="0096524F">
        <w:t xml:space="preserve"> </w:t>
      </w:r>
      <w:r w:rsidRPr="0096524F">
        <w:t>2009), the court cited pre-TDRA case law in support of a “blocking” type of dilution claim (cases that also predated the widespread use of search engines), without considering whether a different standard should now apply.</w:t>
      </w:r>
    </w:p>
  </w:footnote>
  <w:footnote w:id="679">
    <w:p w14:paraId="2634A62A" w14:textId="62C15E9E" w:rsidR="0096524F" w:rsidRPr="00EB11B3" w:rsidRDefault="0096524F" w:rsidP="0096524F">
      <w:pPr>
        <w:pStyle w:val="FootnoteText"/>
      </w:pPr>
      <w:r w:rsidRPr="0096524F">
        <w:rPr>
          <w:vertAlign w:val="superscript"/>
        </w:rPr>
        <w:footnoteRef/>
      </w:r>
      <w:r w:rsidRPr="0096524F">
        <w:t>V Secret Catalogue, Inc.</w:t>
      </w:r>
      <w:r w:rsidRPr="0096524F">
        <w:t xml:space="preserve"> </w:t>
      </w:r>
      <w:r w:rsidRPr="0096524F">
        <w:t>v.</w:t>
      </w:r>
      <w:r w:rsidRPr="0096524F">
        <w:t xml:space="preserve"> </w:t>
      </w:r>
      <w:r w:rsidRPr="0096524F">
        <w:t>Moseley, 605 F.3d 382, 388, 95 USPQ2d 1050 (6th Cir.</w:t>
      </w:r>
      <w:r w:rsidRPr="0096524F">
        <w:t xml:space="preserve"> </w:t>
      </w:r>
      <w:r w:rsidRPr="0096524F">
        <w:t xml:space="preserve">2010), </w:t>
      </w:r>
      <w:r w:rsidRPr="0096524F">
        <w:rPr>
          <w:i/>
        </w:rPr>
        <w:t>cert</w:t>
      </w:r>
      <w:r w:rsidRPr="0096524F">
        <w:t>.</w:t>
      </w:r>
      <w:r w:rsidRPr="0096524F">
        <w:t xml:space="preserve"> </w:t>
      </w:r>
      <w:r w:rsidRPr="0096524F">
        <w:rPr>
          <w:i/>
        </w:rPr>
        <w:t xml:space="preserve">denied, </w:t>
      </w:r>
      <w:r w:rsidRPr="0096524F">
        <w:t>131 S.</w:t>
      </w:r>
      <w:r w:rsidRPr="0096524F">
        <w:t xml:space="preserve"> </w:t>
      </w:r>
      <w:r w:rsidRPr="0096524F">
        <w:t>Ct.</w:t>
      </w:r>
      <w:r w:rsidRPr="0096524F">
        <w:t xml:space="preserve"> </w:t>
      </w:r>
      <w:r w:rsidRPr="0096524F">
        <w:t>1003 (2011).</w:t>
      </w:r>
      <w:r w:rsidRPr="0096524F">
        <w:t xml:space="preserve"> </w:t>
      </w:r>
      <w:r w:rsidRPr="0096524F">
        <w:t>This issue is discussed above, §II.E.2.a.ii.</w:t>
      </w:r>
    </w:p>
  </w:footnote>
  <w:footnote w:id="680">
    <w:p w14:paraId="188B783F" w14:textId="6BDB598D" w:rsidR="0096524F" w:rsidRPr="00EB11B3" w:rsidRDefault="0096524F" w:rsidP="0096524F">
      <w:pPr>
        <w:pStyle w:val="FootnoteText"/>
      </w:pPr>
      <w:r w:rsidRPr="0096524F">
        <w:rPr>
          <w:vertAlign w:val="superscript"/>
        </w:rPr>
        <w:footnoteRef/>
      </w:r>
      <w:r w:rsidRPr="0096524F">
        <w:t>605 F.3d at 388.</w:t>
      </w:r>
    </w:p>
  </w:footnote>
  <w:footnote w:id="681">
    <w:p w14:paraId="70E38D3D" w14:textId="5EB383A1" w:rsidR="0096524F" w:rsidRPr="0096524F" w:rsidRDefault="0096524F" w:rsidP="0096524F">
      <w:pPr>
        <w:pStyle w:val="FootnoteText"/>
      </w:pPr>
      <w:r w:rsidRPr="0096524F">
        <w:rPr>
          <w:vertAlign w:val="superscript"/>
        </w:rPr>
        <w:footnoteRef/>
      </w:r>
      <w:r w:rsidRPr="0096524F">
        <w:t>Pinterest, Inc.</w:t>
      </w:r>
      <w:r w:rsidRPr="0096524F">
        <w:t xml:space="preserve"> </w:t>
      </w:r>
      <w:r w:rsidRPr="0096524F">
        <w:t>v.</w:t>
      </w:r>
      <w:r w:rsidRPr="0096524F">
        <w:t xml:space="preserve"> </w:t>
      </w:r>
      <w:r w:rsidRPr="0096524F">
        <w:t>Jin, 2013 U.S.</w:t>
      </w:r>
      <w:r w:rsidRPr="0096524F">
        <w:t xml:space="preserve"> </w:t>
      </w:r>
      <w:r w:rsidRPr="0096524F">
        <w:t>Dist.</w:t>
      </w:r>
      <w:r w:rsidRPr="0096524F">
        <w:t xml:space="preserve"> </w:t>
      </w:r>
      <w:r w:rsidRPr="0096524F">
        <w:t>LEXIS 142162, at *7 (N.D.</w:t>
      </w:r>
      <w:r w:rsidRPr="0096524F">
        <w:t xml:space="preserve"> </w:t>
      </w:r>
      <w:r w:rsidRPr="0096524F">
        <w:t>Cal.</w:t>
      </w:r>
      <w:r w:rsidRPr="0096524F">
        <w:t xml:space="preserve"> </w:t>
      </w:r>
      <w:r w:rsidRPr="0096524F">
        <w:t>Sept.</w:t>
      </w:r>
      <w:r w:rsidRPr="0096524F">
        <w:t xml:space="preserve"> </w:t>
      </w:r>
      <w:r w:rsidRPr="0096524F">
        <w:t>30, 2013) (default judgment).</w:t>
      </w:r>
    </w:p>
    <w:p w14:paraId="64AE4EC0" w14:textId="77777777" w:rsidR="0096524F" w:rsidRDefault="0096524F" w:rsidP="00D758BD">
      <w:pPr>
        <w:pStyle w:val="footnote"/>
      </w:pPr>
    </w:p>
  </w:footnote>
  <w:footnote w:id="682">
    <w:p w14:paraId="519FB0E6" w14:textId="402A177F" w:rsidR="0096524F" w:rsidRPr="0096524F" w:rsidRDefault="0096524F" w:rsidP="0096524F">
      <w:pPr>
        <w:pStyle w:val="FootnoteText"/>
      </w:pPr>
      <w:r w:rsidRPr="0096524F">
        <w:rPr>
          <w:vertAlign w:val="superscript"/>
        </w:rPr>
        <w:footnoteRef/>
      </w:r>
      <w:r w:rsidRPr="0096524F">
        <w:t>Pub.</w:t>
      </w:r>
      <w:r w:rsidRPr="0096524F">
        <w:t xml:space="preserve"> </w:t>
      </w:r>
      <w:r w:rsidRPr="0096524F">
        <w:t>L.</w:t>
      </w:r>
      <w:r w:rsidRPr="0096524F">
        <w:t xml:space="preserve"> </w:t>
      </w:r>
      <w:r w:rsidRPr="0096524F">
        <w:t>No.</w:t>
      </w:r>
      <w:r w:rsidRPr="0096524F">
        <w:t xml:space="preserve"> </w:t>
      </w:r>
      <w:r w:rsidRPr="0096524F">
        <w:t>106-113, App.</w:t>
      </w:r>
      <w:r w:rsidRPr="0096524F">
        <w:t xml:space="preserve"> </w:t>
      </w:r>
      <w:r w:rsidRPr="0096524F">
        <w:t>I, §3001, 113 Stat.</w:t>
      </w:r>
      <w:r w:rsidRPr="0096524F">
        <w:t xml:space="preserve"> </w:t>
      </w:r>
      <w:r w:rsidRPr="0096524F">
        <w:t>1501A-545 (Oct.</w:t>
      </w:r>
      <w:r w:rsidRPr="0096524F">
        <w:t xml:space="preserve"> </w:t>
      </w:r>
      <w:r w:rsidRPr="0096524F">
        <w:t>6, 2006) (codified at 15 U.S.C.</w:t>
      </w:r>
      <w:r w:rsidRPr="0096524F">
        <w:t xml:space="preserve"> </w:t>
      </w:r>
      <w:r w:rsidRPr="0096524F">
        <w:t>§§1114, 1116, 1117, 1125, 1127).</w:t>
      </w:r>
    </w:p>
    <w:p w14:paraId="76525339" w14:textId="77777777" w:rsidR="0096524F" w:rsidRDefault="0096524F" w:rsidP="00D758BD">
      <w:pPr>
        <w:pStyle w:val="footnote"/>
      </w:pPr>
    </w:p>
  </w:footnote>
  <w:footnote w:id="683">
    <w:p w14:paraId="71C11FDE" w14:textId="227DC401"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Planned Parenthood Fed’n of Am., Inc.</w:t>
      </w:r>
      <w:r w:rsidRPr="0096524F">
        <w:t xml:space="preserve"> </w:t>
      </w:r>
      <w:r w:rsidRPr="0096524F">
        <w:t>v.</w:t>
      </w:r>
      <w:r w:rsidRPr="0096524F">
        <w:t xml:space="preserve"> </w:t>
      </w:r>
      <w:r w:rsidRPr="0096524F">
        <w:t>Bucci, 42 USPQ2d 1430 (S.D.N.Y.</w:t>
      </w:r>
      <w:r w:rsidRPr="0096524F">
        <w:t xml:space="preserve"> </w:t>
      </w:r>
      <w:r w:rsidRPr="0096524F">
        <w:t xml:space="preserve">1997), </w:t>
      </w:r>
      <w:r w:rsidRPr="0096524F">
        <w:rPr>
          <w:i/>
        </w:rPr>
        <w:t>aff’d mem</w:t>
      </w:r>
      <w:r w:rsidRPr="0096524F">
        <w:t xml:space="preserve">., 152 F.3d 920 (2d Cir.), </w:t>
      </w:r>
      <w:r w:rsidRPr="0096524F">
        <w:rPr>
          <w:i/>
        </w:rPr>
        <w:t>cert</w:t>
      </w:r>
      <w:r w:rsidRPr="0096524F">
        <w:t>.</w:t>
      </w:r>
      <w:r w:rsidRPr="0096524F">
        <w:t xml:space="preserve"> </w:t>
      </w:r>
      <w:r w:rsidRPr="0096524F">
        <w:rPr>
          <w:i/>
        </w:rPr>
        <w:t>denied,</w:t>
      </w:r>
      <w:r w:rsidRPr="0096524F">
        <w:t xml:space="preserve"> 525 U.S.</w:t>
      </w:r>
      <w:r w:rsidRPr="0096524F">
        <w:t xml:space="preserve"> </w:t>
      </w:r>
      <w:r w:rsidRPr="0096524F">
        <w:t>834 (1998);</w:t>
      </w:r>
      <w:r w:rsidRPr="0096524F">
        <w:t xml:space="preserve"> </w:t>
      </w:r>
      <w:r w:rsidRPr="0096524F">
        <w:t>Northland Ins.</w:t>
      </w:r>
      <w:r w:rsidRPr="0096524F">
        <w:t xml:space="preserve"> </w:t>
      </w:r>
      <w:r w:rsidRPr="0096524F">
        <w:t>Cos.</w:t>
      </w:r>
      <w:r w:rsidRPr="0096524F">
        <w:t xml:space="preserve"> </w:t>
      </w:r>
      <w:r w:rsidRPr="0096524F">
        <w:t>v.</w:t>
      </w:r>
      <w:r w:rsidRPr="0096524F">
        <w:t xml:space="preserve"> </w:t>
      </w:r>
      <w:r w:rsidRPr="0096524F">
        <w:t>Blaylock, 115 F.</w:t>
      </w:r>
      <w:r w:rsidRPr="0096524F">
        <w:t xml:space="preserve"> </w:t>
      </w:r>
      <w:r w:rsidRPr="0096524F">
        <w:t>Supp.</w:t>
      </w:r>
      <w:r w:rsidRPr="0096524F">
        <w:t xml:space="preserve"> </w:t>
      </w:r>
      <w:r w:rsidRPr="0096524F">
        <w:t>2d 1108, 56 USPQ2d 1662 (D.</w:t>
      </w:r>
      <w:r w:rsidRPr="0096524F">
        <w:t xml:space="preserve"> </w:t>
      </w:r>
      <w:r w:rsidRPr="0096524F">
        <w:t>Minn.</w:t>
      </w:r>
      <w:r w:rsidRPr="0096524F">
        <w:t xml:space="preserve"> </w:t>
      </w:r>
      <w:r w:rsidRPr="0096524F">
        <w:t>2000);</w:t>
      </w:r>
      <w:r w:rsidRPr="0096524F">
        <w:t xml:space="preserve"> </w:t>
      </w:r>
      <w:r w:rsidRPr="0096524F">
        <w:t>Jews for Jesus v.</w:t>
      </w:r>
      <w:r w:rsidRPr="0096524F">
        <w:t xml:space="preserve"> </w:t>
      </w:r>
      <w:r w:rsidRPr="0096524F">
        <w:t>Brodsky, 993 F.</w:t>
      </w:r>
      <w:r w:rsidRPr="0096524F">
        <w:t xml:space="preserve"> </w:t>
      </w:r>
      <w:r w:rsidRPr="0096524F">
        <w:t>Supp.</w:t>
      </w:r>
      <w:r w:rsidRPr="0096524F">
        <w:t xml:space="preserve"> </w:t>
      </w:r>
      <w:r w:rsidRPr="0096524F">
        <w:t xml:space="preserve">282, 46 USPQ2d 1652 (D.N.J.), </w:t>
      </w:r>
      <w:r w:rsidRPr="0096524F">
        <w:rPr>
          <w:i/>
        </w:rPr>
        <w:t>aff’d,</w:t>
      </w:r>
      <w:r w:rsidRPr="0096524F">
        <w:t xml:space="preserve"> 159 F.3d 1351 (3d Cir.</w:t>
      </w:r>
      <w:r w:rsidRPr="0096524F">
        <w:t xml:space="preserve"> </w:t>
      </w:r>
      <w:r w:rsidRPr="0096524F">
        <w:t>1998);</w:t>
      </w:r>
      <w:r w:rsidRPr="0096524F">
        <w:t xml:space="preserve"> </w:t>
      </w:r>
      <w:r w:rsidRPr="0096524F">
        <w:t>People for the Ethical Treatment of Animals, Inc.</w:t>
      </w:r>
      <w:r w:rsidRPr="0096524F">
        <w:t xml:space="preserve"> </w:t>
      </w:r>
      <w:r w:rsidRPr="0096524F">
        <w:t>v.</w:t>
      </w:r>
      <w:r w:rsidRPr="0096524F">
        <w:t xml:space="preserve"> </w:t>
      </w:r>
      <w:r w:rsidRPr="0096524F">
        <w:t>Doughney, 113 F.</w:t>
      </w:r>
      <w:r w:rsidRPr="0096524F">
        <w:t xml:space="preserve"> </w:t>
      </w:r>
      <w:r w:rsidRPr="0096524F">
        <w:t>Supp.</w:t>
      </w:r>
      <w:r w:rsidRPr="0096524F">
        <w:t xml:space="preserve"> </w:t>
      </w:r>
      <w:r w:rsidRPr="0096524F">
        <w:t>2d 915 (E.D.</w:t>
      </w:r>
      <w:r w:rsidRPr="0096524F">
        <w:t xml:space="preserve"> </w:t>
      </w:r>
      <w:r w:rsidRPr="0096524F">
        <w:t>Va.</w:t>
      </w:r>
      <w:r w:rsidRPr="0096524F">
        <w:t xml:space="preserve"> </w:t>
      </w:r>
      <w:r w:rsidRPr="0096524F">
        <w:t xml:space="preserve">2000), </w:t>
      </w:r>
      <w:r w:rsidRPr="0096524F">
        <w:rPr>
          <w:i/>
        </w:rPr>
        <w:t>aff’d,</w:t>
      </w:r>
      <w:r w:rsidRPr="0096524F">
        <w:t xml:space="preserve"> 263 F.3d 359, 60 USPQ2d 1109 (4th Cir.</w:t>
      </w:r>
      <w:r w:rsidRPr="0096524F">
        <w:t xml:space="preserve"> </w:t>
      </w:r>
      <w:r w:rsidRPr="0096524F">
        <w:t>2001) (the Fourth Circuit did not reach the dilution claim);</w:t>
      </w:r>
      <w:r w:rsidRPr="0096524F">
        <w:t xml:space="preserve"> </w:t>
      </w:r>
      <w:r w:rsidRPr="0096524F">
        <w:t>OBH, Inc.</w:t>
      </w:r>
      <w:r w:rsidRPr="0096524F">
        <w:t xml:space="preserve"> </w:t>
      </w:r>
      <w:r w:rsidRPr="0096524F">
        <w:t>v.</w:t>
      </w:r>
      <w:r w:rsidRPr="0096524F">
        <w:t xml:space="preserve"> </w:t>
      </w:r>
      <w:r w:rsidRPr="0096524F">
        <w:t>Spotlight Magazine, Inc., 86 F.</w:t>
      </w:r>
      <w:r w:rsidRPr="0096524F">
        <w:t xml:space="preserve"> </w:t>
      </w:r>
      <w:r w:rsidRPr="0096524F">
        <w:t>Supp.</w:t>
      </w:r>
      <w:r w:rsidRPr="0096524F">
        <w:t xml:space="preserve"> </w:t>
      </w:r>
      <w:r w:rsidRPr="0096524F">
        <w:t>2d 176, 54 USPQ2d 1383 (W.D.N.Y.</w:t>
      </w:r>
      <w:r w:rsidRPr="0096524F">
        <w:t xml:space="preserve"> </w:t>
      </w:r>
      <w:r w:rsidRPr="0096524F">
        <w:t>2000).</w:t>
      </w:r>
      <w:r w:rsidRPr="0096524F">
        <w:t xml:space="preserve"> </w:t>
      </w:r>
      <w:r w:rsidRPr="0096524F">
        <w:rPr>
          <w:i/>
        </w:rPr>
        <w:t>See</w:t>
      </w:r>
      <w:r w:rsidRPr="0096524F">
        <w:t xml:space="preserve"> Taubman Co.</w:t>
      </w:r>
      <w:r w:rsidRPr="0096524F">
        <w:t xml:space="preserve"> </w:t>
      </w:r>
      <w:r w:rsidRPr="0096524F">
        <w:t>v.</w:t>
      </w:r>
      <w:r w:rsidRPr="0096524F">
        <w:t xml:space="preserve"> </w:t>
      </w:r>
      <w:r w:rsidRPr="0096524F">
        <w:t>Webfeats, 319 F.3d 770, 775–77, 65 USPQ2d 1834 (6th Cir.</w:t>
      </w:r>
      <w:r w:rsidRPr="0096524F">
        <w:t xml:space="preserve"> </w:t>
      </w:r>
      <w:r w:rsidRPr="0096524F">
        <w:t>2003) (dismissing claims for lack of commercial use).</w:t>
      </w:r>
    </w:p>
  </w:footnote>
  <w:footnote w:id="684">
    <w:p w14:paraId="4025EF7E" w14:textId="0612AE25" w:rsidR="0096524F" w:rsidRPr="00EB11B3" w:rsidRDefault="0096524F" w:rsidP="0096524F">
      <w:pPr>
        <w:pStyle w:val="FootnoteText"/>
      </w:pPr>
      <w:r w:rsidRPr="0096524F">
        <w:rPr>
          <w:vertAlign w:val="superscript"/>
        </w:rPr>
        <w:footnoteRef/>
      </w:r>
      <w:r w:rsidRPr="0096524F">
        <w:rPr>
          <w:i/>
        </w:rPr>
        <w:t>See</w:t>
      </w:r>
      <w:r w:rsidRPr="0096524F">
        <w:t xml:space="preserve"> Bally Total Fitness Holding Corp.</w:t>
      </w:r>
      <w:r w:rsidRPr="0096524F">
        <w:t xml:space="preserve"> </w:t>
      </w:r>
      <w:r w:rsidRPr="0096524F">
        <w:t>v.</w:t>
      </w:r>
      <w:r w:rsidRPr="0096524F">
        <w:t xml:space="preserve"> </w:t>
      </w:r>
      <w:r w:rsidRPr="0096524F">
        <w:t>Faber, 29 F.</w:t>
      </w:r>
      <w:r w:rsidRPr="0096524F">
        <w:t xml:space="preserve"> </w:t>
      </w:r>
      <w:r w:rsidRPr="0096524F">
        <w:t>Supp.</w:t>
      </w:r>
      <w:r w:rsidRPr="0096524F">
        <w:t xml:space="preserve"> </w:t>
      </w:r>
      <w:r w:rsidRPr="0096524F">
        <w:t>2d 1161, 50 USPQ2d 1840 (C.D.</w:t>
      </w:r>
      <w:r w:rsidRPr="0096524F">
        <w:t xml:space="preserve"> </w:t>
      </w:r>
      <w:r w:rsidRPr="0096524F">
        <w:t>Cal.</w:t>
      </w:r>
      <w:r w:rsidRPr="0096524F">
        <w:t xml:space="preserve"> </w:t>
      </w:r>
      <w:r w:rsidRPr="0096524F">
        <w:t>1998) (Web site called Bally sucks accessible at www.compupix.com/ballysucks).</w:t>
      </w:r>
      <w:r w:rsidRPr="0096524F">
        <w:t xml:space="preserve"> </w:t>
      </w:r>
      <w:r w:rsidRPr="0096524F">
        <w:rPr>
          <w:i/>
        </w:rPr>
        <w:t>See also</w:t>
      </w:r>
      <w:r w:rsidRPr="0096524F">
        <w:t xml:space="preserve"> Ford Motor Co.</w:t>
      </w:r>
      <w:r w:rsidRPr="0096524F">
        <w:t xml:space="preserve"> </w:t>
      </w:r>
      <w:r w:rsidRPr="0096524F">
        <w:t>v.</w:t>
      </w:r>
      <w:r w:rsidRPr="0096524F">
        <w:t xml:space="preserve"> </w:t>
      </w:r>
      <w:r w:rsidRPr="0096524F">
        <w:t>2600 Enters., 177 F.</w:t>
      </w:r>
      <w:r w:rsidRPr="0096524F">
        <w:t xml:space="preserve"> </w:t>
      </w:r>
      <w:r w:rsidRPr="0096524F">
        <w:t>Supp.</w:t>
      </w:r>
      <w:r w:rsidRPr="0096524F">
        <w:t xml:space="preserve"> </w:t>
      </w:r>
      <w:r w:rsidRPr="0096524F">
        <w:t>2d 661, 61 USPQ2d 1757 (E.D.</w:t>
      </w:r>
      <w:r w:rsidRPr="0096524F">
        <w:t xml:space="preserve"> </w:t>
      </w:r>
      <w:r w:rsidRPr="0096524F">
        <w:t>Mich.</w:t>
      </w:r>
      <w:r w:rsidRPr="0096524F">
        <w:t xml:space="preserve"> </w:t>
      </w:r>
      <w:r w:rsidRPr="0096524F">
        <w:t>2001) (fuckgeneralmotors.com site with automatic link to “ford.com”);</w:t>
      </w:r>
      <w:r w:rsidRPr="0096524F">
        <w:t xml:space="preserve"> </w:t>
      </w:r>
      <w:r w:rsidRPr="0096524F">
        <w:t>Lucent Techs., Inc.</w:t>
      </w:r>
      <w:r w:rsidRPr="0096524F">
        <w:t xml:space="preserve"> </w:t>
      </w:r>
      <w:r w:rsidRPr="0096524F">
        <w:t>v.</w:t>
      </w:r>
      <w:r w:rsidRPr="0096524F">
        <w:t xml:space="preserve"> </w:t>
      </w:r>
      <w:r w:rsidRPr="0096524F">
        <w:t>Lucentsucks.com, 95 F.</w:t>
      </w:r>
      <w:r w:rsidRPr="0096524F">
        <w:t xml:space="preserve"> </w:t>
      </w:r>
      <w:r w:rsidRPr="0096524F">
        <w:t>Supp.</w:t>
      </w:r>
      <w:r w:rsidRPr="0096524F">
        <w:t xml:space="preserve"> </w:t>
      </w:r>
      <w:r w:rsidRPr="0096524F">
        <w:t>2d 528, 54 USPQ2d 1653 (E.D.</w:t>
      </w:r>
      <w:r w:rsidRPr="0096524F">
        <w:t xml:space="preserve"> </w:t>
      </w:r>
      <w:r w:rsidRPr="0096524F">
        <w:t>Va.</w:t>
      </w:r>
      <w:r w:rsidRPr="0096524F">
        <w:t xml:space="preserve"> </w:t>
      </w:r>
      <w:r w:rsidRPr="0096524F">
        <w:t>2000) (rejecting ACPA claim made against domain name lucentsucks.com);</w:t>
      </w:r>
      <w:r w:rsidRPr="0096524F">
        <w:t xml:space="preserve"> </w:t>
      </w:r>
      <w:r w:rsidRPr="0096524F">
        <w:t>Bihari v.</w:t>
      </w:r>
      <w:r w:rsidRPr="0096524F">
        <w:t xml:space="preserve"> </w:t>
      </w:r>
      <w:r w:rsidRPr="0096524F">
        <w:t>Gross, 119 F.</w:t>
      </w:r>
      <w:r w:rsidRPr="0096524F">
        <w:t xml:space="preserve"> </w:t>
      </w:r>
      <w:r w:rsidRPr="0096524F">
        <w:t>Supp.</w:t>
      </w:r>
      <w:r w:rsidRPr="0096524F">
        <w:t xml:space="preserve"> </w:t>
      </w:r>
      <w:r w:rsidRPr="0096524F">
        <w:t>2d 309, 56 USPQ2d 1489 (S.D.N.Y.</w:t>
      </w:r>
      <w:r w:rsidRPr="0096524F">
        <w:t xml:space="preserve"> </w:t>
      </w:r>
      <w:r w:rsidRPr="0096524F">
        <w:t>2000) (name of plaintiff’s business contained in a metatag).</w:t>
      </w:r>
    </w:p>
  </w:footnote>
  <w:footnote w:id="685">
    <w:p w14:paraId="53D5D48F" w14:textId="2BD082BA" w:rsidR="0096524F" w:rsidRPr="00EB11B3" w:rsidRDefault="0096524F" w:rsidP="0096524F">
      <w:pPr>
        <w:pStyle w:val="FootnoteText"/>
      </w:pPr>
      <w:r w:rsidRPr="0096524F">
        <w:rPr>
          <w:vertAlign w:val="superscript"/>
        </w:rPr>
        <w:footnoteRef/>
      </w:r>
      <w:r w:rsidRPr="0096524F">
        <w:t>Lanham Act §43(c)(1), 15 U.S.C.</w:t>
      </w:r>
      <w:r w:rsidRPr="0096524F">
        <w:t xml:space="preserve"> </w:t>
      </w:r>
      <w:r w:rsidRPr="0096524F">
        <w:t>§1125(c)(1).</w:t>
      </w:r>
    </w:p>
  </w:footnote>
  <w:footnote w:id="686">
    <w:p w14:paraId="103447D3" w14:textId="4FF07C06" w:rsidR="0096524F" w:rsidRPr="0096524F" w:rsidRDefault="0096524F" w:rsidP="0096524F">
      <w:pPr>
        <w:pStyle w:val="FootnoteText"/>
      </w:pPr>
      <w:r w:rsidRPr="0096524F">
        <w:rPr>
          <w:vertAlign w:val="superscript"/>
        </w:rPr>
        <w:footnoteRef/>
      </w:r>
      <w:r w:rsidRPr="0096524F">
        <w:t>The definition is as follows:</w:t>
      </w:r>
    </w:p>
    <w:p w14:paraId="40B41C28" w14:textId="5AC32659" w:rsidR="0096524F" w:rsidRPr="0096524F" w:rsidRDefault="0096524F" w:rsidP="0096524F">
      <w:pPr>
        <w:pStyle w:val="BQuotelong"/>
      </w:pPr>
      <w:r w:rsidRPr="0096524F">
        <w:t>The term “use in commerce” means the bona fide use of a mark in the ordinary course of trade, and not made merely to reserve a right in a mark.</w:t>
      </w:r>
      <w:r w:rsidRPr="0096524F">
        <w:t xml:space="preserve"> </w:t>
      </w:r>
      <w:r w:rsidRPr="0096524F">
        <w:t>For purposes of this chapter, a mark shall be deemed to be in use in commerce—</w:t>
      </w:r>
    </w:p>
    <w:p w14:paraId="58A8EE57" w14:textId="0BA2FA94" w:rsidR="0096524F" w:rsidRPr="0096524F" w:rsidRDefault="0096524F" w:rsidP="0096524F">
      <w:pPr>
        <w:pStyle w:val="BQuotelong"/>
      </w:pPr>
      <w:r w:rsidRPr="0096524F">
        <w:t> </w:t>
      </w:r>
      <w:r w:rsidRPr="0096524F">
        <w:t> </w:t>
      </w:r>
      <w:r w:rsidRPr="0096524F">
        <w:t>(1) on goods when—</w:t>
      </w:r>
    </w:p>
    <w:p w14:paraId="63CC6834" w14:textId="0673B5DE" w:rsidR="0096524F" w:rsidRPr="0096524F" w:rsidRDefault="0096524F" w:rsidP="0096524F">
      <w:pPr>
        <w:pStyle w:val="BQuotelong"/>
      </w:pPr>
      <w:r w:rsidRPr="0096524F">
        <w:t> </w:t>
      </w:r>
      <w:r w:rsidRPr="0096524F">
        <w:t> </w:t>
      </w:r>
      <w:r w:rsidRPr="0096524F">
        <w:t> </w:t>
      </w:r>
      <w:r w:rsidRPr="0096524F">
        <w:t> </w:t>
      </w:r>
      <w:r w:rsidRPr="0096524F">
        <w:t>(A) it is placed in any manner on the goods or their containers or the displays associated therewith or on the tags or labels affixed thereto, or if the nature of the goods makes such placement impracticable, then on documents associated with the goods or their sale, and</w:t>
      </w:r>
    </w:p>
    <w:p w14:paraId="33C6829C" w14:textId="2014BEAC" w:rsidR="0096524F" w:rsidRPr="0096524F" w:rsidRDefault="0096524F" w:rsidP="0096524F">
      <w:pPr>
        <w:pStyle w:val="BQuotelong"/>
      </w:pPr>
      <w:r w:rsidRPr="0096524F">
        <w:t> </w:t>
      </w:r>
      <w:r w:rsidRPr="0096524F">
        <w:t> </w:t>
      </w:r>
      <w:r w:rsidRPr="0096524F">
        <w:t> </w:t>
      </w:r>
      <w:r w:rsidRPr="0096524F">
        <w:t> </w:t>
      </w:r>
      <w:r w:rsidRPr="0096524F">
        <w:t>(B) the goods are sold or transported in commerce, and</w:t>
      </w:r>
    </w:p>
    <w:p w14:paraId="618D6DD7" w14:textId="56E388BA" w:rsidR="0096524F" w:rsidRPr="0096524F" w:rsidRDefault="0096524F" w:rsidP="0096524F">
      <w:pPr>
        <w:pStyle w:val="BQuotelong"/>
      </w:pPr>
      <w:r w:rsidRPr="0096524F">
        <w:t> </w:t>
      </w:r>
      <w:r w:rsidRPr="0096524F">
        <w:t> </w:t>
      </w:r>
      <w:r w:rsidRPr="0096524F">
        <w:t>(2) on services when it is used or displayed in the sale or advertising of services and the services are rendered in commerce, or the services are rendered in more than one State or in the United States and a foreign country and the person rendering the services is engaged in commerce in connection with the services.</w:t>
      </w:r>
    </w:p>
    <w:p w14:paraId="09BBC2C6" w14:textId="77777777" w:rsidR="0096524F" w:rsidRPr="00EB11B3" w:rsidRDefault="0096524F" w:rsidP="0096524F">
      <w:pPr>
        <w:pStyle w:val="FootnoteText"/>
      </w:pPr>
      <w:r w:rsidRPr="0096524F">
        <w:t>Lanham Act §45, 15 U.S.C.</w:t>
      </w:r>
      <w:r w:rsidRPr="0096524F">
        <w:t xml:space="preserve"> </w:t>
      </w:r>
      <w:r w:rsidRPr="0096524F">
        <w:t>§1127 (definition of “use in commerce”).</w:t>
      </w:r>
    </w:p>
  </w:footnote>
  <w:footnote w:id="687">
    <w:p w14:paraId="63FD076D" w14:textId="2C1B94BF" w:rsidR="0096524F" w:rsidRPr="00EB11B3" w:rsidRDefault="0096524F" w:rsidP="0096524F">
      <w:pPr>
        <w:pStyle w:val="FootnoteText"/>
      </w:pPr>
      <w:r w:rsidRPr="0096524F">
        <w:rPr>
          <w:vertAlign w:val="superscript"/>
        </w:rPr>
        <w:footnoteRef/>
      </w:r>
      <w:r w:rsidRPr="0096524F">
        <w:t>15 U.S.C.</w:t>
      </w:r>
      <w:r w:rsidRPr="0096524F">
        <w:t xml:space="preserve"> </w:t>
      </w:r>
      <w:r w:rsidRPr="0096524F">
        <w:t>§1125(c)(3)(C).</w:t>
      </w:r>
      <w:r w:rsidRPr="0096524F">
        <w:t xml:space="preserve"> </w:t>
      </w:r>
      <w:r w:rsidRPr="0096524F">
        <w:t>The noncommercial use exclusion is discussed in Chapter 10, §IV.</w:t>
      </w:r>
      <w:r w:rsidRPr="0096524F">
        <w:t xml:space="preserve"> </w:t>
      </w:r>
      <w:r w:rsidRPr="0096524F">
        <w:t xml:space="preserve">In </w:t>
      </w:r>
      <w:r w:rsidRPr="0096524F">
        <w:rPr>
          <w:i/>
        </w:rPr>
        <w:t>Nissan Motor Co</w:t>
      </w:r>
      <w:r w:rsidRPr="0096524F">
        <w:t>.</w:t>
      </w:r>
      <w:r w:rsidRPr="0096524F">
        <w:t xml:space="preserve"> </w:t>
      </w:r>
      <w:r w:rsidRPr="0096524F">
        <w:rPr>
          <w:i/>
        </w:rPr>
        <w:t>v</w:t>
      </w:r>
      <w:r w:rsidRPr="0096524F">
        <w:t>.</w:t>
      </w:r>
      <w:r w:rsidRPr="0096524F">
        <w:t xml:space="preserve"> </w:t>
      </w:r>
      <w:r w:rsidRPr="0096524F">
        <w:rPr>
          <w:i/>
        </w:rPr>
        <w:t>Nissan Computer Corp</w:t>
      </w:r>
      <w:r w:rsidRPr="0096524F">
        <w:t>., 378 F.3d 1002, 72 USPQ2d 1078 (9th Cir.</w:t>
      </w:r>
      <w:r w:rsidRPr="0096524F">
        <w:t xml:space="preserve"> </w:t>
      </w:r>
      <w:r w:rsidRPr="0096524F">
        <w:t xml:space="preserve">2004), </w:t>
      </w:r>
      <w:r w:rsidRPr="0096524F">
        <w:rPr>
          <w:i/>
        </w:rPr>
        <w:t>cert</w:t>
      </w:r>
      <w:r w:rsidRPr="0096524F">
        <w:t>.</w:t>
      </w:r>
      <w:r w:rsidRPr="0096524F">
        <w:t xml:space="preserve"> </w:t>
      </w:r>
      <w:r w:rsidRPr="0096524F">
        <w:rPr>
          <w:i/>
        </w:rPr>
        <w:t>denied</w:t>
      </w:r>
      <w:r w:rsidRPr="0096524F">
        <w:t>, 544 U.S.</w:t>
      </w:r>
      <w:r w:rsidRPr="0096524F">
        <w:t xml:space="preserve"> </w:t>
      </w:r>
      <w:r w:rsidRPr="0096524F">
        <w:t>974 (2005), the Ninth Circuit held that an injunction prohibiting defendant from placing links on its Web site to Web sites critical of plaintiff enjoined noncommercial activity and violated the First Amendment.</w:t>
      </w:r>
      <w:r w:rsidRPr="0096524F">
        <w:t xml:space="preserve"> </w:t>
      </w:r>
      <w:r w:rsidRPr="0096524F">
        <w:rPr>
          <w:i/>
        </w:rPr>
        <w:t>Id</w:t>
      </w:r>
      <w:r w:rsidRPr="0096524F">
        <w:t>.</w:t>
      </w:r>
      <w:r w:rsidRPr="0096524F">
        <w:t xml:space="preserve"> </w:t>
      </w:r>
      <w:r w:rsidRPr="0096524F">
        <w:t>at 1017–18.</w:t>
      </w:r>
    </w:p>
  </w:footnote>
  <w:footnote w:id="688">
    <w:p w14:paraId="39498D78" w14:textId="4ECB751C"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w:t>
      </w:r>
      <w:r w:rsidRPr="0096524F">
        <w:rPr>
          <w:i/>
        </w:rPr>
        <w:t>, Planned Parenthood,</w:t>
      </w:r>
      <w:r w:rsidRPr="0096524F">
        <w:t xml:space="preserve"> 42 USPQ2d at 1437;</w:t>
      </w:r>
      <w:r w:rsidRPr="0096524F">
        <w:t xml:space="preserve"> </w:t>
      </w:r>
      <w:r w:rsidRPr="0096524F">
        <w:rPr>
          <w:i/>
        </w:rPr>
        <w:t>Doughney,</w:t>
      </w:r>
      <w:r w:rsidRPr="0096524F">
        <w:t xml:space="preserve"> 113 F.</w:t>
      </w:r>
      <w:r w:rsidRPr="0096524F">
        <w:t xml:space="preserve"> </w:t>
      </w:r>
      <w:r w:rsidRPr="0096524F">
        <w:t>Supp.</w:t>
      </w:r>
      <w:r w:rsidRPr="0096524F">
        <w:t xml:space="preserve"> </w:t>
      </w:r>
      <w:r w:rsidRPr="0096524F">
        <w:t>2d at 920;</w:t>
      </w:r>
      <w:r w:rsidRPr="0096524F">
        <w:t xml:space="preserve"> </w:t>
      </w:r>
      <w:r w:rsidRPr="0096524F">
        <w:rPr>
          <w:i/>
        </w:rPr>
        <w:t>OBH,</w:t>
      </w:r>
      <w:r w:rsidRPr="0096524F">
        <w:t xml:space="preserve"> 86 F.</w:t>
      </w:r>
      <w:r w:rsidRPr="0096524F">
        <w:t xml:space="preserve"> </w:t>
      </w:r>
      <w:r w:rsidRPr="0096524F">
        <w:t>Supp.</w:t>
      </w:r>
      <w:r w:rsidRPr="0096524F">
        <w:t xml:space="preserve"> </w:t>
      </w:r>
      <w:r w:rsidRPr="0096524F">
        <w:t>2d at 182;</w:t>
      </w:r>
      <w:r w:rsidRPr="0096524F">
        <w:t xml:space="preserve"> </w:t>
      </w:r>
      <w:r w:rsidRPr="0096524F">
        <w:rPr>
          <w:i/>
        </w:rPr>
        <w:t>Jews for Jesus,</w:t>
      </w:r>
      <w:r w:rsidRPr="0096524F">
        <w:t xml:space="preserve"> 993 F.</w:t>
      </w:r>
      <w:r w:rsidRPr="0096524F">
        <w:t xml:space="preserve"> </w:t>
      </w:r>
      <w:r w:rsidRPr="0096524F">
        <w:t>Supp.</w:t>
      </w:r>
      <w:r w:rsidRPr="0096524F">
        <w:t xml:space="preserve"> </w:t>
      </w:r>
      <w:r w:rsidRPr="0096524F">
        <w:t>at 291.</w:t>
      </w:r>
      <w:r w:rsidRPr="0096524F">
        <w:t xml:space="preserve"> </w:t>
      </w:r>
      <w:r w:rsidRPr="0096524F">
        <w:rPr>
          <w:i/>
        </w:rPr>
        <w:t>See</w:t>
      </w:r>
      <w:r w:rsidRPr="0096524F">
        <w:t xml:space="preserve"> Nissan Motor Co., Ltd.</w:t>
      </w:r>
      <w:r w:rsidRPr="0096524F">
        <w:t xml:space="preserve"> </w:t>
      </w:r>
      <w:r w:rsidRPr="0096524F">
        <w:t>v.</w:t>
      </w:r>
      <w:r w:rsidRPr="0096524F">
        <w:t xml:space="preserve"> </w:t>
      </w:r>
      <w:r w:rsidRPr="0096524F">
        <w:t>Nissan Computer Corp., 231 F.</w:t>
      </w:r>
      <w:r w:rsidRPr="0096524F">
        <w:t xml:space="preserve"> </w:t>
      </w:r>
      <w:r w:rsidRPr="0096524F">
        <w:t>Supp.</w:t>
      </w:r>
      <w:r w:rsidRPr="0096524F">
        <w:t xml:space="preserve"> </w:t>
      </w:r>
      <w:r w:rsidRPr="0096524F">
        <w:t>2d 977, 980, 65 USPQ2d 2008 (C.D.</w:t>
      </w:r>
      <w:r w:rsidRPr="0096524F">
        <w:t xml:space="preserve"> </w:t>
      </w:r>
      <w:r w:rsidRPr="0096524F">
        <w:t>Cal.</w:t>
      </w:r>
      <w:r w:rsidRPr="0096524F">
        <w:t xml:space="preserve"> </w:t>
      </w:r>
      <w:r w:rsidRPr="0096524F">
        <w:t xml:space="preserve">2002) (critical commentary on defendant’s nissan.com and nissan.net Web sites constitutes “commercial” use), </w:t>
      </w:r>
      <w:r w:rsidRPr="0096524F">
        <w:rPr>
          <w:i/>
        </w:rPr>
        <w:t>aff’d in part, rev’d in part</w:t>
      </w:r>
      <w:r w:rsidRPr="0096524F">
        <w:t>, 378 F.3d 1002, 1016–18 (9th Cir.</w:t>
      </w:r>
      <w:r w:rsidRPr="0096524F">
        <w:t xml:space="preserve"> </w:t>
      </w:r>
      <w:r w:rsidRPr="0096524F">
        <w:t xml:space="preserve">2004) (such commentary implicates the First Amendment and cannot be enjoined), </w:t>
      </w:r>
      <w:r w:rsidRPr="0096524F">
        <w:rPr>
          <w:i/>
        </w:rPr>
        <w:t>cert</w:t>
      </w:r>
      <w:r w:rsidRPr="0096524F">
        <w:t>.</w:t>
      </w:r>
      <w:r w:rsidRPr="0096524F">
        <w:t xml:space="preserve"> </w:t>
      </w:r>
      <w:r w:rsidRPr="0096524F">
        <w:rPr>
          <w:i/>
        </w:rPr>
        <w:t>denied,</w:t>
      </w:r>
      <w:r w:rsidRPr="0096524F">
        <w:t xml:space="preserve"> 544 U.S.</w:t>
      </w:r>
      <w:r w:rsidRPr="0096524F">
        <w:t xml:space="preserve"> </w:t>
      </w:r>
      <w:r w:rsidRPr="0096524F">
        <w:t>974 (2005).</w:t>
      </w:r>
      <w:r w:rsidRPr="0096524F">
        <w:t xml:space="preserve"> </w:t>
      </w:r>
      <w:r w:rsidRPr="0096524F">
        <w:rPr>
          <w:i/>
        </w:rPr>
        <w:t>But see 2600 Enters</w:t>
      </w:r>
      <w:r w:rsidRPr="0096524F">
        <w:t>., 177 F.</w:t>
      </w:r>
      <w:r w:rsidRPr="0096524F">
        <w:t xml:space="preserve"> </w:t>
      </w:r>
      <w:r w:rsidRPr="0096524F">
        <w:t>Supp.</w:t>
      </w:r>
      <w:r w:rsidRPr="0096524F">
        <w:t xml:space="preserve"> </w:t>
      </w:r>
      <w:r w:rsidRPr="0096524F">
        <w:t>2d at 664–65;</w:t>
      </w:r>
      <w:r w:rsidRPr="0096524F">
        <w:t xml:space="preserve"> </w:t>
      </w:r>
      <w:r w:rsidRPr="0096524F">
        <w:rPr>
          <w:i/>
        </w:rPr>
        <w:t>Northland Ins</w:t>
      </w:r>
      <w:r w:rsidRPr="0096524F">
        <w:t>., 115 F.</w:t>
      </w:r>
      <w:r w:rsidRPr="0096524F">
        <w:t xml:space="preserve"> </w:t>
      </w:r>
      <w:r w:rsidRPr="0096524F">
        <w:t>Supp.</w:t>
      </w:r>
      <w:r w:rsidRPr="0096524F">
        <w:t xml:space="preserve"> </w:t>
      </w:r>
      <w:r w:rsidRPr="0096524F">
        <w:t>2d at 1120–21.</w:t>
      </w:r>
    </w:p>
  </w:footnote>
  <w:footnote w:id="689">
    <w:p w14:paraId="288DCE6A" w14:textId="72CBD533" w:rsidR="0096524F" w:rsidRPr="00882ED4" w:rsidRDefault="0096524F" w:rsidP="0096524F">
      <w:pPr>
        <w:pStyle w:val="FootnoteText"/>
        <w:rPr>
          <w:lang w:val="nb-NO"/>
        </w:rPr>
      </w:pPr>
      <w:r w:rsidRPr="0096524F">
        <w:rPr>
          <w:vertAlign w:val="superscript"/>
        </w:rPr>
        <w:footnoteRef/>
      </w:r>
      <w:r w:rsidRPr="0096524F">
        <w:t>115 F.</w:t>
      </w:r>
      <w:r w:rsidRPr="0096524F">
        <w:t xml:space="preserve"> </w:t>
      </w:r>
      <w:r w:rsidRPr="0096524F">
        <w:t>Supp.</w:t>
      </w:r>
      <w:r w:rsidRPr="0096524F">
        <w:t xml:space="preserve"> </w:t>
      </w:r>
      <w:r w:rsidRPr="0096524F">
        <w:t>2d 1108, 56 USPQ2d 1662 (D.</w:t>
      </w:r>
      <w:r w:rsidRPr="0096524F">
        <w:t xml:space="preserve"> </w:t>
      </w:r>
      <w:r w:rsidRPr="0096524F">
        <w:t>Minn.</w:t>
      </w:r>
      <w:r w:rsidRPr="0096524F">
        <w:t xml:space="preserve"> </w:t>
      </w:r>
      <w:r w:rsidRPr="0096524F">
        <w:t>2000).</w:t>
      </w:r>
    </w:p>
  </w:footnote>
  <w:footnote w:id="690">
    <w:p w14:paraId="4F8954B4" w14:textId="6E589D7E" w:rsidR="0096524F" w:rsidRPr="00882ED4" w:rsidRDefault="0096524F" w:rsidP="0096524F">
      <w:pPr>
        <w:pStyle w:val="FootnoteText"/>
        <w:rPr>
          <w:lang w:val="nb-NO"/>
        </w:rPr>
      </w:pPr>
      <w:r w:rsidRPr="0096524F">
        <w:rPr>
          <w:vertAlign w:val="superscript"/>
        </w:rPr>
        <w:footnoteRef/>
      </w:r>
      <w:r w:rsidRPr="0096524F">
        <w:rPr>
          <w:i/>
        </w:rPr>
        <w:t>Id</w:t>
      </w:r>
      <w:r w:rsidRPr="0096524F">
        <w:t>.</w:t>
      </w:r>
      <w:r w:rsidRPr="0096524F">
        <w:t xml:space="preserve"> </w:t>
      </w:r>
      <w:r w:rsidRPr="0096524F">
        <w:t>at 1123.</w:t>
      </w:r>
    </w:p>
  </w:footnote>
  <w:footnote w:id="691">
    <w:p w14:paraId="4ADEACF4" w14:textId="589EE14F" w:rsidR="0096524F" w:rsidRPr="00EB11B3" w:rsidRDefault="0096524F" w:rsidP="0096524F">
      <w:pPr>
        <w:pStyle w:val="FootnoteText"/>
      </w:pPr>
      <w:r w:rsidRPr="0096524F">
        <w:rPr>
          <w:vertAlign w:val="superscript"/>
        </w:rPr>
        <w:footnoteRef/>
      </w:r>
      <w:r w:rsidRPr="0096524F">
        <w:rPr>
          <w:i/>
        </w:rPr>
        <w:t>Id</w:t>
      </w:r>
      <w:r w:rsidRPr="0096524F">
        <w:t>.</w:t>
      </w:r>
    </w:p>
  </w:footnote>
  <w:footnote w:id="692">
    <w:p w14:paraId="4738BA6E" w14:textId="256D32DD" w:rsidR="0096524F" w:rsidRPr="00EB11B3" w:rsidRDefault="0096524F" w:rsidP="0096524F">
      <w:pPr>
        <w:pStyle w:val="FootnoteText"/>
      </w:pPr>
      <w:r w:rsidRPr="0096524F">
        <w:rPr>
          <w:vertAlign w:val="superscript"/>
        </w:rPr>
        <w:footnoteRef/>
      </w:r>
      <w:r w:rsidRPr="0096524F">
        <w:t>319 F.3d 770, 65 USPQ2d 1834 (6th Cir.</w:t>
      </w:r>
      <w:r w:rsidRPr="0096524F">
        <w:t xml:space="preserve"> </w:t>
      </w:r>
      <w:r w:rsidRPr="0096524F">
        <w:t>2003).</w:t>
      </w:r>
    </w:p>
  </w:footnote>
  <w:footnote w:id="693">
    <w:p w14:paraId="11A30226" w14:textId="62367B53"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775 &amp; n.3.</w:t>
      </w:r>
    </w:p>
  </w:footnote>
  <w:footnote w:id="694">
    <w:p w14:paraId="0F7DD870" w14:textId="50018C1B"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776.</w:t>
      </w:r>
      <w:r w:rsidRPr="0096524F">
        <w:t xml:space="preserve"> </w:t>
      </w:r>
      <w:r w:rsidRPr="0096524F">
        <w:t>The court noted that in other cases where such sales were found to constitute a commercial use, the defendants were operating a business of selling domain names.</w:t>
      </w:r>
      <w:r w:rsidRPr="0096524F">
        <w:t xml:space="preserve"> </w:t>
      </w:r>
      <w:r w:rsidRPr="0096524F">
        <w:rPr>
          <w:i/>
        </w:rPr>
        <w:t>Id</w:t>
      </w:r>
      <w:r w:rsidRPr="0096524F">
        <w:t>.</w:t>
      </w:r>
    </w:p>
  </w:footnote>
  <w:footnote w:id="695">
    <w:p w14:paraId="00776016" w14:textId="6DBC7B46" w:rsidR="0096524F" w:rsidRPr="00EB11B3" w:rsidRDefault="0096524F" w:rsidP="0096524F">
      <w:pPr>
        <w:pStyle w:val="FootnoteText"/>
      </w:pPr>
      <w:r w:rsidRPr="0096524F">
        <w:rPr>
          <w:vertAlign w:val="superscript"/>
        </w:rPr>
        <w:footnoteRef/>
      </w:r>
      <w:r w:rsidRPr="0096524F">
        <w:t>403 F.3d 672, 74 USPQ2d 1280 (9th Cir.</w:t>
      </w:r>
      <w:r w:rsidRPr="0096524F">
        <w:t xml:space="preserve"> </w:t>
      </w:r>
      <w:r w:rsidRPr="0096524F">
        <w:t>2005).</w:t>
      </w:r>
    </w:p>
  </w:footnote>
  <w:footnote w:id="696">
    <w:p w14:paraId="1A2EA05E" w14:textId="6668D49A"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677.</w:t>
      </w:r>
    </w:p>
  </w:footnote>
  <w:footnote w:id="697">
    <w:p w14:paraId="2A69EF04" w14:textId="5EB10E41"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678.</w:t>
      </w:r>
    </w:p>
  </w:footnote>
  <w:footnote w:id="698">
    <w:p w14:paraId="79E082AF" w14:textId="6C714303"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678–79.</w:t>
      </w:r>
      <w:r w:rsidRPr="0096524F">
        <w:t xml:space="preserve"> </w:t>
      </w:r>
      <w:r w:rsidRPr="0096524F">
        <w:t xml:space="preserve">The court rejected the approach taken in </w:t>
      </w:r>
      <w:r w:rsidRPr="0096524F">
        <w:rPr>
          <w:i/>
        </w:rPr>
        <w:t>People for the Ethical Treatment of Animals v</w:t>
      </w:r>
      <w:r w:rsidRPr="0096524F">
        <w:t>.</w:t>
      </w:r>
      <w:r w:rsidRPr="0096524F">
        <w:t xml:space="preserve"> </w:t>
      </w:r>
      <w:r w:rsidRPr="0096524F">
        <w:rPr>
          <w:i/>
        </w:rPr>
        <w:t>Doughney</w:t>
      </w:r>
      <w:r w:rsidRPr="0096524F">
        <w:t>, 263 F.3d 359, 60 USPQ2d 1109 (4th Cir.</w:t>
      </w:r>
      <w:r w:rsidRPr="0096524F">
        <w:t xml:space="preserve"> </w:t>
      </w:r>
      <w:r w:rsidRPr="0096524F">
        <w:t>2001).</w:t>
      </w:r>
      <w:r w:rsidRPr="0096524F">
        <w:t xml:space="preserve"> </w:t>
      </w:r>
      <w:r w:rsidRPr="0096524F">
        <w:rPr>
          <w:i/>
        </w:rPr>
        <w:t>Bosley</w:t>
      </w:r>
      <w:r w:rsidRPr="0096524F">
        <w:t xml:space="preserve"> was followed in a post-TDRA case, </w:t>
      </w:r>
      <w:r w:rsidRPr="0096524F">
        <w:rPr>
          <w:rStyle w:val="BCasenamefull"/>
        </w:rPr>
        <w:t>Best W. Int’l, Inc. v. Doe</w:t>
      </w:r>
      <w:r w:rsidRPr="0096524F">
        <w:t>, 2006 U.S.</w:t>
      </w:r>
      <w:r w:rsidRPr="0096524F">
        <w:t xml:space="preserve"> </w:t>
      </w:r>
      <w:r w:rsidRPr="0096524F">
        <w:t>Dist.</w:t>
      </w:r>
      <w:r w:rsidRPr="0096524F">
        <w:t xml:space="preserve"> </w:t>
      </w:r>
      <w:r w:rsidRPr="0096524F">
        <w:t>LEXIS 77942, at *7–8 (D.</w:t>
      </w:r>
      <w:r w:rsidRPr="0096524F">
        <w:t xml:space="preserve"> </w:t>
      </w:r>
      <w:r w:rsidRPr="0096524F">
        <w:t>Ariz.</w:t>
      </w:r>
      <w:r w:rsidRPr="0096524F">
        <w:t xml:space="preserve"> </w:t>
      </w:r>
      <w:r w:rsidRPr="0096524F">
        <w:t>Oct.</w:t>
      </w:r>
      <w:r w:rsidRPr="0096524F">
        <w:t xml:space="preserve"> </w:t>
      </w:r>
      <w:r w:rsidRPr="0096524F">
        <w:t>24, 2006).</w:t>
      </w:r>
    </w:p>
  </w:footnote>
  <w:footnote w:id="699">
    <w:p w14:paraId="4AE07C4A" w14:textId="39DB786A" w:rsidR="0096524F" w:rsidRPr="00EB11B3" w:rsidRDefault="0096524F" w:rsidP="0096524F">
      <w:pPr>
        <w:pStyle w:val="FootnoteText"/>
      </w:pPr>
      <w:r w:rsidRPr="0096524F">
        <w:rPr>
          <w:vertAlign w:val="superscript"/>
        </w:rPr>
        <w:footnoteRef/>
      </w:r>
      <w:r w:rsidRPr="0096524F">
        <w:rPr>
          <w:i/>
        </w:rPr>
        <w:t>Compare, e</w:t>
      </w:r>
      <w:r w:rsidRPr="0096524F">
        <w:t>.</w:t>
      </w:r>
      <w:r w:rsidRPr="0096524F">
        <w:rPr>
          <w:i/>
        </w:rPr>
        <w:t>g</w:t>
      </w:r>
      <w:r w:rsidRPr="0096524F">
        <w:t>., TMI, Inc.</w:t>
      </w:r>
      <w:r w:rsidRPr="0096524F">
        <w:t xml:space="preserve"> </w:t>
      </w:r>
      <w:r w:rsidRPr="0096524F">
        <w:t>v.</w:t>
      </w:r>
      <w:r w:rsidRPr="0096524F">
        <w:t xml:space="preserve"> </w:t>
      </w:r>
      <w:r w:rsidRPr="0096524F">
        <w:t>Maxwell, 368 F.3d 433, 70 USPQ2d 1630 (5th Cir.</w:t>
      </w:r>
      <w:r w:rsidRPr="0096524F">
        <w:t xml:space="preserve"> </w:t>
      </w:r>
      <w:r w:rsidRPr="0096524F">
        <w:t>2004) (dismissing FTDA and ACPA claims against defendant for registration of www.trend</w:t>
      </w:r>
      <w:r w:rsidRPr="0096524F">
        <w:br/>
        <w:t>makerhome.info, a complaint site against TrendMaker Homes);</w:t>
      </w:r>
      <w:r w:rsidRPr="0096524F">
        <w:t xml:space="preserve"> </w:t>
      </w:r>
      <w:r w:rsidRPr="0096524F">
        <w:t>Lucas Nursery &amp; Landscaping, Inc.</w:t>
      </w:r>
      <w:r w:rsidRPr="0096524F">
        <w:t xml:space="preserve"> </w:t>
      </w:r>
      <w:r w:rsidRPr="0096524F">
        <w:t>v.</w:t>
      </w:r>
      <w:r w:rsidRPr="0096524F">
        <w:t xml:space="preserve"> </w:t>
      </w:r>
      <w:r w:rsidRPr="0096524F">
        <w:t>Grosse, 359 F.3d 806, 809, 70 USPQ2d 1149 (6th Cir.</w:t>
      </w:r>
      <w:r w:rsidRPr="0096524F">
        <w:t xml:space="preserve"> </w:t>
      </w:r>
      <w:r w:rsidRPr="0096524F">
        <w:t>2004) (dismissing ACPA claim);</w:t>
      </w:r>
      <w:r w:rsidRPr="0096524F">
        <w:t xml:space="preserve"> </w:t>
      </w:r>
      <w:r w:rsidRPr="0096524F">
        <w:t>Bosley Med.</w:t>
      </w:r>
      <w:r w:rsidRPr="0096524F">
        <w:t xml:space="preserve"> </w:t>
      </w:r>
      <w:r w:rsidRPr="0096524F">
        <w:t>Inst., Inc.</w:t>
      </w:r>
      <w:r w:rsidRPr="0096524F">
        <w:t xml:space="preserve"> </w:t>
      </w:r>
      <w:r w:rsidRPr="0096524F">
        <w:t>v.</w:t>
      </w:r>
      <w:r w:rsidRPr="0096524F">
        <w:t xml:space="preserve"> </w:t>
      </w:r>
      <w:r w:rsidRPr="0096524F">
        <w:t>Kremer, 403 F.3d 672, 74 USPQ2d 1280 (9th Cir.</w:t>
      </w:r>
      <w:r w:rsidRPr="0096524F">
        <w:t xml:space="preserve"> </w:t>
      </w:r>
      <w:r w:rsidRPr="0096524F">
        <w:t>2005);</w:t>
      </w:r>
      <w:r w:rsidRPr="0096524F">
        <w:t xml:space="preserve"> </w:t>
      </w:r>
      <w:r w:rsidRPr="0096524F">
        <w:t>Mayflower Transit, LLC v.</w:t>
      </w:r>
      <w:r w:rsidRPr="0096524F">
        <w:t xml:space="preserve"> </w:t>
      </w:r>
      <w:r w:rsidRPr="0096524F">
        <w:t>Prince, 314 F.</w:t>
      </w:r>
      <w:r w:rsidRPr="0096524F">
        <w:t xml:space="preserve"> </w:t>
      </w:r>
      <w:r w:rsidRPr="0096524F">
        <w:t>Supp.</w:t>
      </w:r>
      <w:r w:rsidRPr="0096524F">
        <w:t xml:space="preserve"> </w:t>
      </w:r>
      <w:r w:rsidRPr="0096524F">
        <w:t>2d 362, 70 USPQ2d 1814 (D.N.J.</w:t>
      </w:r>
      <w:r w:rsidRPr="0096524F">
        <w:t xml:space="preserve"> </w:t>
      </w:r>
      <w:r w:rsidRPr="0096524F">
        <w:t xml:space="preserve">2004) (dismissing ACPA claim), </w:t>
      </w:r>
      <w:r w:rsidRPr="0096524F">
        <w:rPr>
          <w:i/>
        </w:rPr>
        <w:t>with</w:t>
      </w:r>
      <w:r w:rsidRPr="0096524F">
        <w:t xml:space="preserve"> Coca-Cola Co.</w:t>
      </w:r>
      <w:r w:rsidRPr="0096524F">
        <w:t xml:space="preserve"> </w:t>
      </w:r>
      <w:r w:rsidRPr="0096524F">
        <w:t>v.</w:t>
      </w:r>
      <w:r w:rsidRPr="0096524F">
        <w:t xml:space="preserve"> </w:t>
      </w:r>
      <w:r w:rsidRPr="0096524F">
        <w:t>Purdy, 382 F.3d 774, 72 USPQ2d 1305 (8th Cir.</w:t>
      </w:r>
      <w:r w:rsidRPr="0096524F">
        <w:t xml:space="preserve"> </w:t>
      </w:r>
      <w:r w:rsidRPr="0096524F">
        <w:t>2004);</w:t>
      </w:r>
      <w:r w:rsidRPr="0096524F">
        <w:t xml:space="preserve"> </w:t>
      </w:r>
      <w:r w:rsidRPr="0096524F">
        <w:t>Board of Dirs.</w:t>
      </w:r>
      <w:r w:rsidRPr="0096524F">
        <w:t xml:space="preserve"> </w:t>
      </w:r>
      <w:r w:rsidRPr="0096524F">
        <w:t>of Sapphire Bay Condos.</w:t>
      </w:r>
      <w:r w:rsidRPr="0096524F">
        <w:t xml:space="preserve"> </w:t>
      </w:r>
      <w:r w:rsidRPr="0096524F">
        <w:t>W.</w:t>
      </w:r>
      <w:r w:rsidRPr="0096524F">
        <w:t xml:space="preserve"> </w:t>
      </w:r>
      <w:r w:rsidRPr="0096524F">
        <w:t>v.</w:t>
      </w:r>
      <w:r w:rsidRPr="0096524F">
        <w:t xml:space="preserve"> </w:t>
      </w:r>
      <w:r w:rsidRPr="0096524F">
        <w:t>Simpson, 129 F.</w:t>
      </w:r>
      <w:r w:rsidRPr="0096524F">
        <w:t xml:space="preserve"> </w:t>
      </w:r>
      <w:r w:rsidRPr="0096524F">
        <w:t>App’x.</w:t>
      </w:r>
      <w:r w:rsidRPr="0096524F">
        <w:t xml:space="preserve"> </w:t>
      </w:r>
      <w:r w:rsidRPr="0096524F">
        <w:t>711, 714–15 (3d Cir.</w:t>
      </w:r>
      <w:r w:rsidRPr="0096524F">
        <w:t xml:space="preserve"> </w:t>
      </w:r>
      <w:r w:rsidRPr="0096524F">
        <w:t>2005) (nonprecedential opinion).</w:t>
      </w:r>
    </w:p>
  </w:footnote>
  <w:footnote w:id="700">
    <w:p w14:paraId="090FB06F" w14:textId="209EA2FE" w:rsidR="0096524F" w:rsidRPr="00EB11B3" w:rsidRDefault="0096524F" w:rsidP="0096524F">
      <w:pPr>
        <w:pStyle w:val="FootnoteText"/>
      </w:pPr>
      <w:r w:rsidRPr="0096524F">
        <w:rPr>
          <w:vertAlign w:val="superscript"/>
        </w:rPr>
        <w:footnoteRef/>
      </w:r>
      <w:r w:rsidRPr="0096524F">
        <w:t>Bally Total Fitness Holding Corp.</w:t>
      </w:r>
      <w:r w:rsidRPr="0096524F">
        <w:t xml:space="preserve"> </w:t>
      </w:r>
      <w:r w:rsidRPr="0096524F">
        <w:t>v.</w:t>
      </w:r>
      <w:r w:rsidRPr="0096524F">
        <w:t xml:space="preserve"> </w:t>
      </w:r>
      <w:r w:rsidRPr="0096524F">
        <w:t>Faber, 29 F.</w:t>
      </w:r>
      <w:r w:rsidRPr="0096524F">
        <w:t xml:space="preserve"> </w:t>
      </w:r>
      <w:r w:rsidRPr="0096524F">
        <w:t>Supp.</w:t>
      </w:r>
      <w:r w:rsidRPr="0096524F">
        <w:t xml:space="preserve"> </w:t>
      </w:r>
      <w:r w:rsidRPr="0096524F">
        <w:t>2d 1161, 50 USPQ2d 1840 (C.D.</w:t>
      </w:r>
      <w:r w:rsidRPr="0096524F">
        <w:t xml:space="preserve"> </w:t>
      </w:r>
      <w:r w:rsidRPr="0096524F">
        <w:t>Cal.</w:t>
      </w:r>
      <w:r w:rsidRPr="0096524F">
        <w:t xml:space="preserve"> </w:t>
      </w:r>
      <w:r w:rsidRPr="0096524F">
        <w:t>1998).</w:t>
      </w:r>
    </w:p>
  </w:footnote>
  <w:footnote w:id="701">
    <w:p w14:paraId="63847F69" w14:textId="33A75ACB"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1167–68.</w:t>
      </w:r>
    </w:p>
  </w:footnote>
  <w:footnote w:id="702">
    <w:p w14:paraId="49A0CD8D" w14:textId="3652E0E2"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1162.</w:t>
      </w:r>
    </w:p>
  </w:footnote>
  <w:footnote w:id="703">
    <w:p w14:paraId="01BFD680" w14:textId="5F555AC6"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1167.</w:t>
      </w:r>
      <w:r w:rsidRPr="0096524F">
        <w:t xml:space="preserve"> </w:t>
      </w:r>
      <w:r w:rsidRPr="0096524F">
        <w:rPr>
          <w:i/>
        </w:rPr>
        <w:t>See also</w:t>
      </w:r>
      <w:r w:rsidRPr="0096524F">
        <w:t xml:space="preserve"> Ford Motor Co.</w:t>
      </w:r>
      <w:r w:rsidRPr="0096524F">
        <w:t xml:space="preserve"> </w:t>
      </w:r>
      <w:r w:rsidRPr="0096524F">
        <w:t>v.</w:t>
      </w:r>
      <w:r w:rsidRPr="0096524F">
        <w:t xml:space="preserve"> </w:t>
      </w:r>
      <w:r w:rsidRPr="0096524F">
        <w:t>2600 Enters., 177 F.</w:t>
      </w:r>
      <w:r w:rsidRPr="0096524F">
        <w:t xml:space="preserve"> </w:t>
      </w:r>
      <w:r w:rsidRPr="0096524F">
        <w:t>Supp.</w:t>
      </w:r>
      <w:r w:rsidRPr="0096524F">
        <w:t xml:space="preserve"> </w:t>
      </w:r>
      <w:r w:rsidRPr="0096524F">
        <w:t>2d 661, 664–65, 61 USPQ2d 1757 (E.D.</w:t>
      </w:r>
      <w:r w:rsidRPr="0096524F">
        <w:t xml:space="preserve"> </w:t>
      </w:r>
      <w:r w:rsidRPr="0096524F">
        <w:t>Mich.</w:t>
      </w:r>
      <w:r w:rsidRPr="0096524F">
        <w:t xml:space="preserve"> </w:t>
      </w:r>
      <w:r w:rsidRPr="0096524F">
        <w:t>2001);</w:t>
      </w:r>
      <w:r w:rsidRPr="0096524F">
        <w:t xml:space="preserve"> </w:t>
      </w:r>
      <w:r w:rsidRPr="0096524F">
        <w:t>Lucent Techs., Inc.</w:t>
      </w:r>
      <w:r w:rsidRPr="0096524F">
        <w:t xml:space="preserve"> </w:t>
      </w:r>
      <w:r w:rsidRPr="0096524F">
        <w:t>v.</w:t>
      </w:r>
      <w:r w:rsidRPr="0096524F">
        <w:t xml:space="preserve"> </w:t>
      </w:r>
      <w:r w:rsidRPr="0096524F">
        <w:t>Lucentsucks.com, 95 F.</w:t>
      </w:r>
      <w:r w:rsidRPr="0096524F">
        <w:t xml:space="preserve"> </w:t>
      </w:r>
      <w:r w:rsidRPr="0096524F">
        <w:t>Supp.</w:t>
      </w:r>
      <w:r w:rsidRPr="0096524F">
        <w:t xml:space="preserve"> </w:t>
      </w:r>
      <w:r w:rsidRPr="0096524F">
        <w:t>2d 528, 535–36, 54 USPQ2d 1653 (E.D.</w:t>
      </w:r>
      <w:r w:rsidRPr="0096524F">
        <w:t xml:space="preserve"> </w:t>
      </w:r>
      <w:r w:rsidRPr="0096524F">
        <w:t>Va.</w:t>
      </w:r>
      <w:r w:rsidRPr="0096524F">
        <w:t xml:space="preserve"> </w:t>
      </w:r>
      <w:r w:rsidRPr="0096524F">
        <w:t>2000).</w:t>
      </w:r>
    </w:p>
  </w:footnote>
  <w:footnote w:id="704">
    <w:p w14:paraId="30941824" w14:textId="68885417" w:rsidR="0096524F" w:rsidRPr="00EB11B3" w:rsidRDefault="0096524F" w:rsidP="0096524F">
      <w:pPr>
        <w:pStyle w:val="FootnoteText"/>
      </w:pPr>
      <w:r w:rsidRPr="0096524F">
        <w:rPr>
          <w:vertAlign w:val="superscript"/>
        </w:rPr>
        <w:footnoteRef/>
      </w:r>
      <w:r w:rsidRPr="0096524F">
        <w:t xml:space="preserve">If a </w:t>
      </w:r>
      <w:r w:rsidRPr="0096524F">
        <w:rPr>
          <w:i/>
        </w:rPr>
        <w:t>competitor</w:t>
      </w:r>
      <w:r w:rsidRPr="0096524F">
        <w:t xml:space="preserve"> were to create such a site, it probably would be a commercial use.</w:t>
      </w:r>
      <w:r w:rsidRPr="0096524F">
        <w:t xml:space="preserve"> </w:t>
      </w:r>
      <w:r w:rsidRPr="0096524F">
        <w:t>It still would not necessarily be diluting, but it may be actionable as a form of unfair competition.</w:t>
      </w:r>
    </w:p>
  </w:footnote>
  <w:footnote w:id="705">
    <w:p w14:paraId="53718F97" w14:textId="44D72C6B" w:rsidR="0096524F" w:rsidRPr="00EB11B3" w:rsidRDefault="0096524F" w:rsidP="0096524F">
      <w:pPr>
        <w:pStyle w:val="FootnoteText"/>
      </w:pPr>
      <w:r w:rsidRPr="0096524F">
        <w:rPr>
          <w:vertAlign w:val="superscript"/>
        </w:rPr>
        <w:footnoteRef/>
      </w:r>
      <w:r w:rsidRPr="0096524F">
        <w:t>Taubman Co.</w:t>
      </w:r>
      <w:r w:rsidRPr="0096524F">
        <w:t xml:space="preserve"> </w:t>
      </w:r>
      <w:r w:rsidRPr="0096524F">
        <w:t>v.</w:t>
      </w:r>
      <w:r w:rsidRPr="0096524F">
        <w:t xml:space="preserve"> </w:t>
      </w:r>
      <w:r w:rsidRPr="0096524F">
        <w:t>Webfeats, 319 F.3d 770, 777–78, 65 USPQ2d 1834 (6th Cir.</w:t>
      </w:r>
      <w:r w:rsidRPr="0096524F">
        <w:t xml:space="preserve"> </w:t>
      </w:r>
      <w:r w:rsidRPr="0096524F">
        <w:t>2003).</w:t>
      </w:r>
      <w:r w:rsidRPr="0096524F">
        <w:t xml:space="preserve"> </w:t>
      </w:r>
      <w:r w:rsidRPr="0096524F">
        <w:t xml:space="preserve">The court characterized such sites as “cybergriping.” </w:t>
      </w:r>
      <w:r w:rsidRPr="0096524F">
        <w:rPr>
          <w:i/>
        </w:rPr>
        <w:t>Id</w:t>
      </w:r>
      <w:r w:rsidRPr="0096524F">
        <w:t>.</w:t>
      </w:r>
      <w:r w:rsidRPr="0096524F">
        <w:t xml:space="preserve"> </w:t>
      </w:r>
      <w:r w:rsidRPr="0096524F">
        <w:t xml:space="preserve">at 772–73 (citing Martha Kelley, </w:t>
      </w:r>
      <w:r w:rsidRPr="0096524F">
        <w:rPr>
          <w:i/>
        </w:rPr>
        <w:t>Is Liability Just a Link Away?</w:t>
      </w:r>
      <w:r w:rsidRPr="0096524F">
        <w:rPr>
          <w:i/>
        </w:rPr>
        <w:t xml:space="preserve"> </w:t>
      </w:r>
      <w:r w:rsidRPr="0096524F">
        <w:rPr>
          <w:i/>
        </w:rPr>
        <w:t>Trademark Dilution by Tarnishment Under the Federal Trademark Dilution Act of 1995 and Hyperlinks on the World Wide Web</w:t>
      </w:r>
      <w:r w:rsidRPr="0096524F">
        <w:t xml:space="preserve">, 9 </w:t>
      </w:r>
      <w:r w:rsidRPr="0096524F">
        <w:rPr>
          <w:smallCaps/>
        </w:rPr>
        <w:t>J.</w:t>
      </w:r>
      <w:r w:rsidRPr="0096524F">
        <w:rPr>
          <w:smallCaps/>
        </w:rPr>
        <w:t xml:space="preserve"> </w:t>
      </w:r>
      <w:r w:rsidRPr="0096524F">
        <w:rPr>
          <w:smallCaps/>
        </w:rPr>
        <w:t>Intell.</w:t>
      </w:r>
      <w:r w:rsidRPr="0096524F">
        <w:rPr>
          <w:smallCaps/>
        </w:rPr>
        <w:t xml:space="preserve"> </w:t>
      </w:r>
      <w:r w:rsidRPr="0096524F">
        <w:rPr>
          <w:smallCaps/>
        </w:rPr>
        <w:t>Prop.</w:t>
      </w:r>
      <w:r w:rsidRPr="0096524F">
        <w:rPr>
          <w:smallCaps/>
        </w:rPr>
        <w:t xml:space="preserve"> </w:t>
      </w:r>
      <w:r w:rsidRPr="0096524F">
        <w:rPr>
          <w:smallCaps/>
        </w:rPr>
        <w:t>L.</w:t>
      </w:r>
      <w:r w:rsidRPr="0096524F">
        <w:rPr>
          <w:smallCaps/>
        </w:rPr>
        <w:t xml:space="preserve"> </w:t>
      </w:r>
      <w:r w:rsidRPr="0096524F">
        <w:t>361, 375 (2002)).</w:t>
      </w:r>
    </w:p>
  </w:footnote>
  <w:footnote w:id="706">
    <w:p w14:paraId="5449F492" w14:textId="406D44DE" w:rsidR="0096524F" w:rsidRPr="00EB11B3" w:rsidRDefault="0096524F" w:rsidP="0096524F">
      <w:pPr>
        <w:pStyle w:val="FootnoteText"/>
      </w:pPr>
      <w:r w:rsidRPr="0096524F">
        <w:rPr>
          <w:vertAlign w:val="superscript"/>
        </w:rPr>
        <w:footnoteRef/>
      </w:r>
      <w:r w:rsidRPr="0096524F">
        <w:rPr>
          <w:i/>
        </w:rPr>
        <w:t>See</w:t>
      </w:r>
      <w:r w:rsidRPr="0096524F">
        <w:t xml:space="preserve"> Planned Parenthood Fed’n of Am., Inc.</w:t>
      </w:r>
      <w:r w:rsidRPr="0096524F">
        <w:t xml:space="preserve"> </w:t>
      </w:r>
      <w:r w:rsidRPr="0096524F">
        <w:t>v.</w:t>
      </w:r>
      <w:r w:rsidRPr="0096524F">
        <w:t xml:space="preserve"> </w:t>
      </w:r>
      <w:r w:rsidRPr="0096524F">
        <w:t>Bucci, 42 USPQ2d 1430, 1440 (S.D.N.Y.</w:t>
      </w:r>
      <w:r w:rsidRPr="0096524F">
        <w:t xml:space="preserve"> </w:t>
      </w:r>
      <w:r w:rsidRPr="0096524F">
        <w:t xml:space="preserve">1997), </w:t>
      </w:r>
      <w:r w:rsidRPr="0096524F">
        <w:rPr>
          <w:i/>
        </w:rPr>
        <w:t>aff’d,</w:t>
      </w:r>
      <w:r w:rsidRPr="0096524F">
        <w:t xml:space="preserve"> 152 F.3d 920 (2d Cir.), </w:t>
      </w:r>
      <w:r w:rsidRPr="0096524F">
        <w:rPr>
          <w:i/>
        </w:rPr>
        <w:t>cert</w:t>
      </w:r>
      <w:r w:rsidRPr="0096524F">
        <w:t>.</w:t>
      </w:r>
      <w:r w:rsidRPr="0096524F">
        <w:t xml:space="preserve"> </w:t>
      </w:r>
      <w:r w:rsidRPr="0096524F">
        <w:rPr>
          <w:i/>
        </w:rPr>
        <w:t>denied,</w:t>
      </w:r>
      <w:r w:rsidRPr="0096524F">
        <w:t xml:space="preserve"> 525 U.S.</w:t>
      </w:r>
      <w:r w:rsidRPr="0096524F">
        <w:t xml:space="preserve"> </w:t>
      </w:r>
      <w:r w:rsidRPr="0096524F">
        <w:t>834 (1998).</w:t>
      </w:r>
    </w:p>
  </w:footnote>
  <w:footnote w:id="707">
    <w:p w14:paraId="53427631" w14:textId="3AF7E080" w:rsidR="0096524F" w:rsidRPr="00EB11B3" w:rsidRDefault="0096524F" w:rsidP="0096524F">
      <w:pPr>
        <w:pStyle w:val="FootnoteText"/>
      </w:pPr>
      <w:r w:rsidRPr="0096524F">
        <w:rPr>
          <w:vertAlign w:val="superscript"/>
        </w:rPr>
        <w:footnoteRef/>
      </w:r>
      <w:r w:rsidRPr="0096524F">
        <w:t>This use may also be excluded by the TDRA’s fair use exclusion in §43(c)(3)(A).</w:t>
      </w:r>
      <w:r w:rsidRPr="0096524F">
        <w:t xml:space="preserve"> </w:t>
      </w:r>
      <w:r w:rsidRPr="0096524F">
        <w:rPr>
          <w:i/>
        </w:rPr>
        <w:t>See</w:t>
      </w:r>
      <w:r w:rsidRPr="0096524F">
        <w:t xml:space="preserve"> Chapter 10, §II.</w:t>
      </w:r>
    </w:p>
  </w:footnote>
  <w:footnote w:id="708">
    <w:p w14:paraId="3C66DECE" w14:textId="228BDE55" w:rsidR="0096524F" w:rsidRPr="00EB11B3" w:rsidRDefault="0096524F" w:rsidP="0096524F">
      <w:pPr>
        <w:pStyle w:val="FootnoteText"/>
      </w:pPr>
      <w:r w:rsidRPr="0096524F">
        <w:rPr>
          <w:vertAlign w:val="superscript"/>
        </w:rPr>
        <w:footnoteRef/>
      </w:r>
      <w:r w:rsidRPr="0096524F">
        <w:t>Obviously, the mark owner may assert that the use is likely to cause confusion of sponsorship or approval.</w:t>
      </w:r>
    </w:p>
  </w:footnote>
  <w:footnote w:id="709">
    <w:p w14:paraId="58936FEB" w14:textId="4D14B2A4" w:rsidR="0096524F" w:rsidRPr="00EB11B3" w:rsidRDefault="0096524F" w:rsidP="0096524F">
      <w:pPr>
        <w:pStyle w:val="FootnoteText"/>
      </w:pPr>
      <w:r w:rsidRPr="0096524F">
        <w:rPr>
          <w:vertAlign w:val="superscript"/>
        </w:rPr>
        <w:footnoteRef/>
      </w:r>
      <w:r w:rsidRPr="0096524F">
        <w:t>This aspect of the fair use exclusion is discussed in Chapter 10, §II.A.2.</w:t>
      </w:r>
    </w:p>
  </w:footnote>
  <w:footnote w:id="710">
    <w:p w14:paraId="4A74A25B" w14:textId="24A95ABE" w:rsidR="0096524F" w:rsidRPr="00EB11B3" w:rsidRDefault="0096524F" w:rsidP="0096524F">
      <w:pPr>
        <w:pStyle w:val="FootnoteText"/>
      </w:pPr>
      <w:r w:rsidRPr="0096524F">
        <w:rPr>
          <w:vertAlign w:val="superscript"/>
        </w:rPr>
        <w:footnoteRef/>
      </w:r>
      <w:r w:rsidRPr="0096524F">
        <w:t>306 F.3d 509, 64 USPQ2d 1689 (7th Cir.</w:t>
      </w:r>
      <w:r w:rsidRPr="0096524F">
        <w:t xml:space="preserve"> </w:t>
      </w:r>
      <w:r w:rsidRPr="0096524F">
        <w:t xml:space="preserve">2002), </w:t>
      </w:r>
      <w:r w:rsidRPr="0096524F">
        <w:rPr>
          <w:i/>
        </w:rPr>
        <w:t>cert</w:t>
      </w:r>
      <w:r w:rsidRPr="0096524F">
        <w:t>.</w:t>
      </w:r>
      <w:r w:rsidRPr="0096524F">
        <w:t xml:space="preserve"> </w:t>
      </w:r>
      <w:r w:rsidRPr="0096524F">
        <w:rPr>
          <w:i/>
        </w:rPr>
        <w:t>denied</w:t>
      </w:r>
      <w:r w:rsidRPr="0096524F">
        <w:t>, 538 U.S.</w:t>
      </w:r>
      <w:r w:rsidRPr="0096524F">
        <w:t xml:space="preserve"> </w:t>
      </w:r>
      <w:r w:rsidRPr="0096524F">
        <w:t>971 (2003).</w:t>
      </w:r>
    </w:p>
  </w:footnote>
  <w:footnote w:id="711">
    <w:p w14:paraId="6C90B014" w14:textId="100B00F8"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512.</w:t>
      </w:r>
    </w:p>
  </w:footnote>
  <w:footnote w:id="712">
    <w:p w14:paraId="4A28DEC2" w14:textId="1CA80515"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513–14.</w:t>
      </w:r>
      <w:r w:rsidRPr="0096524F">
        <w:t xml:space="preserve"> </w:t>
      </w:r>
      <w:r w:rsidRPr="0096524F">
        <w:t>The court did uphold that portion of the injunction that prevented defendant from using the category “Other Beanies” to describe beanbag toys not made by Ty.</w:t>
      </w:r>
      <w:r w:rsidRPr="0096524F">
        <w:t xml:space="preserve"> </w:t>
      </w:r>
      <w:r w:rsidRPr="0096524F">
        <w:t>However, it did so on a confusion rationale.</w:t>
      </w:r>
      <w:r w:rsidRPr="0096524F">
        <w:t xml:space="preserve"> </w:t>
      </w:r>
      <w:r w:rsidRPr="0096524F">
        <w:rPr>
          <w:i/>
        </w:rPr>
        <w:t>Id</w:t>
      </w:r>
      <w:r w:rsidRPr="0096524F">
        <w:t>.</w:t>
      </w:r>
      <w:r w:rsidRPr="0096524F">
        <w:t xml:space="preserve"> </w:t>
      </w:r>
      <w:r w:rsidRPr="0096524F">
        <w:t>at 514.</w:t>
      </w:r>
      <w:r w:rsidRPr="0096524F">
        <w:t xml:space="preserve"> </w:t>
      </w:r>
      <w:r w:rsidRPr="0096524F">
        <w:t>This use may also be excluded from dilution liability under §43(c)(3)(A) as a nominative fair use.</w:t>
      </w:r>
    </w:p>
  </w:footnote>
  <w:footnote w:id="713">
    <w:p w14:paraId="2575BFCE" w14:textId="79BA0214" w:rsidR="0096524F" w:rsidRPr="00EB11B3" w:rsidRDefault="0096524F" w:rsidP="0096524F">
      <w:pPr>
        <w:pStyle w:val="FootnoteText"/>
      </w:pPr>
      <w:r w:rsidRPr="0096524F">
        <w:rPr>
          <w:vertAlign w:val="superscript"/>
        </w:rPr>
        <w:footnoteRef/>
      </w:r>
      <w:r w:rsidRPr="0096524F">
        <w:t>306 F.3d at 513–14.</w:t>
      </w:r>
      <w:r w:rsidRPr="0096524F">
        <w:t xml:space="preserve"> </w:t>
      </w:r>
      <w:r w:rsidRPr="0096524F">
        <w:t>See Chapter 3, §IV.D, and §II.G, above, for discussions of dilution by genericide.</w:t>
      </w:r>
    </w:p>
  </w:footnote>
  <w:footnote w:id="714">
    <w:p w14:paraId="3B2FF5CB" w14:textId="74D7B15F" w:rsidR="0096524F" w:rsidRPr="00EB11B3" w:rsidRDefault="0096524F" w:rsidP="0096524F">
      <w:pPr>
        <w:pStyle w:val="FootnoteText"/>
      </w:pPr>
      <w:r w:rsidRPr="0096524F">
        <w:rPr>
          <w:vertAlign w:val="superscript"/>
        </w:rPr>
        <w:footnoteRef/>
      </w:r>
      <w:r w:rsidRPr="0096524F">
        <w:t>115 F.</w:t>
      </w:r>
      <w:r w:rsidRPr="0096524F">
        <w:t xml:space="preserve"> </w:t>
      </w:r>
      <w:r w:rsidRPr="0096524F">
        <w:t>Supp.</w:t>
      </w:r>
      <w:r w:rsidRPr="0096524F">
        <w:t xml:space="preserve"> </w:t>
      </w:r>
      <w:r w:rsidRPr="0096524F">
        <w:t>2d 772 (E.D.</w:t>
      </w:r>
      <w:r w:rsidRPr="0096524F">
        <w:t xml:space="preserve"> </w:t>
      </w:r>
      <w:r w:rsidRPr="0096524F">
        <w:t>Mich.</w:t>
      </w:r>
      <w:r w:rsidRPr="0096524F">
        <w:t xml:space="preserve"> </w:t>
      </w:r>
      <w:r w:rsidRPr="0096524F">
        <w:t xml:space="preserve">2000)), </w:t>
      </w:r>
      <w:r w:rsidRPr="0096524F">
        <w:rPr>
          <w:i/>
        </w:rPr>
        <w:t>vacated in part, aff’d in part on other grounds</w:t>
      </w:r>
      <w:r w:rsidRPr="0096524F">
        <w:t>, 319 F.3d 243, 65 USPQ2d 1761 (6th Cir.</w:t>
      </w:r>
      <w:r w:rsidRPr="0096524F">
        <w:t xml:space="preserve"> </w:t>
      </w:r>
      <w:r w:rsidRPr="0096524F">
        <w:t>2003) (the Sixth Circuit did not rule on the dilution issue).</w:t>
      </w:r>
    </w:p>
  </w:footnote>
  <w:footnote w:id="715">
    <w:p w14:paraId="27401605" w14:textId="05922A8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775.</w:t>
      </w:r>
      <w:r w:rsidRPr="0096524F">
        <w:t xml:space="preserve"> </w:t>
      </w:r>
      <w:r w:rsidRPr="0096524F">
        <w:t>The Web sites attached to these domains contained disclaimers, stating that they had no connection with the owner of the marks.</w:t>
      </w:r>
      <w:r w:rsidRPr="0096524F">
        <w:t xml:space="preserve"> </w:t>
      </w:r>
      <w:r w:rsidRPr="0096524F">
        <w:rPr>
          <w:i/>
        </w:rPr>
        <w:t>Id</w:t>
      </w:r>
      <w:r w:rsidRPr="0096524F">
        <w:t>.</w:t>
      </w:r>
    </w:p>
  </w:footnote>
  <w:footnote w:id="716">
    <w:p w14:paraId="24739095" w14:textId="5376E9AA"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780.</w:t>
      </w:r>
    </w:p>
  </w:footnote>
  <w:footnote w:id="717">
    <w:p w14:paraId="0A0FC240" w14:textId="5555EE21" w:rsidR="0096524F" w:rsidRPr="00EB11B3" w:rsidRDefault="0096524F" w:rsidP="0096524F">
      <w:pPr>
        <w:pStyle w:val="FootnoteText"/>
      </w:pPr>
      <w:r w:rsidRPr="0096524F">
        <w:rPr>
          <w:vertAlign w:val="superscript"/>
        </w:rPr>
        <w:footnoteRef/>
      </w:r>
      <w:r w:rsidRPr="0096524F">
        <w:rPr>
          <w:i/>
        </w:rPr>
        <w:t>See</w:t>
      </w:r>
      <w:r w:rsidRPr="0096524F">
        <w:t xml:space="preserve"> Caterpillar, Inc.</w:t>
      </w:r>
      <w:r w:rsidRPr="0096524F">
        <w:t xml:space="preserve"> </w:t>
      </w:r>
      <w:r w:rsidRPr="0096524F">
        <w:t>v.</w:t>
      </w:r>
      <w:r w:rsidRPr="0096524F">
        <w:t xml:space="preserve"> </w:t>
      </w:r>
      <w:r w:rsidRPr="0096524F">
        <w:t>Telescan Techs., LLC, 2002 WL 1301304, at *5 (C.D.</w:t>
      </w:r>
      <w:r w:rsidRPr="0096524F">
        <w:t xml:space="preserve"> </w:t>
      </w:r>
      <w:r w:rsidRPr="0096524F">
        <w:t>Ill.</w:t>
      </w:r>
      <w:r w:rsidRPr="0096524F">
        <w:t xml:space="preserve"> </w:t>
      </w:r>
      <w:r w:rsidRPr="0096524F">
        <w:t>Feb.</w:t>
      </w:r>
      <w:r w:rsidRPr="0096524F">
        <w:t xml:space="preserve"> </w:t>
      </w:r>
      <w:r w:rsidRPr="0096524F">
        <w:t>13, 2002) (finding defendant’s registration of such domain names as catusedequipment.com, caterpillarusedequip.com, caterpillarequipment.com, and caterpillardealers.com violated FTDA).</w:t>
      </w:r>
      <w:r w:rsidRPr="0096524F">
        <w:t xml:space="preserve"> </w:t>
      </w:r>
      <w:r w:rsidRPr="0096524F">
        <w:rPr>
          <w:i/>
        </w:rPr>
        <w:t>Cf</w:t>
      </w:r>
      <w:r w:rsidRPr="0096524F">
        <w:t>.</w:t>
      </w:r>
      <w:r w:rsidRPr="0096524F">
        <w:t xml:space="preserve"> </w:t>
      </w:r>
      <w:r w:rsidRPr="0096524F">
        <w:t>Ford Motor Co.</w:t>
      </w:r>
      <w:r w:rsidRPr="0096524F">
        <w:t xml:space="preserve"> </w:t>
      </w:r>
      <w:r w:rsidRPr="0096524F">
        <w:t>v.</w:t>
      </w:r>
      <w:r w:rsidRPr="0096524F">
        <w:t xml:space="preserve"> </w:t>
      </w:r>
      <w:r w:rsidRPr="0096524F">
        <w:t>GreatDomains.com, Inc., 177 F.</w:t>
      </w:r>
      <w:r w:rsidRPr="0096524F">
        <w:t xml:space="preserve"> </w:t>
      </w:r>
      <w:r w:rsidRPr="0096524F">
        <w:t>Supp.</w:t>
      </w:r>
      <w:r w:rsidRPr="0096524F">
        <w:t xml:space="preserve"> </w:t>
      </w:r>
      <w:r w:rsidRPr="0096524F">
        <w:t>2d 635, 61 USPQ2d 1718 (E.D.</w:t>
      </w:r>
      <w:r w:rsidRPr="0096524F">
        <w:t xml:space="preserve"> </w:t>
      </w:r>
      <w:r w:rsidRPr="0096524F">
        <w:t>Mich.</w:t>
      </w:r>
      <w:r w:rsidRPr="0096524F">
        <w:t xml:space="preserve"> </w:t>
      </w:r>
      <w:r w:rsidRPr="0096524F">
        <w:t>2001) (defendant’s use of domain names that incorporated Ford’s marks, including jaguarenthusiastsclub.com and vintagevolvos.com, found to violate ACPA, but found not dilutive because not a trademark use).</w:t>
      </w:r>
    </w:p>
  </w:footnote>
  <w:footnote w:id="718">
    <w:p w14:paraId="1F124A2B" w14:textId="5C9D3B3B" w:rsidR="0096524F" w:rsidRPr="00EB11B3" w:rsidRDefault="0096524F" w:rsidP="0096524F">
      <w:pPr>
        <w:pStyle w:val="FootnoteText"/>
      </w:pPr>
      <w:r w:rsidRPr="0096524F">
        <w:rPr>
          <w:vertAlign w:val="superscript"/>
        </w:rPr>
        <w:footnoteRef/>
      </w:r>
      <w:r w:rsidRPr="0096524F">
        <w:rPr>
          <w:i/>
        </w:rPr>
        <w:t>See</w:t>
      </w:r>
      <w:r w:rsidRPr="0096524F">
        <w:t xml:space="preserve"> Trans Union LLC v.</w:t>
      </w:r>
      <w:r w:rsidRPr="0096524F">
        <w:t xml:space="preserve"> </w:t>
      </w:r>
      <w:r w:rsidRPr="0096524F">
        <w:t>Credit Research, Inc., 142 F.</w:t>
      </w:r>
      <w:r w:rsidRPr="0096524F">
        <w:t xml:space="preserve"> </w:t>
      </w:r>
      <w:r w:rsidRPr="0096524F">
        <w:t>Supp.</w:t>
      </w:r>
      <w:r w:rsidRPr="0096524F">
        <w:t xml:space="preserve"> </w:t>
      </w:r>
      <w:r w:rsidRPr="0096524F">
        <w:t>2d 1029, 1037 (N.D.</w:t>
      </w:r>
      <w:r w:rsidRPr="0096524F">
        <w:t xml:space="preserve"> </w:t>
      </w:r>
      <w:r w:rsidRPr="0096524F">
        <w:t>Ill.</w:t>
      </w:r>
      <w:r w:rsidRPr="0096524F">
        <w:t xml:space="preserve"> </w:t>
      </w:r>
      <w:r w:rsidRPr="0096524F">
        <w:t>2001).</w:t>
      </w:r>
    </w:p>
  </w:footnote>
  <w:footnote w:id="719">
    <w:p w14:paraId="59D28BD7" w14:textId="0A3C0D5C" w:rsidR="0096524F" w:rsidRPr="00EB11B3" w:rsidRDefault="0096524F" w:rsidP="0096524F">
      <w:pPr>
        <w:pStyle w:val="FootnoteText"/>
      </w:pPr>
      <w:r w:rsidRPr="0096524F">
        <w:rPr>
          <w:vertAlign w:val="superscript"/>
        </w:rPr>
        <w:footnoteRef/>
      </w:r>
      <w:r w:rsidRPr="0096524F">
        <w:t>For example, a pornographic site might put “Microsoft” in a metatag so that persons typing “Microsoft” into a search engine would retrieve a link to the pornographic site.</w:t>
      </w:r>
    </w:p>
  </w:footnote>
  <w:footnote w:id="720">
    <w:p w14:paraId="1CADB7D0" w14:textId="463A9681" w:rsidR="0096524F" w:rsidRPr="00EB11B3" w:rsidRDefault="0096524F" w:rsidP="0096524F">
      <w:pPr>
        <w:pStyle w:val="FootnoteText"/>
      </w:pPr>
      <w:r w:rsidRPr="0096524F">
        <w:rPr>
          <w:vertAlign w:val="superscript"/>
        </w:rPr>
        <w:footnoteRef/>
      </w:r>
      <w:r w:rsidRPr="0096524F">
        <w:rPr>
          <w:i/>
        </w:rPr>
        <w:t>See, e</w:t>
      </w:r>
      <w:r w:rsidRPr="0096524F">
        <w:t>.</w:t>
      </w:r>
      <w:r w:rsidRPr="0096524F">
        <w:rPr>
          <w:i/>
        </w:rPr>
        <w:t>g</w:t>
      </w:r>
      <w:r w:rsidRPr="0096524F">
        <w:t>.</w:t>
      </w:r>
      <w:r w:rsidRPr="0096524F">
        <w:rPr>
          <w:i/>
        </w:rPr>
        <w:t xml:space="preserve">, </w:t>
      </w:r>
      <w:r w:rsidRPr="0096524F">
        <w:t>Allied Interstate, LLC v.</w:t>
      </w:r>
      <w:r w:rsidRPr="0096524F">
        <w:t xml:space="preserve"> </w:t>
      </w:r>
      <w:r w:rsidRPr="0096524F">
        <w:t>Kimmel &amp; Silverman, P.C., 2013 U.S.</w:t>
      </w:r>
      <w:r w:rsidRPr="0096524F">
        <w:t xml:space="preserve"> </w:t>
      </w:r>
      <w:r w:rsidRPr="0096524F">
        <w:t>Dist.</w:t>
      </w:r>
      <w:r w:rsidRPr="0096524F">
        <w:t xml:space="preserve"> </w:t>
      </w:r>
      <w:r w:rsidRPr="0096524F">
        <w:t>LEXIS 113465, at *9–10 (S.D.N.Y.</w:t>
      </w:r>
      <w:r w:rsidRPr="0096524F">
        <w:t xml:space="preserve"> </w:t>
      </w:r>
      <w:r w:rsidRPr="0096524F">
        <w:t>Aug.</w:t>
      </w:r>
      <w:r w:rsidRPr="0096524F">
        <w:t xml:space="preserve"> </w:t>
      </w:r>
      <w:r w:rsidRPr="0096524F">
        <w:t>12, 2013);</w:t>
      </w:r>
      <w:r w:rsidRPr="0096524F">
        <w:t xml:space="preserve"> </w:t>
      </w:r>
      <w:r w:rsidRPr="0096524F">
        <w:rPr>
          <w:i/>
        </w:rPr>
        <w:t>Trans Union,</w:t>
      </w:r>
      <w:r w:rsidRPr="0096524F">
        <w:t xml:space="preserve"> 142 F.</w:t>
      </w:r>
      <w:r w:rsidRPr="0096524F">
        <w:t xml:space="preserve"> </w:t>
      </w:r>
      <w:r w:rsidRPr="0096524F">
        <w:t>Supp.</w:t>
      </w:r>
      <w:r w:rsidRPr="0096524F">
        <w:t xml:space="preserve"> </w:t>
      </w:r>
      <w:r w:rsidRPr="0096524F">
        <w:t>2d at 1040;</w:t>
      </w:r>
      <w:r w:rsidRPr="0096524F">
        <w:t xml:space="preserve"> </w:t>
      </w:r>
      <w:r w:rsidRPr="0096524F">
        <w:t>Bihari v.</w:t>
      </w:r>
      <w:r w:rsidRPr="0096524F">
        <w:t xml:space="preserve"> </w:t>
      </w:r>
      <w:r w:rsidRPr="0096524F">
        <w:t>Gross, 119 F.</w:t>
      </w:r>
      <w:r w:rsidRPr="0096524F">
        <w:t xml:space="preserve"> </w:t>
      </w:r>
      <w:r w:rsidRPr="0096524F">
        <w:t>Supp.</w:t>
      </w:r>
      <w:r w:rsidRPr="0096524F">
        <w:t xml:space="preserve"> </w:t>
      </w:r>
      <w:r w:rsidRPr="0096524F">
        <w:t>2d 309, 321–24, 56 USPQ2d 1489 (S.D.N.Y.</w:t>
      </w:r>
      <w:r w:rsidRPr="0096524F">
        <w:t xml:space="preserve"> </w:t>
      </w:r>
      <w:r w:rsidRPr="0096524F">
        <w:t>2000);</w:t>
      </w:r>
      <w:r w:rsidRPr="0096524F">
        <w:t xml:space="preserve"> </w:t>
      </w:r>
      <w:r w:rsidRPr="0096524F">
        <w:t>Playboy Enters., Inc.</w:t>
      </w:r>
      <w:r w:rsidRPr="0096524F">
        <w:t xml:space="preserve"> </w:t>
      </w:r>
      <w:r w:rsidRPr="0096524F">
        <w:t>v.</w:t>
      </w:r>
      <w:r w:rsidRPr="0096524F">
        <w:t xml:space="preserve"> </w:t>
      </w:r>
      <w:r w:rsidRPr="0096524F">
        <w:t>Welles, 7 F.</w:t>
      </w:r>
      <w:r w:rsidRPr="0096524F">
        <w:t xml:space="preserve"> </w:t>
      </w:r>
      <w:r w:rsidRPr="0096524F">
        <w:t>Supp.</w:t>
      </w:r>
      <w:r w:rsidRPr="0096524F">
        <w:t xml:space="preserve"> </w:t>
      </w:r>
      <w:r w:rsidRPr="0096524F">
        <w:t>2d 1098, 1104 (S.D.</w:t>
      </w:r>
      <w:r w:rsidRPr="0096524F">
        <w:t xml:space="preserve"> </w:t>
      </w:r>
      <w:r w:rsidRPr="0096524F">
        <w:t xml:space="preserve">Cal.), </w:t>
      </w:r>
      <w:r w:rsidRPr="0096524F">
        <w:rPr>
          <w:i/>
        </w:rPr>
        <w:t>aff’d,</w:t>
      </w:r>
      <w:r w:rsidRPr="0096524F">
        <w:t xml:space="preserve"> 162 F.3d 1169 (9th Cir.</w:t>
      </w:r>
      <w:r w:rsidRPr="0096524F">
        <w:t xml:space="preserve"> </w:t>
      </w:r>
      <w:r w:rsidRPr="0096524F">
        <w:t>1998).</w:t>
      </w:r>
      <w:r w:rsidRPr="0096524F">
        <w:t xml:space="preserve"> </w:t>
      </w:r>
      <w:r w:rsidRPr="0096524F">
        <w:t>The “fair use” exclusion is discussed in Chapter 10, §II.</w:t>
      </w:r>
    </w:p>
  </w:footnote>
  <w:footnote w:id="721">
    <w:p w14:paraId="4F3A9BB4" w14:textId="50ACA85B" w:rsidR="0096524F" w:rsidRPr="00EB11B3" w:rsidRDefault="0096524F" w:rsidP="0096524F">
      <w:pPr>
        <w:pStyle w:val="FootnoteText"/>
      </w:pPr>
      <w:r w:rsidRPr="0096524F">
        <w:rPr>
          <w:vertAlign w:val="superscript"/>
        </w:rPr>
        <w:footnoteRef/>
      </w:r>
      <w:r w:rsidRPr="0096524F">
        <w:rPr>
          <w:i/>
        </w:rPr>
        <w:t>See</w:t>
      </w:r>
      <w:r w:rsidRPr="0096524F">
        <w:t xml:space="preserve"> Brookfield Commc’ns, Inc.</w:t>
      </w:r>
      <w:r w:rsidRPr="0096524F">
        <w:t xml:space="preserve"> </w:t>
      </w:r>
      <w:r w:rsidRPr="0096524F">
        <w:t>v.</w:t>
      </w:r>
      <w:r w:rsidRPr="0096524F">
        <w:t xml:space="preserve"> </w:t>
      </w:r>
      <w:r w:rsidRPr="0096524F">
        <w:t>West Coast Entm’t Corp., 174 F.3d 1036, 1067, 50 USPQ2d 1545 (9th Cir.</w:t>
      </w:r>
      <w:r w:rsidRPr="0096524F">
        <w:t xml:space="preserve"> </w:t>
      </w:r>
      <w:r w:rsidRPr="0096524F">
        <w:t>1999);</w:t>
      </w:r>
      <w:r w:rsidRPr="0096524F">
        <w:t xml:space="preserve"> </w:t>
      </w:r>
      <w:r w:rsidRPr="0096524F">
        <w:t>Key3Media Events, Inc.</w:t>
      </w:r>
      <w:r w:rsidRPr="0096524F">
        <w:t xml:space="preserve"> </w:t>
      </w:r>
      <w:r w:rsidRPr="0096524F">
        <w:t>v.</w:t>
      </w:r>
      <w:r w:rsidRPr="0096524F">
        <w:t xml:space="preserve"> </w:t>
      </w:r>
      <w:r w:rsidRPr="0096524F">
        <w:t>Convention Connection, Inc., 2002 WL 385546, at *3 (D.</w:t>
      </w:r>
      <w:r w:rsidRPr="0096524F">
        <w:t xml:space="preserve"> </w:t>
      </w:r>
      <w:r w:rsidRPr="0096524F">
        <w:t>Nev.</w:t>
      </w:r>
      <w:r w:rsidRPr="0096524F">
        <w:t xml:space="preserve"> </w:t>
      </w:r>
      <w:r w:rsidRPr="0096524F">
        <w:t>Jan.</w:t>
      </w:r>
      <w:r w:rsidRPr="0096524F">
        <w:t xml:space="preserve"> </w:t>
      </w:r>
      <w:r w:rsidRPr="0096524F">
        <w:t>25, 2002).</w:t>
      </w:r>
    </w:p>
  </w:footnote>
  <w:footnote w:id="722">
    <w:p w14:paraId="24C9BB5B" w14:textId="0AC38E91" w:rsidR="0096524F" w:rsidRPr="00EB11B3" w:rsidRDefault="0096524F" w:rsidP="0096524F">
      <w:pPr>
        <w:pStyle w:val="FootnoteText"/>
      </w:pPr>
      <w:r w:rsidRPr="0096524F">
        <w:rPr>
          <w:vertAlign w:val="superscript"/>
        </w:rPr>
        <w:footnoteRef/>
      </w:r>
      <w:r w:rsidRPr="0096524F">
        <w:rPr>
          <w:i/>
        </w:rPr>
        <w:t>See</w:t>
      </w:r>
      <w:r w:rsidRPr="0096524F">
        <w:t xml:space="preserve"> New York State Soc’y of Certified Pub.</w:t>
      </w:r>
      <w:r w:rsidRPr="0096524F">
        <w:t xml:space="preserve"> </w:t>
      </w:r>
      <w:r w:rsidRPr="0096524F">
        <w:t>Accountants v.</w:t>
      </w:r>
      <w:r w:rsidRPr="0096524F">
        <w:t xml:space="preserve"> </w:t>
      </w:r>
      <w:r w:rsidRPr="0096524F">
        <w:t>Eric Louis Assocs., Inc., 79 F.</w:t>
      </w:r>
      <w:r w:rsidRPr="0096524F">
        <w:t xml:space="preserve"> </w:t>
      </w:r>
      <w:r w:rsidRPr="0096524F">
        <w:t>Supp.</w:t>
      </w:r>
      <w:r w:rsidRPr="0096524F">
        <w:t xml:space="preserve"> </w:t>
      </w:r>
      <w:r w:rsidRPr="0096524F">
        <w:t>2d 331, 346 (S.D.N.Y.</w:t>
      </w:r>
      <w:r w:rsidRPr="0096524F">
        <w:t xml:space="preserve"> </w:t>
      </w:r>
      <w:r w:rsidRPr="0096524F">
        <w:t>1999) (discussing possible tarnishment by a metatag, though finding against plaintiff);</w:t>
      </w:r>
      <w:r w:rsidRPr="0096524F">
        <w:t xml:space="preserve"> </w:t>
      </w:r>
      <w:r w:rsidRPr="0096524F">
        <w:t>V Secret Stores v.</w:t>
      </w:r>
      <w:r w:rsidRPr="0096524F">
        <w:t xml:space="preserve"> </w:t>
      </w:r>
      <w:r w:rsidRPr="0096524F">
        <w:t>Artco Equip.</w:t>
      </w:r>
      <w:r w:rsidRPr="0096524F">
        <w:t xml:space="preserve"> </w:t>
      </w:r>
      <w:r w:rsidRPr="0096524F">
        <w:t>Co., 194 F.</w:t>
      </w:r>
      <w:r w:rsidRPr="0096524F">
        <w:t xml:space="preserve"> </w:t>
      </w:r>
      <w:r w:rsidRPr="0096524F">
        <w:t>Supp.</w:t>
      </w:r>
      <w:r w:rsidRPr="0096524F">
        <w:t xml:space="preserve"> </w:t>
      </w:r>
      <w:r w:rsidRPr="0096524F">
        <w:t>2d 704, 729 (S.D.</w:t>
      </w:r>
      <w:r w:rsidRPr="0096524F">
        <w:t xml:space="preserve"> </w:t>
      </w:r>
      <w:r w:rsidRPr="0096524F">
        <w:t>Ohio 2002).</w:t>
      </w:r>
    </w:p>
  </w:footnote>
  <w:footnote w:id="723">
    <w:p w14:paraId="75AEDE94" w14:textId="598B0F5B" w:rsidR="0096524F" w:rsidRPr="00EB11B3" w:rsidRDefault="0096524F" w:rsidP="0096524F">
      <w:pPr>
        <w:pStyle w:val="FootnoteText"/>
      </w:pPr>
      <w:r w:rsidRPr="0096524F">
        <w:rPr>
          <w:vertAlign w:val="superscript"/>
        </w:rPr>
        <w:footnoteRef/>
      </w:r>
      <w:r w:rsidRPr="0096524F">
        <w:rPr>
          <w:i/>
        </w:rPr>
        <w:t>But see Eric Louis Assocs</w:t>
      </w:r>
      <w:r w:rsidRPr="0096524F">
        <w:t>., 79 F.</w:t>
      </w:r>
      <w:r w:rsidRPr="0096524F">
        <w:t xml:space="preserve"> </w:t>
      </w:r>
      <w:r w:rsidRPr="0096524F">
        <w:t>Supp.</w:t>
      </w:r>
      <w:r w:rsidRPr="0096524F">
        <w:t xml:space="preserve"> </w:t>
      </w:r>
      <w:r w:rsidRPr="0096524F">
        <w:t>2d at 344–46 (finding blurring from use of plaintiff’s mark in both domain name and metatag, but without separating the two analytically);</w:t>
      </w:r>
      <w:r w:rsidRPr="0096524F">
        <w:t xml:space="preserve"> </w:t>
      </w:r>
      <w:r w:rsidRPr="0096524F">
        <w:t>Key3Media Events, Inc.</w:t>
      </w:r>
      <w:r w:rsidRPr="0096524F">
        <w:t xml:space="preserve"> </w:t>
      </w:r>
      <w:r w:rsidRPr="0096524F">
        <w:t>v.</w:t>
      </w:r>
      <w:r w:rsidRPr="0096524F">
        <w:t xml:space="preserve"> </w:t>
      </w:r>
      <w:r w:rsidRPr="0096524F">
        <w:t>Convention Connection, Inc., 2002 WL 385546, at *4 (D.</w:t>
      </w:r>
      <w:r w:rsidRPr="0096524F">
        <w:t xml:space="preserve"> </w:t>
      </w:r>
      <w:r w:rsidRPr="0096524F">
        <w:t>Nev.</w:t>
      </w:r>
      <w:r w:rsidRPr="0096524F">
        <w:t xml:space="preserve"> </w:t>
      </w:r>
      <w:r w:rsidRPr="0096524F">
        <w:t>Jan.</w:t>
      </w:r>
      <w:r w:rsidRPr="0096524F">
        <w:t xml:space="preserve"> </w:t>
      </w:r>
      <w:r w:rsidRPr="0096524F">
        <w:t>25, 2002) (finding dilution based on “confusingly similar” terms in domain names and metatags, without analytical distinction).</w:t>
      </w:r>
      <w:r w:rsidRPr="0096524F">
        <w:t xml:space="preserve"> </w:t>
      </w:r>
      <w:r w:rsidRPr="0096524F">
        <w:rPr>
          <w:i/>
        </w:rPr>
        <w:t>See also</w:t>
      </w:r>
      <w:r w:rsidRPr="0096524F">
        <w:t xml:space="preserve"> V Secret Stores v.</w:t>
      </w:r>
      <w:r w:rsidRPr="0096524F">
        <w:t xml:space="preserve"> </w:t>
      </w:r>
      <w:r w:rsidRPr="0096524F">
        <w:t>Artco Equip.</w:t>
      </w:r>
      <w:r w:rsidRPr="0096524F">
        <w:t xml:space="preserve"> </w:t>
      </w:r>
      <w:r w:rsidRPr="0096524F">
        <w:t>Co., 194 F.</w:t>
      </w:r>
      <w:r w:rsidRPr="0096524F">
        <w:t xml:space="preserve"> </w:t>
      </w:r>
      <w:r w:rsidRPr="0096524F">
        <w:t>Supp.</w:t>
      </w:r>
      <w:r w:rsidRPr="0096524F">
        <w:t xml:space="preserve"> </w:t>
      </w:r>
      <w:r w:rsidRPr="0096524F">
        <w:t>2d 704, 729–31 (S.D.</w:t>
      </w:r>
      <w:r w:rsidRPr="0096524F">
        <w:t xml:space="preserve"> </w:t>
      </w:r>
      <w:r w:rsidRPr="0096524F">
        <w:t>Ohio 2002) (citing use in metatags as dilution by tarnishment).</w:t>
      </w:r>
    </w:p>
  </w:footnote>
  <w:footnote w:id="724">
    <w:p w14:paraId="49F2C056" w14:textId="1031F906" w:rsidR="0096524F" w:rsidRPr="00EB11B3" w:rsidRDefault="0096524F" w:rsidP="0096524F">
      <w:pPr>
        <w:pStyle w:val="FootnoteText"/>
      </w:pPr>
      <w:r w:rsidRPr="0096524F">
        <w:rPr>
          <w:vertAlign w:val="superscript"/>
        </w:rPr>
        <w:footnoteRef/>
      </w:r>
      <w:r w:rsidRPr="0096524F">
        <w:t>Most likely, the user would attribute the misdirection to some kind of computer code error.</w:t>
      </w:r>
    </w:p>
  </w:footnote>
  <w:footnote w:id="725">
    <w:p w14:paraId="3256910D" w14:textId="32222FDE" w:rsidR="0096524F" w:rsidRPr="00882ED4" w:rsidRDefault="0096524F" w:rsidP="0096524F">
      <w:pPr>
        <w:pStyle w:val="FootnoteText"/>
        <w:rPr>
          <w:lang w:val="nb-NO"/>
        </w:rPr>
      </w:pPr>
      <w:r w:rsidRPr="0096524F">
        <w:rPr>
          <w:vertAlign w:val="superscript"/>
        </w:rPr>
        <w:footnoteRef/>
      </w:r>
      <w:r w:rsidRPr="0096524F">
        <w:t>258 F.</w:t>
      </w:r>
      <w:r w:rsidRPr="0096524F">
        <w:t xml:space="preserve"> </w:t>
      </w:r>
      <w:r w:rsidRPr="0096524F">
        <w:t>Supp.</w:t>
      </w:r>
      <w:r w:rsidRPr="0096524F">
        <w:t xml:space="preserve"> </w:t>
      </w:r>
      <w:r w:rsidRPr="0096524F">
        <w:t>2d 1353 (N.D.</w:t>
      </w:r>
      <w:r w:rsidRPr="0096524F">
        <w:t xml:space="preserve"> </w:t>
      </w:r>
      <w:r w:rsidRPr="0096524F">
        <w:t>Ga.</w:t>
      </w:r>
      <w:r w:rsidRPr="0096524F">
        <w:t xml:space="preserve"> </w:t>
      </w:r>
      <w:r w:rsidRPr="0096524F">
        <w:t>2003).</w:t>
      </w:r>
    </w:p>
  </w:footnote>
  <w:footnote w:id="726">
    <w:p w14:paraId="24BD68A7" w14:textId="46D8EE40"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1362.</w:t>
      </w:r>
    </w:p>
  </w:footnote>
  <w:footnote w:id="727">
    <w:p w14:paraId="5EF32AEA" w14:textId="0B38DF13"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1363.</w:t>
      </w:r>
    </w:p>
  </w:footnote>
  <w:footnote w:id="728">
    <w:p w14:paraId="72333AFB" w14:textId="0DCFCED4" w:rsidR="0096524F" w:rsidRPr="00EB11B3" w:rsidRDefault="0096524F" w:rsidP="0096524F">
      <w:pPr>
        <w:pStyle w:val="FootnoteText"/>
      </w:pPr>
      <w:r w:rsidRPr="0096524F">
        <w:rPr>
          <w:vertAlign w:val="superscript"/>
        </w:rPr>
        <w:footnoteRef/>
      </w:r>
      <w:r w:rsidRPr="0096524F">
        <w:rPr>
          <w:i/>
        </w:rPr>
        <w:t>See</w:t>
      </w:r>
      <w:r w:rsidRPr="0096524F">
        <w:t xml:space="preserve"> Lockheed Martin Corp.</w:t>
      </w:r>
      <w:r w:rsidRPr="0096524F">
        <w:t xml:space="preserve"> </w:t>
      </w:r>
      <w:r w:rsidRPr="0096524F">
        <w:t>v.</w:t>
      </w:r>
      <w:r w:rsidRPr="0096524F">
        <w:t xml:space="preserve"> </w:t>
      </w:r>
      <w:r w:rsidRPr="0096524F">
        <w:t>Network Solutions, Inc., 194 F.3d 980, 986, 52 USPQ2d 1481 (9th Cir.</w:t>
      </w:r>
      <w:r w:rsidRPr="0096524F">
        <w:t xml:space="preserve"> </w:t>
      </w:r>
      <w:r w:rsidRPr="0096524F">
        <w:t>1999).</w:t>
      </w:r>
      <w:r w:rsidRPr="0096524F">
        <w:t xml:space="preserve"> </w:t>
      </w:r>
      <w:r w:rsidRPr="0096524F">
        <w:rPr>
          <w:i/>
        </w:rPr>
        <w:t>See generally</w:t>
      </w:r>
      <w:r w:rsidRPr="0096524F">
        <w:t xml:space="preserve"> John T.</w:t>
      </w:r>
      <w:r w:rsidRPr="0096524F">
        <w:t xml:space="preserve"> </w:t>
      </w:r>
      <w:r w:rsidRPr="0096524F">
        <w:t xml:space="preserve">Cross, </w:t>
      </w:r>
      <w:r w:rsidRPr="0096524F">
        <w:rPr>
          <w:i/>
        </w:rPr>
        <w:t>Contributory and Vicarious Liability for Trademark Dilution</w:t>
      </w:r>
      <w:r w:rsidRPr="0096524F">
        <w:t xml:space="preserve">, 80 </w:t>
      </w:r>
      <w:r w:rsidRPr="0096524F">
        <w:rPr>
          <w:smallCaps/>
        </w:rPr>
        <w:t>Or.</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625 (2001).</w:t>
      </w:r>
    </w:p>
  </w:footnote>
  <w:footnote w:id="729">
    <w:p w14:paraId="66B930DF" w14:textId="779B4CE3" w:rsidR="0096524F" w:rsidRPr="00EB11B3" w:rsidRDefault="0096524F" w:rsidP="0096524F">
      <w:pPr>
        <w:pStyle w:val="FootnoteText"/>
      </w:pPr>
      <w:r w:rsidRPr="0096524F">
        <w:rPr>
          <w:vertAlign w:val="superscript"/>
        </w:rPr>
        <w:footnoteRef/>
      </w:r>
      <w:r w:rsidRPr="0096524F">
        <w:rPr>
          <w:i/>
        </w:rPr>
        <w:t>See, e</w:t>
      </w:r>
      <w:r w:rsidRPr="0096524F">
        <w:t>.</w:t>
      </w:r>
      <w:r w:rsidRPr="0096524F">
        <w:rPr>
          <w:i/>
        </w:rPr>
        <w:t>g</w:t>
      </w:r>
      <w:r w:rsidRPr="0096524F">
        <w:t>., Inwood Labs., Inc.</w:t>
      </w:r>
      <w:r w:rsidRPr="0096524F">
        <w:t xml:space="preserve"> </w:t>
      </w:r>
      <w:r w:rsidRPr="0096524F">
        <w:t>v.</w:t>
      </w:r>
      <w:r w:rsidRPr="0096524F">
        <w:t xml:space="preserve"> </w:t>
      </w:r>
      <w:r w:rsidRPr="0096524F">
        <w:t>Ives Labs., Inc., 456 U.S.</w:t>
      </w:r>
      <w:r w:rsidRPr="0096524F">
        <w:t xml:space="preserve"> </w:t>
      </w:r>
      <w:r w:rsidRPr="0096524F">
        <w:t>844, 853–54, 214 USPQ 1 (1982);</w:t>
      </w:r>
      <w:r w:rsidRPr="0096524F">
        <w:t xml:space="preserve"> </w:t>
      </w:r>
      <w:r w:rsidRPr="0096524F">
        <w:t>Coca-Cola Co.</w:t>
      </w:r>
      <w:r w:rsidRPr="0096524F">
        <w:t xml:space="preserve"> </w:t>
      </w:r>
      <w:r w:rsidRPr="0096524F">
        <w:t>v.</w:t>
      </w:r>
      <w:r w:rsidRPr="0096524F">
        <w:t xml:space="preserve"> </w:t>
      </w:r>
      <w:r w:rsidRPr="0096524F">
        <w:t>Snow Crest Beverages, Inc., 64 F.</w:t>
      </w:r>
      <w:r w:rsidRPr="0096524F">
        <w:t xml:space="preserve"> </w:t>
      </w:r>
      <w:r w:rsidRPr="0096524F">
        <w:t>Supp.</w:t>
      </w:r>
      <w:r w:rsidRPr="0096524F">
        <w:t xml:space="preserve"> </w:t>
      </w:r>
      <w:r w:rsidRPr="0096524F">
        <w:t>980, 989, 68 USPQ 437 (D.</w:t>
      </w:r>
      <w:r w:rsidRPr="0096524F">
        <w:t xml:space="preserve"> </w:t>
      </w:r>
      <w:r w:rsidRPr="0096524F">
        <w:t>Mass.</w:t>
      </w:r>
      <w:r w:rsidRPr="0096524F">
        <w:t xml:space="preserve"> </w:t>
      </w:r>
      <w:r w:rsidRPr="0096524F">
        <w:t xml:space="preserve">1946), </w:t>
      </w:r>
      <w:r w:rsidRPr="0096524F">
        <w:rPr>
          <w:i/>
        </w:rPr>
        <w:t>aff’d,</w:t>
      </w:r>
      <w:r w:rsidRPr="0096524F">
        <w:t xml:space="preserve"> 162 F.2d 280, 73 USPQ 518 (1st Cir.), </w:t>
      </w:r>
      <w:r w:rsidRPr="0096524F">
        <w:rPr>
          <w:i/>
        </w:rPr>
        <w:t>cert</w:t>
      </w:r>
      <w:r w:rsidRPr="0096524F">
        <w:t>.</w:t>
      </w:r>
      <w:r w:rsidRPr="0096524F">
        <w:t xml:space="preserve"> </w:t>
      </w:r>
      <w:r w:rsidRPr="0096524F">
        <w:rPr>
          <w:i/>
        </w:rPr>
        <w:t>denied,</w:t>
      </w:r>
      <w:r w:rsidRPr="0096524F">
        <w:t xml:space="preserve"> 332 U.S.</w:t>
      </w:r>
      <w:r w:rsidRPr="0096524F">
        <w:t xml:space="preserve"> </w:t>
      </w:r>
      <w:r w:rsidRPr="0096524F">
        <w:t>809, 75 USPQ 365 (1947).</w:t>
      </w:r>
    </w:p>
  </w:footnote>
  <w:footnote w:id="730">
    <w:p w14:paraId="64E5ABB5" w14:textId="4C30C247" w:rsidR="0096524F" w:rsidRPr="00EB11B3" w:rsidRDefault="0096524F" w:rsidP="0096524F">
      <w:pPr>
        <w:pStyle w:val="FootnoteText"/>
      </w:pPr>
      <w:r w:rsidRPr="0096524F">
        <w:rPr>
          <w:vertAlign w:val="superscript"/>
        </w:rPr>
        <w:footnoteRef/>
      </w:r>
      <w:r w:rsidRPr="0096524F">
        <w:t>The formulation of the elements of contributory infringement is not consistent among the cases, so this description is necessarily imprecise.</w:t>
      </w:r>
      <w:r w:rsidRPr="0096524F">
        <w:t xml:space="preserve"> </w:t>
      </w:r>
      <w:r w:rsidRPr="0096524F">
        <w:rPr>
          <w:i/>
        </w:rPr>
        <w:t>Compare</w:t>
      </w:r>
      <w:r w:rsidRPr="0096524F">
        <w:t xml:space="preserve"> </w:t>
      </w:r>
      <w:r w:rsidRPr="0096524F">
        <w:rPr>
          <w:i/>
        </w:rPr>
        <w:t>Ives Labs</w:t>
      </w:r>
      <w:r w:rsidRPr="0096524F">
        <w:t>., 456 U.S.</w:t>
      </w:r>
      <w:r w:rsidRPr="0096524F">
        <w:t xml:space="preserve"> </w:t>
      </w:r>
      <w:r w:rsidRPr="0096524F">
        <w:t xml:space="preserve">at 854–55 &amp; n.13 </w:t>
      </w:r>
      <w:r w:rsidRPr="0096524F">
        <w:rPr>
          <w:i/>
        </w:rPr>
        <w:t>with</w:t>
      </w:r>
      <w:r w:rsidRPr="0096524F">
        <w:t xml:space="preserve"> </w:t>
      </w:r>
      <w:r w:rsidRPr="0096524F">
        <w:rPr>
          <w:i/>
        </w:rPr>
        <w:t>id</w:t>
      </w:r>
      <w:r w:rsidRPr="0096524F">
        <w:t>.</w:t>
      </w:r>
      <w:r w:rsidRPr="0096524F">
        <w:t xml:space="preserve"> </w:t>
      </w:r>
      <w:r w:rsidRPr="0096524F">
        <w:t>at 859–61 (White, J., concurring) (criticizing the majority’s formulation).</w:t>
      </w:r>
    </w:p>
  </w:footnote>
  <w:footnote w:id="731">
    <w:p w14:paraId="19C09013" w14:textId="6115C504"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w:t>
      </w:r>
      <w:r w:rsidRPr="0096524F">
        <w:rPr>
          <w:i/>
        </w:rPr>
        <w:t xml:space="preserve">, </w:t>
      </w:r>
      <w:r w:rsidRPr="0096524F">
        <w:t>Tiffany (NJ), Inc.</w:t>
      </w:r>
      <w:r w:rsidRPr="0096524F">
        <w:t xml:space="preserve"> </w:t>
      </w:r>
      <w:r w:rsidRPr="0096524F">
        <w:t>v.</w:t>
      </w:r>
      <w:r w:rsidRPr="0096524F">
        <w:t xml:space="preserve"> </w:t>
      </w:r>
      <w:r w:rsidRPr="0096524F">
        <w:t xml:space="preserve">eBay, Inc., 600 F.3d 93, 104, 94 USPQ2d 1188 (2d Cir.), </w:t>
      </w:r>
      <w:r w:rsidRPr="0096524F">
        <w:rPr>
          <w:i/>
        </w:rPr>
        <w:t>cert</w:t>
      </w:r>
      <w:r w:rsidRPr="0096524F">
        <w:t>.</w:t>
      </w:r>
      <w:r w:rsidRPr="0096524F">
        <w:t xml:space="preserve"> </w:t>
      </w:r>
      <w:r w:rsidRPr="0096524F">
        <w:rPr>
          <w:i/>
        </w:rPr>
        <w:t>denied</w:t>
      </w:r>
      <w:r w:rsidRPr="0096524F">
        <w:t>, 131 S.</w:t>
      </w:r>
      <w:r w:rsidRPr="0096524F">
        <w:t xml:space="preserve"> </w:t>
      </w:r>
      <w:r w:rsidRPr="0096524F">
        <w:t>Ct.</w:t>
      </w:r>
      <w:r w:rsidRPr="0096524F">
        <w:t xml:space="preserve"> </w:t>
      </w:r>
      <w:r w:rsidRPr="0096524F">
        <w:t>647 (2010);</w:t>
      </w:r>
      <w:r w:rsidRPr="0096524F">
        <w:t xml:space="preserve"> </w:t>
      </w:r>
      <w:r w:rsidRPr="0096524F">
        <w:rPr>
          <w:i/>
        </w:rPr>
        <w:t>Coca-Cola Co</w:t>
      </w:r>
      <w:r w:rsidRPr="0096524F">
        <w:t>., 64 F.</w:t>
      </w:r>
      <w:r w:rsidRPr="0096524F">
        <w:t xml:space="preserve"> </w:t>
      </w:r>
      <w:r w:rsidRPr="0096524F">
        <w:t>Supp.</w:t>
      </w:r>
      <w:r w:rsidRPr="0096524F">
        <w:t xml:space="preserve"> </w:t>
      </w:r>
      <w:r w:rsidRPr="0096524F">
        <w:t>at 989;</w:t>
      </w:r>
      <w:r w:rsidRPr="0096524F">
        <w:t xml:space="preserve"> </w:t>
      </w:r>
      <w:r w:rsidRPr="0096524F">
        <w:t>Fonovisa, Inc.</w:t>
      </w:r>
      <w:r w:rsidRPr="0096524F">
        <w:t xml:space="preserve"> </w:t>
      </w:r>
      <w:r w:rsidRPr="0096524F">
        <w:t>v.</w:t>
      </w:r>
      <w:r w:rsidRPr="0096524F">
        <w:t xml:space="preserve"> </w:t>
      </w:r>
      <w:r w:rsidRPr="0096524F">
        <w:t>Cherry Auction, Inc., 76 F.3d 259, 264–65, 37 USPQ2d 1590 (9th Cir.</w:t>
      </w:r>
      <w:r w:rsidRPr="0096524F">
        <w:t xml:space="preserve"> </w:t>
      </w:r>
      <w:r w:rsidRPr="0096524F">
        <w:t>1996) (“flea market” landlord could be held liable where it creates a marketplace and deliberately ignores infringement).</w:t>
      </w:r>
    </w:p>
  </w:footnote>
  <w:footnote w:id="732">
    <w:p w14:paraId="77EA87F3" w14:textId="26A4B671" w:rsidR="0096524F" w:rsidRPr="00EB11B3" w:rsidRDefault="0096524F" w:rsidP="0096524F">
      <w:pPr>
        <w:pStyle w:val="FootnoteText"/>
      </w:pPr>
      <w:r w:rsidRPr="0096524F">
        <w:rPr>
          <w:vertAlign w:val="superscript"/>
        </w:rPr>
        <w:footnoteRef/>
      </w:r>
      <w:r w:rsidRPr="0096524F">
        <w:t>Lanham Act §43(c)(1), 15 U.S.C.</w:t>
      </w:r>
      <w:r w:rsidRPr="0096524F">
        <w:t xml:space="preserve"> </w:t>
      </w:r>
      <w:r w:rsidRPr="0096524F">
        <w:t>§1125(c)(1) (emphasis added).</w:t>
      </w:r>
    </w:p>
  </w:footnote>
  <w:footnote w:id="733">
    <w:p w14:paraId="6110568E" w14:textId="29F6C9C2" w:rsidR="0096524F" w:rsidRPr="00EB11B3" w:rsidRDefault="0096524F" w:rsidP="0096524F">
      <w:pPr>
        <w:pStyle w:val="FootnoteText"/>
      </w:pPr>
      <w:r w:rsidRPr="0096524F">
        <w:rPr>
          <w:vertAlign w:val="superscript"/>
        </w:rPr>
        <w:footnoteRef/>
      </w:r>
      <w:r w:rsidRPr="0096524F">
        <w:t>Simply being sent a letter alleging dilution would not really help the investigation all that much.</w:t>
      </w:r>
      <w:r w:rsidRPr="0096524F">
        <w:t xml:space="preserve"> </w:t>
      </w:r>
      <w:r w:rsidRPr="0096524F">
        <w:t>Because secondary liability (in both dilution and infringement) requires a certain level of fault or knowledge, imposing such liability is not the same as imposing it on a direct infringer or diluter.</w:t>
      </w:r>
      <w:r w:rsidRPr="0096524F">
        <w:t xml:space="preserve"> </w:t>
      </w:r>
      <w:r w:rsidRPr="0096524F">
        <w:t>Contributory tarnishment might be an easier route, except that the dilution exclusions would be a formidable obstacle to recovery.</w:t>
      </w:r>
    </w:p>
  </w:footnote>
  <w:footnote w:id="734">
    <w:p w14:paraId="7AE6AA62" w14:textId="50954DF0" w:rsidR="0096524F" w:rsidRPr="00EB11B3" w:rsidRDefault="0096524F" w:rsidP="0096524F">
      <w:pPr>
        <w:pStyle w:val="FootnoteText"/>
      </w:pPr>
      <w:r w:rsidRPr="0096524F">
        <w:rPr>
          <w:vertAlign w:val="superscript"/>
        </w:rPr>
        <w:footnoteRef/>
      </w:r>
      <w:r w:rsidRPr="0096524F">
        <w:rPr>
          <w:i/>
        </w:rPr>
        <w:t>See</w:t>
      </w:r>
      <w:r w:rsidRPr="0096524F">
        <w:t xml:space="preserve"> Perfect 10, Inc.</w:t>
      </w:r>
      <w:r w:rsidRPr="0096524F">
        <w:t xml:space="preserve"> </w:t>
      </w:r>
      <w:r w:rsidRPr="0096524F">
        <w:t>v.</w:t>
      </w:r>
      <w:r w:rsidRPr="0096524F">
        <w:t xml:space="preserve"> </w:t>
      </w:r>
      <w:r w:rsidRPr="0096524F">
        <w:t>Cybernet Ventures, Inc., 167 F.</w:t>
      </w:r>
      <w:r w:rsidRPr="0096524F">
        <w:t xml:space="preserve"> </w:t>
      </w:r>
      <w:r w:rsidRPr="0096524F">
        <w:t>Supp.</w:t>
      </w:r>
      <w:r w:rsidRPr="0096524F">
        <w:t xml:space="preserve"> </w:t>
      </w:r>
      <w:r w:rsidRPr="0096524F">
        <w:t>2d 1114, 1123 n.9 (C.D.</w:t>
      </w:r>
      <w:r w:rsidRPr="0096524F">
        <w:t xml:space="preserve"> </w:t>
      </w:r>
      <w:r w:rsidRPr="0096524F">
        <w:t>Cal.</w:t>
      </w:r>
      <w:r w:rsidRPr="0096524F">
        <w:t xml:space="preserve"> </w:t>
      </w:r>
      <w:r w:rsidRPr="0096524F">
        <w:t>2001) (noting lack of precedent but not deciding the issue).</w:t>
      </w:r>
      <w:r w:rsidRPr="0096524F">
        <w:t xml:space="preserve"> </w:t>
      </w:r>
      <w:r w:rsidRPr="0096524F">
        <w:t xml:space="preserve">In </w:t>
      </w:r>
      <w:r w:rsidRPr="0096524F">
        <w:rPr>
          <w:i/>
        </w:rPr>
        <w:t>Tiffany (NJ), Inc</w:t>
      </w:r>
      <w:r w:rsidRPr="0096524F">
        <w:t>.</w:t>
      </w:r>
      <w:r w:rsidRPr="0096524F">
        <w:t xml:space="preserve"> </w:t>
      </w:r>
      <w:r w:rsidRPr="0096524F">
        <w:rPr>
          <w:i/>
        </w:rPr>
        <w:t>v</w:t>
      </w:r>
      <w:r w:rsidRPr="0096524F">
        <w:t>.</w:t>
      </w:r>
      <w:r w:rsidRPr="0096524F">
        <w:t xml:space="preserve"> </w:t>
      </w:r>
      <w:r w:rsidRPr="0096524F">
        <w:rPr>
          <w:i/>
        </w:rPr>
        <w:t>eBay, Inc</w:t>
      </w:r>
      <w:r w:rsidRPr="0096524F">
        <w:t>., 576 F.</w:t>
      </w:r>
      <w:r w:rsidRPr="0096524F">
        <w:t xml:space="preserve"> </w:t>
      </w:r>
      <w:r w:rsidRPr="0096524F">
        <w:t>Supp.</w:t>
      </w:r>
      <w:r w:rsidRPr="0096524F">
        <w:t xml:space="preserve"> </w:t>
      </w:r>
      <w:r w:rsidRPr="0096524F">
        <w:t>2d 463, 476 (S.D.N.Y.</w:t>
      </w:r>
      <w:r w:rsidRPr="0096524F">
        <w:t xml:space="preserve"> </w:t>
      </w:r>
      <w:r w:rsidRPr="0096524F">
        <w:t xml:space="preserve">2008), </w:t>
      </w:r>
      <w:r w:rsidRPr="0096524F">
        <w:rPr>
          <w:i/>
        </w:rPr>
        <w:t>aff’d,</w:t>
      </w:r>
      <w:r w:rsidRPr="0096524F">
        <w:t xml:space="preserve"> 600 F.3d 93, 94 USPQ2d 1188 (2d Cir.), </w:t>
      </w:r>
      <w:r w:rsidRPr="0096524F">
        <w:rPr>
          <w:i/>
        </w:rPr>
        <w:t>cert</w:t>
      </w:r>
      <w:r w:rsidRPr="0096524F">
        <w:t>.</w:t>
      </w:r>
      <w:r w:rsidRPr="0096524F">
        <w:t xml:space="preserve"> </w:t>
      </w:r>
      <w:r w:rsidRPr="0096524F">
        <w:rPr>
          <w:i/>
        </w:rPr>
        <w:t>denied</w:t>
      </w:r>
      <w:r w:rsidRPr="0096524F">
        <w:t>, 131 S.</w:t>
      </w:r>
      <w:r w:rsidRPr="0096524F">
        <w:t xml:space="preserve"> </w:t>
      </w:r>
      <w:r w:rsidRPr="0096524F">
        <w:t>Ct.</w:t>
      </w:r>
      <w:r w:rsidRPr="0096524F">
        <w:t xml:space="preserve"> </w:t>
      </w:r>
      <w:r w:rsidRPr="0096524F">
        <w:t>647 (2010), the court noted the lack of precedent for a contributory dilution claim.</w:t>
      </w:r>
      <w:r w:rsidRPr="0096524F">
        <w:t xml:space="preserve"> </w:t>
      </w:r>
      <w:r w:rsidRPr="0096524F">
        <w:t xml:space="preserve">In </w:t>
      </w:r>
      <w:r w:rsidRPr="0096524F">
        <w:rPr>
          <w:i/>
        </w:rPr>
        <w:t>Google, Inc</w:t>
      </w:r>
      <w:r w:rsidRPr="0096524F">
        <w:t>.</w:t>
      </w:r>
      <w:r w:rsidRPr="0096524F">
        <w:t xml:space="preserve"> </w:t>
      </w:r>
      <w:r w:rsidRPr="0096524F">
        <w:rPr>
          <w:i/>
        </w:rPr>
        <w:t>v</w:t>
      </w:r>
      <w:r w:rsidRPr="0096524F">
        <w:t>.</w:t>
      </w:r>
      <w:r w:rsidRPr="0096524F">
        <w:t xml:space="preserve"> </w:t>
      </w:r>
      <w:r w:rsidRPr="0096524F">
        <w:rPr>
          <w:i/>
        </w:rPr>
        <w:t>American Blind &amp; Wallpaper Factory, Inc</w:t>
      </w:r>
      <w:r w:rsidRPr="0096524F">
        <w:t>., 74 USPQ2d 1385, 1394 (N.D.</w:t>
      </w:r>
      <w:r w:rsidRPr="0096524F">
        <w:t xml:space="preserve"> </w:t>
      </w:r>
      <w:r w:rsidRPr="0096524F">
        <w:t>Cal.</w:t>
      </w:r>
      <w:r w:rsidRPr="0096524F">
        <w:t xml:space="preserve"> </w:t>
      </w:r>
      <w:r w:rsidRPr="0096524F">
        <w:t>2005), the court denied a motion to dismiss contributory dilution claims under federal and state law, without any discussion of the theoretical legitimacy of such claims.</w:t>
      </w:r>
      <w:r w:rsidRPr="0096524F">
        <w:t xml:space="preserve"> </w:t>
      </w:r>
      <w:r w:rsidRPr="0096524F">
        <w:t>However, the court designated this opinion as non-precedential.</w:t>
      </w:r>
    </w:p>
  </w:footnote>
  <w:footnote w:id="735">
    <w:p w14:paraId="770A02E6" w14:textId="0ADBD292" w:rsidR="0096524F" w:rsidRPr="00EB11B3" w:rsidRDefault="0096524F" w:rsidP="0096524F">
      <w:pPr>
        <w:pStyle w:val="FootnoteText"/>
      </w:pPr>
      <w:r w:rsidRPr="0096524F">
        <w:rPr>
          <w:vertAlign w:val="superscript"/>
        </w:rPr>
        <w:footnoteRef/>
      </w:r>
      <w:r w:rsidRPr="0096524F">
        <w:t>Lockheed Martin Corp.</w:t>
      </w:r>
      <w:r w:rsidRPr="0096524F">
        <w:t xml:space="preserve"> </w:t>
      </w:r>
      <w:r w:rsidRPr="0096524F">
        <w:t>v.</w:t>
      </w:r>
      <w:r w:rsidRPr="0096524F">
        <w:t xml:space="preserve"> </w:t>
      </w:r>
      <w:r w:rsidRPr="0096524F">
        <w:t>Network Solutions, Inc., 175 F.R.D.</w:t>
      </w:r>
      <w:r w:rsidRPr="0096524F">
        <w:t xml:space="preserve"> </w:t>
      </w:r>
      <w:r w:rsidRPr="0096524F">
        <w:t>640, 645–46, 44 USPQ2d 1521 (C.D.</w:t>
      </w:r>
      <w:r w:rsidRPr="0096524F">
        <w:t xml:space="preserve"> </w:t>
      </w:r>
      <w:r w:rsidRPr="0096524F">
        <w:t>Cal.</w:t>
      </w:r>
      <w:r w:rsidRPr="0096524F">
        <w:t xml:space="preserve"> </w:t>
      </w:r>
      <w:r w:rsidRPr="0096524F">
        <w:t xml:space="preserve">1997), </w:t>
      </w:r>
      <w:r w:rsidRPr="0096524F">
        <w:rPr>
          <w:i/>
        </w:rPr>
        <w:t>aff’d,</w:t>
      </w:r>
      <w:r w:rsidRPr="0096524F">
        <w:t xml:space="preserve"> 194 F.3d 980, 52 USPQ2d 1481 (9th Cir.</w:t>
      </w:r>
      <w:r w:rsidRPr="0096524F">
        <w:t xml:space="preserve"> </w:t>
      </w:r>
      <w:r w:rsidRPr="0096524F">
        <w:t>1999).</w:t>
      </w:r>
    </w:p>
  </w:footnote>
  <w:footnote w:id="736">
    <w:p w14:paraId="2649779F" w14:textId="120E5CDB" w:rsidR="0096524F" w:rsidRPr="00EB11B3" w:rsidRDefault="0096524F" w:rsidP="0096524F">
      <w:pPr>
        <w:pStyle w:val="FootnoteText"/>
      </w:pPr>
      <w:r w:rsidRPr="0096524F">
        <w:rPr>
          <w:vertAlign w:val="superscript"/>
        </w:rPr>
        <w:footnoteRef/>
      </w:r>
      <w:r w:rsidRPr="0096524F">
        <w:t>576 F.</w:t>
      </w:r>
      <w:r w:rsidRPr="0096524F">
        <w:t xml:space="preserve"> </w:t>
      </w:r>
      <w:r w:rsidRPr="0096524F">
        <w:t>Supp.</w:t>
      </w:r>
      <w:r w:rsidRPr="0096524F">
        <w:t xml:space="preserve"> </w:t>
      </w:r>
      <w:r w:rsidRPr="0096524F">
        <w:t>2d 463 (S.D.N.Y.</w:t>
      </w:r>
      <w:r w:rsidRPr="0096524F">
        <w:t xml:space="preserve"> </w:t>
      </w:r>
      <w:r w:rsidRPr="0096524F">
        <w:t xml:space="preserve">2008), </w:t>
      </w:r>
      <w:r w:rsidRPr="0096524F">
        <w:rPr>
          <w:i/>
        </w:rPr>
        <w:t>aff’d</w:t>
      </w:r>
      <w:r w:rsidRPr="0096524F">
        <w:t xml:space="preserve">, 600 F.3d 93, 112, 94 USPQ2d 1188 (2d Cir.), </w:t>
      </w:r>
      <w:r w:rsidRPr="0096524F">
        <w:rPr>
          <w:i/>
        </w:rPr>
        <w:t>cert</w:t>
      </w:r>
      <w:r w:rsidRPr="0096524F">
        <w:t>.</w:t>
      </w:r>
      <w:r w:rsidRPr="0096524F">
        <w:t xml:space="preserve"> </w:t>
      </w:r>
      <w:r w:rsidRPr="0096524F">
        <w:rPr>
          <w:i/>
        </w:rPr>
        <w:t>denied</w:t>
      </w:r>
      <w:r w:rsidRPr="0096524F">
        <w:t>, 131 S.</w:t>
      </w:r>
      <w:r w:rsidRPr="0096524F">
        <w:t xml:space="preserve"> </w:t>
      </w:r>
      <w:r w:rsidRPr="0096524F">
        <w:t>Ct.</w:t>
      </w:r>
      <w:r w:rsidRPr="0096524F">
        <w:t xml:space="preserve"> </w:t>
      </w:r>
      <w:r w:rsidRPr="0096524F">
        <w:t>647 (2010).</w:t>
      </w:r>
    </w:p>
  </w:footnote>
  <w:footnote w:id="737">
    <w:p w14:paraId="5C56B479" w14:textId="4C0CF77A"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526.</w:t>
      </w:r>
    </w:p>
  </w:footnote>
  <w:footnote w:id="738">
    <w:p w14:paraId="63260285" w14:textId="287EECD2" w:rsidR="0096524F" w:rsidRPr="00EB11B3" w:rsidRDefault="0096524F" w:rsidP="0096524F">
      <w:pPr>
        <w:pStyle w:val="FootnoteText"/>
      </w:pPr>
      <w:r w:rsidRPr="0096524F">
        <w:rPr>
          <w:vertAlign w:val="superscript"/>
        </w:rPr>
        <w:footnoteRef/>
      </w:r>
      <w:r w:rsidRPr="0096524F">
        <w:rPr>
          <w:i/>
        </w:rPr>
        <w:t>Id</w:t>
      </w:r>
      <w:r w:rsidRPr="0096524F">
        <w:t>.</w:t>
      </w:r>
    </w:p>
  </w:footnote>
  <w:footnote w:id="739">
    <w:p w14:paraId="31DF391F" w14:textId="1BD27989" w:rsidR="0096524F" w:rsidRPr="00EB11B3" w:rsidRDefault="0096524F" w:rsidP="0096524F">
      <w:pPr>
        <w:pStyle w:val="FootnoteText"/>
      </w:pPr>
      <w:r w:rsidRPr="0096524F">
        <w:rPr>
          <w:vertAlign w:val="superscript"/>
        </w:rPr>
        <w:footnoteRef/>
      </w:r>
      <w:r w:rsidRPr="0096524F">
        <w:t>600 F.3d 93, 112, 94 USPQ2d 1188 (2d Cir.</w:t>
      </w:r>
      <w:r w:rsidRPr="0096524F">
        <w:t xml:space="preserve"> </w:t>
      </w:r>
      <w:r w:rsidRPr="0096524F">
        <w:t>2010) (noting that eBay dropped its contributory dilution claim on appeal, but that it would fail in any event).</w:t>
      </w:r>
    </w:p>
  </w:footnote>
  <w:footnote w:id="740">
    <w:p w14:paraId="7A296F04" w14:textId="5B936F68" w:rsidR="0096524F" w:rsidRPr="00EB11B3" w:rsidRDefault="0096524F" w:rsidP="0096524F">
      <w:pPr>
        <w:pStyle w:val="FootnoteText"/>
      </w:pPr>
      <w:r w:rsidRPr="0096524F">
        <w:rPr>
          <w:vertAlign w:val="superscript"/>
        </w:rPr>
        <w:footnoteRef/>
      </w:r>
      <w:r w:rsidRPr="0096524F">
        <w:rPr>
          <w:i/>
        </w:rPr>
        <w:t>Compare Lockheed Martin,</w:t>
      </w:r>
      <w:r w:rsidRPr="0096524F">
        <w:t xml:space="preserve"> 175 F.R.D.</w:t>
      </w:r>
      <w:r w:rsidRPr="0096524F">
        <w:t xml:space="preserve"> </w:t>
      </w:r>
      <w:r w:rsidRPr="0096524F">
        <w:t xml:space="preserve">at 645–46 (refusing to allow an amendment adding a contributory dilution claim on grounds that it was futile) </w:t>
      </w:r>
      <w:r w:rsidRPr="0096524F">
        <w:rPr>
          <w:i/>
        </w:rPr>
        <w:t>and</w:t>
      </w:r>
      <w:r w:rsidRPr="0096524F">
        <w:t xml:space="preserve"> </w:t>
      </w:r>
      <w:r w:rsidRPr="0096524F">
        <w:rPr>
          <w:i/>
        </w:rPr>
        <w:t>Academy of Motion Picture Arts,</w:t>
      </w:r>
      <w:r w:rsidRPr="0096524F">
        <w:t xml:space="preserve"> 989 F.</w:t>
      </w:r>
      <w:r w:rsidRPr="0096524F">
        <w:t xml:space="preserve"> </w:t>
      </w:r>
      <w:r w:rsidRPr="0096524F">
        <w:t>Supp.</w:t>
      </w:r>
      <w:r w:rsidRPr="0096524F">
        <w:t xml:space="preserve"> </w:t>
      </w:r>
      <w:r w:rsidRPr="0096524F">
        <w:t xml:space="preserve">at 1279 (finding no indication that contributory dilution is actionable under California law), </w:t>
      </w:r>
      <w:r w:rsidRPr="0096524F">
        <w:rPr>
          <w:i/>
        </w:rPr>
        <w:t>with</w:t>
      </w:r>
      <w:r w:rsidRPr="0096524F">
        <w:t xml:space="preserve"> Kegan v.</w:t>
      </w:r>
      <w:r w:rsidRPr="0096524F">
        <w:t xml:space="preserve"> </w:t>
      </w:r>
      <w:r w:rsidRPr="0096524F">
        <w:t>Apple Computer, Inc., 42 USPQ2d 1053, 1062 (N.D.</w:t>
      </w:r>
      <w:r w:rsidRPr="0096524F">
        <w:t xml:space="preserve"> </w:t>
      </w:r>
      <w:r w:rsidRPr="0096524F">
        <w:t>Ill.</w:t>
      </w:r>
      <w:r w:rsidRPr="0096524F">
        <w:t xml:space="preserve"> </w:t>
      </w:r>
      <w:r w:rsidRPr="0096524F">
        <w:t>1996).</w:t>
      </w:r>
      <w:r w:rsidRPr="0096524F">
        <w:t xml:space="preserve"> </w:t>
      </w:r>
      <w:r w:rsidRPr="0096524F">
        <w:rPr>
          <w:i/>
        </w:rPr>
        <w:t>See</w:t>
      </w:r>
      <w:r w:rsidRPr="0096524F">
        <w:t xml:space="preserve"> Chapter 3, §IV.F.</w:t>
      </w:r>
    </w:p>
  </w:footnote>
  <w:footnote w:id="741">
    <w:p w14:paraId="44BB5B9F" w14:textId="2A75BAB4" w:rsidR="0096524F" w:rsidRPr="00EB11B3" w:rsidRDefault="0096524F" w:rsidP="0096524F">
      <w:pPr>
        <w:pStyle w:val="FootnoteText"/>
      </w:pPr>
      <w:r w:rsidRPr="0096524F">
        <w:rPr>
          <w:vertAlign w:val="superscript"/>
        </w:rPr>
        <w:footnoteRef/>
      </w:r>
      <w:r w:rsidRPr="0096524F">
        <w:t>42 USPQ2d 1053 (N.D.</w:t>
      </w:r>
      <w:r w:rsidRPr="0096524F">
        <w:t xml:space="preserve"> </w:t>
      </w:r>
      <w:r w:rsidRPr="0096524F">
        <w:t>Ill.</w:t>
      </w:r>
      <w:r w:rsidRPr="0096524F">
        <w:t xml:space="preserve"> </w:t>
      </w:r>
      <w:r w:rsidRPr="0096524F">
        <w:t>1996).</w:t>
      </w:r>
    </w:p>
  </w:footnote>
  <w:footnote w:id="742">
    <w:p w14:paraId="7062FB56" w14:textId="4225D188"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1054–55.</w:t>
      </w:r>
    </w:p>
  </w:footnote>
  <w:footnote w:id="743">
    <w:p w14:paraId="0EAFB8DA" w14:textId="3FE425B3"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1055.</w:t>
      </w:r>
    </w:p>
  </w:footnote>
  <w:footnote w:id="744">
    <w:p w14:paraId="1F534D41" w14:textId="2E870EF5"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1062.</w:t>
      </w:r>
    </w:p>
  </w:footnote>
  <w:footnote w:id="745">
    <w:p w14:paraId="2E2223C5" w14:textId="4CDAFFFE" w:rsidR="0096524F" w:rsidRPr="00EB11B3" w:rsidRDefault="0096524F" w:rsidP="0096524F">
      <w:pPr>
        <w:pStyle w:val="FootnoteText"/>
      </w:pPr>
      <w:r w:rsidRPr="0096524F">
        <w:rPr>
          <w:vertAlign w:val="superscript"/>
        </w:rPr>
        <w:footnoteRef/>
      </w:r>
      <w:r w:rsidRPr="0096524F">
        <w:t>Ironically, the former Illinois law, worded like the current one in Georgia, contained language that could be used to argue against the existence of such a claim.</w:t>
      </w:r>
    </w:p>
  </w:footnote>
  <w:footnote w:id="746">
    <w:p w14:paraId="008209CD" w14:textId="7427B08E" w:rsidR="0096524F" w:rsidRPr="00EB11B3" w:rsidRDefault="0096524F" w:rsidP="0096524F">
      <w:pPr>
        <w:pStyle w:val="FootnoteText"/>
      </w:pPr>
      <w:r w:rsidRPr="0096524F">
        <w:rPr>
          <w:vertAlign w:val="superscript"/>
        </w:rPr>
        <w:footnoteRef/>
      </w:r>
      <w:r w:rsidRPr="0096524F">
        <w:t>Steinway, Inc.</w:t>
      </w:r>
      <w:r w:rsidRPr="0096524F">
        <w:t xml:space="preserve"> </w:t>
      </w:r>
      <w:r w:rsidRPr="0096524F">
        <w:t>v.</w:t>
      </w:r>
      <w:r w:rsidRPr="0096524F">
        <w:t xml:space="preserve"> </w:t>
      </w:r>
      <w:r w:rsidRPr="0096524F">
        <w:t>Ashley, 2002 WL 122929, at *2 (S.D.N.Y.</w:t>
      </w:r>
      <w:r w:rsidRPr="0096524F">
        <w:t xml:space="preserve"> </w:t>
      </w:r>
      <w:r w:rsidRPr="0096524F">
        <w:t>Jan.</w:t>
      </w:r>
      <w:r w:rsidRPr="0096524F">
        <w:t xml:space="preserve"> </w:t>
      </w:r>
      <w:r w:rsidRPr="0096524F">
        <w:t>29, 2002).</w:t>
      </w:r>
    </w:p>
  </w:footnote>
  <w:footnote w:id="747">
    <w:p w14:paraId="220B3E2B" w14:textId="04DD95F1" w:rsidR="0096524F" w:rsidRPr="00EB11B3" w:rsidRDefault="0096524F" w:rsidP="0096524F">
      <w:pPr>
        <w:pStyle w:val="FootnoteText"/>
      </w:pPr>
      <w:r w:rsidRPr="0096524F">
        <w:rPr>
          <w:vertAlign w:val="superscript"/>
        </w:rPr>
        <w:footnoteRef/>
      </w:r>
      <w:r w:rsidRPr="0096524F">
        <w:t>Coach, Inc.</w:t>
      </w:r>
      <w:r w:rsidRPr="0096524F">
        <w:t xml:space="preserve"> </w:t>
      </w:r>
      <w:r w:rsidRPr="0096524F">
        <w:t>v.</w:t>
      </w:r>
      <w:r w:rsidRPr="0096524F">
        <w:t xml:space="preserve"> </w:t>
      </w:r>
      <w:r w:rsidRPr="0096524F">
        <w:t>Gata Corp.</w:t>
      </w:r>
      <w:r w:rsidRPr="0096524F">
        <w:t xml:space="preserve"> </w:t>
      </w:r>
      <w:r w:rsidRPr="0096524F">
        <w:t>98 USPQ2d 1911, 1915 (D.N.H.</w:t>
      </w:r>
      <w:r w:rsidRPr="0096524F">
        <w:t xml:space="preserve"> </w:t>
      </w:r>
      <w:r w:rsidRPr="0096524F">
        <w:t>2011).</w:t>
      </w:r>
      <w:r w:rsidRPr="0096524F">
        <w:t xml:space="preserve"> </w:t>
      </w:r>
      <w:r w:rsidRPr="0096524F">
        <w:t xml:space="preserve">The court did not discuss the skeptical language in </w:t>
      </w:r>
      <w:r w:rsidRPr="0096524F">
        <w:rPr>
          <w:i/>
        </w:rPr>
        <w:t>Tiffany</w:t>
      </w:r>
      <w:r w:rsidRPr="0096524F">
        <w:t xml:space="preserve"> about the existence of such a claim.</w:t>
      </w:r>
      <w:r w:rsidRPr="0096524F">
        <w:t xml:space="preserve"> </w:t>
      </w:r>
      <w:r w:rsidRPr="0096524F">
        <w:rPr>
          <w:i/>
        </w:rPr>
        <w:t>Accord</w:t>
      </w:r>
      <w:r w:rsidRPr="0096524F">
        <w:t xml:space="preserve"> Energizer Brands, LLC v.</w:t>
      </w:r>
      <w:r w:rsidRPr="0096524F">
        <w:t xml:space="preserve"> </w:t>
      </w:r>
      <w:r w:rsidRPr="0096524F">
        <w:t>Procter &amp; Gamble Co., 2016 WL 2894708, at *4 (E.D.</w:t>
      </w:r>
      <w:r w:rsidRPr="0096524F">
        <w:t xml:space="preserve"> </w:t>
      </w:r>
      <w:r w:rsidRPr="0096524F">
        <w:t>Mo.</w:t>
      </w:r>
      <w:r w:rsidRPr="0096524F">
        <w:t xml:space="preserve"> </w:t>
      </w:r>
      <w:r w:rsidRPr="0096524F">
        <w:t>May 18, 2016) (citing cases permitting contributory dilution claims);</w:t>
      </w:r>
      <w:r w:rsidRPr="0096524F">
        <w:t xml:space="preserve"> </w:t>
      </w:r>
      <w:r w:rsidRPr="0096524F">
        <w:t>Coach, Inc.</w:t>
      </w:r>
      <w:r w:rsidRPr="0096524F">
        <w:t xml:space="preserve"> </w:t>
      </w:r>
      <w:r w:rsidRPr="0096524F">
        <w:t>v.</w:t>
      </w:r>
      <w:r w:rsidRPr="0096524F">
        <w:t xml:space="preserve"> </w:t>
      </w:r>
      <w:r w:rsidRPr="0096524F">
        <w:t>Sapatis, 994 F.</w:t>
      </w:r>
      <w:r w:rsidRPr="0096524F">
        <w:t xml:space="preserve"> </w:t>
      </w:r>
      <w:r w:rsidRPr="0096524F">
        <w:t>Supp.</w:t>
      </w:r>
      <w:r w:rsidRPr="0096524F">
        <w:t xml:space="preserve"> </w:t>
      </w:r>
      <w:r w:rsidRPr="0096524F">
        <w:t>2d 192, 201–02, 109 USPQ2d 2117, 2125 (D.N.H.</w:t>
      </w:r>
      <w:r w:rsidRPr="0096524F">
        <w:t xml:space="preserve"> </w:t>
      </w:r>
      <w:r w:rsidRPr="0096524F">
        <w:t>2014) (parties did not contest existence of such a claim);</w:t>
      </w:r>
      <w:r w:rsidRPr="0096524F">
        <w:t xml:space="preserve"> </w:t>
      </w:r>
      <w:r w:rsidRPr="0096524F">
        <w:t>Coach, Inc.</w:t>
      </w:r>
      <w:r w:rsidRPr="0096524F">
        <w:t xml:space="preserve"> </w:t>
      </w:r>
      <w:r w:rsidRPr="0096524F">
        <w:t>v.</w:t>
      </w:r>
      <w:r w:rsidRPr="0096524F">
        <w:t xml:space="preserve"> </w:t>
      </w:r>
      <w:r w:rsidRPr="0096524F">
        <w:t>Farmers Mkt.</w:t>
      </w:r>
      <w:r w:rsidRPr="0096524F">
        <w:t xml:space="preserve"> </w:t>
      </w:r>
      <w:r w:rsidRPr="0096524F">
        <w:t>&amp; Auction, 881 F.</w:t>
      </w:r>
      <w:r w:rsidRPr="0096524F">
        <w:t xml:space="preserve"> </w:t>
      </w:r>
      <w:r w:rsidRPr="0096524F">
        <w:t>Supp.</w:t>
      </w:r>
      <w:r w:rsidRPr="0096524F">
        <w:t xml:space="preserve"> </w:t>
      </w:r>
      <w:r w:rsidRPr="0096524F">
        <w:t>2d 695, 705–06 (D.</w:t>
      </w:r>
      <w:r w:rsidRPr="0096524F">
        <w:t xml:space="preserve"> </w:t>
      </w:r>
      <w:r w:rsidRPr="0096524F">
        <w:t>Md.</w:t>
      </w:r>
      <w:r w:rsidRPr="0096524F">
        <w:t xml:space="preserve"> </w:t>
      </w:r>
      <w:r w:rsidRPr="0096524F">
        <w:t>2012);Microsoft Corp.</w:t>
      </w:r>
      <w:r w:rsidRPr="0096524F">
        <w:t xml:space="preserve"> </w:t>
      </w:r>
      <w:r w:rsidRPr="0096524F">
        <w:t>v.</w:t>
      </w:r>
      <w:r w:rsidRPr="0096524F">
        <w:t xml:space="preserve"> </w:t>
      </w:r>
      <w:r w:rsidRPr="0096524F">
        <w:t>Shah, 98 USPQ2d 1404, 1408 (W.D.</w:t>
      </w:r>
      <w:r w:rsidRPr="0096524F">
        <w:t xml:space="preserve"> </w:t>
      </w:r>
      <w:r w:rsidRPr="0096524F">
        <w:t>Wash.</w:t>
      </w:r>
      <w:r w:rsidRPr="0096524F">
        <w:t xml:space="preserve"> </w:t>
      </w:r>
      <w:r w:rsidRPr="0096524F">
        <w:t>2011) (allowing such a claim to continue, the court stated:</w:t>
      </w:r>
      <w:r w:rsidRPr="0096524F">
        <w:t xml:space="preserve"> </w:t>
      </w:r>
      <w:r w:rsidRPr="0096524F">
        <w:t>“It would be inconsistent with the Trademark Dilution Act to prohibit a cause of action for contributory dilution.”).</w:t>
      </w:r>
    </w:p>
  </w:footnote>
  <w:footnote w:id="748">
    <w:p w14:paraId="458D5E37" w14:textId="6F332370" w:rsidR="0096524F" w:rsidRPr="0096524F" w:rsidRDefault="0096524F" w:rsidP="0096524F">
      <w:pPr>
        <w:pStyle w:val="FootnoteText"/>
      </w:pPr>
      <w:r w:rsidRPr="0096524F">
        <w:rPr>
          <w:vertAlign w:val="superscript"/>
        </w:rPr>
        <w:footnoteRef/>
      </w:r>
      <w:r w:rsidRPr="0096524F">
        <w:t>Coach, Inc.</w:t>
      </w:r>
      <w:r w:rsidRPr="0096524F">
        <w:t xml:space="preserve"> </w:t>
      </w:r>
      <w:r w:rsidRPr="0096524F">
        <w:t>v.</w:t>
      </w:r>
      <w:r w:rsidRPr="0096524F">
        <w:t xml:space="preserve"> </w:t>
      </w:r>
      <w:r w:rsidRPr="0096524F">
        <w:t>Farmer’s Mkt.</w:t>
      </w:r>
      <w:r w:rsidRPr="0096524F">
        <w:t xml:space="preserve"> </w:t>
      </w:r>
      <w:r w:rsidRPr="0096524F">
        <w:t>&amp; Auction, 881 F.</w:t>
      </w:r>
      <w:r w:rsidRPr="0096524F">
        <w:t xml:space="preserve"> </w:t>
      </w:r>
      <w:r w:rsidRPr="0096524F">
        <w:t>Supp.</w:t>
      </w:r>
      <w:r w:rsidRPr="0096524F">
        <w:t xml:space="preserve"> </w:t>
      </w:r>
      <w:r w:rsidRPr="0096524F">
        <w:t>2d 695, 705–06 (D.</w:t>
      </w:r>
      <w:r w:rsidRPr="0096524F">
        <w:t xml:space="preserve"> </w:t>
      </w:r>
      <w:r w:rsidRPr="0096524F">
        <w:t>Md.</w:t>
      </w:r>
      <w:r w:rsidRPr="0096524F">
        <w:t xml:space="preserve"> </w:t>
      </w:r>
      <w:r w:rsidRPr="0096524F">
        <w:t>2012).</w:t>
      </w:r>
    </w:p>
    <w:p w14:paraId="5B64343A" w14:textId="77777777" w:rsidR="0096524F" w:rsidRPr="00882ED4" w:rsidRDefault="0096524F" w:rsidP="00D758BD">
      <w:pPr>
        <w:pStyle w:val="footnote"/>
        <w:rPr>
          <w:lang w:val="fr-FR"/>
        </w:rPr>
      </w:pPr>
    </w:p>
  </w:footnote>
  <w:footnote w:id="749">
    <w:p w14:paraId="4B66977A" w14:textId="2F5C5549" w:rsidR="0096524F" w:rsidRPr="0096524F" w:rsidRDefault="0096524F" w:rsidP="0096524F">
      <w:pPr>
        <w:pStyle w:val="FootnoteText"/>
      </w:pPr>
      <w:r w:rsidRPr="0096524F">
        <w:rPr>
          <w:vertAlign w:val="superscript"/>
        </w:rPr>
        <w:footnoteRef/>
      </w:r>
      <w:r w:rsidRPr="0096524F">
        <w:t>Coach, Inc.</w:t>
      </w:r>
      <w:r w:rsidRPr="0096524F">
        <w:t xml:space="preserve"> </w:t>
      </w:r>
      <w:r w:rsidRPr="0096524F">
        <w:t>v.</w:t>
      </w:r>
      <w:r w:rsidRPr="0096524F">
        <w:t xml:space="preserve"> </w:t>
      </w:r>
      <w:r w:rsidRPr="0096524F">
        <w:t>Swap Shop, Inc., 2012 WL 12887010, at *6 (S.D.</w:t>
      </w:r>
      <w:r w:rsidRPr="0096524F">
        <w:t xml:space="preserve"> </w:t>
      </w:r>
      <w:r w:rsidRPr="0096524F">
        <w:t>Fla.</w:t>
      </w:r>
      <w:r w:rsidRPr="0096524F">
        <w:t xml:space="preserve"> </w:t>
      </w:r>
      <w:r w:rsidRPr="0096524F">
        <w:t>Sept.</w:t>
      </w:r>
      <w:r w:rsidRPr="0096524F">
        <w:t xml:space="preserve"> </w:t>
      </w:r>
      <w:r w:rsidRPr="0096524F">
        <w:t>21, 2012).</w:t>
      </w:r>
    </w:p>
    <w:p w14:paraId="39CDEF60" w14:textId="77777777" w:rsidR="0096524F" w:rsidRDefault="0096524F" w:rsidP="00D758BD">
      <w:pPr>
        <w:pStyle w:val="footnote"/>
      </w:pPr>
    </w:p>
  </w:footnote>
  <w:footnote w:id="750">
    <w:p w14:paraId="6A04F4D4" w14:textId="4D609882" w:rsidR="0096524F" w:rsidRPr="002C5868" w:rsidRDefault="0096524F" w:rsidP="0096524F">
      <w:pPr>
        <w:pStyle w:val="FootnoteText"/>
      </w:pPr>
      <w:r w:rsidRPr="0096524F">
        <w:rPr>
          <w:vertAlign w:val="superscript"/>
        </w:rPr>
        <w:footnoteRef/>
      </w:r>
      <w:r w:rsidRPr="0096524F">
        <w:rPr>
          <w:i/>
        </w:rPr>
        <w:t>Id.</w:t>
      </w:r>
      <w:r w:rsidRPr="0096524F">
        <w:rPr>
          <w:i/>
        </w:rPr>
        <w:t xml:space="preserve"> </w:t>
      </w:r>
      <w:r w:rsidRPr="0096524F">
        <w:t>at *7.</w:t>
      </w:r>
      <w:r w:rsidRPr="0096524F">
        <w:t xml:space="preserve"> </w:t>
      </w:r>
      <w:r w:rsidRPr="0096524F">
        <w:rPr>
          <w:i/>
        </w:rPr>
        <w:t>See</w:t>
      </w:r>
      <w:r w:rsidRPr="0096524F">
        <w:t xml:space="preserve"> Dentsply Sirona Inc.</w:t>
      </w:r>
      <w:r w:rsidRPr="0096524F">
        <w:t xml:space="preserve"> </w:t>
      </w:r>
      <w:r w:rsidRPr="0096524F">
        <w:t>v.</w:t>
      </w:r>
      <w:r w:rsidRPr="0096524F">
        <w:t xml:space="preserve"> </w:t>
      </w:r>
      <w:r w:rsidRPr="0096524F">
        <w:t>Net32, Inc., 2018 WL 3473973, at *3 (M.D.</w:t>
      </w:r>
      <w:r w:rsidRPr="0096524F">
        <w:t xml:space="preserve"> </w:t>
      </w:r>
      <w:r w:rsidRPr="0096524F">
        <w:t>Pa.</w:t>
      </w:r>
      <w:r w:rsidRPr="0096524F">
        <w:t xml:space="preserve"> </w:t>
      </w:r>
      <w:r w:rsidRPr="0096524F">
        <w:t>July 19, 2018) (defendant’s sale of plaintiff’s products at a discount not actionable absent evidence of material differences in the products).</w:t>
      </w:r>
    </w:p>
  </w:footnote>
  <w:footnote w:id="751">
    <w:p w14:paraId="477A94EA" w14:textId="7048DE19" w:rsidR="0096524F" w:rsidRPr="00EB11B3" w:rsidRDefault="0096524F" w:rsidP="0096524F">
      <w:pPr>
        <w:pStyle w:val="FootnoteText"/>
      </w:pPr>
      <w:r w:rsidRPr="0096524F">
        <w:rPr>
          <w:vertAlign w:val="superscript"/>
        </w:rPr>
        <w:footnoteRef/>
      </w:r>
      <w:r w:rsidRPr="0096524F">
        <w:t>989 F.</w:t>
      </w:r>
      <w:r w:rsidRPr="0096524F">
        <w:t xml:space="preserve"> </w:t>
      </w:r>
      <w:r w:rsidRPr="0096524F">
        <w:t>Supp.</w:t>
      </w:r>
      <w:r w:rsidRPr="0096524F">
        <w:t xml:space="preserve"> </w:t>
      </w:r>
      <w:r w:rsidRPr="0096524F">
        <w:t>1276, 1279 (C.D.</w:t>
      </w:r>
      <w:r w:rsidRPr="0096524F">
        <w:t xml:space="preserve"> </w:t>
      </w:r>
      <w:r w:rsidRPr="0096524F">
        <w:t>Cal.</w:t>
      </w:r>
      <w:r w:rsidRPr="0096524F">
        <w:t xml:space="preserve"> </w:t>
      </w:r>
      <w:r w:rsidRPr="0096524F">
        <w:t>1997).</w:t>
      </w:r>
    </w:p>
  </w:footnote>
  <w:footnote w:id="752">
    <w:p w14:paraId="1AD7A114" w14:textId="6ACA9166" w:rsidR="0096524F" w:rsidRPr="00EB11B3" w:rsidRDefault="0096524F" w:rsidP="0096524F">
      <w:pPr>
        <w:pStyle w:val="FootnoteText"/>
      </w:pPr>
      <w:r w:rsidRPr="0096524F">
        <w:rPr>
          <w:vertAlign w:val="superscript"/>
        </w:rPr>
        <w:footnoteRef/>
      </w:r>
      <w:r w:rsidRPr="0096524F">
        <w:t>Fare Deals Ltd.</w:t>
      </w:r>
      <w:r w:rsidRPr="0096524F">
        <w:t xml:space="preserve"> </w:t>
      </w:r>
      <w:r w:rsidRPr="0096524F">
        <w:t>v.</w:t>
      </w:r>
      <w:r w:rsidRPr="0096524F">
        <w:t xml:space="preserve"> </w:t>
      </w:r>
      <w:r w:rsidRPr="0096524F">
        <w:t>World Choice Travel.com, Inc., 180 F.</w:t>
      </w:r>
      <w:r w:rsidRPr="0096524F">
        <w:t xml:space="preserve"> </w:t>
      </w:r>
      <w:r w:rsidRPr="0096524F">
        <w:t>Supp.</w:t>
      </w:r>
      <w:r w:rsidRPr="0096524F">
        <w:t xml:space="preserve"> </w:t>
      </w:r>
      <w:r w:rsidRPr="0096524F">
        <w:t>2d 678, 696–97 (D.</w:t>
      </w:r>
      <w:r w:rsidRPr="0096524F">
        <w:t xml:space="preserve"> </w:t>
      </w:r>
      <w:r w:rsidRPr="0096524F">
        <w:t>Md.</w:t>
      </w:r>
      <w:r w:rsidRPr="0096524F">
        <w:t xml:space="preserve"> </w:t>
      </w:r>
      <w:r w:rsidRPr="0096524F">
        <w:t>2001) (analyzing infringement and dilution claims together).</w:t>
      </w:r>
    </w:p>
  </w:footnote>
  <w:footnote w:id="753">
    <w:p w14:paraId="1BAE3E08" w14:textId="27EB1231" w:rsidR="0096524F" w:rsidRPr="00EB11B3" w:rsidRDefault="0096524F" w:rsidP="0096524F">
      <w:pPr>
        <w:pStyle w:val="FootnoteText"/>
      </w:pPr>
      <w:r w:rsidRPr="0096524F">
        <w:rPr>
          <w:vertAlign w:val="superscript"/>
        </w:rPr>
        <w:footnoteRef/>
      </w:r>
      <w:r w:rsidRPr="0096524F">
        <w:t>Lockheed Martin Corp.</w:t>
      </w:r>
      <w:r w:rsidRPr="0096524F">
        <w:t xml:space="preserve"> </w:t>
      </w:r>
      <w:r w:rsidRPr="0096524F">
        <w:t>v.</w:t>
      </w:r>
      <w:r w:rsidRPr="0096524F">
        <w:t xml:space="preserve"> </w:t>
      </w:r>
      <w:r w:rsidRPr="0096524F">
        <w:t>Network Solutions, Inc., 194 F.3d 980, 986, 52 USPQ2d 1481 (9th Cir.</w:t>
      </w:r>
      <w:r w:rsidRPr="0096524F">
        <w:t xml:space="preserve"> </w:t>
      </w:r>
      <w:r w:rsidRPr="0096524F">
        <w:t>1999) (any such claim should be limited to knowingly supplying the diluting product or exercising control over its production).</w:t>
      </w:r>
    </w:p>
  </w:footnote>
  <w:footnote w:id="754">
    <w:p w14:paraId="70A13541" w14:textId="062F3B47" w:rsidR="0096524F" w:rsidRPr="00EB11B3" w:rsidRDefault="0096524F" w:rsidP="0096524F">
      <w:pPr>
        <w:pStyle w:val="FootnoteText"/>
      </w:pPr>
      <w:r w:rsidRPr="0096524F">
        <w:rPr>
          <w:vertAlign w:val="superscript"/>
        </w:rPr>
        <w:footnoteRef/>
      </w:r>
      <w:r w:rsidRPr="0096524F">
        <w:rPr>
          <w:i/>
        </w:rPr>
        <w:t>See</w:t>
      </w:r>
      <w:r w:rsidRPr="0096524F">
        <w:t xml:space="preserve"> Tiffany (NJ), Inc.</w:t>
      </w:r>
      <w:r w:rsidRPr="0096524F">
        <w:t xml:space="preserve"> </w:t>
      </w:r>
      <w:r w:rsidRPr="0096524F">
        <w:t>v.</w:t>
      </w:r>
      <w:r w:rsidRPr="0096524F">
        <w:t xml:space="preserve"> </w:t>
      </w:r>
      <w:r w:rsidRPr="0096524F">
        <w:t xml:space="preserve">eBay, Inc., 600 F.3d 93, 112, 94 USPQ2d 1188 (2d Cir.), </w:t>
      </w:r>
      <w:r w:rsidRPr="0096524F">
        <w:rPr>
          <w:i/>
        </w:rPr>
        <w:t>cert</w:t>
      </w:r>
      <w:r w:rsidRPr="0096524F">
        <w:t>.</w:t>
      </w:r>
      <w:r w:rsidRPr="0096524F">
        <w:t xml:space="preserve"> </w:t>
      </w:r>
      <w:r w:rsidRPr="0096524F">
        <w:rPr>
          <w:i/>
        </w:rPr>
        <w:t xml:space="preserve">denied, </w:t>
      </w:r>
      <w:r w:rsidRPr="0096524F">
        <w:t>131 S.</w:t>
      </w:r>
      <w:r w:rsidRPr="0096524F">
        <w:t xml:space="preserve"> </w:t>
      </w:r>
      <w:r w:rsidRPr="0096524F">
        <w:t>Ct.</w:t>
      </w:r>
      <w:r w:rsidRPr="0096524F">
        <w:t xml:space="preserve"> </w:t>
      </w:r>
      <w:r w:rsidRPr="0096524F">
        <w:t>647 (2010);</w:t>
      </w:r>
      <w:r w:rsidRPr="0096524F">
        <w:t xml:space="preserve"> </w:t>
      </w:r>
      <w:r w:rsidRPr="0096524F">
        <w:t>Lockheed Martin Corp.</w:t>
      </w:r>
      <w:r w:rsidRPr="0096524F">
        <w:t xml:space="preserve"> </w:t>
      </w:r>
      <w:r w:rsidRPr="0096524F">
        <w:t>v.</w:t>
      </w:r>
      <w:r w:rsidRPr="0096524F">
        <w:t xml:space="preserve"> </w:t>
      </w:r>
      <w:r w:rsidRPr="0096524F">
        <w:t>Network Solutions, Inc., 175 F.R.D.</w:t>
      </w:r>
      <w:r w:rsidRPr="0096524F">
        <w:t xml:space="preserve"> </w:t>
      </w:r>
      <w:r w:rsidRPr="0096524F">
        <w:t>640, 645–46, 44 USPQ2d 1521 (C.D.</w:t>
      </w:r>
      <w:r w:rsidRPr="0096524F">
        <w:t xml:space="preserve"> </w:t>
      </w:r>
      <w:r w:rsidRPr="0096524F">
        <w:t>Cal.</w:t>
      </w:r>
      <w:r w:rsidRPr="0096524F">
        <w:t xml:space="preserve"> </w:t>
      </w:r>
      <w:r w:rsidRPr="0096524F">
        <w:t xml:space="preserve">1997), </w:t>
      </w:r>
      <w:r w:rsidRPr="0096524F">
        <w:rPr>
          <w:i/>
        </w:rPr>
        <w:t>aff’d,</w:t>
      </w:r>
      <w:r w:rsidRPr="0096524F">
        <w:t xml:space="preserve"> 194 F.3d 980, 52 USPQ2d 1481 (9th Cir.</w:t>
      </w:r>
      <w:r w:rsidRPr="0096524F">
        <w:t xml:space="preserve"> </w:t>
      </w:r>
      <w:r w:rsidRPr="0096524F">
        <w:t>1999).</w:t>
      </w:r>
    </w:p>
  </w:footnote>
  <w:footnote w:id="755">
    <w:p w14:paraId="36EABDCE" w14:textId="18D9C565"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w:t>
      </w:r>
      <w:r w:rsidRPr="0096524F">
        <w:rPr>
          <w:b/>
        </w:rPr>
        <w:t xml:space="preserve"> </w:t>
      </w:r>
      <w:r w:rsidRPr="0096524F">
        <w:t>Ringling Bros.-Barnum &amp; Bailey Combined Shows, Inc.</w:t>
      </w:r>
      <w:r w:rsidRPr="0096524F">
        <w:t xml:space="preserve"> </w:t>
      </w:r>
      <w:r w:rsidRPr="0096524F">
        <w:t>v.</w:t>
      </w:r>
      <w:r w:rsidRPr="0096524F">
        <w:t xml:space="preserve"> </w:t>
      </w:r>
      <w:r w:rsidRPr="0096524F">
        <w:t>Utah Div.</w:t>
      </w:r>
      <w:r w:rsidRPr="0096524F">
        <w:t xml:space="preserve"> </w:t>
      </w:r>
      <w:r w:rsidRPr="0096524F">
        <w:t>of Travel Dev., 955 F.</w:t>
      </w:r>
      <w:r w:rsidRPr="0096524F">
        <w:t xml:space="preserve"> </w:t>
      </w:r>
      <w:r w:rsidRPr="0096524F">
        <w:t>Supp.</w:t>
      </w:r>
      <w:r w:rsidRPr="0096524F">
        <w:t xml:space="preserve"> </w:t>
      </w:r>
      <w:r w:rsidRPr="0096524F">
        <w:t>605, 618, 42 USPQ2d 1161 (E.D.</w:t>
      </w:r>
      <w:r w:rsidRPr="0096524F">
        <w:t xml:space="preserve"> </w:t>
      </w:r>
      <w:r w:rsidRPr="0096524F">
        <w:t>Va.</w:t>
      </w:r>
      <w:r w:rsidRPr="0096524F">
        <w:t xml:space="preserve"> </w:t>
      </w:r>
      <w:r w:rsidRPr="0096524F">
        <w:t xml:space="preserve">1997), </w:t>
      </w:r>
      <w:r w:rsidRPr="0096524F">
        <w:rPr>
          <w:i/>
        </w:rPr>
        <w:t>aff’d,</w:t>
      </w:r>
      <w:r w:rsidRPr="0096524F">
        <w:t xml:space="preserve"> 170 F.3d 449, 50 USPQ2d 1065 (4th Cir.), </w:t>
      </w:r>
      <w:r w:rsidRPr="0096524F">
        <w:rPr>
          <w:i/>
        </w:rPr>
        <w:t>cert</w:t>
      </w:r>
      <w:r w:rsidRPr="0096524F">
        <w:t>.</w:t>
      </w:r>
      <w:r w:rsidRPr="0096524F">
        <w:t xml:space="preserve"> </w:t>
      </w:r>
      <w:r w:rsidRPr="0096524F">
        <w:rPr>
          <w:i/>
        </w:rPr>
        <w:t>denied,</w:t>
      </w:r>
      <w:r w:rsidRPr="0096524F">
        <w:t xml:space="preserve"> 528 U.S.</w:t>
      </w:r>
      <w:r w:rsidRPr="0096524F">
        <w:t xml:space="preserve"> </w:t>
      </w:r>
      <w:r w:rsidRPr="0096524F">
        <w:t>923 (1999);</w:t>
      </w:r>
      <w:r w:rsidRPr="0096524F">
        <w:t xml:space="preserve"> </w:t>
      </w:r>
      <w:r w:rsidRPr="0096524F">
        <w:t>McNeil Consumer Brands, Inc.</w:t>
      </w:r>
      <w:r w:rsidRPr="0096524F">
        <w:t xml:space="preserve"> </w:t>
      </w:r>
      <w:r w:rsidRPr="0096524F">
        <w:t>v.</w:t>
      </w:r>
      <w:r w:rsidRPr="0096524F">
        <w:t xml:space="preserve"> </w:t>
      </w:r>
      <w:r w:rsidRPr="0096524F">
        <w:t>U.S.</w:t>
      </w:r>
      <w:r w:rsidRPr="0096524F">
        <w:t xml:space="preserve"> </w:t>
      </w:r>
      <w:r w:rsidRPr="0096524F">
        <w:t>Dentek Corp., 116 F.</w:t>
      </w:r>
      <w:r w:rsidRPr="0096524F">
        <w:t xml:space="preserve"> </w:t>
      </w:r>
      <w:r w:rsidRPr="0096524F">
        <w:t>Supp.</w:t>
      </w:r>
      <w:r w:rsidRPr="0096524F">
        <w:t xml:space="preserve"> </w:t>
      </w:r>
      <w:r w:rsidRPr="0096524F">
        <w:t>2d 604, 608, 56 USPQ2d 1758 (E.D.</w:t>
      </w:r>
      <w:r w:rsidRPr="0096524F">
        <w:t xml:space="preserve"> </w:t>
      </w:r>
      <w:r w:rsidRPr="0096524F">
        <w:t>Pa.</w:t>
      </w:r>
      <w:r w:rsidRPr="0096524F">
        <w:t xml:space="preserve"> </w:t>
      </w:r>
      <w:r w:rsidRPr="0096524F">
        <w:t>2000);</w:t>
      </w:r>
      <w:r w:rsidRPr="0096524F">
        <w:t xml:space="preserve"> </w:t>
      </w:r>
      <w:r w:rsidRPr="0096524F">
        <w:t>Eli Lilly &amp; Co.</w:t>
      </w:r>
      <w:r w:rsidRPr="0096524F">
        <w:t xml:space="preserve"> </w:t>
      </w:r>
      <w:r w:rsidRPr="0096524F">
        <w:t>v.</w:t>
      </w:r>
      <w:r w:rsidRPr="0096524F">
        <w:t xml:space="preserve"> </w:t>
      </w:r>
      <w:r w:rsidRPr="0096524F">
        <w:t>Natural Answers, Inc., 86 F.</w:t>
      </w:r>
      <w:r w:rsidRPr="0096524F">
        <w:t xml:space="preserve"> </w:t>
      </w:r>
      <w:r w:rsidRPr="0096524F">
        <w:t>Supp.</w:t>
      </w:r>
      <w:r w:rsidRPr="0096524F">
        <w:t xml:space="preserve"> </w:t>
      </w:r>
      <w:r w:rsidRPr="0096524F">
        <w:t>2d 834, 852 (S.D.</w:t>
      </w:r>
      <w:r w:rsidRPr="0096524F">
        <w:t xml:space="preserve"> </w:t>
      </w:r>
      <w:r w:rsidRPr="0096524F">
        <w:t xml:space="preserve">Ind.), </w:t>
      </w:r>
      <w:r w:rsidRPr="0096524F">
        <w:rPr>
          <w:i/>
        </w:rPr>
        <w:t>aff’d</w:t>
      </w:r>
      <w:r w:rsidRPr="0096524F">
        <w:t>, 233 F.3d 456, 56 USPQ2d 1942 (7th Cir.</w:t>
      </w:r>
      <w:r w:rsidRPr="0096524F">
        <w:t xml:space="preserve"> </w:t>
      </w:r>
      <w:r w:rsidRPr="0096524F">
        <w:t>2000);</w:t>
      </w:r>
      <w:r w:rsidRPr="0096524F">
        <w:t xml:space="preserve"> </w:t>
      </w:r>
      <w:r w:rsidRPr="0096524F">
        <w:t>Hershey Foods Corp.</w:t>
      </w:r>
      <w:r w:rsidRPr="0096524F">
        <w:t xml:space="preserve"> </w:t>
      </w:r>
      <w:r w:rsidRPr="0096524F">
        <w:t>v.</w:t>
      </w:r>
      <w:r w:rsidRPr="0096524F">
        <w:t xml:space="preserve"> </w:t>
      </w:r>
      <w:r w:rsidRPr="0096524F">
        <w:t>Mars, Inc.</w:t>
      </w:r>
      <w:r w:rsidRPr="0096524F">
        <w:t xml:space="preserve"> </w:t>
      </w:r>
      <w:r w:rsidRPr="0096524F">
        <w:t>998 F.</w:t>
      </w:r>
      <w:r w:rsidRPr="0096524F">
        <w:t xml:space="preserve"> </w:t>
      </w:r>
      <w:r w:rsidRPr="0096524F">
        <w:t>Supp.</w:t>
      </w:r>
      <w:r w:rsidRPr="0096524F">
        <w:t xml:space="preserve"> </w:t>
      </w:r>
      <w:r w:rsidRPr="0096524F">
        <w:t>500, 520 (M.D.</w:t>
      </w:r>
      <w:r w:rsidRPr="0096524F">
        <w:t xml:space="preserve"> </w:t>
      </w:r>
      <w:r w:rsidRPr="0096524F">
        <w:t>Pa.</w:t>
      </w:r>
      <w:r w:rsidRPr="0096524F">
        <w:t xml:space="preserve"> </w:t>
      </w:r>
      <w:r w:rsidRPr="0096524F">
        <w:t>1998);</w:t>
      </w:r>
      <w:r w:rsidRPr="0096524F">
        <w:t xml:space="preserve"> </w:t>
      </w:r>
      <w:r w:rsidRPr="0096524F">
        <w:t>American Cyanamid Corp.</w:t>
      </w:r>
      <w:r w:rsidRPr="0096524F">
        <w:t xml:space="preserve"> </w:t>
      </w:r>
      <w:r w:rsidRPr="0096524F">
        <w:t>v.</w:t>
      </w:r>
      <w:r w:rsidRPr="0096524F">
        <w:t xml:space="preserve"> </w:t>
      </w:r>
      <w:r w:rsidRPr="0096524F">
        <w:t>Nutraceutical Corp., 54 F.</w:t>
      </w:r>
      <w:r w:rsidRPr="0096524F">
        <w:t xml:space="preserve"> </w:t>
      </w:r>
      <w:r w:rsidRPr="0096524F">
        <w:t>Supp.</w:t>
      </w:r>
      <w:r w:rsidRPr="0096524F">
        <w:t xml:space="preserve"> </w:t>
      </w:r>
      <w:r w:rsidRPr="0096524F">
        <w:t>2d 379, 392 (D.N.J.</w:t>
      </w:r>
      <w:r w:rsidRPr="0096524F">
        <w:t xml:space="preserve"> </w:t>
      </w:r>
      <w:r w:rsidRPr="0096524F">
        <w:t>1999);</w:t>
      </w:r>
      <w:r w:rsidRPr="0096524F">
        <w:t xml:space="preserve"> </w:t>
      </w:r>
      <w:r w:rsidRPr="0096524F">
        <w:t>Ringling Bros.-Barnum &amp; Bailey Combined Shows, Inc.</w:t>
      </w:r>
      <w:r w:rsidRPr="0096524F">
        <w:t xml:space="preserve"> </w:t>
      </w:r>
      <w:r w:rsidRPr="0096524F">
        <w:t>v.</w:t>
      </w:r>
      <w:r w:rsidRPr="0096524F">
        <w:t xml:space="preserve"> </w:t>
      </w:r>
      <w:r w:rsidRPr="0096524F">
        <w:t>B.E.</w:t>
      </w:r>
      <w:r w:rsidRPr="0096524F">
        <w:t xml:space="preserve"> </w:t>
      </w:r>
      <w:r w:rsidRPr="0096524F">
        <w:t>Windows Corp., 937 F.</w:t>
      </w:r>
      <w:r w:rsidRPr="0096524F">
        <w:t xml:space="preserve"> </w:t>
      </w:r>
      <w:r w:rsidRPr="0096524F">
        <w:t>Supp.</w:t>
      </w:r>
      <w:r w:rsidRPr="0096524F">
        <w:t xml:space="preserve"> </w:t>
      </w:r>
      <w:r w:rsidRPr="0096524F">
        <w:t>204, 211, 40 USPQ2d 1010 (S.D.N.Y.</w:t>
      </w:r>
      <w:r w:rsidRPr="0096524F">
        <w:t xml:space="preserve"> </w:t>
      </w:r>
      <w:r w:rsidRPr="0096524F">
        <w:t>1996);</w:t>
      </w:r>
      <w:r w:rsidRPr="0096524F">
        <w:t xml:space="preserve"> </w:t>
      </w:r>
      <w:r w:rsidRPr="0096524F">
        <w:t>Elvis Presley Enters., Inc.</w:t>
      </w:r>
      <w:r w:rsidRPr="0096524F">
        <w:t xml:space="preserve"> </w:t>
      </w:r>
      <w:r w:rsidRPr="0096524F">
        <w:t>v.</w:t>
      </w:r>
      <w:r w:rsidRPr="0096524F">
        <w:t xml:space="preserve"> </w:t>
      </w:r>
      <w:r w:rsidRPr="0096524F">
        <w:t>Capece, 950 F.</w:t>
      </w:r>
      <w:r w:rsidRPr="0096524F">
        <w:t xml:space="preserve"> </w:t>
      </w:r>
      <w:r w:rsidRPr="0096524F">
        <w:t>Supp.</w:t>
      </w:r>
      <w:r w:rsidRPr="0096524F">
        <w:t xml:space="preserve"> </w:t>
      </w:r>
      <w:r w:rsidRPr="0096524F">
        <w:t>783, 798 (S.D.</w:t>
      </w:r>
      <w:r w:rsidRPr="0096524F">
        <w:t xml:space="preserve"> </w:t>
      </w:r>
      <w:r w:rsidRPr="0096524F">
        <w:t>Tex.</w:t>
      </w:r>
      <w:r w:rsidRPr="0096524F">
        <w:t xml:space="preserve"> </w:t>
      </w:r>
      <w:r w:rsidRPr="0096524F">
        <w:t xml:space="preserve">1996), </w:t>
      </w:r>
      <w:r w:rsidRPr="0096524F">
        <w:rPr>
          <w:i/>
        </w:rPr>
        <w:t>rev’d on other grounds,</w:t>
      </w:r>
      <w:r w:rsidRPr="0096524F">
        <w:t xml:space="preserve"> 141 F.3d 188, 46 USPQ2d 1737 (5th Cir.</w:t>
      </w:r>
      <w:r w:rsidRPr="0096524F">
        <w:t xml:space="preserve"> </w:t>
      </w:r>
      <w:r w:rsidRPr="0096524F">
        <w:t>1998);</w:t>
      </w:r>
      <w:r w:rsidRPr="0096524F">
        <w:t xml:space="preserve"> </w:t>
      </w:r>
      <w:r w:rsidRPr="0096524F">
        <w:t>Michael Caruso &amp; Co.</w:t>
      </w:r>
      <w:r w:rsidRPr="0096524F">
        <w:t xml:space="preserve"> </w:t>
      </w:r>
      <w:r w:rsidRPr="0096524F">
        <w:t>v.</w:t>
      </w:r>
      <w:r w:rsidRPr="0096524F">
        <w:t xml:space="preserve"> </w:t>
      </w:r>
      <w:r w:rsidRPr="0096524F">
        <w:t>Estefan Enters., Inc., 994 F.</w:t>
      </w:r>
      <w:r w:rsidRPr="0096524F">
        <w:t xml:space="preserve"> </w:t>
      </w:r>
      <w:r w:rsidRPr="0096524F">
        <w:t>Supp.</w:t>
      </w:r>
      <w:r w:rsidRPr="0096524F">
        <w:t xml:space="preserve"> </w:t>
      </w:r>
      <w:r w:rsidRPr="0096524F">
        <w:t>1454, 1464 (S.D.</w:t>
      </w:r>
      <w:r w:rsidRPr="0096524F">
        <w:t xml:space="preserve"> </w:t>
      </w:r>
      <w:r w:rsidRPr="0096524F">
        <w:t xml:space="preserve">Fla.), </w:t>
      </w:r>
      <w:r w:rsidRPr="0096524F">
        <w:rPr>
          <w:i/>
        </w:rPr>
        <w:t>aff’d mem</w:t>
      </w:r>
      <w:r w:rsidRPr="0096524F">
        <w:t>., 166 F.3d 353 (11th Cir.</w:t>
      </w:r>
      <w:r w:rsidRPr="0096524F">
        <w:t xml:space="preserve"> </w:t>
      </w:r>
      <w:r w:rsidRPr="0096524F">
        <w:t>1998);</w:t>
      </w:r>
      <w:r w:rsidRPr="0096524F">
        <w:t xml:space="preserve"> </w:t>
      </w:r>
      <w:r w:rsidRPr="0096524F">
        <w:t>Toro Co.</w:t>
      </w:r>
      <w:r w:rsidRPr="0096524F">
        <w:t xml:space="preserve"> </w:t>
      </w:r>
      <w:r w:rsidRPr="0096524F">
        <w:t>v.</w:t>
      </w:r>
      <w:r w:rsidRPr="0096524F">
        <w:t xml:space="preserve"> </w:t>
      </w:r>
      <w:r w:rsidRPr="0096524F">
        <w:t>ToroHead, Inc., 61 USPQ2d 1164, 1183 (T.T.A.B.</w:t>
      </w:r>
      <w:r w:rsidRPr="0096524F">
        <w:t xml:space="preserve"> </w:t>
      </w:r>
      <w:r w:rsidRPr="0096524F">
        <w:t>2001).</w:t>
      </w:r>
      <w:r w:rsidRPr="0096524F">
        <w:t xml:space="preserve"> </w:t>
      </w:r>
      <w:r w:rsidRPr="0096524F">
        <w:rPr>
          <w:i/>
        </w:rPr>
        <w:t xml:space="preserve">See </w:t>
      </w:r>
      <w:r w:rsidRPr="0096524F">
        <w:t>Nabisco, Inc.</w:t>
      </w:r>
      <w:r w:rsidRPr="0096524F">
        <w:t xml:space="preserve"> </w:t>
      </w:r>
      <w:r w:rsidRPr="0096524F">
        <w:t>v.</w:t>
      </w:r>
      <w:r w:rsidRPr="0096524F">
        <w:t xml:space="preserve"> </w:t>
      </w:r>
      <w:r w:rsidRPr="0096524F">
        <w:t>PF Brands, Inc., 191 F.3d 208, 218, 51 USPQ2d 1882 (2d Cir.</w:t>
      </w:r>
      <w:r w:rsidRPr="0096524F">
        <w:t xml:space="preserve"> </w:t>
      </w:r>
      <w:r w:rsidRPr="0096524F">
        <w:t>1999).</w:t>
      </w:r>
    </w:p>
  </w:footnote>
  <w:footnote w:id="756">
    <w:p w14:paraId="79ECD208" w14:textId="33AA615D" w:rsidR="0096524F" w:rsidRPr="00EB11B3" w:rsidRDefault="0096524F" w:rsidP="0096524F">
      <w:pPr>
        <w:pStyle w:val="FootnoteText"/>
      </w:pPr>
      <w:r w:rsidRPr="0096524F">
        <w:rPr>
          <w:vertAlign w:val="superscript"/>
        </w:rPr>
        <w:footnoteRef/>
      </w:r>
      <w:r w:rsidRPr="0096524F">
        <w:t>Thane Int’l, Inc.</w:t>
      </w:r>
      <w:r w:rsidRPr="0096524F">
        <w:t xml:space="preserve"> </w:t>
      </w:r>
      <w:r w:rsidRPr="0096524F">
        <w:t>v.</w:t>
      </w:r>
      <w:r w:rsidRPr="0096524F">
        <w:t xml:space="preserve"> </w:t>
      </w:r>
      <w:r w:rsidRPr="0096524F">
        <w:t>Trek Bicycle Corp., 305 F.3d 894, 905, 907, 64 USPQ2d 1564 (9th Cir.</w:t>
      </w:r>
      <w:r w:rsidRPr="0096524F">
        <w:t xml:space="preserve"> </w:t>
      </w:r>
      <w:r w:rsidRPr="0096524F">
        <w:t>2002).</w:t>
      </w:r>
    </w:p>
  </w:footnote>
  <w:footnote w:id="757">
    <w:p w14:paraId="6C7D1BF7" w14:textId="32B64D54" w:rsidR="0096524F" w:rsidRPr="0096524F" w:rsidRDefault="0096524F" w:rsidP="0096524F">
      <w:pPr>
        <w:pStyle w:val="FootnoteText"/>
      </w:pPr>
      <w:r w:rsidRPr="0096524F">
        <w:rPr>
          <w:vertAlign w:val="superscript"/>
        </w:rPr>
        <w:footnoteRef/>
      </w:r>
      <w:r w:rsidRPr="0096524F">
        <w:t xml:space="preserve">In </w:t>
      </w:r>
      <w:r w:rsidRPr="0096524F">
        <w:rPr>
          <w:i/>
        </w:rPr>
        <w:t>Thane International, Inc</w:t>
      </w:r>
      <w:r w:rsidRPr="0096524F">
        <w:t>.</w:t>
      </w:r>
      <w:r w:rsidRPr="0096524F">
        <w:t xml:space="preserve"> </w:t>
      </w:r>
      <w:r w:rsidRPr="0096524F">
        <w:rPr>
          <w:i/>
        </w:rPr>
        <w:t>v</w:t>
      </w:r>
      <w:r w:rsidRPr="0096524F">
        <w:t>.</w:t>
      </w:r>
      <w:r w:rsidRPr="0096524F">
        <w:t xml:space="preserve"> </w:t>
      </w:r>
      <w:r w:rsidRPr="0096524F">
        <w:rPr>
          <w:i/>
        </w:rPr>
        <w:t>Trek Bicycle Corp</w:t>
      </w:r>
      <w:r w:rsidRPr="0096524F">
        <w:t>., 305 F.3d 894, 64 USPQ2d 1564 (9th Cir.</w:t>
      </w:r>
      <w:r w:rsidRPr="0096524F">
        <w:t xml:space="preserve"> </w:t>
      </w:r>
      <w:r w:rsidRPr="0096524F">
        <w:t>2002), where the question was the similarity of the mark OrbiTrek to the allegedly famous mark Trek (the latter primarily known as a mark for bicycles), the court found that a jury could view them as identical or nearly so.</w:t>
      </w:r>
      <w:r w:rsidRPr="0096524F">
        <w:t xml:space="preserve"> </w:t>
      </w:r>
      <w:r w:rsidRPr="0096524F">
        <w:rPr>
          <w:i/>
        </w:rPr>
        <w:t>Id</w:t>
      </w:r>
      <w:r w:rsidRPr="0096524F">
        <w:t>.</w:t>
      </w:r>
      <w:r w:rsidRPr="0096524F">
        <w:t xml:space="preserve"> </w:t>
      </w:r>
      <w:r w:rsidRPr="0096524F">
        <w:t>at 907.</w:t>
      </w:r>
      <w:r w:rsidRPr="0096524F">
        <w:t xml:space="preserve"> </w:t>
      </w:r>
      <w:r w:rsidRPr="0096524F">
        <w:t xml:space="preserve">In </w:t>
      </w:r>
      <w:r w:rsidRPr="0096524F">
        <w:rPr>
          <w:i/>
        </w:rPr>
        <w:t>Perfumebay</w:t>
      </w:r>
      <w:r w:rsidRPr="0096524F">
        <w:t>.</w:t>
      </w:r>
      <w:r w:rsidRPr="0096524F">
        <w:rPr>
          <w:i/>
        </w:rPr>
        <w:t>com, Inc</w:t>
      </w:r>
      <w:r w:rsidRPr="0096524F">
        <w:t>.</w:t>
      </w:r>
      <w:r w:rsidRPr="0096524F">
        <w:t xml:space="preserve"> </w:t>
      </w:r>
      <w:r w:rsidRPr="0096524F">
        <w:rPr>
          <w:i/>
        </w:rPr>
        <w:t>v</w:t>
      </w:r>
      <w:r w:rsidRPr="0096524F">
        <w:t>.</w:t>
      </w:r>
      <w:r w:rsidRPr="0096524F">
        <w:t xml:space="preserve"> </w:t>
      </w:r>
      <w:r w:rsidRPr="0096524F">
        <w:rPr>
          <w:i/>
        </w:rPr>
        <w:t>eBay, Inc</w:t>
      </w:r>
      <w:r w:rsidRPr="0096524F">
        <w:t>.</w:t>
      </w:r>
      <w:r w:rsidRPr="0096524F">
        <w:rPr>
          <w:i/>
        </w:rPr>
        <w:t xml:space="preserve">, </w:t>
      </w:r>
      <w:r w:rsidRPr="0096524F">
        <w:t>506 F.3d 1165, 84 USPQ2d 1865 (9th Cir.</w:t>
      </w:r>
      <w:r w:rsidRPr="0096524F">
        <w:t xml:space="preserve"> </w:t>
      </w:r>
      <w:r w:rsidRPr="0096524F">
        <w:t>2007), the Ninth Circuit found that Perfumebay was sufficiently similar to eBay to merit dilution protection.</w:t>
      </w:r>
      <w:r w:rsidRPr="0096524F">
        <w:t xml:space="preserve"> </w:t>
      </w:r>
      <w:r w:rsidRPr="0096524F">
        <w:rPr>
          <w:i/>
        </w:rPr>
        <w:t>Id</w:t>
      </w:r>
      <w:r w:rsidRPr="0096524F">
        <w:t>.</w:t>
      </w:r>
      <w:r w:rsidRPr="0096524F">
        <w:t xml:space="preserve"> </w:t>
      </w:r>
      <w:r w:rsidRPr="0096524F">
        <w:t>at 1181.</w:t>
      </w:r>
      <w:r w:rsidRPr="0096524F">
        <w:t xml:space="preserve"> </w:t>
      </w:r>
      <w:r w:rsidRPr="0096524F">
        <w:t>In particular, the court held that the district court (which had ruled the two marks were not sufficiently similar) erred by not considering the strength of the eBay mark in its similarity analysis.</w:t>
      </w:r>
      <w:r w:rsidRPr="0096524F">
        <w:t xml:space="preserve"> </w:t>
      </w:r>
      <w:r w:rsidRPr="0096524F">
        <w:rPr>
          <w:i/>
        </w:rPr>
        <w:t>Id</w:t>
      </w:r>
      <w:r w:rsidRPr="0096524F">
        <w:t>.</w:t>
      </w:r>
      <w:r w:rsidRPr="0096524F">
        <w:t xml:space="preserve"> </w:t>
      </w:r>
      <w:r w:rsidRPr="0096524F">
        <w:t xml:space="preserve">As a result, it appears that the test of “nearly identical” is of little value, because </w:t>
      </w:r>
      <w:r w:rsidRPr="0096524F">
        <w:rPr>
          <w:i/>
        </w:rPr>
        <w:t>all</w:t>
      </w:r>
      <w:r w:rsidRPr="0096524F">
        <w:t xml:space="preserve"> of the marks in question will be very strong and, presumably, all will be considered “nearly identical” to a very large range of marks.</w:t>
      </w:r>
    </w:p>
    <w:p w14:paraId="16A6B33E" w14:textId="2848F0AC" w:rsidR="0096524F" w:rsidRPr="00EB11B3" w:rsidRDefault="0096524F" w:rsidP="0096524F">
      <w:pPr>
        <w:pStyle w:val="FootnoteText"/>
      </w:pPr>
      <w:r w:rsidRPr="0096524F">
        <w:t xml:space="preserve">In </w:t>
      </w:r>
      <w:r w:rsidRPr="0096524F">
        <w:rPr>
          <w:i/>
        </w:rPr>
        <w:t>Nike, Inc</w:t>
      </w:r>
      <w:r w:rsidRPr="0096524F">
        <w:t>.</w:t>
      </w:r>
      <w:r w:rsidRPr="0096524F">
        <w:t xml:space="preserve"> </w:t>
      </w:r>
      <w:r w:rsidRPr="0096524F">
        <w:rPr>
          <w:i/>
        </w:rPr>
        <w:t>v</w:t>
      </w:r>
      <w:r w:rsidRPr="0096524F">
        <w:t>.</w:t>
      </w:r>
      <w:r w:rsidRPr="0096524F">
        <w:t xml:space="preserve"> </w:t>
      </w:r>
      <w:r w:rsidRPr="0096524F">
        <w:rPr>
          <w:i/>
        </w:rPr>
        <w:t>Nikepal International, Inc</w:t>
      </w:r>
      <w:r w:rsidRPr="0096524F">
        <w:t>., 84 USPQ2d 1820 (E.D.</w:t>
      </w:r>
      <w:r w:rsidRPr="0096524F">
        <w:t xml:space="preserve"> </w:t>
      </w:r>
      <w:r w:rsidRPr="0096524F">
        <w:t>Cal.</w:t>
      </w:r>
      <w:r w:rsidRPr="0096524F">
        <w:t xml:space="preserve"> </w:t>
      </w:r>
      <w:r w:rsidRPr="0096524F">
        <w:t>2007), the court found that Nikepal was sufficiently similar to Nike under this test.</w:t>
      </w:r>
      <w:r w:rsidRPr="0096524F">
        <w:t xml:space="preserve"> </w:t>
      </w:r>
      <w:r w:rsidRPr="0096524F">
        <w:rPr>
          <w:i/>
        </w:rPr>
        <w:t>Id</w:t>
      </w:r>
      <w:r w:rsidRPr="0096524F">
        <w:t>.</w:t>
      </w:r>
      <w:r w:rsidRPr="0096524F">
        <w:t xml:space="preserve"> </w:t>
      </w:r>
      <w:r w:rsidRPr="0096524F">
        <w:t>at 1827.</w:t>
      </w:r>
      <w:r w:rsidRPr="0096524F">
        <w:t xml:space="preserve"> </w:t>
      </w:r>
      <w:r w:rsidRPr="0096524F">
        <w:t xml:space="preserve">In </w:t>
      </w:r>
      <w:r w:rsidRPr="0096524F">
        <w:rPr>
          <w:i/>
        </w:rPr>
        <w:t>Jada Toys, Inc</w:t>
      </w:r>
      <w:r w:rsidRPr="0096524F">
        <w:t>.</w:t>
      </w:r>
      <w:r w:rsidRPr="0096524F">
        <w:t xml:space="preserve"> </w:t>
      </w:r>
      <w:r w:rsidRPr="0096524F">
        <w:rPr>
          <w:i/>
        </w:rPr>
        <w:t>v</w:t>
      </w:r>
      <w:r w:rsidRPr="0096524F">
        <w:t>.</w:t>
      </w:r>
      <w:r w:rsidRPr="0096524F">
        <w:t xml:space="preserve"> </w:t>
      </w:r>
      <w:r w:rsidRPr="0096524F">
        <w:rPr>
          <w:i/>
        </w:rPr>
        <w:t>Mattel, Inc</w:t>
      </w:r>
      <w:r w:rsidRPr="0096524F">
        <w:t>., 518 F.3d 628, 85 USPQ2d 1895 (9th Cir.</w:t>
      </w:r>
      <w:r w:rsidRPr="0096524F">
        <w:t xml:space="preserve"> </w:t>
      </w:r>
      <w:r w:rsidRPr="0096524F">
        <w:t xml:space="preserve">2008), the court held that “a reasonable trier of fact could find that the hot wheels and hot rigz marks are nearly identical.” </w:t>
      </w:r>
      <w:r w:rsidRPr="0096524F">
        <w:rPr>
          <w:i/>
        </w:rPr>
        <w:t>Id</w:t>
      </w:r>
      <w:r w:rsidRPr="0096524F">
        <w:t>.</w:t>
      </w:r>
      <w:r w:rsidRPr="0096524F">
        <w:t xml:space="preserve"> </w:t>
      </w:r>
      <w:r w:rsidRPr="0096524F">
        <w:t>at 635.</w:t>
      </w:r>
      <w:r w:rsidRPr="0096524F">
        <w:t xml:space="preserve"> </w:t>
      </w:r>
      <w:r w:rsidRPr="0096524F">
        <w:t>However, context often dictates different results.</w:t>
      </w:r>
      <w:r w:rsidRPr="0096524F">
        <w:t xml:space="preserve"> </w:t>
      </w:r>
      <w:r w:rsidRPr="0096524F">
        <w:t>In one post-TDRA case, the court followed the “identical or nearly identical” requirement and held that the marks Century 21 (for real estate services) and Century for insurance were not substantially similar.</w:t>
      </w:r>
      <w:r w:rsidRPr="0096524F">
        <w:t xml:space="preserve"> </w:t>
      </w:r>
      <w:r w:rsidRPr="0096524F">
        <w:t>Century 21 Real Estate, LLC v.</w:t>
      </w:r>
      <w:r w:rsidRPr="0096524F">
        <w:t xml:space="preserve"> </w:t>
      </w:r>
      <w:r w:rsidRPr="0096524F">
        <w:t>Century Ins.</w:t>
      </w:r>
      <w:r w:rsidRPr="0096524F">
        <w:t xml:space="preserve"> </w:t>
      </w:r>
      <w:r w:rsidRPr="0096524F">
        <w:t>Group, 2007 WL 484555, at *14–15 (D.</w:t>
      </w:r>
      <w:r w:rsidRPr="0096524F">
        <w:t xml:space="preserve"> </w:t>
      </w:r>
      <w:r w:rsidRPr="0096524F">
        <w:t>Ariz.</w:t>
      </w:r>
      <w:r w:rsidRPr="0096524F">
        <w:t xml:space="preserve"> </w:t>
      </w:r>
      <w:r w:rsidRPr="0096524F">
        <w:t>Feb.</w:t>
      </w:r>
      <w:r w:rsidRPr="0096524F">
        <w:t xml:space="preserve"> </w:t>
      </w:r>
      <w:r w:rsidRPr="0096524F">
        <w:t xml:space="preserve">9, 2007), </w:t>
      </w:r>
      <w:r w:rsidRPr="0096524F">
        <w:rPr>
          <w:i/>
        </w:rPr>
        <w:t>aff’d</w:t>
      </w:r>
      <w:r w:rsidRPr="0096524F">
        <w:t>, 300 F.</w:t>
      </w:r>
      <w:r w:rsidRPr="0096524F">
        <w:t xml:space="preserve"> </w:t>
      </w:r>
      <w:r w:rsidRPr="0096524F">
        <w:t>App’x.</w:t>
      </w:r>
      <w:r w:rsidRPr="0096524F">
        <w:t xml:space="preserve"> </w:t>
      </w:r>
      <w:r w:rsidRPr="0096524F">
        <w:t>527 (9th Cir.</w:t>
      </w:r>
      <w:r w:rsidRPr="0096524F">
        <w:t xml:space="preserve"> </w:t>
      </w:r>
      <w:r w:rsidRPr="0096524F">
        <w:t>2008).</w:t>
      </w:r>
    </w:p>
  </w:footnote>
  <w:footnote w:id="758">
    <w:p w14:paraId="18615041" w14:textId="3A2B221D" w:rsidR="0096524F" w:rsidRPr="00FC2AE2" w:rsidRDefault="0096524F" w:rsidP="0096524F">
      <w:pPr>
        <w:pStyle w:val="FootnoteText"/>
        <w:rPr>
          <w:lang w:val="es-US"/>
        </w:rPr>
      </w:pPr>
      <w:r w:rsidRPr="0096524F">
        <w:rPr>
          <w:vertAlign w:val="superscript"/>
        </w:rPr>
        <w:footnoteRef/>
      </w:r>
      <w:r w:rsidRPr="0096524F">
        <w:t>588 F.3d 97, 92 USPQ2d 1769 (2d Cir.</w:t>
      </w:r>
      <w:r w:rsidRPr="0096524F">
        <w:t xml:space="preserve"> </w:t>
      </w:r>
      <w:r w:rsidRPr="0096524F">
        <w:t>2009).</w:t>
      </w:r>
    </w:p>
  </w:footnote>
  <w:footnote w:id="759">
    <w:p w14:paraId="43FE56A1" w14:textId="1145BB0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108–09.</w:t>
      </w:r>
    </w:p>
  </w:footnote>
  <w:footnote w:id="760">
    <w:p w14:paraId="362FEE3F" w14:textId="3B25768E"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108.</w:t>
      </w:r>
    </w:p>
  </w:footnote>
  <w:footnote w:id="761">
    <w:p w14:paraId="264955FA" w14:textId="7314FC04" w:rsidR="0096524F" w:rsidRPr="00EB11B3" w:rsidRDefault="0096524F" w:rsidP="0096524F">
      <w:pPr>
        <w:pStyle w:val="FootnoteText"/>
      </w:pPr>
      <w:r w:rsidRPr="0096524F">
        <w:rPr>
          <w:vertAlign w:val="superscript"/>
        </w:rPr>
        <w:footnoteRef/>
      </w:r>
      <w:r w:rsidRPr="0096524F">
        <w:t>Levi Strauss &amp; Co.</w:t>
      </w:r>
      <w:r w:rsidRPr="0096524F">
        <w:t xml:space="preserve"> </w:t>
      </w:r>
      <w:r w:rsidRPr="0096524F">
        <w:t>v.</w:t>
      </w:r>
      <w:r w:rsidRPr="0096524F">
        <w:t xml:space="preserve"> </w:t>
      </w:r>
      <w:r w:rsidRPr="0096524F">
        <w:t>Abercrombie &amp; Fitch Trading Co., 633 F.3d 1158, 1171–73, 97 USPQ2d 1947 (9th Cir.</w:t>
      </w:r>
      <w:r w:rsidRPr="0096524F">
        <w:t xml:space="preserve"> </w:t>
      </w:r>
      <w:r w:rsidRPr="0096524F">
        <w:t>2011).</w:t>
      </w:r>
      <w:r w:rsidRPr="0096524F">
        <w:t xml:space="preserve"> </w:t>
      </w:r>
      <w:r w:rsidRPr="0096524F">
        <w:t>These two cases are discussed in more detail above, §II.D.5.</w:t>
      </w:r>
    </w:p>
  </w:footnote>
  <w:footnote w:id="762">
    <w:p w14:paraId="2187FA4F" w14:textId="29E5FA36" w:rsidR="0096524F" w:rsidRPr="00EB11B3" w:rsidRDefault="0096524F" w:rsidP="0096524F">
      <w:pPr>
        <w:pStyle w:val="FootnoteText"/>
      </w:pPr>
      <w:r w:rsidRPr="0096524F">
        <w:rPr>
          <w:vertAlign w:val="superscript"/>
        </w:rPr>
        <w:footnoteRef/>
      </w:r>
      <w:r w:rsidRPr="0096524F">
        <w:t>The TTAB has now adopted their approach.</w:t>
      </w:r>
      <w:r w:rsidRPr="0096524F">
        <w:t xml:space="preserve"> </w:t>
      </w:r>
      <w:r w:rsidRPr="0096524F">
        <w:rPr>
          <w:i/>
        </w:rPr>
        <w:t>See</w:t>
      </w:r>
      <w:r w:rsidRPr="0096524F">
        <w:t xml:space="preserve"> UMG Recordings, Inc.</w:t>
      </w:r>
      <w:r w:rsidRPr="0096524F">
        <w:t xml:space="preserve"> </w:t>
      </w:r>
      <w:r w:rsidRPr="0096524F">
        <w:t>v.</w:t>
      </w:r>
      <w:r w:rsidRPr="0096524F">
        <w:t xml:space="preserve"> </w:t>
      </w:r>
      <w:r w:rsidRPr="0096524F">
        <w:t>Mattel, Inc., 100 USPQ2d 1868, 1888 (T.T.A.B.</w:t>
      </w:r>
      <w:r w:rsidRPr="0096524F">
        <w:t xml:space="preserve"> </w:t>
      </w:r>
      <w:r w:rsidRPr="0096524F">
        <w:t>2011) (adopting the Second Circuit approach);</w:t>
      </w:r>
      <w:r w:rsidRPr="0096524F">
        <w:t xml:space="preserve"> </w:t>
      </w:r>
      <w:r w:rsidRPr="0096524F">
        <w:t>Nike, Inc.</w:t>
      </w:r>
      <w:r w:rsidRPr="0096524F">
        <w:t xml:space="preserve"> </w:t>
      </w:r>
      <w:r w:rsidRPr="0096524F">
        <w:t>v.</w:t>
      </w:r>
      <w:r w:rsidRPr="0096524F">
        <w:t xml:space="preserve"> </w:t>
      </w:r>
      <w:r w:rsidRPr="0096524F">
        <w:t>Maher, 100 USPQ2d 1018, 1028–30 (T.T.A.B.</w:t>
      </w:r>
      <w:r w:rsidRPr="0096524F">
        <w:t xml:space="preserve"> </w:t>
      </w:r>
      <w:r w:rsidRPr="0096524F">
        <w:t>2011) (seemingly adopting the Second and Ninth Circuit approach).</w:t>
      </w:r>
      <w:r w:rsidRPr="0096524F">
        <w:t xml:space="preserve"> </w:t>
      </w:r>
      <w:r w:rsidRPr="0096524F">
        <w:rPr>
          <w:i/>
        </w:rPr>
        <w:t>But cf</w:t>
      </w:r>
      <w:r w:rsidRPr="0096524F">
        <w:t>.</w:t>
      </w:r>
      <w:r w:rsidRPr="0096524F">
        <w:t xml:space="preserve"> </w:t>
      </w:r>
      <w:r w:rsidRPr="0096524F">
        <w:t>Luxottica Group, SPA v.</w:t>
      </w:r>
      <w:r w:rsidRPr="0096524F">
        <w:t xml:space="preserve"> </w:t>
      </w:r>
      <w:r w:rsidRPr="0096524F">
        <w:t>Eye Story, Inc., 2020 WL 2404913, at *4 (C.D.</w:t>
      </w:r>
      <w:r w:rsidRPr="0096524F">
        <w:t xml:space="preserve"> </w:t>
      </w:r>
      <w:r w:rsidRPr="0096524F">
        <w:t>Cal.</w:t>
      </w:r>
      <w:r w:rsidRPr="0096524F">
        <w:t xml:space="preserve"> </w:t>
      </w:r>
      <w:r w:rsidRPr="0096524F">
        <w:t>May 11, 2020) (using the pre-</w:t>
      </w:r>
      <w:r w:rsidRPr="0096524F">
        <w:rPr>
          <w:i/>
        </w:rPr>
        <w:t>Levi Strauss</w:t>
      </w:r>
      <w:r w:rsidRPr="0096524F">
        <w:t xml:space="preserve"> standard of “identical or nearly identical”);</w:t>
      </w:r>
      <w:r w:rsidRPr="0096524F">
        <w:t xml:space="preserve"> </w:t>
      </w:r>
      <w:r w:rsidRPr="0096524F">
        <w:t>Ebates, Inc.</w:t>
      </w:r>
      <w:r w:rsidRPr="0096524F">
        <w:t xml:space="preserve"> </w:t>
      </w:r>
      <w:r w:rsidRPr="0096524F">
        <w:t>v.</w:t>
      </w:r>
      <w:r w:rsidRPr="0096524F">
        <w:t xml:space="preserve"> </w:t>
      </w:r>
      <w:r w:rsidRPr="0096524F">
        <w:t>Cashbag.co.za, 2019 WL 6816113, at *9–10 (N.D.</w:t>
      </w:r>
      <w:r w:rsidRPr="0096524F">
        <w:t xml:space="preserve"> </w:t>
      </w:r>
      <w:r w:rsidRPr="0096524F">
        <w:t>Cal.</w:t>
      </w:r>
      <w:r w:rsidRPr="0096524F">
        <w:t xml:space="preserve"> </w:t>
      </w:r>
      <w:r w:rsidRPr="0096524F">
        <w:t>Oct.</w:t>
      </w:r>
      <w:r w:rsidRPr="0096524F">
        <w:t xml:space="preserve"> </w:t>
      </w:r>
      <w:r w:rsidRPr="0096524F">
        <w:t>30, 2018) (magistrate judge opinion) (using the pre-</w:t>
      </w:r>
      <w:r w:rsidRPr="0096524F">
        <w:rPr>
          <w:i/>
        </w:rPr>
        <w:t>Levi Strauss</w:t>
      </w:r>
      <w:r w:rsidRPr="0096524F">
        <w:t xml:space="preserve"> standard of “identical or nearly identical” and refusing a default judgment on that basis);</w:t>
      </w:r>
      <w:r w:rsidRPr="0096524F">
        <w:t xml:space="preserve"> </w:t>
      </w:r>
      <w:r w:rsidRPr="0096524F">
        <w:t>Deere &amp; Co.</w:t>
      </w:r>
      <w:r w:rsidRPr="0096524F">
        <w:t xml:space="preserve"> </w:t>
      </w:r>
      <w:r w:rsidRPr="0096524F">
        <w:t>v.</w:t>
      </w:r>
      <w:r w:rsidRPr="0096524F">
        <w:t xml:space="preserve"> </w:t>
      </w:r>
      <w:r w:rsidRPr="0096524F">
        <w:t>FIMCO, Inc., 302 F.</w:t>
      </w:r>
      <w:r w:rsidRPr="0096524F">
        <w:t xml:space="preserve"> </w:t>
      </w:r>
      <w:r w:rsidRPr="0096524F">
        <w:t>Supp.</w:t>
      </w:r>
      <w:r w:rsidRPr="0096524F">
        <w:t xml:space="preserve"> </w:t>
      </w:r>
      <w:r w:rsidRPr="0096524F">
        <w:t>3d 837, 898 &amp; n.14 (W.D.</w:t>
      </w:r>
      <w:r w:rsidRPr="0096524F">
        <w:t xml:space="preserve"> </w:t>
      </w:r>
      <w:r w:rsidRPr="0096524F">
        <w:t>Ky.</w:t>
      </w:r>
      <w:r w:rsidRPr="0096524F">
        <w:t xml:space="preserve"> </w:t>
      </w:r>
      <w:r w:rsidRPr="0096524F">
        <w:t xml:space="preserve">2017) (discussing the </w:t>
      </w:r>
      <w:r w:rsidRPr="0096524F">
        <w:rPr>
          <w:i/>
        </w:rPr>
        <w:t>Starbucks</w:t>
      </w:r>
      <w:r w:rsidRPr="0096524F">
        <w:t xml:space="preserve"> and </w:t>
      </w:r>
      <w:r w:rsidRPr="0096524F">
        <w:rPr>
          <w:i/>
        </w:rPr>
        <w:t>Levi Strauss</w:t>
      </w:r>
      <w:r w:rsidRPr="0096524F">
        <w:t xml:space="preserve"> standard, but noting (1) that the Sixth Circuit had not yet ruled on the question, and (2) in this case, the uses were very similar), </w:t>
      </w:r>
      <w:r w:rsidRPr="0096524F">
        <w:rPr>
          <w:i/>
        </w:rPr>
        <w:t>superseded in part by</w:t>
      </w:r>
      <w:r w:rsidRPr="0096524F">
        <w:t xml:space="preserve"> 301 F.</w:t>
      </w:r>
      <w:r w:rsidRPr="0096524F">
        <w:t xml:space="preserve"> </w:t>
      </w:r>
      <w:r w:rsidRPr="0096524F">
        <w:t>Supp.</w:t>
      </w:r>
      <w:r w:rsidRPr="0096524F">
        <w:t xml:space="preserve"> </w:t>
      </w:r>
      <w:r w:rsidRPr="0096524F">
        <w:t>3d 704 (W.D.</w:t>
      </w:r>
      <w:r w:rsidRPr="0096524F">
        <w:t xml:space="preserve"> </w:t>
      </w:r>
      <w:r w:rsidRPr="0096524F">
        <w:t>Ky.</w:t>
      </w:r>
      <w:r w:rsidRPr="0096524F">
        <w:t xml:space="preserve"> </w:t>
      </w:r>
      <w:r w:rsidRPr="0096524F">
        <w:t>2018);</w:t>
      </w:r>
      <w:r w:rsidRPr="0096524F">
        <w:t xml:space="preserve"> </w:t>
      </w:r>
      <w:r w:rsidRPr="0096524F">
        <w:t>Citigroup, Inc.</w:t>
      </w:r>
      <w:r w:rsidRPr="0096524F">
        <w:t xml:space="preserve"> </w:t>
      </w:r>
      <w:r w:rsidRPr="0096524F">
        <w:t>v.</w:t>
      </w:r>
      <w:r w:rsidRPr="0096524F">
        <w:t xml:space="preserve"> </w:t>
      </w:r>
      <w:r w:rsidRPr="0096524F">
        <w:t>Capital City Bank Group, Inc., 94 USPQ2d 1645, 1667 (T.T.A.B.</w:t>
      </w:r>
      <w:r w:rsidRPr="0096524F">
        <w:t xml:space="preserve"> </w:t>
      </w:r>
      <w:r w:rsidRPr="0096524F">
        <w:t xml:space="preserve">2010), </w:t>
      </w:r>
      <w:r w:rsidRPr="0096524F">
        <w:rPr>
          <w:i/>
        </w:rPr>
        <w:t>aff’d on other grounds</w:t>
      </w:r>
      <w:r w:rsidRPr="0096524F">
        <w:t>, 637 F.3d 1344, 98 USPQ2d 1253 (Fed.</w:t>
      </w:r>
      <w:r w:rsidRPr="0096524F">
        <w:t xml:space="preserve"> </w:t>
      </w:r>
      <w:r w:rsidRPr="0096524F">
        <w:t>Cir.</w:t>
      </w:r>
      <w:r w:rsidRPr="0096524F">
        <w:t xml:space="preserve"> </w:t>
      </w:r>
      <w:r w:rsidRPr="0096524F">
        <w:t xml:space="preserve">2011) (acknowledging, but not using, the </w:t>
      </w:r>
      <w:r w:rsidRPr="0096524F">
        <w:rPr>
          <w:i/>
        </w:rPr>
        <w:t>Starbucks</w:t>
      </w:r>
      <w:r w:rsidRPr="0096524F">
        <w:t xml:space="preserve"> standard).</w:t>
      </w:r>
      <w:r w:rsidRPr="0096524F">
        <w:t xml:space="preserve"> </w:t>
      </w:r>
      <w:r w:rsidRPr="0096524F">
        <w:rPr>
          <w:i/>
        </w:rPr>
        <w:t>See also</w:t>
      </w:r>
      <w:r w:rsidRPr="0096524F">
        <w:t xml:space="preserve"> Louis Vuitton Malletier, S.A.</w:t>
      </w:r>
      <w:r w:rsidRPr="0096524F">
        <w:t xml:space="preserve"> </w:t>
      </w:r>
      <w:r w:rsidRPr="0096524F">
        <w:t>v.</w:t>
      </w:r>
      <w:r w:rsidRPr="0096524F">
        <w:t xml:space="preserve"> </w:t>
      </w:r>
      <w:r w:rsidRPr="0096524F">
        <w:t>Haute Diggity Dog, LLC, 507 F.3d 252, 268, 84 USPQ2d 1969 (4th Cir.</w:t>
      </w:r>
      <w:r w:rsidRPr="0096524F">
        <w:t xml:space="preserve"> </w:t>
      </w:r>
      <w:r w:rsidRPr="0096524F">
        <w:t>2007) (noting that the defendant’s Chewy Vuiton parody was not so similar as to imply that it was a use of plaintiff’s mark).</w:t>
      </w:r>
    </w:p>
  </w:footnote>
  <w:footnote w:id="763">
    <w:p w14:paraId="4EE33676" w14:textId="76BCADE0" w:rsidR="0096524F" w:rsidRPr="00EB11B3" w:rsidRDefault="0096524F" w:rsidP="0096524F">
      <w:pPr>
        <w:pStyle w:val="FootnoteText"/>
      </w:pPr>
      <w:r w:rsidRPr="0096524F">
        <w:rPr>
          <w:vertAlign w:val="superscript"/>
        </w:rPr>
        <w:footnoteRef/>
      </w:r>
      <w:r w:rsidRPr="0096524F">
        <w:t xml:space="preserve">In </w:t>
      </w:r>
      <w:r w:rsidRPr="0096524F">
        <w:rPr>
          <w:i/>
        </w:rPr>
        <w:t>Starbucks</w:t>
      </w:r>
      <w:r w:rsidRPr="0096524F">
        <w:t>, the court specifically retained the substantial similarity requirement for claims brought under New York’s dilution statute.</w:t>
      </w:r>
      <w:r w:rsidRPr="0096524F">
        <w:t xml:space="preserve"> </w:t>
      </w:r>
      <w:r w:rsidRPr="0096524F">
        <w:t>588 F.3d at 114.</w:t>
      </w:r>
    </w:p>
  </w:footnote>
  <w:footnote w:id="764">
    <w:p w14:paraId="7084F792" w14:textId="7A6B445F" w:rsidR="0096524F" w:rsidRPr="00EB11B3" w:rsidRDefault="0096524F" w:rsidP="0096524F">
      <w:pPr>
        <w:pStyle w:val="FootnoteText"/>
      </w:pPr>
      <w:r w:rsidRPr="0096524F">
        <w:rPr>
          <w:vertAlign w:val="superscript"/>
        </w:rPr>
        <w:footnoteRef/>
      </w:r>
      <w:r w:rsidRPr="0096524F">
        <w:t>Even where a court presumed tarnishment from a sexually oriented use, it required a “clear semantic association” between the two marks.</w:t>
      </w:r>
      <w:r w:rsidRPr="0096524F">
        <w:t xml:space="preserve"> </w:t>
      </w:r>
      <w:r w:rsidRPr="0096524F">
        <w:t>V Secret Catalogue, Inc.</w:t>
      </w:r>
      <w:r w:rsidRPr="0096524F">
        <w:t xml:space="preserve"> </w:t>
      </w:r>
      <w:r w:rsidRPr="0096524F">
        <w:t>v.</w:t>
      </w:r>
      <w:r w:rsidRPr="0096524F">
        <w:t xml:space="preserve"> </w:t>
      </w:r>
      <w:r w:rsidRPr="0096524F">
        <w:t>Moseley, 605 F.3d 382, 385, 95 USPQ2d 1050 (6th Cir.</w:t>
      </w:r>
      <w:r w:rsidRPr="0096524F">
        <w:t xml:space="preserve"> </w:t>
      </w:r>
      <w:r w:rsidRPr="0096524F">
        <w:t xml:space="preserve">2010), </w:t>
      </w:r>
      <w:r w:rsidRPr="0096524F">
        <w:rPr>
          <w:i/>
        </w:rPr>
        <w:t>cert</w:t>
      </w:r>
      <w:r w:rsidRPr="0096524F">
        <w:t>.</w:t>
      </w:r>
      <w:r w:rsidRPr="0096524F">
        <w:t xml:space="preserve"> </w:t>
      </w:r>
      <w:r w:rsidRPr="0096524F">
        <w:rPr>
          <w:i/>
        </w:rPr>
        <w:t>denied</w:t>
      </w:r>
      <w:r w:rsidRPr="0096524F">
        <w:t>, 131 S.</w:t>
      </w:r>
      <w:r w:rsidRPr="0096524F">
        <w:t xml:space="preserve"> </w:t>
      </w:r>
      <w:r w:rsidRPr="0096524F">
        <w:t>Ct.</w:t>
      </w:r>
      <w:r w:rsidRPr="0096524F">
        <w:t xml:space="preserve"> </w:t>
      </w:r>
      <w:r w:rsidRPr="0096524F">
        <w:t>1003 (2011).</w:t>
      </w:r>
    </w:p>
  </w:footnote>
  <w:footnote w:id="765">
    <w:p w14:paraId="13F64482" w14:textId="5075A1E5" w:rsidR="0096524F" w:rsidRPr="0096524F" w:rsidRDefault="0096524F" w:rsidP="0096524F">
      <w:pPr>
        <w:pStyle w:val="FootnoteText"/>
      </w:pPr>
      <w:r w:rsidRPr="0096524F">
        <w:rPr>
          <w:vertAlign w:val="superscript"/>
        </w:rPr>
        <w:footnoteRef/>
      </w:r>
      <w:r w:rsidRPr="0096524F">
        <w:t>Nordstrom, Inc.</w:t>
      </w:r>
      <w:r w:rsidRPr="0096524F">
        <w:t xml:space="preserve"> </w:t>
      </w:r>
      <w:r w:rsidRPr="0096524F">
        <w:t>v.</w:t>
      </w:r>
      <w:r w:rsidRPr="0096524F">
        <w:t xml:space="preserve"> </w:t>
      </w:r>
      <w:r w:rsidRPr="0096524F">
        <w:t>Nomorerack Retail Grp., Inc., 2013 U.S.</w:t>
      </w:r>
      <w:r w:rsidRPr="0096524F">
        <w:t xml:space="preserve"> </w:t>
      </w:r>
      <w:r w:rsidRPr="0096524F">
        <w:t>Dist.</w:t>
      </w:r>
      <w:r w:rsidRPr="0096524F">
        <w:t xml:space="preserve"> </w:t>
      </w:r>
      <w:r w:rsidRPr="0096524F">
        <w:t>LEXIS 41810, at *32 (W.D.</w:t>
      </w:r>
      <w:r w:rsidRPr="0096524F">
        <w:t xml:space="preserve"> </w:t>
      </w:r>
      <w:r w:rsidRPr="0096524F">
        <w:t>Wash.</w:t>
      </w:r>
      <w:r w:rsidRPr="0096524F">
        <w:t xml:space="preserve"> </w:t>
      </w:r>
      <w:r w:rsidRPr="0096524F">
        <w:t>Mar.</w:t>
      </w:r>
      <w:r w:rsidRPr="0096524F">
        <w:t xml:space="preserve"> </w:t>
      </w:r>
      <w:r w:rsidRPr="0096524F">
        <w:t>25, 2013).</w:t>
      </w:r>
      <w:r w:rsidRPr="0096524F">
        <w:t xml:space="preserve"> </w:t>
      </w:r>
      <w:r w:rsidRPr="0096524F">
        <w:t xml:space="preserve">The court in </w:t>
      </w:r>
      <w:r w:rsidRPr="0096524F">
        <w:rPr>
          <w:rStyle w:val="BCasenamefull"/>
        </w:rPr>
        <w:t>VIP Prods., LLC v. Jack Daniel’s Props., Inc</w:t>
      </w:r>
      <w:r w:rsidRPr="0096524F">
        <w:t>., 291 F.</w:t>
      </w:r>
      <w:r w:rsidRPr="0096524F">
        <w:t xml:space="preserve"> </w:t>
      </w:r>
      <w:r w:rsidRPr="0096524F">
        <w:t>Supp.</w:t>
      </w:r>
      <w:r w:rsidRPr="0096524F">
        <w:t xml:space="preserve"> </w:t>
      </w:r>
      <w:r w:rsidRPr="0096524F">
        <w:t>3d 891, 901 (D.</w:t>
      </w:r>
      <w:r w:rsidRPr="0096524F">
        <w:t xml:space="preserve"> </w:t>
      </w:r>
      <w:r w:rsidRPr="0096524F">
        <w:t>Ariz.</w:t>
      </w:r>
      <w:r w:rsidRPr="0096524F">
        <w:t xml:space="preserve"> </w:t>
      </w:r>
      <w:r w:rsidRPr="0096524F">
        <w:t>2018), appears to have taken a similar approach.</w:t>
      </w:r>
    </w:p>
    <w:p w14:paraId="69AEE1A7" w14:textId="77777777" w:rsidR="0096524F" w:rsidRDefault="0096524F" w:rsidP="00D758BD">
      <w:pPr>
        <w:pStyle w:val="footnote"/>
      </w:pPr>
    </w:p>
  </w:footnote>
  <w:footnote w:id="766">
    <w:p w14:paraId="1706947E" w14:textId="002AFA3C" w:rsidR="0096524F" w:rsidRPr="0096524F" w:rsidRDefault="0096524F" w:rsidP="0096524F">
      <w:pPr>
        <w:pStyle w:val="FootnoteText"/>
      </w:pPr>
      <w:r w:rsidRPr="0096524F">
        <w:rPr>
          <w:vertAlign w:val="superscript"/>
        </w:rPr>
        <w:footnoteRef/>
      </w:r>
      <w:r w:rsidRPr="0096524F">
        <w:rPr>
          <w:i/>
        </w:rPr>
        <w:t>Nordstrom</w:t>
      </w:r>
      <w:r w:rsidRPr="0096524F">
        <w:t>, 2013 U.S.</w:t>
      </w:r>
      <w:r w:rsidRPr="0096524F">
        <w:t xml:space="preserve"> </w:t>
      </w:r>
      <w:r w:rsidRPr="0096524F">
        <w:t>Dist.</w:t>
      </w:r>
      <w:r w:rsidRPr="0096524F">
        <w:t xml:space="preserve"> </w:t>
      </w:r>
      <w:r w:rsidRPr="0096524F">
        <w:t>LEXIS 41810, at *32.</w:t>
      </w:r>
    </w:p>
    <w:p w14:paraId="727B5341" w14:textId="77777777" w:rsidR="0096524F" w:rsidRDefault="0096524F" w:rsidP="00D758BD">
      <w:pPr>
        <w:pStyle w:val="footnote"/>
      </w:pPr>
    </w:p>
  </w:footnote>
  <w:footnote w:id="767">
    <w:p w14:paraId="3C3AACC1" w14:textId="0BCE7DE2" w:rsidR="0096524F" w:rsidRPr="00EB11B3" w:rsidRDefault="0096524F" w:rsidP="0096524F">
      <w:pPr>
        <w:pStyle w:val="FootnoteText"/>
      </w:pPr>
      <w:r w:rsidRPr="0096524F">
        <w:rPr>
          <w:vertAlign w:val="superscript"/>
        </w:rPr>
        <w:footnoteRef/>
      </w:r>
      <w:r w:rsidRPr="0096524F">
        <w:t>McNeil Consumer Brands, Inc.</w:t>
      </w:r>
      <w:r w:rsidRPr="0096524F">
        <w:t xml:space="preserve"> </w:t>
      </w:r>
      <w:r w:rsidRPr="0096524F">
        <w:t>v.</w:t>
      </w:r>
      <w:r w:rsidRPr="0096524F">
        <w:t xml:space="preserve"> </w:t>
      </w:r>
      <w:r w:rsidRPr="0096524F">
        <w:t>U.S.</w:t>
      </w:r>
      <w:r w:rsidRPr="0096524F">
        <w:t xml:space="preserve"> </w:t>
      </w:r>
      <w:r w:rsidRPr="0096524F">
        <w:t>Dentek Corp., 116 F.</w:t>
      </w:r>
      <w:r w:rsidRPr="0096524F">
        <w:t xml:space="preserve"> </w:t>
      </w:r>
      <w:r w:rsidRPr="0096524F">
        <w:t>Supp.</w:t>
      </w:r>
      <w:r w:rsidRPr="0096524F">
        <w:t xml:space="preserve"> </w:t>
      </w:r>
      <w:r w:rsidRPr="0096524F">
        <w:t>2d 604, 608, 56 USPQ2d 1758 (E.D.</w:t>
      </w:r>
      <w:r w:rsidRPr="0096524F">
        <w:t xml:space="preserve"> </w:t>
      </w:r>
      <w:r w:rsidRPr="0096524F">
        <w:t>Pa.</w:t>
      </w:r>
      <w:r w:rsidRPr="0096524F">
        <w:t xml:space="preserve"> </w:t>
      </w:r>
      <w:r w:rsidRPr="0096524F">
        <w:t>2000);</w:t>
      </w:r>
      <w:r w:rsidRPr="0096524F">
        <w:t xml:space="preserve"> </w:t>
      </w:r>
      <w:r w:rsidRPr="0096524F">
        <w:t>Eli Lilly &amp; Co.</w:t>
      </w:r>
      <w:r w:rsidRPr="0096524F">
        <w:t xml:space="preserve"> </w:t>
      </w:r>
      <w:r w:rsidRPr="0096524F">
        <w:t>v.</w:t>
      </w:r>
      <w:r w:rsidRPr="0096524F">
        <w:t xml:space="preserve"> </w:t>
      </w:r>
      <w:r w:rsidRPr="0096524F">
        <w:t>Natural Answers, Inc., 86 F.</w:t>
      </w:r>
      <w:r w:rsidRPr="0096524F">
        <w:t xml:space="preserve"> </w:t>
      </w:r>
      <w:r w:rsidRPr="0096524F">
        <w:t>Supp.</w:t>
      </w:r>
      <w:r w:rsidRPr="0096524F">
        <w:t xml:space="preserve"> </w:t>
      </w:r>
      <w:r w:rsidRPr="0096524F">
        <w:t>2d 834, 841 (S.D.</w:t>
      </w:r>
      <w:r w:rsidRPr="0096524F">
        <w:t xml:space="preserve"> </w:t>
      </w:r>
      <w:r w:rsidRPr="0096524F">
        <w:t xml:space="preserve">Ind.), </w:t>
      </w:r>
      <w:r w:rsidRPr="0096524F">
        <w:rPr>
          <w:i/>
        </w:rPr>
        <w:t>aff’d</w:t>
      </w:r>
      <w:r w:rsidRPr="0096524F">
        <w:t xml:space="preserve"> 233 F.3d 456, 56 USPQ2d 1942 (7th Cir.</w:t>
      </w:r>
      <w:r w:rsidRPr="0096524F">
        <w:t xml:space="preserve"> </w:t>
      </w:r>
      <w:r w:rsidRPr="0096524F">
        <w:t>2000).</w:t>
      </w:r>
    </w:p>
  </w:footnote>
  <w:footnote w:id="768">
    <w:p w14:paraId="31A6CACC" w14:textId="0BBFEF6B" w:rsidR="0096524F" w:rsidRPr="00882ED4" w:rsidRDefault="0096524F" w:rsidP="0096524F">
      <w:pPr>
        <w:pStyle w:val="FootnoteText"/>
        <w:rPr>
          <w:lang w:val="nb-NO"/>
        </w:rPr>
      </w:pPr>
      <w:r w:rsidRPr="0096524F">
        <w:rPr>
          <w:vertAlign w:val="superscript"/>
        </w:rPr>
        <w:footnoteRef/>
      </w:r>
      <w:r w:rsidRPr="0096524F">
        <w:rPr>
          <w:i/>
        </w:rPr>
        <w:t>McNeil,</w:t>
      </w:r>
      <w:r w:rsidRPr="0096524F">
        <w:t xml:space="preserve"> 116 F.</w:t>
      </w:r>
      <w:r w:rsidRPr="0096524F">
        <w:t xml:space="preserve"> </w:t>
      </w:r>
      <w:r w:rsidRPr="0096524F">
        <w:t>Supp.</w:t>
      </w:r>
      <w:r w:rsidRPr="0096524F">
        <w:t xml:space="preserve"> </w:t>
      </w:r>
      <w:r w:rsidRPr="0096524F">
        <w:t>2d at 608.</w:t>
      </w:r>
    </w:p>
  </w:footnote>
  <w:footnote w:id="769">
    <w:p w14:paraId="1D67B009" w14:textId="5D509315" w:rsidR="0096524F" w:rsidRPr="00EB11B3" w:rsidRDefault="0096524F" w:rsidP="0096524F">
      <w:pPr>
        <w:pStyle w:val="FootnoteText"/>
      </w:pPr>
      <w:r w:rsidRPr="0096524F">
        <w:rPr>
          <w:vertAlign w:val="superscript"/>
        </w:rPr>
        <w:footnoteRef/>
      </w:r>
      <w:r w:rsidRPr="0096524F">
        <w:rPr>
          <w:i/>
        </w:rPr>
        <w:t>Id</w:t>
      </w:r>
      <w:r w:rsidRPr="0096524F">
        <w:t>.</w:t>
      </w:r>
    </w:p>
  </w:footnote>
  <w:footnote w:id="770">
    <w:p w14:paraId="295C8789" w14:textId="7727788D" w:rsidR="0096524F" w:rsidRPr="00EB11B3" w:rsidRDefault="0096524F" w:rsidP="0096524F">
      <w:pPr>
        <w:pStyle w:val="FootnoteText"/>
      </w:pPr>
      <w:r w:rsidRPr="0096524F">
        <w:rPr>
          <w:vertAlign w:val="superscript"/>
        </w:rPr>
        <w:footnoteRef/>
      </w:r>
      <w:r w:rsidRPr="0096524F">
        <w:rPr>
          <w:i/>
        </w:rPr>
        <w:t>Id</w:t>
      </w:r>
      <w:r w:rsidRPr="0096524F">
        <w:t>.</w:t>
      </w:r>
    </w:p>
  </w:footnote>
  <w:footnote w:id="771">
    <w:p w14:paraId="63B3C2E4" w14:textId="4048B00F" w:rsidR="0096524F" w:rsidRPr="00EB11B3" w:rsidRDefault="0096524F" w:rsidP="0096524F">
      <w:pPr>
        <w:pStyle w:val="FootnoteText"/>
      </w:pPr>
      <w:r w:rsidRPr="0096524F">
        <w:rPr>
          <w:vertAlign w:val="superscript"/>
        </w:rPr>
        <w:footnoteRef/>
      </w:r>
      <w:r w:rsidRPr="0096524F">
        <w:rPr>
          <w:i/>
        </w:rPr>
        <w:t>Eli Lilly,</w:t>
      </w:r>
      <w:r w:rsidRPr="0096524F">
        <w:t xml:space="preserve"> 86 F.</w:t>
      </w:r>
      <w:r w:rsidRPr="0096524F">
        <w:t xml:space="preserve"> </w:t>
      </w:r>
      <w:r w:rsidRPr="0096524F">
        <w:t>Supp.</w:t>
      </w:r>
      <w:r w:rsidRPr="0096524F">
        <w:t xml:space="preserve"> </w:t>
      </w:r>
      <w:r w:rsidRPr="0096524F">
        <w:t>2d at 852.</w:t>
      </w:r>
    </w:p>
  </w:footnote>
  <w:footnote w:id="772">
    <w:p w14:paraId="014D7FC0" w14:textId="3F970C9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841, 852.</w:t>
      </w:r>
      <w:r w:rsidRPr="0096524F">
        <w:t xml:space="preserve"> </w:t>
      </w:r>
      <w:r w:rsidRPr="0096524F">
        <w:t>The court of appeals came to the same conclusion on a similar basis.</w:t>
      </w:r>
      <w:r w:rsidRPr="0096524F">
        <w:t xml:space="preserve"> </w:t>
      </w:r>
      <w:r w:rsidRPr="0096524F">
        <w:t>233 F.3d at 462.</w:t>
      </w:r>
    </w:p>
  </w:footnote>
  <w:footnote w:id="773">
    <w:p w14:paraId="504D67CB" w14:textId="5E74BC17" w:rsidR="0096524F" w:rsidRPr="00EB11B3" w:rsidRDefault="0096524F" w:rsidP="0096524F">
      <w:pPr>
        <w:pStyle w:val="FootnoteText"/>
      </w:pPr>
      <w:r w:rsidRPr="0096524F">
        <w:rPr>
          <w:vertAlign w:val="superscript"/>
        </w:rPr>
        <w:footnoteRef/>
      </w:r>
      <w:r w:rsidRPr="0096524F">
        <w:t>86 F.</w:t>
      </w:r>
      <w:r w:rsidRPr="0096524F">
        <w:t xml:space="preserve"> </w:t>
      </w:r>
      <w:r w:rsidRPr="0096524F">
        <w:t>Supp.</w:t>
      </w:r>
      <w:r w:rsidRPr="0096524F">
        <w:t xml:space="preserve"> </w:t>
      </w:r>
      <w:r w:rsidRPr="0096524F">
        <w:t>2d at 841.</w:t>
      </w:r>
    </w:p>
  </w:footnote>
  <w:footnote w:id="774">
    <w:p w14:paraId="56F9AE18" w14:textId="447E02F8" w:rsidR="0096524F" w:rsidRPr="00EB11B3" w:rsidRDefault="0096524F" w:rsidP="0096524F">
      <w:pPr>
        <w:pStyle w:val="FootnoteText"/>
      </w:pPr>
      <w:r w:rsidRPr="0096524F">
        <w:rPr>
          <w:vertAlign w:val="superscript"/>
        </w:rPr>
        <w:footnoteRef/>
      </w:r>
      <w:r w:rsidRPr="0096524F">
        <w:t>Ringling Bros.-Barnum &amp; Bailey Combined Shows, Inc.</w:t>
      </w:r>
      <w:r w:rsidRPr="0096524F">
        <w:t xml:space="preserve"> </w:t>
      </w:r>
      <w:r w:rsidRPr="0096524F">
        <w:t>v.</w:t>
      </w:r>
      <w:r w:rsidRPr="0096524F">
        <w:t xml:space="preserve"> </w:t>
      </w:r>
      <w:r w:rsidRPr="0096524F">
        <w:t>B.E.</w:t>
      </w:r>
      <w:r w:rsidRPr="0096524F">
        <w:t xml:space="preserve"> </w:t>
      </w:r>
      <w:r w:rsidRPr="0096524F">
        <w:t>Windows Corp., 937 F.</w:t>
      </w:r>
      <w:r w:rsidRPr="0096524F">
        <w:t xml:space="preserve"> </w:t>
      </w:r>
      <w:r w:rsidRPr="0096524F">
        <w:t>Supp.</w:t>
      </w:r>
      <w:r w:rsidRPr="0096524F">
        <w:t xml:space="preserve"> </w:t>
      </w:r>
      <w:r w:rsidRPr="0096524F">
        <w:t>204, 211–12, 40 USPQ2d 1010 (S.D.N.Y.</w:t>
      </w:r>
      <w:r w:rsidRPr="0096524F">
        <w:t xml:space="preserve"> </w:t>
      </w:r>
      <w:r w:rsidRPr="0096524F">
        <w:t>1996);</w:t>
      </w:r>
      <w:r w:rsidRPr="0096524F">
        <w:t xml:space="preserve"> </w:t>
      </w:r>
      <w:r w:rsidRPr="0096524F">
        <w:t>Ringling Bros.-Barnum &amp; Bailey Combined Shows, Inc.</w:t>
      </w:r>
      <w:r w:rsidRPr="0096524F">
        <w:t xml:space="preserve"> </w:t>
      </w:r>
      <w:r w:rsidRPr="0096524F">
        <w:t>v.</w:t>
      </w:r>
      <w:r w:rsidRPr="0096524F">
        <w:t xml:space="preserve"> </w:t>
      </w:r>
      <w:r w:rsidRPr="0096524F">
        <w:t>Utah Div.</w:t>
      </w:r>
      <w:r w:rsidRPr="0096524F">
        <w:t xml:space="preserve"> </w:t>
      </w:r>
      <w:r w:rsidRPr="0096524F">
        <w:t>of Travel Dev., 955 F.</w:t>
      </w:r>
      <w:r w:rsidRPr="0096524F">
        <w:t xml:space="preserve"> </w:t>
      </w:r>
      <w:r w:rsidRPr="0096524F">
        <w:t>Supp.</w:t>
      </w:r>
      <w:r w:rsidRPr="0096524F">
        <w:t xml:space="preserve"> </w:t>
      </w:r>
      <w:r w:rsidRPr="0096524F">
        <w:t>605, 618–19, 42 USPQ2d 1161 (E.D.</w:t>
      </w:r>
      <w:r w:rsidRPr="0096524F">
        <w:t xml:space="preserve"> </w:t>
      </w:r>
      <w:r w:rsidRPr="0096524F">
        <w:t>Va.</w:t>
      </w:r>
      <w:r w:rsidRPr="0096524F">
        <w:t xml:space="preserve"> </w:t>
      </w:r>
      <w:r w:rsidRPr="0096524F">
        <w:t xml:space="preserve">1997), </w:t>
      </w:r>
      <w:r w:rsidRPr="0096524F">
        <w:rPr>
          <w:i/>
        </w:rPr>
        <w:t>aff’d,</w:t>
      </w:r>
      <w:r w:rsidRPr="0096524F">
        <w:t xml:space="preserve"> 170 F.3d 449, 50 USPQ2d 1065 (4th Cir.), </w:t>
      </w:r>
      <w:r w:rsidRPr="0096524F">
        <w:rPr>
          <w:i/>
        </w:rPr>
        <w:t>cert</w:t>
      </w:r>
      <w:r w:rsidRPr="0096524F">
        <w:t>.</w:t>
      </w:r>
      <w:r w:rsidRPr="0096524F">
        <w:t xml:space="preserve"> </w:t>
      </w:r>
      <w:r w:rsidRPr="0096524F">
        <w:rPr>
          <w:i/>
        </w:rPr>
        <w:t>denied,</w:t>
      </w:r>
      <w:r w:rsidRPr="0096524F">
        <w:t xml:space="preserve"> 528 U.S.</w:t>
      </w:r>
      <w:r w:rsidRPr="0096524F">
        <w:t xml:space="preserve"> </w:t>
      </w:r>
      <w:r w:rsidRPr="0096524F">
        <w:t>923 (1999).</w:t>
      </w:r>
    </w:p>
  </w:footnote>
  <w:footnote w:id="775">
    <w:p w14:paraId="161C5FC9" w14:textId="0C221746" w:rsidR="0096524F" w:rsidRPr="00EB11B3" w:rsidRDefault="0096524F" w:rsidP="0096524F">
      <w:pPr>
        <w:pStyle w:val="FootnoteText"/>
      </w:pPr>
      <w:r w:rsidRPr="0096524F">
        <w:rPr>
          <w:vertAlign w:val="superscript"/>
        </w:rPr>
        <w:footnoteRef/>
      </w:r>
      <w:r w:rsidRPr="0096524F">
        <w:rPr>
          <w:i/>
        </w:rPr>
        <w:t>B</w:t>
      </w:r>
      <w:r w:rsidRPr="0096524F">
        <w:t>.</w:t>
      </w:r>
      <w:r w:rsidRPr="0096524F">
        <w:rPr>
          <w:i/>
        </w:rPr>
        <w:t>E</w:t>
      </w:r>
      <w:r w:rsidRPr="0096524F">
        <w:t>.</w:t>
      </w:r>
      <w:r w:rsidRPr="0096524F">
        <w:t xml:space="preserve"> </w:t>
      </w:r>
      <w:r w:rsidRPr="0096524F">
        <w:rPr>
          <w:i/>
        </w:rPr>
        <w:t>Windows,</w:t>
      </w:r>
      <w:r w:rsidRPr="0096524F">
        <w:t xml:space="preserve"> 937 F.</w:t>
      </w:r>
      <w:r w:rsidRPr="0096524F">
        <w:t xml:space="preserve"> </w:t>
      </w:r>
      <w:r w:rsidRPr="0096524F">
        <w:t>Supp.</w:t>
      </w:r>
      <w:r w:rsidRPr="0096524F">
        <w:t xml:space="preserve"> </w:t>
      </w:r>
      <w:r w:rsidRPr="0096524F">
        <w:t>at 212.</w:t>
      </w:r>
    </w:p>
  </w:footnote>
  <w:footnote w:id="776">
    <w:p w14:paraId="5BF947DC" w14:textId="12E37F19" w:rsidR="0096524F" w:rsidRPr="00EB11B3" w:rsidRDefault="0096524F" w:rsidP="0096524F">
      <w:pPr>
        <w:pStyle w:val="FootnoteText"/>
      </w:pPr>
      <w:r w:rsidRPr="0096524F">
        <w:rPr>
          <w:vertAlign w:val="superscript"/>
        </w:rPr>
        <w:footnoteRef/>
      </w:r>
      <w:r w:rsidRPr="0096524F">
        <w:rPr>
          <w:i/>
        </w:rPr>
        <w:t>Id</w:t>
      </w:r>
      <w:r w:rsidRPr="0096524F">
        <w:t>.</w:t>
      </w:r>
    </w:p>
  </w:footnote>
  <w:footnote w:id="777">
    <w:p w14:paraId="2CEE814F" w14:textId="3C8F8B11" w:rsidR="0096524F" w:rsidRPr="00EB11B3" w:rsidRDefault="0096524F" w:rsidP="0096524F">
      <w:pPr>
        <w:pStyle w:val="FootnoteText"/>
      </w:pPr>
      <w:r w:rsidRPr="0096524F">
        <w:rPr>
          <w:vertAlign w:val="superscript"/>
        </w:rPr>
        <w:footnoteRef/>
      </w:r>
      <w:r w:rsidRPr="0096524F">
        <w:rPr>
          <w:i/>
        </w:rPr>
        <w:t>Id</w:t>
      </w:r>
      <w:r w:rsidRPr="0096524F">
        <w:t>.</w:t>
      </w:r>
    </w:p>
  </w:footnote>
  <w:footnote w:id="778">
    <w:p w14:paraId="64648581" w14:textId="1AB436E0" w:rsidR="0096524F" w:rsidRPr="00EB11B3" w:rsidRDefault="0096524F" w:rsidP="0096524F">
      <w:pPr>
        <w:pStyle w:val="FootnoteText"/>
      </w:pPr>
      <w:r w:rsidRPr="0096524F">
        <w:rPr>
          <w:vertAlign w:val="superscript"/>
        </w:rPr>
        <w:footnoteRef/>
      </w:r>
      <w:r w:rsidRPr="0096524F">
        <w:t>Ringling Bros.-Barnum &amp; Bailey Combined Shows, Inc.</w:t>
      </w:r>
      <w:r w:rsidRPr="0096524F">
        <w:t xml:space="preserve"> </w:t>
      </w:r>
      <w:r w:rsidRPr="0096524F">
        <w:t>v.</w:t>
      </w:r>
      <w:r w:rsidRPr="0096524F">
        <w:t xml:space="preserve"> </w:t>
      </w:r>
      <w:r w:rsidRPr="0096524F">
        <w:t>Utah Division of Travel Development, 955 F.</w:t>
      </w:r>
      <w:r w:rsidRPr="0096524F">
        <w:t xml:space="preserve"> </w:t>
      </w:r>
      <w:r w:rsidRPr="0096524F">
        <w:t>Supp.</w:t>
      </w:r>
      <w:r w:rsidRPr="0096524F">
        <w:t xml:space="preserve"> </w:t>
      </w:r>
      <w:r w:rsidRPr="0096524F">
        <w:t>at 618–19.</w:t>
      </w:r>
      <w:r w:rsidRPr="0096524F">
        <w:t xml:space="preserve"> </w:t>
      </w:r>
      <w:r w:rsidRPr="0096524F">
        <w:t>It should be noted that although the court of appeals affirmed the district court’s conclusion that dilution had not been shown, it expressed “some concern” about the finding of no similarity.</w:t>
      </w:r>
      <w:r w:rsidRPr="0096524F">
        <w:t xml:space="preserve"> </w:t>
      </w:r>
      <w:r w:rsidRPr="0096524F">
        <w:t>170 F.3d at 463.</w:t>
      </w:r>
    </w:p>
  </w:footnote>
  <w:footnote w:id="779">
    <w:p w14:paraId="04634823" w14:textId="69D6F2B9" w:rsidR="0096524F" w:rsidRPr="00EB11B3" w:rsidRDefault="0096524F" w:rsidP="0096524F">
      <w:pPr>
        <w:pStyle w:val="FootnoteText"/>
      </w:pPr>
      <w:r w:rsidRPr="0096524F">
        <w:rPr>
          <w:vertAlign w:val="superscript"/>
        </w:rPr>
        <w:footnoteRef/>
      </w:r>
      <w:r w:rsidRPr="0096524F">
        <w:t>955 F.</w:t>
      </w:r>
      <w:r w:rsidRPr="0096524F">
        <w:t xml:space="preserve"> </w:t>
      </w:r>
      <w:r w:rsidRPr="0096524F">
        <w:t>Supp.</w:t>
      </w:r>
      <w:r w:rsidRPr="0096524F">
        <w:t xml:space="preserve"> </w:t>
      </w:r>
      <w:r w:rsidRPr="0096524F">
        <w:t>at 619.</w:t>
      </w:r>
      <w:r w:rsidRPr="0096524F">
        <w:t xml:space="preserve"> </w:t>
      </w:r>
      <w:r w:rsidRPr="0096524F">
        <w:rPr>
          <w:i/>
        </w:rPr>
        <w:t>See</w:t>
      </w:r>
      <w:r w:rsidRPr="0096524F">
        <w:t xml:space="preserve"> Luigino’s, Inc.</w:t>
      </w:r>
      <w:r w:rsidRPr="0096524F">
        <w:t xml:space="preserve"> </w:t>
      </w:r>
      <w:r w:rsidRPr="0096524F">
        <w:t>v.</w:t>
      </w:r>
      <w:r w:rsidRPr="0096524F">
        <w:t xml:space="preserve"> </w:t>
      </w:r>
      <w:r w:rsidRPr="0096524F">
        <w:t>Stouffer Corp., 170 F.3d 827, 832, 50 USPQ2d 1047 (8th Cir.</w:t>
      </w:r>
      <w:r w:rsidRPr="0096524F">
        <w:t xml:space="preserve"> </w:t>
      </w:r>
      <w:r w:rsidRPr="0096524F">
        <w:t>1999) (Lean N Tasty not similar to Lean Cuisine;</w:t>
      </w:r>
      <w:r w:rsidRPr="0096524F">
        <w:t xml:space="preserve"> </w:t>
      </w:r>
      <w:r w:rsidRPr="0096524F">
        <w:t>“lean” is a descriptive word and “Tasty” is not the same as “Cuisine”).</w:t>
      </w:r>
    </w:p>
  </w:footnote>
  <w:footnote w:id="780">
    <w:p w14:paraId="30A19F79" w14:textId="762AA475" w:rsidR="0096524F" w:rsidRPr="00EB11B3" w:rsidRDefault="0096524F" w:rsidP="0096524F">
      <w:pPr>
        <w:pStyle w:val="FootnoteText"/>
      </w:pPr>
      <w:r w:rsidRPr="0096524F">
        <w:rPr>
          <w:vertAlign w:val="superscript"/>
        </w:rPr>
        <w:footnoteRef/>
      </w:r>
      <w:r w:rsidRPr="0096524F">
        <w:rPr>
          <w:i/>
        </w:rPr>
        <w:t>Ringling</w:t>
      </w:r>
      <w:r w:rsidRPr="0096524F">
        <w:t>, 955 F.</w:t>
      </w:r>
      <w:r w:rsidRPr="0096524F">
        <w:t xml:space="preserve"> </w:t>
      </w:r>
      <w:r w:rsidRPr="0096524F">
        <w:t>Supp.</w:t>
      </w:r>
      <w:r w:rsidRPr="0096524F">
        <w:t xml:space="preserve"> </w:t>
      </w:r>
      <w:r w:rsidRPr="0096524F">
        <w:t>at 619 n.27.</w:t>
      </w:r>
    </w:p>
  </w:footnote>
  <w:footnote w:id="781">
    <w:p w14:paraId="53ED9FD8" w14:textId="7DCD50FA" w:rsidR="0096524F" w:rsidRPr="00EB11B3" w:rsidRDefault="0096524F" w:rsidP="0096524F">
      <w:pPr>
        <w:pStyle w:val="FootnoteText"/>
      </w:pPr>
      <w:r w:rsidRPr="0096524F">
        <w:rPr>
          <w:vertAlign w:val="superscript"/>
        </w:rPr>
        <w:footnoteRef/>
      </w:r>
      <w:r w:rsidRPr="0096524F">
        <w:t>373 F.3d 786, 71 USPQ2d 1385 (6th Cir.</w:t>
      </w:r>
      <w:r w:rsidRPr="0096524F">
        <w:t xml:space="preserve"> </w:t>
      </w:r>
      <w:r w:rsidRPr="0096524F">
        <w:t>2004).</w:t>
      </w:r>
    </w:p>
  </w:footnote>
  <w:footnote w:id="782">
    <w:p w14:paraId="249F3B20" w14:textId="5CF40301" w:rsidR="0096524F" w:rsidRPr="00EB11B3" w:rsidRDefault="0096524F" w:rsidP="0096524F">
      <w:pPr>
        <w:pStyle w:val="FootnoteText"/>
      </w:pPr>
      <w:r w:rsidRPr="0096524F">
        <w:rPr>
          <w:vertAlign w:val="superscript"/>
        </w:rPr>
        <w:footnoteRef/>
      </w:r>
      <w:r w:rsidRPr="0096524F">
        <w:t>The Autozone mark was used for automotive parts and supplies.</w:t>
      </w:r>
      <w:r w:rsidRPr="0096524F">
        <w:t xml:space="preserve"> </w:t>
      </w:r>
      <w:r w:rsidRPr="0096524F">
        <w:t>The Powerzone mark was used for a section within a Radio Shack store devoted to power-related items such as batteries, power supplies, and the like.</w:t>
      </w:r>
      <w:r w:rsidRPr="0096524F">
        <w:t xml:space="preserve"> </w:t>
      </w:r>
      <w:r w:rsidRPr="0096524F">
        <w:rPr>
          <w:i/>
        </w:rPr>
        <w:t>Id</w:t>
      </w:r>
      <w:r w:rsidRPr="0096524F">
        <w:t>.</w:t>
      </w:r>
      <w:r w:rsidRPr="0096524F">
        <w:t xml:space="preserve"> </w:t>
      </w:r>
      <w:r w:rsidRPr="0096524F">
        <w:t>at 789–90.</w:t>
      </w:r>
    </w:p>
  </w:footnote>
  <w:footnote w:id="783">
    <w:p w14:paraId="5305A590" w14:textId="182429CA"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806.</w:t>
      </w:r>
      <w:r w:rsidRPr="0096524F">
        <w:t xml:space="preserve"> </w:t>
      </w:r>
      <w:r w:rsidRPr="0096524F">
        <w:t xml:space="preserve">This statement also incorporates the “actual dilution” standard set forth by the Supreme Court in </w:t>
      </w:r>
      <w:r w:rsidRPr="0096524F">
        <w:rPr>
          <w:rStyle w:val="BCasenamefull"/>
        </w:rPr>
        <w:t>Moseley v. V Secret Catalogue, Inc</w:t>
      </w:r>
      <w:r w:rsidRPr="0096524F">
        <w:t>., 537 U.S.</w:t>
      </w:r>
      <w:r w:rsidRPr="0096524F">
        <w:t xml:space="preserve"> </w:t>
      </w:r>
      <w:r w:rsidRPr="0096524F">
        <w:t>418, 65 USPQ2d 1801 (2003).</w:t>
      </w:r>
    </w:p>
  </w:footnote>
  <w:footnote w:id="784">
    <w:p w14:paraId="2FF8355C" w14:textId="2771CFAA" w:rsidR="0096524F" w:rsidRPr="00EB11B3" w:rsidRDefault="0096524F" w:rsidP="0096524F">
      <w:pPr>
        <w:pStyle w:val="FootnoteText"/>
      </w:pPr>
      <w:r w:rsidRPr="0096524F">
        <w:rPr>
          <w:vertAlign w:val="superscript"/>
        </w:rPr>
        <w:footnoteRef/>
      </w:r>
      <w:r w:rsidRPr="0096524F">
        <w:rPr>
          <w:i/>
        </w:rPr>
        <w:t>AutoZone</w:t>
      </w:r>
      <w:r w:rsidRPr="0096524F">
        <w:t>, 373 F.3d at 806 (citing Playboy Enters., Inc.</w:t>
      </w:r>
      <w:r w:rsidRPr="0096524F">
        <w:t xml:space="preserve"> </w:t>
      </w:r>
      <w:r w:rsidRPr="0096524F">
        <w:t>v.</w:t>
      </w:r>
      <w:r w:rsidRPr="0096524F">
        <w:t xml:space="preserve"> </w:t>
      </w:r>
      <w:r w:rsidRPr="0096524F">
        <w:t>Welles, 279 F.3d 796, 806, 61 USPQ2d 1508 (9th Cir.</w:t>
      </w:r>
      <w:r w:rsidRPr="0096524F">
        <w:t xml:space="preserve"> </w:t>
      </w:r>
      <w:r w:rsidRPr="0096524F">
        <w:t>2002);</w:t>
      </w:r>
      <w:r w:rsidRPr="0096524F">
        <w:t xml:space="preserve"> </w:t>
      </w:r>
      <w:r w:rsidRPr="0096524F">
        <w:t>Eli Lilly &amp; Co.</w:t>
      </w:r>
      <w:r w:rsidRPr="0096524F">
        <w:t xml:space="preserve"> </w:t>
      </w:r>
      <w:r w:rsidRPr="0096524F">
        <w:t>v.</w:t>
      </w:r>
      <w:r w:rsidRPr="0096524F">
        <w:t xml:space="preserve"> </w:t>
      </w:r>
      <w:r w:rsidRPr="0096524F">
        <w:t>Natural Answers, Inc., 233 F.3d 456, 469, 56 USPQ2d 1942 (2000);</w:t>
      </w:r>
      <w:r w:rsidRPr="0096524F">
        <w:t xml:space="preserve"> </w:t>
      </w:r>
      <w:r w:rsidRPr="0096524F">
        <w:t>Ringling Bros.-Barnum &amp; Bailey Combined Shows, Inc.</w:t>
      </w:r>
      <w:r w:rsidRPr="0096524F">
        <w:t xml:space="preserve"> </w:t>
      </w:r>
      <w:r w:rsidRPr="0096524F">
        <w:t>v.</w:t>
      </w:r>
      <w:r w:rsidRPr="0096524F">
        <w:t xml:space="preserve"> </w:t>
      </w:r>
      <w:r w:rsidRPr="0096524F">
        <w:t>Utah Div.</w:t>
      </w:r>
      <w:r w:rsidRPr="0096524F">
        <w:t xml:space="preserve"> </w:t>
      </w:r>
      <w:r w:rsidRPr="0096524F">
        <w:t xml:space="preserve">of Travel Dev., 170 F.3d 449, 458, 50 USPQ2d 1065 (4th Cir.), </w:t>
      </w:r>
      <w:r w:rsidRPr="0096524F">
        <w:rPr>
          <w:i/>
        </w:rPr>
        <w:t>cert</w:t>
      </w:r>
      <w:r w:rsidRPr="0096524F">
        <w:t>.</w:t>
      </w:r>
      <w:r w:rsidRPr="0096524F">
        <w:t xml:space="preserve"> </w:t>
      </w:r>
      <w:r w:rsidRPr="0096524F">
        <w:rPr>
          <w:i/>
        </w:rPr>
        <w:t>denied</w:t>
      </w:r>
      <w:r w:rsidRPr="0096524F">
        <w:t>, 528 U.S.</w:t>
      </w:r>
      <w:r w:rsidRPr="0096524F">
        <w:t xml:space="preserve"> </w:t>
      </w:r>
      <w:r w:rsidRPr="0096524F">
        <w:t>923 (1999);</w:t>
      </w:r>
      <w:r w:rsidRPr="0096524F">
        <w:t xml:space="preserve"> </w:t>
      </w:r>
      <w:r w:rsidRPr="0096524F">
        <w:t>Luigino’s, Inc.</w:t>
      </w:r>
      <w:r w:rsidRPr="0096524F">
        <w:t xml:space="preserve"> </w:t>
      </w:r>
      <w:r w:rsidRPr="0096524F">
        <w:t>v.</w:t>
      </w:r>
      <w:r w:rsidRPr="0096524F">
        <w:t xml:space="preserve"> </w:t>
      </w:r>
      <w:r w:rsidRPr="0096524F">
        <w:t>Stouffer Corp., 170 F.3d 827, 832, 50 USPQ2d 1047 (8th Cir.</w:t>
      </w:r>
      <w:r w:rsidRPr="0096524F">
        <w:t xml:space="preserve"> </w:t>
      </w:r>
      <w:r w:rsidRPr="0096524F">
        <w:t>1999);</w:t>
      </w:r>
      <w:r w:rsidRPr="0096524F">
        <w:t xml:space="preserve"> </w:t>
      </w:r>
      <w:r w:rsidRPr="0096524F">
        <w:t>Nabisco, Inc.</w:t>
      </w:r>
      <w:r w:rsidRPr="0096524F">
        <w:t xml:space="preserve"> </w:t>
      </w:r>
      <w:r w:rsidRPr="0096524F">
        <w:t>v.</w:t>
      </w:r>
      <w:r w:rsidRPr="0096524F">
        <w:t xml:space="preserve"> </w:t>
      </w:r>
      <w:r w:rsidRPr="0096524F">
        <w:t>PF Brands, Inc., 191 F.3d 208, 218, 51 USPQ2d 1882 (2d Cir.</w:t>
      </w:r>
      <w:r w:rsidRPr="0096524F">
        <w:t xml:space="preserve"> </w:t>
      </w:r>
      <w:r w:rsidRPr="0096524F">
        <w:t>1999);</w:t>
      </w:r>
      <w:r w:rsidRPr="0096524F">
        <w:t xml:space="preserve"> </w:t>
      </w:r>
      <w:r w:rsidRPr="0096524F">
        <w:t>I.P.</w:t>
      </w:r>
      <w:r w:rsidRPr="0096524F">
        <w:t xml:space="preserve"> </w:t>
      </w:r>
      <w:r w:rsidRPr="0096524F">
        <w:t>Lund Trading ApS v.</w:t>
      </w:r>
      <w:r w:rsidRPr="0096524F">
        <w:t xml:space="preserve"> </w:t>
      </w:r>
      <w:r w:rsidRPr="0096524F">
        <w:t>Kohler Co., 163 F.3d 27, 50, 49 USPQ2d 1225 (1st Cir.</w:t>
      </w:r>
      <w:r w:rsidRPr="0096524F">
        <w:t xml:space="preserve"> </w:t>
      </w:r>
      <w:r w:rsidRPr="0096524F">
        <w:t>1998)).</w:t>
      </w:r>
      <w:r w:rsidRPr="0096524F">
        <w:t xml:space="preserve"> </w:t>
      </w:r>
      <w:r w:rsidRPr="0096524F">
        <w:t>The Second Circuit and Ninth Circuit positions on this issue have changed.</w:t>
      </w:r>
      <w:r w:rsidRPr="0096524F">
        <w:t xml:space="preserve"> </w:t>
      </w:r>
      <w:r w:rsidRPr="0096524F">
        <w:rPr>
          <w:i/>
        </w:rPr>
        <w:t xml:space="preserve">See </w:t>
      </w:r>
      <w:r w:rsidRPr="0096524F">
        <w:t>above §III.A.</w:t>
      </w:r>
    </w:p>
  </w:footnote>
  <w:footnote w:id="785">
    <w:p w14:paraId="755E81F7" w14:textId="543870F1" w:rsidR="0096524F" w:rsidRPr="00EB11B3" w:rsidRDefault="0096524F" w:rsidP="0096524F">
      <w:pPr>
        <w:pStyle w:val="FootnoteText"/>
      </w:pPr>
      <w:r w:rsidRPr="0096524F">
        <w:rPr>
          <w:vertAlign w:val="superscript"/>
        </w:rPr>
        <w:footnoteRef/>
      </w:r>
      <w:r w:rsidRPr="0096524F">
        <w:rPr>
          <w:i/>
        </w:rPr>
        <w:t>Autozone</w:t>
      </w:r>
      <w:r w:rsidRPr="0096524F">
        <w:t>, 373 F.3d at 806–07.</w:t>
      </w:r>
    </w:p>
  </w:footnote>
  <w:footnote w:id="786">
    <w:p w14:paraId="4700B32F" w14:textId="067EC473" w:rsidR="0096524F" w:rsidRPr="00EB11B3" w:rsidRDefault="0096524F" w:rsidP="0096524F">
      <w:pPr>
        <w:pStyle w:val="FootnoteText"/>
      </w:pPr>
      <w:r w:rsidRPr="0096524F">
        <w:rPr>
          <w:vertAlign w:val="superscript"/>
        </w:rPr>
        <w:footnoteRef/>
      </w:r>
      <w:r w:rsidRPr="0096524F">
        <w:t>CareFirst of Md., Inc.</w:t>
      </w:r>
      <w:r w:rsidRPr="0096524F">
        <w:t xml:space="preserve"> </w:t>
      </w:r>
      <w:r w:rsidRPr="0096524F">
        <w:t>v.</w:t>
      </w:r>
      <w:r w:rsidRPr="0096524F">
        <w:t xml:space="preserve"> </w:t>
      </w:r>
      <w:r w:rsidRPr="0096524F">
        <w:t>First Care, P.C., 434 F.3d 263, 274, 77 USPQ2d 1577 (4th Cir.</w:t>
      </w:r>
      <w:r w:rsidRPr="0096524F">
        <w:t xml:space="preserve"> </w:t>
      </w:r>
      <w:r w:rsidRPr="0096524F">
        <w:t>2006).</w:t>
      </w:r>
    </w:p>
  </w:footnote>
  <w:footnote w:id="787">
    <w:p w14:paraId="349F51CA" w14:textId="235AD925" w:rsidR="0096524F" w:rsidRPr="00EB11B3" w:rsidRDefault="0096524F" w:rsidP="0096524F">
      <w:pPr>
        <w:pStyle w:val="FootnoteText"/>
      </w:pPr>
      <w:r w:rsidRPr="0096524F">
        <w:rPr>
          <w:vertAlign w:val="superscript"/>
        </w:rPr>
        <w:footnoteRef/>
      </w:r>
      <w:r w:rsidRPr="0096524F">
        <w:t>561 F.</w:t>
      </w:r>
      <w:r w:rsidRPr="0096524F">
        <w:t xml:space="preserve"> </w:t>
      </w:r>
      <w:r w:rsidRPr="0096524F">
        <w:t>Supp.</w:t>
      </w:r>
      <w:r w:rsidRPr="0096524F">
        <w:t xml:space="preserve"> </w:t>
      </w:r>
      <w:r w:rsidRPr="0096524F">
        <w:t>2d 368 (S.D.N.Y.</w:t>
      </w:r>
      <w:r w:rsidRPr="0096524F">
        <w:t xml:space="preserve"> </w:t>
      </w:r>
      <w:r w:rsidRPr="0096524F">
        <w:t>2008).</w:t>
      </w:r>
    </w:p>
  </w:footnote>
  <w:footnote w:id="788">
    <w:p w14:paraId="0C3AE24D" w14:textId="1D3EA59B"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390.</w:t>
      </w:r>
      <w:r w:rsidRPr="0096524F">
        <w:t xml:space="preserve"> </w:t>
      </w:r>
      <w:r w:rsidRPr="0096524F">
        <w:t xml:space="preserve">Given its decision on the confusion claim, it is unlikely that even under the </w:t>
      </w:r>
      <w:r w:rsidRPr="0096524F">
        <w:rPr>
          <w:i/>
        </w:rPr>
        <w:t>Starbucks</w:t>
      </w:r>
      <w:r w:rsidRPr="0096524F">
        <w:t xml:space="preserve"> standard the court would have upheld the dilution claim.</w:t>
      </w:r>
    </w:p>
  </w:footnote>
  <w:footnote w:id="789">
    <w:p w14:paraId="53EC5DC5" w14:textId="124B70FF" w:rsidR="0096524F" w:rsidRPr="00882ED4" w:rsidRDefault="0096524F" w:rsidP="0096524F">
      <w:pPr>
        <w:pStyle w:val="FootnoteText"/>
        <w:rPr>
          <w:lang w:val="es-US"/>
        </w:rPr>
      </w:pPr>
      <w:r w:rsidRPr="0096524F">
        <w:rPr>
          <w:vertAlign w:val="superscript"/>
        </w:rPr>
        <w:footnoteRef/>
      </w:r>
      <w:r w:rsidRPr="0096524F">
        <w:t>588 F.3d 97, 92 USPQ2d 1769 (2d Cir.</w:t>
      </w:r>
      <w:r w:rsidRPr="0096524F">
        <w:t xml:space="preserve"> </w:t>
      </w:r>
      <w:r w:rsidRPr="0096524F">
        <w:t>2009).</w:t>
      </w:r>
    </w:p>
  </w:footnote>
  <w:footnote w:id="790">
    <w:p w14:paraId="302F6B79" w14:textId="0763D9FE" w:rsidR="0096524F" w:rsidRPr="00882ED4" w:rsidRDefault="0096524F" w:rsidP="0096524F">
      <w:pPr>
        <w:pStyle w:val="FootnoteText"/>
        <w:rPr>
          <w:lang w:val="es-US"/>
        </w:rPr>
      </w:pPr>
      <w:r w:rsidRPr="0096524F">
        <w:rPr>
          <w:vertAlign w:val="superscript"/>
        </w:rPr>
        <w:footnoteRef/>
      </w:r>
      <w:r w:rsidRPr="0096524F">
        <w:rPr>
          <w:i/>
        </w:rPr>
        <w:t>Id</w:t>
      </w:r>
      <w:r w:rsidRPr="0096524F">
        <w:t>.</w:t>
      </w:r>
      <w:r w:rsidRPr="0096524F">
        <w:t xml:space="preserve"> </w:t>
      </w:r>
      <w:r w:rsidRPr="0096524F">
        <w:t>at 107.</w:t>
      </w:r>
    </w:p>
  </w:footnote>
  <w:footnote w:id="791">
    <w:p w14:paraId="093ACE4A" w14:textId="6F715F0A" w:rsidR="0096524F" w:rsidRPr="00882ED4" w:rsidRDefault="0096524F" w:rsidP="0096524F">
      <w:pPr>
        <w:pStyle w:val="FootnoteText"/>
        <w:rPr>
          <w:lang w:val="es-US"/>
        </w:rPr>
      </w:pPr>
      <w:r w:rsidRPr="0096524F">
        <w:rPr>
          <w:vertAlign w:val="superscript"/>
        </w:rPr>
        <w:footnoteRef/>
      </w:r>
      <w:r w:rsidRPr="0096524F">
        <w:t>Starbucks Corp.</w:t>
      </w:r>
      <w:r w:rsidRPr="0096524F">
        <w:t xml:space="preserve"> </w:t>
      </w:r>
      <w:r w:rsidRPr="0096524F">
        <w:t>v.</w:t>
      </w:r>
      <w:r w:rsidRPr="0096524F">
        <w:t xml:space="preserve"> </w:t>
      </w:r>
      <w:r w:rsidRPr="0096524F">
        <w:t>Wolfe’s Borough Coffee, Inc., 101 USPQ2d 1212, 1215–16 (S.D.N.Y.</w:t>
      </w:r>
      <w:r w:rsidRPr="0096524F">
        <w:t xml:space="preserve"> </w:t>
      </w:r>
      <w:r w:rsidRPr="0096524F">
        <w:t>2011).</w:t>
      </w:r>
    </w:p>
  </w:footnote>
  <w:footnote w:id="792">
    <w:p w14:paraId="1200608D" w14:textId="1C16CD47" w:rsidR="0096524F" w:rsidRPr="0096524F" w:rsidRDefault="0096524F" w:rsidP="0096524F">
      <w:pPr>
        <w:pStyle w:val="FootnoteText"/>
      </w:pPr>
      <w:r w:rsidRPr="0096524F">
        <w:rPr>
          <w:vertAlign w:val="superscript"/>
        </w:rPr>
        <w:footnoteRef/>
      </w:r>
      <w:r w:rsidRPr="0096524F">
        <w:t>2013 WL 12157828 (D.N.J.</w:t>
      </w:r>
      <w:r w:rsidRPr="0096524F">
        <w:t xml:space="preserve"> </w:t>
      </w:r>
      <w:r w:rsidRPr="0096524F">
        <w:t>Jan.</w:t>
      </w:r>
      <w:r w:rsidRPr="0096524F">
        <w:t xml:space="preserve"> </w:t>
      </w:r>
      <w:r w:rsidRPr="0096524F">
        <w:t>18, 2013).</w:t>
      </w:r>
    </w:p>
    <w:p w14:paraId="3384C555" w14:textId="77777777" w:rsidR="0096524F" w:rsidRDefault="0096524F" w:rsidP="00D758BD">
      <w:pPr>
        <w:pStyle w:val="footnote"/>
      </w:pPr>
    </w:p>
  </w:footnote>
  <w:footnote w:id="793">
    <w:p w14:paraId="23AE3205" w14:textId="1CAE9EF9"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*24.</w:t>
      </w:r>
    </w:p>
    <w:p w14:paraId="6CC1B81D" w14:textId="77777777" w:rsidR="0096524F" w:rsidRDefault="0096524F" w:rsidP="00D758BD">
      <w:pPr>
        <w:pStyle w:val="footnote"/>
      </w:pPr>
    </w:p>
  </w:footnote>
  <w:footnote w:id="794">
    <w:p w14:paraId="141155DE" w14:textId="7CA222FD" w:rsidR="0096524F" w:rsidRPr="0096524F" w:rsidRDefault="0096524F" w:rsidP="0096524F">
      <w:pPr>
        <w:pStyle w:val="FootnoteText"/>
      </w:pPr>
      <w:r w:rsidRPr="0096524F">
        <w:rPr>
          <w:vertAlign w:val="superscript"/>
        </w:rPr>
        <w:footnoteRef/>
      </w:r>
      <w:r w:rsidRPr="0096524F">
        <w:t>Id.</w:t>
      </w:r>
    </w:p>
    <w:p w14:paraId="7817EE2D" w14:textId="77777777" w:rsidR="0096524F" w:rsidRDefault="0096524F" w:rsidP="00D758BD">
      <w:pPr>
        <w:pStyle w:val="footnote"/>
      </w:pPr>
    </w:p>
  </w:footnote>
  <w:footnote w:id="795">
    <w:p w14:paraId="6C80EF54" w14:textId="721564AF" w:rsidR="0096524F" w:rsidRPr="0096524F" w:rsidRDefault="0096524F" w:rsidP="0096524F">
      <w:pPr>
        <w:pStyle w:val="FootnoteText"/>
      </w:pPr>
      <w:r w:rsidRPr="0096524F">
        <w:rPr>
          <w:vertAlign w:val="superscript"/>
        </w:rPr>
        <w:footnoteRef/>
      </w:r>
      <w:r w:rsidRPr="0096524F">
        <w:t>Citigroup, Inc.</w:t>
      </w:r>
      <w:r w:rsidRPr="0096524F">
        <w:t xml:space="preserve"> </w:t>
      </w:r>
      <w:r w:rsidRPr="0096524F">
        <w:t>v.</w:t>
      </w:r>
      <w:r w:rsidRPr="0096524F">
        <w:t xml:space="preserve"> </w:t>
      </w:r>
      <w:r w:rsidRPr="0096524F">
        <w:t>Capital City Bank Group, Inc., 94 USPQ2d 1645, 1667 (T.T.A.B.</w:t>
      </w:r>
      <w:r w:rsidRPr="0096524F">
        <w:t xml:space="preserve"> </w:t>
      </w:r>
      <w:r w:rsidRPr="0096524F">
        <w:t xml:space="preserve">2010), </w:t>
      </w:r>
      <w:r w:rsidRPr="0096524F">
        <w:rPr>
          <w:i/>
        </w:rPr>
        <w:t>aff’d on other grounds</w:t>
      </w:r>
      <w:r w:rsidRPr="0096524F">
        <w:t>, 637 F.3d 1344, 98 USPQ2d 1253 (Fed.</w:t>
      </w:r>
      <w:r w:rsidRPr="0096524F">
        <w:t xml:space="preserve"> </w:t>
      </w:r>
      <w:r w:rsidRPr="0096524F">
        <w:t>Cir.</w:t>
      </w:r>
      <w:r w:rsidRPr="0096524F">
        <w:t xml:space="preserve"> </w:t>
      </w:r>
      <w:r w:rsidRPr="0096524F">
        <w:t>2011).</w:t>
      </w:r>
    </w:p>
    <w:p w14:paraId="296A4EE5" w14:textId="77777777" w:rsidR="0096524F" w:rsidRPr="00EB11B3" w:rsidRDefault="0096524F" w:rsidP="00D758BD">
      <w:pPr>
        <w:pStyle w:val="footnote"/>
      </w:pPr>
    </w:p>
  </w:footnote>
  <w:footnote w:id="796">
    <w:p w14:paraId="631666D3" w14:textId="6C7AA15B" w:rsidR="0096524F" w:rsidRPr="00EB11B3" w:rsidRDefault="0096524F" w:rsidP="0096524F">
      <w:pPr>
        <w:pStyle w:val="FootnoteText"/>
      </w:pPr>
      <w:r w:rsidRPr="0096524F">
        <w:rPr>
          <w:vertAlign w:val="superscript"/>
        </w:rPr>
        <w:footnoteRef/>
      </w:r>
      <w:r w:rsidRPr="0096524F">
        <w:t>National Pork Bd.</w:t>
      </w:r>
      <w:r w:rsidRPr="0096524F">
        <w:t xml:space="preserve"> </w:t>
      </w:r>
      <w:r w:rsidRPr="0096524F">
        <w:t>v.</w:t>
      </w:r>
      <w:r w:rsidRPr="0096524F">
        <w:t xml:space="preserve"> </w:t>
      </w:r>
      <w:r w:rsidRPr="0096524F">
        <w:t>Supreme Lobster &amp; Seafood Co., 96 USPQ2d 1479, 1497 (T.T.A.B.</w:t>
      </w:r>
      <w:r w:rsidRPr="0096524F">
        <w:t xml:space="preserve"> </w:t>
      </w:r>
      <w:r w:rsidRPr="0096524F">
        <w:t>2010).</w:t>
      </w:r>
    </w:p>
  </w:footnote>
  <w:footnote w:id="797">
    <w:p w14:paraId="44A6F148" w14:textId="15B3D325" w:rsidR="0096524F" w:rsidRPr="00EB11B3" w:rsidRDefault="0096524F" w:rsidP="0096524F">
      <w:pPr>
        <w:pStyle w:val="FootnoteText"/>
      </w:pPr>
      <w:r w:rsidRPr="0096524F">
        <w:rPr>
          <w:vertAlign w:val="superscript"/>
        </w:rPr>
        <w:footnoteRef/>
      </w:r>
      <w:r w:rsidRPr="0096524F">
        <w:t>Nike, Inc.</w:t>
      </w:r>
      <w:r w:rsidRPr="0096524F">
        <w:t xml:space="preserve"> </w:t>
      </w:r>
      <w:r w:rsidRPr="0096524F">
        <w:t>v.</w:t>
      </w:r>
      <w:r w:rsidRPr="0096524F">
        <w:t xml:space="preserve"> </w:t>
      </w:r>
      <w:r w:rsidRPr="0096524F">
        <w:t>Maher, 100 USPQ2d 1018, 1030 (T.T.A.B.</w:t>
      </w:r>
      <w:r w:rsidRPr="0096524F">
        <w:t xml:space="preserve"> </w:t>
      </w:r>
      <w:r w:rsidRPr="0096524F">
        <w:t>2011);</w:t>
      </w:r>
      <w:r w:rsidRPr="0096524F">
        <w:t xml:space="preserve"> </w:t>
      </w:r>
      <w:r w:rsidRPr="0096524F">
        <w:t>Research in Motion Ltd.</w:t>
      </w:r>
      <w:r w:rsidRPr="0096524F">
        <w:t xml:space="preserve"> </w:t>
      </w:r>
      <w:r w:rsidRPr="0096524F">
        <w:t>v.</w:t>
      </w:r>
      <w:r w:rsidRPr="0096524F">
        <w:t xml:space="preserve"> </w:t>
      </w:r>
      <w:r w:rsidRPr="0096524F">
        <w:t>Defining Presence Marketing Group, Inc., 102 USPQ2d 1187, 1197–98 (T.T.A.B.</w:t>
      </w:r>
      <w:r w:rsidRPr="0096524F">
        <w:t xml:space="preserve"> </w:t>
      </w:r>
      <w:r w:rsidRPr="0096524F">
        <w:t>2012).</w:t>
      </w:r>
    </w:p>
  </w:footnote>
  <w:footnote w:id="798">
    <w:p w14:paraId="3A8EEF78" w14:textId="39C4908D" w:rsidR="0096524F" w:rsidRPr="00EB11B3" w:rsidRDefault="0096524F" w:rsidP="0096524F">
      <w:pPr>
        <w:pStyle w:val="FootnoteText"/>
      </w:pPr>
      <w:r w:rsidRPr="0096524F">
        <w:rPr>
          <w:vertAlign w:val="superscript"/>
        </w:rPr>
        <w:footnoteRef/>
      </w:r>
      <w:r w:rsidRPr="0096524F">
        <w:rPr>
          <w:i/>
        </w:rPr>
        <w:t>Research in Motion</w:t>
      </w:r>
      <w:r w:rsidRPr="0096524F">
        <w:t>, 102 USPQ2d at 1198.</w:t>
      </w:r>
    </w:p>
  </w:footnote>
  <w:footnote w:id="799">
    <w:p w14:paraId="1DF20D25" w14:textId="44EA382E" w:rsidR="0096524F" w:rsidRPr="00EB11B3" w:rsidRDefault="0096524F" w:rsidP="0096524F">
      <w:pPr>
        <w:pStyle w:val="FootnoteText"/>
      </w:pPr>
      <w:r w:rsidRPr="0096524F">
        <w:rPr>
          <w:vertAlign w:val="superscript"/>
        </w:rPr>
        <w:footnoteRef/>
      </w:r>
      <w:r w:rsidRPr="0096524F">
        <w:t>Rolex Watch USA, Inc.</w:t>
      </w:r>
      <w:r w:rsidRPr="0096524F">
        <w:t xml:space="preserve"> </w:t>
      </w:r>
      <w:r w:rsidRPr="0096524F">
        <w:t>v.</w:t>
      </w:r>
      <w:r w:rsidRPr="0096524F">
        <w:t xml:space="preserve"> </w:t>
      </w:r>
      <w:r w:rsidRPr="0096524F">
        <w:t>AFP Imaging Corp., 101 USPQ2d 1188, 1195 (T.T.A.B.</w:t>
      </w:r>
      <w:r w:rsidRPr="0096524F">
        <w:t xml:space="preserve"> </w:t>
      </w:r>
      <w:r w:rsidRPr="0096524F">
        <w:t xml:space="preserve">2011), </w:t>
      </w:r>
      <w:r w:rsidRPr="0096524F">
        <w:rPr>
          <w:i/>
        </w:rPr>
        <w:t>vacated</w:t>
      </w:r>
      <w:r w:rsidRPr="0096524F">
        <w:t>, 2013 TTAB LEXIS 46 (T.T.A.B.</w:t>
      </w:r>
      <w:r w:rsidRPr="0096524F">
        <w:t xml:space="preserve"> </w:t>
      </w:r>
      <w:r w:rsidRPr="0096524F">
        <w:t>Jan.</w:t>
      </w:r>
      <w:r w:rsidRPr="0096524F">
        <w:t xml:space="preserve"> </w:t>
      </w:r>
      <w:r w:rsidRPr="0096524F">
        <w:t>29, 2013) (applicant abandoned the application) (designated precedential July 17, 2013).</w:t>
      </w:r>
    </w:p>
  </w:footnote>
  <w:footnote w:id="800">
    <w:p w14:paraId="4FE94706" w14:textId="687A1713" w:rsidR="0096524F" w:rsidRPr="00EB11B3" w:rsidRDefault="0096524F" w:rsidP="0096524F">
      <w:pPr>
        <w:pStyle w:val="FootnoteText"/>
      </w:pPr>
      <w:r w:rsidRPr="0096524F">
        <w:rPr>
          <w:vertAlign w:val="superscript"/>
        </w:rPr>
        <w:footnoteRef/>
      </w:r>
      <w:r w:rsidRPr="0096524F">
        <w:t>McNeil Consumer Brands, Inc.</w:t>
      </w:r>
      <w:r w:rsidRPr="0096524F">
        <w:t xml:space="preserve"> </w:t>
      </w:r>
      <w:r w:rsidRPr="0096524F">
        <w:t>v.</w:t>
      </w:r>
      <w:r w:rsidRPr="0096524F">
        <w:t xml:space="preserve"> </w:t>
      </w:r>
      <w:r w:rsidRPr="0096524F">
        <w:t>U.S.</w:t>
      </w:r>
      <w:r w:rsidRPr="0096524F">
        <w:t xml:space="preserve"> </w:t>
      </w:r>
      <w:r w:rsidRPr="0096524F">
        <w:t>Dentek Corp., 116 F.</w:t>
      </w:r>
      <w:r w:rsidRPr="0096524F">
        <w:t xml:space="preserve"> </w:t>
      </w:r>
      <w:r w:rsidRPr="0096524F">
        <w:t>Supp.</w:t>
      </w:r>
      <w:r w:rsidRPr="0096524F">
        <w:t xml:space="preserve"> </w:t>
      </w:r>
      <w:r w:rsidRPr="0096524F">
        <w:t>2d 604, 608, 56 USPQ2d 1758 (E.D.</w:t>
      </w:r>
      <w:r w:rsidRPr="0096524F">
        <w:t xml:space="preserve"> </w:t>
      </w:r>
      <w:r w:rsidRPr="0096524F">
        <w:t>Pa.</w:t>
      </w:r>
      <w:r w:rsidRPr="0096524F">
        <w:t xml:space="preserve"> </w:t>
      </w:r>
      <w:r w:rsidRPr="0096524F">
        <w:t>2000);</w:t>
      </w:r>
      <w:r w:rsidRPr="0096524F">
        <w:t xml:space="preserve"> </w:t>
      </w:r>
      <w:r w:rsidRPr="0096524F">
        <w:t>Eli Lilly &amp; Co.</w:t>
      </w:r>
      <w:r w:rsidRPr="0096524F">
        <w:t xml:space="preserve"> </w:t>
      </w:r>
      <w:r w:rsidRPr="0096524F">
        <w:t>v.</w:t>
      </w:r>
      <w:r w:rsidRPr="0096524F">
        <w:t xml:space="preserve"> </w:t>
      </w:r>
      <w:r w:rsidRPr="0096524F">
        <w:t>Natural Answers, Inc., 233 F.3d 456, 462, 56 USPQ2d 1942 (7th Cir.</w:t>
      </w:r>
      <w:r w:rsidRPr="0096524F">
        <w:t xml:space="preserve"> </w:t>
      </w:r>
      <w:r w:rsidRPr="0096524F">
        <w:t>2000).</w:t>
      </w:r>
      <w:r w:rsidRPr="0096524F">
        <w:t xml:space="preserve"> </w:t>
      </w:r>
      <w:r w:rsidRPr="0096524F">
        <w:rPr>
          <w:i/>
        </w:rPr>
        <w:t>See</w:t>
      </w:r>
      <w:r w:rsidRPr="0096524F">
        <w:t xml:space="preserve"> Mead Data Cent., Inc.</w:t>
      </w:r>
      <w:r w:rsidRPr="0096524F">
        <w:t xml:space="preserve"> </w:t>
      </w:r>
      <w:r w:rsidRPr="0096524F">
        <w:t>v.</w:t>
      </w:r>
      <w:r w:rsidRPr="0096524F">
        <w:t xml:space="preserve"> </w:t>
      </w:r>
      <w:r w:rsidRPr="0096524F">
        <w:t>Toyota Motor Sales, U.S.A., Inc., 875 F.2d 1026, 1030, 10 USPQ2d 1961 (2d Cir.</w:t>
      </w:r>
      <w:r w:rsidRPr="0096524F">
        <w:t xml:space="preserve"> </w:t>
      </w:r>
      <w:r w:rsidRPr="0096524F">
        <w:t>1989) (Lexus not substantially similar to Lexis).</w:t>
      </w:r>
    </w:p>
  </w:footnote>
  <w:footnote w:id="801">
    <w:p w14:paraId="4253D221" w14:textId="2ED40FFE" w:rsidR="0096524F" w:rsidRPr="00EB11B3" w:rsidRDefault="0096524F" w:rsidP="0096524F">
      <w:pPr>
        <w:pStyle w:val="FootnoteText"/>
      </w:pPr>
      <w:r w:rsidRPr="0096524F">
        <w:rPr>
          <w:vertAlign w:val="superscript"/>
        </w:rPr>
        <w:footnoteRef/>
      </w:r>
      <w:r w:rsidRPr="0096524F">
        <w:t>Visual cues can create dissimilarities in word marks that might otherwise appear similar.</w:t>
      </w:r>
      <w:r w:rsidRPr="0096524F">
        <w:t xml:space="preserve"> </w:t>
      </w:r>
      <w:r w:rsidRPr="0096524F">
        <w:rPr>
          <w:i/>
        </w:rPr>
        <w:t>See</w:t>
      </w:r>
      <w:r w:rsidRPr="0096524F">
        <w:t xml:space="preserve"> Toro Co.</w:t>
      </w:r>
      <w:r w:rsidRPr="0096524F">
        <w:t xml:space="preserve"> </w:t>
      </w:r>
      <w:r w:rsidRPr="0096524F">
        <w:t>v.</w:t>
      </w:r>
      <w:r w:rsidRPr="0096524F">
        <w:t xml:space="preserve"> </w:t>
      </w:r>
      <w:r w:rsidRPr="0096524F">
        <w:t>ToroHead, Inc., 61 USPQ2d 1164, 1183 (T.T.A.B.</w:t>
      </w:r>
      <w:r w:rsidRPr="0096524F">
        <w:t xml:space="preserve"> </w:t>
      </w:r>
      <w:r w:rsidRPr="0096524F">
        <w:t>2001) (citing defendant’s use of bull’s head design as creating dissimilarities, despite prominent use of Toro in both marks).</w:t>
      </w:r>
    </w:p>
  </w:footnote>
  <w:footnote w:id="802">
    <w:p w14:paraId="304E2C31" w14:textId="1233BBB9" w:rsidR="0096524F" w:rsidRPr="00EB11B3" w:rsidRDefault="0096524F" w:rsidP="0096524F">
      <w:pPr>
        <w:pStyle w:val="FootnoteText"/>
      </w:pPr>
      <w:r w:rsidRPr="0096524F">
        <w:rPr>
          <w:vertAlign w:val="superscript"/>
        </w:rPr>
        <w:footnoteRef/>
      </w:r>
      <w:r w:rsidRPr="0096524F">
        <w:t>American Cyanamid Co.</w:t>
      </w:r>
      <w:r w:rsidRPr="0096524F">
        <w:t xml:space="preserve"> </w:t>
      </w:r>
      <w:r w:rsidRPr="0096524F">
        <w:t>v.</w:t>
      </w:r>
      <w:r w:rsidRPr="0096524F">
        <w:t xml:space="preserve"> </w:t>
      </w:r>
      <w:r w:rsidRPr="0096524F">
        <w:t>Nutraceutical Corp., 54 F.</w:t>
      </w:r>
      <w:r w:rsidRPr="0096524F">
        <w:t xml:space="preserve"> </w:t>
      </w:r>
      <w:r w:rsidRPr="0096524F">
        <w:t>Supp.</w:t>
      </w:r>
      <w:r w:rsidRPr="0096524F">
        <w:t xml:space="preserve"> </w:t>
      </w:r>
      <w:r w:rsidRPr="0096524F">
        <w:t>2d 379, 387 (D.N.J.</w:t>
      </w:r>
      <w:r w:rsidRPr="0096524F">
        <w:t xml:space="preserve"> </w:t>
      </w:r>
      <w:r w:rsidRPr="0096524F">
        <w:t>1999).</w:t>
      </w:r>
    </w:p>
  </w:footnote>
  <w:footnote w:id="803">
    <w:p w14:paraId="50B93430" w14:textId="67F0A823" w:rsidR="0096524F" w:rsidRPr="00882ED4" w:rsidRDefault="0096524F" w:rsidP="0096524F">
      <w:pPr>
        <w:pStyle w:val="FootnoteText"/>
        <w:rPr>
          <w:lang w:val="es-US"/>
        </w:rPr>
      </w:pPr>
      <w:r w:rsidRPr="0096524F">
        <w:rPr>
          <w:vertAlign w:val="superscript"/>
        </w:rPr>
        <w:footnoteRef/>
      </w:r>
      <w:r w:rsidRPr="0096524F">
        <w:t>191 F.3d 208, 51 USPQ2d 1882 (2d Cir.</w:t>
      </w:r>
      <w:r w:rsidRPr="0096524F">
        <w:t xml:space="preserve"> </w:t>
      </w:r>
      <w:r w:rsidRPr="0096524F">
        <w:t>1999).</w:t>
      </w:r>
    </w:p>
  </w:footnote>
  <w:footnote w:id="804">
    <w:p w14:paraId="691BF5C8" w14:textId="18763FD1"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213.</w:t>
      </w:r>
    </w:p>
  </w:footnote>
  <w:footnote w:id="805">
    <w:p w14:paraId="7A32B124" w14:textId="0B7B05C7"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218.</w:t>
      </w:r>
    </w:p>
  </w:footnote>
  <w:footnote w:id="806">
    <w:p w14:paraId="1DF75F02" w14:textId="09995666" w:rsidR="0096524F" w:rsidRPr="00882ED4" w:rsidRDefault="0096524F" w:rsidP="0096524F">
      <w:pPr>
        <w:pStyle w:val="FootnoteText"/>
        <w:rPr>
          <w:lang w:val="da-DK"/>
        </w:rPr>
      </w:pPr>
      <w:r w:rsidRPr="0096524F">
        <w:rPr>
          <w:vertAlign w:val="superscript"/>
        </w:rPr>
        <w:footnoteRef/>
      </w:r>
      <w:r w:rsidRPr="0096524F">
        <w:rPr>
          <w:i/>
        </w:rPr>
        <w:t>Id</w:t>
      </w:r>
      <w:r w:rsidRPr="0096524F">
        <w:t>.</w:t>
      </w:r>
    </w:p>
  </w:footnote>
  <w:footnote w:id="807">
    <w:p w14:paraId="078F276D" w14:textId="5A9435E2" w:rsidR="0096524F" w:rsidRPr="00EB11B3" w:rsidRDefault="0096524F" w:rsidP="0096524F">
      <w:pPr>
        <w:pStyle w:val="FootnoteText"/>
      </w:pPr>
      <w:r w:rsidRPr="0096524F">
        <w:rPr>
          <w:vertAlign w:val="superscript"/>
        </w:rPr>
        <w:footnoteRef/>
      </w:r>
      <w:r w:rsidRPr="0096524F">
        <w:rPr>
          <w:i/>
        </w:rPr>
        <w:t>Id</w:t>
      </w:r>
      <w:r w:rsidRPr="0096524F">
        <w:t>.</w:t>
      </w:r>
    </w:p>
  </w:footnote>
  <w:footnote w:id="808">
    <w:p w14:paraId="229E68AB" w14:textId="02E40D1A" w:rsidR="0096524F" w:rsidRPr="00EB11B3" w:rsidRDefault="0096524F" w:rsidP="0096524F">
      <w:pPr>
        <w:pStyle w:val="FootnoteText"/>
      </w:pPr>
      <w:r w:rsidRPr="0096524F">
        <w:rPr>
          <w:vertAlign w:val="superscript"/>
        </w:rPr>
        <w:footnoteRef/>
      </w:r>
      <w:r w:rsidRPr="0096524F">
        <w:rPr>
          <w:i/>
        </w:rPr>
        <w:t>Id</w:t>
      </w:r>
      <w:r w:rsidRPr="0096524F">
        <w:t>.</w:t>
      </w:r>
    </w:p>
  </w:footnote>
  <w:footnote w:id="809">
    <w:p w14:paraId="3036D1ED" w14:textId="18C04341" w:rsidR="0096524F" w:rsidRPr="00EB11B3" w:rsidRDefault="0096524F" w:rsidP="0096524F">
      <w:pPr>
        <w:pStyle w:val="FootnoteText"/>
      </w:pPr>
      <w:r w:rsidRPr="0096524F">
        <w:rPr>
          <w:vertAlign w:val="superscript"/>
        </w:rPr>
        <w:footnoteRef/>
      </w:r>
      <w:r w:rsidRPr="0096524F">
        <w:t>60 USPQ2d 2000 (E.D.</w:t>
      </w:r>
      <w:r w:rsidRPr="0096524F">
        <w:t xml:space="preserve"> </w:t>
      </w:r>
      <w:r w:rsidRPr="0096524F">
        <w:t>Pa.</w:t>
      </w:r>
      <w:r w:rsidRPr="0096524F">
        <w:t xml:space="preserve"> </w:t>
      </w:r>
      <w:r w:rsidRPr="0096524F">
        <w:t>2001).</w:t>
      </w:r>
    </w:p>
  </w:footnote>
  <w:footnote w:id="810">
    <w:p w14:paraId="2531C4A1" w14:textId="01D74470"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2004–05.</w:t>
      </w:r>
    </w:p>
  </w:footnote>
  <w:footnote w:id="811">
    <w:p w14:paraId="664ECBB7" w14:textId="3A6933B0" w:rsidR="0096524F" w:rsidRPr="00EB11B3" w:rsidRDefault="0096524F" w:rsidP="0096524F">
      <w:pPr>
        <w:pStyle w:val="FootnoteText"/>
      </w:pPr>
      <w:r w:rsidRPr="0096524F">
        <w:rPr>
          <w:vertAlign w:val="superscript"/>
        </w:rPr>
        <w:footnoteRef/>
      </w:r>
      <w:r w:rsidRPr="0096524F">
        <w:rPr>
          <w:i/>
        </w:rPr>
        <w:t>Id</w:t>
      </w:r>
      <w:r w:rsidRPr="0096524F">
        <w:t>.</w:t>
      </w:r>
    </w:p>
  </w:footnote>
  <w:footnote w:id="812">
    <w:p w14:paraId="1454C9CF" w14:textId="6C3F0A9A" w:rsidR="0096524F" w:rsidRPr="0096524F" w:rsidRDefault="0096524F" w:rsidP="0096524F">
      <w:pPr>
        <w:pStyle w:val="FootnoteText"/>
      </w:pPr>
      <w:r w:rsidRPr="0096524F">
        <w:rPr>
          <w:vertAlign w:val="superscript"/>
        </w:rPr>
        <w:footnoteRef/>
      </w:r>
      <w:r w:rsidRPr="0096524F">
        <w:t>890 F.3d 747 (9th Cir.</w:t>
      </w:r>
      <w:r w:rsidRPr="0096524F">
        <w:t xml:space="preserve"> </w:t>
      </w:r>
      <w:r w:rsidRPr="0096524F">
        <w:t>2018).</w:t>
      </w:r>
    </w:p>
    <w:p w14:paraId="13CEC189" w14:textId="77777777" w:rsidR="0096524F" w:rsidRDefault="0096524F" w:rsidP="00D758BD">
      <w:pPr>
        <w:pStyle w:val="footnote"/>
      </w:pPr>
    </w:p>
  </w:footnote>
  <w:footnote w:id="813">
    <w:p w14:paraId="3586AC31" w14:textId="70F0BDD9"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758–59.</w:t>
      </w:r>
    </w:p>
    <w:p w14:paraId="0A88A52D" w14:textId="77777777" w:rsidR="0096524F" w:rsidRPr="00882ED4" w:rsidRDefault="0096524F" w:rsidP="00D758BD">
      <w:pPr>
        <w:pStyle w:val="footnote"/>
        <w:rPr>
          <w:lang w:val="da-DK"/>
        </w:rPr>
      </w:pPr>
    </w:p>
  </w:footnote>
  <w:footnote w:id="814">
    <w:p w14:paraId="58D0B38C" w14:textId="5EB01B00"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757.</w:t>
      </w:r>
    </w:p>
    <w:p w14:paraId="5984E969" w14:textId="77777777" w:rsidR="0096524F" w:rsidRPr="00882ED4" w:rsidRDefault="0096524F" w:rsidP="00D758BD">
      <w:pPr>
        <w:pStyle w:val="footnote"/>
        <w:rPr>
          <w:lang w:val="da-DK"/>
        </w:rPr>
      </w:pPr>
    </w:p>
  </w:footnote>
  <w:footnote w:id="815">
    <w:p w14:paraId="61A91CF6" w14:textId="2508C1DE" w:rsidR="0096524F" w:rsidRPr="0096524F" w:rsidRDefault="0096524F" w:rsidP="0096524F">
      <w:pPr>
        <w:pStyle w:val="FootnoteText"/>
      </w:pPr>
      <w:r w:rsidRPr="0096524F">
        <w:rPr>
          <w:vertAlign w:val="superscript"/>
        </w:rPr>
        <w:footnoteRef/>
      </w:r>
      <w:r w:rsidRPr="0096524F">
        <w:rPr>
          <w:i/>
        </w:rPr>
        <w:t>See id</w:t>
      </w:r>
      <w:r w:rsidRPr="0096524F">
        <w:t>.</w:t>
      </w:r>
      <w:r w:rsidRPr="0096524F">
        <w:t xml:space="preserve"> </w:t>
      </w:r>
      <w:r w:rsidRPr="0096524F">
        <w:t>at 758.</w:t>
      </w:r>
    </w:p>
    <w:p w14:paraId="2FC8E827" w14:textId="77777777" w:rsidR="0096524F" w:rsidRPr="00882ED4" w:rsidRDefault="0096524F" w:rsidP="00D758BD">
      <w:pPr>
        <w:pStyle w:val="footnote"/>
        <w:rPr>
          <w:lang w:val="da-DK"/>
        </w:rPr>
      </w:pPr>
    </w:p>
  </w:footnote>
  <w:footnote w:id="816">
    <w:p w14:paraId="3512C0AE" w14:textId="5C022695" w:rsidR="0096524F" w:rsidRPr="0096524F" w:rsidRDefault="0096524F" w:rsidP="0096524F">
      <w:pPr>
        <w:pStyle w:val="FootnoteText"/>
      </w:pPr>
      <w:r w:rsidRPr="0096524F">
        <w:rPr>
          <w:vertAlign w:val="superscript"/>
        </w:rPr>
        <w:footnoteRef/>
      </w:r>
      <w:r w:rsidRPr="0096524F">
        <w:rPr>
          <w:i/>
        </w:rPr>
        <w:t>Id</w:t>
      </w:r>
      <w:r w:rsidRPr="0096524F">
        <w:t>.</w:t>
      </w:r>
    </w:p>
    <w:p w14:paraId="2B769F6A" w14:textId="77777777" w:rsidR="0096524F" w:rsidRDefault="0096524F" w:rsidP="00D758BD">
      <w:pPr>
        <w:pStyle w:val="footnote"/>
      </w:pPr>
    </w:p>
  </w:footnote>
  <w:footnote w:id="817">
    <w:p w14:paraId="39D3BE8A" w14:textId="593183CB" w:rsidR="0096524F" w:rsidRPr="0096524F" w:rsidRDefault="0096524F" w:rsidP="0096524F">
      <w:pPr>
        <w:pStyle w:val="FootnoteText"/>
      </w:pPr>
      <w:r w:rsidRPr="0096524F">
        <w:rPr>
          <w:vertAlign w:val="superscript"/>
        </w:rPr>
        <w:footnoteRef/>
      </w:r>
      <w:r w:rsidRPr="0096524F">
        <w:t>302 F.</w:t>
      </w:r>
      <w:r w:rsidRPr="0096524F">
        <w:t xml:space="preserve"> </w:t>
      </w:r>
      <w:r w:rsidRPr="0096524F">
        <w:t>Supp.</w:t>
      </w:r>
      <w:r w:rsidRPr="0096524F">
        <w:t xml:space="preserve"> </w:t>
      </w:r>
      <w:r w:rsidRPr="0096524F">
        <w:t>3d 837 (W.D.</w:t>
      </w:r>
      <w:r w:rsidRPr="0096524F">
        <w:t xml:space="preserve"> </w:t>
      </w:r>
      <w:r w:rsidRPr="0096524F">
        <w:t>Ky.</w:t>
      </w:r>
      <w:r w:rsidRPr="0096524F">
        <w:t xml:space="preserve"> </w:t>
      </w:r>
      <w:r w:rsidRPr="0096524F">
        <w:t>2017).</w:t>
      </w:r>
    </w:p>
    <w:p w14:paraId="0B417DA4" w14:textId="77777777" w:rsidR="0096524F" w:rsidRDefault="0096524F" w:rsidP="00D758BD">
      <w:pPr>
        <w:pStyle w:val="footnote"/>
      </w:pPr>
    </w:p>
  </w:footnote>
  <w:footnote w:id="818">
    <w:p w14:paraId="79E00913" w14:textId="598F002A"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898–99.</w:t>
      </w:r>
    </w:p>
    <w:p w14:paraId="22C904B5" w14:textId="77777777" w:rsidR="0096524F" w:rsidRDefault="0096524F" w:rsidP="00D758BD">
      <w:pPr>
        <w:pStyle w:val="footnote"/>
      </w:pPr>
    </w:p>
  </w:footnote>
  <w:footnote w:id="819">
    <w:p w14:paraId="25797486" w14:textId="45B3DAD5" w:rsidR="0096524F" w:rsidRPr="00EB11B3" w:rsidRDefault="0096524F" w:rsidP="0096524F">
      <w:pPr>
        <w:pStyle w:val="FootnoteText"/>
      </w:pPr>
      <w:r w:rsidRPr="0096524F">
        <w:rPr>
          <w:vertAlign w:val="superscript"/>
        </w:rPr>
        <w:footnoteRef/>
      </w:r>
      <w:r w:rsidRPr="0096524F">
        <w:t>2012 WL 2304247 (S.D.N.Y.</w:t>
      </w:r>
      <w:r w:rsidRPr="0096524F">
        <w:t xml:space="preserve"> </w:t>
      </w:r>
      <w:r w:rsidRPr="0096524F">
        <w:t>June 18, 2012).</w:t>
      </w:r>
    </w:p>
  </w:footnote>
  <w:footnote w:id="820">
    <w:p w14:paraId="77C167E7" w14:textId="5E06238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*26 (discussing the Quattro G design).</w:t>
      </w:r>
    </w:p>
  </w:footnote>
  <w:footnote w:id="821">
    <w:p w14:paraId="03F8AB77" w14:textId="2C8DA479"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*27 (discussing the GRG Stripe design).</w:t>
      </w:r>
    </w:p>
  </w:footnote>
  <w:footnote w:id="822">
    <w:p w14:paraId="2F7141CD" w14:textId="50EB72C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*28.</w:t>
      </w:r>
    </w:p>
  </w:footnote>
  <w:footnote w:id="823">
    <w:p w14:paraId="02FF7488" w14:textId="739FE8D4"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*29–31.</w:t>
      </w:r>
    </w:p>
  </w:footnote>
  <w:footnote w:id="824">
    <w:p w14:paraId="41BBA4EB" w14:textId="49F5FBDF" w:rsidR="0096524F" w:rsidRPr="00EB11B3" w:rsidRDefault="0096524F" w:rsidP="0096524F">
      <w:pPr>
        <w:pStyle w:val="FootnoteText"/>
      </w:pPr>
      <w:r w:rsidRPr="0096524F">
        <w:rPr>
          <w:vertAlign w:val="superscript"/>
        </w:rPr>
        <w:footnoteRef/>
      </w:r>
      <w:r w:rsidRPr="0096524F">
        <w:t>54 F.</w:t>
      </w:r>
      <w:r w:rsidRPr="0096524F">
        <w:t xml:space="preserve"> </w:t>
      </w:r>
      <w:r w:rsidRPr="0096524F">
        <w:t>Supp.</w:t>
      </w:r>
      <w:r w:rsidRPr="0096524F">
        <w:t xml:space="preserve"> </w:t>
      </w:r>
      <w:r w:rsidRPr="0096524F">
        <w:t>2d 379 (D.N.J.</w:t>
      </w:r>
      <w:r w:rsidRPr="0096524F">
        <w:t xml:space="preserve"> </w:t>
      </w:r>
      <w:r w:rsidRPr="0096524F">
        <w:t>1999).</w:t>
      </w:r>
    </w:p>
  </w:footnote>
  <w:footnote w:id="825">
    <w:p w14:paraId="67973EB0" w14:textId="58B3FC5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382–83.</w:t>
      </w:r>
    </w:p>
  </w:footnote>
  <w:footnote w:id="826">
    <w:p w14:paraId="55A1486E" w14:textId="71DFF42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382.</w:t>
      </w:r>
      <w:r w:rsidRPr="0096524F">
        <w:t xml:space="preserve"> </w:t>
      </w:r>
      <w:r w:rsidRPr="0096524F">
        <w:t>The colored rectangles on the plaintiff’s label were a federally registered trademark.</w:t>
      </w:r>
      <w:r w:rsidRPr="0096524F">
        <w:t xml:space="preserve"> </w:t>
      </w:r>
      <w:r w:rsidRPr="0096524F">
        <w:rPr>
          <w:i/>
        </w:rPr>
        <w:t>Id</w:t>
      </w:r>
      <w:r w:rsidRPr="0096524F">
        <w:t>.</w:t>
      </w:r>
    </w:p>
  </w:footnote>
  <w:footnote w:id="827">
    <w:p w14:paraId="7B5760A7" w14:textId="37A793DB"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383.</w:t>
      </w:r>
    </w:p>
  </w:footnote>
  <w:footnote w:id="828">
    <w:p w14:paraId="2EA3BBDA" w14:textId="55351282"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388.</w:t>
      </w:r>
      <w:r w:rsidRPr="0096524F">
        <w:t xml:space="preserve"> </w:t>
      </w:r>
      <w:r w:rsidRPr="0096524F">
        <w:t>The court’s dilution discussion on this point referred to its confusion discussion.</w:t>
      </w:r>
      <w:r w:rsidRPr="0096524F">
        <w:t xml:space="preserve"> </w:t>
      </w:r>
      <w:r w:rsidRPr="0096524F">
        <w:rPr>
          <w:i/>
        </w:rPr>
        <w:t>Id</w:t>
      </w:r>
      <w:r w:rsidRPr="0096524F">
        <w:t>.</w:t>
      </w:r>
      <w:r w:rsidRPr="0096524F">
        <w:t xml:space="preserve"> </w:t>
      </w:r>
      <w:r w:rsidRPr="0096524F">
        <w:t>at 392.</w:t>
      </w:r>
    </w:p>
  </w:footnote>
  <w:footnote w:id="829">
    <w:p w14:paraId="1D1BD7D9" w14:textId="7013DFAA"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393.</w:t>
      </w:r>
      <w:r w:rsidRPr="0096524F">
        <w:t xml:space="preserve"> </w:t>
      </w:r>
      <w:r w:rsidRPr="0096524F">
        <w:t>Here, the court candidly admitted its test was necessarily a “subjective” one.</w:t>
      </w:r>
    </w:p>
  </w:footnote>
  <w:footnote w:id="830">
    <w:p w14:paraId="3E6D2489" w14:textId="1C71C249" w:rsidR="0096524F" w:rsidRPr="00EB11B3" w:rsidRDefault="0096524F" w:rsidP="0096524F">
      <w:pPr>
        <w:pStyle w:val="FootnoteText"/>
      </w:pPr>
      <w:r w:rsidRPr="0096524F">
        <w:rPr>
          <w:vertAlign w:val="superscript"/>
        </w:rPr>
        <w:footnoteRef/>
      </w:r>
      <w:r w:rsidRPr="0096524F">
        <w:t>998 F.</w:t>
      </w:r>
      <w:r w:rsidRPr="0096524F">
        <w:t xml:space="preserve"> </w:t>
      </w:r>
      <w:r w:rsidRPr="0096524F">
        <w:t>Supp.</w:t>
      </w:r>
      <w:r w:rsidRPr="0096524F">
        <w:t xml:space="preserve"> </w:t>
      </w:r>
      <w:r w:rsidRPr="0096524F">
        <w:t>500 (M.D.</w:t>
      </w:r>
      <w:r w:rsidRPr="0096524F">
        <w:t xml:space="preserve"> </w:t>
      </w:r>
      <w:r w:rsidRPr="0096524F">
        <w:t>Pa.</w:t>
      </w:r>
      <w:r w:rsidRPr="0096524F">
        <w:t xml:space="preserve"> </w:t>
      </w:r>
      <w:r w:rsidRPr="0096524F">
        <w:t>1998).</w:t>
      </w:r>
    </w:p>
  </w:footnote>
  <w:footnote w:id="831">
    <w:p w14:paraId="7A930407" w14:textId="45785FD0"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502.</w:t>
      </w:r>
    </w:p>
  </w:footnote>
  <w:footnote w:id="832">
    <w:p w14:paraId="529B96DD" w14:textId="36008D7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505.</w:t>
      </w:r>
      <w:r w:rsidRPr="0096524F">
        <w:t xml:space="preserve"> </w:t>
      </w:r>
      <w:r w:rsidRPr="0096524F">
        <w:t>The court found the plaintiff’s packaging not to be famous, but did an analysis of blurring assuming it was famous.</w:t>
      </w:r>
    </w:p>
  </w:footnote>
  <w:footnote w:id="833">
    <w:p w14:paraId="0A334BD9" w14:textId="4E41204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520–21.</w:t>
      </w:r>
    </w:p>
  </w:footnote>
  <w:footnote w:id="834">
    <w:p w14:paraId="53D0DDD7" w14:textId="6FEAAB6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521.</w:t>
      </w:r>
      <w:r w:rsidRPr="0096524F">
        <w:t xml:space="preserve"> </w:t>
      </w:r>
      <w:r w:rsidRPr="0096524F">
        <w:rPr>
          <w:i/>
        </w:rPr>
        <w:t>See</w:t>
      </w:r>
      <w:r w:rsidRPr="0096524F">
        <w:t xml:space="preserve"> Binney &amp; Smith v.</w:t>
      </w:r>
      <w:r w:rsidRPr="0096524F">
        <w:t xml:space="preserve"> </w:t>
      </w:r>
      <w:r w:rsidRPr="0096524F">
        <w:t>Rose Art Indus., 2000 U.S.</w:t>
      </w:r>
      <w:r w:rsidRPr="0096524F">
        <w:t xml:space="preserve"> </w:t>
      </w:r>
      <w:r w:rsidRPr="0096524F">
        <w:t>Dist.</w:t>
      </w:r>
      <w:r w:rsidRPr="0096524F">
        <w:t xml:space="preserve"> </w:t>
      </w:r>
      <w:r w:rsidRPr="0096524F">
        <w:t>LEXIS 18384, at *23 (E.D.</w:t>
      </w:r>
      <w:r w:rsidRPr="0096524F">
        <w:t xml:space="preserve"> </w:t>
      </w:r>
      <w:r w:rsidRPr="0096524F">
        <w:t>Pa.</w:t>
      </w:r>
      <w:r w:rsidRPr="0096524F">
        <w:t xml:space="preserve"> </w:t>
      </w:r>
      <w:r w:rsidRPr="0096524F">
        <w:t>Dec.</w:t>
      </w:r>
      <w:r w:rsidRPr="0096524F">
        <w:t xml:space="preserve"> </w:t>
      </w:r>
      <w:r w:rsidRPr="0096524F">
        <w:t>20, 2000) (plaintiff’s dark green chevron on an orange-yellow background found not similar to defendant’s “neon green background” with “a bright yellow oval” on top).</w:t>
      </w:r>
    </w:p>
  </w:footnote>
  <w:footnote w:id="835">
    <w:p w14:paraId="4FB7A4EA" w14:textId="73468A92" w:rsidR="0096524F" w:rsidRPr="00EB11B3" w:rsidRDefault="0096524F" w:rsidP="0096524F">
      <w:pPr>
        <w:pStyle w:val="FootnoteText"/>
      </w:pPr>
      <w:r w:rsidRPr="0096524F">
        <w:rPr>
          <w:vertAlign w:val="superscript"/>
        </w:rPr>
        <w:footnoteRef/>
      </w:r>
      <w:r w:rsidRPr="0096524F">
        <w:t>998 F.</w:t>
      </w:r>
      <w:r w:rsidRPr="0096524F">
        <w:t xml:space="preserve"> </w:t>
      </w:r>
      <w:r w:rsidRPr="0096524F">
        <w:t>Supp.</w:t>
      </w:r>
      <w:r w:rsidRPr="0096524F">
        <w:t xml:space="preserve"> </w:t>
      </w:r>
      <w:r w:rsidRPr="0096524F">
        <w:t>at 520.</w:t>
      </w:r>
    </w:p>
  </w:footnote>
  <w:footnote w:id="836">
    <w:p w14:paraId="1E3473FC" w14:textId="18BE50E2" w:rsidR="0096524F" w:rsidRPr="00EB11B3" w:rsidRDefault="0096524F" w:rsidP="0096524F">
      <w:pPr>
        <w:pStyle w:val="FootnoteText"/>
      </w:pPr>
      <w:r w:rsidRPr="0096524F">
        <w:rPr>
          <w:vertAlign w:val="superscript"/>
        </w:rPr>
        <w:footnoteRef/>
      </w:r>
      <w:r w:rsidRPr="0096524F">
        <w:rPr>
          <w:i/>
        </w:rPr>
        <w:t>Id</w:t>
      </w:r>
      <w:r w:rsidRPr="0096524F">
        <w:t>.</w:t>
      </w:r>
    </w:p>
  </w:footnote>
  <w:footnote w:id="837">
    <w:p w14:paraId="5F9FDF58" w14:textId="5831A612" w:rsidR="0096524F" w:rsidRPr="00EB11B3" w:rsidRDefault="0096524F" w:rsidP="0096524F">
      <w:pPr>
        <w:pStyle w:val="FootnoteText"/>
      </w:pPr>
      <w:r w:rsidRPr="0096524F">
        <w:rPr>
          <w:vertAlign w:val="superscript"/>
        </w:rPr>
        <w:footnoteRef/>
      </w:r>
      <w:r w:rsidRPr="0096524F">
        <w:rPr>
          <w:i/>
        </w:rPr>
        <w:t>Id</w:t>
      </w:r>
      <w:r w:rsidRPr="0096524F">
        <w:t>.</w:t>
      </w:r>
    </w:p>
  </w:footnote>
  <w:footnote w:id="838">
    <w:p w14:paraId="4750D468" w14:textId="20FF7930" w:rsidR="0096524F" w:rsidRPr="00EB11B3" w:rsidRDefault="0096524F" w:rsidP="0096524F">
      <w:pPr>
        <w:pStyle w:val="FootnoteText"/>
      </w:pPr>
      <w:r w:rsidRPr="0096524F">
        <w:rPr>
          <w:vertAlign w:val="superscript"/>
        </w:rPr>
        <w:footnoteRef/>
      </w:r>
      <w:r w:rsidRPr="0096524F">
        <w:t>117 F.</w:t>
      </w:r>
      <w:r w:rsidRPr="0096524F">
        <w:t xml:space="preserve"> </w:t>
      </w:r>
      <w:r w:rsidRPr="0096524F">
        <w:t>Supp.</w:t>
      </w:r>
      <w:r w:rsidRPr="0096524F">
        <w:t xml:space="preserve"> </w:t>
      </w:r>
      <w:r w:rsidRPr="0096524F">
        <w:t>2d 360, 56 USPQ2d 1613 (S.D.N.Y.</w:t>
      </w:r>
      <w:r w:rsidRPr="0096524F">
        <w:t xml:space="preserve"> </w:t>
      </w:r>
      <w:r w:rsidRPr="0096524F">
        <w:t>2000).</w:t>
      </w:r>
      <w:r w:rsidRPr="0096524F">
        <w:t xml:space="preserve"> </w:t>
      </w:r>
      <w:r w:rsidRPr="0096524F">
        <w:t>This case was decided under New York law, but that state also imposes a “substantially similar” requirement.</w:t>
      </w:r>
      <w:r w:rsidRPr="0096524F">
        <w:t xml:space="preserve"> </w:t>
      </w:r>
      <w:r w:rsidRPr="0096524F">
        <w:t>Mead Data Cent., Inc.</w:t>
      </w:r>
      <w:r w:rsidRPr="0096524F">
        <w:t xml:space="preserve"> </w:t>
      </w:r>
      <w:r w:rsidRPr="0096524F">
        <w:t>v.</w:t>
      </w:r>
      <w:r w:rsidRPr="0096524F">
        <w:t xml:space="preserve"> </w:t>
      </w:r>
      <w:r w:rsidRPr="0096524F">
        <w:t>Toyota Motor Sales, U.S.A., Inc., 875 F.2d 1026, 1029, 10 USPQ2d 1961 (2d Cir.</w:t>
      </w:r>
      <w:r w:rsidRPr="0096524F">
        <w:t xml:space="preserve"> </w:t>
      </w:r>
      <w:r w:rsidRPr="0096524F">
        <w:t>1989).</w:t>
      </w:r>
    </w:p>
  </w:footnote>
  <w:footnote w:id="839">
    <w:p w14:paraId="1FCA2970" w14:textId="7EE6452B" w:rsidR="0096524F" w:rsidRPr="00EB11B3" w:rsidRDefault="0096524F" w:rsidP="0096524F">
      <w:pPr>
        <w:pStyle w:val="FootnoteText"/>
      </w:pPr>
      <w:r w:rsidRPr="0096524F">
        <w:rPr>
          <w:vertAlign w:val="superscript"/>
        </w:rPr>
        <w:footnoteRef/>
      </w:r>
      <w:r w:rsidRPr="0096524F">
        <w:t>868 F.</w:t>
      </w:r>
      <w:r w:rsidRPr="0096524F">
        <w:t xml:space="preserve"> </w:t>
      </w:r>
      <w:r w:rsidRPr="0096524F">
        <w:t>Supp.</w:t>
      </w:r>
      <w:r w:rsidRPr="0096524F">
        <w:t xml:space="preserve"> </w:t>
      </w:r>
      <w:r w:rsidRPr="0096524F">
        <w:t>2d 207 (S.D.N.Y.</w:t>
      </w:r>
      <w:r w:rsidRPr="0096524F">
        <w:t xml:space="preserve"> </w:t>
      </w:r>
      <w:r w:rsidRPr="0096524F">
        <w:t>2012).</w:t>
      </w:r>
    </w:p>
  </w:footnote>
  <w:footnote w:id="840">
    <w:p w14:paraId="646920BD" w14:textId="03BCF4A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248 (discussing the Quattro G design).</w:t>
      </w:r>
    </w:p>
  </w:footnote>
  <w:footnote w:id="841">
    <w:p w14:paraId="0CBB68A8" w14:textId="03037F85" w:rsidR="0096524F" w:rsidRPr="00EB11B3" w:rsidRDefault="0096524F" w:rsidP="0096524F">
      <w:pPr>
        <w:pStyle w:val="FootnoteText"/>
      </w:pPr>
      <w:r w:rsidRPr="0096524F">
        <w:rPr>
          <w:vertAlign w:val="superscript"/>
        </w:rPr>
        <w:footnoteRef/>
      </w:r>
      <w:r w:rsidRPr="0096524F">
        <w:rPr>
          <w:i/>
        </w:rPr>
        <w:t>Id.</w:t>
      </w:r>
      <w:r w:rsidRPr="0096524F">
        <w:rPr>
          <w:i/>
        </w:rPr>
        <w:t xml:space="preserve"> </w:t>
      </w:r>
      <w:r w:rsidRPr="0096524F">
        <w:t>at 249 (discussing the GRG Stripe design).</w:t>
      </w:r>
    </w:p>
  </w:footnote>
  <w:footnote w:id="842">
    <w:p w14:paraId="0F7D2794" w14:textId="383FCFA8"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250.</w:t>
      </w:r>
    </w:p>
  </w:footnote>
  <w:footnote w:id="843">
    <w:p w14:paraId="5E5F22FB" w14:textId="030E3EAC"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251–53.</w:t>
      </w:r>
    </w:p>
  </w:footnote>
  <w:footnote w:id="844">
    <w:p w14:paraId="54E67DD2" w14:textId="54870069"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798.</w:t>
      </w:r>
    </w:p>
  </w:footnote>
  <w:footnote w:id="845">
    <w:p w14:paraId="3D1F979A" w14:textId="427A0592" w:rsidR="0096524F" w:rsidRPr="00EB11B3" w:rsidRDefault="0096524F" w:rsidP="0096524F">
      <w:pPr>
        <w:pStyle w:val="FootnoteText"/>
      </w:pPr>
      <w:r w:rsidRPr="0096524F">
        <w:rPr>
          <w:vertAlign w:val="superscript"/>
        </w:rPr>
        <w:footnoteRef/>
      </w:r>
      <w:r w:rsidRPr="0096524F">
        <w:t>141 F.3d 188, 46 USPQ2d 1737 (5th Cir.</w:t>
      </w:r>
      <w:r w:rsidRPr="0096524F">
        <w:t xml:space="preserve"> </w:t>
      </w:r>
      <w:r w:rsidRPr="0096524F">
        <w:t>1988).</w:t>
      </w:r>
    </w:p>
  </w:footnote>
  <w:footnote w:id="846">
    <w:p w14:paraId="50D8097C" w14:textId="3AFCB55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201–02.</w:t>
      </w:r>
      <w:r w:rsidRPr="0096524F">
        <w:t xml:space="preserve"> </w:t>
      </w:r>
      <w:r w:rsidRPr="0096524F">
        <w:t>The court of appeals cited many examples of the defendant having featured references to Elvis Presley in advertising and in food served in the bar.</w:t>
      </w:r>
      <w:r w:rsidRPr="0096524F">
        <w:t xml:space="preserve"> </w:t>
      </w:r>
      <w:r w:rsidRPr="0096524F">
        <w:rPr>
          <w:i/>
        </w:rPr>
        <w:t>Id</w:t>
      </w:r>
      <w:r w:rsidRPr="0096524F">
        <w:t>.</w:t>
      </w:r>
      <w:r w:rsidRPr="0096524F">
        <w:t xml:space="preserve"> </w:t>
      </w:r>
      <w:r w:rsidRPr="0096524F">
        <w:t>at 201.</w:t>
      </w:r>
    </w:p>
  </w:footnote>
  <w:footnote w:id="847">
    <w:p w14:paraId="58433CFB" w14:textId="637D492E" w:rsidR="0096524F" w:rsidRPr="00EB11B3" w:rsidRDefault="0096524F" w:rsidP="0096524F">
      <w:pPr>
        <w:pStyle w:val="FootnoteText"/>
      </w:pPr>
      <w:r w:rsidRPr="0096524F">
        <w:rPr>
          <w:vertAlign w:val="superscript"/>
        </w:rPr>
        <w:footnoteRef/>
      </w:r>
      <w:r w:rsidRPr="0096524F">
        <w:t>Lanham Act §43(c)(1), 15 U.S.C.</w:t>
      </w:r>
      <w:r w:rsidRPr="0096524F">
        <w:t xml:space="preserve"> </w:t>
      </w:r>
      <w:r w:rsidRPr="0096524F">
        <w:t>§1125(c)(1) (emphasis added).</w:t>
      </w:r>
      <w:r w:rsidRPr="0096524F">
        <w:t xml:space="preserve"> </w:t>
      </w:r>
      <w:r w:rsidRPr="0096524F">
        <w:rPr>
          <w:i/>
        </w:rPr>
        <w:t>See</w:t>
      </w:r>
      <w:r w:rsidRPr="0096524F">
        <w:t xml:space="preserve"> Best Western Int’l, Inc.</w:t>
      </w:r>
      <w:r w:rsidRPr="0096524F">
        <w:t xml:space="preserve"> </w:t>
      </w:r>
      <w:r w:rsidRPr="0096524F">
        <w:t>v.</w:t>
      </w:r>
      <w:r w:rsidRPr="0096524F">
        <w:t xml:space="preserve"> </w:t>
      </w:r>
      <w:r w:rsidRPr="0096524F">
        <w:t>Doe, 2006 U.S.</w:t>
      </w:r>
      <w:r w:rsidRPr="0096524F">
        <w:t xml:space="preserve"> </w:t>
      </w:r>
      <w:r w:rsidRPr="0096524F">
        <w:t>Dist.</w:t>
      </w:r>
      <w:r w:rsidRPr="0096524F">
        <w:t xml:space="preserve"> </w:t>
      </w:r>
      <w:r w:rsidRPr="0096524F">
        <w:t>LEXIS 77942, at *7–8 (D.</w:t>
      </w:r>
      <w:r w:rsidRPr="0096524F">
        <w:t xml:space="preserve"> </w:t>
      </w:r>
      <w:r w:rsidRPr="0096524F">
        <w:t>Ariz.</w:t>
      </w:r>
      <w:r w:rsidRPr="0096524F">
        <w:t xml:space="preserve"> </w:t>
      </w:r>
      <w:r w:rsidRPr="0096524F">
        <w:t>2006) (dismissing post-TDRA dilution claim on grounds that defendant’s use was not “in connection with goods or services”).</w:t>
      </w:r>
      <w:r w:rsidRPr="0096524F">
        <w:t xml:space="preserve"> </w:t>
      </w:r>
      <w:r w:rsidRPr="0096524F">
        <w:rPr>
          <w:i/>
        </w:rPr>
        <w:t>See also</w:t>
      </w:r>
      <w:r w:rsidRPr="0096524F">
        <w:t xml:space="preserve"> Celebrity Chefs Tour, LLC v.</w:t>
      </w:r>
      <w:r w:rsidRPr="0096524F">
        <w:t xml:space="preserve"> </w:t>
      </w:r>
      <w:r w:rsidRPr="0096524F">
        <w:t>Macy’s, Inc., 2014 U.S.</w:t>
      </w:r>
      <w:r w:rsidRPr="0096524F">
        <w:t xml:space="preserve"> </w:t>
      </w:r>
      <w:r w:rsidRPr="0096524F">
        <w:t>Dist.</w:t>
      </w:r>
      <w:r w:rsidRPr="0096524F">
        <w:t xml:space="preserve"> </w:t>
      </w:r>
      <w:r w:rsidRPr="0096524F">
        <w:t>LEXIS 58031, at *12 (S.D.</w:t>
      </w:r>
      <w:r w:rsidRPr="0096524F">
        <w:t xml:space="preserve"> </w:t>
      </w:r>
      <w:r w:rsidRPr="0096524F">
        <w:t>Cal.</w:t>
      </w:r>
      <w:r w:rsidRPr="0096524F">
        <w:t xml:space="preserve"> </w:t>
      </w:r>
      <w:r w:rsidRPr="0096524F">
        <w:t>Apr.</w:t>
      </w:r>
      <w:r w:rsidRPr="0096524F">
        <w:t xml:space="preserve"> </w:t>
      </w:r>
      <w:r w:rsidRPr="0096524F">
        <w:t>25, 2014) (complaint did not adequately plead that defendant used plaintiff’s mark;</w:t>
      </w:r>
      <w:r w:rsidRPr="0096524F">
        <w:t xml:space="preserve"> </w:t>
      </w:r>
      <w:r w:rsidRPr="0096524F">
        <w:t>claim dismissed without prejudice).</w:t>
      </w:r>
    </w:p>
  </w:footnote>
  <w:footnote w:id="848">
    <w:p w14:paraId="71B50B9E" w14:textId="285896B1" w:rsidR="0096524F" w:rsidRPr="00EB11B3" w:rsidRDefault="0096524F" w:rsidP="0096524F">
      <w:pPr>
        <w:pStyle w:val="FootnoteText"/>
      </w:pPr>
      <w:r w:rsidRPr="0096524F">
        <w:rPr>
          <w:vertAlign w:val="superscript"/>
        </w:rPr>
        <w:footnoteRef/>
      </w:r>
      <w:r w:rsidRPr="0096524F">
        <w:t>Lanham Act §43(c)(2)(B), 15 U.S.C.</w:t>
      </w:r>
      <w:r w:rsidRPr="0096524F">
        <w:t xml:space="preserve"> </w:t>
      </w:r>
      <w:r w:rsidRPr="0096524F">
        <w:t>§1125(c)(2)(B) (emphasis added).</w:t>
      </w:r>
    </w:p>
  </w:footnote>
  <w:footnote w:id="849">
    <w:p w14:paraId="4093121D" w14:textId="586D536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§43(c)(2)(C), 15 U.S.C.</w:t>
      </w:r>
      <w:r w:rsidRPr="0096524F">
        <w:t xml:space="preserve"> </w:t>
      </w:r>
      <w:r w:rsidRPr="0096524F">
        <w:t>§1125(c)(2)(C) (emphasis added).</w:t>
      </w:r>
    </w:p>
  </w:footnote>
  <w:footnote w:id="850">
    <w:p w14:paraId="3D264B86" w14:textId="7526AE79"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§43(c)(5)(A), 15 U.S.C.</w:t>
      </w:r>
      <w:r w:rsidRPr="0096524F">
        <w:t xml:space="preserve"> </w:t>
      </w:r>
      <w:r w:rsidRPr="0096524F">
        <w:t>§1125(c)(5)(A) (emphasis added).</w:t>
      </w:r>
    </w:p>
  </w:footnote>
  <w:footnote w:id="851">
    <w:p w14:paraId="3766ADB9" w14:textId="698F09C3" w:rsidR="0096524F" w:rsidRPr="00EB11B3" w:rsidRDefault="0096524F" w:rsidP="0096524F">
      <w:pPr>
        <w:pStyle w:val="FootnoteText"/>
      </w:pPr>
      <w:r w:rsidRPr="0096524F">
        <w:rPr>
          <w:vertAlign w:val="superscript"/>
        </w:rPr>
        <w:footnoteRef/>
      </w:r>
      <w:r w:rsidRPr="0096524F">
        <w:t xml:space="preserve">For the text of the original bill as introduced, see </w:t>
      </w:r>
      <w:hyperlink r:id="rId3" w:history="1">
        <w:r w:rsidRPr="0096524F">
          <w:rPr>
            <w:rStyle w:val="Hyperlink"/>
          </w:rPr>
          <w:t>https://www.bloomberglaw.com/document/X6Q082LC0000OD?documentName=IH&amp;fmt=pdf</w:t>
        </w:r>
      </w:hyperlink>
      <w:r w:rsidRPr="0096524F">
        <w:t>.</w:t>
      </w:r>
    </w:p>
  </w:footnote>
  <w:footnote w:id="852">
    <w:p w14:paraId="06ABF4ED" w14:textId="68006066" w:rsidR="0096524F" w:rsidRPr="00EB11B3" w:rsidRDefault="0096524F" w:rsidP="0096524F">
      <w:pPr>
        <w:pStyle w:val="FootnoteText"/>
      </w:pPr>
      <w:r w:rsidRPr="0096524F">
        <w:rPr>
          <w:vertAlign w:val="superscript"/>
        </w:rPr>
        <w:footnoteRef/>
      </w:r>
      <w:r w:rsidRPr="0096524F">
        <w:rPr>
          <w:i/>
        </w:rPr>
        <w:t>See</w:t>
      </w:r>
      <w:r w:rsidRPr="0096524F">
        <w:t xml:space="preserve"> Trademark Dilution Revision Act of 2005:</w:t>
      </w:r>
      <w:r w:rsidRPr="0096524F">
        <w:t xml:space="preserve"> </w:t>
      </w:r>
      <w:r w:rsidRPr="0096524F">
        <w:t>Hearing on H.R.</w:t>
      </w:r>
      <w:r w:rsidRPr="0096524F">
        <w:t xml:space="preserve"> </w:t>
      </w:r>
      <w:r w:rsidRPr="0096524F">
        <w:t>683 Hearing Before the H.</w:t>
      </w:r>
      <w:r w:rsidRPr="0096524F">
        <w:t xml:space="preserve"> </w:t>
      </w:r>
      <w:r w:rsidRPr="0096524F">
        <w:t>Subcomm.</w:t>
      </w:r>
      <w:r w:rsidRPr="0096524F">
        <w:t xml:space="preserve"> </w:t>
      </w:r>
      <w:r w:rsidRPr="0096524F">
        <w:t>on Courts, the Internet, and Intellectual Property of the Comm.</w:t>
      </w:r>
      <w:r w:rsidRPr="0096524F">
        <w:t xml:space="preserve"> </w:t>
      </w:r>
      <w:r w:rsidRPr="0096524F">
        <w:t>on the Judiciary, 109th Cong.</w:t>
      </w:r>
      <w:r w:rsidRPr="0096524F">
        <w:t xml:space="preserve"> </w:t>
      </w:r>
      <w:r w:rsidRPr="0096524F">
        <w:t>3–10 (2005) (statement of William G.</w:t>
      </w:r>
      <w:r w:rsidRPr="0096524F">
        <w:t xml:space="preserve"> </w:t>
      </w:r>
      <w:r w:rsidRPr="0096524F">
        <w:t>Barber on behalf of the American Intellectual Property Law Association).</w:t>
      </w:r>
    </w:p>
  </w:footnote>
  <w:footnote w:id="853">
    <w:p w14:paraId="723E8D91" w14:textId="31146131" w:rsidR="0096524F" w:rsidRPr="00EB11B3" w:rsidRDefault="0096524F" w:rsidP="0096524F">
      <w:pPr>
        <w:pStyle w:val="FootnoteText"/>
      </w:pPr>
      <w:r w:rsidRPr="0096524F">
        <w:rPr>
          <w:vertAlign w:val="superscript"/>
        </w:rPr>
        <w:footnoteRef/>
      </w:r>
      <w:r w:rsidRPr="0096524F">
        <w:t>Moseley v.</w:t>
      </w:r>
      <w:r w:rsidRPr="0096524F">
        <w:t xml:space="preserve"> </w:t>
      </w:r>
      <w:r w:rsidRPr="0096524F">
        <w:t>V Secret Catalogue, Inc., 537 U.S.</w:t>
      </w:r>
      <w:r w:rsidRPr="0096524F">
        <w:t xml:space="preserve"> </w:t>
      </w:r>
      <w:r w:rsidRPr="0096524F">
        <w:t>418, 430-31, 65 USPQ2d 1801 (2003).</w:t>
      </w:r>
    </w:p>
  </w:footnote>
  <w:footnote w:id="854">
    <w:p w14:paraId="749EC730" w14:textId="717F206A" w:rsidR="0096524F" w:rsidRPr="00EB11B3" w:rsidRDefault="0096524F" w:rsidP="0096524F">
      <w:pPr>
        <w:pStyle w:val="FootnoteText"/>
      </w:pPr>
      <w:r w:rsidRPr="0096524F">
        <w:rPr>
          <w:vertAlign w:val="superscript"/>
        </w:rPr>
        <w:footnoteRef/>
      </w:r>
      <w:r w:rsidRPr="0096524F">
        <w:t>Lanham Act §43(c)(1), 15 U.S.C.</w:t>
      </w:r>
      <w:r w:rsidRPr="0096524F">
        <w:t xml:space="preserve"> </w:t>
      </w:r>
      <w:r w:rsidRPr="0096524F">
        <w:t xml:space="preserve">§1125(c)(1), </w:t>
      </w:r>
      <w:r w:rsidRPr="0096524F">
        <w:rPr>
          <w:i/>
        </w:rPr>
        <w:t>superseded by</w:t>
      </w:r>
      <w:r w:rsidRPr="0096524F">
        <w:t xml:space="preserve"> the Trademark Dilution Revision Act of 2006.</w:t>
      </w:r>
    </w:p>
  </w:footnote>
  <w:footnote w:id="855">
    <w:p w14:paraId="6F017B59" w14:textId="11EADC99" w:rsidR="0096524F" w:rsidRPr="00EB11B3" w:rsidRDefault="0096524F" w:rsidP="0096524F">
      <w:pPr>
        <w:pStyle w:val="FootnoteText"/>
      </w:pPr>
      <w:r w:rsidRPr="0096524F">
        <w:rPr>
          <w:vertAlign w:val="superscript"/>
        </w:rPr>
        <w:footnoteRef/>
      </w:r>
      <w:r w:rsidRPr="0096524F">
        <w:t xml:space="preserve">See Chapter 1, §III.D, for a discussion of the </w:t>
      </w:r>
      <w:r w:rsidRPr="0096524F">
        <w:rPr>
          <w:i/>
        </w:rPr>
        <w:t>Restatement</w:t>
      </w:r>
      <w:r w:rsidRPr="0096524F">
        <w:t>’s dilution provisions.</w:t>
      </w:r>
      <w:r w:rsidRPr="0096524F">
        <w:t xml:space="preserve"> </w:t>
      </w:r>
      <w:r w:rsidRPr="0096524F">
        <w:t xml:space="preserve">The </w:t>
      </w:r>
      <w:r w:rsidRPr="0096524F">
        <w:rPr>
          <w:i/>
        </w:rPr>
        <w:t>Restatement</w:t>
      </w:r>
      <w:r w:rsidRPr="0096524F">
        <w:t xml:space="preserve"> was formally issued in 1995, but drafts had been promulgated prior to that.</w:t>
      </w:r>
    </w:p>
  </w:footnote>
  <w:footnote w:id="856">
    <w:p w14:paraId="66EF626C" w14:textId="779CEE29" w:rsidR="0096524F" w:rsidRPr="00EB11B3" w:rsidRDefault="0096524F" w:rsidP="0096524F">
      <w:pPr>
        <w:pStyle w:val="FootnoteText"/>
      </w:pPr>
      <w:r w:rsidRPr="0096524F">
        <w:rPr>
          <w:vertAlign w:val="superscript"/>
        </w:rPr>
        <w:footnoteRef/>
      </w:r>
      <w:r w:rsidRPr="0096524F">
        <w:t>Restatement (Third) of Unfair Competition §25(1).</w:t>
      </w:r>
    </w:p>
  </w:footnote>
  <w:footnote w:id="857">
    <w:p w14:paraId="665AFB75" w14:textId="7A1DA1F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§25(2).</w:t>
      </w:r>
    </w:p>
  </w:footnote>
  <w:footnote w:id="858">
    <w:p w14:paraId="3DAB2ADA" w14:textId="5DDB460A"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§25, cmt.</w:t>
      </w:r>
      <w:r w:rsidRPr="0096524F">
        <w:t xml:space="preserve"> </w:t>
      </w:r>
      <w:r w:rsidRPr="0096524F">
        <w:t>c (“The protection accorded by the law of trademarks is limited to the exploitation of a designation as identifying symbol”);</w:t>
      </w:r>
      <w:r w:rsidRPr="0096524F">
        <w:t xml:space="preserve"> </w:t>
      </w:r>
      <w:r w:rsidRPr="0096524F">
        <w:t>cmt.</w:t>
      </w:r>
      <w:r w:rsidRPr="0096524F">
        <w:t xml:space="preserve"> </w:t>
      </w:r>
      <w:r w:rsidRPr="0096524F">
        <w:t>i (discussing “Non trademark uses”).</w:t>
      </w:r>
    </w:p>
  </w:footnote>
  <w:footnote w:id="859">
    <w:p w14:paraId="72C1AB6D" w14:textId="012A53C1" w:rsidR="0096524F" w:rsidRPr="00EB11B3" w:rsidRDefault="0096524F" w:rsidP="0096524F">
      <w:pPr>
        <w:pStyle w:val="FootnoteText"/>
      </w:pPr>
      <w:r w:rsidRPr="0096524F">
        <w:rPr>
          <w:vertAlign w:val="superscript"/>
        </w:rPr>
        <w:footnoteRef/>
      </w:r>
      <w:r w:rsidRPr="0096524F">
        <w:t>adidas-America, Inc.</w:t>
      </w:r>
      <w:r w:rsidRPr="0096524F">
        <w:t xml:space="preserve"> </w:t>
      </w:r>
      <w:r w:rsidRPr="0096524F">
        <w:t>v.</w:t>
      </w:r>
      <w:r w:rsidRPr="0096524F">
        <w:t xml:space="preserve"> </w:t>
      </w:r>
      <w:r w:rsidRPr="0096524F">
        <w:t>Payless Shoesource, Inc., 2008 U.S.</w:t>
      </w:r>
      <w:r w:rsidRPr="0096524F">
        <w:t xml:space="preserve"> </w:t>
      </w:r>
      <w:r w:rsidRPr="0096524F">
        <w:t>Dist.</w:t>
      </w:r>
      <w:r w:rsidRPr="0096524F">
        <w:t xml:space="preserve"> </w:t>
      </w:r>
      <w:r w:rsidRPr="0096524F">
        <w:t>LEXIS 69260, at *20–22 (D.</w:t>
      </w:r>
      <w:r w:rsidRPr="0096524F">
        <w:t xml:space="preserve"> </w:t>
      </w:r>
      <w:r w:rsidRPr="0096524F">
        <w:t>Or.</w:t>
      </w:r>
      <w:r w:rsidRPr="0096524F">
        <w:t xml:space="preserve"> </w:t>
      </w:r>
      <w:r w:rsidRPr="0096524F">
        <w:t>2008) (rejecting defendant’s argument that the markings on its competing shoes were not intended to act as trademarks).</w:t>
      </w:r>
    </w:p>
  </w:footnote>
  <w:footnote w:id="860">
    <w:p w14:paraId="4C7D7092" w14:textId="604269A0" w:rsidR="0096524F" w:rsidRPr="00EB11B3" w:rsidRDefault="0096524F" w:rsidP="0096524F">
      <w:pPr>
        <w:pStyle w:val="FootnoteText"/>
      </w:pPr>
      <w:r w:rsidRPr="0096524F">
        <w:rPr>
          <w:vertAlign w:val="superscript"/>
        </w:rPr>
        <w:footnoteRef/>
      </w:r>
      <w:r w:rsidRPr="0096524F">
        <w:t>671 F.3d 526, 101 USPQ2d 1746 (5th Cir.</w:t>
      </w:r>
      <w:r w:rsidRPr="0096524F">
        <w:t xml:space="preserve"> </w:t>
      </w:r>
      <w:r w:rsidRPr="0096524F">
        <w:t>2012).</w:t>
      </w:r>
    </w:p>
  </w:footnote>
  <w:footnote w:id="861">
    <w:p w14:paraId="28ACF1B4" w14:textId="401AC839"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536.</w:t>
      </w:r>
    </w:p>
  </w:footnote>
  <w:footnote w:id="862">
    <w:p w14:paraId="7F9B7FE2" w14:textId="5E7FFD5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(emphasis added).</w:t>
      </w:r>
    </w:p>
  </w:footnote>
  <w:footnote w:id="863">
    <w:p w14:paraId="1113D438" w14:textId="383FCAFE" w:rsidR="0096524F" w:rsidRPr="0096524F" w:rsidRDefault="0096524F" w:rsidP="0096524F">
      <w:pPr>
        <w:pStyle w:val="FootnoteText"/>
      </w:pPr>
      <w:r w:rsidRPr="0096524F">
        <w:rPr>
          <w:vertAlign w:val="superscript"/>
        </w:rPr>
        <w:footnoteRef/>
      </w:r>
      <w:r w:rsidRPr="0096524F">
        <w:t>Allied Interstate, LLC v.</w:t>
      </w:r>
      <w:r w:rsidRPr="0096524F">
        <w:t xml:space="preserve"> </w:t>
      </w:r>
      <w:r w:rsidRPr="0096524F">
        <w:t>Kimmel &amp; Silverman, P.C., 2013 U.S.</w:t>
      </w:r>
      <w:r w:rsidRPr="0096524F">
        <w:t xml:space="preserve"> </w:t>
      </w:r>
      <w:r w:rsidRPr="0096524F">
        <w:t>Dist.</w:t>
      </w:r>
      <w:r w:rsidRPr="0096524F">
        <w:t xml:space="preserve"> </w:t>
      </w:r>
      <w:r w:rsidRPr="0096524F">
        <w:t>LEXIS 113465, at *8–10 (S.D.N.Y.</w:t>
      </w:r>
      <w:r w:rsidRPr="0096524F">
        <w:t xml:space="preserve"> </w:t>
      </w:r>
      <w:r w:rsidRPr="0096524F">
        <w:t>Aug.</w:t>
      </w:r>
      <w:r w:rsidRPr="0096524F">
        <w:t xml:space="preserve"> </w:t>
      </w:r>
      <w:r w:rsidRPr="0096524F">
        <w:t>12, 2013).</w:t>
      </w:r>
      <w:r w:rsidRPr="0096524F">
        <w:t xml:space="preserve"> </w:t>
      </w:r>
      <w:r w:rsidRPr="0096524F">
        <w:rPr>
          <w:i/>
        </w:rPr>
        <w:t>Accord</w:t>
      </w:r>
      <w:r w:rsidRPr="0096524F">
        <w:t xml:space="preserve"> American Airlines, Inc.</w:t>
      </w:r>
      <w:r w:rsidRPr="0096524F">
        <w:t xml:space="preserve"> </w:t>
      </w:r>
      <w:r w:rsidRPr="0096524F">
        <w:t>v.</w:t>
      </w:r>
      <w:r w:rsidRPr="0096524F">
        <w:t xml:space="preserve"> </w:t>
      </w:r>
      <w:r w:rsidRPr="0096524F">
        <w:t>Despegar.com USA, Inc., 2013 WL 12064859, at *6 (S.D.</w:t>
      </w:r>
      <w:r w:rsidRPr="0096524F">
        <w:t xml:space="preserve"> </w:t>
      </w:r>
      <w:r w:rsidRPr="0096524F">
        <w:t>Fla.</w:t>
      </w:r>
      <w:r w:rsidRPr="0096524F">
        <w:t xml:space="preserve"> </w:t>
      </w:r>
      <w:r w:rsidRPr="0096524F">
        <w:t>Nov.</w:t>
      </w:r>
      <w:r w:rsidRPr="0096524F">
        <w:t xml:space="preserve"> </w:t>
      </w:r>
      <w:r w:rsidRPr="0096524F">
        <w:t>13, 2013).</w:t>
      </w:r>
      <w:r w:rsidRPr="0096524F">
        <w:t xml:space="preserve"> </w:t>
      </w:r>
      <w:r w:rsidRPr="0096524F">
        <w:rPr>
          <w:i/>
        </w:rPr>
        <w:t>But see</w:t>
      </w:r>
      <w:r w:rsidRPr="0096524F">
        <w:t xml:space="preserve"> MJC Am., Ltd.</w:t>
      </w:r>
      <w:r w:rsidRPr="0096524F">
        <w:t xml:space="preserve"> </w:t>
      </w:r>
      <w:r w:rsidRPr="0096524F">
        <w:t>v.</w:t>
      </w:r>
      <w:r w:rsidRPr="0096524F">
        <w:t xml:space="preserve"> </w:t>
      </w:r>
      <w:r w:rsidRPr="0096524F">
        <w:t>Gree Elec.</w:t>
      </w:r>
      <w:r w:rsidRPr="0096524F">
        <w:t xml:space="preserve"> </w:t>
      </w:r>
      <w:r w:rsidRPr="0096524F">
        <w:t>Appliances, Inc.</w:t>
      </w:r>
      <w:r w:rsidRPr="0096524F">
        <w:t xml:space="preserve"> </w:t>
      </w:r>
      <w:r w:rsidRPr="0096524F">
        <w:t>of Zhuhai, 2015 WL 12777382, at *7 (C.D.</w:t>
      </w:r>
      <w:r w:rsidRPr="0096524F">
        <w:t xml:space="preserve"> </w:t>
      </w:r>
      <w:r w:rsidRPr="0096524F">
        <w:t>Cal.</w:t>
      </w:r>
      <w:r w:rsidRPr="0096524F">
        <w:t xml:space="preserve"> </w:t>
      </w:r>
      <w:r w:rsidRPr="0096524F">
        <w:t>Feb.</w:t>
      </w:r>
      <w:r w:rsidRPr="0096524F">
        <w:t xml:space="preserve"> </w:t>
      </w:r>
      <w:r w:rsidRPr="0096524F">
        <w:t>2, 2015) (plaintiff need not allege that defendant is using “a junior mark”) (quoting Sebastian Int’l, Inc.</w:t>
      </w:r>
      <w:r w:rsidRPr="0096524F">
        <w:t xml:space="preserve"> </w:t>
      </w:r>
      <w:r w:rsidRPr="0096524F">
        <w:t>v.</w:t>
      </w:r>
      <w:r w:rsidRPr="0096524F">
        <w:t xml:space="preserve"> </w:t>
      </w:r>
      <w:r w:rsidRPr="0096524F">
        <w:t>Russolino, 186 F.</w:t>
      </w:r>
      <w:r w:rsidRPr="0096524F">
        <w:t xml:space="preserve"> </w:t>
      </w:r>
      <w:r w:rsidRPr="0096524F">
        <w:t>Supp.</w:t>
      </w:r>
      <w:r w:rsidRPr="0096524F">
        <w:t xml:space="preserve"> </w:t>
      </w:r>
      <w:r w:rsidRPr="0096524F">
        <w:t>2d 1055, 1070 (C.D.</w:t>
      </w:r>
      <w:r w:rsidRPr="0096524F">
        <w:t xml:space="preserve"> </w:t>
      </w:r>
      <w:r w:rsidRPr="0096524F">
        <w:t>Cal.</w:t>
      </w:r>
      <w:r w:rsidRPr="0096524F">
        <w:t xml:space="preserve"> </w:t>
      </w:r>
      <w:r w:rsidRPr="0096524F">
        <w:t>2000), a case decided before the TDRA).</w:t>
      </w:r>
    </w:p>
    <w:p w14:paraId="40C1148D" w14:textId="77777777" w:rsidR="0096524F" w:rsidRDefault="0096524F" w:rsidP="00D758BD">
      <w:pPr>
        <w:pStyle w:val="footnote"/>
      </w:pPr>
    </w:p>
  </w:footnote>
  <w:footnote w:id="864">
    <w:p w14:paraId="0E8C5084" w14:textId="42E9CCB1" w:rsidR="0096524F" w:rsidRPr="00FC2AE2" w:rsidRDefault="0096524F" w:rsidP="0096524F">
      <w:pPr>
        <w:pStyle w:val="FootnoteText"/>
        <w:rPr>
          <w:lang w:val="sv-SE"/>
        </w:rPr>
      </w:pPr>
      <w:r w:rsidRPr="0096524F">
        <w:rPr>
          <w:rStyle w:val="FootnoteReference"/>
          <w:rFonts w:eastAsiaTheme="majorEastAsia"/>
        </w:rPr>
        <w:footnoteRef/>
      </w:r>
      <w:r w:rsidRPr="0096524F">
        <w:t>451 F.</w:t>
      </w:r>
      <w:r w:rsidRPr="0096524F">
        <w:t xml:space="preserve"> </w:t>
      </w:r>
      <w:r w:rsidRPr="0096524F">
        <w:t>Supp.</w:t>
      </w:r>
      <w:r w:rsidRPr="0096524F">
        <w:t xml:space="preserve"> </w:t>
      </w:r>
      <w:r w:rsidRPr="0096524F">
        <w:t>3d 373 (E.D.</w:t>
      </w:r>
      <w:r w:rsidRPr="0096524F">
        <w:t xml:space="preserve"> </w:t>
      </w:r>
      <w:r w:rsidRPr="0096524F">
        <w:t>Pa.</w:t>
      </w:r>
      <w:r w:rsidRPr="0096524F">
        <w:t xml:space="preserve"> </w:t>
      </w:r>
      <w:r w:rsidRPr="0096524F">
        <w:t>2020).</w:t>
      </w:r>
    </w:p>
  </w:footnote>
  <w:footnote w:id="865">
    <w:p w14:paraId="75F83B7F" w14:textId="025B4154" w:rsidR="0096524F" w:rsidRPr="00B9100D" w:rsidRDefault="0096524F" w:rsidP="0096524F">
      <w:pPr>
        <w:pStyle w:val="FootnoteText"/>
      </w:pPr>
      <w:r w:rsidRPr="0096524F">
        <w:rPr>
          <w:rStyle w:val="FootnoteReference"/>
          <w:rFonts w:eastAsiaTheme="majorEastAsia"/>
        </w:rPr>
        <w:footnoteRef/>
      </w:r>
      <w:r w:rsidRPr="0096524F">
        <w:rPr>
          <w:i/>
        </w:rPr>
        <w:t>Id</w:t>
      </w:r>
      <w:r w:rsidRPr="0096524F">
        <w:t>.</w:t>
      </w:r>
      <w:r w:rsidRPr="0096524F">
        <w:t xml:space="preserve"> </w:t>
      </w:r>
      <w:r w:rsidRPr="0096524F">
        <w:t>at 391.</w:t>
      </w:r>
    </w:p>
  </w:footnote>
  <w:footnote w:id="866">
    <w:p w14:paraId="10D27A91" w14:textId="05589299" w:rsidR="0096524F" w:rsidRPr="0096524F" w:rsidRDefault="0096524F" w:rsidP="0096524F">
      <w:pPr>
        <w:pStyle w:val="FootnoteText"/>
      </w:pPr>
      <w:r w:rsidRPr="0096524F">
        <w:rPr>
          <w:vertAlign w:val="superscript"/>
        </w:rPr>
        <w:footnoteRef/>
      </w:r>
      <w:r w:rsidRPr="0096524F">
        <w:t>2016 WL 4134495 (C.D.</w:t>
      </w:r>
      <w:r w:rsidRPr="0096524F">
        <w:t xml:space="preserve"> </w:t>
      </w:r>
      <w:r w:rsidRPr="0096524F">
        <w:t>Cal.</w:t>
      </w:r>
      <w:r w:rsidRPr="0096524F">
        <w:t xml:space="preserve"> </w:t>
      </w:r>
      <w:r w:rsidRPr="0096524F">
        <w:t>Aug.</w:t>
      </w:r>
      <w:r w:rsidRPr="0096524F">
        <w:t xml:space="preserve"> </w:t>
      </w:r>
      <w:r w:rsidRPr="0096524F">
        <w:t>1, 2016).</w:t>
      </w:r>
    </w:p>
    <w:p w14:paraId="75B4D08F" w14:textId="77777777" w:rsidR="0096524F" w:rsidRDefault="0096524F" w:rsidP="00D758BD">
      <w:pPr>
        <w:pStyle w:val="footnote"/>
      </w:pPr>
    </w:p>
  </w:footnote>
  <w:footnote w:id="867">
    <w:p w14:paraId="1A5F2AAC" w14:textId="01E5D8D6"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*3–4.</w:t>
      </w:r>
    </w:p>
    <w:p w14:paraId="4FF4DAD4" w14:textId="77777777" w:rsidR="0096524F" w:rsidRDefault="0096524F" w:rsidP="00D758BD">
      <w:pPr>
        <w:pStyle w:val="footnote"/>
      </w:pPr>
    </w:p>
  </w:footnote>
  <w:footnote w:id="868">
    <w:p w14:paraId="1AF0D31C" w14:textId="4F019721" w:rsidR="0096524F" w:rsidRPr="00EB11B3" w:rsidRDefault="0096524F" w:rsidP="0096524F">
      <w:pPr>
        <w:pStyle w:val="FootnoteText"/>
      </w:pPr>
      <w:r w:rsidRPr="0096524F">
        <w:rPr>
          <w:vertAlign w:val="superscript"/>
        </w:rPr>
        <w:footnoteRef/>
      </w:r>
      <w:r w:rsidRPr="0096524F">
        <w:t>676 F.3d 144, 102 USPQ2d 1473 (4th Cir.</w:t>
      </w:r>
      <w:r w:rsidRPr="0096524F">
        <w:t xml:space="preserve"> </w:t>
      </w:r>
      <w:r w:rsidRPr="0096524F">
        <w:t>2012).</w:t>
      </w:r>
    </w:p>
  </w:footnote>
  <w:footnote w:id="869">
    <w:p w14:paraId="360C74B0" w14:textId="69BC2863"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168.</w:t>
      </w:r>
    </w:p>
  </w:footnote>
  <w:footnote w:id="870">
    <w:p w14:paraId="3B22A5BD" w14:textId="726659F7"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169.</w:t>
      </w:r>
    </w:p>
  </w:footnote>
  <w:footnote w:id="871">
    <w:p w14:paraId="51878CE0" w14:textId="779C2637" w:rsidR="0096524F" w:rsidRPr="00EB11B3" w:rsidRDefault="0096524F" w:rsidP="0096524F">
      <w:pPr>
        <w:pStyle w:val="FootnoteText"/>
      </w:pPr>
      <w:r w:rsidRPr="0096524F">
        <w:rPr>
          <w:vertAlign w:val="superscript"/>
        </w:rPr>
        <w:footnoteRef/>
      </w:r>
      <w:r w:rsidRPr="0096524F">
        <w:rPr>
          <w:i/>
        </w:rPr>
        <w:t>See</w:t>
      </w:r>
      <w:r w:rsidRPr="0096524F">
        <w:t xml:space="preserve"> Playboy Enters., Inc.</w:t>
      </w:r>
      <w:r w:rsidRPr="0096524F">
        <w:t xml:space="preserve"> </w:t>
      </w:r>
      <w:r w:rsidRPr="0096524F">
        <w:t>v.</w:t>
      </w:r>
      <w:r w:rsidRPr="0096524F">
        <w:t xml:space="preserve"> </w:t>
      </w:r>
      <w:r w:rsidRPr="0096524F">
        <w:t>Netscape Commc’ns Corp., 55 F.</w:t>
      </w:r>
      <w:r w:rsidRPr="0096524F">
        <w:t xml:space="preserve"> </w:t>
      </w:r>
      <w:r w:rsidRPr="0096524F">
        <w:t>Supp.</w:t>
      </w:r>
      <w:r w:rsidRPr="0096524F">
        <w:t xml:space="preserve"> </w:t>
      </w:r>
      <w:r w:rsidRPr="0096524F">
        <w:t>2d 1070, 1088, 52 USPQ2d 1162 (C.D.</w:t>
      </w:r>
      <w:r w:rsidRPr="0096524F">
        <w:t xml:space="preserve"> </w:t>
      </w:r>
      <w:r w:rsidRPr="0096524F">
        <w:t>Cal.</w:t>
      </w:r>
      <w:r w:rsidRPr="0096524F">
        <w:t xml:space="preserve"> </w:t>
      </w:r>
      <w:r w:rsidRPr="0096524F">
        <w:t>1999);</w:t>
      </w:r>
      <w:r w:rsidRPr="0096524F">
        <w:t xml:space="preserve"> </w:t>
      </w:r>
      <w:r w:rsidRPr="0096524F">
        <w:t>Lyons P’ship v.</w:t>
      </w:r>
      <w:r w:rsidRPr="0096524F">
        <w:t xml:space="preserve"> </w:t>
      </w:r>
      <w:r w:rsidRPr="0096524F">
        <w:t>Giannoulas, 14 F.</w:t>
      </w:r>
      <w:r w:rsidRPr="0096524F">
        <w:t xml:space="preserve"> </w:t>
      </w:r>
      <w:r w:rsidRPr="0096524F">
        <w:t>Supp.</w:t>
      </w:r>
      <w:r w:rsidRPr="0096524F">
        <w:t xml:space="preserve"> </w:t>
      </w:r>
      <w:r w:rsidRPr="0096524F">
        <w:t>2d 947, 954, 48 USPQ2d 1759 (N.D.</w:t>
      </w:r>
      <w:r w:rsidRPr="0096524F">
        <w:t xml:space="preserve"> </w:t>
      </w:r>
      <w:r w:rsidRPr="0096524F">
        <w:t>Tex.</w:t>
      </w:r>
      <w:r w:rsidRPr="0096524F">
        <w:t xml:space="preserve"> </w:t>
      </w:r>
      <w:r w:rsidRPr="0096524F">
        <w:t xml:space="preserve">1998), </w:t>
      </w:r>
      <w:r w:rsidRPr="0096524F">
        <w:rPr>
          <w:i/>
        </w:rPr>
        <w:t>aff’d,</w:t>
      </w:r>
      <w:r w:rsidRPr="0096524F">
        <w:t xml:space="preserve"> 179 F.3d 384, 51 USPQ2d 1365 (5th Cir.</w:t>
      </w:r>
      <w:r w:rsidRPr="0096524F">
        <w:t xml:space="preserve"> </w:t>
      </w:r>
      <w:r w:rsidRPr="0096524F">
        <w:t>1999) (no discussion of the issue by the Fifth Circuit);</w:t>
      </w:r>
      <w:r w:rsidRPr="0096524F">
        <w:t xml:space="preserve"> </w:t>
      </w:r>
      <w:r w:rsidRPr="0096524F">
        <w:t>Ford Motor Co.</w:t>
      </w:r>
      <w:r w:rsidRPr="0096524F">
        <w:t xml:space="preserve"> </w:t>
      </w:r>
      <w:r w:rsidRPr="0096524F">
        <w:t>v.</w:t>
      </w:r>
      <w:r w:rsidRPr="0096524F">
        <w:t xml:space="preserve"> </w:t>
      </w:r>
      <w:r w:rsidRPr="0096524F">
        <w:t>Ultra Coachbuilders, Inc., 57 USPQ2d 1356, 1364 (C.D.</w:t>
      </w:r>
      <w:r w:rsidRPr="0096524F">
        <w:t xml:space="preserve"> </w:t>
      </w:r>
      <w:r w:rsidRPr="0096524F">
        <w:t xml:space="preserve">Cal.), </w:t>
      </w:r>
      <w:r w:rsidRPr="0096524F">
        <w:rPr>
          <w:i/>
        </w:rPr>
        <w:t>aff’d mem</w:t>
      </w:r>
      <w:r w:rsidRPr="0096524F">
        <w:t>., 238 F.3d 428 (9th Cir.</w:t>
      </w:r>
      <w:r w:rsidRPr="0096524F">
        <w:t xml:space="preserve"> </w:t>
      </w:r>
      <w:r w:rsidRPr="0096524F">
        <w:t>2000);</w:t>
      </w:r>
      <w:r w:rsidRPr="0096524F">
        <w:t xml:space="preserve"> </w:t>
      </w:r>
      <w:r w:rsidRPr="0096524F">
        <w:t>Ford Motor Co.</w:t>
      </w:r>
      <w:r w:rsidRPr="0096524F">
        <w:t xml:space="preserve"> </w:t>
      </w:r>
      <w:r w:rsidRPr="0096524F">
        <w:t>v.</w:t>
      </w:r>
      <w:r w:rsidRPr="0096524F">
        <w:t xml:space="preserve"> </w:t>
      </w:r>
      <w:r w:rsidRPr="0096524F">
        <w:t>GreatDomains.com, Inc., 177 F.</w:t>
      </w:r>
      <w:r w:rsidRPr="0096524F">
        <w:t xml:space="preserve"> </w:t>
      </w:r>
      <w:r w:rsidRPr="0096524F">
        <w:t>Supp.</w:t>
      </w:r>
      <w:r w:rsidRPr="0096524F">
        <w:t xml:space="preserve"> </w:t>
      </w:r>
      <w:r w:rsidRPr="0096524F">
        <w:t>2d 635, 654–55, 61 USPQ2d 1718 (E.D.</w:t>
      </w:r>
      <w:r w:rsidRPr="0096524F">
        <w:t xml:space="preserve"> </w:t>
      </w:r>
      <w:r w:rsidRPr="0096524F">
        <w:t>Mich.</w:t>
      </w:r>
      <w:r w:rsidRPr="0096524F">
        <w:t xml:space="preserve"> </w:t>
      </w:r>
      <w:r w:rsidRPr="0096524F">
        <w:t>2001).</w:t>
      </w:r>
    </w:p>
  </w:footnote>
  <w:footnote w:id="872">
    <w:p w14:paraId="35627F0A" w14:textId="3C7303A4" w:rsidR="0096524F" w:rsidRPr="00EB11B3" w:rsidRDefault="0096524F" w:rsidP="0096524F">
      <w:pPr>
        <w:pStyle w:val="FootnoteText"/>
      </w:pPr>
      <w:r w:rsidRPr="0096524F">
        <w:rPr>
          <w:vertAlign w:val="superscript"/>
        </w:rPr>
        <w:footnoteRef/>
      </w:r>
      <w:r w:rsidRPr="0096524F">
        <w:rPr>
          <w:i/>
        </w:rPr>
        <w:t>Lyons P’ship,</w:t>
      </w:r>
      <w:r w:rsidRPr="0096524F">
        <w:t xml:space="preserve"> 14 F.</w:t>
      </w:r>
      <w:r w:rsidRPr="0096524F">
        <w:t xml:space="preserve"> </w:t>
      </w:r>
      <w:r w:rsidRPr="0096524F">
        <w:t>Supp.</w:t>
      </w:r>
      <w:r w:rsidRPr="0096524F">
        <w:t xml:space="preserve"> </w:t>
      </w:r>
      <w:r w:rsidRPr="0096524F">
        <w:t>2d at 954.</w:t>
      </w:r>
    </w:p>
  </w:footnote>
  <w:footnote w:id="873">
    <w:p w14:paraId="103CF8DB" w14:textId="783E5934" w:rsidR="0096524F" w:rsidRPr="00EB11B3" w:rsidRDefault="0096524F" w:rsidP="0096524F">
      <w:pPr>
        <w:pStyle w:val="FootnoteText"/>
      </w:pPr>
      <w:r w:rsidRPr="0096524F">
        <w:rPr>
          <w:vertAlign w:val="superscript"/>
        </w:rPr>
        <w:footnoteRef/>
      </w:r>
      <w:r w:rsidRPr="0096524F">
        <w:rPr>
          <w:i/>
        </w:rPr>
        <w:t>Playboy Enters</w:t>
      </w:r>
      <w:r w:rsidRPr="0096524F">
        <w:t>., 55 F.</w:t>
      </w:r>
      <w:r w:rsidRPr="0096524F">
        <w:t xml:space="preserve"> </w:t>
      </w:r>
      <w:r w:rsidRPr="0096524F">
        <w:t>Supp.</w:t>
      </w:r>
      <w:r w:rsidRPr="0096524F">
        <w:t xml:space="preserve"> </w:t>
      </w:r>
      <w:r w:rsidRPr="0096524F">
        <w:t xml:space="preserve">2d at 1088 (citing </w:t>
      </w:r>
      <w:r w:rsidRPr="0096524F">
        <w:rPr>
          <w:smallCaps/>
        </w:rPr>
        <w:t>Restatement (Third) of Unfair Competition</w:t>
      </w:r>
      <w:r w:rsidRPr="0096524F">
        <w:t xml:space="preserve"> §25).</w:t>
      </w:r>
    </w:p>
  </w:footnote>
  <w:footnote w:id="874">
    <w:p w14:paraId="0FCC0E97" w14:textId="1AF8E34C" w:rsidR="0096524F" w:rsidRPr="00EB11B3" w:rsidRDefault="0096524F" w:rsidP="0096524F">
      <w:pPr>
        <w:pStyle w:val="FootnoteText"/>
      </w:pPr>
      <w:r w:rsidRPr="0096524F">
        <w:rPr>
          <w:vertAlign w:val="superscript"/>
        </w:rPr>
        <w:footnoteRef/>
      </w:r>
      <w:r w:rsidRPr="0096524F">
        <w:rPr>
          <w:i/>
        </w:rPr>
        <w:t>Ultra Coachbuilders,</w:t>
      </w:r>
      <w:r w:rsidRPr="0096524F">
        <w:t xml:space="preserve"> 57 USPQ2d at 1364.</w:t>
      </w:r>
      <w:r w:rsidRPr="0096524F">
        <w:t xml:space="preserve"> </w:t>
      </w:r>
      <w:r w:rsidRPr="0096524F">
        <w:t>The court did enjoin the defendant’s use of “Ultra Navigator” as the designation of converted limousines.</w:t>
      </w:r>
      <w:r w:rsidRPr="0096524F">
        <w:t xml:space="preserve"> </w:t>
      </w:r>
      <w:r w:rsidRPr="0096524F">
        <w:rPr>
          <w:i/>
        </w:rPr>
        <w:t>Id</w:t>
      </w:r>
      <w:r w:rsidRPr="0096524F">
        <w:t>.</w:t>
      </w:r>
      <w:r w:rsidRPr="0096524F">
        <w:t xml:space="preserve"> </w:t>
      </w:r>
      <w:r w:rsidRPr="0096524F">
        <w:t>at 1364–65.</w:t>
      </w:r>
    </w:p>
  </w:footnote>
  <w:footnote w:id="875">
    <w:p w14:paraId="16F4238C" w14:textId="7316CDD7" w:rsidR="0096524F" w:rsidRPr="00EB11B3" w:rsidRDefault="0096524F" w:rsidP="0096524F">
      <w:pPr>
        <w:pStyle w:val="FootnoteText"/>
      </w:pPr>
      <w:r w:rsidRPr="0096524F">
        <w:rPr>
          <w:vertAlign w:val="superscript"/>
        </w:rPr>
        <w:footnoteRef/>
      </w:r>
      <w:r w:rsidRPr="0096524F">
        <w:t>189 F.3d 868, 51 USPQ2d 1801 (9th Cir.</w:t>
      </w:r>
      <w:r w:rsidRPr="0096524F">
        <w:t xml:space="preserve"> </w:t>
      </w:r>
      <w:r w:rsidRPr="0096524F">
        <w:t>1999).</w:t>
      </w:r>
    </w:p>
  </w:footnote>
  <w:footnote w:id="876">
    <w:p w14:paraId="1C832DC2" w14:textId="59349234"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880.</w:t>
      </w:r>
    </w:p>
  </w:footnote>
  <w:footnote w:id="877">
    <w:p w14:paraId="03B6780D" w14:textId="50D9CC8D" w:rsidR="0096524F" w:rsidRPr="00EB11B3" w:rsidRDefault="0096524F" w:rsidP="0096524F">
      <w:pPr>
        <w:pStyle w:val="FootnoteText"/>
      </w:pPr>
      <w:r w:rsidRPr="0096524F">
        <w:rPr>
          <w:vertAlign w:val="superscript"/>
        </w:rPr>
        <w:footnoteRef/>
      </w:r>
      <w:r w:rsidRPr="0096524F">
        <w:t>195 F.</w:t>
      </w:r>
      <w:r w:rsidRPr="0096524F">
        <w:t xml:space="preserve"> </w:t>
      </w:r>
      <w:r w:rsidRPr="0096524F">
        <w:t>Supp.</w:t>
      </w:r>
      <w:r w:rsidRPr="0096524F">
        <w:t xml:space="preserve"> </w:t>
      </w:r>
      <w:r w:rsidRPr="0096524F">
        <w:t>2d 1024 (S.D.</w:t>
      </w:r>
      <w:r w:rsidRPr="0096524F">
        <w:t xml:space="preserve"> </w:t>
      </w:r>
      <w:r w:rsidRPr="0096524F">
        <w:t xml:space="preserve">Ohio 2001), </w:t>
      </w:r>
      <w:r w:rsidRPr="0096524F">
        <w:rPr>
          <w:i/>
        </w:rPr>
        <w:t>aff’d</w:t>
      </w:r>
      <w:r w:rsidRPr="0096524F">
        <w:t>, 326 F.3d 687, 66 USPQ2d 1321 (6th Cir.</w:t>
      </w:r>
      <w:r w:rsidRPr="0096524F">
        <w:t xml:space="preserve"> </w:t>
      </w:r>
      <w:r w:rsidRPr="0096524F">
        <w:t>2003) (the court of appeals did not reach the dilution issues because they were not appealed).</w:t>
      </w:r>
    </w:p>
  </w:footnote>
  <w:footnote w:id="878">
    <w:p w14:paraId="210D6F2A" w14:textId="63B56DF4"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1033–34.</w:t>
      </w:r>
      <w:r w:rsidRPr="0096524F">
        <w:t xml:space="preserve"> </w:t>
      </w:r>
      <w:r w:rsidRPr="0096524F">
        <w:t>The “post-domain path” refers to the portion of the URL (or Universal Resource Locator) that lies below the domain name.</w:t>
      </w:r>
      <w:r w:rsidRPr="0096524F">
        <w:t xml:space="preserve"> </w:t>
      </w:r>
      <w:r w:rsidRPr="0096524F">
        <w:t>In this case the domain name was www.a2zsolutions.com, and the path in question was http://www.a2zsolutions.com/desks/floors/laptraveler/dkfl-lt.htm.</w:t>
      </w:r>
      <w:r w:rsidRPr="0096524F">
        <w:t xml:space="preserve"> </w:t>
      </w:r>
      <w:r w:rsidRPr="0096524F">
        <w:rPr>
          <w:i/>
        </w:rPr>
        <w:t>See id</w:t>
      </w:r>
      <w:r w:rsidRPr="0096524F">
        <w:t>.</w:t>
      </w:r>
      <w:r w:rsidRPr="0096524F">
        <w:t xml:space="preserve"> </w:t>
      </w:r>
      <w:r w:rsidRPr="0096524F">
        <w:t>at 1027.</w:t>
      </w:r>
      <w:r w:rsidRPr="0096524F">
        <w:t xml:space="preserve"> </w:t>
      </w:r>
      <w:r w:rsidRPr="0096524F">
        <w:rPr>
          <w:i/>
        </w:rPr>
        <w:t>But see</w:t>
      </w:r>
      <w:r w:rsidRPr="0096524F">
        <w:t xml:space="preserve"> Google, Inc.</w:t>
      </w:r>
      <w:r w:rsidRPr="0096524F">
        <w:t xml:space="preserve"> </w:t>
      </w:r>
      <w:r w:rsidRPr="0096524F">
        <w:t>v.</w:t>
      </w:r>
      <w:r w:rsidRPr="0096524F">
        <w:t xml:space="preserve"> </w:t>
      </w:r>
      <w:r w:rsidRPr="0096524F">
        <w:t>American Blind &amp; Wallpaper Factory, Inc., 74 USPQ2d 1385, 1389–91 (N.D.</w:t>
      </w:r>
      <w:r w:rsidRPr="0096524F">
        <w:t xml:space="preserve"> </w:t>
      </w:r>
      <w:r w:rsidRPr="0096524F">
        <w:t>Cal.</w:t>
      </w:r>
      <w:r w:rsidRPr="0096524F">
        <w:t xml:space="preserve"> </w:t>
      </w:r>
      <w:r w:rsidRPr="0096524F">
        <w:t>2005) (denying summary judgment) (opinion designated non-precedential).</w:t>
      </w:r>
    </w:p>
  </w:footnote>
  <w:footnote w:id="879">
    <w:p w14:paraId="0489D7D4" w14:textId="668DAD2F" w:rsidR="0096524F" w:rsidRPr="00EB11B3" w:rsidRDefault="0096524F" w:rsidP="0096524F">
      <w:pPr>
        <w:pStyle w:val="FootnoteText"/>
      </w:pPr>
      <w:r w:rsidRPr="0096524F">
        <w:rPr>
          <w:vertAlign w:val="superscript"/>
        </w:rPr>
        <w:footnoteRef/>
      </w:r>
      <w:r w:rsidRPr="0096524F">
        <w:t>177 F.</w:t>
      </w:r>
      <w:r w:rsidRPr="0096524F">
        <w:t xml:space="preserve"> </w:t>
      </w:r>
      <w:r w:rsidRPr="0096524F">
        <w:t>Supp.</w:t>
      </w:r>
      <w:r w:rsidRPr="0096524F">
        <w:t xml:space="preserve"> </w:t>
      </w:r>
      <w:r w:rsidRPr="0096524F">
        <w:t>2d 635, 61 USPQ2d 1718 (E.D.</w:t>
      </w:r>
      <w:r w:rsidRPr="0096524F">
        <w:t xml:space="preserve"> </w:t>
      </w:r>
      <w:r w:rsidRPr="0096524F">
        <w:t>Mich.</w:t>
      </w:r>
      <w:r w:rsidRPr="0096524F">
        <w:t xml:space="preserve"> </w:t>
      </w:r>
      <w:r w:rsidRPr="0096524F">
        <w:t>2001).</w:t>
      </w:r>
    </w:p>
  </w:footnote>
  <w:footnote w:id="880">
    <w:p w14:paraId="1A550E1E" w14:textId="42480760" w:rsidR="0096524F" w:rsidRPr="00AC0C2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649.</w:t>
      </w:r>
    </w:p>
  </w:footnote>
  <w:footnote w:id="881">
    <w:p w14:paraId="4116F8D6" w14:textId="604FD0A1" w:rsidR="0096524F" w:rsidRPr="00AC0C2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649–50.</w:t>
      </w:r>
    </w:p>
  </w:footnote>
  <w:footnote w:id="882">
    <w:p w14:paraId="071925F9" w14:textId="322EAF8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655.</w:t>
      </w:r>
      <w:r w:rsidRPr="0096524F">
        <w:t xml:space="preserve"> </w:t>
      </w:r>
      <w:r w:rsidRPr="0096524F">
        <w:t>The court further held that making it more difficult to find plaintiff’s Web site does not satisfy the “goods or services” requirement.</w:t>
      </w:r>
      <w:r w:rsidRPr="0096524F">
        <w:t xml:space="preserve"> </w:t>
      </w:r>
      <w:r w:rsidRPr="0096524F">
        <w:rPr>
          <w:i/>
        </w:rPr>
        <w:t>Id</w:t>
      </w:r>
      <w:r w:rsidRPr="0096524F">
        <w:t>.</w:t>
      </w:r>
    </w:p>
  </w:footnote>
  <w:footnote w:id="883">
    <w:p w14:paraId="4231BF7F" w14:textId="726109D2" w:rsidR="0096524F" w:rsidRPr="00EB11B3" w:rsidRDefault="0096524F" w:rsidP="0096524F">
      <w:pPr>
        <w:pStyle w:val="FootnoteText"/>
      </w:pPr>
      <w:r w:rsidRPr="0096524F">
        <w:rPr>
          <w:vertAlign w:val="superscript"/>
        </w:rPr>
        <w:footnoteRef/>
      </w:r>
      <w:r w:rsidRPr="0096524F">
        <w:t>315 F.3d 932, 65 USPQ2d 1359 (8th Cir.</w:t>
      </w:r>
      <w:r w:rsidRPr="0096524F">
        <w:t xml:space="preserve"> </w:t>
      </w:r>
      <w:r w:rsidRPr="0096524F">
        <w:t>2003).</w:t>
      </w:r>
    </w:p>
  </w:footnote>
  <w:footnote w:id="884">
    <w:p w14:paraId="77968B53" w14:textId="6DE66A44"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939.</w:t>
      </w:r>
      <w:r w:rsidRPr="0096524F">
        <w:t xml:space="preserve"> </w:t>
      </w:r>
      <w:r w:rsidRPr="0096524F">
        <w:rPr>
          <w:i/>
        </w:rPr>
        <w:t>See</w:t>
      </w:r>
      <w:r w:rsidRPr="0096524F">
        <w:t xml:space="preserve"> Bosley Med.</w:t>
      </w:r>
      <w:r w:rsidRPr="0096524F">
        <w:t xml:space="preserve"> </w:t>
      </w:r>
      <w:r w:rsidRPr="0096524F">
        <w:t>Inst., Inc.</w:t>
      </w:r>
      <w:r w:rsidRPr="0096524F">
        <w:t xml:space="preserve"> </w:t>
      </w:r>
      <w:r w:rsidRPr="0096524F">
        <w:t>v.</w:t>
      </w:r>
      <w:r w:rsidRPr="0096524F">
        <w:t xml:space="preserve"> </w:t>
      </w:r>
      <w:r w:rsidRPr="0096524F">
        <w:t>Kremer, 403 F.3d 672, 677–79, 74 USPQ2d 1280 (9th Cir.</w:t>
      </w:r>
      <w:r w:rsidRPr="0096524F">
        <w:t xml:space="preserve"> </w:t>
      </w:r>
      <w:r w:rsidRPr="0096524F">
        <w:t>2005) (finding no use “in connection with the sale of goods or services” by defendant’s use of www.bosleymedical.com gripe Web site);</w:t>
      </w:r>
      <w:r w:rsidRPr="0096524F">
        <w:t xml:space="preserve"> </w:t>
      </w:r>
      <w:r w:rsidRPr="0096524F">
        <w:t>Taubman Co.</w:t>
      </w:r>
      <w:r w:rsidRPr="0096524F">
        <w:t xml:space="preserve"> </w:t>
      </w:r>
      <w:r w:rsidRPr="0096524F">
        <w:t>v.</w:t>
      </w:r>
      <w:r w:rsidRPr="0096524F">
        <w:t xml:space="preserve"> </w:t>
      </w:r>
      <w:r w:rsidRPr="0096524F">
        <w:t>Webfeats, 319 F.3d 770, 775, 65 USPQ2d 1834 (6th Cir.</w:t>
      </w:r>
      <w:r w:rsidRPr="0096524F">
        <w:t xml:space="preserve"> </w:t>
      </w:r>
      <w:r w:rsidRPr="0096524F">
        <w:t>2003) (defendant’s Web site—shopsat</w:t>
      </w:r>
      <w:r w:rsidRPr="0096524F">
        <w:br/>
        <w:t>willowbend.com—not used “in connection with the sale</w:t>
      </w:r>
      <w:r w:rsidRPr="0096524F">
        <w:t xml:space="preserve"> </w:t>
      </w:r>
      <w:r w:rsidRPr="0096524F">
        <w:t>…</w:t>
      </w:r>
      <w:r w:rsidRPr="0096524F">
        <w:t xml:space="preserve"> </w:t>
      </w:r>
      <w:r w:rsidRPr="0096524F">
        <w:t>or advertising of any goods or services”);</w:t>
      </w:r>
      <w:r w:rsidRPr="0096524F">
        <w:t xml:space="preserve"> </w:t>
      </w:r>
      <w:r w:rsidRPr="0096524F">
        <w:t>Best W.</w:t>
      </w:r>
      <w:r w:rsidRPr="0096524F">
        <w:t xml:space="preserve"> </w:t>
      </w:r>
      <w:r w:rsidRPr="0096524F">
        <w:t>Int’l, Inc.</w:t>
      </w:r>
      <w:r w:rsidRPr="0096524F">
        <w:t xml:space="preserve"> </w:t>
      </w:r>
      <w:r w:rsidRPr="0096524F">
        <w:t>v.</w:t>
      </w:r>
      <w:r w:rsidRPr="0096524F">
        <w:t xml:space="preserve"> </w:t>
      </w:r>
      <w:r w:rsidRPr="0096524F">
        <w:t>Doe, 2006 U.S.</w:t>
      </w:r>
      <w:r w:rsidRPr="0096524F">
        <w:t xml:space="preserve"> </w:t>
      </w:r>
      <w:r w:rsidRPr="0096524F">
        <w:t>Dist.</w:t>
      </w:r>
      <w:r w:rsidRPr="0096524F">
        <w:t xml:space="preserve"> </w:t>
      </w:r>
      <w:r w:rsidRPr="0096524F">
        <w:t>LEXIS 77942, at *7–8 (D.</w:t>
      </w:r>
      <w:r w:rsidRPr="0096524F">
        <w:t xml:space="preserve"> </w:t>
      </w:r>
      <w:r w:rsidRPr="0096524F">
        <w:t>Ariz.</w:t>
      </w:r>
      <w:r w:rsidRPr="0096524F">
        <w:t xml:space="preserve"> </w:t>
      </w:r>
      <w:r w:rsidRPr="0096524F">
        <w:t>2006) (dismissing post-TDRA dilution claim on grounds that defendant’s use was not “in connection with goods or services”;</w:t>
      </w:r>
      <w:r w:rsidRPr="0096524F">
        <w:t xml:space="preserve"> </w:t>
      </w:r>
      <w:r w:rsidRPr="0096524F">
        <w:t xml:space="preserve">and citing </w:t>
      </w:r>
      <w:r w:rsidRPr="0096524F">
        <w:rPr>
          <w:i/>
        </w:rPr>
        <w:t>Bosley</w:t>
      </w:r>
      <w:r w:rsidRPr="0096524F">
        <w:t>);</w:t>
      </w:r>
      <w:r w:rsidRPr="0096524F">
        <w:t xml:space="preserve"> </w:t>
      </w:r>
      <w:r w:rsidRPr="0096524F">
        <w:t>Mashantucket Pequot Tribe v.</w:t>
      </w:r>
      <w:r w:rsidRPr="0096524F">
        <w:t xml:space="preserve"> </w:t>
      </w:r>
      <w:r w:rsidRPr="0096524F">
        <w:t>Redican, 403 F.</w:t>
      </w:r>
      <w:r w:rsidRPr="0096524F">
        <w:t xml:space="preserve"> </w:t>
      </w:r>
      <w:r w:rsidRPr="0096524F">
        <w:t>Supp.</w:t>
      </w:r>
      <w:r w:rsidRPr="0096524F">
        <w:t xml:space="preserve"> </w:t>
      </w:r>
      <w:r w:rsidRPr="0096524F">
        <w:t>2d 184, 191, 193 (D.</w:t>
      </w:r>
      <w:r w:rsidRPr="0096524F">
        <w:t xml:space="preserve"> </w:t>
      </w:r>
      <w:r w:rsidRPr="0096524F">
        <w:t>Conn.</w:t>
      </w:r>
      <w:r w:rsidRPr="0096524F">
        <w:t xml:space="preserve"> </w:t>
      </w:r>
      <w:r w:rsidRPr="0096524F">
        <w:t>2005) (foxwoods.com domain name not “use in commerce” for purposes of infringement or dilution).</w:t>
      </w:r>
      <w:r w:rsidRPr="0096524F">
        <w:t xml:space="preserve"> </w:t>
      </w:r>
      <w:r w:rsidRPr="0096524F">
        <w:t>In the infringement context, courts seem to be moving in the direction of holding that a trademark use is not required.</w:t>
      </w:r>
      <w:r w:rsidRPr="0096524F">
        <w:t xml:space="preserve"> </w:t>
      </w:r>
      <w:r w:rsidRPr="0096524F">
        <w:rPr>
          <w:i/>
        </w:rPr>
        <w:t>E</w:t>
      </w:r>
      <w:r w:rsidRPr="0096524F">
        <w:t>.</w:t>
      </w:r>
      <w:r w:rsidRPr="0096524F">
        <w:rPr>
          <w:i/>
        </w:rPr>
        <w:t>g</w:t>
      </w:r>
      <w:r w:rsidRPr="0096524F">
        <w:t>., Rescuecom Corp.</w:t>
      </w:r>
      <w:r w:rsidRPr="0096524F">
        <w:t xml:space="preserve"> </w:t>
      </w:r>
      <w:r w:rsidRPr="0096524F">
        <w:t>v.</w:t>
      </w:r>
      <w:r w:rsidRPr="0096524F">
        <w:t xml:space="preserve"> </w:t>
      </w:r>
      <w:r w:rsidRPr="0096524F">
        <w:t>Google, Inc., 562 F.3d 123, 90 USPQ2d 1287 (2d Cir.</w:t>
      </w:r>
      <w:r w:rsidRPr="0096524F">
        <w:t xml:space="preserve"> </w:t>
      </w:r>
      <w:r w:rsidRPr="0096524F">
        <w:t>2009);</w:t>
      </w:r>
      <w:r w:rsidRPr="0096524F">
        <w:t xml:space="preserve"> </w:t>
      </w:r>
      <w:r w:rsidRPr="0096524F">
        <w:t>Network Automation, Inc.</w:t>
      </w:r>
      <w:r w:rsidRPr="0096524F">
        <w:t xml:space="preserve"> </w:t>
      </w:r>
      <w:r w:rsidRPr="0096524F">
        <w:t>v.</w:t>
      </w:r>
      <w:r w:rsidRPr="0096524F">
        <w:t xml:space="preserve"> </w:t>
      </w:r>
      <w:r w:rsidRPr="0096524F">
        <w:t>Advanced Sys.</w:t>
      </w:r>
      <w:r w:rsidRPr="0096524F">
        <w:t xml:space="preserve"> </w:t>
      </w:r>
      <w:r w:rsidRPr="0096524F">
        <w:t>Concepts, Inc., 638 F.3d 1137, 1145, 97 USPQ2d 2036 (9th Cir.</w:t>
      </w:r>
      <w:r w:rsidRPr="0096524F">
        <w:t xml:space="preserve"> </w:t>
      </w:r>
      <w:r w:rsidRPr="0096524F">
        <w:t>2011).</w:t>
      </w:r>
    </w:p>
  </w:footnote>
  <w:footnote w:id="885">
    <w:p w14:paraId="786760A8" w14:textId="2C823A6E" w:rsidR="0096524F" w:rsidRPr="00EB11B3" w:rsidRDefault="0096524F" w:rsidP="0096524F">
      <w:pPr>
        <w:pStyle w:val="FootnoteText"/>
      </w:pPr>
      <w:r w:rsidRPr="0096524F">
        <w:rPr>
          <w:vertAlign w:val="superscript"/>
        </w:rPr>
        <w:footnoteRef/>
      </w:r>
      <w:r w:rsidRPr="0096524F">
        <w:t>191 F.3d 208, 51 USPQ2d 1882 (2d Cir.</w:t>
      </w:r>
      <w:r w:rsidRPr="0096524F">
        <w:t xml:space="preserve"> </w:t>
      </w:r>
      <w:r w:rsidRPr="0096524F">
        <w:t>1999).</w:t>
      </w:r>
    </w:p>
  </w:footnote>
  <w:footnote w:id="886">
    <w:p w14:paraId="43420B5A" w14:textId="3B879875"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223.</w:t>
      </w:r>
    </w:p>
  </w:footnote>
  <w:footnote w:id="887">
    <w:p w14:paraId="41834D0C" w14:textId="367B095E"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The court held that the shape of Nabisco’s crackers was intended to signify “trademark characters” of a television production with which Nabisco had a joint venture.</w:t>
      </w:r>
      <w:r w:rsidRPr="0096524F">
        <w:t xml:space="preserve"> </w:t>
      </w:r>
      <w:r w:rsidRPr="0096524F">
        <w:rPr>
          <w:i/>
        </w:rPr>
        <w:t>Id</w:t>
      </w:r>
      <w:r w:rsidRPr="0096524F">
        <w:t>.</w:t>
      </w:r>
    </w:p>
  </w:footnote>
  <w:footnote w:id="888">
    <w:p w14:paraId="0FCEFE33" w14:textId="46E85D41"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University of Kan.</w:t>
      </w:r>
      <w:r w:rsidRPr="0096524F">
        <w:t xml:space="preserve"> </w:t>
      </w:r>
      <w:r w:rsidRPr="0096524F">
        <w:t>v.</w:t>
      </w:r>
      <w:r w:rsidRPr="0096524F">
        <w:t xml:space="preserve"> </w:t>
      </w:r>
      <w:r w:rsidRPr="0096524F">
        <w:t>Sinks, 644 F.</w:t>
      </w:r>
      <w:r w:rsidRPr="0096524F">
        <w:t xml:space="preserve"> </w:t>
      </w:r>
      <w:r w:rsidRPr="0096524F">
        <w:t>Supp.</w:t>
      </w:r>
      <w:r w:rsidRPr="0096524F">
        <w:t xml:space="preserve"> </w:t>
      </w:r>
      <w:r w:rsidRPr="0096524F">
        <w:t>2d 1287 (D.</w:t>
      </w:r>
      <w:r w:rsidRPr="0096524F">
        <w:t xml:space="preserve"> </w:t>
      </w:r>
      <w:r w:rsidRPr="0096524F">
        <w:t>Kan.</w:t>
      </w:r>
      <w:r w:rsidRPr="0096524F">
        <w:t xml:space="preserve"> </w:t>
      </w:r>
      <w:r w:rsidRPr="0096524F">
        <w:t>2008) (use of plaintiff’s mark on T-shirts).</w:t>
      </w:r>
    </w:p>
  </w:footnote>
  <w:footnote w:id="889">
    <w:p w14:paraId="55DC8F24" w14:textId="5B4E628D" w:rsidR="0096524F" w:rsidRPr="00EB11B3" w:rsidRDefault="0096524F" w:rsidP="0096524F">
      <w:pPr>
        <w:pStyle w:val="FootnoteText"/>
      </w:pPr>
      <w:r w:rsidRPr="0096524F">
        <w:rPr>
          <w:vertAlign w:val="superscript"/>
        </w:rPr>
        <w:footnoteRef/>
      </w:r>
      <w:r w:rsidRPr="0096524F">
        <w:t>Generic uses are by definition not intended to signify a source;</w:t>
      </w:r>
      <w:r w:rsidRPr="0096524F">
        <w:t xml:space="preserve"> </w:t>
      </w:r>
      <w:r w:rsidRPr="0096524F">
        <w:t>thus, they cannot be classified as trademark uses.</w:t>
      </w:r>
      <w:r w:rsidRPr="0096524F">
        <w:t xml:space="preserve"> </w:t>
      </w:r>
      <w:r w:rsidRPr="0096524F">
        <w:t>Genericide may not be included in the TDRA’s definition of blurring in any case.</w:t>
      </w:r>
      <w:r w:rsidRPr="0096524F">
        <w:t xml:space="preserve"> </w:t>
      </w:r>
      <w:r w:rsidRPr="0096524F">
        <w:rPr>
          <w:i/>
        </w:rPr>
        <w:t>See</w:t>
      </w:r>
      <w:r w:rsidRPr="0096524F">
        <w:t xml:space="preserve"> above, §II.G.</w:t>
      </w:r>
    </w:p>
  </w:footnote>
  <w:footnote w:id="890">
    <w:p w14:paraId="4855F126" w14:textId="7AAF451A" w:rsidR="0096524F" w:rsidRPr="00EB11B3" w:rsidRDefault="0096524F" w:rsidP="0096524F">
      <w:pPr>
        <w:pStyle w:val="FootnoteText"/>
      </w:pPr>
      <w:r w:rsidRPr="0096524F">
        <w:rPr>
          <w:vertAlign w:val="superscript"/>
        </w:rPr>
        <w:footnoteRef/>
      </w:r>
      <w:r w:rsidRPr="0096524F">
        <w:t xml:space="preserve">In </w:t>
      </w:r>
      <w:r w:rsidRPr="0096524F">
        <w:rPr>
          <w:rStyle w:val="BCasenamefull"/>
        </w:rPr>
        <w:t>Jack Daniel’s Prop., Inc. v. VIP Prods. LLC</w:t>
      </w:r>
      <w:r w:rsidRPr="0096524F">
        <w:t>, 599 U.S.</w:t>
      </w:r>
      <w:r w:rsidRPr="0096524F">
        <w:t xml:space="preserve"> </w:t>
      </w:r>
      <w:r w:rsidRPr="0096524F">
        <w:t>140 (2023), the Court held that the noncommercial use exclusion also does not apply when the use is a trademark use.</w:t>
      </w:r>
      <w:r w:rsidRPr="0096524F">
        <w:t xml:space="preserve"> </w:t>
      </w:r>
      <w:r w:rsidRPr="0096524F">
        <w:t>See Chapter 10 for a discussion of the TDRA exclusions.</w:t>
      </w:r>
    </w:p>
  </w:footnote>
  <w:footnote w:id="891">
    <w:p w14:paraId="31B0FAC5" w14:textId="0AF116F5" w:rsidR="0096524F" w:rsidRPr="00EB11B3" w:rsidRDefault="0096524F" w:rsidP="0096524F">
      <w:pPr>
        <w:pStyle w:val="FootnoteText"/>
      </w:pPr>
      <w:r w:rsidRPr="0096524F">
        <w:rPr>
          <w:vertAlign w:val="superscript"/>
        </w:rPr>
        <w:footnoteRef/>
      </w:r>
      <w:r w:rsidRPr="0096524F">
        <w:t>E.g., William G.</w:t>
      </w:r>
      <w:r w:rsidRPr="0096524F">
        <w:t xml:space="preserve"> </w:t>
      </w:r>
      <w:r w:rsidRPr="0096524F">
        <w:t xml:space="preserve">Barber, How to Do a Trademark Dilution Survey (or Perhaps How Not to Do One), 89 </w:t>
      </w:r>
      <w:r w:rsidRPr="0096524F">
        <w:rPr>
          <w:smallCaps/>
        </w:rPr>
        <w:t>Trademark Rep.</w:t>
      </w:r>
      <w:r w:rsidRPr="0096524F">
        <w:rPr>
          <w:smallCaps/>
        </w:rPr>
        <w:t xml:space="preserve"> </w:t>
      </w:r>
      <w:r w:rsidRPr="0096524F">
        <w:t>616, 616–17 (1999).</w:t>
      </w:r>
    </w:p>
  </w:footnote>
  <w:footnote w:id="892">
    <w:p w14:paraId="27D654E8" w14:textId="2604838C" w:rsidR="0096524F" w:rsidRPr="0096524F" w:rsidRDefault="0096524F" w:rsidP="0096524F">
      <w:pPr>
        <w:pStyle w:val="FootnoteText"/>
      </w:pPr>
      <w:r w:rsidRPr="0096524F">
        <w:rPr>
          <w:vertAlign w:val="superscript"/>
        </w:rPr>
        <w:footnoteRef/>
      </w:r>
      <w:r w:rsidRPr="0096524F">
        <w:t xml:space="preserve">In </w:t>
      </w:r>
      <w:r w:rsidRPr="0096524F">
        <w:rPr>
          <w:i/>
        </w:rPr>
        <w:t>Nabisco, Inc</w:t>
      </w:r>
      <w:r w:rsidRPr="0096524F">
        <w:t>.</w:t>
      </w:r>
      <w:r w:rsidRPr="0096524F">
        <w:t xml:space="preserve"> </w:t>
      </w:r>
      <w:r w:rsidRPr="0096524F">
        <w:rPr>
          <w:i/>
        </w:rPr>
        <w:t>v</w:t>
      </w:r>
      <w:r w:rsidRPr="0096524F">
        <w:t>.</w:t>
      </w:r>
      <w:r w:rsidRPr="0096524F">
        <w:t xml:space="preserve"> </w:t>
      </w:r>
      <w:r w:rsidRPr="0096524F">
        <w:rPr>
          <w:i/>
        </w:rPr>
        <w:t>PF Brands, Inc</w:t>
      </w:r>
      <w:r w:rsidRPr="0096524F">
        <w:t>., 191 F.3d 20851 USPQ2d 1882 (2d Cir.</w:t>
      </w:r>
      <w:r w:rsidRPr="0096524F">
        <w:t xml:space="preserve"> </w:t>
      </w:r>
      <w:r w:rsidRPr="0096524F">
        <w:t>1999), the court stated that an oft-cited test of dilution omitted the following relevant factors:</w:t>
      </w:r>
    </w:p>
    <w:p w14:paraId="6484184E" w14:textId="720122E8" w:rsidR="0096524F" w:rsidRPr="0096524F" w:rsidRDefault="0096524F" w:rsidP="0096524F">
      <w:pPr>
        <w:pStyle w:val="BQuotelong"/>
      </w:pPr>
      <w:r w:rsidRPr="0096524F">
        <w:t>actual confusion and likelihood of confusion, shared consumers and geographic isolation, the adjectival quality of the junior use, and the interrelated factors of duration of the junior use, harm to the junior user, and delay by the senior in bringing the action.</w:t>
      </w:r>
    </w:p>
    <w:p w14:paraId="3AA541E0" w14:textId="4761B7E6" w:rsidR="0096524F" w:rsidRPr="00EB11B3" w:rsidRDefault="0096524F" w:rsidP="0096524F">
      <w:pPr>
        <w:pStyle w:val="FootnoteText"/>
      </w:pPr>
      <w:r w:rsidRPr="0096524F">
        <w:rPr>
          <w:i/>
        </w:rPr>
        <w:t>Id</w:t>
      </w:r>
      <w:r w:rsidRPr="0096524F">
        <w:t>.</w:t>
      </w:r>
      <w:r w:rsidRPr="0096524F">
        <w:t xml:space="preserve"> </w:t>
      </w:r>
      <w:r w:rsidRPr="0096524F">
        <w:t>at 228.</w:t>
      </w:r>
      <w:r w:rsidRPr="0096524F">
        <w:t xml:space="preserve"> </w:t>
      </w:r>
      <w:r w:rsidRPr="0096524F">
        <w:t>The cited test came from Mead Data Cent., Inc.</w:t>
      </w:r>
      <w:r w:rsidRPr="0096524F">
        <w:t xml:space="preserve"> </w:t>
      </w:r>
      <w:r w:rsidRPr="0096524F">
        <w:t>v.</w:t>
      </w:r>
      <w:r w:rsidRPr="0096524F">
        <w:t xml:space="preserve"> </w:t>
      </w:r>
      <w:r w:rsidRPr="0096524F">
        <w:t>Toyota Motor Sales, U.S.A., Inc., 875 F.2d 1026, 1035, 10 USPQ2d 1961 (2d Cir.</w:t>
      </w:r>
      <w:r w:rsidRPr="0096524F">
        <w:t xml:space="preserve"> </w:t>
      </w:r>
      <w:r w:rsidRPr="0096524F">
        <w:t>1989) (Sweet, J., concurring).</w:t>
      </w:r>
      <w:r w:rsidRPr="0096524F">
        <w:t xml:space="preserve"> </w:t>
      </w:r>
      <w:r w:rsidRPr="0096524F">
        <w:rPr>
          <w:i/>
        </w:rPr>
        <w:t>See also</w:t>
      </w:r>
      <w:r w:rsidRPr="0096524F">
        <w:t xml:space="preserve"> Eli Lilly &amp; Co.</w:t>
      </w:r>
      <w:r w:rsidRPr="0096524F">
        <w:t xml:space="preserve"> </w:t>
      </w:r>
      <w:r w:rsidRPr="0096524F">
        <w:t>v.</w:t>
      </w:r>
      <w:r w:rsidRPr="0096524F">
        <w:t xml:space="preserve"> </w:t>
      </w:r>
      <w:r w:rsidRPr="0096524F">
        <w:t>Natural Answers, Inc., 233 F.3d 456, 468–69, 56 USPQ2d 1942 (7th Cir.</w:t>
      </w:r>
      <w:r w:rsidRPr="0096524F">
        <w:t xml:space="preserve"> </w:t>
      </w:r>
      <w:r w:rsidRPr="0096524F">
        <w:t>2000).</w:t>
      </w:r>
      <w:r w:rsidRPr="0096524F">
        <w:t xml:space="preserve"> </w:t>
      </w:r>
      <w:r w:rsidRPr="0096524F">
        <w:t xml:space="preserve">Once the Supreme Court required a showing of </w:t>
      </w:r>
      <w:r w:rsidRPr="0096524F">
        <w:rPr>
          <w:i/>
        </w:rPr>
        <w:t>actual</w:t>
      </w:r>
      <w:r w:rsidRPr="0096524F">
        <w:t xml:space="preserve"> dilution, Moseley v.</w:t>
      </w:r>
      <w:r w:rsidRPr="0096524F">
        <w:t xml:space="preserve"> </w:t>
      </w:r>
      <w:r w:rsidRPr="0096524F">
        <w:t>V Secret Catalogue, Inc., 537 U.S.</w:t>
      </w:r>
      <w:r w:rsidRPr="0096524F">
        <w:t xml:space="preserve"> </w:t>
      </w:r>
      <w:r w:rsidRPr="0096524F">
        <w:t>418, 433, 65 USPQ2d 1801 (2003), it became clear that evidence of dilution would be critical.</w:t>
      </w:r>
      <w:r w:rsidRPr="0096524F">
        <w:t xml:space="preserve"> </w:t>
      </w:r>
      <w:r w:rsidRPr="0096524F">
        <w:t>After the TDRA, such direct evidence is not as critical.</w:t>
      </w:r>
      <w:r w:rsidRPr="0096524F">
        <w:t xml:space="preserve"> </w:t>
      </w:r>
      <w:r w:rsidRPr="0096524F">
        <w:t>However, any such evidence clearly would be highly relevant.</w:t>
      </w:r>
    </w:p>
  </w:footnote>
  <w:footnote w:id="893">
    <w:p w14:paraId="6E5BC81D" w14:textId="03E0A53A" w:rsidR="0096524F" w:rsidRPr="00EB11B3" w:rsidRDefault="0096524F" w:rsidP="0096524F">
      <w:pPr>
        <w:pStyle w:val="FootnoteText"/>
      </w:pPr>
      <w:r w:rsidRPr="0096524F">
        <w:rPr>
          <w:vertAlign w:val="superscript"/>
        </w:rPr>
        <w:footnoteRef/>
      </w:r>
      <w:r w:rsidRPr="0096524F">
        <w:t>Lanham Act §43(c)(2)(B)(vi), 15 U.S.C.</w:t>
      </w:r>
      <w:r w:rsidRPr="0096524F">
        <w:t xml:space="preserve"> </w:t>
      </w:r>
      <w:r w:rsidRPr="0096524F">
        <w:t>§1125(c)(2)(B)(vi).</w:t>
      </w:r>
    </w:p>
  </w:footnote>
  <w:footnote w:id="894">
    <w:p w14:paraId="0F12A226" w14:textId="5E0A5A3E" w:rsidR="0096524F" w:rsidRPr="00387278" w:rsidRDefault="0096524F" w:rsidP="0096524F">
      <w:pPr>
        <w:pStyle w:val="FootnoteText"/>
      </w:pPr>
      <w:r w:rsidRPr="0096524F">
        <w:rPr>
          <w:vertAlign w:val="superscript"/>
        </w:rPr>
        <w:footnoteRef/>
      </w:r>
      <w:r w:rsidRPr="0096524F">
        <w:t xml:space="preserve">For a discussion of the types of evidence needed to prove dilution, </w:t>
      </w:r>
      <w:r w:rsidRPr="0096524F">
        <w:rPr>
          <w:i/>
        </w:rPr>
        <w:t>see generally</w:t>
      </w:r>
      <w:r w:rsidRPr="0096524F">
        <w:t xml:space="preserve"> J.</w:t>
      </w:r>
      <w:r w:rsidRPr="0096524F">
        <w:t xml:space="preserve"> </w:t>
      </w:r>
      <w:r w:rsidRPr="0096524F">
        <w:t xml:space="preserve">Thomas McCarthy, </w:t>
      </w:r>
      <w:r w:rsidRPr="0096524F">
        <w:rPr>
          <w:i/>
        </w:rPr>
        <w:t>Proving a Trademark Has Been Diluted:</w:t>
      </w:r>
      <w:r w:rsidRPr="0096524F">
        <w:rPr>
          <w:i/>
        </w:rPr>
        <w:t xml:space="preserve"> </w:t>
      </w:r>
      <w:r w:rsidRPr="0096524F">
        <w:rPr>
          <w:i/>
        </w:rPr>
        <w:t>Theories or Facts?</w:t>
      </w:r>
      <w:r w:rsidRPr="0096524F">
        <w:rPr>
          <w:i/>
        </w:rPr>
        <w:t xml:space="preserve"> </w:t>
      </w:r>
      <w:r w:rsidRPr="0096524F">
        <w:t xml:space="preserve">41 </w:t>
      </w:r>
      <w:r w:rsidRPr="0096524F">
        <w:rPr>
          <w:smallCaps/>
        </w:rPr>
        <w:t>Hous.</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713 (2004).</w:t>
      </w:r>
      <w:r w:rsidRPr="0096524F">
        <w:t xml:space="preserve"> </w:t>
      </w:r>
      <w:r w:rsidRPr="0096524F">
        <w:t>It should not be forgotten that evidence—particularly survey evidence—may also be critical to proving that a mark is famous.</w:t>
      </w:r>
      <w:r w:rsidRPr="0096524F">
        <w:t xml:space="preserve"> </w:t>
      </w:r>
      <w:r w:rsidRPr="0096524F">
        <w:t>Demonstrating that a mark is “widely recognized by the general consuming public” may prove difficult in some cases without a survey.</w:t>
      </w:r>
      <w:r w:rsidRPr="0096524F">
        <w:t xml:space="preserve"> </w:t>
      </w:r>
      <w:r w:rsidRPr="0096524F">
        <w:t>Much of the discussion in §V.C., below, concerning surveys, particularly methodological issues, would also be relevant to surveys used to demonstrate fame.</w:t>
      </w:r>
      <w:r w:rsidRPr="0096524F">
        <w:t xml:space="preserve"> </w:t>
      </w:r>
      <w:r w:rsidRPr="0096524F">
        <w:t>However, courts have held that surveys are not required to prove dilution.</w:t>
      </w:r>
      <w:r w:rsidRPr="0096524F">
        <w:t xml:space="preserve"> </w:t>
      </w:r>
      <w:r w:rsidRPr="0096524F">
        <w:rPr>
          <w:i/>
        </w:rPr>
        <w:t>E.g.</w:t>
      </w:r>
      <w:r w:rsidRPr="0096524F">
        <w:t>, Diageo N.</w:t>
      </w:r>
      <w:r w:rsidRPr="0096524F">
        <w:t xml:space="preserve"> </w:t>
      </w:r>
      <w:r w:rsidRPr="0096524F">
        <w:t>Amer., Inc.</w:t>
      </w:r>
      <w:r w:rsidRPr="0096524F">
        <w:t xml:space="preserve"> </w:t>
      </w:r>
      <w:r w:rsidRPr="0096524F">
        <w:t>v.</w:t>
      </w:r>
      <w:r w:rsidRPr="0096524F">
        <w:t xml:space="preserve"> </w:t>
      </w:r>
      <w:r w:rsidRPr="0096524F">
        <w:t>W.J.</w:t>
      </w:r>
      <w:r w:rsidRPr="0096524F">
        <w:t xml:space="preserve"> </w:t>
      </w:r>
      <w:r w:rsidRPr="0096524F">
        <w:t>Deutsch &amp; Sons Ltd., 626 F.</w:t>
      </w:r>
      <w:r w:rsidRPr="0096524F">
        <w:t xml:space="preserve"> </w:t>
      </w:r>
      <w:r w:rsidRPr="0096524F">
        <w:t>Supp.</w:t>
      </w:r>
      <w:r w:rsidRPr="0096524F">
        <w:t xml:space="preserve"> </w:t>
      </w:r>
      <w:r w:rsidRPr="0096524F">
        <w:t>3d 635, 646 (S.D.N.Y.</w:t>
      </w:r>
      <w:r w:rsidRPr="0096524F">
        <w:t xml:space="preserve"> </w:t>
      </w:r>
      <w:r w:rsidRPr="0096524F">
        <w:t>2022).</w:t>
      </w:r>
    </w:p>
  </w:footnote>
  <w:footnote w:id="895">
    <w:p w14:paraId="516A042D" w14:textId="4E34E0ED"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Chicks Billiards, Inc.</w:t>
      </w:r>
      <w:r w:rsidRPr="0096524F">
        <w:t xml:space="preserve"> </w:t>
      </w:r>
      <w:r w:rsidRPr="0096524F">
        <w:t>v.</w:t>
      </w:r>
      <w:r w:rsidRPr="0096524F">
        <w:t xml:space="preserve"> </w:t>
      </w:r>
      <w:r w:rsidRPr="0096524F">
        <w:t>Sixshooters, Inc., 251 F.3d 1252, 1265, 58 USPQ2d 1881 (9th Cir.</w:t>
      </w:r>
      <w:r w:rsidRPr="0096524F">
        <w:t xml:space="preserve"> </w:t>
      </w:r>
      <w:r w:rsidRPr="0096524F">
        <w:t>2001);</w:t>
      </w:r>
      <w:r w:rsidRPr="0096524F">
        <w:t xml:space="preserve"> </w:t>
      </w:r>
      <w:r w:rsidRPr="0096524F">
        <w:t>Mutual of Omaha Ins.</w:t>
      </w:r>
      <w:r w:rsidRPr="0096524F">
        <w:t xml:space="preserve"> </w:t>
      </w:r>
      <w:r w:rsidRPr="0096524F">
        <w:t>Co.</w:t>
      </w:r>
      <w:r w:rsidRPr="0096524F">
        <w:t xml:space="preserve"> </w:t>
      </w:r>
      <w:r w:rsidRPr="0096524F">
        <w:t>v.</w:t>
      </w:r>
      <w:r w:rsidRPr="0096524F">
        <w:t xml:space="preserve"> </w:t>
      </w:r>
      <w:r w:rsidRPr="0096524F">
        <w:t>Novak, 836 F.2d 397, 400, 5 USPQ2d 1314 (8th Cir.</w:t>
      </w:r>
      <w:r w:rsidRPr="0096524F">
        <w:t xml:space="preserve"> </w:t>
      </w:r>
      <w:r w:rsidRPr="0096524F">
        <w:t xml:space="preserve">1987), </w:t>
      </w:r>
      <w:r w:rsidRPr="0096524F">
        <w:rPr>
          <w:i/>
        </w:rPr>
        <w:t>cert</w:t>
      </w:r>
      <w:r w:rsidRPr="0096524F">
        <w:t>.</w:t>
      </w:r>
      <w:r w:rsidRPr="0096524F">
        <w:t xml:space="preserve"> </w:t>
      </w:r>
      <w:r w:rsidRPr="0096524F">
        <w:rPr>
          <w:i/>
        </w:rPr>
        <w:t>denied,</w:t>
      </w:r>
      <w:r w:rsidRPr="0096524F">
        <w:t xml:space="preserve"> 488 U.S.</w:t>
      </w:r>
      <w:r w:rsidRPr="0096524F">
        <w:t xml:space="preserve"> </w:t>
      </w:r>
      <w:r w:rsidRPr="0096524F">
        <w:t>933 (1988);</w:t>
      </w:r>
      <w:r w:rsidRPr="0096524F">
        <w:t xml:space="preserve"> </w:t>
      </w:r>
      <w:r w:rsidRPr="0096524F">
        <w:t>Piper Aircraft Corp.</w:t>
      </w:r>
      <w:r w:rsidRPr="0096524F">
        <w:t xml:space="preserve"> </w:t>
      </w:r>
      <w:r w:rsidRPr="0096524F">
        <w:t>v.</w:t>
      </w:r>
      <w:r w:rsidRPr="0096524F">
        <w:t xml:space="preserve"> </w:t>
      </w:r>
      <w:r w:rsidRPr="0096524F">
        <w:t>Wag-Aero, Inc., 741 F.2d 925, 935, 223 USPQ 202 (7th Cir.</w:t>
      </w:r>
      <w:r w:rsidRPr="0096524F">
        <w:t xml:space="preserve"> </w:t>
      </w:r>
      <w:r w:rsidRPr="0096524F">
        <w:t>1984);</w:t>
      </w:r>
      <w:r w:rsidRPr="0096524F">
        <w:t xml:space="preserve"> </w:t>
      </w:r>
      <w:r w:rsidRPr="0096524F">
        <w:t>Big O Tires, Inc.</w:t>
      </w:r>
      <w:r w:rsidRPr="0096524F">
        <w:t xml:space="preserve"> </w:t>
      </w:r>
      <w:r w:rsidRPr="0096524F">
        <w:t>v.</w:t>
      </w:r>
      <w:r w:rsidRPr="0096524F">
        <w:t xml:space="preserve"> </w:t>
      </w:r>
      <w:r w:rsidRPr="0096524F">
        <w:t>Bigfoot 4x4, Inc., 167 F.</w:t>
      </w:r>
      <w:r w:rsidRPr="0096524F">
        <w:t xml:space="preserve"> </w:t>
      </w:r>
      <w:r w:rsidRPr="0096524F">
        <w:t>Supp.</w:t>
      </w:r>
      <w:r w:rsidRPr="0096524F">
        <w:t xml:space="preserve"> </w:t>
      </w:r>
      <w:r w:rsidRPr="0096524F">
        <w:t>2d 1216, 1225 (D.</w:t>
      </w:r>
      <w:r w:rsidRPr="0096524F">
        <w:t xml:space="preserve"> </w:t>
      </w:r>
      <w:r w:rsidRPr="0096524F">
        <w:t>Colo.</w:t>
      </w:r>
      <w:r w:rsidRPr="0096524F">
        <w:t xml:space="preserve"> </w:t>
      </w:r>
      <w:r w:rsidRPr="0096524F">
        <w:t>2001).</w:t>
      </w:r>
      <w:r w:rsidRPr="0096524F">
        <w:t xml:space="preserve"> </w:t>
      </w:r>
      <w:r w:rsidRPr="0096524F">
        <w:t>Whether surveys should be considered “actual” evidence of confusion may be disputed.</w:t>
      </w:r>
      <w:r w:rsidRPr="0096524F">
        <w:t xml:space="preserve"> </w:t>
      </w:r>
      <w:r w:rsidRPr="0096524F">
        <w:rPr>
          <w:i/>
        </w:rPr>
        <w:t>See</w:t>
      </w:r>
      <w:r w:rsidRPr="0096524F">
        <w:t xml:space="preserve"> </w:t>
      </w:r>
      <w:r w:rsidRPr="0096524F">
        <w:rPr>
          <w:i/>
        </w:rPr>
        <w:t>generally</w:t>
      </w:r>
      <w:r w:rsidRPr="0096524F">
        <w:t xml:space="preserve"> Peter Weiss, </w:t>
      </w:r>
      <w:r w:rsidRPr="0096524F">
        <w:rPr>
          <w:i/>
        </w:rPr>
        <w:t>The Use of Survey Evidence in Trademark Litigation:</w:t>
      </w:r>
      <w:r w:rsidRPr="0096524F">
        <w:rPr>
          <w:i/>
        </w:rPr>
        <w:t xml:space="preserve"> </w:t>
      </w:r>
      <w:r w:rsidRPr="0096524F">
        <w:rPr>
          <w:i/>
        </w:rPr>
        <w:t>Science, Art or Confidence Game?</w:t>
      </w:r>
      <w:r w:rsidRPr="0096524F">
        <w:t xml:space="preserve">, 80 </w:t>
      </w:r>
      <w:r w:rsidRPr="0096524F">
        <w:rPr>
          <w:smallCaps/>
        </w:rPr>
        <w:t>Trademark Rep.</w:t>
      </w:r>
      <w:r w:rsidRPr="0096524F">
        <w:rPr>
          <w:smallCaps/>
        </w:rPr>
        <w:t xml:space="preserve"> </w:t>
      </w:r>
      <w:r w:rsidRPr="0096524F">
        <w:t>71 (1990).</w:t>
      </w:r>
    </w:p>
  </w:footnote>
  <w:footnote w:id="896">
    <w:p w14:paraId="07C48E4D" w14:textId="5AD50621" w:rsidR="0096524F" w:rsidRPr="00EB11B3" w:rsidRDefault="0096524F" w:rsidP="0096524F">
      <w:pPr>
        <w:pStyle w:val="FootnoteText"/>
      </w:pPr>
      <w:r w:rsidRPr="0096524F">
        <w:rPr>
          <w:vertAlign w:val="superscript"/>
        </w:rPr>
        <w:footnoteRef/>
      </w:r>
      <w:r w:rsidRPr="0096524F">
        <w:t>National Pork Bd.</w:t>
      </w:r>
      <w:r w:rsidRPr="0096524F">
        <w:t xml:space="preserve"> </w:t>
      </w:r>
      <w:r w:rsidRPr="0096524F">
        <w:t>v.</w:t>
      </w:r>
      <w:r w:rsidRPr="0096524F">
        <w:t xml:space="preserve"> </w:t>
      </w:r>
      <w:r w:rsidRPr="0096524F">
        <w:t>Supreme Lobster &amp; Seafood Co., 96 USPQ2d 1479, 1496 (T.T.A.B.</w:t>
      </w:r>
      <w:r w:rsidRPr="0096524F">
        <w:t xml:space="preserve"> </w:t>
      </w:r>
      <w:r w:rsidRPr="0096524F">
        <w:t>2010) (discussing awareness evidence);</w:t>
      </w:r>
      <w:r w:rsidRPr="0096524F">
        <w:t xml:space="preserve"> </w:t>
      </w:r>
      <w:r w:rsidRPr="0096524F">
        <w:t>I.P.</w:t>
      </w:r>
      <w:r w:rsidRPr="0096524F">
        <w:t xml:space="preserve"> </w:t>
      </w:r>
      <w:r w:rsidRPr="0096524F">
        <w:t>Lund Trading ApS v.</w:t>
      </w:r>
      <w:r w:rsidRPr="0096524F">
        <w:t xml:space="preserve"> </w:t>
      </w:r>
      <w:r w:rsidRPr="0096524F">
        <w:t>Kohler Co., 118 F.</w:t>
      </w:r>
      <w:r w:rsidRPr="0096524F">
        <w:t xml:space="preserve"> </w:t>
      </w:r>
      <w:r w:rsidRPr="0096524F">
        <w:t>Supp.</w:t>
      </w:r>
      <w:r w:rsidRPr="0096524F">
        <w:t xml:space="preserve"> </w:t>
      </w:r>
      <w:r w:rsidRPr="0096524F">
        <w:t>2d 92, 105–10, 56 USPQ2d 1776 (D.</w:t>
      </w:r>
      <w:r w:rsidRPr="0096524F">
        <w:t xml:space="preserve"> </w:t>
      </w:r>
      <w:r w:rsidRPr="0096524F">
        <w:t>Mass.</w:t>
      </w:r>
      <w:r w:rsidRPr="0096524F">
        <w:t xml:space="preserve"> </w:t>
      </w:r>
      <w:r w:rsidRPr="0096524F">
        <w:t>2000);</w:t>
      </w:r>
      <w:r w:rsidRPr="0096524F">
        <w:t xml:space="preserve"> </w:t>
      </w:r>
      <w:r w:rsidRPr="0096524F">
        <w:t>Syndicate Sales, Inc.</w:t>
      </w:r>
      <w:r w:rsidRPr="0096524F">
        <w:t xml:space="preserve"> </w:t>
      </w:r>
      <w:r w:rsidRPr="0096524F">
        <w:t>v.</w:t>
      </w:r>
      <w:r w:rsidRPr="0096524F">
        <w:t xml:space="preserve"> </w:t>
      </w:r>
      <w:r w:rsidRPr="0096524F">
        <w:t>Hampshire Paper Corp., 2000 WL 1428665, at *12–16 (S.D.</w:t>
      </w:r>
      <w:r w:rsidRPr="0096524F">
        <w:t xml:space="preserve"> </w:t>
      </w:r>
      <w:r w:rsidRPr="0096524F">
        <w:t>Ind.</w:t>
      </w:r>
      <w:r w:rsidRPr="0096524F">
        <w:t xml:space="preserve"> </w:t>
      </w:r>
      <w:r w:rsidRPr="0096524F">
        <w:t>Aug.</w:t>
      </w:r>
      <w:r w:rsidRPr="0096524F">
        <w:t xml:space="preserve"> </w:t>
      </w:r>
      <w:r w:rsidRPr="0096524F">
        <w:t>30, 2000).</w:t>
      </w:r>
      <w:r w:rsidRPr="0096524F">
        <w:t xml:space="preserve"> </w:t>
      </w:r>
      <w:r w:rsidRPr="0096524F">
        <w:t>Only famous marks are protected by the TDRA.</w:t>
      </w:r>
      <w:r w:rsidRPr="0096524F">
        <w:t xml:space="preserve"> </w:t>
      </w:r>
      <w:r w:rsidRPr="0096524F">
        <w:t>15 U.S.C.</w:t>
      </w:r>
      <w:r w:rsidRPr="0096524F">
        <w:t xml:space="preserve"> </w:t>
      </w:r>
      <w:r w:rsidRPr="0096524F">
        <w:t xml:space="preserve">§1125(c)(1) (“the owner of a </w:t>
      </w:r>
      <w:r w:rsidRPr="0096524F">
        <w:rPr>
          <w:i/>
        </w:rPr>
        <w:t>famous</w:t>
      </w:r>
      <w:r w:rsidRPr="0096524F">
        <w:t xml:space="preserve"> mark</w:t>
      </w:r>
      <w:r w:rsidRPr="0096524F">
        <w:t xml:space="preserve"> </w:t>
      </w:r>
      <w:r w:rsidRPr="0096524F">
        <w:t>…</w:t>
      </w:r>
      <w:r w:rsidRPr="0096524F">
        <w:t xml:space="preserve"> </w:t>
      </w:r>
      <w:r w:rsidRPr="0096524F">
        <w:t>shall be entitled .</w:t>
      </w:r>
      <w:r w:rsidRPr="0096524F">
        <w:t xml:space="preserve"> </w:t>
      </w:r>
      <w:r w:rsidRPr="0096524F">
        <w:t>. .”) (emphasis added).</w:t>
      </w:r>
      <w:r w:rsidRPr="0096524F">
        <w:t xml:space="preserve"> </w:t>
      </w:r>
      <w:r w:rsidRPr="0096524F">
        <w:t>This subject is discussed in Chapter 8.</w:t>
      </w:r>
    </w:p>
  </w:footnote>
  <w:footnote w:id="897">
    <w:p w14:paraId="1F667011" w14:textId="3958FD93" w:rsidR="0096524F" w:rsidRPr="00EB11B3" w:rsidRDefault="0096524F" w:rsidP="0096524F">
      <w:pPr>
        <w:pStyle w:val="FootnoteText"/>
      </w:pPr>
      <w:r w:rsidRPr="0096524F">
        <w:rPr>
          <w:vertAlign w:val="superscript"/>
        </w:rPr>
        <w:footnoteRef/>
      </w:r>
      <w:r w:rsidRPr="0096524F">
        <w:t>40 USPQ2d 1629 (E.D.</w:t>
      </w:r>
      <w:r w:rsidRPr="0096524F">
        <w:t xml:space="preserve"> </w:t>
      </w:r>
      <w:r w:rsidRPr="0096524F">
        <w:t>Pa.</w:t>
      </w:r>
      <w:r w:rsidRPr="0096524F">
        <w:t xml:space="preserve"> </w:t>
      </w:r>
      <w:r w:rsidRPr="0096524F">
        <w:t xml:space="preserve">1996), </w:t>
      </w:r>
      <w:r w:rsidRPr="0096524F">
        <w:rPr>
          <w:i/>
        </w:rPr>
        <w:t>aff’d mem</w:t>
      </w:r>
      <w:r w:rsidRPr="0096524F">
        <w:t>., 116 F.3d 471 (3d Cir.</w:t>
      </w:r>
      <w:r w:rsidRPr="0096524F">
        <w:t xml:space="preserve"> </w:t>
      </w:r>
      <w:r w:rsidRPr="0096524F">
        <w:t>1997).</w:t>
      </w:r>
    </w:p>
  </w:footnote>
  <w:footnote w:id="898">
    <w:p w14:paraId="064FEF9C" w14:textId="2604C539"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1632.</w:t>
      </w:r>
    </w:p>
  </w:footnote>
  <w:footnote w:id="899">
    <w:p w14:paraId="1D593B0A" w14:textId="5DA5CD38" w:rsidR="0096524F" w:rsidRPr="00EB11B3" w:rsidRDefault="0096524F" w:rsidP="0096524F">
      <w:pPr>
        <w:pStyle w:val="FootnoteText"/>
      </w:pPr>
      <w:r w:rsidRPr="0096524F">
        <w:rPr>
          <w:vertAlign w:val="superscript"/>
        </w:rPr>
        <w:footnoteRef/>
      </w:r>
      <w:r w:rsidRPr="0096524F">
        <w:t xml:space="preserve">The </w:t>
      </w:r>
      <w:r w:rsidRPr="0096524F">
        <w:rPr>
          <w:i/>
        </w:rPr>
        <w:t>Wawa</w:t>
      </w:r>
      <w:r w:rsidRPr="0096524F">
        <w:t xml:space="preserve"> case does not give details of the survey.</w:t>
      </w:r>
      <w:r w:rsidRPr="0096524F">
        <w:t xml:space="preserve"> </w:t>
      </w:r>
      <w:r w:rsidRPr="0096524F">
        <w:t>These details came from a Practicing Law Institute publication.</w:t>
      </w:r>
      <w:r w:rsidRPr="0096524F">
        <w:t xml:space="preserve"> </w:t>
      </w:r>
      <w:r w:rsidRPr="0096524F">
        <w:t>Gerald L.</w:t>
      </w:r>
      <w:r w:rsidRPr="0096524F">
        <w:t xml:space="preserve"> </w:t>
      </w:r>
      <w:r w:rsidRPr="0096524F">
        <w:t xml:space="preserve">Ford, </w:t>
      </w:r>
      <w:r w:rsidRPr="0096524F">
        <w:rPr>
          <w:i/>
        </w:rPr>
        <w:t>Dilution Surveys Update 1998,</w:t>
      </w:r>
      <w:r w:rsidRPr="0096524F">
        <w:t xml:space="preserve"> 537 </w:t>
      </w:r>
      <w:r w:rsidRPr="0096524F">
        <w:rPr>
          <w:smallCaps/>
        </w:rPr>
        <w:t>PLI/Pat.</w:t>
      </w:r>
      <w:r w:rsidRPr="0096524F">
        <w:rPr>
          <w:smallCaps/>
        </w:rPr>
        <w:t xml:space="preserve"> </w:t>
      </w:r>
      <w:r w:rsidRPr="0096524F">
        <w:t>551, 559 (1998).</w:t>
      </w:r>
    </w:p>
  </w:footnote>
  <w:footnote w:id="900">
    <w:p w14:paraId="44BC6101" w14:textId="55B4158B" w:rsidR="0096524F" w:rsidRPr="00EB11B3" w:rsidRDefault="0096524F" w:rsidP="0096524F">
      <w:pPr>
        <w:pStyle w:val="FootnoteText"/>
      </w:pPr>
      <w:r w:rsidRPr="0096524F">
        <w:rPr>
          <w:vertAlign w:val="superscript"/>
        </w:rPr>
        <w:footnoteRef/>
      </w:r>
      <w:r w:rsidRPr="0096524F">
        <w:t>Pharmacia Corp.</w:t>
      </w:r>
      <w:r w:rsidRPr="0096524F">
        <w:t xml:space="preserve"> </w:t>
      </w:r>
      <w:r w:rsidRPr="0096524F">
        <w:t>v.</w:t>
      </w:r>
      <w:r w:rsidRPr="0096524F">
        <w:t xml:space="preserve"> </w:t>
      </w:r>
      <w:r w:rsidRPr="0096524F">
        <w:t>Alcon Labs., Inc., 201 F.</w:t>
      </w:r>
      <w:r w:rsidRPr="0096524F">
        <w:t xml:space="preserve"> </w:t>
      </w:r>
      <w:r w:rsidRPr="0096524F">
        <w:t>Supp.</w:t>
      </w:r>
      <w:r w:rsidRPr="0096524F">
        <w:t xml:space="preserve"> </w:t>
      </w:r>
      <w:r w:rsidRPr="0096524F">
        <w:t>2d 335, 380–81 (D.N.J.</w:t>
      </w:r>
      <w:r w:rsidRPr="0096524F">
        <w:t xml:space="preserve"> </w:t>
      </w:r>
      <w:r w:rsidRPr="0096524F">
        <w:t>2002).</w:t>
      </w:r>
      <w:r w:rsidRPr="0096524F">
        <w:t xml:space="preserve"> </w:t>
      </w:r>
      <w:r w:rsidRPr="0096524F">
        <w:t>The precise purpose of this survey is somewhat unclear.</w:t>
      </w:r>
      <w:r w:rsidRPr="0096524F">
        <w:t xml:space="preserve"> </w:t>
      </w:r>
      <w:r w:rsidRPr="0096524F">
        <w:t>It appears that it was introduced to demonstrate confusion as well as dilution.</w:t>
      </w:r>
      <w:r w:rsidRPr="0096524F">
        <w:t xml:space="preserve"> </w:t>
      </w:r>
      <w:r w:rsidRPr="0096524F">
        <w:t xml:space="preserve">In </w:t>
      </w:r>
      <w:r w:rsidRPr="0096524F">
        <w:rPr>
          <w:i/>
        </w:rPr>
        <w:t>Kellogg Co</w:t>
      </w:r>
      <w:r w:rsidRPr="0096524F">
        <w:t>.</w:t>
      </w:r>
      <w:r w:rsidRPr="0096524F">
        <w:t xml:space="preserve"> </w:t>
      </w:r>
      <w:r w:rsidRPr="0096524F">
        <w:rPr>
          <w:i/>
        </w:rPr>
        <w:t>v</w:t>
      </w:r>
      <w:r w:rsidRPr="0096524F">
        <w:t>.</w:t>
      </w:r>
      <w:r w:rsidRPr="0096524F">
        <w:t xml:space="preserve"> </w:t>
      </w:r>
      <w:r w:rsidRPr="0096524F">
        <w:rPr>
          <w:i/>
        </w:rPr>
        <w:t>Toucan Golf, Inc</w:t>
      </w:r>
      <w:r w:rsidRPr="0096524F">
        <w:t>., 337 F.3d 616, 628, 67 USPQ2d 1481, 1488 (6th Cir.</w:t>
      </w:r>
      <w:r w:rsidRPr="0096524F">
        <w:t xml:space="preserve"> </w:t>
      </w:r>
      <w:r w:rsidRPr="0096524F">
        <w:t>2003), the court affirmed a dismissal of an opposition to a registration, noting that, with respect to a dilution claim, Kellogg’s studies showed no loss of recognition of the Toucan Sam mark, and no evidence of any loss of association of the Toucan Sam mark with Froot Loops cereal.</w:t>
      </w:r>
    </w:p>
  </w:footnote>
  <w:footnote w:id="901">
    <w:p w14:paraId="6B3F3671" w14:textId="78AB47D7" w:rsidR="0096524F" w:rsidRPr="00882ED4" w:rsidRDefault="0096524F" w:rsidP="0096524F">
      <w:pPr>
        <w:pStyle w:val="FootnoteText"/>
        <w:rPr>
          <w:lang w:val="es-US"/>
        </w:rPr>
      </w:pPr>
      <w:r w:rsidRPr="0096524F">
        <w:rPr>
          <w:vertAlign w:val="superscript"/>
        </w:rPr>
        <w:footnoteRef/>
      </w:r>
      <w:r w:rsidRPr="0096524F">
        <w:rPr>
          <w:i/>
        </w:rPr>
        <w:t>Pharmacia</w:t>
      </w:r>
      <w:r w:rsidRPr="0096524F">
        <w:t>, 201 F.</w:t>
      </w:r>
      <w:r w:rsidRPr="0096524F">
        <w:t xml:space="preserve"> </w:t>
      </w:r>
      <w:r w:rsidRPr="0096524F">
        <w:t>Supp.</w:t>
      </w:r>
      <w:r w:rsidRPr="0096524F">
        <w:t xml:space="preserve"> </w:t>
      </w:r>
      <w:r w:rsidRPr="0096524F">
        <w:t>2d at 380.</w:t>
      </w:r>
    </w:p>
  </w:footnote>
  <w:footnote w:id="902">
    <w:p w14:paraId="2CD7414A" w14:textId="5DEFF4D8" w:rsidR="0096524F" w:rsidRPr="00EB11B3" w:rsidRDefault="0096524F" w:rsidP="0096524F">
      <w:pPr>
        <w:pStyle w:val="FootnoteText"/>
      </w:pPr>
      <w:r w:rsidRPr="0096524F">
        <w:rPr>
          <w:vertAlign w:val="superscript"/>
        </w:rPr>
        <w:footnoteRef/>
      </w:r>
      <w:r w:rsidRPr="0096524F">
        <w:t>Visa Int’l Serv.</w:t>
      </w:r>
      <w:r w:rsidRPr="0096524F">
        <w:t xml:space="preserve"> </w:t>
      </w:r>
      <w:r w:rsidRPr="0096524F">
        <w:t>Ass’n v.</w:t>
      </w:r>
      <w:r w:rsidRPr="0096524F">
        <w:t xml:space="preserve"> </w:t>
      </w:r>
      <w:r w:rsidRPr="0096524F">
        <w:t>JSL Corp., 590 F.</w:t>
      </w:r>
      <w:r w:rsidRPr="0096524F">
        <w:t xml:space="preserve"> </w:t>
      </w:r>
      <w:r w:rsidRPr="0096524F">
        <w:t>Supp.</w:t>
      </w:r>
      <w:r w:rsidRPr="0096524F">
        <w:t xml:space="preserve"> </w:t>
      </w:r>
      <w:r w:rsidRPr="0096524F">
        <w:t>2d 1306, 1318–19 (D.</w:t>
      </w:r>
      <w:r w:rsidRPr="0096524F">
        <w:t xml:space="preserve"> </w:t>
      </w:r>
      <w:r w:rsidRPr="0096524F">
        <w:t>Nev.</w:t>
      </w:r>
      <w:r w:rsidRPr="0096524F">
        <w:t xml:space="preserve"> </w:t>
      </w:r>
      <w:r w:rsidRPr="0096524F">
        <w:t xml:space="preserve">2008), </w:t>
      </w:r>
      <w:r w:rsidRPr="0096524F">
        <w:rPr>
          <w:i/>
        </w:rPr>
        <w:t>aff’d</w:t>
      </w:r>
      <w:r w:rsidRPr="0096524F">
        <w:t>, 610 F.3d 1088, 95 USPQ2d 1571 (9th Cir.</w:t>
      </w:r>
      <w:r w:rsidRPr="0096524F">
        <w:t xml:space="preserve"> </w:t>
      </w:r>
      <w:r w:rsidRPr="0096524F">
        <w:t>2010).</w:t>
      </w:r>
      <w:r w:rsidRPr="0096524F">
        <w:t xml:space="preserve"> </w:t>
      </w:r>
      <w:r w:rsidRPr="0096524F">
        <w:t>Although the court noted that there was no evidence of bad faith or intent to trade on plaintiff’s reputation, nor was there evidence of exclusive use of the Visa mark by plaintiff;</w:t>
      </w:r>
      <w:r w:rsidRPr="0096524F">
        <w:t xml:space="preserve"> </w:t>
      </w:r>
      <w:r w:rsidRPr="0096524F">
        <w:t>the other factors weighed strongly in favor of a finding of dilution.</w:t>
      </w:r>
    </w:p>
  </w:footnote>
  <w:footnote w:id="903">
    <w:p w14:paraId="5AFEE2C6" w14:textId="0A8E2AA1" w:rsidR="0096524F" w:rsidRPr="00EB11B3" w:rsidRDefault="0096524F" w:rsidP="0096524F">
      <w:pPr>
        <w:pStyle w:val="FootnoteText"/>
      </w:pPr>
      <w:r w:rsidRPr="0096524F">
        <w:rPr>
          <w:vertAlign w:val="superscript"/>
        </w:rPr>
        <w:footnoteRef/>
      </w:r>
      <w:r w:rsidRPr="0096524F">
        <w:t>192 F.</w:t>
      </w:r>
      <w:r w:rsidRPr="0096524F">
        <w:t xml:space="preserve"> </w:t>
      </w:r>
      <w:r w:rsidRPr="0096524F">
        <w:t>Supp.</w:t>
      </w:r>
      <w:r w:rsidRPr="0096524F">
        <w:t xml:space="preserve"> </w:t>
      </w:r>
      <w:r w:rsidRPr="0096524F">
        <w:t>2d 790, 59 USPQ2d 1551 (W.D.</w:t>
      </w:r>
      <w:r w:rsidRPr="0096524F">
        <w:t xml:space="preserve"> </w:t>
      </w:r>
      <w:r w:rsidRPr="0096524F">
        <w:t>Tenn.</w:t>
      </w:r>
      <w:r w:rsidRPr="0096524F">
        <w:t xml:space="preserve"> </w:t>
      </w:r>
      <w:r w:rsidRPr="0096524F">
        <w:t>2001).</w:t>
      </w:r>
    </w:p>
  </w:footnote>
  <w:footnote w:id="904">
    <w:p w14:paraId="4151DCBC" w14:textId="299963BF" w:rsidR="0096524F" w:rsidRPr="00EB11B3" w:rsidRDefault="0096524F" w:rsidP="0096524F">
      <w:pPr>
        <w:pStyle w:val="FootnoteText"/>
      </w:pPr>
      <w:r w:rsidRPr="0096524F">
        <w:rPr>
          <w:vertAlign w:val="superscript"/>
        </w:rPr>
        <w:footnoteRef/>
      </w:r>
      <w:r w:rsidRPr="0096524F">
        <w:rPr>
          <w:i/>
        </w:rPr>
        <w:t>See id</w:t>
      </w:r>
      <w:r w:rsidRPr="0096524F">
        <w:t>.</w:t>
      </w:r>
      <w:r w:rsidRPr="0096524F">
        <w:t xml:space="preserve"> </w:t>
      </w:r>
      <w:r w:rsidRPr="0096524F">
        <w:t>at 806 &amp; n.9.</w:t>
      </w:r>
      <w:r w:rsidRPr="0096524F">
        <w:t xml:space="preserve"> </w:t>
      </w:r>
      <w:r w:rsidRPr="0096524F">
        <w:t>Kellogg’s concession may have reflected the fact that, although Kellogg was the senior user of a tiger mark, Exxon had used a tiger mark for over 30 years and even had registered it with the Patent and Trademark Office.</w:t>
      </w:r>
      <w:r w:rsidRPr="0096524F">
        <w:t xml:space="preserve"> </w:t>
      </w:r>
      <w:r w:rsidRPr="0096524F">
        <w:rPr>
          <w:i/>
        </w:rPr>
        <w:t>See id</w:t>
      </w:r>
      <w:r w:rsidRPr="0096524F">
        <w:t>.</w:t>
      </w:r>
      <w:r w:rsidRPr="0096524F">
        <w:t xml:space="preserve"> </w:t>
      </w:r>
      <w:r w:rsidRPr="0096524F">
        <w:t>at 794–95.</w:t>
      </w:r>
      <w:r w:rsidRPr="0096524F">
        <w:t xml:space="preserve"> </w:t>
      </w:r>
      <w:r w:rsidRPr="0096524F">
        <w:t>This raises an issue of retroactivity, discussed in Chapter 10, §IX.</w:t>
      </w:r>
    </w:p>
  </w:footnote>
  <w:footnote w:id="905">
    <w:p w14:paraId="15395A40" w14:textId="7C9460CA"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806.</w:t>
      </w:r>
    </w:p>
  </w:footnote>
  <w:footnote w:id="906">
    <w:p w14:paraId="6FAB0B3E" w14:textId="4D2632F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It should be noted that the court did not rule on whether the survey demonstrated dilution.</w:t>
      </w:r>
      <w:r w:rsidRPr="0096524F">
        <w:t xml:space="preserve"> </w:t>
      </w:r>
      <w:r w:rsidRPr="0096524F">
        <w:t xml:space="preserve">It </w:t>
      </w:r>
      <w:r w:rsidRPr="0096524F">
        <w:rPr>
          <w:i/>
        </w:rPr>
        <w:t>assumed</w:t>
      </w:r>
      <w:r w:rsidRPr="0096524F">
        <w:t xml:space="preserve"> that it did for purposes of the motion.</w:t>
      </w:r>
      <w:r w:rsidRPr="0096524F">
        <w:t xml:space="preserve"> </w:t>
      </w:r>
      <w:r w:rsidRPr="0096524F">
        <w:rPr>
          <w:i/>
        </w:rPr>
        <w:t>Id</w:t>
      </w:r>
      <w:r w:rsidRPr="0096524F">
        <w:t>.</w:t>
      </w:r>
      <w:r w:rsidRPr="0096524F">
        <w:t xml:space="preserve"> </w:t>
      </w:r>
      <w:r w:rsidRPr="0096524F">
        <w:t>Whether calling to mind another source should be sufficient evidence of dilution is a question raised in other cases.</w:t>
      </w:r>
    </w:p>
  </w:footnote>
  <w:footnote w:id="907">
    <w:p w14:paraId="2F5E8E52" w14:textId="4D7DF609"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807.</w:t>
      </w:r>
    </w:p>
  </w:footnote>
  <w:footnote w:id="908">
    <w:p w14:paraId="7BA477D9" w14:textId="74549BF8" w:rsidR="0096524F" w:rsidRPr="00EB11B3" w:rsidRDefault="0096524F" w:rsidP="0096524F">
      <w:pPr>
        <w:pStyle w:val="FootnoteText"/>
      </w:pPr>
      <w:r w:rsidRPr="0096524F">
        <w:rPr>
          <w:vertAlign w:val="superscript"/>
        </w:rPr>
        <w:footnoteRef/>
      </w:r>
      <w:r w:rsidRPr="0096524F">
        <w:rPr>
          <w:i/>
        </w:rPr>
        <w:t>Id</w:t>
      </w:r>
      <w:r w:rsidRPr="0096524F">
        <w:t>.</w:t>
      </w:r>
    </w:p>
  </w:footnote>
  <w:footnote w:id="909">
    <w:p w14:paraId="0D08C412" w14:textId="6CF07E17"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(quoting from a Kellogg memorandum submitted in opposition to the summary judgment motion).</w:t>
      </w:r>
    </w:p>
  </w:footnote>
  <w:footnote w:id="910">
    <w:p w14:paraId="316ABB00" w14:textId="61222214"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807–08.</w:t>
      </w:r>
    </w:p>
  </w:footnote>
  <w:footnote w:id="911">
    <w:p w14:paraId="79A71AEB" w14:textId="5ABD7B9A" w:rsidR="0096524F" w:rsidRPr="00EB11B3" w:rsidRDefault="0096524F" w:rsidP="0096524F">
      <w:pPr>
        <w:pStyle w:val="FootnoteText"/>
      </w:pPr>
      <w:r w:rsidRPr="0096524F">
        <w:rPr>
          <w:vertAlign w:val="superscript"/>
        </w:rPr>
        <w:footnoteRef/>
      </w:r>
      <w:r w:rsidRPr="0096524F">
        <w:t>Ringling Bros.-Barnum &amp; Bailey Combined Shows, Inc.</w:t>
      </w:r>
      <w:r w:rsidRPr="0096524F">
        <w:t xml:space="preserve"> </w:t>
      </w:r>
      <w:r w:rsidRPr="0096524F">
        <w:t>v.</w:t>
      </w:r>
      <w:r w:rsidRPr="0096524F">
        <w:t xml:space="preserve"> </w:t>
      </w:r>
      <w:r w:rsidRPr="0096524F">
        <w:t>Utah Div.</w:t>
      </w:r>
      <w:r w:rsidRPr="0096524F">
        <w:t xml:space="preserve"> </w:t>
      </w:r>
      <w:r w:rsidRPr="0096524F">
        <w:t>of Travel Dev., 955 F.</w:t>
      </w:r>
      <w:r w:rsidRPr="0096524F">
        <w:t xml:space="preserve"> </w:t>
      </w:r>
      <w:r w:rsidRPr="0096524F">
        <w:t>Supp.</w:t>
      </w:r>
      <w:r w:rsidRPr="0096524F">
        <w:t xml:space="preserve"> </w:t>
      </w:r>
      <w:r w:rsidRPr="0096524F">
        <w:t>605, 617–18, 42 USPQ2d 1161 (E.D.</w:t>
      </w:r>
      <w:r w:rsidRPr="0096524F">
        <w:t xml:space="preserve"> </w:t>
      </w:r>
      <w:r w:rsidRPr="0096524F">
        <w:t>Va.</w:t>
      </w:r>
      <w:r w:rsidRPr="0096524F">
        <w:t xml:space="preserve"> </w:t>
      </w:r>
      <w:r w:rsidRPr="0096524F">
        <w:t xml:space="preserve">1997), </w:t>
      </w:r>
      <w:r w:rsidRPr="0096524F">
        <w:rPr>
          <w:i/>
        </w:rPr>
        <w:t>aff’d,</w:t>
      </w:r>
      <w:r w:rsidRPr="0096524F">
        <w:t xml:space="preserve"> 170 F.3d 449, 50 USPQ2d 1065 (4th Cir.), </w:t>
      </w:r>
      <w:r w:rsidRPr="0096524F">
        <w:rPr>
          <w:i/>
        </w:rPr>
        <w:t>cert</w:t>
      </w:r>
      <w:r w:rsidRPr="0096524F">
        <w:t>.</w:t>
      </w:r>
      <w:r w:rsidRPr="0096524F">
        <w:t xml:space="preserve"> </w:t>
      </w:r>
      <w:r w:rsidRPr="0096524F">
        <w:rPr>
          <w:i/>
        </w:rPr>
        <w:t>denied,</w:t>
      </w:r>
      <w:r w:rsidRPr="0096524F">
        <w:t xml:space="preserve"> 528 U.S.</w:t>
      </w:r>
      <w:r w:rsidRPr="0096524F">
        <w:t xml:space="preserve"> </w:t>
      </w:r>
      <w:r w:rsidRPr="0096524F">
        <w:t>923 (1999);</w:t>
      </w:r>
      <w:r w:rsidRPr="0096524F">
        <w:t xml:space="preserve"> </w:t>
      </w:r>
      <w:r w:rsidRPr="0096524F">
        <w:t>Hershey Foods Corp.</w:t>
      </w:r>
      <w:r w:rsidRPr="0096524F">
        <w:t xml:space="preserve"> </w:t>
      </w:r>
      <w:r w:rsidRPr="0096524F">
        <w:t>v.</w:t>
      </w:r>
      <w:r w:rsidRPr="0096524F">
        <w:t xml:space="preserve"> </w:t>
      </w:r>
      <w:r w:rsidRPr="0096524F">
        <w:t>Mars, Inc., 998 F.</w:t>
      </w:r>
      <w:r w:rsidRPr="0096524F">
        <w:t xml:space="preserve"> </w:t>
      </w:r>
      <w:r w:rsidRPr="0096524F">
        <w:t>Supp.</w:t>
      </w:r>
      <w:r w:rsidRPr="0096524F">
        <w:t xml:space="preserve"> </w:t>
      </w:r>
      <w:r w:rsidRPr="0096524F">
        <w:t>500, 519 (M.D.</w:t>
      </w:r>
      <w:r w:rsidRPr="0096524F">
        <w:t xml:space="preserve"> </w:t>
      </w:r>
      <w:r w:rsidRPr="0096524F">
        <w:t>Pa.</w:t>
      </w:r>
      <w:r w:rsidRPr="0096524F">
        <w:t xml:space="preserve"> </w:t>
      </w:r>
      <w:r w:rsidRPr="0096524F">
        <w:t>1998).</w:t>
      </w:r>
    </w:p>
  </w:footnote>
  <w:footnote w:id="912">
    <w:p w14:paraId="7521E10A" w14:textId="5F17732F" w:rsidR="0096524F" w:rsidRPr="00EB11B3" w:rsidRDefault="0096524F" w:rsidP="0096524F">
      <w:pPr>
        <w:pStyle w:val="FootnoteText"/>
      </w:pPr>
      <w:r w:rsidRPr="0096524F">
        <w:rPr>
          <w:vertAlign w:val="superscript"/>
        </w:rPr>
        <w:footnoteRef/>
      </w:r>
      <w:r w:rsidRPr="0096524F">
        <w:t>955 F.</w:t>
      </w:r>
      <w:r w:rsidRPr="0096524F">
        <w:t xml:space="preserve"> </w:t>
      </w:r>
      <w:r w:rsidRPr="0096524F">
        <w:t>Supp.</w:t>
      </w:r>
      <w:r w:rsidRPr="0096524F">
        <w:t xml:space="preserve"> </w:t>
      </w:r>
      <w:r w:rsidRPr="0096524F">
        <w:t>605, 617–18, 42 USPQ2d 1161 (E.D.</w:t>
      </w:r>
      <w:r w:rsidRPr="0096524F">
        <w:t xml:space="preserve"> </w:t>
      </w:r>
      <w:r w:rsidRPr="0096524F">
        <w:t>Va.</w:t>
      </w:r>
      <w:r w:rsidRPr="0096524F">
        <w:t xml:space="preserve"> </w:t>
      </w:r>
      <w:r w:rsidRPr="0096524F">
        <w:t xml:space="preserve">1997), </w:t>
      </w:r>
      <w:r w:rsidRPr="0096524F">
        <w:rPr>
          <w:i/>
        </w:rPr>
        <w:t>aff’d,</w:t>
      </w:r>
      <w:r w:rsidRPr="0096524F">
        <w:t xml:space="preserve"> 170 F.3d 449, 50 USPQ2d 1065 (4th Cir.), </w:t>
      </w:r>
      <w:r w:rsidRPr="0096524F">
        <w:rPr>
          <w:i/>
        </w:rPr>
        <w:t>cert</w:t>
      </w:r>
      <w:r w:rsidRPr="0096524F">
        <w:t>.</w:t>
      </w:r>
      <w:r w:rsidRPr="0096524F">
        <w:t xml:space="preserve"> </w:t>
      </w:r>
      <w:r w:rsidRPr="0096524F">
        <w:rPr>
          <w:i/>
        </w:rPr>
        <w:t>denied,</w:t>
      </w:r>
      <w:r w:rsidRPr="0096524F">
        <w:t xml:space="preserve"> 528 U.S.</w:t>
      </w:r>
      <w:r w:rsidRPr="0096524F">
        <w:t xml:space="preserve"> </w:t>
      </w:r>
      <w:r w:rsidRPr="0096524F">
        <w:t>923 (1999).</w:t>
      </w:r>
    </w:p>
  </w:footnote>
  <w:footnote w:id="913">
    <w:p w14:paraId="406CDE52" w14:textId="2DFEE5B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612.</w:t>
      </w:r>
      <w:r w:rsidRPr="0096524F">
        <w:t xml:space="preserve"> </w:t>
      </w:r>
      <w:r w:rsidRPr="0096524F">
        <w:t xml:space="preserve">As a control, the survey also asked respondents to fill in “I Love ___” and “Don’t Leave ___ Without It.” </w:t>
      </w:r>
      <w:r w:rsidRPr="0096524F">
        <w:rPr>
          <w:i/>
        </w:rPr>
        <w:t>Id</w:t>
      </w:r>
      <w:r w:rsidRPr="0096524F">
        <w:t>.</w:t>
      </w:r>
    </w:p>
  </w:footnote>
  <w:footnote w:id="914">
    <w:p w14:paraId="76D2D246" w14:textId="26C0A1FC" w:rsidR="0096524F" w:rsidRPr="00882ED4" w:rsidRDefault="0096524F" w:rsidP="0096524F">
      <w:pPr>
        <w:pStyle w:val="FootnoteText"/>
        <w:rPr>
          <w:lang w:val="da-DK"/>
        </w:rPr>
      </w:pPr>
      <w:r w:rsidRPr="0096524F">
        <w:rPr>
          <w:vertAlign w:val="superscript"/>
        </w:rPr>
        <w:footnoteRef/>
      </w:r>
      <w:r w:rsidRPr="0096524F">
        <w:t>The defendant, the Utah Division of Travel and Development, had used the phrase “Greatest Snow on Earth” in advertisements for Utah tourism sites, primarily directed at out-of-state tourists.</w:t>
      </w:r>
      <w:r w:rsidRPr="0096524F">
        <w:t xml:space="preserve"> </w:t>
      </w:r>
      <w:r w:rsidRPr="0096524F">
        <w:rPr>
          <w:i/>
        </w:rPr>
        <w:t>Id</w:t>
      </w:r>
      <w:r w:rsidRPr="0096524F">
        <w:t>.</w:t>
      </w:r>
      <w:r w:rsidRPr="0096524F">
        <w:t xml:space="preserve"> </w:t>
      </w:r>
      <w:r w:rsidRPr="0096524F">
        <w:t>at 610–11.</w:t>
      </w:r>
    </w:p>
  </w:footnote>
  <w:footnote w:id="915">
    <w:p w14:paraId="5675BAA6" w14:textId="471312F8"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612.</w:t>
      </w:r>
    </w:p>
  </w:footnote>
  <w:footnote w:id="916">
    <w:p w14:paraId="358C847D" w14:textId="41CB8671"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612–13.</w:t>
      </w:r>
    </w:p>
  </w:footnote>
  <w:footnote w:id="917">
    <w:p w14:paraId="13A74BF2" w14:textId="37F1686E"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617–18.</w:t>
      </w:r>
    </w:p>
  </w:footnote>
  <w:footnote w:id="918">
    <w:p w14:paraId="2AF7398A" w14:textId="43401376" w:rsidR="0096524F" w:rsidRPr="00882ED4"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617.</w:t>
      </w:r>
    </w:p>
  </w:footnote>
  <w:footnote w:id="919">
    <w:p w14:paraId="0EB9AD18" w14:textId="0C3764FF" w:rsidR="0096524F" w:rsidRPr="00EB11B3" w:rsidRDefault="0096524F" w:rsidP="0096524F">
      <w:pPr>
        <w:pStyle w:val="FootnoteText"/>
      </w:pPr>
      <w:r w:rsidRPr="0096524F">
        <w:rPr>
          <w:vertAlign w:val="superscript"/>
        </w:rPr>
        <w:footnoteRef/>
      </w:r>
      <w:r w:rsidRPr="0096524F">
        <w:rPr>
          <w:i/>
        </w:rPr>
        <w:t>Id</w:t>
      </w:r>
      <w:r w:rsidRPr="0096524F">
        <w:t>.</w:t>
      </w:r>
    </w:p>
  </w:footnote>
  <w:footnote w:id="920">
    <w:p w14:paraId="7B8CB3F7" w14:textId="2289BCA0"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 xml:space="preserve">Indeed, one could argue that the survey indicates that Utah’s advertising had </w:t>
      </w:r>
      <w:r w:rsidRPr="0096524F">
        <w:rPr>
          <w:i/>
        </w:rPr>
        <w:t>increased</w:t>
      </w:r>
      <w:r w:rsidRPr="0096524F">
        <w:t xml:space="preserve"> Ringling’s brand recognition, since more Utahans than non-Utahans filled in the blank with the word “Show”:</w:t>
      </w:r>
      <w:r w:rsidRPr="0096524F">
        <w:t xml:space="preserve"> </w:t>
      </w:r>
      <w:r w:rsidRPr="0096524F">
        <w:t>46% to 41%.</w:t>
      </w:r>
    </w:p>
  </w:footnote>
  <w:footnote w:id="921">
    <w:p w14:paraId="48B757AB" w14:textId="61312142" w:rsidR="0096524F" w:rsidRPr="00EB11B3" w:rsidRDefault="0096524F" w:rsidP="0096524F">
      <w:pPr>
        <w:pStyle w:val="FootnoteText"/>
      </w:pPr>
      <w:r w:rsidRPr="0096524F">
        <w:rPr>
          <w:vertAlign w:val="superscript"/>
        </w:rPr>
        <w:footnoteRef/>
      </w:r>
      <w:r w:rsidRPr="0096524F">
        <w:t>Moseley v.</w:t>
      </w:r>
      <w:r w:rsidRPr="0096524F">
        <w:t xml:space="preserve"> </w:t>
      </w:r>
      <w:r w:rsidRPr="0096524F">
        <w:t>V Secret Catalogue, Inc., 537 U.S.</w:t>
      </w:r>
      <w:r w:rsidRPr="0096524F">
        <w:t xml:space="preserve"> </w:t>
      </w:r>
      <w:r w:rsidRPr="0096524F">
        <w:t>418, 433–34, 65 USPQ2d 1801 (2003).</w:t>
      </w:r>
    </w:p>
  </w:footnote>
  <w:footnote w:id="922">
    <w:p w14:paraId="1DE0D029" w14:textId="539DEBF3" w:rsidR="0096524F" w:rsidRPr="00EB11B3" w:rsidRDefault="0096524F" w:rsidP="0096524F">
      <w:pPr>
        <w:pStyle w:val="FootnoteText"/>
      </w:pPr>
      <w:r w:rsidRPr="0096524F">
        <w:rPr>
          <w:vertAlign w:val="superscript"/>
        </w:rPr>
        <w:footnoteRef/>
      </w:r>
      <w:r w:rsidRPr="0096524F">
        <w:t>CareFirst of Md., Inc.</w:t>
      </w:r>
      <w:r w:rsidRPr="0096524F">
        <w:t xml:space="preserve"> </w:t>
      </w:r>
      <w:r w:rsidRPr="0096524F">
        <w:t>v.</w:t>
      </w:r>
      <w:r w:rsidRPr="0096524F">
        <w:t xml:space="preserve"> </w:t>
      </w:r>
      <w:r w:rsidRPr="0096524F">
        <w:t>First Care, P.C., 434 F.3d 263, 274–75, 77 USPQ2d 1577 (4th Cir.</w:t>
      </w:r>
      <w:r w:rsidRPr="0096524F">
        <w:t xml:space="preserve"> </w:t>
      </w:r>
      <w:r w:rsidRPr="0096524F">
        <w:t>2006).</w:t>
      </w:r>
      <w:r w:rsidRPr="0096524F">
        <w:t xml:space="preserve"> </w:t>
      </w:r>
      <w:r w:rsidRPr="0096524F">
        <w:t xml:space="preserve">The court also cited its </w:t>
      </w:r>
      <w:r w:rsidRPr="0096524F">
        <w:rPr>
          <w:i/>
        </w:rPr>
        <w:t>Ringling</w:t>
      </w:r>
      <w:r w:rsidRPr="0096524F">
        <w:t xml:space="preserve"> decision in a comparative manner, noting that </w:t>
      </w:r>
      <w:r w:rsidRPr="0096524F">
        <w:rPr>
          <w:i/>
        </w:rPr>
        <w:t>Ringling</w:t>
      </w:r>
      <w:r w:rsidRPr="0096524F">
        <w:t xml:space="preserve"> had rejected a mental association survey as insufficient to show dilution.</w:t>
      </w:r>
      <w:r w:rsidRPr="0096524F">
        <w:t xml:space="preserve"> </w:t>
      </w:r>
      <w:r w:rsidRPr="0096524F">
        <w:rPr>
          <w:i/>
        </w:rPr>
        <w:t>Id</w:t>
      </w:r>
      <w:r w:rsidRPr="0096524F">
        <w:t>.</w:t>
      </w:r>
      <w:r w:rsidRPr="0096524F">
        <w:t xml:space="preserve"> </w:t>
      </w:r>
      <w:r w:rsidRPr="0096524F">
        <w:t>This result may continue after the TDRA, which also does not clearly equate confusion with dilution.</w:t>
      </w:r>
    </w:p>
  </w:footnote>
  <w:footnote w:id="923">
    <w:p w14:paraId="323F333B" w14:textId="5C7ABDF1" w:rsidR="0096524F" w:rsidRPr="00EB11B3" w:rsidRDefault="0096524F" w:rsidP="0096524F">
      <w:pPr>
        <w:pStyle w:val="FootnoteText"/>
      </w:pPr>
      <w:r w:rsidRPr="0096524F">
        <w:rPr>
          <w:vertAlign w:val="superscript"/>
        </w:rPr>
        <w:footnoteRef/>
      </w:r>
      <w:r w:rsidRPr="0096524F">
        <w:t>Louis Vuitton Malletier v.</w:t>
      </w:r>
      <w:r w:rsidRPr="0096524F">
        <w:t xml:space="preserve"> </w:t>
      </w:r>
      <w:r w:rsidRPr="0096524F">
        <w:t>Dooney &amp; Bourke, Inc., 525 F.</w:t>
      </w:r>
      <w:r w:rsidRPr="0096524F">
        <w:t xml:space="preserve"> </w:t>
      </w:r>
      <w:r w:rsidRPr="0096524F">
        <w:t>Supp.</w:t>
      </w:r>
      <w:r w:rsidRPr="0096524F">
        <w:t xml:space="preserve"> </w:t>
      </w:r>
      <w:r w:rsidRPr="0096524F">
        <w:t>2d 558, 597 (S.D.N.Y.</w:t>
      </w:r>
      <w:r w:rsidRPr="0096524F">
        <w:t xml:space="preserve"> </w:t>
      </w:r>
      <w:r w:rsidRPr="0096524F">
        <w:t>2007).</w:t>
      </w:r>
    </w:p>
  </w:footnote>
  <w:footnote w:id="924">
    <w:p w14:paraId="4F5C27FA" w14:textId="6C71AAE8" w:rsidR="0096524F" w:rsidRPr="00EB11B3" w:rsidRDefault="0096524F" w:rsidP="0096524F">
      <w:pPr>
        <w:pStyle w:val="FootnoteText"/>
      </w:pPr>
      <w:r w:rsidRPr="0096524F">
        <w:rPr>
          <w:vertAlign w:val="superscript"/>
        </w:rPr>
        <w:footnoteRef/>
      </w:r>
      <w:r w:rsidRPr="0096524F">
        <w:t>Edina Realty, Inc.</w:t>
      </w:r>
      <w:r w:rsidRPr="0096524F">
        <w:t xml:space="preserve"> </w:t>
      </w:r>
      <w:r w:rsidRPr="0096524F">
        <w:t>v.</w:t>
      </w:r>
      <w:r w:rsidRPr="0096524F">
        <w:t xml:space="preserve"> </w:t>
      </w:r>
      <w:r w:rsidRPr="0096524F">
        <w:t>TheMLSonline.com, 80 USPQ2d 1039, 1045 (D.</w:t>
      </w:r>
      <w:r w:rsidRPr="0096524F">
        <w:t xml:space="preserve"> </w:t>
      </w:r>
      <w:r w:rsidRPr="0096524F">
        <w:t>Minn.</w:t>
      </w:r>
      <w:r w:rsidRPr="0096524F">
        <w:t xml:space="preserve"> </w:t>
      </w:r>
      <w:r w:rsidRPr="0096524F">
        <w:t>2006).</w:t>
      </w:r>
      <w:r w:rsidRPr="0096524F">
        <w:t xml:space="preserve"> </w:t>
      </w:r>
      <w:r w:rsidRPr="0096524F">
        <w:rPr>
          <w:i/>
        </w:rPr>
        <w:t>See also</w:t>
      </w:r>
      <w:r w:rsidRPr="0096524F">
        <w:t xml:space="preserve"> American Registry of Radiologic Technologists v.</w:t>
      </w:r>
      <w:r w:rsidRPr="0096524F">
        <w:t xml:space="preserve"> </w:t>
      </w:r>
      <w:r w:rsidRPr="0096524F">
        <w:t>Garza, 2006 U.S.</w:t>
      </w:r>
      <w:r w:rsidRPr="0096524F">
        <w:t xml:space="preserve"> </w:t>
      </w:r>
      <w:r w:rsidRPr="0096524F">
        <w:t>Dist.</w:t>
      </w:r>
      <w:r w:rsidRPr="0096524F">
        <w:t xml:space="preserve"> </w:t>
      </w:r>
      <w:r w:rsidRPr="0096524F">
        <w:t>LEXIS 29826, at *15–17 (S.D.</w:t>
      </w:r>
      <w:r w:rsidRPr="0096524F">
        <w:t xml:space="preserve"> </w:t>
      </w:r>
      <w:r w:rsidRPr="0096524F">
        <w:t>Tex.</w:t>
      </w:r>
      <w:r w:rsidRPr="0096524F">
        <w:t xml:space="preserve"> </w:t>
      </w:r>
      <w:r w:rsidRPr="0096524F">
        <w:t>2006) (no actual dilution found).</w:t>
      </w:r>
    </w:p>
  </w:footnote>
  <w:footnote w:id="925">
    <w:p w14:paraId="771D5807" w14:textId="287A3396" w:rsidR="0096524F" w:rsidRPr="00EB11B3" w:rsidRDefault="0096524F" w:rsidP="0096524F">
      <w:pPr>
        <w:pStyle w:val="FootnoteText"/>
      </w:pPr>
      <w:r w:rsidRPr="0096524F">
        <w:rPr>
          <w:vertAlign w:val="superscript"/>
        </w:rPr>
        <w:footnoteRef/>
      </w:r>
      <w:r w:rsidRPr="0096524F">
        <w:t>998 F.</w:t>
      </w:r>
      <w:r w:rsidRPr="0096524F">
        <w:t xml:space="preserve"> </w:t>
      </w:r>
      <w:r w:rsidRPr="0096524F">
        <w:t>Supp.</w:t>
      </w:r>
      <w:r w:rsidRPr="0096524F">
        <w:t xml:space="preserve"> </w:t>
      </w:r>
      <w:r w:rsidRPr="0096524F">
        <w:t>500 (M.D.</w:t>
      </w:r>
      <w:r w:rsidRPr="0096524F">
        <w:t xml:space="preserve"> </w:t>
      </w:r>
      <w:r w:rsidRPr="0096524F">
        <w:t>Pa.</w:t>
      </w:r>
      <w:r w:rsidRPr="0096524F">
        <w:t xml:space="preserve"> </w:t>
      </w:r>
      <w:r w:rsidRPr="0096524F">
        <w:t>1998).</w:t>
      </w:r>
    </w:p>
  </w:footnote>
  <w:footnote w:id="926">
    <w:p w14:paraId="6BB14764" w14:textId="5FB67A1E"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509.</w:t>
      </w:r>
      <w:r w:rsidRPr="0096524F">
        <w:t xml:space="preserve"> </w:t>
      </w:r>
      <w:r w:rsidRPr="0096524F">
        <w:t>The plaintiff produced Reese’s peanut butter cups, whose trade dress was the focal point of the suit.</w:t>
      </w:r>
      <w:r w:rsidRPr="0096524F">
        <w:t xml:space="preserve"> </w:t>
      </w:r>
      <w:r w:rsidRPr="0096524F">
        <w:t>The defendant produced M&amp;Ms, whose introduction of peanut-flavored M&amp;Ms in packages using colors similar to those on Reese’s packages precipitated the suit.</w:t>
      </w:r>
    </w:p>
  </w:footnote>
  <w:footnote w:id="927">
    <w:p w14:paraId="0138D6DF" w14:textId="6C953003"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510.</w:t>
      </w:r>
      <w:r w:rsidRPr="0096524F">
        <w:t xml:space="preserve"> </w:t>
      </w:r>
      <w:r w:rsidRPr="0096524F">
        <w:t>Some respondents were shown the representation of the plaintiff’s trade dress, while others were shown the defendant’s trade dress.</w:t>
      </w:r>
      <w:r w:rsidRPr="0096524F">
        <w:t xml:space="preserve"> </w:t>
      </w:r>
      <w:r w:rsidRPr="0096524F">
        <w:t>All were shown the controls.</w:t>
      </w:r>
      <w:r w:rsidRPr="0096524F">
        <w:t xml:space="preserve"> </w:t>
      </w:r>
      <w:r w:rsidRPr="0096524F">
        <w:rPr>
          <w:i/>
        </w:rPr>
        <w:t>Id</w:t>
      </w:r>
      <w:r w:rsidRPr="0096524F">
        <w:t>.</w:t>
      </w:r>
    </w:p>
  </w:footnote>
  <w:footnote w:id="928">
    <w:p w14:paraId="06AF1508" w14:textId="325FDE7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517–18.</w:t>
      </w:r>
    </w:p>
  </w:footnote>
  <w:footnote w:id="929">
    <w:p w14:paraId="403208AD" w14:textId="22E78E4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518.</w:t>
      </w:r>
    </w:p>
  </w:footnote>
  <w:footnote w:id="930">
    <w:p w14:paraId="06CCA7C9" w14:textId="31A2A0FB"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The survey packages substituted “Brand X” for the brand names.</w:t>
      </w:r>
      <w:r w:rsidRPr="0096524F">
        <w:t xml:space="preserve"> </w:t>
      </w:r>
      <w:r w:rsidRPr="0096524F">
        <w:rPr>
          <w:i/>
        </w:rPr>
        <w:t>Id</w:t>
      </w:r>
      <w:r w:rsidRPr="0096524F">
        <w:t>.</w:t>
      </w:r>
    </w:p>
  </w:footnote>
  <w:footnote w:id="931">
    <w:p w14:paraId="53DB4ADD" w14:textId="47068484" w:rsidR="0096524F" w:rsidRPr="00EB11B3" w:rsidRDefault="0096524F" w:rsidP="0096524F">
      <w:pPr>
        <w:pStyle w:val="FootnoteText"/>
      </w:pPr>
      <w:r w:rsidRPr="0096524F">
        <w:rPr>
          <w:vertAlign w:val="superscript"/>
        </w:rPr>
        <w:footnoteRef/>
      </w:r>
      <w:r w:rsidRPr="0096524F">
        <w:rPr>
          <w:i/>
        </w:rPr>
        <w:t>Id</w:t>
      </w:r>
      <w:r w:rsidRPr="0096524F">
        <w:t>.</w:t>
      </w:r>
    </w:p>
  </w:footnote>
  <w:footnote w:id="932">
    <w:p w14:paraId="108DD8A8" w14:textId="601692CB" w:rsidR="0096524F" w:rsidRPr="00EB11B3" w:rsidRDefault="0096524F" w:rsidP="0096524F">
      <w:pPr>
        <w:pStyle w:val="FootnoteText"/>
      </w:pPr>
      <w:r w:rsidRPr="0096524F">
        <w:rPr>
          <w:vertAlign w:val="superscript"/>
        </w:rPr>
        <w:footnoteRef/>
      </w:r>
      <w:r w:rsidRPr="0096524F">
        <w:rPr>
          <w:i/>
        </w:rPr>
        <w:t>Id</w:t>
      </w:r>
      <w:r w:rsidRPr="0096524F">
        <w:t>.</w:t>
      </w:r>
    </w:p>
  </w:footnote>
  <w:footnote w:id="933">
    <w:p w14:paraId="36F9AC59" w14:textId="5D0A6397" w:rsidR="0096524F" w:rsidRPr="00EB11B3" w:rsidRDefault="0096524F" w:rsidP="0096524F">
      <w:pPr>
        <w:pStyle w:val="FootnoteText"/>
      </w:pPr>
      <w:r w:rsidRPr="0096524F">
        <w:rPr>
          <w:vertAlign w:val="superscript"/>
        </w:rPr>
        <w:footnoteRef/>
      </w:r>
      <w:r w:rsidRPr="0096524F">
        <w:rPr>
          <w:i/>
        </w:rPr>
        <w:t>Id</w:t>
      </w:r>
      <w:r w:rsidRPr="0096524F">
        <w:t>.</w:t>
      </w:r>
    </w:p>
  </w:footnote>
  <w:footnote w:id="934">
    <w:p w14:paraId="70D6BB5E" w14:textId="729B7CA2"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This is not an entirely satisfactory answer.</w:t>
      </w:r>
      <w:r w:rsidRPr="0096524F">
        <w:t xml:space="preserve"> </w:t>
      </w:r>
      <w:r w:rsidRPr="0096524F">
        <w:t>The survey design does not appear to account for a dual source response, for example.</w:t>
      </w:r>
    </w:p>
  </w:footnote>
  <w:footnote w:id="935">
    <w:p w14:paraId="0FF6B804" w14:textId="52093874"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519.</w:t>
      </w:r>
    </w:p>
  </w:footnote>
  <w:footnote w:id="936">
    <w:p w14:paraId="3FF8F933" w14:textId="734541AE"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The court cited the elimination of the “cascading M&amp;Ms” that appear on the actual package as a notable exclusion.</w:t>
      </w:r>
      <w:r w:rsidRPr="0096524F">
        <w:t xml:space="preserve"> </w:t>
      </w:r>
      <w:r w:rsidRPr="0096524F">
        <w:rPr>
          <w:i/>
        </w:rPr>
        <w:t>Id</w:t>
      </w:r>
      <w:r w:rsidRPr="0096524F">
        <w:t>.</w:t>
      </w:r>
    </w:p>
  </w:footnote>
  <w:footnote w:id="937">
    <w:p w14:paraId="057304D8" w14:textId="3CBED77A"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The court also rejected a second survey, primarily on the grounds that it had not been introduced in the plaintiff’s main case, but on rebuttal.</w:t>
      </w:r>
      <w:r w:rsidRPr="0096524F">
        <w:t xml:space="preserve"> </w:t>
      </w:r>
      <w:r w:rsidRPr="0096524F">
        <w:rPr>
          <w:i/>
        </w:rPr>
        <w:t>Id</w:t>
      </w:r>
      <w:r w:rsidRPr="0096524F">
        <w:t>.</w:t>
      </w:r>
      <w:r w:rsidRPr="0096524F">
        <w:t xml:space="preserve"> </w:t>
      </w:r>
      <w:r w:rsidRPr="0096524F">
        <w:t>The second survey was not limited to particular candy consumers and did not use the same misleading elements.</w:t>
      </w:r>
      <w:r w:rsidRPr="0096524F">
        <w:t xml:space="preserve"> </w:t>
      </w:r>
      <w:r w:rsidRPr="0096524F">
        <w:t>However, it was described as a “pilot” survey and only questioned about 90 people.</w:t>
      </w:r>
      <w:r w:rsidRPr="0096524F">
        <w:t xml:space="preserve"> </w:t>
      </w:r>
      <w:r w:rsidRPr="0096524F">
        <w:rPr>
          <w:i/>
        </w:rPr>
        <w:t>Id</w:t>
      </w:r>
      <w:r w:rsidRPr="0096524F">
        <w:t>.</w:t>
      </w:r>
      <w:r w:rsidRPr="0096524F">
        <w:t xml:space="preserve"> </w:t>
      </w:r>
      <w:r w:rsidRPr="0096524F">
        <w:t>at 511.</w:t>
      </w:r>
      <w:r w:rsidRPr="0096524F">
        <w:t xml:space="preserve"> </w:t>
      </w:r>
      <w:r w:rsidRPr="0096524F">
        <w:t>The main survey had 162 respondents.</w:t>
      </w:r>
      <w:r w:rsidRPr="0096524F">
        <w:t xml:space="preserve"> </w:t>
      </w:r>
      <w:r w:rsidRPr="0096524F">
        <w:t>Gerald L.</w:t>
      </w:r>
      <w:r w:rsidRPr="0096524F">
        <w:t xml:space="preserve"> </w:t>
      </w:r>
      <w:r w:rsidRPr="0096524F">
        <w:t xml:space="preserve">Ford, </w:t>
      </w:r>
      <w:r w:rsidRPr="0096524F">
        <w:rPr>
          <w:i/>
        </w:rPr>
        <w:t>Dilution Surveys Update 1998,</w:t>
      </w:r>
      <w:r w:rsidRPr="0096524F">
        <w:t xml:space="preserve"> 537 </w:t>
      </w:r>
      <w:r w:rsidRPr="0096524F">
        <w:rPr>
          <w:smallCaps/>
        </w:rPr>
        <w:t>PLI/Pat.</w:t>
      </w:r>
      <w:r w:rsidRPr="0096524F">
        <w:rPr>
          <w:smallCaps/>
        </w:rPr>
        <w:t xml:space="preserve"> </w:t>
      </w:r>
      <w:r w:rsidRPr="0096524F">
        <w:t>at 573.</w:t>
      </w:r>
    </w:p>
  </w:footnote>
  <w:footnote w:id="938">
    <w:p w14:paraId="47AD9E31" w14:textId="5ED29E59" w:rsidR="0096524F" w:rsidRPr="00EB11B3" w:rsidRDefault="0096524F" w:rsidP="0096524F">
      <w:pPr>
        <w:pStyle w:val="FootnoteText"/>
      </w:pPr>
      <w:r w:rsidRPr="0096524F">
        <w:rPr>
          <w:vertAlign w:val="superscript"/>
        </w:rPr>
        <w:footnoteRef/>
      </w:r>
      <w:r w:rsidRPr="0096524F">
        <w:t>57 F.</w:t>
      </w:r>
      <w:r w:rsidRPr="0096524F">
        <w:t xml:space="preserve"> </w:t>
      </w:r>
      <w:r w:rsidRPr="0096524F">
        <w:t>Supp.</w:t>
      </w:r>
      <w:r w:rsidRPr="0096524F">
        <w:t xml:space="preserve"> </w:t>
      </w:r>
      <w:r w:rsidRPr="0096524F">
        <w:t>2d 665 (E.D.</w:t>
      </w:r>
      <w:r w:rsidRPr="0096524F">
        <w:t xml:space="preserve"> </w:t>
      </w:r>
      <w:r w:rsidRPr="0096524F">
        <w:t>Wis.</w:t>
      </w:r>
      <w:r w:rsidRPr="0096524F">
        <w:t xml:space="preserve"> </w:t>
      </w:r>
      <w:r w:rsidRPr="0096524F">
        <w:t>1999).</w:t>
      </w:r>
    </w:p>
  </w:footnote>
  <w:footnote w:id="939">
    <w:p w14:paraId="2E75C79A" w14:textId="26E4D40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669.</w:t>
      </w:r>
    </w:p>
  </w:footnote>
  <w:footnote w:id="940">
    <w:p w14:paraId="6B17CF6C" w14:textId="33A7FD5F"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669–71.</w:t>
      </w:r>
    </w:p>
  </w:footnote>
  <w:footnote w:id="941">
    <w:p w14:paraId="053B0DDC" w14:textId="618EA420" w:rsidR="0096524F" w:rsidRPr="00EB11B3" w:rsidRDefault="0096524F" w:rsidP="0096524F">
      <w:pPr>
        <w:pStyle w:val="FootnoteText"/>
      </w:pPr>
      <w:r w:rsidRPr="0096524F">
        <w:rPr>
          <w:vertAlign w:val="superscript"/>
        </w:rPr>
        <w:footnoteRef/>
      </w:r>
      <w:r w:rsidRPr="0096524F">
        <w:t>For further discussion of survey pitfalls, see  below, §V.C.2.</w:t>
      </w:r>
    </w:p>
  </w:footnote>
  <w:footnote w:id="942">
    <w:p w14:paraId="121DA3B3" w14:textId="35A1AB47" w:rsidR="0096524F" w:rsidRPr="00EB11B3" w:rsidRDefault="0096524F" w:rsidP="0096524F">
      <w:pPr>
        <w:pStyle w:val="FootnoteText"/>
      </w:pPr>
      <w:r w:rsidRPr="0096524F">
        <w:rPr>
          <w:vertAlign w:val="superscript"/>
        </w:rPr>
        <w:footnoteRef/>
      </w:r>
      <w:r w:rsidRPr="0096524F">
        <w:t>101 USPQ2d 1212 (S.D.N.Y.</w:t>
      </w:r>
      <w:r w:rsidRPr="0096524F">
        <w:t xml:space="preserve"> </w:t>
      </w:r>
      <w:r w:rsidRPr="0096524F">
        <w:t>2011).</w:t>
      </w:r>
    </w:p>
  </w:footnote>
  <w:footnote w:id="943">
    <w:p w14:paraId="1AB2D57E" w14:textId="4EAFE8A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1216.</w:t>
      </w:r>
    </w:p>
  </w:footnote>
  <w:footnote w:id="944">
    <w:p w14:paraId="710F1436" w14:textId="4E5827AB" w:rsid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The Second Circuit reaffirmed this finding on a subsequent appeal after remand.</w:t>
      </w:r>
      <w:r w:rsidRPr="0096524F">
        <w:t xml:space="preserve"> </w:t>
      </w:r>
      <w:r w:rsidRPr="0096524F">
        <w:t>736 F.3d 198, 209–11, 108 USPQ2d 1581 (2d Cir.</w:t>
      </w:r>
      <w:r w:rsidRPr="0096524F">
        <w:t xml:space="preserve"> </w:t>
      </w:r>
      <w:r w:rsidRPr="0096524F">
        <w:t>2013).</w:t>
      </w:r>
      <w:r w:rsidRPr="0096524F">
        <w:t xml:space="preserve"> </w:t>
      </w:r>
      <w:r w:rsidRPr="0096524F">
        <w:t>Other parts of the survey showed considerably less association.</w:t>
      </w:r>
      <w:r w:rsidRPr="0096524F">
        <w:t xml:space="preserve"> </w:t>
      </w:r>
      <w:r w:rsidRPr="0096524F">
        <w:rPr>
          <w:i/>
        </w:rPr>
        <w:t>Id</w:t>
      </w:r>
      <w:r w:rsidRPr="0096524F">
        <w:t>.</w:t>
      </w:r>
      <w:r w:rsidRPr="0096524F">
        <w:t xml:space="preserve"> </w:t>
      </w:r>
      <w:r w:rsidRPr="0096524F">
        <w:t>A similar result occurred in Casa Tradicion S.A.</w:t>
      </w:r>
      <w:r w:rsidRPr="0096524F">
        <w:t xml:space="preserve"> </w:t>
      </w:r>
      <w:r w:rsidRPr="0096524F">
        <w:t>de C.V.</w:t>
      </w:r>
      <w:r w:rsidRPr="0096524F">
        <w:t xml:space="preserve"> </w:t>
      </w:r>
      <w:r w:rsidRPr="0096524F">
        <w:t>v.</w:t>
      </w:r>
      <w:r w:rsidRPr="0096524F">
        <w:t xml:space="preserve"> </w:t>
      </w:r>
      <w:r w:rsidRPr="0096524F">
        <w:t>Casa Azul Spirits LLC, 2023 WL 7284182, at *5 (S.D.</w:t>
      </w:r>
      <w:r w:rsidRPr="0096524F">
        <w:t xml:space="preserve"> </w:t>
      </w:r>
      <w:r w:rsidRPr="0096524F">
        <w:t>Tex.</w:t>
      </w:r>
      <w:r w:rsidRPr="0096524F">
        <w:t xml:space="preserve"> </w:t>
      </w:r>
      <w:r w:rsidRPr="0096524F">
        <w:t>Nov.</w:t>
      </w:r>
      <w:r w:rsidRPr="0096524F">
        <w:t xml:space="preserve"> </w:t>
      </w:r>
      <w:r w:rsidRPr="0096524F">
        <w:t>3, 2023), where the court excluded a survey because it did not show the context of the marks.</w:t>
      </w:r>
    </w:p>
  </w:footnote>
  <w:footnote w:id="945">
    <w:p w14:paraId="13F83FC9" w14:textId="6248C086" w:rsidR="0096524F" w:rsidRPr="0096524F" w:rsidRDefault="0096524F" w:rsidP="0096524F">
      <w:pPr>
        <w:pStyle w:val="FootnoteText"/>
      </w:pPr>
      <w:r w:rsidRPr="0096524F">
        <w:rPr>
          <w:vertAlign w:val="superscript"/>
        </w:rPr>
        <w:footnoteRef/>
      </w:r>
      <w:r w:rsidRPr="0096524F">
        <w:t>2013 WL 12157828 (D.N.J.</w:t>
      </w:r>
      <w:r w:rsidRPr="0096524F">
        <w:t xml:space="preserve"> </w:t>
      </w:r>
      <w:r w:rsidRPr="0096524F">
        <w:t>Jan.</w:t>
      </w:r>
      <w:r w:rsidRPr="0096524F">
        <w:t xml:space="preserve"> </w:t>
      </w:r>
      <w:r w:rsidRPr="0096524F">
        <w:t>18, 2013).</w:t>
      </w:r>
    </w:p>
    <w:p w14:paraId="35B3B08D" w14:textId="77777777" w:rsidR="0096524F" w:rsidRDefault="0096524F" w:rsidP="00D758BD">
      <w:pPr>
        <w:pStyle w:val="footnote"/>
      </w:pPr>
    </w:p>
  </w:footnote>
  <w:footnote w:id="946">
    <w:p w14:paraId="616C16CA" w14:textId="26F69AEC"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*26–27.</w:t>
      </w:r>
    </w:p>
    <w:p w14:paraId="0AB322D8" w14:textId="77777777" w:rsidR="0096524F" w:rsidRDefault="0096524F" w:rsidP="00D758BD">
      <w:pPr>
        <w:pStyle w:val="footnote"/>
      </w:pPr>
    </w:p>
  </w:footnote>
  <w:footnote w:id="947">
    <w:p w14:paraId="3BC0B330" w14:textId="5DA2145E" w:rsidR="0096524F" w:rsidRPr="0096524F" w:rsidRDefault="0096524F" w:rsidP="0096524F">
      <w:pPr>
        <w:pStyle w:val="FootnoteText"/>
      </w:pPr>
      <w:r w:rsidRPr="0096524F">
        <w:rPr>
          <w:vertAlign w:val="superscript"/>
        </w:rPr>
        <w:footnoteRef/>
      </w:r>
      <w:r w:rsidRPr="0096524F">
        <w:rPr>
          <w:i/>
        </w:rPr>
        <w:t>Id.</w:t>
      </w:r>
      <w:r w:rsidRPr="0096524F">
        <w:rPr>
          <w:i/>
        </w:rPr>
        <w:t xml:space="preserve"> </w:t>
      </w:r>
      <w:r w:rsidRPr="0096524F">
        <w:t>at *27.</w:t>
      </w:r>
    </w:p>
    <w:p w14:paraId="6AA6F9FF" w14:textId="77777777" w:rsidR="0096524F" w:rsidRDefault="0096524F" w:rsidP="00D758BD">
      <w:pPr>
        <w:pStyle w:val="footnote"/>
      </w:pPr>
    </w:p>
  </w:footnote>
  <w:footnote w:id="948">
    <w:p w14:paraId="2AF1BB25" w14:textId="2DF442AD" w:rsidR="0096524F" w:rsidRPr="0096524F" w:rsidRDefault="0096524F" w:rsidP="0096524F">
      <w:pPr>
        <w:pStyle w:val="FootnoteText"/>
      </w:pPr>
      <w:r w:rsidRPr="0096524F">
        <w:rPr>
          <w:vertAlign w:val="superscript"/>
        </w:rPr>
        <w:footnoteRef/>
      </w:r>
      <w:r w:rsidRPr="0096524F">
        <w:t>25 F.</w:t>
      </w:r>
      <w:r w:rsidRPr="0096524F">
        <w:t xml:space="preserve"> </w:t>
      </w:r>
      <w:r w:rsidRPr="0096524F">
        <w:t>Supp.</w:t>
      </w:r>
      <w:r w:rsidRPr="0096524F">
        <w:t xml:space="preserve"> </w:t>
      </w:r>
      <w:r w:rsidRPr="0096524F">
        <w:t>3d 865, 111 USPQ2d 1863 (E.D.</w:t>
      </w:r>
      <w:r w:rsidRPr="0096524F">
        <w:t xml:space="preserve"> </w:t>
      </w:r>
      <w:r w:rsidRPr="0096524F">
        <w:t>Va.</w:t>
      </w:r>
      <w:r w:rsidRPr="0096524F">
        <w:t xml:space="preserve"> </w:t>
      </w:r>
      <w:r w:rsidRPr="0096524F">
        <w:t xml:space="preserve">2014), </w:t>
      </w:r>
      <w:r w:rsidRPr="0096524F">
        <w:rPr>
          <w:i/>
        </w:rPr>
        <w:t>vacated and remanded</w:t>
      </w:r>
      <w:r w:rsidRPr="0096524F">
        <w:t>, 786 F.3d 316, 114 USPQ2d 1772 (4th Cir.</w:t>
      </w:r>
      <w:r w:rsidRPr="0096524F">
        <w:t xml:space="preserve"> </w:t>
      </w:r>
      <w:r w:rsidRPr="0096524F">
        <w:t>2015).</w:t>
      </w:r>
    </w:p>
    <w:p w14:paraId="16A55495" w14:textId="77777777" w:rsidR="0096524F" w:rsidRDefault="0096524F" w:rsidP="00D758BD">
      <w:pPr>
        <w:pStyle w:val="footnote"/>
      </w:pPr>
    </w:p>
  </w:footnote>
  <w:footnote w:id="949">
    <w:p w14:paraId="12C10315" w14:textId="0EAEA93D"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895–96.</w:t>
      </w:r>
    </w:p>
    <w:p w14:paraId="119FFCC5" w14:textId="77777777" w:rsidR="0096524F" w:rsidRPr="00882ED4" w:rsidRDefault="0096524F" w:rsidP="00D758BD">
      <w:pPr>
        <w:pStyle w:val="footnote"/>
        <w:rPr>
          <w:lang w:val="da-DK"/>
        </w:rPr>
      </w:pPr>
    </w:p>
  </w:footnote>
  <w:footnote w:id="950">
    <w:p w14:paraId="15005CC7" w14:textId="5D9F3A16"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895–96 &amp; n.64.</w:t>
      </w:r>
    </w:p>
    <w:p w14:paraId="49F400FB" w14:textId="77777777" w:rsidR="0096524F" w:rsidRPr="00882ED4" w:rsidRDefault="0096524F" w:rsidP="00D758BD">
      <w:pPr>
        <w:pStyle w:val="footnote"/>
        <w:rPr>
          <w:lang w:val="da-DK"/>
        </w:rPr>
      </w:pPr>
    </w:p>
  </w:footnote>
  <w:footnote w:id="951">
    <w:p w14:paraId="040CA09D" w14:textId="40844F49"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896 n.64.</w:t>
      </w:r>
    </w:p>
    <w:p w14:paraId="737A4C92" w14:textId="77777777" w:rsidR="0096524F" w:rsidRPr="00882ED4" w:rsidRDefault="0096524F" w:rsidP="00D758BD">
      <w:pPr>
        <w:pStyle w:val="footnote"/>
        <w:rPr>
          <w:lang w:val="da-DK"/>
        </w:rPr>
      </w:pPr>
    </w:p>
  </w:footnote>
  <w:footnote w:id="952">
    <w:p w14:paraId="48046374" w14:textId="5A456180" w:rsidR="0096524F" w:rsidRPr="0096524F" w:rsidRDefault="0096524F" w:rsidP="0096524F">
      <w:pPr>
        <w:pStyle w:val="FootnoteText"/>
      </w:pPr>
      <w:r w:rsidRPr="0096524F">
        <w:rPr>
          <w:vertAlign w:val="superscript"/>
        </w:rPr>
        <w:footnoteRef/>
      </w:r>
      <w:r w:rsidRPr="0096524F">
        <w:t>786 F.3d 316, 331–32, 114 USPQ2d 1772 (4th Cir.</w:t>
      </w:r>
      <w:r w:rsidRPr="0096524F">
        <w:t xml:space="preserve"> </w:t>
      </w:r>
      <w:r w:rsidRPr="0096524F">
        <w:t>2015).</w:t>
      </w:r>
    </w:p>
    <w:p w14:paraId="6B68426A" w14:textId="77777777" w:rsidR="0096524F" w:rsidRDefault="0096524F" w:rsidP="00D758BD">
      <w:pPr>
        <w:pStyle w:val="footnote"/>
      </w:pPr>
    </w:p>
  </w:footnote>
  <w:footnote w:id="953">
    <w:p w14:paraId="6854F73A" w14:textId="0C820CC1" w:rsidR="0096524F" w:rsidRPr="0096524F" w:rsidRDefault="0096524F" w:rsidP="0096524F">
      <w:pPr>
        <w:pStyle w:val="FootnoteText"/>
      </w:pPr>
      <w:r w:rsidRPr="0096524F">
        <w:rPr>
          <w:vertAlign w:val="superscript"/>
        </w:rPr>
        <w:footnoteRef/>
      </w:r>
      <w:r w:rsidRPr="0096524F">
        <w:t>302 F.</w:t>
      </w:r>
      <w:r w:rsidRPr="0096524F">
        <w:t xml:space="preserve"> </w:t>
      </w:r>
      <w:r w:rsidRPr="0096524F">
        <w:t>Supp.</w:t>
      </w:r>
      <w:r w:rsidRPr="0096524F">
        <w:t xml:space="preserve"> </w:t>
      </w:r>
      <w:r w:rsidRPr="0096524F">
        <w:t>3d 837 (W.D.</w:t>
      </w:r>
      <w:r w:rsidRPr="0096524F">
        <w:t xml:space="preserve"> </w:t>
      </w:r>
      <w:r w:rsidRPr="0096524F">
        <w:t>Ky.</w:t>
      </w:r>
      <w:r w:rsidRPr="0096524F">
        <w:t xml:space="preserve"> </w:t>
      </w:r>
      <w:r w:rsidRPr="0096524F">
        <w:t>2017).</w:t>
      </w:r>
    </w:p>
    <w:p w14:paraId="1E9D6681" w14:textId="77777777" w:rsidR="0096524F" w:rsidRDefault="0096524F" w:rsidP="00D758BD">
      <w:pPr>
        <w:pStyle w:val="footnote"/>
      </w:pPr>
    </w:p>
  </w:footnote>
  <w:footnote w:id="954">
    <w:p w14:paraId="131979DA" w14:textId="2EE26F93"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873.</w:t>
      </w:r>
    </w:p>
    <w:p w14:paraId="53646E6B" w14:textId="77777777" w:rsidR="0096524F" w:rsidRDefault="0096524F" w:rsidP="00D758BD">
      <w:pPr>
        <w:pStyle w:val="footnote"/>
      </w:pPr>
    </w:p>
  </w:footnote>
  <w:footnote w:id="955">
    <w:p w14:paraId="276BFE29" w14:textId="3FDF1BE4"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900.</w:t>
      </w:r>
      <w:r w:rsidRPr="0096524F">
        <w:t xml:space="preserve"> </w:t>
      </w:r>
      <w:r w:rsidRPr="0096524F">
        <w:t>Although fame is clearly to be measured by the “general consuming public,” the statute is silent as to the relevant group to be measured for a loss of distinctiveness.</w:t>
      </w:r>
    </w:p>
    <w:p w14:paraId="75022111" w14:textId="77777777" w:rsidR="0096524F" w:rsidRDefault="0096524F" w:rsidP="00D758BD">
      <w:pPr>
        <w:pStyle w:val="footnote"/>
      </w:pPr>
    </w:p>
  </w:footnote>
  <w:footnote w:id="956">
    <w:p w14:paraId="269DAA9D" w14:textId="7683E916" w:rsidR="0096524F" w:rsidRPr="0096524F" w:rsidRDefault="0096524F" w:rsidP="0096524F">
      <w:pPr>
        <w:pStyle w:val="FootnoteText"/>
      </w:pPr>
      <w:r w:rsidRPr="0096524F">
        <w:rPr>
          <w:vertAlign w:val="superscript"/>
        </w:rPr>
        <w:footnoteRef/>
      </w:r>
      <w:r w:rsidRPr="0096524F">
        <w:t>291 F.</w:t>
      </w:r>
      <w:r w:rsidRPr="0096524F">
        <w:t xml:space="preserve"> </w:t>
      </w:r>
      <w:r w:rsidRPr="0096524F">
        <w:t>Supp.</w:t>
      </w:r>
      <w:r w:rsidRPr="0096524F">
        <w:t xml:space="preserve"> </w:t>
      </w:r>
      <w:r w:rsidRPr="0096524F">
        <w:t>3d 891 (D.</w:t>
      </w:r>
      <w:r w:rsidRPr="0096524F">
        <w:t xml:space="preserve"> </w:t>
      </w:r>
      <w:r w:rsidRPr="0096524F">
        <w:t>Ariz.</w:t>
      </w:r>
      <w:r w:rsidRPr="0096524F">
        <w:t xml:space="preserve"> </w:t>
      </w:r>
      <w:r w:rsidRPr="0096524F">
        <w:t xml:space="preserve">2018), </w:t>
      </w:r>
      <w:r w:rsidRPr="0096524F">
        <w:rPr>
          <w:i/>
        </w:rPr>
        <w:t>rev’d in part, vacated in part</w:t>
      </w:r>
      <w:r w:rsidRPr="0096524F">
        <w:t>, 953 F.3d 1170 (9th Cir.</w:t>
      </w:r>
      <w:r w:rsidRPr="0096524F">
        <w:t xml:space="preserve"> </w:t>
      </w:r>
      <w:r w:rsidRPr="0096524F">
        <w:t xml:space="preserve">2020), </w:t>
      </w:r>
      <w:r w:rsidRPr="0096524F">
        <w:rPr>
          <w:i/>
        </w:rPr>
        <w:t>vacated and remanded</w:t>
      </w:r>
      <w:r w:rsidRPr="0096524F">
        <w:t>, 599 U.S.</w:t>
      </w:r>
      <w:r w:rsidRPr="0096524F">
        <w:t xml:space="preserve"> </w:t>
      </w:r>
      <w:r w:rsidRPr="0096524F">
        <w:t>140 (2023).</w:t>
      </w:r>
    </w:p>
    <w:p w14:paraId="09A71A1C" w14:textId="77777777" w:rsidR="0096524F" w:rsidRDefault="0096524F" w:rsidP="00D758BD">
      <w:pPr>
        <w:pStyle w:val="footnote"/>
      </w:pPr>
    </w:p>
  </w:footnote>
  <w:footnote w:id="957">
    <w:p w14:paraId="3A3F21C7" w14:textId="3D91DEEA"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902–03.</w:t>
      </w:r>
    </w:p>
    <w:p w14:paraId="22FFACF5" w14:textId="77777777" w:rsidR="0096524F" w:rsidRDefault="0096524F" w:rsidP="00D758BD">
      <w:pPr>
        <w:pStyle w:val="footnote"/>
      </w:pPr>
    </w:p>
  </w:footnote>
  <w:footnote w:id="958">
    <w:p w14:paraId="4C027471" w14:textId="20217C78" w:rsid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903–04.</w:t>
      </w:r>
      <w:r w:rsidRPr="0096524F">
        <w:t xml:space="preserve"> </w:t>
      </w:r>
      <w:r w:rsidRPr="0096524F">
        <w:t>The court reiterated this conclusion when the case was remanded from the Supreme Court .</w:t>
      </w:r>
      <w:r w:rsidRPr="0096524F">
        <w:t xml:space="preserve"> </w:t>
      </w:r>
      <w:r w:rsidRPr="0096524F">
        <w:t>VIP Prods.</w:t>
      </w:r>
      <w:r w:rsidRPr="0096524F">
        <w:t xml:space="preserve"> </w:t>
      </w:r>
      <w:r w:rsidRPr="0096524F">
        <w:t>LLC v.</w:t>
      </w:r>
      <w:r w:rsidRPr="0096524F">
        <w:t xml:space="preserve"> </w:t>
      </w:r>
      <w:r w:rsidRPr="0096524F">
        <w:t>Jack Daniel’s Props., Inc., 2025 WL 275909, at *7(D.</w:t>
      </w:r>
      <w:r w:rsidRPr="0096524F">
        <w:t xml:space="preserve"> </w:t>
      </w:r>
      <w:r w:rsidRPr="0096524F">
        <w:t>Ariz.</w:t>
      </w:r>
      <w:r w:rsidRPr="0096524F">
        <w:t xml:space="preserve"> </w:t>
      </w:r>
      <w:r w:rsidRPr="0096524F">
        <w:t>Jan 21, 2025).</w:t>
      </w:r>
    </w:p>
  </w:footnote>
  <w:footnote w:id="959">
    <w:p w14:paraId="1F82DE8D" w14:textId="0665E402" w:rsidR="0096524F" w:rsidRPr="0096524F" w:rsidRDefault="0096524F" w:rsidP="0096524F">
      <w:pPr>
        <w:pStyle w:val="FootnoteText"/>
      </w:pPr>
      <w:r w:rsidRPr="0096524F">
        <w:rPr>
          <w:vertAlign w:val="superscript"/>
        </w:rPr>
        <w:footnoteRef/>
      </w:r>
      <w:r w:rsidRPr="0096524F">
        <w:t>VIP Prods.</w:t>
      </w:r>
      <w:r w:rsidRPr="0096524F">
        <w:t xml:space="preserve"> </w:t>
      </w:r>
      <w:r w:rsidRPr="0096524F">
        <w:t>LLC v.</w:t>
      </w:r>
      <w:r w:rsidRPr="0096524F">
        <w:t xml:space="preserve"> </w:t>
      </w:r>
      <w:r w:rsidRPr="0096524F">
        <w:t>Jack Daniel’s Props., Inc., 2025 WL 275909, at *6, 2025 BL 21521</w:t>
      </w:r>
    </w:p>
    <w:p w14:paraId="7AA085C9" w14:textId="3FB0C9AE" w:rsidR="0096524F" w:rsidRPr="00EB11B3" w:rsidRDefault="0096524F" w:rsidP="0096524F">
      <w:pPr>
        <w:pStyle w:val="FootnoteText"/>
      </w:pPr>
      <w:r w:rsidRPr="0096524F">
        <w:t xml:space="preserve"> (D.</w:t>
      </w:r>
      <w:r w:rsidRPr="0096524F">
        <w:t xml:space="preserve"> </w:t>
      </w:r>
      <w:r w:rsidRPr="0096524F">
        <w:t>Ariz.</w:t>
      </w:r>
      <w:r w:rsidRPr="0096524F">
        <w:t xml:space="preserve"> </w:t>
      </w:r>
      <w:r w:rsidRPr="0096524F">
        <w:t>Jan 21, 2025) (crediting the expert’s testimony at a bench trial);</w:t>
      </w:r>
      <w:r w:rsidRPr="0096524F">
        <w:t xml:space="preserve"> </w:t>
      </w:r>
      <w:r w:rsidRPr="0096524F">
        <w:t>Gucci Am., Inc.</w:t>
      </w:r>
      <w:r w:rsidRPr="0096524F">
        <w:t xml:space="preserve"> </w:t>
      </w:r>
      <w:r w:rsidRPr="0096524F">
        <w:t>v.</w:t>
      </w:r>
      <w:r w:rsidRPr="0096524F">
        <w:t xml:space="preserve"> </w:t>
      </w:r>
      <w:r w:rsidRPr="0096524F">
        <w:t>Guess?, Inc., 102 USPQ2d 1615, 1627–28 (S.D.N.Y.</w:t>
      </w:r>
      <w:r w:rsidRPr="0096524F">
        <w:t xml:space="preserve"> </w:t>
      </w:r>
      <w:r w:rsidRPr="0096524F">
        <w:t>2012).</w:t>
      </w:r>
      <w:r w:rsidRPr="0096524F">
        <w:t xml:space="preserve"> </w:t>
      </w:r>
      <w:r w:rsidRPr="0096524F">
        <w:t xml:space="preserve">However, in a later opinion in the case, after a bench trial, the </w:t>
      </w:r>
      <w:r w:rsidRPr="0096524F">
        <w:rPr>
          <w:i/>
        </w:rPr>
        <w:t>Gucci</w:t>
      </w:r>
      <w:r w:rsidRPr="0096524F">
        <w:t xml:space="preserve"> court concluded that the expert’s testimony did not establish likelihood of dilution.</w:t>
      </w:r>
      <w:r w:rsidRPr="0096524F">
        <w:t xml:space="preserve"> </w:t>
      </w:r>
      <w:r w:rsidRPr="0096524F">
        <w:t>Gucci Am., Inc.</w:t>
      </w:r>
      <w:r w:rsidRPr="0096524F">
        <w:t xml:space="preserve"> </w:t>
      </w:r>
      <w:r w:rsidRPr="0096524F">
        <w:t>v.</w:t>
      </w:r>
      <w:r w:rsidRPr="0096524F">
        <w:t xml:space="preserve"> </w:t>
      </w:r>
      <w:r w:rsidRPr="0096524F">
        <w:t>Guess?, Inc., 868 F.</w:t>
      </w:r>
      <w:r w:rsidRPr="0096524F">
        <w:t xml:space="preserve"> </w:t>
      </w:r>
      <w:r w:rsidRPr="0096524F">
        <w:t>Supp.</w:t>
      </w:r>
      <w:r w:rsidRPr="0096524F">
        <w:t xml:space="preserve"> </w:t>
      </w:r>
      <w:r w:rsidRPr="0096524F">
        <w:t>2d 207, 233 (S.D.N.Y.</w:t>
      </w:r>
      <w:r w:rsidRPr="0096524F">
        <w:t xml:space="preserve"> </w:t>
      </w:r>
      <w:r w:rsidRPr="0096524F">
        <w:t>2012).</w:t>
      </w:r>
    </w:p>
  </w:footnote>
  <w:footnote w:id="960">
    <w:p w14:paraId="24BC899A" w14:textId="3A3A2F8C" w:rsidR="0096524F" w:rsidRDefault="0096524F" w:rsidP="0096524F">
      <w:pPr>
        <w:pStyle w:val="FootnoteText"/>
      </w:pPr>
      <w:r w:rsidRPr="0096524F">
        <w:rPr>
          <w:rStyle w:val="FootnoteReference"/>
          <w:rFonts w:eastAsiaTheme="majorEastAsia"/>
        </w:rPr>
        <w:footnoteRef/>
      </w:r>
      <w:r w:rsidRPr="0096524F">
        <w:t>2025 WL 275909, 2025 BL 21521 (D.</w:t>
      </w:r>
      <w:r w:rsidRPr="0096524F">
        <w:t xml:space="preserve"> </w:t>
      </w:r>
      <w:r w:rsidRPr="0096524F">
        <w:t>Ariz.</w:t>
      </w:r>
      <w:r w:rsidRPr="0096524F">
        <w:t xml:space="preserve"> </w:t>
      </w:r>
      <w:r w:rsidRPr="0096524F">
        <w:t>Jan.</w:t>
      </w:r>
      <w:r w:rsidRPr="0096524F">
        <w:t xml:space="preserve"> </w:t>
      </w:r>
      <w:r w:rsidRPr="0096524F">
        <w:t>21, 2025).</w:t>
      </w:r>
    </w:p>
  </w:footnote>
  <w:footnote w:id="961">
    <w:p w14:paraId="5B1956E4" w14:textId="3DC460B0" w:rsidR="0096524F" w:rsidRPr="00444CDA" w:rsidRDefault="0096524F" w:rsidP="0096524F">
      <w:pPr>
        <w:pStyle w:val="FootnoteText"/>
      </w:pPr>
      <w:r w:rsidRPr="0096524F">
        <w:rPr>
          <w:rStyle w:val="FootnoteReference"/>
          <w:rFonts w:eastAsiaTheme="majorEastAsia"/>
        </w:rPr>
        <w:footnoteRef/>
      </w:r>
      <w:r w:rsidRPr="0096524F">
        <w:rPr>
          <w:i/>
        </w:rPr>
        <w:t>Id</w:t>
      </w:r>
      <w:r w:rsidRPr="0096524F">
        <w:t>.</w:t>
      </w:r>
      <w:r w:rsidRPr="0096524F">
        <w:t xml:space="preserve"> </w:t>
      </w:r>
      <w:r w:rsidRPr="0096524F">
        <w:t>at *6.</w:t>
      </w:r>
      <w:r w:rsidRPr="0096524F">
        <w:t xml:space="preserve"> </w:t>
      </w:r>
      <w:r w:rsidRPr="0096524F">
        <w:t>By contrast, the court refused to credit VIP’s expert, who conducted focus groups, on the grounds that the manner in which the groups were conducted was biased.</w:t>
      </w:r>
      <w:r w:rsidRPr="0096524F">
        <w:t xml:space="preserve"> </w:t>
      </w:r>
      <w:r w:rsidRPr="0096524F">
        <w:rPr>
          <w:i/>
        </w:rPr>
        <w:t>Id</w:t>
      </w:r>
      <w:r w:rsidRPr="0096524F">
        <w:t>.</w:t>
      </w:r>
      <w:r w:rsidRPr="0096524F">
        <w:t xml:space="preserve"> </w:t>
      </w:r>
      <w:r w:rsidRPr="0096524F">
        <w:t>at *7 (noting that the expert had told the groups that the product in question was a “spoof” product).</w:t>
      </w:r>
    </w:p>
  </w:footnote>
  <w:footnote w:id="962">
    <w:p w14:paraId="7A70EEB4" w14:textId="3752BC17" w:rsidR="0096524F" w:rsidRPr="0096524F" w:rsidRDefault="0096524F" w:rsidP="0096524F">
      <w:pPr>
        <w:pStyle w:val="FootnoteText"/>
      </w:pPr>
      <w:r w:rsidRPr="0096524F">
        <w:rPr>
          <w:vertAlign w:val="superscript"/>
        </w:rPr>
        <w:footnoteRef/>
      </w:r>
      <w:r w:rsidRPr="0096524F">
        <w:t>Prophet Capital Mgmt., Ltd.</w:t>
      </w:r>
      <w:r w:rsidRPr="0096524F">
        <w:t xml:space="preserve"> </w:t>
      </w:r>
      <w:r w:rsidRPr="0096524F">
        <w:t>v.</w:t>
      </w:r>
      <w:r w:rsidRPr="0096524F">
        <w:t xml:space="preserve"> </w:t>
      </w:r>
      <w:r w:rsidRPr="0096524F">
        <w:t>Prophet Equity, LLC, 2010 WL 11506410, at *3 (W.D.</w:t>
      </w:r>
      <w:r w:rsidRPr="0096524F">
        <w:t xml:space="preserve"> </w:t>
      </w:r>
      <w:r w:rsidRPr="0096524F">
        <w:t>Tex.</w:t>
      </w:r>
      <w:r w:rsidRPr="0096524F">
        <w:t xml:space="preserve"> </w:t>
      </w:r>
      <w:r w:rsidRPr="0096524F">
        <w:t>Oct.</w:t>
      </w:r>
      <w:r w:rsidRPr="0096524F">
        <w:t xml:space="preserve"> </w:t>
      </w:r>
      <w:r w:rsidRPr="0096524F">
        <w:t>28, 2010).</w:t>
      </w:r>
    </w:p>
    <w:p w14:paraId="59826DDE" w14:textId="77777777" w:rsidR="0096524F" w:rsidRDefault="0096524F" w:rsidP="00D758BD">
      <w:pPr>
        <w:pStyle w:val="footnote"/>
      </w:pPr>
    </w:p>
  </w:footnote>
  <w:footnote w:id="963">
    <w:p w14:paraId="75EECAF0" w14:textId="7B7B536C"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Visa Int’l Serv.</w:t>
      </w:r>
      <w:r w:rsidRPr="0096524F">
        <w:t xml:space="preserve"> </w:t>
      </w:r>
      <w:r w:rsidRPr="0096524F">
        <w:t>Ass’n v.</w:t>
      </w:r>
      <w:r w:rsidRPr="0096524F">
        <w:t xml:space="preserve"> </w:t>
      </w:r>
      <w:r w:rsidRPr="0096524F">
        <w:t>JSL Corp., 610 F.3d 1088, 1091, 95 USPQ2d 1571 (9th Cir.</w:t>
      </w:r>
      <w:r w:rsidRPr="0096524F">
        <w:t xml:space="preserve"> </w:t>
      </w:r>
      <w:r w:rsidRPr="0096524F">
        <w:t>2010).</w:t>
      </w:r>
      <w:r w:rsidRPr="0096524F">
        <w:t xml:space="preserve"> </w:t>
      </w:r>
      <w:r w:rsidRPr="0096524F">
        <w:rPr>
          <w:i/>
        </w:rPr>
        <w:t>See</w:t>
      </w:r>
      <w:r w:rsidRPr="0096524F">
        <w:t xml:space="preserve"> Hershey Co.</w:t>
      </w:r>
      <w:r w:rsidRPr="0096524F">
        <w:t xml:space="preserve"> </w:t>
      </w:r>
      <w:r w:rsidRPr="0096524F">
        <w:t>v.</w:t>
      </w:r>
      <w:r w:rsidRPr="0096524F">
        <w:t xml:space="preserve"> </w:t>
      </w:r>
      <w:r w:rsidRPr="0096524F">
        <w:t>Art Van Furniture, Inc., 2008 WL 4724756, at *15 (E.D.</w:t>
      </w:r>
      <w:r w:rsidRPr="0096524F">
        <w:t xml:space="preserve"> </w:t>
      </w:r>
      <w:r w:rsidRPr="0096524F">
        <w:t>Mich.</w:t>
      </w:r>
      <w:r w:rsidRPr="0096524F">
        <w:t xml:space="preserve"> </w:t>
      </w:r>
      <w:r w:rsidRPr="0096524F">
        <w:t>Oct.</w:t>
      </w:r>
      <w:r w:rsidRPr="0096524F">
        <w:t xml:space="preserve"> </w:t>
      </w:r>
      <w:r w:rsidRPr="0096524F">
        <w:t>24, 2008) (finding “reasonable likelihood” of showing dilution, even in the absence of evidence of association, where there was intent to cause an association).</w:t>
      </w:r>
    </w:p>
  </w:footnote>
  <w:footnote w:id="964">
    <w:p w14:paraId="7A585AB9" w14:textId="02C24C78" w:rsidR="0096524F" w:rsidRPr="00EB11B3" w:rsidRDefault="0096524F" w:rsidP="0096524F">
      <w:pPr>
        <w:pStyle w:val="FootnoteText"/>
      </w:pPr>
      <w:r w:rsidRPr="0096524F">
        <w:rPr>
          <w:vertAlign w:val="superscript"/>
        </w:rPr>
        <w:footnoteRef/>
      </w:r>
      <w:r w:rsidRPr="0096524F">
        <w:t>Nissan Motor Co., Ltd.</w:t>
      </w:r>
      <w:r w:rsidRPr="0096524F">
        <w:t xml:space="preserve"> </w:t>
      </w:r>
      <w:r w:rsidRPr="0096524F">
        <w:t>v.</w:t>
      </w:r>
      <w:r w:rsidRPr="0096524F">
        <w:t xml:space="preserve"> </w:t>
      </w:r>
      <w:r w:rsidRPr="0096524F">
        <w:t>Nissan Computer Corp., 2007 U.S.</w:t>
      </w:r>
      <w:r w:rsidRPr="0096524F">
        <w:t xml:space="preserve"> </w:t>
      </w:r>
      <w:r w:rsidRPr="0096524F">
        <w:t>Dist.</w:t>
      </w:r>
      <w:r w:rsidRPr="0096524F">
        <w:t xml:space="preserve"> </w:t>
      </w:r>
      <w:r w:rsidRPr="0096524F">
        <w:t>LEXIS 90487, at *48–49 (C.D.</w:t>
      </w:r>
      <w:r w:rsidRPr="0096524F">
        <w:t xml:space="preserve"> </w:t>
      </w:r>
      <w:r w:rsidRPr="0096524F">
        <w:t>Cal.</w:t>
      </w:r>
      <w:r w:rsidRPr="0096524F">
        <w:t xml:space="preserve"> </w:t>
      </w:r>
      <w:r w:rsidRPr="0096524F">
        <w:t>2007).</w:t>
      </w:r>
    </w:p>
  </w:footnote>
  <w:footnote w:id="965">
    <w:p w14:paraId="34DB4FF1" w14:textId="7B5B9399" w:rsidR="0096524F" w:rsidRPr="00EB11B3" w:rsidRDefault="0096524F" w:rsidP="0096524F">
      <w:pPr>
        <w:pStyle w:val="FootnoteText"/>
      </w:pPr>
      <w:r w:rsidRPr="0096524F">
        <w:rPr>
          <w:vertAlign w:val="superscript"/>
        </w:rPr>
        <w:footnoteRef/>
      </w:r>
      <w:r w:rsidRPr="0096524F">
        <w:t>University of Kan.</w:t>
      </w:r>
      <w:r w:rsidRPr="0096524F">
        <w:t xml:space="preserve"> </w:t>
      </w:r>
      <w:r w:rsidRPr="0096524F">
        <w:t>v.</w:t>
      </w:r>
      <w:r w:rsidRPr="0096524F">
        <w:t xml:space="preserve"> </w:t>
      </w:r>
      <w:r w:rsidRPr="0096524F">
        <w:t>Sinks, 644 F.</w:t>
      </w:r>
      <w:r w:rsidRPr="0096524F">
        <w:t xml:space="preserve"> </w:t>
      </w:r>
      <w:r w:rsidRPr="0096524F">
        <w:t>Supp.</w:t>
      </w:r>
      <w:r w:rsidRPr="0096524F">
        <w:t xml:space="preserve"> </w:t>
      </w:r>
      <w:r w:rsidRPr="0096524F">
        <w:t>2d 1287, 1294 (D.</w:t>
      </w:r>
      <w:r w:rsidRPr="0096524F">
        <w:t xml:space="preserve"> </w:t>
      </w:r>
      <w:r w:rsidRPr="0096524F">
        <w:t>Kan.</w:t>
      </w:r>
      <w:r w:rsidRPr="0096524F">
        <w:t xml:space="preserve"> </w:t>
      </w:r>
      <w:r w:rsidRPr="0096524F">
        <w:t>2008).</w:t>
      </w:r>
    </w:p>
  </w:footnote>
  <w:footnote w:id="966">
    <w:p w14:paraId="73548D0B" w14:textId="005D4003" w:rsidR="0096524F" w:rsidRPr="00EB11B3" w:rsidRDefault="0096524F" w:rsidP="0096524F">
      <w:pPr>
        <w:pStyle w:val="FootnoteText"/>
      </w:pPr>
      <w:r w:rsidRPr="0096524F">
        <w:rPr>
          <w:vertAlign w:val="superscript"/>
        </w:rPr>
        <w:footnoteRef/>
      </w:r>
      <w:r w:rsidRPr="0096524F">
        <w:t>See cases cited in Patrick M.</w:t>
      </w:r>
      <w:r w:rsidRPr="0096524F">
        <w:t xml:space="preserve"> </w:t>
      </w:r>
      <w:r w:rsidRPr="0096524F">
        <w:t>Bible, Defining and Quantifying Dilution under the Federal Trademark Dilution Act of 1995:</w:t>
      </w:r>
      <w:r w:rsidRPr="0096524F">
        <w:t xml:space="preserve"> </w:t>
      </w:r>
      <w:r w:rsidRPr="0096524F">
        <w:t xml:space="preserve">Using Survey Evidence to Show Actual Dilution, 70 </w:t>
      </w:r>
      <w:r w:rsidRPr="0096524F">
        <w:rPr>
          <w:smallCaps/>
        </w:rPr>
        <w:t>U.</w:t>
      </w:r>
      <w:r w:rsidRPr="0096524F">
        <w:rPr>
          <w:smallCaps/>
        </w:rPr>
        <w:t xml:space="preserve"> </w:t>
      </w:r>
      <w:r w:rsidRPr="0096524F">
        <w:rPr>
          <w:smallCaps/>
        </w:rPr>
        <w:t>Colo.</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295, 317 n.112 (1999).</w:t>
      </w:r>
    </w:p>
  </w:footnote>
  <w:footnote w:id="967">
    <w:p w14:paraId="2974855A" w14:textId="7FE226E8"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w:t>
      </w:r>
      <w:r w:rsidRPr="0096524F">
        <w:rPr>
          <w:i/>
        </w:rPr>
        <w:t xml:space="preserve">, </w:t>
      </w:r>
      <w:r w:rsidRPr="0096524F">
        <w:rPr>
          <w:highlight w:val="yellow"/>
        </w:rPr>
        <w:t xml:space="preserve">Beebe, et al., </w:t>
      </w:r>
      <w:r w:rsidRPr="0096524F">
        <w:rPr>
          <w:i/>
          <w:highlight w:val="yellow"/>
        </w:rPr>
        <w:t>Testing for Dilution</w:t>
      </w:r>
      <w:r w:rsidRPr="0096524F">
        <w:rPr>
          <w:highlight w:val="yellow"/>
        </w:rPr>
        <w:t xml:space="preserve">, </w:t>
      </w:r>
      <w:r w:rsidRPr="0096524F">
        <w:rPr>
          <w:i/>
          <w:highlight w:val="yellow"/>
        </w:rPr>
        <w:t>supra</w:t>
      </w:r>
      <w:r w:rsidRPr="0096524F">
        <w:rPr>
          <w:highlight w:val="yellow"/>
        </w:rPr>
        <w:t xml:space="preserve"> note</w:t>
      </w:r>
      <w:r w:rsidRPr="0096524F">
        <w:t xml:space="preserve"> ;</w:t>
      </w:r>
      <w:r w:rsidRPr="0096524F">
        <w:t xml:space="preserve"> </w:t>
      </w:r>
      <w:r w:rsidRPr="0096524F">
        <w:t xml:space="preserve">Maureen Morrin &amp; Jacob Jacoby, </w:t>
      </w:r>
      <w:r w:rsidRPr="0096524F">
        <w:rPr>
          <w:i/>
        </w:rPr>
        <w:t>Trademark Dilution:</w:t>
      </w:r>
      <w:r w:rsidRPr="0096524F">
        <w:rPr>
          <w:i/>
        </w:rPr>
        <w:t xml:space="preserve"> </w:t>
      </w:r>
      <w:r w:rsidRPr="0096524F">
        <w:rPr>
          <w:i/>
        </w:rPr>
        <w:t>Empirical Measures for an Elusive Concept</w:t>
      </w:r>
      <w:r w:rsidRPr="0096524F">
        <w:t xml:space="preserve">, 19 </w:t>
      </w:r>
      <w:r w:rsidRPr="0096524F">
        <w:rPr>
          <w:smallCaps/>
        </w:rPr>
        <w:t>J.</w:t>
      </w:r>
      <w:r w:rsidRPr="0096524F">
        <w:rPr>
          <w:smallCaps/>
        </w:rPr>
        <w:t xml:space="preserve"> </w:t>
      </w:r>
      <w:r w:rsidRPr="0096524F">
        <w:rPr>
          <w:smallCaps/>
        </w:rPr>
        <w:t>Pub.</w:t>
      </w:r>
      <w:r w:rsidRPr="0096524F">
        <w:rPr>
          <w:smallCaps/>
        </w:rPr>
        <w:t xml:space="preserve"> </w:t>
      </w:r>
      <w:r w:rsidRPr="0096524F">
        <w:rPr>
          <w:smallCaps/>
        </w:rPr>
        <w:t>Pol’y &amp; Marketing</w:t>
      </w:r>
      <w:r w:rsidRPr="0096524F">
        <w:t xml:space="preserve"> 265 (2000);</w:t>
      </w:r>
      <w:r w:rsidRPr="0096524F">
        <w:t xml:space="preserve"> </w:t>
      </w:r>
      <w:r w:rsidRPr="0096524F">
        <w:t xml:space="preserve">Bible, </w:t>
      </w:r>
      <w:r w:rsidRPr="0096524F">
        <w:rPr>
          <w:i/>
        </w:rPr>
        <w:t>id</w:t>
      </w:r>
      <w:r w:rsidRPr="0096524F">
        <w:t>.;</w:t>
      </w:r>
      <w:r w:rsidRPr="0096524F">
        <w:t xml:space="preserve"> </w:t>
      </w:r>
      <w:r w:rsidRPr="0096524F">
        <w:t>William G.</w:t>
      </w:r>
      <w:r w:rsidRPr="0096524F">
        <w:t xml:space="preserve"> </w:t>
      </w:r>
      <w:r w:rsidRPr="0096524F">
        <w:t xml:space="preserve">Barber, </w:t>
      </w:r>
      <w:r w:rsidRPr="0096524F">
        <w:rPr>
          <w:i/>
        </w:rPr>
        <w:t>How to Do a Trademark Dilution Survey (or Perhaps How Not to Do One),</w:t>
      </w:r>
      <w:r w:rsidRPr="0096524F">
        <w:t xml:space="preserve"> 89 </w:t>
      </w:r>
      <w:r w:rsidRPr="0096524F">
        <w:rPr>
          <w:smallCaps/>
        </w:rPr>
        <w:t>Trademark Rep.</w:t>
      </w:r>
      <w:r w:rsidRPr="0096524F">
        <w:rPr>
          <w:smallCaps/>
        </w:rPr>
        <w:t xml:space="preserve"> </w:t>
      </w:r>
      <w:r w:rsidRPr="0096524F">
        <w:t>616 (1999);</w:t>
      </w:r>
      <w:r w:rsidRPr="0096524F">
        <w:t xml:space="preserve"> </w:t>
      </w:r>
      <w:r w:rsidRPr="0096524F">
        <w:t>Xuan-Thao N.</w:t>
      </w:r>
      <w:r w:rsidRPr="0096524F">
        <w:t xml:space="preserve"> </w:t>
      </w:r>
      <w:r w:rsidRPr="0096524F">
        <w:t xml:space="preserve">Nguyen, </w:t>
      </w:r>
      <w:r w:rsidRPr="0096524F">
        <w:rPr>
          <w:i/>
        </w:rPr>
        <w:t>The New Wild West:</w:t>
      </w:r>
      <w:r w:rsidRPr="0096524F">
        <w:rPr>
          <w:i/>
        </w:rPr>
        <w:t xml:space="preserve"> </w:t>
      </w:r>
      <w:r w:rsidRPr="0096524F">
        <w:rPr>
          <w:i/>
        </w:rPr>
        <w:t>Measuring and Proving Fame and Dilution under the Federal Trademark Dilution Act,</w:t>
      </w:r>
      <w:r w:rsidRPr="0096524F">
        <w:t xml:space="preserve"> 63 </w:t>
      </w:r>
      <w:r w:rsidRPr="0096524F">
        <w:rPr>
          <w:smallCaps/>
        </w:rPr>
        <w:t>Alb.</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201 (1999);</w:t>
      </w:r>
      <w:r w:rsidRPr="0096524F">
        <w:t xml:space="preserve"> </w:t>
      </w:r>
      <w:r w:rsidRPr="0096524F">
        <w:t xml:space="preserve">Steve Hartman, </w:t>
      </w:r>
      <w:r w:rsidRPr="0096524F">
        <w:rPr>
          <w:i/>
        </w:rPr>
        <w:t>Brand Equity Impairment—The Meaning of Dilution,</w:t>
      </w:r>
      <w:r w:rsidRPr="0096524F">
        <w:t xml:space="preserve"> 87 </w:t>
      </w:r>
      <w:r w:rsidRPr="0096524F">
        <w:rPr>
          <w:smallCaps/>
        </w:rPr>
        <w:t>Trademark Rep.</w:t>
      </w:r>
      <w:r w:rsidRPr="0096524F">
        <w:rPr>
          <w:smallCaps/>
        </w:rPr>
        <w:t xml:space="preserve"> </w:t>
      </w:r>
      <w:r w:rsidRPr="0096524F">
        <w:t>418 (1997);</w:t>
      </w:r>
      <w:r w:rsidRPr="0096524F">
        <w:t xml:space="preserve"> </w:t>
      </w:r>
      <w:r w:rsidRPr="0096524F">
        <w:t>Alexander F.</w:t>
      </w:r>
      <w:r w:rsidRPr="0096524F">
        <w:t xml:space="preserve"> </w:t>
      </w:r>
      <w:r w:rsidRPr="0096524F">
        <w:t xml:space="preserve">Simonson, </w:t>
      </w:r>
      <w:r w:rsidRPr="0096524F">
        <w:rPr>
          <w:i/>
        </w:rPr>
        <w:t>Dilution Law:</w:t>
      </w:r>
      <w:r w:rsidRPr="0096524F">
        <w:rPr>
          <w:i/>
        </w:rPr>
        <w:t xml:space="preserve"> </w:t>
      </w:r>
      <w:r w:rsidRPr="0096524F">
        <w:rPr>
          <w:i/>
        </w:rPr>
        <w:t>At the Crossroads?</w:t>
      </w:r>
      <w:r w:rsidRPr="0096524F">
        <w:rPr>
          <w:i/>
        </w:rPr>
        <w:t xml:space="preserve"> </w:t>
      </w:r>
      <w:r w:rsidRPr="0096524F">
        <w:rPr>
          <w:i/>
        </w:rPr>
        <w:t>How and When do Trademarks Dilute:</w:t>
      </w:r>
      <w:r w:rsidRPr="0096524F">
        <w:rPr>
          <w:i/>
        </w:rPr>
        <w:t xml:space="preserve"> </w:t>
      </w:r>
      <w:r w:rsidRPr="0096524F">
        <w:rPr>
          <w:i/>
        </w:rPr>
        <w:t>A Behavioral Framework to Judge “Likelihood” of Dilution,</w:t>
      </w:r>
      <w:r w:rsidRPr="0096524F">
        <w:t xml:space="preserve"> 83 </w:t>
      </w:r>
      <w:r w:rsidRPr="0096524F">
        <w:rPr>
          <w:smallCaps/>
        </w:rPr>
        <w:t>Trademark Rep.</w:t>
      </w:r>
      <w:r w:rsidRPr="0096524F">
        <w:rPr>
          <w:smallCaps/>
        </w:rPr>
        <w:t xml:space="preserve"> </w:t>
      </w:r>
      <w:r w:rsidRPr="0096524F">
        <w:t>149 (1993).</w:t>
      </w:r>
    </w:p>
  </w:footnote>
  <w:footnote w:id="968">
    <w:p w14:paraId="6037B4E1" w14:textId="78982726" w:rsidR="0096524F" w:rsidRDefault="0096524F" w:rsidP="0096524F">
      <w:pPr>
        <w:pStyle w:val="FootnoteText"/>
      </w:pPr>
      <w:r w:rsidRPr="0096524F">
        <w:rPr>
          <w:rStyle w:val="FootnoteReference"/>
          <w:rFonts w:eastAsiaTheme="majorEastAsia"/>
        </w:rPr>
        <w:footnoteRef/>
      </w:r>
      <w:r w:rsidRPr="0096524F">
        <w:t>I note here that this discussion pertains to surveys purporting to demonstrate likelihood of dilution.</w:t>
      </w:r>
      <w:r w:rsidRPr="0096524F">
        <w:t xml:space="preserve"> </w:t>
      </w:r>
      <w:r w:rsidRPr="0096524F">
        <w:t>Litigants may conduct surveys to show brand recognition to demonstrate fame.</w:t>
      </w:r>
      <w:r w:rsidRPr="0096524F">
        <w:t xml:space="preserve"> </w:t>
      </w:r>
      <w:r w:rsidRPr="0096524F">
        <w:t>This is discussed in Chapters 8 and 13.</w:t>
      </w:r>
    </w:p>
  </w:footnote>
  <w:footnote w:id="969">
    <w:p w14:paraId="4E749E00" w14:textId="21FB9B7A" w:rsidR="0096524F" w:rsidRPr="00EB11B3" w:rsidRDefault="0096524F" w:rsidP="0096524F">
      <w:pPr>
        <w:pStyle w:val="FootnoteText"/>
      </w:pPr>
      <w:r w:rsidRPr="0096524F">
        <w:rPr>
          <w:vertAlign w:val="superscript"/>
        </w:rPr>
        <w:footnoteRef/>
      </w:r>
      <w:r w:rsidRPr="0096524F">
        <w:t>Xuan-Thao N.</w:t>
      </w:r>
      <w:r w:rsidRPr="0096524F">
        <w:t xml:space="preserve"> </w:t>
      </w:r>
      <w:r w:rsidRPr="0096524F">
        <w:t>Nguyen, The New Wild West:</w:t>
      </w:r>
      <w:r w:rsidRPr="0096524F">
        <w:t xml:space="preserve"> </w:t>
      </w:r>
      <w:r w:rsidRPr="0096524F">
        <w:t xml:space="preserve">Measuring and Proving Fame and Dilution under the Federal Trademark Dilution Act, 63 </w:t>
      </w:r>
      <w:r w:rsidRPr="0096524F">
        <w:rPr>
          <w:smallCaps/>
        </w:rPr>
        <w:t>Alb.</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201, 237 (1999).</w:t>
      </w:r>
    </w:p>
  </w:footnote>
  <w:footnote w:id="970">
    <w:p w14:paraId="651B52FB" w14:textId="23CEC2C7" w:rsidR="0096524F" w:rsidRPr="00EB11B3" w:rsidRDefault="0096524F" w:rsidP="0096524F">
      <w:pPr>
        <w:pStyle w:val="FootnoteText"/>
      </w:pPr>
      <w:r w:rsidRPr="0096524F">
        <w:rPr>
          <w:vertAlign w:val="superscript"/>
        </w:rPr>
        <w:footnoteRef/>
      </w:r>
      <w:r w:rsidRPr="0096524F">
        <w:rPr>
          <w:i/>
        </w:rPr>
        <w:t>Moseley</w:t>
      </w:r>
      <w:r w:rsidRPr="0096524F">
        <w:t>, 537 U.S.</w:t>
      </w:r>
      <w:r w:rsidRPr="0096524F">
        <w:t xml:space="preserve"> </w:t>
      </w:r>
      <w:r w:rsidRPr="0096524F">
        <w:t>at 433–34.</w:t>
      </w:r>
      <w:r w:rsidRPr="0096524F">
        <w:t xml:space="preserve"> </w:t>
      </w:r>
      <w:r w:rsidRPr="0096524F">
        <w:t>There may be one instance where mental association would be enough:</w:t>
      </w:r>
      <w:r w:rsidRPr="0096524F">
        <w:t xml:space="preserve"> </w:t>
      </w:r>
      <w:r w:rsidRPr="0096524F">
        <w:t>where the offending use is identical to the famous mark.</w:t>
      </w:r>
      <w:r w:rsidRPr="0096524F">
        <w:t xml:space="preserve"> </w:t>
      </w:r>
      <w:r w:rsidRPr="0096524F">
        <w:rPr>
          <w:i/>
        </w:rPr>
        <w:t>Id</w:t>
      </w:r>
      <w:r w:rsidRPr="0096524F">
        <w:t>.</w:t>
      </w:r>
      <w:r w:rsidRPr="0096524F">
        <w:t xml:space="preserve"> </w:t>
      </w:r>
      <w:r w:rsidRPr="0096524F">
        <w:t>at 434.</w:t>
      </w:r>
      <w:r w:rsidRPr="0096524F">
        <w:t xml:space="preserve"> </w:t>
      </w:r>
      <w:r w:rsidRPr="0096524F">
        <w:rPr>
          <w:i/>
        </w:rPr>
        <w:t>See also</w:t>
      </w:r>
      <w:r w:rsidRPr="0096524F">
        <w:t xml:space="preserve"> CareFirst of Md., Inc.</w:t>
      </w:r>
      <w:r w:rsidRPr="0096524F">
        <w:t xml:space="preserve"> </w:t>
      </w:r>
      <w:r w:rsidRPr="0096524F">
        <w:t>v.</w:t>
      </w:r>
      <w:r w:rsidRPr="0096524F">
        <w:t xml:space="preserve"> </w:t>
      </w:r>
      <w:r w:rsidRPr="0096524F">
        <w:t>First Care, P.C., 434 F.3d 263, 274–75, 77 USPQ2d 1577 (4th Cir.</w:t>
      </w:r>
      <w:r w:rsidRPr="0096524F">
        <w:t xml:space="preserve"> </w:t>
      </w:r>
      <w:r w:rsidRPr="0096524F">
        <w:t>2006) (rejecting a confusion survey as irrelevant to dilution and noting in passing that a mental association survey would not be sufficient).</w:t>
      </w:r>
      <w:r w:rsidRPr="0096524F">
        <w:t xml:space="preserve"> </w:t>
      </w:r>
      <w:r w:rsidRPr="0096524F">
        <w:rPr>
          <w:i/>
        </w:rPr>
        <w:t xml:space="preserve">But see </w:t>
      </w:r>
      <w:r w:rsidRPr="0096524F">
        <w:t>V Secret Catalogue, Inc.</w:t>
      </w:r>
      <w:r w:rsidRPr="0096524F">
        <w:t xml:space="preserve"> </w:t>
      </w:r>
      <w:r w:rsidRPr="0096524F">
        <w:t>v.</w:t>
      </w:r>
      <w:r w:rsidRPr="0096524F">
        <w:t xml:space="preserve"> </w:t>
      </w:r>
      <w:r w:rsidRPr="0096524F">
        <w:t>Moseley, 605 F.3d 382, 388–89, 95 USPQ2d 1050 (6th Cir.</w:t>
      </w:r>
      <w:r w:rsidRPr="0096524F">
        <w:t xml:space="preserve"> </w:t>
      </w:r>
      <w:r w:rsidRPr="0096524F">
        <w:t xml:space="preserve">2010) (mental association with sexually oriented use creates presumption of tarnishment), </w:t>
      </w:r>
      <w:r w:rsidRPr="0096524F">
        <w:rPr>
          <w:i/>
        </w:rPr>
        <w:t>cert</w:t>
      </w:r>
      <w:r w:rsidRPr="0096524F">
        <w:t>.</w:t>
      </w:r>
      <w:r w:rsidRPr="0096524F">
        <w:t xml:space="preserve"> </w:t>
      </w:r>
      <w:r w:rsidRPr="0096524F">
        <w:rPr>
          <w:i/>
        </w:rPr>
        <w:t>denied</w:t>
      </w:r>
      <w:r w:rsidRPr="0096524F">
        <w:t>, 131 S.</w:t>
      </w:r>
      <w:r w:rsidRPr="0096524F">
        <w:t xml:space="preserve"> </w:t>
      </w:r>
      <w:r w:rsidRPr="0096524F">
        <w:t>Ct.</w:t>
      </w:r>
      <w:r w:rsidRPr="0096524F">
        <w:t xml:space="preserve"> </w:t>
      </w:r>
      <w:r w:rsidRPr="0096524F">
        <w:t>1003 (2011).</w:t>
      </w:r>
    </w:p>
  </w:footnote>
  <w:footnote w:id="971">
    <w:p w14:paraId="124628D9" w14:textId="109B9536" w:rsidR="0096524F" w:rsidRPr="00EB11B3" w:rsidRDefault="0096524F" w:rsidP="0096524F">
      <w:pPr>
        <w:pStyle w:val="FootnoteText"/>
      </w:pPr>
      <w:r w:rsidRPr="0096524F">
        <w:rPr>
          <w:vertAlign w:val="superscript"/>
        </w:rPr>
        <w:footnoteRef/>
      </w:r>
      <w:r w:rsidRPr="0096524F">
        <w:rPr>
          <w:i/>
        </w:rPr>
        <w:t>Moseley</w:t>
      </w:r>
      <w:r w:rsidRPr="0096524F">
        <w:t>, 537 U.S.</w:t>
      </w:r>
      <w:r w:rsidRPr="0096524F">
        <w:t xml:space="preserve"> </w:t>
      </w:r>
      <w:r w:rsidRPr="0096524F">
        <w:t>at 434 (discussing observations of a witness in the case and concluding that the facts did not demonstrate dilution).</w:t>
      </w:r>
      <w:r w:rsidRPr="0096524F">
        <w:t xml:space="preserve"> </w:t>
      </w:r>
      <w:r w:rsidRPr="0096524F">
        <w:rPr>
          <w:i/>
        </w:rPr>
        <w:t>See Kellogg Co</w:t>
      </w:r>
      <w:r w:rsidRPr="0096524F">
        <w:t xml:space="preserve">., 337 F.3d at 628, 67 USPQ2d at 1488 (mental association with famous mark on seeing junior mark not sufficient under </w:t>
      </w:r>
      <w:r w:rsidRPr="0096524F">
        <w:rPr>
          <w:i/>
        </w:rPr>
        <w:t>Moseley</w:t>
      </w:r>
      <w:r w:rsidRPr="0096524F">
        <w:t>);</w:t>
      </w:r>
      <w:r w:rsidRPr="0096524F">
        <w:t xml:space="preserve"> </w:t>
      </w:r>
      <w:r w:rsidRPr="0096524F">
        <w:t>Starbucks Corp.</w:t>
      </w:r>
      <w:r w:rsidRPr="0096524F">
        <w:t xml:space="preserve"> </w:t>
      </w:r>
      <w:r w:rsidRPr="0096524F">
        <w:t>v.</w:t>
      </w:r>
      <w:r w:rsidRPr="0096524F">
        <w:t xml:space="preserve"> </w:t>
      </w:r>
      <w:r w:rsidRPr="0096524F">
        <w:t>Wolfe’s Borough Coffee, Inc., 2004 WL 2158120, at *8 (S.D.N.Y.</w:t>
      </w:r>
      <w:r w:rsidRPr="0096524F">
        <w:t xml:space="preserve"> </w:t>
      </w:r>
      <w:r w:rsidRPr="0096524F">
        <w:t>Sep.</w:t>
      </w:r>
      <w:r w:rsidRPr="0096524F">
        <w:t xml:space="preserve"> </w:t>
      </w:r>
      <w:r w:rsidRPr="0096524F">
        <w:t>28, 2004) (same).</w:t>
      </w:r>
      <w:r w:rsidRPr="0096524F">
        <w:t xml:space="preserve"> </w:t>
      </w:r>
      <w:r w:rsidRPr="0096524F">
        <w:t xml:space="preserve">Because </w:t>
      </w:r>
      <w:r w:rsidRPr="0096524F">
        <w:rPr>
          <w:i/>
        </w:rPr>
        <w:t>Moseley</w:t>
      </w:r>
      <w:r w:rsidRPr="0096524F">
        <w:t xml:space="preserve"> imposed an actual dilution standard on the original FTDA, cases not involving identical marks would have to have had evidence of </w:t>
      </w:r>
      <w:r w:rsidRPr="0096524F">
        <w:rPr>
          <w:i/>
        </w:rPr>
        <w:t>actual</w:t>
      </w:r>
      <w:r w:rsidRPr="0096524F">
        <w:t xml:space="preserve"> dilution, which would be more than just a mental association.</w:t>
      </w:r>
      <w:r w:rsidRPr="0096524F">
        <w:t xml:space="preserve"> </w:t>
      </w:r>
      <w:r w:rsidRPr="0096524F">
        <w:t>It may have necessitated a second survey showing the difference between consumer reactions to the mark before and after the allegedly diluting mark was used.</w:t>
      </w:r>
      <w:r w:rsidRPr="0096524F">
        <w:t xml:space="preserve"> </w:t>
      </w:r>
      <w:r w:rsidRPr="0096524F">
        <w:t>However, evidence of a mental association probably would have been admissible as relevant, even if it was not sufficient.</w:t>
      </w:r>
      <w:r w:rsidRPr="0096524F">
        <w:t xml:space="preserve"> </w:t>
      </w:r>
      <w:r w:rsidRPr="0096524F">
        <w:rPr>
          <w:i/>
        </w:rPr>
        <w:t>See</w:t>
      </w:r>
      <w:r w:rsidRPr="0096524F">
        <w:t xml:space="preserve"> Playtex Prods., Inc.</w:t>
      </w:r>
      <w:r w:rsidRPr="0096524F">
        <w:t xml:space="preserve"> </w:t>
      </w:r>
      <w:r w:rsidRPr="0096524F">
        <w:t>v.</w:t>
      </w:r>
      <w:r w:rsidRPr="0096524F">
        <w:t xml:space="preserve"> </w:t>
      </w:r>
      <w:r w:rsidRPr="0096524F">
        <w:t>Georgia-Pacific Corp., 390 F.3d 158, 168, 73 USPQ2d 1127 (2d Cir.</w:t>
      </w:r>
      <w:r w:rsidRPr="0096524F">
        <w:t xml:space="preserve"> </w:t>
      </w:r>
      <w:r w:rsidRPr="0096524F">
        <w:t>2004) (survey indicating mental association not sufficient to show actual dilution);</w:t>
      </w:r>
      <w:r w:rsidRPr="0096524F">
        <w:t xml:space="preserve"> </w:t>
      </w:r>
      <w:r w:rsidRPr="0096524F">
        <w:rPr>
          <w:i/>
        </w:rPr>
        <w:t>Starbucks Corp</w:t>
      </w:r>
      <w:r w:rsidRPr="0096524F">
        <w:t>., 2004 WL 2158120, at *8 (survey showing that 31% of respondents made mental association, and 43% of respondents thought Charbucks gave them negative impression of Starbucks not sufficient for summary judgment).</w:t>
      </w:r>
      <w:r w:rsidRPr="0096524F">
        <w:t xml:space="preserve"> </w:t>
      </w:r>
      <w:r w:rsidRPr="0096524F">
        <w:t xml:space="preserve">In a subsequent opinion in the </w:t>
      </w:r>
      <w:r w:rsidRPr="0096524F">
        <w:rPr>
          <w:i/>
        </w:rPr>
        <w:t>Starbucks</w:t>
      </w:r>
      <w:r w:rsidRPr="0096524F">
        <w:t xml:space="preserve"> case, the court again rejected the plaintiff’s survey evidence as insufficient to demonstrate tarnishment, and granted judgment for defendant.</w:t>
      </w:r>
      <w:r w:rsidRPr="0096524F">
        <w:t xml:space="preserve"> </w:t>
      </w:r>
      <w:r w:rsidRPr="0096524F">
        <w:t>Starbucks Corp.</w:t>
      </w:r>
      <w:r w:rsidRPr="0096524F">
        <w:t xml:space="preserve"> </w:t>
      </w:r>
      <w:r w:rsidRPr="0096524F">
        <w:t>v.</w:t>
      </w:r>
      <w:r w:rsidRPr="0096524F">
        <w:t xml:space="preserve"> </w:t>
      </w:r>
      <w:r w:rsidRPr="0096524F">
        <w:t>Wolfe’s Borough Coffee, Inc., 79 USPQ2d 1138, 1145, 2005 WL 3527126, at *9 (S.D.N.Y.</w:t>
      </w:r>
      <w:r w:rsidRPr="0096524F">
        <w:t xml:space="preserve"> </w:t>
      </w:r>
      <w:r w:rsidRPr="0096524F">
        <w:t xml:space="preserve">2005), </w:t>
      </w:r>
      <w:r w:rsidRPr="0096524F">
        <w:rPr>
          <w:i/>
        </w:rPr>
        <w:t>vacated and remanded</w:t>
      </w:r>
      <w:r w:rsidRPr="0096524F">
        <w:t>, 477 F.3d 765, 81 USPQ2d 1927 (2d Cir.</w:t>
      </w:r>
      <w:r w:rsidRPr="0096524F">
        <w:t xml:space="preserve"> </w:t>
      </w:r>
      <w:r w:rsidRPr="0096524F">
        <w:t>2007) (vacated for consideration of effect of the TDRA).</w:t>
      </w:r>
    </w:p>
  </w:footnote>
  <w:footnote w:id="972">
    <w:p w14:paraId="73B1B9C5" w14:textId="1D5E7E90" w:rsidR="0096524F" w:rsidRPr="00EB11B3" w:rsidRDefault="0096524F" w:rsidP="0096524F">
      <w:pPr>
        <w:pStyle w:val="FootnoteText"/>
      </w:pPr>
      <w:r w:rsidRPr="0096524F">
        <w:rPr>
          <w:vertAlign w:val="superscript"/>
        </w:rPr>
        <w:footnoteRef/>
      </w:r>
      <w:r w:rsidRPr="0096524F">
        <w:rPr>
          <w:i/>
        </w:rPr>
        <w:t>See</w:t>
      </w:r>
      <w:r w:rsidRPr="0096524F">
        <w:t xml:space="preserve"> Starbucks Corp.</w:t>
      </w:r>
      <w:r w:rsidRPr="0096524F">
        <w:t xml:space="preserve"> </w:t>
      </w:r>
      <w:r w:rsidRPr="0096524F">
        <w:t>v.</w:t>
      </w:r>
      <w:r w:rsidRPr="0096524F">
        <w:t xml:space="preserve"> </w:t>
      </w:r>
      <w:r w:rsidRPr="0096524F">
        <w:t>Wolfe’s Borough Coffee, Inc., 588 F.3d 97, 109, 92 USPQ2d 1769 (2d Cir.</w:t>
      </w:r>
      <w:r w:rsidRPr="0096524F">
        <w:t xml:space="preserve"> </w:t>
      </w:r>
      <w:r w:rsidRPr="0096524F">
        <w:t>2009) (remanding to district court with instructions to consider plaintiff’s association survey);</w:t>
      </w:r>
      <w:r w:rsidRPr="0096524F">
        <w:t xml:space="preserve"> </w:t>
      </w:r>
      <w:r w:rsidRPr="0096524F">
        <w:t>Gucci Am., Inc.</w:t>
      </w:r>
      <w:r w:rsidRPr="0096524F">
        <w:t xml:space="preserve"> </w:t>
      </w:r>
      <w:r w:rsidRPr="0096524F">
        <w:t>v.</w:t>
      </w:r>
      <w:r w:rsidRPr="0096524F">
        <w:t xml:space="preserve"> </w:t>
      </w:r>
      <w:r w:rsidRPr="0096524F">
        <w:t>Guess?, Inc., 831 F.</w:t>
      </w:r>
      <w:r w:rsidRPr="0096524F">
        <w:t xml:space="preserve"> </w:t>
      </w:r>
      <w:r w:rsidRPr="0096524F">
        <w:t>Supp.</w:t>
      </w:r>
      <w:r w:rsidRPr="0096524F">
        <w:t xml:space="preserve"> </w:t>
      </w:r>
      <w:r w:rsidRPr="0096524F">
        <w:t>2d 723, 739 n.88, 102 USPQ2d 1225 (S.D.N.Y.</w:t>
      </w:r>
      <w:r w:rsidRPr="0096524F">
        <w:t xml:space="preserve"> </w:t>
      </w:r>
      <w:r w:rsidRPr="0096524F">
        <w:t>Nov.</w:t>
      </w:r>
      <w:r w:rsidRPr="0096524F">
        <w:t xml:space="preserve"> </w:t>
      </w:r>
      <w:r w:rsidRPr="0096524F">
        <w:t>16, 2011) (rejecting argument that association survey is irrelevant);</w:t>
      </w:r>
      <w:r w:rsidRPr="0096524F">
        <w:t xml:space="preserve"> </w:t>
      </w:r>
      <w:r w:rsidRPr="0096524F">
        <w:t>Nike, Inc.</w:t>
      </w:r>
      <w:r w:rsidRPr="0096524F">
        <w:t xml:space="preserve"> </w:t>
      </w:r>
      <w:r w:rsidRPr="0096524F">
        <w:t>v.</w:t>
      </w:r>
      <w:r w:rsidRPr="0096524F">
        <w:t xml:space="preserve"> </w:t>
      </w:r>
      <w:r w:rsidRPr="0096524F">
        <w:t>Nikepal Int’l, Inc., 84 USPQ2d 1820, 1828 (E.D.</w:t>
      </w:r>
      <w:r w:rsidRPr="0096524F">
        <w:t xml:space="preserve"> </w:t>
      </w:r>
      <w:r w:rsidRPr="0096524F">
        <w:t>Cal.</w:t>
      </w:r>
      <w:r w:rsidRPr="0096524F">
        <w:t xml:space="preserve"> </w:t>
      </w:r>
      <w:r w:rsidRPr="0096524F">
        <w:t>2007) (using association survey results).</w:t>
      </w:r>
      <w:r w:rsidRPr="0096524F">
        <w:t xml:space="preserve"> </w:t>
      </w:r>
      <w:r w:rsidRPr="0096524F">
        <w:rPr>
          <w:i/>
        </w:rPr>
        <w:t>Cf</w:t>
      </w:r>
      <w:r w:rsidRPr="0096524F">
        <w:t>.</w:t>
      </w:r>
      <w:r w:rsidRPr="0096524F">
        <w:t xml:space="preserve"> </w:t>
      </w:r>
      <w:r w:rsidRPr="0096524F">
        <w:t>National Pork Bd.</w:t>
      </w:r>
      <w:r w:rsidRPr="0096524F">
        <w:t xml:space="preserve"> </w:t>
      </w:r>
      <w:r w:rsidRPr="0096524F">
        <w:t>v.</w:t>
      </w:r>
      <w:r w:rsidRPr="0096524F">
        <w:t xml:space="preserve"> </w:t>
      </w:r>
      <w:r w:rsidRPr="0096524F">
        <w:t>Supreme Lobster &amp; Seafood Co., 96 USPQ2d 1479, 1498 n.36 (T.T.A.B.</w:t>
      </w:r>
      <w:r w:rsidRPr="0096524F">
        <w:t xml:space="preserve"> </w:t>
      </w:r>
      <w:r w:rsidRPr="0096524F">
        <w:t>2010) (declining to use survey for “actual association” because the offending mark had not yet been used).</w:t>
      </w:r>
    </w:p>
  </w:footnote>
  <w:footnote w:id="973">
    <w:p w14:paraId="704C98AC" w14:textId="27089EFC" w:rsidR="0096524F" w:rsidRPr="008C410C" w:rsidRDefault="0096524F" w:rsidP="0096524F">
      <w:pPr>
        <w:pStyle w:val="FootnoteText"/>
      </w:pPr>
      <w:r w:rsidRPr="0096524F">
        <w:rPr>
          <w:vertAlign w:val="superscript"/>
        </w:rPr>
        <w:footnoteRef/>
      </w:r>
      <w:r w:rsidRPr="0096524F">
        <w:t>The study by Morrin and Jacoby attempts to measure whether the presence of the diluting use weakens the association between the famous mark and the product category for which it is famous.</w:t>
      </w:r>
      <w:r w:rsidRPr="0096524F">
        <w:t xml:space="preserve"> </w:t>
      </w:r>
      <w:r w:rsidRPr="0096524F">
        <w:t xml:space="preserve">Maureen Morrin &amp; Jacob Jacoby, </w:t>
      </w:r>
      <w:r w:rsidRPr="0096524F">
        <w:rPr>
          <w:i/>
        </w:rPr>
        <w:t>Trademark Dilution:</w:t>
      </w:r>
      <w:r w:rsidRPr="0096524F">
        <w:rPr>
          <w:i/>
        </w:rPr>
        <w:t xml:space="preserve"> </w:t>
      </w:r>
      <w:r w:rsidRPr="0096524F">
        <w:rPr>
          <w:i/>
        </w:rPr>
        <w:t>Empirical Measures for an Elusive Concept</w:t>
      </w:r>
      <w:r w:rsidRPr="0096524F">
        <w:t xml:space="preserve">, 19 </w:t>
      </w:r>
      <w:r w:rsidRPr="0096524F">
        <w:rPr>
          <w:smallCaps/>
        </w:rPr>
        <w:t>J.</w:t>
      </w:r>
      <w:r w:rsidRPr="0096524F">
        <w:rPr>
          <w:smallCaps/>
        </w:rPr>
        <w:t xml:space="preserve"> </w:t>
      </w:r>
      <w:r w:rsidRPr="0096524F">
        <w:rPr>
          <w:smallCaps/>
        </w:rPr>
        <w:t>Pub.</w:t>
      </w:r>
      <w:r w:rsidRPr="0096524F">
        <w:rPr>
          <w:smallCaps/>
        </w:rPr>
        <w:t xml:space="preserve"> </w:t>
      </w:r>
      <w:r w:rsidRPr="0096524F">
        <w:rPr>
          <w:smallCaps/>
        </w:rPr>
        <w:t>Pol’y &amp; Marketing</w:t>
      </w:r>
      <w:r w:rsidRPr="0096524F">
        <w:t xml:space="preserve"> 265 (2000).</w:t>
      </w:r>
      <w:r w:rsidRPr="0096524F">
        <w:t xml:space="preserve"> </w:t>
      </w:r>
      <w:r w:rsidRPr="0096524F">
        <w:t>For a more recent discussion of measuring dilution empirically, see generally Julie Manning Magid, Anthony D.</w:t>
      </w:r>
      <w:r w:rsidRPr="0096524F">
        <w:t xml:space="preserve"> </w:t>
      </w:r>
      <w:r w:rsidRPr="0096524F">
        <w:t>Cox, &amp; Dena S.</w:t>
      </w:r>
      <w:r w:rsidRPr="0096524F">
        <w:t xml:space="preserve"> </w:t>
      </w:r>
      <w:r w:rsidRPr="0096524F">
        <w:t xml:space="preserve">Cox, </w:t>
      </w:r>
      <w:r w:rsidRPr="0096524F">
        <w:rPr>
          <w:i/>
        </w:rPr>
        <w:t>Quantifying Brand Image:</w:t>
      </w:r>
      <w:r w:rsidRPr="0096524F">
        <w:rPr>
          <w:i/>
        </w:rPr>
        <w:t xml:space="preserve"> </w:t>
      </w:r>
      <w:r w:rsidRPr="0096524F">
        <w:rPr>
          <w:i/>
        </w:rPr>
        <w:t>Empirical Evidence of Trademark Dilution</w:t>
      </w:r>
      <w:r w:rsidRPr="0096524F">
        <w:t xml:space="preserve">, 43 </w:t>
      </w:r>
      <w:r w:rsidRPr="0096524F">
        <w:rPr>
          <w:smallCaps/>
        </w:rPr>
        <w:t>Am.</w:t>
      </w:r>
      <w:r w:rsidRPr="0096524F">
        <w:rPr>
          <w:smallCaps/>
        </w:rPr>
        <w:t xml:space="preserve"> </w:t>
      </w:r>
      <w:r w:rsidRPr="0096524F">
        <w:rPr>
          <w:smallCaps/>
        </w:rPr>
        <w:t>Bus.</w:t>
      </w:r>
      <w:r w:rsidRPr="0096524F">
        <w:rPr>
          <w:smallCaps/>
        </w:rPr>
        <w:t xml:space="preserve"> </w:t>
      </w:r>
      <w:r w:rsidRPr="0096524F">
        <w:rPr>
          <w:smallCaps/>
        </w:rPr>
        <w:t>L.J.</w:t>
      </w:r>
      <w:r w:rsidRPr="0096524F">
        <w:rPr>
          <w:smallCaps/>
        </w:rPr>
        <w:t xml:space="preserve"> </w:t>
      </w:r>
      <w:r w:rsidRPr="0096524F">
        <w:t>1 (2006).</w:t>
      </w:r>
      <w:r w:rsidRPr="0096524F">
        <w:t xml:space="preserve"> </w:t>
      </w:r>
      <w:r w:rsidRPr="0096524F">
        <w:t xml:space="preserve">The use of brand association surveys to measure dilution is critiqued in Beebe, et al., </w:t>
      </w:r>
      <w:r w:rsidRPr="0096524F">
        <w:rPr>
          <w:i/>
        </w:rPr>
        <w:t>Testing for Dilution</w:t>
      </w:r>
      <w:r w:rsidRPr="0096524F">
        <w:t xml:space="preserve">, </w:t>
      </w:r>
      <w:r w:rsidRPr="0096524F">
        <w:rPr>
          <w:i/>
        </w:rPr>
        <w:t>supra</w:t>
      </w:r>
      <w:r w:rsidRPr="0096524F">
        <w:t xml:space="preserve"> note , at 621–34.</w:t>
      </w:r>
    </w:p>
  </w:footnote>
  <w:footnote w:id="974">
    <w:p w14:paraId="543A49CD" w14:textId="3E94DED2" w:rsidR="0096524F" w:rsidRPr="00EB11B3" w:rsidRDefault="0096524F" w:rsidP="0096524F">
      <w:pPr>
        <w:pStyle w:val="FootnoteText"/>
      </w:pPr>
      <w:r w:rsidRPr="0096524F">
        <w:rPr>
          <w:vertAlign w:val="superscript"/>
        </w:rPr>
        <w:footnoteRef/>
      </w:r>
      <w:r w:rsidRPr="0096524F">
        <w:rPr>
          <w:i/>
        </w:rPr>
        <w:t>But cf</w:t>
      </w:r>
      <w:r w:rsidRPr="0096524F">
        <w:t>.</w:t>
      </w:r>
      <w:r w:rsidRPr="0096524F">
        <w:t xml:space="preserve"> </w:t>
      </w:r>
      <w:r w:rsidRPr="0096524F">
        <w:t>Mattel, Inc.</w:t>
      </w:r>
      <w:r w:rsidRPr="0096524F">
        <w:t xml:space="preserve"> </w:t>
      </w:r>
      <w:r w:rsidRPr="0096524F">
        <w:t>v.</w:t>
      </w:r>
      <w:r w:rsidRPr="0096524F">
        <w:t xml:space="preserve"> </w:t>
      </w:r>
      <w:r w:rsidRPr="0096524F">
        <w:t>MCA Records, Inc., 28 F.</w:t>
      </w:r>
      <w:r w:rsidRPr="0096524F">
        <w:t xml:space="preserve"> </w:t>
      </w:r>
      <w:r w:rsidRPr="0096524F">
        <w:t>Supp.</w:t>
      </w:r>
      <w:r w:rsidRPr="0096524F">
        <w:t xml:space="preserve"> </w:t>
      </w:r>
      <w:r w:rsidRPr="0096524F">
        <w:t>2d 1120, 1155 n.55 (C.D.</w:t>
      </w:r>
      <w:r w:rsidRPr="0096524F">
        <w:t xml:space="preserve"> </w:t>
      </w:r>
      <w:r w:rsidRPr="0096524F">
        <w:t>Cal.</w:t>
      </w:r>
      <w:r w:rsidRPr="0096524F">
        <w:t xml:space="preserve"> </w:t>
      </w:r>
      <w:r w:rsidRPr="0096524F">
        <w:t xml:space="preserve">1998) (rejecting confusion survey in dilution case), </w:t>
      </w:r>
      <w:r w:rsidRPr="0096524F">
        <w:rPr>
          <w:i/>
        </w:rPr>
        <w:t>aff’d on other grounds</w:t>
      </w:r>
      <w:r w:rsidRPr="0096524F">
        <w:t>, 296 F.3d 894, 63 USPQ2d 1715 (9th Cir.</w:t>
      </w:r>
      <w:r w:rsidRPr="0096524F">
        <w:t xml:space="preserve"> </w:t>
      </w:r>
      <w:r w:rsidRPr="0096524F">
        <w:t xml:space="preserve">2002), </w:t>
      </w:r>
      <w:r w:rsidRPr="0096524F">
        <w:rPr>
          <w:i/>
        </w:rPr>
        <w:t>cert</w:t>
      </w:r>
      <w:r w:rsidRPr="0096524F">
        <w:t>.</w:t>
      </w:r>
      <w:r w:rsidRPr="0096524F">
        <w:t xml:space="preserve"> </w:t>
      </w:r>
      <w:r w:rsidRPr="0096524F">
        <w:rPr>
          <w:i/>
        </w:rPr>
        <w:t>denied</w:t>
      </w:r>
      <w:r w:rsidRPr="0096524F">
        <w:t>, 537 U.S.</w:t>
      </w:r>
      <w:r w:rsidRPr="0096524F">
        <w:t xml:space="preserve"> </w:t>
      </w:r>
      <w:r w:rsidRPr="0096524F">
        <w:t>1171 (2003).</w:t>
      </w:r>
    </w:p>
  </w:footnote>
  <w:footnote w:id="975">
    <w:p w14:paraId="1E70CC91" w14:textId="7034FEB8" w:rsidR="0096524F" w:rsidRPr="00EB11B3" w:rsidRDefault="0096524F" w:rsidP="0096524F">
      <w:pPr>
        <w:pStyle w:val="FootnoteText"/>
      </w:pPr>
      <w:r w:rsidRPr="0096524F">
        <w:rPr>
          <w:vertAlign w:val="superscript"/>
        </w:rPr>
        <w:footnoteRef/>
      </w:r>
      <w:r w:rsidRPr="0096524F">
        <w:rPr>
          <w:i/>
        </w:rPr>
        <w:t>See</w:t>
      </w:r>
      <w:r w:rsidRPr="0096524F">
        <w:t xml:space="preserve"> Apple, Inc.</w:t>
      </w:r>
      <w:r w:rsidRPr="0096524F">
        <w:t xml:space="preserve"> </w:t>
      </w:r>
      <w:r w:rsidRPr="0096524F">
        <w:t>v.</w:t>
      </w:r>
      <w:r w:rsidRPr="0096524F">
        <w:t xml:space="preserve"> </w:t>
      </w:r>
      <w:r w:rsidRPr="0096524F">
        <w:t>Samsung Elecs.</w:t>
      </w:r>
      <w:r w:rsidRPr="0096524F">
        <w:t xml:space="preserve"> </w:t>
      </w:r>
      <w:r w:rsidRPr="0096524F">
        <w:t>Co., 2012 U.S.</w:t>
      </w:r>
      <w:r w:rsidRPr="0096524F">
        <w:t xml:space="preserve"> </w:t>
      </w:r>
      <w:r w:rsidRPr="0096524F">
        <w:t>Dist.</w:t>
      </w:r>
      <w:r w:rsidRPr="0096524F">
        <w:t xml:space="preserve"> </w:t>
      </w:r>
      <w:r w:rsidRPr="0096524F">
        <w:t>LEXIS 90877, at *22–23 (N.D.</w:t>
      </w:r>
      <w:r w:rsidRPr="0096524F">
        <w:t xml:space="preserve"> </w:t>
      </w:r>
      <w:r w:rsidRPr="0096524F">
        <w:t>Cal.</w:t>
      </w:r>
      <w:r w:rsidRPr="0096524F">
        <w:t xml:space="preserve"> </w:t>
      </w:r>
      <w:r w:rsidRPr="0096524F">
        <w:t>June 29, 2012) (rejecting a survey negating confusion as irrelevant to dilution claim).</w:t>
      </w:r>
    </w:p>
  </w:footnote>
  <w:footnote w:id="976">
    <w:p w14:paraId="63BDF1DF" w14:textId="386F2250" w:rsidR="0096524F" w:rsidRPr="00EB11B3" w:rsidRDefault="0096524F" w:rsidP="0096524F">
      <w:pPr>
        <w:pStyle w:val="FootnoteText"/>
      </w:pPr>
      <w:r w:rsidRPr="0096524F">
        <w:rPr>
          <w:vertAlign w:val="superscript"/>
        </w:rPr>
        <w:footnoteRef/>
      </w:r>
      <w:r w:rsidRPr="0096524F">
        <w:t>Ringling Bros.-Barnum &amp; Bailey Combined Shows, Inc.</w:t>
      </w:r>
      <w:r w:rsidRPr="0096524F">
        <w:t xml:space="preserve"> </w:t>
      </w:r>
      <w:r w:rsidRPr="0096524F">
        <w:t>v.</w:t>
      </w:r>
      <w:r w:rsidRPr="0096524F">
        <w:t xml:space="preserve"> </w:t>
      </w:r>
      <w:r w:rsidRPr="0096524F">
        <w:t>Utah Div.</w:t>
      </w:r>
      <w:r w:rsidRPr="0096524F">
        <w:t xml:space="preserve"> </w:t>
      </w:r>
      <w:r w:rsidRPr="0096524F">
        <w:t xml:space="preserve">of Travel Dev., 170 F.3d 449, 458, 461, 50 USPQ2d 1065 (4th Cir.), </w:t>
      </w:r>
      <w:r w:rsidRPr="0096524F">
        <w:rPr>
          <w:i/>
        </w:rPr>
        <w:t>cert</w:t>
      </w:r>
      <w:r w:rsidRPr="0096524F">
        <w:t>.</w:t>
      </w:r>
      <w:r w:rsidRPr="0096524F">
        <w:t xml:space="preserve"> </w:t>
      </w:r>
      <w:r w:rsidRPr="0096524F">
        <w:rPr>
          <w:i/>
        </w:rPr>
        <w:t>denied</w:t>
      </w:r>
      <w:r w:rsidRPr="0096524F">
        <w:t>, 528 U.S.</w:t>
      </w:r>
      <w:r w:rsidRPr="0096524F">
        <w:t xml:space="preserve"> </w:t>
      </w:r>
      <w:r w:rsidRPr="0096524F">
        <w:t>923 (1999).</w:t>
      </w:r>
    </w:p>
  </w:footnote>
  <w:footnote w:id="977">
    <w:p w14:paraId="36B096BB" w14:textId="1A842DD5" w:rsidR="0096524F" w:rsidRPr="00EB11B3" w:rsidRDefault="0096524F" w:rsidP="0096524F">
      <w:pPr>
        <w:pStyle w:val="FootnoteText"/>
      </w:pPr>
      <w:r w:rsidRPr="0096524F">
        <w:rPr>
          <w:vertAlign w:val="superscript"/>
        </w:rPr>
        <w:footnoteRef/>
      </w:r>
      <w:r w:rsidRPr="0096524F">
        <w:rPr>
          <w:i/>
        </w:rPr>
        <w:t>See</w:t>
      </w:r>
      <w:r w:rsidRPr="0096524F">
        <w:t xml:space="preserve"> Moseley v.</w:t>
      </w:r>
      <w:r w:rsidRPr="0096524F">
        <w:t xml:space="preserve"> </w:t>
      </w:r>
      <w:r w:rsidRPr="0096524F">
        <w:t>V Secret Catalogue, Inc., 537 U.S.</w:t>
      </w:r>
      <w:r w:rsidRPr="0096524F">
        <w:t xml:space="preserve"> </w:t>
      </w:r>
      <w:r w:rsidRPr="0096524F">
        <w:t>418, 433, 65 USPQ2d 1801 (2003) (rejecting need for actual economic harm).</w:t>
      </w:r>
    </w:p>
  </w:footnote>
  <w:footnote w:id="978">
    <w:p w14:paraId="4BC44753" w14:textId="5BDF04E4" w:rsidR="0096524F" w:rsidRPr="00EB11B3" w:rsidRDefault="0096524F" w:rsidP="0096524F">
      <w:pPr>
        <w:pStyle w:val="FootnoteText"/>
      </w:pPr>
      <w:r w:rsidRPr="0096524F">
        <w:rPr>
          <w:vertAlign w:val="superscript"/>
        </w:rPr>
        <w:footnoteRef/>
      </w:r>
      <w:r w:rsidRPr="0096524F">
        <w:rPr>
          <w:i/>
        </w:rPr>
        <w:t>See</w:t>
      </w:r>
      <w:r w:rsidRPr="0096524F">
        <w:t xml:space="preserve"> discussion in §II.D.1, above.</w:t>
      </w:r>
    </w:p>
  </w:footnote>
  <w:footnote w:id="979">
    <w:p w14:paraId="45970650" w14:textId="10C7FA3F" w:rsidR="0096524F" w:rsidRPr="00EB11B3" w:rsidRDefault="0096524F" w:rsidP="0096524F">
      <w:pPr>
        <w:pStyle w:val="FootnoteText"/>
      </w:pPr>
      <w:r w:rsidRPr="0096524F">
        <w:rPr>
          <w:vertAlign w:val="superscript"/>
        </w:rPr>
        <w:footnoteRef/>
      </w:r>
      <w:r w:rsidRPr="0096524F">
        <w:rPr>
          <w:i/>
        </w:rPr>
        <w:t>See</w:t>
      </w:r>
      <w:r w:rsidRPr="0096524F">
        <w:t xml:space="preserve"> Steve Hartman, </w:t>
      </w:r>
      <w:r w:rsidRPr="0096524F">
        <w:rPr>
          <w:i/>
        </w:rPr>
        <w:t>Brand Equity Impairment—The Meaning of Dilution</w:t>
      </w:r>
      <w:r w:rsidRPr="0096524F">
        <w:t xml:space="preserve">, 87 </w:t>
      </w:r>
      <w:r w:rsidRPr="0096524F">
        <w:rPr>
          <w:smallCaps/>
        </w:rPr>
        <w:t>Trademark Rep</w:t>
      </w:r>
      <w:r w:rsidRPr="0096524F">
        <w:t>.</w:t>
      </w:r>
      <w:r w:rsidRPr="0096524F">
        <w:t xml:space="preserve"> </w:t>
      </w:r>
      <w:r w:rsidRPr="0096524F">
        <w:t>418, 419 (1997).</w:t>
      </w:r>
    </w:p>
  </w:footnote>
  <w:footnote w:id="980">
    <w:p w14:paraId="56247402" w14:textId="62D80E6A" w:rsidR="0096524F" w:rsidRPr="00EB11B3" w:rsidRDefault="0096524F" w:rsidP="0096524F">
      <w:pPr>
        <w:pStyle w:val="FootnoteText"/>
      </w:pPr>
      <w:r w:rsidRPr="0096524F">
        <w:rPr>
          <w:vertAlign w:val="superscript"/>
        </w:rPr>
        <w:footnoteRef/>
      </w:r>
      <w:r w:rsidRPr="0096524F">
        <w:rPr>
          <w:i/>
        </w:rPr>
        <w:t>See</w:t>
      </w:r>
      <w:r w:rsidRPr="0096524F">
        <w:t xml:space="preserve"> Rebecca Tushnet, </w:t>
      </w:r>
      <w:r w:rsidRPr="0096524F">
        <w:rPr>
          <w:i/>
        </w:rPr>
        <w:t>Gone in Sixty Milliseconds:</w:t>
      </w:r>
      <w:r w:rsidRPr="0096524F">
        <w:rPr>
          <w:i/>
        </w:rPr>
        <w:t xml:space="preserve"> </w:t>
      </w:r>
      <w:r w:rsidRPr="0096524F">
        <w:rPr>
          <w:i/>
        </w:rPr>
        <w:t>Trademark Law and Cognitive Science</w:t>
      </w:r>
      <w:r w:rsidRPr="0096524F">
        <w:t xml:space="preserve">, 86 </w:t>
      </w:r>
      <w:r w:rsidRPr="0096524F">
        <w:rPr>
          <w:smallCaps/>
        </w:rPr>
        <w:t>Tex.</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507, 527–46 (2008) (discussing and critiquing various studies).</w:t>
      </w:r>
    </w:p>
  </w:footnote>
  <w:footnote w:id="981">
    <w:p w14:paraId="4356806E" w14:textId="48F56BCC" w:rsidR="0096524F" w:rsidRPr="00EB11B3" w:rsidRDefault="0096524F" w:rsidP="0096524F">
      <w:pPr>
        <w:pStyle w:val="FootnoteText"/>
      </w:pPr>
      <w:r w:rsidRPr="0096524F">
        <w:rPr>
          <w:vertAlign w:val="superscript"/>
        </w:rPr>
        <w:footnoteRef/>
      </w:r>
      <w:r w:rsidRPr="0096524F">
        <w:t>William G.</w:t>
      </w:r>
      <w:r w:rsidRPr="0096524F">
        <w:t xml:space="preserve"> </w:t>
      </w:r>
      <w:r w:rsidRPr="0096524F">
        <w:t xml:space="preserve">Barber, How to Do a Trademark Dilution Survey (or Perhaps How Not to Do One), 89 </w:t>
      </w:r>
      <w:r w:rsidRPr="0096524F">
        <w:rPr>
          <w:smallCaps/>
        </w:rPr>
        <w:t>Trademark Rep.</w:t>
      </w:r>
      <w:r w:rsidRPr="0096524F">
        <w:rPr>
          <w:smallCaps/>
        </w:rPr>
        <w:t xml:space="preserve"> </w:t>
      </w:r>
      <w:r w:rsidRPr="0096524F">
        <w:t>616, 629–31 (1999);</w:t>
      </w:r>
      <w:r w:rsidRPr="0096524F">
        <w:t xml:space="preserve"> </w:t>
      </w:r>
      <w:r w:rsidRPr="0096524F">
        <w:t>Patrick M.</w:t>
      </w:r>
      <w:r w:rsidRPr="0096524F">
        <w:t xml:space="preserve"> </w:t>
      </w:r>
      <w:r w:rsidRPr="0096524F">
        <w:t>Bible, Defining and Quantifying Dilution under the Federal Trademark Dilution Act of 1995:</w:t>
      </w:r>
      <w:r w:rsidRPr="0096524F">
        <w:t xml:space="preserve"> </w:t>
      </w:r>
      <w:r w:rsidRPr="0096524F">
        <w:t xml:space="preserve">Using Survey Evidence to Show Actual Dilution, 70 </w:t>
      </w:r>
      <w:r w:rsidRPr="0096524F">
        <w:rPr>
          <w:smallCaps/>
        </w:rPr>
        <w:t>U.</w:t>
      </w:r>
      <w:r w:rsidRPr="0096524F">
        <w:rPr>
          <w:smallCaps/>
        </w:rPr>
        <w:t xml:space="preserve"> </w:t>
      </w:r>
      <w:r w:rsidRPr="0096524F">
        <w:rPr>
          <w:smallCaps/>
        </w:rPr>
        <w:t>Colo.</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295, 331–32 (1999).</w:t>
      </w:r>
      <w:r w:rsidRPr="0096524F">
        <w:t xml:space="preserve"> </w:t>
      </w:r>
      <w:r w:rsidRPr="0096524F">
        <w:t>It is worth noting that the survey accepted in Wawa, Inc.</w:t>
      </w:r>
      <w:r w:rsidRPr="0096524F">
        <w:t xml:space="preserve"> </w:t>
      </w:r>
      <w:r w:rsidRPr="0096524F">
        <w:t>v.</w:t>
      </w:r>
      <w:r w:rsidRPr="0096524F">
        <w:t xml:space="preserve"> </w:t>
      </w:r>
      <w:r w:rsidRPr="0096524F">
        <w:t>Haaf, 40 USPQ2d 1629 (E.D.</w:t>
      </w:r>
      <w:r w:rsidRPr="0096524F">
        <w:t xml:space="preserve"> </w:t>
      </w:r>
      <w:r w:rsidRPr="0096524F">
        <w:t>Pa.</w:t>
      </w:r>
      <w:r w:rsidRPr="0096524F">
        <w:t xml:space="preserve"> </w:t>
      </w:r>
      <w:r w:rsidRPr="0096524F">
        <w:t>1996), aff’d mem., 116 F.3d 471 (3d Cir.</w:t>
      </w:r>
      <w:r w:rsidRPr="0096524F">
        <w:t xml:space="preserve"> </w:t>
      </w:r>
      <w:r w:rsidRPr="0096524F">
        <w:t>1997), was not a comparison survey.</w:t>
      </w:r>
    </w:p>
  </w:footnote>
  <w:footnote w:id="982">
    <w:p w14:paraId="7300EC5B" w14:textId="50A73A12" w:rsidR="0096524F" w:rsidRPr="00EB11B3" w:rsidRDefault="0096524F" w:rsidP="0096524F">
      <w:pPr>
        <w:pStyle w:val="FootnoteText"/>
      </w:pPr>
      <w:r w:rsidRPr="0096524F">
        <w:rPr>
          <w:vertAlign w:val="superscript"/>
        </w:rPr>
        <w:footnoteRef/>
      </w:r>
      <w:r w:rsidRPr="0096524F">
        <w:t>Patrick M.</w:t>
      </w:r>
      <w:r w:rsidRPr="0096524F">
        <w:t xml:space="preserve"> </w:t>
      </w:r>
      <w:r w:rsidRPr="0096524F">
        <w:t>Bible, Defining and Quantifying Dilution under the Federal Trademark Dilution Act of 1995:</w:t>
      </w:r>
      <w:r w:rsidRPr="0096524F">
        <w:t xml:space="preserve"> </w:t>
      </w:r>
      <w:r w:rsidRPr="0096524F">
        <w:t xml:space="preserve">Using Survey Evidence to Show Actual Dilution, 70 </w:t>
      </w:r>
      <w:r w:rsidRPr="0096524F">
        <w:rPr>
          <w:smallCaps/>
        </w:rPr>
        <w:t>U.</w:t>
      </w:r>
      <w:r w:rsidRPr="0096524F">
        <w:rPr>
          <w:smallCaps/>
        </w:rPr>
        <w:t xml:space="preserve"> </w:t>
      </w:r>
      <w:r w:rsidRPr="0096524F">
        <w:rPr>
          <w:smallCaps/>
        </w:rPr>
        <w:t>Colo.</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295, 331–32 (1999);</w:t>
      </w:r>
      <w:r w:rsidRPr="0096524F">
        <w:t xml:space="preserve"> </w:t>
      </w:r>
      <w:r w:rsidRPr="0096524F">
        <w:t>William G.</w:t>
      </w:r>
      <w:r w:rsidRPr="0096524F">
        <w:t xml:space="preserve"> </w:t>
      </w:r>
      <w:r w:rsidRPr="0096524F">
        <w:t xml:space="preserve">Barber, How to Do a Trademark Dilution Survey (or Perhaps How Not to Do One), 89 </w:t>
      </w:r>
      <w:r w:rsidRPr="0096524F">
        <w:rPr>
          <w:smallCaps/>
        </w:rPr>
        <w:t>Trademark Rep.</w:t>
      </w:r>
      <w:r w:rsidRPr="0096524F">
        <w:rPr>
          <w:smallCaps/>
        </w:rPr>
        <w:t xml:space="preserve"> </w:t>
      </w:r>
      <w:r w:rsidRPr="0096524F">
        <w:t>616, 629–31 (1999).</w:t>
      </w:r>
      <w:r w:rsidRPr="0096524F">
        <w:t xml:space="preserve"> </w:t>
      </w:r>
      <w:r w:rsidRPr="0096524F">
        <w:t>See National Football League Properties, Inc.</w:t>
      </w:r>
      <w:r w:rsidRPr="0096524F">
        <w:t xml:space="preserve"> </w:t>
      </w:r>
      <w:r w:rsidRPr="0096524F">
        <w:t>v.</w:t>
      </w:r>
      <w:r w:rsidRPr="0096524F">
        <w:t xml:space="preserve"> </w:t>
      </w:r>
      <w:r w:rsidRPr="0096524F">
        <w:t>Prostyle, Inc., 57 F.</w:t>
      </w:r>
      <w:r w:rsidRPr="0096524F">
        <w:t xml:space="preserve"> </w:t>
      </w:r>
      <w:r w:rsidRPr="0096524F">
        <w:t>Supp.</w:t>
      </w:r>
      <w:r w:rsidRPr="0096524F">
        <w:t xml:space="preserve"> </w:t>
      </w:r>
      <w:r w:rsidRPr="0096524F">
        <w:t>2d 665, 669–71 (E.D.</w:t>
      </w:r>
      <w:r w:rsidRPr="0096524F">
        <w:t xml:space="preserve"> </w:t>
      </w:r>
      <w:r w:rsidRPr="0096524F">
        <w:t>Wis.</w:t>
      </w:r>
      <w:r w:rsidRPr="0096524F">
        <w:t xml:space="preserve"> </w:t>
      </w:r>
      <w:r w:rsidRPr="0096524F">
        <w:t>1999) (rejecting survey, noting lack of control).</w:t>
      </w:r>
      <w:r w:rsidRPr="0096524F">
        <w:t xml:space="preserve"> </w:t>
      </w:r>
      <w:r w:rsidRPr="0096524F">
        <w:t>See generally Maureen Morrin &amp; Jacob Jacoby, Trademark Dilution:</w:t>
      </w:r>
      <w:r w:rsidRPr="0096524F">
        <w:t xml:space="preserve"> </w:t>
      </w:r>
      <w:r w:rsidRPr="0096524F">
        <w:t xml:space="preserve">Empirical Measures for an Elusive Concept, 19 </w:t>
      </w:r>
      <w:r w:rsidRPr="0096524F">
        <w:rPr>
          <w:smallCaps/>
        </w:rPr>
        <w:t>J.</w:t>
      </w:r>
      <w:r w:rsidRPr="0096524F">
        <w:rPr>
          <w:smallCaps/>
        </w:rPr>
        <w:t xml:space="preserve"> </w:t>
      </w:r>
      <w:r w:rsidRPr="0096524F">
        <w:rPr>
          <w:smallCaps/>
        </w:rPr>
        <w:t>Pub.</w:t>
      </w:r>
      <w:r w:rsidRPr="0096524F">
        <w:rPr>
          <w:smallCaps/>
        </w:rPr>
        <w:t xml:space="preserve"> </w:t>
      </w:r>
      <w:r w:rsidRPr="0096524F">
        <w:rPr>
          <w:smallCaps/>
        </w:rPr>
        <w:t>Pol’y &amp; Marketing</w:t>
      </w:r>
      <w:r w:rsidRPr="0096524F">
        <w:t xml:space="preserve"> 265 (2000) (using control group in their study of dilution).</w:t>
      </w:r>
    </w:p>
  </w:footnote>
  <w:footnote w:id="983">
    <w:p w14:paraId="6FC17700" w14:textId="4CD5EA5A" w:rsidR="0096524F" w:rsidRPr="00EB11B3" w:rsidRDefault="0096524F" w:rsidP="0096524F">
      <w:pPr>
        <w:pStyle w:val="FootnoteText"/>
      </w:pPr>
      <w:r w:rsidRPr="0096524F">
        <w:rPr>
          <w:vertAlign w:val="superscript"/>
        </w:rPr>
        <w:footnoteRef/>
      </w:r>
      <w:r w:rsidRPr="0096524F">
        <w:t>Patrick M.</w:t>
      </w:r>
      <w:r w:rsidRPr="0096524F">
        <w:t xml:space="preserve"> </w:t>
      </w:r>
      <w:r w:rsidRPr="0096524F">
        <w:t>Bible, Defining and Quantifying Dilution under the Federal Trademark Dilution Act of 1995:</w:t>
      </w:r>
      <w:r w:rsidRPr="0096524F">
        <w:t xml:space="preserve"> </w:t>
      </w:r>
      <w:r w:rsidRPr="0096524F">
        <w:t xml:space="preserve">Using Survey Evidence to Show Actual Dilution, 70 </w:t>
      </w:r>
      <w:r w:rsidRPr="0096524F">
        <w:rPr>
          <w:smallCaps/>
        </w:rPr>
        <w:t>U.</w:t>
      </w:r>
      <w:r w:rsidRPr="0096524F">
        <w:rPr>
          <w:smallCaps/>
        </w:rPr>
        <w:t xml:space="preserve"> </w:t>
      </w:r>
      <w:r w:rsidRPr="0096524F">
        <w:rPr>
          <w:smallCaps/>
        </w:rPr>
        <w:t>Colo.</w:t>
      </w:r>
      <w:r w:rsidRPr="0096524F">
        <w:rPr>
          <w:smallCaps/>
        </w:rPr>
        <w:t xml:space="preserve"> </w:t>
      </w:r>
      <w:r w:rsidRPr="0096524F">
        <w:rPr>
          <w:smallCaps/>
        </w:rPr>
        <w:t>L.</w:t>
      </w:r>
      <w:r w:rsidRPr="0096524F">
        <w:rPr>
          <w:smallCaps/>
        </w:rPr>
        <w:t xml:space="preserve"> </w:t>
      </w:r>
      <w:r w:rsidRPr="0096524F">
        <w:rPr>
          <w:smallCaps/>
        </w:rPr>
        <w:t>Rev.</w:t>
      </w:r>
      <w:r w:rsidRPr="0096524F">
        <w:rPr>
          <w:smallCaps/>
        </w:rPr>
        <w:t xml:space="preserve"> </w:t>
      </w:r>
      <w:r w:rsidRPr="0096524F">
        <w:t>295, 332 (1999);</w:t>
      </w:r>
      <w:r w:rsidRPr="0096524F">
        <w:t xml:space="preserve"> </w:t>
      </w:r>
      <w:r w:rsidRPr="0096524F">
        <w:t>William G.</w:t>
      </w:r>
      <w:r w:rsidRPr="0096524F">
        <w:t xml:space="preserve"> </w:t>
      </w:r>
      <w:r w:rsidRPr="0096524F">
        <w:t xml:space="preserve">Barber, How to Do a Trademark Dilution Survey (or Perhaps How Not to Do One), 89 </w:t>
      </w:r>
      <w:r w:rsidRPr="0096524F">
        <w:rPr>
          <w:smallCaps/>
        </w:rPr>
        <w:t>Trademark Rep.</w:t>
      </w:r>
      <w:r w:rsidRPr="0096524F">
        <w:rPr>
          <w:smallCaps/>
        </w:rPr>
        <w:t xml:space="preserve"> </w:t>
      </w:r>
      <w:r w:rsidRPr="0096524F">
        <w:t>616, 630–31 (1999).</w:t>
      </w:r>
    </w:p>
  </w:footnote>
  <w:footnote w:id="984">
    <w:p w14:paraId="0096D9CE" w14:textId="6E1640A6" w:rsidR="0096524F" w:rsidRPr="00EB11B3" w:rsidRDefault="0096524F" w:rsidP="0096524F">
      <w:pPr>
        <w:pStyle w:val="FootnoteText"/>
      </w:pPr>
      <w:r w:rsidRPr="0096524F">
        <w:rPr>
          <w:vertAlign w:val="superscript"/>
        </w:rPr>
        <w:footnoteRef/>
      </w:r>
      <w:r w:rsidRPr="0096524F">
        <w:t>Undoubtedly, this would be expensive.</w:t>
      </w:r>
      <w:r w:rsidRPr="0096524F">
        <w:t xml:space="preserve"> </w:t>
      </w:r>
      <w:r w:rsidRPr="0096524F">
        <w:t>But the value of keeping a famous mark unblemished should be worth the expense.</w:t>
      </w:r>
    </w:p>
  </w:footnote>
  <w:footnote w:id="985">
    <w:p w14:paraId="7FFA4BD6" w14:textId="458C5204" w:rsidR="0096524F" w:rsidRPr="00EB11B3" w:rsidRDefault="0096524F" w:rsidP="0096524F">
      <w:pPr>
        <w:pStyle w:val="FootnoteText"/>
      </w:pPr>
      <w:r w:rsidRPr="0096524F">
        <w:rPr>
          <w:vertAlign w:val="superscript"/>
        </w:rPr>
        <w:footnoteRef/>
      </w:r>
      <w:r w:rsidRPr="0096524F">
        <w:rPr>
          <w:i/>
        </w:rPr>
        <w:t>See generally</w:t>
      </w:r>
      <w:r w:rsidRPr="0096524F">
        <w:t xml:space="preserve"> Maureen Morrin &amp; Jacob Jacoby, </w:t>
      </w:r>
      <w:r w:rsidRPr="0096524F">
        <w:rPr>
          <w:i/>
        </w:rPr>
        <w:t>Trademark Dilution:</w:t>
      </w:r>
      <w:r w:rsidRPr="0096524F">
        <w:rPr>
          <w:i/>
        </w:rPr>
        <w:t xml:space="preserve"> </w:t>
      </w:r>
      <w:r w:rsidRPr="0096524F">
        <w:rPr>
          <w:i/>
        </w:rPr>
        <w:t>Empirical Measures for an Elusive Concept</w:t>
      </w:r>
      <w:r w:rsidRPr="0096524F">
        <w:t xml:space="preserve">, 19 </w:t>
      </w:r>
      <w:r w:rsidRPr="0096524F">
        <w:rPr>
          <w:smallCaps/>
        </w:rPr>
        <w:t>J.</w:t>
      </w:r>
      <w:r w:rsidRPr="0096524F">
        <w:rPr>
          <w:smallCaps/>
        </w:rPr>
        <w:t xml:space="preserve"> </w:t>
      </w:r>
      <w:r w:rsidRPr="0096524F">
        <w:rPr>
          <w:smallCaps/>
        </w:rPr>
        <w:t>Pub.</w:t>
      </w:r>
      <w:r w:rsidRPr="0096524F">
        <w:rPr>
          <w:smallCaps/>
        </w:rPr>
        <w:t xml:space="preserve"> </w:t>
      </w:r>
      <w:r w:rsidRPr="0096524F">
        <w:rPr>
          <w:smallCaps/>
        </w:rPr>
        <w:t>Pol’y &amp; Marketing</w:t>
      </w:r>
      <w:r w:rsidRPr="0096524F">
        <w:t xml:space="preserve"> 265 (2000).</w:t>
      </w:r>
    </w:p>
  </w:footnote>
  <w:footnote w:id="986">
    <w:p w14:paraId="53FF1E67" w14:textId="155C71C4" w:rsidR="0096524F" w:rsidRPr="0096524F" w:rsidRDefault="0096524F" w:rsidP="0096524F">
      <w:pPr>
        <w:pStyle w:val="FootnoteText"/>
      </w:pPr>
      <w:r w:rsidRPr="0096524F">
        <w:rPr>
          <w:vertAlign w:val="superscript"/>
        </w:rPr>
        <w:footnoteRef/>
      </w:r>
      <w:r w:rsidRPr="0096524F">
        <w:t>Starbucks Corp.</w:t>
      </w:r>
      <w:r w:rsidRPr="0096524F">
        <w:t xml:space="preserve"> </w:t>
      </w:r>
      <w:r w:rsidRPr="0096524F">
        <w:t>v.</w:t>
      </w:r>
      <w:r w:rsidRPr="0096524F">
        <w:t xml:space="preserve"> </w:t>
      </w:r>
      <w:r w:rsidRPr="0096524F">
        <w:t>Wolfe’s Borough Coffee, Inc., 736 F.3d 198, 209–11, 108 USPQ2d 1581 (2d Cir.</w:t>
      </w:r>
      <w:r w:rsidRPr="0096524F">
        <w:t xml:space="preserve"> </w:t>
      </w:r>
      <w:r w:rsidRPr="0096524F">
        <w:t>2013).</w:t>
      </w:r>
    </w:p>
    <w:p w14:paraId="7D3E2AAF" w14:textId="77777777" w:rsidR="0096524F" w:rsidRDefault="0096524F" w:rsidP="00D758BD">
      <w:pPr>
        <w:pStyle w:val="footnote"/>
      </w:pPr>
    </w:p>
  </w:footnote>
  <w:footnote w:id="987">
    <w:p w14:paraId="694F3A28" w14:textId="1B02B289" w:rsidR="0096524F" w:rsidRPr="0096524F" w:rsidRDefault="0096524F" w:rsidP="0096524F">
      <w:pPr>
        <w:pStyle w:val="FootnoteText"/>
      </w:pPr>
      <w:r w:rsidRPr="0096524F">
        <w:rPr>
          <w:vertAlign w:val="superscript"/>
        </w:rPr>
        <w:footnoteRef/>
      </w:r>
      <w:r w:rsidRPr="0096524F">
        <w:t>Hershey Co.</w:t>
      </w:r>
      <w:r w:rsidRPr="0096524F">
        <w:t xml:space="preserve"> </w:t>
      </w:r>
      <w:r w:rsidRPr="0096524F">
        <w:t>v.</w:t>
      </w:r>
      <w:r w:rsidRPr="0096524F">
        <w:t xml:space="preserve"> </w:t>
      </w:r>
      <w:r w:rsidRPr="0096524F">
        <w:t>Promotion in Motion, Inc., 2013 WL 12157828, at *26–27 (D.N.J.</w:t>
      </w:r>
      <w:r w:rsidRPr="0096524F">
        <w:t xml:space="preserve"> </w:t>
      </w:r>
      <w:r w:rsidRPr="0096524F">
        <w:t>Jan.</w:t>
      </w:r>
      <w:r w:rsidRPr="0096524F">
        <w:t xml:space="preserve"> </w:t>
      </w:r>
      <w:r w:rsidRPr="0096524F">
        <w:t>18, 2013).</w:t>
      </w:r>
    </w:p>
    <w:p w14:paraId="1F76FF34" w14:textId="77777777" w:rsidR="0096524F" w:rsidRDefault="0096524F" w:rsidP="00D758BD">
      <w:pPr>
        <w:pStyle w:val="footnote"/>
      </w:pPr>
    </w:p>
  </w:footnote>
  <w:footnote w:id="988">
    <w:p w14:paraId="7CC0C675" w14:textId="087BC73A" w:rsidR="0096524F" w:rsidRPr="00EB11B3" w:rsidRDefault="0096524F" w:rsidP="0096524F">
      <w:pPr>
        <w:pStyle w:val="FootnoteText"/>
      </w:pPr>
      <w:r w:rsidRPr="0096524F">
        <w:rPr>
          <w:vertAlign w:val="superscript"/>
        </w:rPr>
        <w:footnoteRef/>
      </w:r>
      <w:r w:rsidRPr="0096524F">
        <w:rPr>
          <w:i/>
        </w:rPr>
        <w:t xml:space="preserve">See generally </w:t>
      </w:r>
      <w:r w:rsidRPr="0096524F">
        <w:t xml:space="preserve">Morrin &amp; Jacoby, </w:t>
      </w:r>
      <w:r w:rsidRPr="0096524F">
        <w:rPr>
          <w:i/>
        </w:rPr>
        <w:t>supra</w:t>
      </w:r>
      <w:r w:rsidRPr="0096524F">
        <w:t xml:space="preserve"> note .</w:t>
      </w:r>
      <w:r w:rsidRPr="0096524F">
        <w:t xml:space="preserve"> </w:t>
      </w:r>
      <w:r w:rsidRPr="0096524F">
        <w:t>It should be noted that several of Mr.</w:t>
      </w:r>
      <w:r w:rsidRPr="0096524F">
        <w:t xml:space="preserve"> </w:t>
      </w:r>
      <w:r w:rsidRPr="0096524F">
        <w:t>Jacoby’s surveys have been criticized and/or rejected in trademark cases.</w:t>
      </w:r>
      <w:r w:rsidRPr="0096524F">
        <w:t xml:space="preserve"> </w:t>
      </w:r>
      <w:r w:rsidRPr="0096524F">
        <w:rPr>
          <w:i/>
        </w:rPr>
        <w:t>See National Football League,</w:t>
      </w:r>
      <w:r w:rsidRPr="0096524F">
        <w:t xml:space="preserve"> 57 F.</w:t>
      </w:r>
      <w:r w:rsidRPr="0096524F">
        <w:t xml:space="preserve"> </w:t>
      </w:r>
      <w:r w:rsidRPr="0096524F">
        <w:t>Supp.</w:t>
      </w:r>
      <w:r w:rsidRPr="0096524F">
        <w:t xml:space="preserve"> </w:t>
      </w:r>
      <w:r w:rsidRPr="0096524F">
        <w:t>2d at 667 (citing cases).</w:t>
      </w:r>
    </w:p>
  </w:footnote>
  <w:footnote w:id="989">
    <w:p w14:paraId="0A7A9177" w14:textId="33333CB2" w:rsidR="0096524F" w:rsidRPr="00EB11B3" w:rsidRDefault="0096524F" w:rsidP="0096524F">
      <w:pPr>
        <w:pStyle w:val="FootnoteText"/>
      </w:pPr>
      <w:r w:rsidRPr="0096524F">
        <w:rPr>
          <w:vertAlign w:val="superscript"/>
        </w:rPr>
        <w:footnoteRef/>
      </w:r>
      <w:r w:rsidRPr="0096524F">
        <w:t xml:space="preserve">Maureen Morrin &amp; Jacob Jacoby, </w:t>
      </w:r>
      <w:r w:rsidRPr="0096524F">
        <w:rPr>
          <w:i/>
        </w:rPr>
        <w:t>Trademark Dilution:</w:t>
      </w:r>
      <w:r w:rsidRPr="0096524F">
        <w:rPr>
          <w:i/>
        </w:rPr>
        <w:t xml:space="preserve"> </w:t>
      </w:r>
      <w:r w:rsidRPr="0096524F">
        <w:rPr>
          <w:i/>
        </w:rPr>
        <w:t>Empirical Measures for an Elusive Concept</w:t>
      </w:r>
      <w:r w:rsidRPr="0096524F">
        <w:t xml:space="preserve">, 19 </w:t>
      </w:r>
      <w:r w:rsidRPr="0096524F">
        <w:rPr>
          <w:smallCaps/>
        </w:rPr>
        <w:t>J.</w:t>
      </w:r>
      <w:r w:rsidRPr="0096524F">
        <w:rPr>
          <w:smallCaps/>
        </w:rPr>
        <w:t xml:space="preserve"> </w:t>
      </w:r>
      <w:r w:rsidRPr="0096524F">
        <w:rPr>
          <w:smallCaps/>
        </w:rPr>
        <w:t>Pub.</w:t>
      </w:r>
      <w:r w:rsidRPr="0096524F">
        <w:rPr>
          <w:smallCaps/>
        </w:rPr>
        <w:t xml:space="preserve"> </w:t>
      </w:r>
      <w:r w:rsidRPr="0096524F">
        <w:rPr>
          <w:smallCaps/>
        </w:rPr>
        <w:t>Pol’y &amp; Marketing</w:t>
      </w:r>
      <w:r w:rsidRPr="0096524F">
        <w:t xml:space="preserve"> 265, 268, 270 (2000).</w:t>
      </w:r>
    </w:p>
  </w:footnote>
  <w:footnote w:id="990">
    <w:p w14:paraId="44B439F3" w14:textId="211BD394" w:rsidR="0096524F" w:rsidRPr="00FC2AE2"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271, 272.</w:t>
      </w:r>
    </w:p>
  </w:footnote>
  <w:footnote w:id="991">
    <w:p w14:paraId="04736917" w14:textId="4390A0BE" w:rsidR="0096524F" w:rsidRPr="00FC2AE2"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271, 273–74.</w:t>
      </w:r>
    </w:p>
  </w:footnote>
  <w:footnote w:id="992">
    <w:p w14:paraId="672B2A72" w14:textId="1E7379E8" w:rsidR="0096524F" w:rsidRPr="00FC2AE2" w:rsidRDefault="0096524F" w:rsidP="0096524F">
      <w:pPr>
        <w:pStyle w:val="FootnoteText"/>
        <w:rPr>
          <w:lang w:val="da-DK"/>
        </w:rPr>
      </w:pPr>
      <w:r w:rsidRPr="0096524F">
        <w:rPr>
          <w:vertAlign w:val="superscript"/>
        </w:rPr>
        <w:footnoteRef/>
      </w:r>
      <w:r w:rsidRPr="0096524F">
        <w:rPr>
          <w:i/>
        </w:rPr>
        <w:t>Id</w:t>
      </w:r>
      <w:r w:rsidRPr="0096524F">
        <w:t>.</w:t>
      </w:r>
      <w:r w:rsidRPr="0096524F">
        <w:t xml:space="preserve"> </w:t>
      </w:r>
      <w:r w:rsidRPr="0096524F">
        <w:t>at 274.</w:t>
      </w:r>
    </w:p>
  </w:footnote>
  <w:footnote w:id="993">
    <w:p w14:paraId="2A7A6457" w14:textId="7C04C71D" w:rsidR="0096524F" w:rsidRPr="003F6F70" w:rsidRDefault="0096524F" w:rsidP="0096524F">
      <w:pPr>
        <w:pStyle w:val="FootnoteText"/>
      </w:pPr>
      <w:r w:rsidRPr="0096524F">
        <w:rPr>
          <w:rStyle w:val="FootnoteReference"/>
          <w:rFonts w:eastAsiaTheme="majorEastAsia"/>
        </w:rPr>
        <w:footnoteRef/>
      </w:r>
      <w:r w:rsidRPr="0096524F">
        <w:t>The article by Beebe, et al., concludes that dilution by blurring may be a “chimera” and that testing for actual dilution may be a fruitless effort.</w:t>
      </w:r>
      <w:r w:rsidRPr="0096524F">
        <w:t xml:space="preserve"> </w:t>
      </w:r>
      <w:r w:rsidRPr="0096524F">
        <w:t xml:space="preserve">Beebe et al., </w:t>
      </w:r>
      <w:r w:rsidRPr="0096524F">
        <w:rPr>
          <w:i/>
        </w:rPr>
        <w:t>Testing for Dilution</w:t>
      </w:r>
      <w:r w:rsidRPr="0096524F">
        <w:t xml:space="preserve">, </w:t>
      </w:r>
      <w:r w:rsidRPr="0096524F">
        <w:rPr>
          <w:i/>
        </w:rPr>
        <w:t>supra</w:t>
      </w:r>
      <w:r w:rsidRPr="0096524F">
        <w:t xml:space="preserve"> note , at 662.</w:t>
      </w:r>
    </w:p>
  </w:footnote>
  <w:footnote w:id="994">
    <w:p w14:paraId="09AAFBDA" w14:textId="60FB14F5"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Apple, Inc.</w:t>
      </w:r>
      <w:r w:rsidRPr="0096524F">
        <w:t xml:space="preserve"> </w:t>
      </w:r>
      <w:r w:rsidRPr="0096524F">
        <w:t>v.</w:t>
      </w:r>
      <w:r w:rsidRPr="0096524F">
        <w:t xml:space="preserve"> </w:t>
      </w:r>
      <w:r w:rsidRPr="0096524F">
        <w:t>Samsung Elecs.</w:t>
      </w:r>
      <w:r w:rsidRPr="0096524F">
        <w:t xml:space="preserve"> </w:t>
      </w:r>
      <w:r w:rsidRPr="0096524F">
        <w:t>Co., 2012 U.S.</w:t>
      </w:r>
      <w:r w:rsidRPr="0096524F">
        <w:t xml:space="preserve"> </w:t>
      </w:r>
      <w:r w:rsidRPr="0096524F">
        <w:t>Dist.</w:t>
      </w:r>
      <w:r w:rsidRPr="0096524F">
        <w:t xml:space="preserve"> </w:t>
      </w:r>
      <w:r w:rsidRPr="0096524F">
        <w:t>LEXIS 90877, at *24–26 (N.D.</w:t>
      </w:r>
      <w:r w:rsidRPr="0096524F">
        <w:t xml:space="preserve"> </w:t>
      </w:r>
      <w:r w:rsidRPr="0096524F">
        <w:t>Cal.</w:t>
      </w:r>
      <w:r w:rsidRPr="0096524F">
        <w:t xml:space="preserve"> </w:t>
      </w:r>
      <w:r w:rsidRPr="0096524F">
        <w:t>June 29, 2012);</w:t>
      </w:r>
      <w:r w:rsidRPr="0096524F">
        <w:t xml:space="preserve"> </w:t>
      </w:r>
      <w:r w:rsidRPr="0096524F">
        <w:t>Gucci Am., Inc.</w:t>
      </w:r>
      <w:r w:rsidRPr="0096524F">
        <w:t xml:space="preserve"> </w:t>
      </w:r>
      <w:r w:rsidRPr="0096524F">
        <w:t>v.</w:t>
      </w:r>
      <w:r w:rsidRPr="0096524F">
        <w:t xml:space="preserve"> </w:t>
      </w:r>
      <w:r w:rsidRPr="0096524F">
        <w:t>Guess?, Inc., 831 F.</w:t>
      </w:r>
      <w:r w:rsidRPr="0096524F">
        <w:t xml:space="preserve"> </w:t>
      </w:r>
      <w:r w:rsidRPr="0096524F">
        <w:t>Supp.</w:t>
      </w:r>
      <w:r w:rsidRPr="0096524F">
        <w:t xml:space="preserve"> </w:t>
      </w:r>
      <w:r w:rsidRPr="0096524F">
        <w:t>2d 723, 102 USPQ2d 1225, 2011 U.S.</w:t>
      </w:r>
      <w:r w:rsidRPr="0096524F">
        <w:t xml:space="preserve"> </w:t>
      </w:r>
      <w:r w:rsidRPr="0096524F">
        <w:t>Dist.</w:t>
      </w:r>
      <w:r w:rsidRPr="0096524F">
        <w:t xml:space="preserve"> </w:t>
      </w:r>
      <w:r w:rsidRPr="0096524F">
        <w:t>LEXIS 132706, at *32 (S.D.N.Y.</w:t>
      </w:r>
      <w:r w:rsidRPr="0096524F">
        <w:t xml:space="preserve"> </w:t>
      </w:r>
      <w:r w:rsidRPr="0096524F">
        <w:t>Nov.</w:t>
      </w:r>
      <w:r w:rsidRPr="0096524F">
        <w:t xml:space="preserve"> </w:t>
      </w:r>
      <w:r w:rsidRPr="0096524F">
        <w:t>16, 2011);</w:t>
      </w:r>
      <w:r w:rsidRPr="0096524F">
        <w:t xml:space="preserve"> </w:t>
      </w:r>
      <w:r w:rsidRPr="0096524F">
        <w:t>Ne Opco, Inc.</w:t>
      </w:r>
      <w:r w:rsidRPr="0096524F">
        <w:t xml:space="preserve"> </w:t>
      </w:r>
      <w:r w:rsidRPr="0096524F">
        <w:t>v.</w:t>
      </w:r>
      <w:r w:rsidRPr="0096524F">
        <w:t xml:space="preserve"> </w:t>
      </w:r>
      <w:r w:rsidRPr="0096524F">
        <w:t>American Pad &amp; Paper Co., 2011 U.S.</w:t>
      </w:r>
      <w:r w:rsidRPr="0096524F">
        <w:t xml:space="preserve"> </w:t>
      </w:r>
      <w:r w:rsidRPr="0096524F">
        <w:t>Dist.</w:t>
      </w:r>
      <w:r w:rsidRPr="0096524F">
        <w:t xml:space="preserve"> </w:t>
      </w:r>
      <w:r w:rsidRPr="0096524F">
        <w:t>LEXIS 45231, at *6 (S.D.N.Y.</w:t>
      </w:r>
      <w:r w:rsidRPr="0096524F">
        <w:t xml:space="preserve"> </w:t>
      </w:r>
      <w:r w:rsidRPr="0096524F">
        <w:t>Apr.</w:t>
      </w:r>
      <w:r w:rsidRPr="0096524F">
        <w:t xml:space="preserve"> </w:t>
      </w:r>
      <w:r w:rsidRPr="0096524F">
        <w:t>25, 2011);</w:t>
      </w:r>
      <w:r w:rsidRPr="0096524F">
        <w:t xml:space="preserve"> </w:t>
      </w:r>
      <w:r w:rsidRPr="0096524F">
        <w:t>Smith v.</w:t>
      </w:r>
      <w:r w:rsidRPr="0096524F">
        <w:t xml:space="preserve"> </w:t>
      </w:r>
      <w:r w:rsidRPr="0096524F">
        <w:t>Wal-Mart Stores, Inc., 537 F.</w:t>
      </w:r>
      <w:r w:rsidRPr="0096524F">
        <w:t xml:space="preserve"> </w:t>
      </w:r>
      <w:r w:rsidRPr="0096524F">
        <w:t>Supp.</w:t>
      </w:r>
      <w:r w:rsidRPr="0096524F">
        <w:t xml:space="preserve"> </w:t>
      </w:r>
      <w:r w:rsidRPr="0096524F">
        <w:t>2d 1302, 1322, 86 USPQ2d 1835 (N.D.</w:t>
      </w:r>
      <w:r w:rsidRPr="0096524F">
        <w:t xml:space="preserve"> </w:t>
      </w:r>
      <w:r w:rsidRPr="0096524F">
        <w:t>Ga.</w:t>
      </w:r>
      <w:r w:rsidRPr="0096524F">
        <w:t xml:space="preserve"> </w:t>
      </w:r>
      <w:r w:rsidRPr="0096524F">
        <w:t>2008);</w:t>
      </w:r>
      <w:r w:rsidRPr="0096524F">
        <w:t xml:space="preserve"> </w:t>
      </w:r>
      <w:r w:rsidRPr="0096524F">
        <w:t>Board of Regents, Univ.</w:t>
      </w:r>
      <w:r w:rsidRPr="0096524F">
        <w:t xml:space="preserve"> </w:t>
      </w:r>
      <w:r w:rsidRPr="0096524F">
        <w:t>of Tex.</w:t>
      </w:r>
      <w:r w:rsidRPr="0096524F">
        <w:t xml:space="preserve"> </w:t>
      </w:r>
      <w:r w:rsidRPr="0096524F">
        <w:t>Sys.</w:t>
      </w:r>
      <w:r w:rsidRPr="0096524F">
        <w:t xml:space="preserve"> </w:t>
      </w:r>
      <w:r w:rsidRPr="0096524F">
        <w:t>v.</w:t>
      </w:r>
      <w:r w:rsidRPr="0096524F">
        <w:t xml:space="preserve"> </w:t>
      </w:r>
      <w:r w:rsidRPr="0096524F">
        <w:t>KST Elec., Ltd., 2007 U.S.</w:t>
      </w:r>
      <w:r w:rsidRPr="0096524F">
        <w:t xml:space="preserve"> </w:t>
      </w:r>
      <w:r w:rsidRPr="0096524F">
        <w:t>Dist.</w:t>
      </w:r>
      <w:r w:rsidRPr="0096524F">
        <w:t xml:space="preserve"> </w:t>
      </w:r>
      <w:r w:rsidRPr="0096524F">
        <w:t>LEXIS 96129, at *7 (W.D.</w:t>
      </w:r>
      <w:r w:rsidRPr="0096524F">
        <w:t xml:space="preserve"> </w:t>
      </w:r>
      <w:r w:rsidRPr="0096524F">
        <w:t>Tex.</w:t>
      </w:r>
      <w:r w:rsidRPr="0096524F">
        <w:t xml:space="preserve"> </w:t>
      </w:r>
      <w:r w:rsidRPr="0096524F">
        <w:t>2007).</w:t>
      </w:r>
    </w:p>
  </w:footnote>
  <w:footnote w:id="995">
    <w:p w14:paraId="1B3DB0A4" w14:textId="0C8BEAEC" w:rsidR="0096524F" w:rsidRPr="00EB11B3" w:rsidRDefault="0096524F" w:rsidP="0096524F">
      <w:pPr>
        <w:pStyle w:val="FootnoteText"/>
      </w:pPr>
      <w:r w:rsidRPr="0096524F">
        <w:rPr>
          <w:vertAlign w:val="superscript"/>
        </w:rPr>
        <w:footnoteRef/>
      </w:r>
      <w:r w:rsidRPr="0096524F">
        <w:t>509 U.S.</w:t>
      </w:r>
      <w:r w:rsidRPr="0096524F">
        <w:t xml:space="preserve"> </w:t>
      </w:r>
      <w:r w:rsidRPr="0096524F">
        <w:t>579, 593–94, 27 USPQ2d 1200 (1993).</w:t>
      </w:r>
    </w:p>
  </w:footnote>
  <w:footnote w:id="996">
    <w:p w14:paraId="3CF4064A" w14:textId="7684D4CB" w:rsidR="0096524F" w:rsidRPr="00EB11B3" w:rsidRDefault="0096524F" w:rsidP="0096524F">
      <w:pPr>
        <w:pStyle w:val="FootnoteText"/>
      </w:pPr>
      <w:r w:rsidRPr="0096524F">
        <w:rPr>
          <w:vertAlign w:val="superscript"/>
        </w:rPr>
        <w:footnoteRef/>
      </w:r>
      <w:r w:rsidRPr="0096524F">
        <w:t>57 F.</w:t>
      </w:r>
      <w:r w:rsidRPr="0096524F">
        <w:t xml:space="preserve"> </w:t>
      </w:r>
      <w:r w:rsidRPr="0096524F">
        <w:t>Supp.</w:t>
      </w:r>
      <w:r w:rsidRPr="0096524F">
        <w:t xml:space="preserve"> </w:t>
      </w:r>
      <w:r w:rsidRPr="0096524F">
        <w:t>2d 665 (E.D.</w:t>
      </w:r>
      <w:r w:rsidRPr="0096524F">
        <w:t xml:space="preserve"> </w:t>
      </w:r>
      <w:r w:rsidRPr="0096524F">
        <w:t>Wis.</w:t>
      </w:r>
      <w:r w:rsidRPr="0096524F">
        <w:t xml:space="preserve"> </w:t>
      </w:r>
      <w:r w:rsidRPr="0096524F">
        <w:t>1999).</w:t>
      </w:r>
    </w:p>
  </w:footnote>
  <w:footnote w:id="997">
    <w:p w14:paraId="7D0F906B" w14:textId="1B5FE88D"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673 (quoting Holbrook v.</w:t>
      </w:r>
      <w:r w:rsidRPr="0096524F">
        <w:t xml:space="preserve"> </w:t>
      </w:r>
      <w:r w:rsidRPr="0096524F">
        <w:t>Lykes Bros.</w:t>
      </w:r>
      <w:r w:rsidRPr="0096524F">
        <w:t xml:space="preserve"> </w:t>
      </w:r>
      <w:r w:rsidRPr="0096524F">
        <w:t>S.S.</w:t>
      </w:r>
      <w:r w:rsidRPr="0096524F">
        <w:t xml:space="preserve"> </w:t>
      </w:r>
      <w:r w:rsidRPr="0096524F">
        <w:t>Co., 80 F.3d 777, 784 (3d Cir.</w:t>
      </w:r>
      <w:r w:rsidRPr="0096524F">
        <w:t xml:space="preserve"> </w:t>
      </w:r>
      <w:r w:rsidRPr="0096524F">
        <w:t>1996)).</w:t>
      </w:r>
    </w:p>
  </w:footnote>
  <w:footnote w:id="998">
    <w:p w14:paraId="15638B7C" w14:textId="1E713D17" w:rsidR="0096524F" w:rsidRPr="00EB11B3" w:rsidRDefault="0096524F" w:rsidP="0096524F">
      <w:pPr>
        <w:pStyle w:val="FootnoteText"/>
      </w:pPr>
      <w:r w:rsidRPr="0096524F">
        <w:rPr>
          <w:vertAlign w:val="superscript"/>
        </w:rPr>
        <w:footnoteRef/>
      </w:r>
      <w:r w:rsidRPr="0096524F">
        <w:t>Those factors include:</w:t>
      </w:r>
      <w:r w:rsidRPr="0096524F">
        <w:t xml:space="preserve"> </w:t>
      </w:r>
      <w:r w:rsidRPr="0096524F">
        <w:t>“whether the [survey expert’s] ‘theory or technique</w:t>
      </w:r>
      <w:r w:rsidRPr="0096524F">
        <w:t xml:space="preserve"> </w:t>
      </w:r>
      <w:r w:rsidRPr="0096524F">
        <w:t>…</w:t>
      </w:r>
      <w:r w:rsidRPr="0096524F">
        <w:t xml:space="preserve"> </w:t>
      </w:r>
      <w:r w:rsidRPr="0096524F">
        <w:t>can be (and has been) tested’;</w:t>
      </w:r>
      <w:r w:rsidRPr="0096524F">
        <w:t xml:space="preserve"> </w:t>
      </w:r>
      <w:r w:rsidRPr="0096524F">
        <w:t>whether it ‘has been subjected to peer review and publication’;</w:t>
      </w:r>
      <w:r w:rsidRPr="0096524F">
        <w:t xml:space="preserve"> </w:t>
      </w:r>
      <w:r w:rsidRPr="0096524F">
        <w:t>whether there is a high ‘known or potential rate of error’ and whether there are ‘standards controlling the technique’s operation’;</w:t>
      </w:r>
      <w:r w:rsidRPr="0096524F">
        <w:t xml:space="preserve"> </w:t>
      </w:r>
      <w:r w:rsidRPr="0096524F">
        <w:t xml:space="preserve">and whether the theory or technique enjoys ‘general acceptance’ within a ‘relevant scientific community.’” </w:t>
      </w:r>
      <w:r w:rsidRPr="0096524F">
        <w:rPr>
          <w:i/>
        </w:rPr>
        <w:t>Id</w:t>
      </w:r>
      <w:r w:rsidRPr="0096524F">
        <w:t>.</w:t>
      </w:r>
      <w:r w:rsidRPr="0096524F">
        <w:t xml:space="preserve"> </w:t>
      </w:r>
      <w:r w:rsidRPr="0096524F">
        <w:t xml:space="preserve">at 668 (quoting </w:t>
      </w:r>
      <w:r w:rsidRPr="0096524F">
        <w:rPr>
          <w:i/>
        </w:rPr>
        <w:t>Daubert</w:t>
      </w:r>
      <w:r w:rsidRPr="0096524F">
        <w:t>, 509 U.S.</w:t>
      </w:r>
      <w:r w:rsidRPr="0096524F">
        <w:t xml:space="preserve"> </w:t>
      </w:r>
      <w:r w:rsidRPr="0096524F">
        <w:t>at 593–94).</w:t>
      </w:r>
      <w:r w:rsidRPr="0096524F">
        <w:t xml:space="preserve"> </w:t>
      </w:r>
      <w:r w:rsidRPr="0096524F">
        <w:rPr>
          <w:i/>
        </w:rPr>
        <w:t xml:space="preserve">See </w:t>
      </w:r>
      <w:r w:rsidRPr="0096524F">
        <w:t>Sears, Roebuck &amp; Co.</w:t>
      </w:r>
      <w:r w:rsidRPr="0096524F">
        <w:t xml:space="preserve"> </w:t>
      </w:r>
      <w:r w:rsidRPr="0096524F">
        <w:t>v.</w:t>
      </w:r>
      <w:r w:rsidRPr="0096524F">
        <w:t xml:space="preserve"> </w:t>
      </w:r>
      <w:r w:rsidRPr="0096524F">
        <w:t>Menard, Inc., 72 USPQ2d 1221, 1224 (N.D.</w:t>
      </w:r>
      <w:r w:rsidRPr="0096524F">
        <w:t xml:space="preserve"> </w:t>
      </w:r>
      <w:r w:rsidRPr="0096524F">
        <w:t>Ill.</w:t>
      </w:r>
      <w:r w:rsidRPr="0096524F">
        <w:t xml:space="preserve"> </w:t>
      </w:r>
      <w:r w:rsidRPr="0096524F">
        <w:t xml:space="preserve">2003) (infringement case, citing </w:t>
      </w:r>
      <w:r w:rsidRPr="0096524F">
        <w:rPr>
          <w:i/>
        </w:rPr>
        <w:t>Daubert</w:t>
      </w:r>
      <w:r w:rsidRPr="0096524F">
        <w:t xml:space="preserve"> and ultimately rejecting a confusion survey).</w:t>
      </w:r>
    </w:p>
  </w:footnote>
  <w:footnote w:id="999">
    <w:p w14:paraId="59C3FEF4" w14:textId="3C7C0EC7" w:rsidR="0096524F" w:rsidRPr="00EB11B3" w:rsidRDefault="0096524F" w:rsidP="0096524F">
      <w:pPr>
        <w:pStyle w:val="FootnoteText"/>
      </w:pPr>
      <w:r w:rsidRPr="0096524F">
        <w:rPr>
          <w:vertAlign w:val="superscript"/>
        </w:rPr>
        <w:footnoteRef/>
      </w:r>
      <w:r w:rsidRPr="0096524F">
        <w:t>Smith v.</w:t>
      </w:r>
      <w:r w:rsidRPr="0096524F">
        <w:t xml:space="preserve"> </w:t>
      </w:r>
      <w:r w:rsidRPr="0096524F">
        <w:t>Wal-Mart Stores, Inc., 537 F.</w:t>
      </w:r>
      <w:r w:rsidRPr="0096524F">
        <w:t xml:space="preserve"> </w:t>
      </w:r>
      <w:r w:rsidRPr="0096524F">
        <w:t>Supp.</w:t>
      </w:r>
      <w:r w:rsidRPr="0096524F">
        <w:t xml:space="preserve"> </w:t>
      </w:r>
      <w:r w:rsidRPr="0096524F">
        <w:t>2d 1302, 1334, 86 USPQ2d 1835 (N.D.</w:t>
      </w:r>
      <w:r w:rsidRPr="0096524F">
        <w:t xml:space="preserve"> </w:t>
      </w:r>
      <w:r w:rsidRPr="0096524F">
        <w:t>Ga.</w:t>
      </w:r>
      <w:r w:rsidRPr="0096524F">
        <w:t xml:space="preserve"> </w:t>
      </w:r>
      <w:r w:rsidRPr="0096524F">
        <w:t>2008);</w:t>
      </w:r>
      <w:r w:rsidRPr="0096524F">
        <w:t xml:space="preserve"> </w:t>
      </w:r>
      <w:r w:rsidRPr="0096524F">
        <w:t>Louis Vuitton Malletier v.</w:t>
      </w:r>
      <w:r w:rsidRPr="0096524F">
        <w:t xml:space="preserve"> </w:t>
      </w:r>
      <w:r w:rsidRPr="0096524F">
        <w:t>Dooney &amp; Bourke, Inc., 525 F.</w:t>
      </w:r>
      <w:r w:rsidRPr="0096524F">
        <w:t xml:space="preserve"> </w:t>
      </w:r>
      <w:r w:rsidRPr="0096524F">
        <w:t>Supp.</w:t>
      </w:r>
      <w:r w:rsidRPr="0096524F">
        <w:t xml:space="preserve"> </w:t>
      </w:r>
      <w:r w:rsidRPr="0096524F">
        <w:t>2d 558, 563 (S.D.N.Y.</w:t>
      </w:r>
      <w:r w:rsidRPr="0096524F">
        <w:t xml:space="preserve"> </w:t>
      </w:r>
      <w:r w:rsidRPr="0096524F">
        <w:t>2007);</w:t>
      </w:r>
      <w:r w:rsidRPr="0096524F">
        <w:t xml:space="preserve"> </w:t>
      </w:r>
      <w:r w:rsidRPr="0096524F">
        <w:t>Board of Regents, Univ.</w:t>
      </w:r>
      <w:r w:rsidRPr="0096524F">
        <w:t xml:space="preserve"> </w:t>
      </w:r>
      <w:r w:rsidRPr="0096524F">
        <w:t>of Tex.</w:t>
      </w:r>
      <w:r w:rsidRPr="0096524F">
        <w:t xml:space="preserve"> </w:t>
      </w:r>
      <w:r w:rsidRPr="0096524F">
        <w:t>Sys.</w:t>
      </w:r>
      <w:r w:rsidRPr="0096524F">
        <w:t xml:space="preserve"> </w:t>
      </w:r>
      <w:r w:rsidRPr="0096524F">
        <w:t>v.</w:t>
      </w:r>
      <w:r w:rsidRPr="0096524F">
        <w:t xml:space="preserve"> </w:t>
      </w:r>
      <w:r w:rsidRPr="0096524F">
        <w:t>KST Elec., Ltd., 2007 U.S.</w:t>
      </w:r>
      <w:r w:rsidRPr="0096524F">
        <w:t xml:space="preserve"> </w:t>
      </w:r>
      <w:r w:rsidRPr="0096524F">
        <w:t>Dist.</w:t>
      </w:r>
      <w:r w:rsidRPr="0096524F">
        <w:t xml:space="preserve"> </w:t>
      </w:r>
      <w:r w:rsidRPr="0096524F">
        <w:t>LEXIS 96129, at *7 (W.D.</w:t>
      </w:r>
      <w:r w:rsidRPr="0096524F">
        <w:t xml:space="preserve"> </w:t>
      </w:r>
      <w:r w:rsidRPr="0096524F">
        <w:t>Tex.</w:t>
      </w:r>
      <w:r w:rsidRPr="0096524F">
        <w:t xml:space="preserve"> </w:t>
      </w:r>
      <w:r w:rsidRPr="0096524F">
        <w:t>Oct.</w:t>
      </w:r>
      <w:r w:rsidRPr="0096524F">
        <w:t xml:space="preserve"> </w:t>
      </w:r>
      <w:r w:rsidRPr="0096524F">
        <w:t>19, 2007);</w:t>
      </w:r>
      <w:r w:rsidRPr="0096524F">
        <w:t xml:space="preserve"> </w:t>
      </w:r>
      <w:r w:rsidRPr="0096524F">
        <w:t>Hodgdon Powder Co.</w:t>
      </w:r>
      <w:r w:rsidRPr="0096524F">
        <w:t xml:space="preserve"> </w:t>
      </w:r>
      <w:r w:rsidRPr="0096524F">
        <w:t>v.</w:t>
      </w:r>
      <w:r w:rsidRPr="0096524F">
        <w:t xml:space="preserve"> </w:t>
      </w:r>
      <w:r w:rsidRPr="0096524F">
        <w:t>Alliant Techsystems, Inc., 512 F.</w:t>
      </w:r>
      <w:r w:rsidRPr="0096524F">
        <w:t xml:space="preserve"> </w:t>
      </w:r>
      <w:r w:rsidRPr="0096524F">
        <w:t>Supp.</w:t>
      </w:r>
      <w:r w:rsidRPr="0096524F">
        <w:t xml:space="preserve"> </w:t>
      </w:r>
      <w:r w:rsidRPr="0096524F">
        <w:t>2d 1178, 1180 (D.</w:t>
      </w:r>
      <w:r w:rsidRPr="0096524F">
        <w:t xml:space="preserve"> </w:t>
      </w:r>
      <w:r w:rsidRPr="0096524F">
        <w:t>Kan.</w:t>
      </w:r>
      <w:r w:rsidRPr="0096524F">
        <w:t xml:space="preserve"> </w:t>
      </w:r>
      <w:r w:rsidRPr="0096524F">
        <w:t>2007);</w:t>
      </w:r>
      <w:r w:rsidRPr="0096524F">
        <w:t xml:space="preserve"> </w:t>
      </w:r>
      <w:r w:rsidRPr="0096524F">
        <w:t>University of Kan.</w:t>
      </w:r>
      <w:r w:rsidRPr="0096524F">
        <w:t xml:space="preserve"> </w:t>
      </w:r>
      <w:r w:rsidRPr="0096524F">
        <w:t>v.</w:t>
      </w:r>
      <w:r w:rsidRPr="0096524F">
        <w:t xml:space="preserve"> </w:t>
      </w:r>
      <w:r w:rsidRPr="0096524F">
        <w:t>Sinks, 2008 U.S.</w:t>
      </w:r>
      <w:r w:rsidRPr="0096524F">
        <w:t xml:space="preserve"> </w:t>
      </w:r>
      <w:r w:rsidRPr="0096524F">
        <w:t>Dist.</w:t>
      </w:r>
      <w:r w:rsidRPr="0096524F">
        <w:t xml:space="preserve"> </w:t>
      </w:r>
      <w:r w:rsidRPr="0096524F">
        <w:t>LEXIS 23763, at *3–5 (D.</w:t>
      </w:r>
      <w:r w:rsidRPr="0096524F">
        <w:t xml:space="preserve"> </w:t>
      </w:r>
      <w:r w:rsidRPr="0096524F">
        <w:t>Kan.</w:t>
      </w:r>
      <w:r w:rsidRPr="0096524F">
        <w:t xml:space="preserve"> </w:t>
      </w:r>
      <w:r w:rsidRPr="0096524F">
        <w:t>Mar.</w:t>
      </w:r>
      <w:r w:rsidRPr="0096524F">
        <w:t xml:space="preserve"> </w:t>
      </w:r>
      <w:r w:rsidRPr="0096524F">
        <w:t>19, 2008).</w:t>
      </w:r>
    </w:p>
  </w:footnote>
  <w:footnote w:id="1000">
    <w:p w14:paraId="34659B3D" w14:textId="2860932E" w:rsidR="0096524F" w:rsidRPr="00EB11B3" w:rsidRDefault="0096524F" w:rsidP="0096524F">
      <w:pPr>
        <w:pStyle w:val="FootnoteText"/>
      </w:pPr>
      <w:r w:rsidRPr="0096524F">
        <w:rPr>
          <w:vertAlign w:val="superscript"/>
        </w:rPr>
        <w:footnoteRef/>
      </w:r>
      <w:r w:rsidRPr="0096524F">
        <w:rPr>
          <w:i/>
        </w:rPr>
        <w:t>See Dooney &amp; Bourke</w:t>
      </w:r>
      <w:r w:rsidRPr="0096524F">
        <w:t>, 525 F.</w:t>
      </w:r>
      <w:r w:rsidRPr="0096524F">
        <w:t xml:space="preserve"> </w:t>
      </w:r>
      <w:r w:rsidRPr="0096524F">
        <w:t>Supp.</w:t>
      </w:r>
      <w:r w:rsidRPr="0096524F">
        <w:t xml:space="preserve"> </w:t>
      </w:r>
      <w:r w:rsidRPr="0096524F">
        <w:t>2d at 609–11 (rejecting dilution survey);</w:t>
      </w:r>
      <w:r w:rsidRPr="0096524F">
        <w:t xml:space="preserve"> </w:t>
      </w:r>
      <w:r w:rsidRPr="0096524F">
        <w:t>Mattel, Inc.</w:t>
      </w:r>
      <w:r w:rsidRPr="0096524F">
        <w:t xml:space="preserve"> </w:t>
      </w:r>
      <w:r w:rsidRPr="0096524F">
        <w:t>v.</w:t>
      </w:r>
      <w:r w:rsidRPr="0096524F">
        <w:t xml:space="preserve"> </w:t>
      </w:r>
      <w:r w:rsidRPr="0096524F">
        <w:t>MCA Records, Inc., 28 F.</w:t>
      </w:r>
      <w:r w:rsidRPr="0096524F">
        <w:t xml:space="preserve"> </w:t>
      </w:r>
      <w:r w:rsidRPr="0096524F">
        <w:t>Supp.</w:t>
      </w:r>
      <w:r w:rsidRPr="0096524F">
        <w:t xml:space="preserve"> </w:t>
      </w:r>
      <w:r w:rsidRPr="0096524F">
        <w:t>2d 1120, 1155 n.55 (C.D.</w:t>
      </w:r>
      <w:r w:rsidRPr="0096524F">
        <w:t xml:space="preserve"> </w:t>
      </w:r>
      <w:r w:rsidRPr="0096524F">
        <w:t>Cal.</w:t>
      </w:r>
      <w:r w:rsidRPr="0096524F">
        <w:t xml:space="preserve"> </w:t>
      </w:r>
      <w:r w:rsidRPr="0096524F">
        <w:t xml:space="preserve">1998) (rejecting confusion survey for dilution claim), </w:t>
      </w:r>
      <w:r w:rsidRPr="0096524F">
        <w:rPr>
          <w:i/>
        </w:rPr>
        <w:t>aff’d</w:t>
      </w:r>
      <w:r w:rsidRPr="0096524F">
        <w:t xml:space="preserve"> </w:t>
      </w:r>
      <w:r w:rsidRPr="0096524F">
        <w:rPr>
          <w:i/>
        </w:rPr>
        <w:t>on other grounds</w:t>
      </w:r>
      <w:r w:rsidRPr="0096524F">
        <w:t>, 296 F.3d 894, 63 USPQ2d 1715 (9th Cir.</w:t>
      </w:r>
      <w:r w:rsidRPr="0096524F">
        <w:t xml:space="preserve"> </w:t>
      </w:r>
      <w:r w:rsidRPr="0096524F">
        <w:t xml:space="preserve">2002), </w:t>
      </w:r>
      <w:r w:rsidRPr="0096524F">
        <w:rPr>
          <w:i/>
        </w:rPr>
        <w:t>cert</w:t>
      </w:r>
      <w:r w:rsidRPr="0096524F">
        <w:t>.</w:t>
      </w:r>
      <w:r w:rsidRPr="0096524F">
        <w:t xml:space="preserve"> </w:t>
      </w:r>
      <w:r w:rsidRPr="0096524F">
        <w:rPr>
          <w:i/>
        </w:rPr>
        <w:t>denied</w:t>
      </w:r>
      <w:r w:rsidRPr="0096524F">
        <w:t>, 537 U.S.</w:t>
      </w:r>
      <w:r w:rsidRPr="0096524F">
        <w:t xml:space="preserve"> </w:t>
      </w:r>
      <w:r w:rsidRPr="0096524F">
        <w:t>1171 (2003).</w:t>
      </w:r>
    </w:p>
  </w:footnote>
  <w:footnote w:id="1001">
    <w:p w14:paraId="41173629" w14:textId="09A36904" w:rsidR="0096524F" w:rsidRPr="00EB11B3" w:rsidRDefault="0096524F" w:rsidP="0096524F">
      <w:pPr>
        <w:pStyle w:val="FootnoteText"/>
      </w:pPr>
      <w:r w:rsidRPr="0096524F">
        <w:rPr>
          <w:vertAlign w:val="superscript"/>
        </w:rPr>
        <w:footnoteRef/>
      </w:r>
      <w:r w:rsidRPr="0096524F">
        <w:rPr>
          <w:i/>
        </w:rPr>
        <w:t xml:space="preserve">See </w:t>
      </w:r>
      <w:r w:rsidRPr="0096524F">
        <w:t>National Pork Bd.</w:t>
      </w:r>
      <w:r w:rsidRPr="0096524F">
        <w:t xml:space="preserve"> </w:t>
      </w:r>
      <w:r w:rsidRPr="0096524F">
        <w:t>v.</w:t>
      </w:r>
      <w:r w:rsidRPr="0096524F">
        <w:t xml:space="preserve"> </w:t>
      </w:r>
      <w:r w:rsidRPr="0096524F">
        <w:t>Supreme Lobster &amp; Seafood Co., 96 USPQ2d 1479, 1490–92 (T.T.A.B.</w:t>
      </w:r>
      <w:r w:rsidRPr="0096524F">
        <w:t xml:space="preserve"> </w:t>
      </w:r>
      <w:r w:rsidRPr="0096524F">
        <w:t>2010) (allowing association survey into evidence, although ultimately not using it to measure actual association for blurring).</w:t>
      </w:r>
      <w:r w:rsidRPr="0096524F">
        <w:t xml:space="preserve"> </w:t>
      </w:r>
      <w:r w:rsidRPr="0096524F">
        <w:rPr>
          <w:i/>
        </w:rPr>
        <w:t>Cf</w:t>
      </w:r>
      <w:r w:rsidRPr="0096524F">
        <w:t>.</w:t>
      </w:r>
      <w:r w:rsidRPr="0096524F">
        <w:t xml:space="preserve"> </w:t>
      </w:r>
      <w:r w:rsidRPr="0096524F">
        <w:t>Starbucks Corp.</w:t>
      </w:r>
      <w:r w:rsidRPr="0096524F">
        <w:t xml:space="preserve"> </w:t>
      </w:r>
      <w:r w:rsidRPr="0096524F">
        <w:t>v.</w:t>
      </w:r>
      <w:r w:rsidRPr="0096524F">
        <w:t xml:space="preserve"> </w:t>
      </w:r>
      <w:r w:rsidRPr="0096524F">
        <w:t>Lundberg, 2005 U.S.</w:t>
      </w:r>
      <w:r w:rsidRPr="0096524F">
        <w:t xml:space="preserve"> </w:t>
      </w:r>
      <w:r w:rsidRPr="0096524F">
        <w:t>Dist.</w:t>
      </w:r>
      <w:r w:rsidRPr="0096524F">
        <w:t xml:space="preserve"> </w:t>
      </w:r>
      <w:r w:rsidRPr="0096524F">
        <w:t>LEXIS 46167 (D.</w:t>
      </w:r>
      <w:r w:rsidRPr="0096524F">
        <w:t xml:space="preserve"> </w:t>
      </w:r>
      <w:r w:rsidRPr="0096524F">
        <w:t>Or.</w:t>
      </w:r>
      <w:r w:rsidRPr="0096524F">
        <w:t xml:space="preserve"> </w:t>
      </w:r>
      <w:r w:rsidRPr="0096524F">
        <w:t>May 25, 2005) (ruling on survey evidence of brand association under Oregon law).</w:t>
      </w:r>
    </w:p>
  </w:footnote>
  <w:footnote w:id="1002">
    <w:p w14:paraId="7E5ECD91" w14:textId="46483EE9" w:rsidR="0096524F" w:rsidRPr="00EB11B3" w:rsidRDefault="0096524F" w:rsidP="0096524F">
      <w:pPr>
        <w:pStyle w:val="FootnoteText"/>
      </w:pPr>
      <w:r w:rsidRPr="0096524F">
        <w:rPr>
          <w:vertAlign w:val="superscript"/>
        </w:rPr>
        <w:footnoteRef/>
      </w:r>
      <w:r w:rsidRPr="0096524F">
        <w:rPr>
          <w:i/>
        </w:rPr>
        <w:t>See</w:t>
      </w:r>
      <w:r w:rsidRPr="0096524F">
        <w:t xml:space="preserve"> Ringling Bros.-Barnum &amp; Bailey Combined Shows, Inc.</w:t>
      </w:r>
      <w:r w:rsidRPr="0096524F">
        <w:t xml:space="preserve"> </w:t>
      </w:r>
      <w:r w:rsidRPr="0096524F">
        <w:t>v.</w:t>
      </w:r>
      <w:r w:rsidRPr="0096524F">
        <w:t xml:space="preserve"> </w:t>
      </w:r>
      <w:r w:rsidRPr="0096524F">
        <w:t>Utah Div.</w:t>
      </w:r>
      <w:r w:rsidRPr="0096524F">
        <w:t xml:space="preserve"> </w:t>
      </w:r>
      <w:r w:rsidRPr="0096524F">
        <w:t xml:space="preserve">of Travel Dev., 170 F.3d 449, 463, 50 USPQ2d 1065 (4th Cir.) (using actual dilution standard under original FTDA, rejecting “calling to mind” as insufficient), </w:t>
      </w:r>
      <w:r w:rsidRPr="0096524F">
        <w:rPr>
          <w:i/>
        </w:rPr>
        <w:t>cert</w:t>
      </w:r>
      <w:r w:rsidRPr="0096524F">
        <w:t>.</w:t>
      </w:r>
      <w:r w:rsidRPr="0096524F">
        <w:t xml:space="preserve"> </w:t>
      </w:r>
      <w:r w:rsidRPr="0096524F">
        <w:rPr>
          <w:i/>
        </w:rPr>
        <w:t>denied,</w:t>
      </w:r>
      <w:r w:rsidRPr="0096524F">
        <w:t xml:space="preserve"> 528 U.S.</w:t>
      </w:r>
      <w:r w:rsidRPr="0096524F">
        <w:t xml:space="preserve"> </w:t>
      </w:r>
      <w:r w:rsidRPr="0096524F">
        <w:t>923 (1999).</w:t>
      </w:r>
    </w:p>
  </w:footnote>
  <w:footnote w:id="1003">
    <w:p w14:paraId="6C482671" w14:textId="57D9D6AF" w:rsidR="0096524F" w:rsidRPr="00EB11B3" w:rsidRDefault="0096524F" w:rsidP="0096524F">
      <w:pPr>
        <w:pStyle w:val="FootnoteText"/>
      </w:pPr>
      <w:r w:rsidRPr="0096524F">
        <w:rPr>
          <w:vertAlign w:val="superscript"/>
        </w:rPr>
        <w:footnoteRef/>
      </w:r>
      <w:r w:rsidRPr="0096524F">
        <w:rPr>
          <w:i/>
        </w:rPr>
        <w:t>NFL Properties,</w:t>
      </w:r>
      <w:r w:rsidRPr="0096524F">
        <w:t xml:space="preserve"> 57 F.</w:t>
      </w:r>
      <w:r w:rsidRPr="0096524F">
        <w:t xml:space="preserve"> </w:t>
      </w:r>
      <w:r w:rsidRPr="0096524F">
        <w:t>Supp.</w:t>
      </w:r>
      <w:r w:rsidRPr="0096524F">
        <w:t xml:space="preserve"> </w:t>
      </w:r>
      <w:r w:rsidRPr="0096524F">
        <w:t>2d at 669–71.</w:t>
      </w:r>
      <w:r w:rsidRPr="0096524F">
        <w:t xml:space="preserve"> </w:t>
      </w:r>
      <w:r w:rsidRPr="0096524F">
        <w:rPr>
          <w:i/>
        </w:rPr>
        <w:t>See</w:t>
      </w:r>
      <w:r w:rsidRPr="0096524F">
        <w:t xml:space="preserve"> Smith v.</w:t>
      </w:r>
      <w:r w:rsidRPr="0096524F">
        <w:t xml:space="preserve"> </w:t>
      </w:r>
      <w:r w:rsidRPr="0096524F">
        <w:t>Wal-Mart Stores, Inc., 537 F.</w:t>
      </w:r>
      <w:r w:rsidRPr="0096524F">
        <w:t xml:space="preserve"> </w:t>
      </w:r>
      <w:r w:rsidRPr="0096524F">
        <w:t>Supp.</w:t>
      </w:r>
      <w:r w:rsidRPr="0096524F">
        <w:t xml:space="preserve"> </w:t>
      </w:r>
      <w:r w:rsidRPr="0096524F">
        <w:t>2d 1302, 1330–31 (N.D.</w:t>
      </w:r>
      <w:r w:rsidRPr="0096524F">
        <w:t xml:space="preserve"> </w:t>
      </w:r>
      <w:r w:rsidRPr="0096524F">
        <w:t>Ga.</w:t>
      </w:r>
      <w:r w:rsidRPr="0096524F">
        <w:t xml:space="preserve"> </w:t>
      </w:r>
      <w:r w:rsidRPr="0096524F">
        <w:t>2008) (discussing need for double blind survey).</w:t>
      </w:r>
    </w:p>
  </w:footnote>
  <w:footnote w:id="1004">
    <w:p w14:paraId="1D958996" w14:textId="29DBFDD3" w:rsidR="0096524F" w:rsidRPr="00EB11B3" w:rsidRDefault="0096524F" w:rsidP="0096524F">
      <w:pPr>
        <w:pStyle w:val="FootnoteText"/>
      </w:pPr>
      <w:r w:rsidRPr="0096524F">
        <w:rPr>
          <w:vertAlign w:val="superscript"/>
        </w:rPr>
        <w:footnoteRef/>
      </w:r>
      <w:r w:rsidRPr="0096524F">
        <w:rPr>
          <w:i/>
        </w:rPr>
        <w:t>See</w:t>
      </w:r>
      <w:r w:rsidRPr="0096524F">
        <w:t xml:space="preserve"> </w:t>
      </w:r>
      <w:r w:rsidRPr="0096524F">
        <w:rPr>
          <w:i/>
        </w:rPr>
        <w:t>Hodgdon Powder</w:t>
      </w:r>
      <w:r w:rsidRPr="0096524F">
        <w:t>, 512 F.</w:t>
      </w:r>
      <w:r w:rsidRPr="0096524F">
        <w:t xml:space="preserve"> </w:t>
      </w:r>
      <w:r w:rsidRPr="0096524F">
        <w:t>Supp.</w:t>
      </w:r>
      <w:r w:rsidRPr="0096524F">
        <w:t xml:space="preserve"> </w:t>
      </w:r>
      <w:r w:rsidRPr="0096524F">
        <w:t>2d at 1181;</w:t>
      </w:r>
      <w:r w:rsidRPr="0096524F">
        <w:t xml:space="preserve"> </w:t>
      </w:r>
      <w:r w:rsidRPr="0096524F">
        <w:rPr>
          <w:i/>
        </w:rPr>
        <w:t>Smith</w:t>
      </w:r>
      <w:r w:rsidRPr="0096524F">
        <w:t>, 537 F.</w:t>
      </w:r>
      <w:r w:rsidRPr="0096524F">
        <w:t xml:space="preserve"> </w:t>
      </w:r>
      <w:r w:rsidRPr="0096524F">
        <w:t>Supp.</w:t>
      </w:r>
      <w:r w:rsidRPr="0096524F">
        <w:t xml:space="preserve"> </w:t>
      </w:r>
      <w:r w:rsidRPr="0096524F">
        <w:t>2d at 1326–27 (survey universe criticized for being overinclusive);</w:t>
      </w:r>
      <w:r w:rsidRPr="0096524F">
        <w:t xml:space="preserve"> </w:t>
      </w:r>
      <w:r w:rsidRPr="0096524F">
        <w:t>Westchester Media Co.</w:t>
      </w:r>
      <w:r w:rsidRPr="0096524F">
        <w:t xml:space="preserve"> </w:t>
      </w:r>
      <w:r w:rsidRPr="0096524F">
        <w:t>L.P.</w:t>
      </w:r>
      <w:r w:rsidRPr="0096524F">
        <w:t xml:space="preserve"> </w:t>
      </w:r>
      <w:r w:rsidRPr="0096524F">
        <w:t>v.</w:t>
      </w:r>
      <w:r w:rsidRPr="0096524F">
        <w:t xml:space="preserve"> </w:t>
      </w:r>
      <w:r w:rsidRPr="0096524F">
        <w:t>PRL USA Holdings, Inc., 103 F.</w:t>
      </w:r>
      <w:r w:rsidRPr="0096524F">
        <w:t xml:space="preserve"> </w:t>
      </w:r>
      <w:r w:rsidRPr="0096524F">
        <w:t>Supp.</w:t>
      </w:r>
      <w:r w:rsidRPr="0096524F">
        <w:t xml:space="preserve"> </w:t>
      </w:r>
      <w:r w:rsidRPr="0096524F">
        <w:t>2d 935, 965–66 (S.D.</w:t>
      </w:r>
      <w:r w:rsidRPr="0096524F">
        <w:t xml:space="preserve"> </w:t>
      </w:r>
      <w:r w:rsidRPr="0096524F">
        <w:t>Tex.</w:t>
      </w:r>
      <w:r w:rsidRPr="0096524F">
        <w:t xml:space="preserve"> </w:t>
      </w:r>
      <w:r w:rsidRPr="0096524F">
        <w:t xml:space="preserve">1999), </w:t>
      </w:r>
      <w:r w:rsidRPr="0096524F">
        <w:rPr>
          <w:i/>
        </w:rPr>
        <w:t>aff’d,</w:t>
      </w:r>
      <w:r w:rsidRPr="0096524F">
        <w:t xml:space="preserve"> 214 F.3d 658, 55 USPQ2d 1225 (5th Cir.</w:t>
      </w:r>
      <w:r w:rsidRPr="0096524F">
        <w:t xml:space="preserve"> </w:t>
      </w:r>
      <w:r w:rsidRPr="0096524F">
        <w:t>2000);</w:t>
      </w:r>
      <w:r w:rsidRPr="0096524F">
        <w:t xml:space="preserve"> </w:t>
      </w:r>
      <w:r w:rsidRPr="0096524F">
        <w:rPr>
          <w:i/>
        </w:rPr>
        <w:t>see</w:t>
      </w:r>
      <w:r w:rsidRPr="0096524F">
        <w:t xml:space="preserve"> Nike, Inc.</w:t>
      </w:r>
      <w:r w:rsidRPr="0096524F">
        <w:t xml:space="preserve"> </w:t>
      </w:r>
      <w:r w:rsidRPr="0096524F">
        <w:t>v.</w:t>
      </w:r>
      <w:r w:rsidRPr="0096524F">
        <w:t xml:space="preserve"> </w:t>
      </w:r>
      <w:r w:rsidRPr="0096524F">
        <w:t>Nikepal Int’l, Inc., 2007 U.S.</w:t>
      </w:r>
      <w:r w:rsidRPr="0096524F">
        <w:t xml:space="preserve"> </w:t>
      </w:r>
      <w:r w:rsidRPr="0096524F">
        <w:t>Dist.</w:t>
      </w:r>
      <w:r w:rsidRPr="0096524F">
        <w:t xml:space="preserve"> </w:t>
      </w:r>
      <w:r w:rsidRPr="0096524F">
        <w:t>LEXIS 16966, at *13–15 (E.D.</w:t>
      </w:r>
      <w:r w:rsidRPr="0096524F">
        <w:t xml:space="preserve"> </w:t>
      </w:r>
      <w:r w:rsidRPr="0096524F">
        <w:t>Cal.</w:t>
      </w:r>
      <w:r w:rsidRPr="0096524F">
        <w:t xml:space="preserve"> </w:t>
      </w:r>
      <w:r w:rsidRPr="0096524F">
        <w:t>Feb.</w:t>
      </w:r>
      <w:r w:rsidRPr="0096524F">
        <w:t xml:space="preserve"> </w:t>
      </w:r>
      <w:r w:rsidRPr="0096524F">
        <w:t>27, 2007) (though survey deemed relevant, court denied summary judgment and noted that possible flaws in plaintiff’s survey, especially as to relevant respondents, created issue of fact).</w:t>
      </w:r>
    </w:p>
  </w:footnote>
  <w:footnote w:id="1005">
    <w:p w14:paraId="43132429" w14:textId="77A5599F" w:rsidR="0096524F" w:rsidRPr="00EB11B3" w:rsidRDefault="0096524F" w:rsidP="0096524F">
      <w:pPr>
        <w:pStyle w:val="FootnoteText"/>
      </w:pPr>
      <w:r w:rsidRPr="0096524F">
        <w:rPr>
          <w:vertAlign w:val="superscript"/>
        </w:rPr>
        <w:footnoteRef/>
      </w:r>
      <w:r w:rsidRPr="0096524F">
        <w:rPr>
          <w:i/>
        </w:rPr>
        <w:t>NFL Properties,</w:t>
      </w:r>
      <w:r w:rsidRPr="0096524F">
        <w:t xml:space="preserve"> 57 F.</w:t>
      </w:r>
      <w:r w:rsidRPr="0096524F">
        <w:t xml:space="preserve"> </w:t>
      </w:r>
      <w:r w:rsidRPr="0096524F">
        <w:t>Supp.</w:t>
      </w:r>
      <w:r w:rsidRPr="0096524F">
        <w:t xml:space="preserve"> </w:t>
      </w:r>
      <w:r w:rsidRPr="0096524F">
        <w:t>2d at 668.</w:t>
      </w:r>
    </w:p>
  </w:footnote>
  <w:footnote w:id="1006">
    <w:p w14:paraId="393532B8" w14:textId="57C8B05C" w:rsidR="0096524F" w:rsidRPr="00EB11B3" w:rsidRDefault="0096524F" w:rsidP="0096524F">
      <w:pPr>
        <w:pStyle w:val="FootnoteText"/>
      </w:pPr>
      <w:r w:rsidRPr="0096524F">
        <w:rPr>
          <w:vertAlign w:val="superscript"/>
        </w:rPr>
        <w:footnoteRef/>
      </w:r>
      <w:r w:rsidRPr="0096524F">
        <w:rPr>
          <w:i/>
        </w:rPr>
        <w:t>Hodgdon Powder</w:t>
      </w:r>
      <w:r w:rsidRPr="0096524F">
        <w:t>, 512 F.</w:t>
      </w:r>
      <w:r w:rsidRPr="0096524F">
        <w:t xml:space="preserve"> </w:t>
      </w:r>
      <w:r w:rsidRPr="0096524F">
        <w:t>Supp.</w:t>
      </w:r>
      <w:r w:rsidRPr="0096524F">
        <w:t xml:space="preserve"> </w:t>
      </w:r>
      <w:r w:rsidRPr="0096524F">
        <w:t>2d at 1181;</w:t>
      </w:r>
      <w:r w:rsidRPr="0096524F">
        <w:t xml:space="preserve"> </w:t>
      </w:r>
      <w:r w:rsidRPr="0096524F">
        <w:rPr>
          <w:i/>
        </w:rPr>
        <w:t>Smith</w:t>
      </w:r>
      <w:r w:rsidRPr="0096524F">
        <w:t>, 527 F.</w:t>
      </w:r>
      <w:r w:rsidRPr="0096524F">
        <w:t xml:space="preserve"> </w:t>
      </w:r>
      <w:r w:rsidRPr="0096524F">
        <w:t>Supp.</w:t>
      </w:r>
      <w:r w:rsidRPr="0096524F">
        <w:t xml:space="preserve"> </w:t>
      </w:r>
      <w:r w:rsidRPr="0096524F">
        <w:t>2d at 1331–32.</w:t>
      </w:r>
    </w:p>
  </w:footnote>
  <w:footnote w:id="1007">
    <w:p w14:paraId="193ADE08" w14:textId="280E9DAE"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rPr>
          <w:i/>
        </w:rPr>
        <w:t>See</w:t>
      </w:r>
      <w:r w:rsidRPr="0096524F">
        <w:t xml:space="preserve"> Gucci Am., Inc.</w:t>
      </w:r>
      <w:r w:rsidRPr="0096524F">
        <w:t xml:space="preserve"> </w:t>
      </w:r>
      <w:r w:rsidRPr="0096524F">
        <w:t>v.</w:t>
      </w:r>
      <w:r w:rsidRPr="0096524F">
        <w:t xml:space="preserve"> </w:t>
      </w:r>
      <w:r w:rsidRPr="0096524F">
        <w:t>Guess?, Inc., 831 F.</w:t>
      </w:r>
      <w:r w:rsidRPr="0096524F">
        <w:t xml:space="preserve"> </w:t>
      </w:r>
      <w:r w:rsidRPr="0096524F">
        <w:t>Supp.</w:t>
      </w:r>
      <w:r w:rsidRPr="0096524F">
        <w:t xml:space="preserve"> </w:t>
      </w:r>
      <w:r w:rsidRPr="0096524F">
        <w:t>2d 723, 738, 102 USPQ2d 1225, (S.D.N.Y.</w:t>
      </w:r>
      <w:r w:rsidRPr="0096524F">
        <w:t xml:space="preserve"> </w:t>
      </w:r>
      <w:r w:rsidRPr="0096524F">
        <w:t>2011);</w:t>
      </w:r>
      <w:r w:rsidRPr="0096524F">
        <w:t xml:space="preserve"> </w:t>
      </w:r>
      <w:r w:rsidRPr="0096524F">
        <w:rPr>
          <w:i/>
        </w:rPr>
        <w:t>Dooney &amp; Bourke</w:t>
      </w:r>
      <w:r w:rsidRPr="0096524F">
        <w:t>, 525 F.</w:t>
      </w:r>
      <w:r w:rsidRPr="0096524F">
        <w:t xml:space="preserve"> </w:t>
      </w:r>
      <w:r w:rsidRPr="0096524F">
        <w:t>Supp.</w:t>
      </w:r>
      <w:r w:rsidRPr="0096524F">
        <w:t xml:space="preserve"> </w:t>
      </w:r>
      <w:r w:rsidRPr="0096524F">
        <w:t>2d at 611–12.</w:t>
      </w:r>
    </w:p>
  </w:footnote>
  <w:footnote w:id="1008">
    <w:p w14:paraId="2BD09790" w14:textId="5B17E40C" w:rsidR="0096524F" w:rsidRPr="00EB11B3" w:rsidRDefault="0096524F" w:rsidP="0096524F">
      <w:pPr>
        <w:pStyle w:val="FootnoteText"/>
      </w:pPr>
      <w:r w:rsidRPr="0096524F">
        <w:rPr>
          <w:vertAlign w:val="superscript"/>
        </w:rPr>
        <w:footnoteRef/>
      </w:r>
      <w:r w:rsidRPr="0096524F">
        <w:rPr>
          <w:i/>
        </w:rPr>
        <w:t>NFL Properties</w:t>
      </w:r>
      <w:r w:rsidRPr="0096524F">
        <w:t>, 57 F.</w:t>
      </w:r>
      <w:r w:rsidRPr="0096524F">
        <w:t xml:space="preserve"> </w:t>
      </w:r>
      <w:r w:rsidRPr="0096524F">
        <w:t>Supp.</w:t>
      </w:r>
      <w:r w:rsidRPr="0096524F">
        <w:t xml:space="preserve"> </w:t>
      </w:r>
      <w:r w:rsidRPr="0096524F">
        <w:t>2d at 672–73.</w:t>
      </w:r>
      <w:r w:rsidRPr="0096524F">
        <w:t xml:space="preserve"> </w:t>
      </w:r>
      <w:r w:rsidRPr="0096524F">
        <w:rPr>
          <w:i/>
        </w:rPr>
        <w:t>See</w:t>
      </w:r>
      <w:r w:rsidRPr="0096524F">
        <w:t xml:space="preserve"> University of Kan.</w:t>
      </w:r>
      <w:r w:rsidRPr="0096524F">
        <w:t xml:space="preserve"> </w:t>
      </w:r>
      <w:r w:rsidRPr="0096524F">
        <w:t>v.</w:t>
      </w:r>
      <w:r w:rsidRPr="0096524F">
        <w:t xml:space="preserve"> </w:t>
      </w:r>
      <w:r w:rsidRPr="0096524F">
        <w:t>Sinks, 2008 U.S.</w:t>
      </w:r>
      <w:r w:rsidRPr="0096524F">
        <w:t xml:space="preserve"> </w:t>
      </w:r>
      <w:r w:rsidRPr="0096524F">
        <w:t>Dist.</w:t>
      </w:r>
      <w:r w:rsidRPr="0096524F">
        <w:t xml:space="preserve"> </w:t>
      </w:r>
      <w:r w:rsidRPr="0096524F">
        <w:t>LEXIS 23763, at *27–29 (D.</w:t>
      </w:r>
      <w:r w:rsidRPr="0096524F">
        <w:t xml:space="preserve"> </w:t>
      </w:r>
      <w:r w:rsidRPr="0096524F">
        <w:t>Kan.</w:t>
      </w:r>
      <w:r w:rsidRPr="0096524F">
        <w:t xml:space="preserve"> </w:t>
      </w:r>
      <w:r w:rsidRPr="0096524F">
        <w:t>Mar.</w:t>
      </w:r>
      <w:r w:rsidRPr="0096524F">
        <w:t xml:space="preserve"> </w:t>
      </w:r>
      <w:r w:rsidRPr="0096524F">
        <w:t>19, 2008) (faulting survey for relying more on expert’s personal opinion than actual research);</w:t>
      </w:r>
      <w:r w:rsidRPr="0096524F">
        <w:t xml:space="preserve"> </w:t>
      </w:r>
      <w:r w:rsidRPr="0096524F">
        <w:rPr>
          <w:i/>
        </w:rPr>
        <w:t>Smith</w:t>
      </w:r>
      <w:r w:rsidRPr="0096524F">
        <w:t>, 537 F.</w:t>
      </w:r>
      <w:r w:rsidRPr="0096524F">
        <w:t xml:space="preserve"> </w:t>
      </w:r>
      <w:r w:rsidRPr="0096524F">
        <w:t>Supp.</w:t>
      </w:r>
      <w:r w:rsidRPr="0096524F">
        <w:t xml:space="preserve"> </w:t>
      </w:r>
      <w:r w:rsidRPr="0096524F">
        <w:t>2d at 1325 n.23 (expert may not rely on what is “conventional wisdom” in the industry).</w:t>
      </w:r>
    </w:p>
  </w:footnote>
  <w:footnote w:id="1009">
    <w:p w14:paraId="58862989" w14:textId="4FAC38F4" w:rsidR="0096524F" w:rsidRPr="00EB11B3" w:rsidRDefault="0096524F" w:rsidP="0096524F">
      <w:pPr>
        <w:pStyle w:val="FootnoteText"/>
      </w:pPr>
      <w:r w:rsidRPr="0096524F">
        <w:rPr>
          <w:vertAlign w:val="superscript"/>
        </w:rPr>
        <w:footnoteRef/>
      </w:r>
      <w:r w:rsidRPr="0096524F">
        <w:rPr>
          <w:i/>
        </w:rPr>
        <w:t>See</w:t>
      </w:r>
      <w:r w:rsidRPr="0096524F">
        <w:t xml:space="preserve"> </w:t>
      </w:r>
      <w:r w:rsidRPr="0096524F">
        <w:rPr>
          <w:smallCaps/>
        </w:rPr>
        <w:t>Fed.</w:t>
      </w:r>
      <w:r w:rsidRPr="0096524F">
        <w:rPr>
          <w:smallCaps/>
        </w:rPr>
        <w:t xml:space="preserve"> </w:t>
      </w:r>
      <w:r w:rsidRPr="0096524F">
        <w:rPr>
          <w:smallCaps/>
        </w:rPr>
        <w:t>R.</w:t>
      </w:r>
      <w:r w:rsidRPr="0096524F">
        <w:rPr>
          <w:smallCaps/>
        </w:rPr>
        <w:t xml:space="preserve"> </w:t>
      </w:r>
      <w:r w:rsidRPr="0096524F">
        <w:rPr>
          <w:smallCaps/>
        </w:rPr>
        <w:t>Civ.</w:t>
      </w:r>
      <w:r w:rsidRPr="0096524F">
        <w:rPr>
          <w:smallCaps/>
        </w:rPr>
        <w:t xml:space="preserve"> </w:t>
      </w:r>
      <w:r w:rsidRPr="0096524F">
        <w:rPr>
          <w:smallCaps/>
        </w:rPr>
        <w:t>P.</w:t>
      </w:r>
      <w:r w:rsidRPr="0096524F">
        <w:rPr>
          <w:smallCaps/>
        </w:rPr>
        <w:t xml:space="preserve"> </w:t>
      </w:r>
      <w:r w:rsidRPr="0096524F">
        <w:t>26(a)(2), (b)(4).</w:t>
      </w:r>
    </w:p>
  </w:footnote>
  <w:footnote w:id="1010">
    <w:p w14:paraId="412D34DE" w14:textId="642045AB" w:rsidR="0096524F" w:rsidRPr="00EB11B3" w:rsidRDefault="0096524F" w:rsidP="0096524F">
      <w:pPr>
        <w:pStyle w:val="FootnoteText"/>
      </w:pPr>
      <w:r w:rsidRPr="0096524F">
        <w:rPr>
          <w:vertAlign w:val="superscript"/>
        </w:rPr>
        <w:footnoteRef/>
      </w:r>
      <w:r w:rsidRPr="0096524F">
        <w:rPr>
          <w:i/>
        </w:rPr>
        <w:t>NFL Properties,</w:t>
      </w:r>
      <w:r w:rsidRPr="0096524F">
        <w:t xml:space="preserve"> 57 F.</w:t>
      </w:r>
      <w:r w:rsidRPr="0096524F">
        <w:t xml:space="preserve"> </w:t>
      </w:r>
      <w:r w:rsidRPr="0096524F">
        <w:t>Supp.</w:t>
      </w:r>
      <w:r w:rsidRPr="0096524F">
        <w:t xml:space="preserve"> </w:t>
      </w:r>
      <w:r w:rsidRPr="0096524F">
        <w:t>2d at 671.</w:t>
      </w:r>
    </w:p>
  </w:footnote>
  <w:footnote w:id="1011">
    <w:p w14:paraId="12BF1619" w14:textId="1B2C1CBD" w:rsidR="0096524F" w:rsidRPr="00EB11B3" w:rsidRDefault="0096524F" w:rsidP="0096524F">
      <w:pPr>
        <w:pStyle w:val="FootnoteText"/>
      </w:pPr>
      <w:r w:rsidRPr="0096524F">
        <w:rPr>
          <w:vertAlign w:val="superscript"/>
        </w:rPr>
        <w:footnoteRef/>
      </w:r>
      <w:r w:rsidRPr="0096524F">
        <w:rPr>
          <w:i/>
        </w:rPr>
        <w:t>See</w:t>
      </w:r>
      <w:r w:rsidRPr="0096524F">
        <w:t xml:space="preserve"> Qualitex Co.</w:t>
      </w:r>
      <w:r w:rsidRPr="0096524F">
        <w:t xml:space="preserve"> </w:t>
      </w:r>
      <w:r w:rsidRPr="0096524F">
        <w:t>v.</w:t>
      </w:r>
      <w:r w:rsidRPr="0096524F">
        <w:t xml:space="preserve"> </w:t>
      </w:r>
      <w:r w:rsidRPr="0096524F">
        <w:t>Jacobson Prods.</w:t>
      </w:r>
      <w:r w:rsidRPr="0096524F">
        <w:t xml:space="preserve"> </w:t>
      </w:r>
      <w:r w:rsidRPr="0096524F">
        <w:t>Co., 514 U.S.</w:t>
      </w:r>
      <w:r w:rsidRPr="0096524F">
        <w:t xml:space="preserve"> </w:t>
      </w:r>
      <w:r w:rsidRPr="0096524F">
        <w:t>159, 164–65, 34 USPQ2d 1161 (1995) (discussing functionality);</w:t>
      </w:r>
      <w:r w:rsidRPr="0096524F">
        <w:t xml:space="preserve"> </w:t>
      </w:r>
      <w:r w:rsidRPr="0096524F">
        <w:t>W.T.</w:t>
      </w:r>
      <w:r w:rsidRPr="0096524F">
        <w:t xml:space="preserve"> </w:t>
      </w:r>
      <w:r w:rsidRPr="0096524F">
        <w:t>Rogers Co.</w:t>
      </w:r>
      <w:r w:rsidRPr="0096524F">
        <w:t xml:space="preserve"> </w:t>
      </w:r>
      <w:r w:rsidRPr="0096524F">
        <w:t>v.</w:t>
      </w:r>
      <w:r w:rsidRPr="0096524F">
        <w:t xml:space="preserve"> </w:t>
      </w:r>
      <w:r w:rsidRPr="0096524F">
        <w:t>Keene, 778 F.2d 334, 337, 228 USPQ 145 (7th Cir.</w:t>
      </w:r>
      <w:r w:rsidRPr="0096524F">
        <w:t xml:space="preserve"> </w:t>
      </w:r>
      <w:r w:rsidRPr="0096524F">
        <w:t>1985) (discussing likelihood of confusion).</w:t>
      </w:r>
      <w:r w:rsidRPr="0096524F">
        <w:t xml:space="preserve"> </w:t>
      </w:r>
      <w:r w:rsidRPr="0096524F">
        <w:rPr>
          <w:i/>
        </w:rPr>
        <w:t>See also</w:t>
      </w:r>
      <w:r w:rsidRPr="0096524F">
        <w:t xml:space="preserve"> I.P.</w:t>
      </w:r>
      <w:r w:rsidRPr="0096524F">
        <w:t xml:space="preserve"> </w:t>
      </w:r>
      <w:r w:rsidRPr="0096524F">
        <w:t>Lund Trading ApS v.</w:t>
      </w:r>
      <w:r w:rsidRPr="0096524F">
        <w:t xml:space="preserve"> </w:t>
      </w:r>
      <w:r w:rsidRPr="0096524F">
        <w:t>Kohler Co., 163 F.3d 27, 38, 49 USPQ2d 1225 (1st Cir.</w:t>
      </w:r>
      <w:r w:rsidRPr="0096524F">
        <w:t xml:space="preserve"> </w:t>
      </w:r>
      <w:r w:rsidRPr="0096524F">
        <w:t>1998) (discussing functionality).</w:t>
      </w:r>
    </w:p>
  </w:footnote>
  <w:footnote w:id="1012">
    <w:p w14:paraId="439EB8E7" w14:textId="22255285" w:rsidR="0096524F" w:rsidRPr="00EB11B3" w:rsidRDefault="0096524F" w:rsidP="0096524F">
      <w:pPr>
        <w:pStyle w:val="FootnoteText"/>
      </w:pPr>
      <w:r w:rsidRPr="0096524F">
        <w:rPr>
          <w:vertAlign w:val="superscript"/>
        </w:rPr>
        <w:footnoteRef/>
      </w:r>
      <w:r w:rsidRPr="0096524F">
        <w:t>Courts have permitted patented articles to claim trademark protection as well.</w:t>
      </w:r>
      <w:r w:rsidRPr="0096524F">
        <w:t xml:space="preserve"> </w:t>
      </w:r>
      <w:r w:rsidRPr="0096524F">
        <w:rPr>
          <w:i/>
        </w:rPr>
        <w:t>E</w:t>
      </w:r>
      <w:r w:rsidRPr="0096524F">
        <w:t>.</w:t>
      </w:r>
      <w:r w:rsidRPr="0096524F">
        <w:rPr>
          <w:i/>
        </w:rPr>
        <w:t>g</w:t>
      </w:r>
      <w:r w:rsidRPr="0096524F">
        <w:t>., Thomas &amp; Betts Corp.</w:t>
      </w:r>
      <w:r w:rsidRPr="0096524F">
        <w:t xml:space="preserve"> </w:t>
      </w:r>
      <w:r w:rsidRPr="0096524F">
        <w:t>v.</w:t>
      </w:r>
      <w:r w:rsidRPr="0096524F">
        <w:t xml:space="preserve"> </w:t>
      </w:r>
      <w:r w:rsidRPr="0096524F">
        <w:t xml:space="preserve">Panduit Corp., 138 F.3d 277, 289, 46 USPQ2d 1026 (7th Cir.), </w:t>
      </w:r>
      <w:r w:rsidRPr="0096524F">
        <w:rPr>
          <w:i/>
        </w:rPr>
        <w:t>cert</w:t>
      </w:r>
      <w:r w:rsidRPr="0096524F">
        <w:t>.</w:t>
      </w:r>
      <w:r w:rsidRPr="0096524F">
        <w:t xml:space="preserve"> </w:t>
      </w:r>
      <w:r w:rsidRPr="0096524F">
        <w:rPr>
          <w:i/>
        </w:rPr>
        <w:t>denied,</w:t>
      </w:r>
      <w:r w:rsidRPr="0096524F">
        <w:t xml:space="preserve"> 525 U.S.</w:t>
      </w:r>
      <w:r w:rsidRPr="0096524F">
        <w:t xml:space="preserve"> </w:t>
      </w:r>
      <w:r w:rsidRPr="0096524F">
        <w:t>929 (1998);</w:t>
      </w:r>
      <w:r w:rsidRPr="0096524F">
        <w:t xml:space="preserve"> </w:t>
      </w:r>
      <w:r w:rsidRPr="0096524F">
        <w:t>Application of Mogen David Wine Corp., 328 F.2d 925, 140 USPQ 575 (C.C.P.A.</w:t>
      </w:r>
      <w:r w:rsidRPr="0096524F">
        <w:t xml:space="preserve"> </w:t>
      </w:r>
      <w:r w:rsidRPr="0096524F">
        <w:t>1964);</w:t>
      </w:r>
      <w:r w:rsidRPr="0096524F">
        <w:t xml:space="preserve"> </w:t>
      </w:r>
      <w:r w:rsidRPr="0096524F">
        <w:t>Apple, Inc.</w:t>
      </w:r>
      <w:r w:rsidRPr="0096524F">
        <w:t xml:space="preserve"> </w:t>
      </w:r>
      <w:r w:rsidRPr="0096524F">
        <w:t>v.</w:t>
      </w:r>
      <w:r w:rsidRPr="0096524F">
        <w:t xml:space="preserve"> </w:t>
      </w:r>
      <w:r w:rsidRPr="0096524F">
        <w:t>Samsung Elecs.</w:t>
      </w:r>
      <w:r w:rsidRPr="0096524F">
        <w:t xml:space="preserve"> </w:t>
      </w:r>
      <w:r w:rsidRPr="0096524F">
        <w:t>Co., 2012 WL 2571719, at *1, 2–3 (N.D.</w:t>
      </w:r>
      <w:r w:rsidRPr="0096524F">
        <w:t xml:space="preserve"> </w:t>
      </w:r>
      <w:r w:rsidRPr="0096524F">
        <w:t>Cal.</w:t>
      </w:r>
      <w:r w:rsidRPr="0096524F">
        <w:t xml:space="preserve"> </w:t>
      </w:r>
      <w:r w:rsidRPr="0096524F">
        <w:t>June 30, 2012) (claims included patent infringement and trade dress infringement and dilution);</w:t>
      </w:r>
      <w:r w:rsidRPr="0096524F">
        <w:t xml:space="preserve"> </w:t>
      </w:r>
      <w:r w:rsidRPr="0096524F">
        <w:rPr>
          <w:i/>
        </w:rPr>
        <w:t>In re</w:t>
      </w:r>
      <w:r w:rsidRPr="0096524F">
        <w:t xml:space="preserve"> Visual Commc’ns Co., 51 USPQ2d 1141 (T.T.A.B.</w:t>
      </w:r>
      <w:r w:rsidRPr="0096524F">
        <w:t xml:space="preserve"> </w:t>
      </w:r>
      <w:r w:rsidRPr="0096524F">
        <w:t>1999).</w:t>
      </w:r>
    </w:p>
  </w:footnote>
  <w:footnote w:id="1013">
    <w:p w14:paraId="4371043F" w14:textId="0CDB8A84" w:rsidR="0096524F" w:rsidRPr="00EB11B3" w:rsidRDefault="0096524F" w:rsidP="0096524F">
      <w:pPr>
        <w:pStyle w:val="FootnoteText"/>
      </w:pPr>
      <w:r w:rsidRPr="0096524F">
        <w:rPr>
          <w:vertAlign w:val="superscript"/>
        </w:rPr>
        <w:footnoteRef/>
      </w:r>
      <w:r w:rsidRPr="0096524F">
        <w:rPr>
          <w:i/>
        </w:rPr>
        <w:t>See</w:t>
      </w:r>
      <w:r w:rsidRPr="0096524F">
        <w:t xml:space="preserve"> Nabisco, Inc.</w:t>
      </w:r>
      <w:r w:rsidRPr="0096524F">
        <w:t xml:space="preserve"> </w:t>
      </w:r>
      <w:r w:rsidRPr="0096524F">
        <w:t>v.</w:t>
      </w:r>
      <w:r w:rsidRPr="0096524F">
        <w:t xml:space="preserve"> </w:t>
      </w:r>
      <w:r w:rsidRPr="0096524F">
        <w:t>PF Brands, Inc., 191 F.3d 208, 51 USPQ2d 1882 (2d Cir.</w:t>
      </w:r>
      <w:r w:rsidRPr="0096524F">
        <w:t xml:space="preserve"> </w:t>
      </w:r>
      <w:r w:rsidRPr="0096524F">
        <w:t>1999) (applying the FTDA to the shape of crackers).</w:t>
      </w:r>
    </w:p>
  </w:footnote>
  <w:footnote w:id="1014">
    <w:p w14:paraId="7CAE419C" w14:textId="16F6A855" w:rsidR="0096524F" w:rsidRPr="00EB11B3" w:rsidRDefault="0096524F" w:rsidP="0096524F">
      <w:pPr>
        <w:pStyle w:val="FootnoteText"/>
      </w:pPr>
      <w:r w:rsidRPr="0096524F">
        <w:rPr>
          <w:vertAlign w:val="superscript"/>
        </w:rPr>
        <w:footnoteRef/>
      </w:r>
      <w:r w:rsidRPr="0096524F">
        <w:t>15 U.S.C.</w:t>
      </w:r>
      <w:r w:rsidRPr="0096524F">
        <w:t xml:space="preserve"> </w:t>
      </w:r>
      <w:r w:rsidRPr="0096524F">
        <w:t>§1127 (definition of mark).</w:t>
      </w:r>
    </w:p>
  </w:footnote>
  <w:footnote w:id="1015">
    <w:p w14:paraId="48AA2140" w14:textId="0616CB69" w:rsidR="0096524F" w:rsidRPr="00EB11B3" w:rsidRDefault="0096524F" w:rsidP="0096524F">
      <w:pPr>
        <w:pStyle w:val="FootnoteText"/>
      </w:pPr>
      <w:r w:rsidRPr="0096524F">
        <w:rPr>
          <w:vertAlign w:val="superscript"/>
        </w:rPr>
        <w:footnoteRef/>
      </w:r>
      <w:r w:rsidRPr="0096524F">
        <w:t>Trademarks identify goods, while service marks identify services.</w:t>
      </w:r>
      <w:r w:rsidRPr="0096524F">
        <w:t xml:space="preserve"> </w:t>
      </w:r>
      <w:r w:rsidRPr="0096524F">
        <w:t>Collective and certification marks serve special purposes which can be ignored for this discussion.</w:t>
      </w:r>
    </w:p>
  </w:footnote>
  <w:footnote w:id="1016">
    <w:p w14:paraId="49B8704D" w14:textId="32F8776B" w:rsidR="0096524F" w:rsidRPr="00EB11B3" w:rsidRDefault="0096524F" w:rsidP="0096524F">
      <w:pPr>
        <w:pStyle w:val="FootnoteText"/>
      </w:pPr>
      <w:r w:rsidRPr="0096524F">
        <w:rPr>
          <w:vertAlign w:val="superscript"/>
        </w:rPr>
        <w:footnoteRef/>
      </w:r>
      <w:r w:rsidRPr="0096524F">
        <w:t>15 U.S.C.</w:t>
      </w:r>
      <w:r w:rsidRPr="0096524F">
        <w:t xml:space="preserve"> </w:t>
      </w:r>
      <w:r w:rsidRPr="0096524F">
        <w:t>§1127 (definition of trademark).</w:t>
      </w:r>
    </w:p>
  </w:footnote>
  <w:footnote w:id="1017">
    <w:p w14:paraId="2AB9FA86" w14:textId="2A6EBB52" w:rsidR="0096524F" w:rsidRPr="00EB11B3" w:rsidRDefault="0096524F" w:rsidP="0096524F">
      <w:pPr>
        <w:pStyle w:val="FootnoteText"/>
      </w:pPr>
      <w:r w:rsidRPr="0096524F">
        <w:rPr>
          <w:vertAlign w:val="superscript"/>
        </w:rPr>
        <w:footnoteRef/>
      </w:r>
      <w:r w:rsidRPr="0096524F">
        <w:rPr>
          <w:i/>
        </w:rPr>
        <w:t>See, e</w:t>
      </w:r>
      <w:r w:rsidRPr="0096524F">
        <w:t>.</w:t>
      </w:r>
      <w:r w:rsidRPr="0096524F">
        <w:rPr>
          <w:i/>
        </w:rPr>
        <w:t>g</w:t>
      </w:r>
      <w:r w:rsidRPr="0096524F">
        <w:t>.</w:t>
      </w:r>
      <w:r w:rsidRPr="0096524F">
        <w:rPr>
          <w:i/>
        </w:rPr>
        <w:t>, I</w:t>
      </w:r>
      <w:r w:rsidRPr="0096524F">
        <w:t>.</w:t>
      </w:r>
      <w:r w:rsidRPr="0096524F">
        <w:rPr>
          <w:i/>
        </w:rPr>
        <w:t>P</w:t>
      </w:r>
      <w:r w:rsidRPr="0096524F">
        <w:t>.</w:t>
      </w:r>
      <w:r w:rsidRPr="0096524F">
        <w:t xml:space="preserve"> </w:t>
      </w:r>
      <w:r w:rsidRPr="0096524F">
        <w:rPr>
          <w:i/>
        </w:rPr>
        <w:t>Lund,</w:t>
      </w:r>
      <w:r w:rsidRPr="0096524F">
        <w:t xml:space="preserve"> 163 F.3d at 45–46;</w:t>
      </w:r>
      <w:r w:rsidRPr="0096524F">
        <w:t xml:space="preserve"> </w:t>
      </w:r>
      <w:r w:rsidRPr="0096524F">
        <w:t>Apple, Inc.</w:t>
      </w:r>
      <w:r w:rsidRPr="0096524F">
        <w:t xml:space="preserve"> </w:t>
      </w:r>
      <w:r w:rsidRPr="0096524F">
        <w:t>v.</w:t>
      </w:r>
      <w:r w:rsidRPr="0096524F">
        <w:t xml:space="preserve"> </w:t>
      </w:r>
      <w:r w:rsidRPr="0096524F">
        <w:t>Samsung Elecs.</w:t>
      </w:r>
      <w:r w:rsidRPr="0096524F">
        <w:t xml:space="preserve"> </w:t>
      </w:r>
      <w:r w:rsidRPr="0096524F">
        <w:t>Co., 2012 WL 2571719, at *2–3;</w:t>
      </w:r>
      <w:r w:rsidRPr="0096524F">
        <w:t xml:space="preserve"> </w:t>
      </w:r>
      <w:r w:rsidRPr="0096524F">
        <w:t>Syndicate Sales, Inc.</w:t>
      </w:r>
      <w:r w:rsidRPr="0096524F">
        <w:t xml:space="preserve"> </w:t>
      </w:r>
      <w:r w:rsidRPr="0096524F">
        <w:t>v.</w:t>
      </w:r>
      <w:r w:rsidRPr="0096524F">
        <w:t xml:space="preserve"> </w:t>
      </w:r>
      <w:r w:rsidRPr="0096524F">
        <w:t>Hampshire Paper Corp., 2000 WL 1428665, at *9–10 (S.D.</w:t>
      </w:r>
      <w:r w:rsidRPr="0096524F">
        <w:t xml:space="preserve"> </w:t>
      </w:r>
      <w:r w:rsidRPr="0096524F">
        <w:t>Ind.</w:t>
      </w:r>
      <w:r w:rsidRPr="0096524F">
        <w:t xml:space="preserve"> </w:t>
      </w:r>
      <w:r w:rsidRPr="0096524F">
        <w:t>Aug.</w:t>
      </w:r>
      <w:r w:rsidRPr="0096524F">
        <w:t xml:space="preserve"> </w:t>
      </w:r>
      <w:r w:rsidRPr="0096524F">
        <w:t>30, 2000).</w:t>
      </w:r>
    </w:p>
  </w:footnote>
  <w:footnote w:id="1018">
    <w:p w14:paraId="04ECC8E6" w14:textId="6FABDFAC" w:rsidR="0096524F" w:rsidRPr="00EB11B3" w:rsidRDefault="0096524F" w:rsidP="0096524F">
      <w:pPr>
        <w:pStyle w:val="FootnoteText"/>
      </w:pPr>
      <w:r w:rsidRPr="0096524F">
        <w:rPr>
          <w:vertAlign w:val="superscript"/>
        </w:rPr>
        <w:footnoteRef/>
      </w:r>
      <w:r w:rsidRPr="0096524F">
        <w:rPr>
          <w:i/>
        </w:rPr>
        <w:t>E</w:t>
      </w:r>
      <w:r w:rsidRPr="0096524F">
        <w:t>.</w:t>
      </w:r>
      <w:r w:rsidRPr="0096524F">
        <w:rPr>
          <w:i/>
        </w:rPr>
        <w:t>g</w:t>
      </w:r>
      <w:r w:rsidRPr="0096524F">
        <w:t>., Sunbeam Prods., Inc.</w:t>
      </w:r>
      <w:r w:rsidRPr="0096524F">
        <w:t xml:space="preserve"> </w:t>
      </w:r>
      <w:r w:rsidRPr="0096524F">
        <w:t>v.</w:t>
      </w:r>
      <w:r w:rsidRPr="0096524F">
        <w:t xml:space="preserve"> </w:t>
      </w:r>
      <w:r w:rsidRPr="0096524F">
        <w:t>West Bend Co., 123 F.3d 246, 44 USPQ2d 1161 (5th Cir.</w:t>
      </w:r>
      <w:r w:rsidRPr="0096524F">
        <w:t xml:space="preserve"> </w:t>
      </w:r>
      <w:r w:rsidRPr="0096524F">
        <w:t>1997);</w:t>
      </w:r>
      <w:r w:rsidRPr="0096524F">
        <w:t xml:space="preserve"> </w:t>
      </w:r>
      <w:r w:rsidRPr="0096524F">
        <w:t>Insty*Bit, Inc.</w:t>
      </w:r>
      <w:r w:rsidRPr="0096524F">
        <w:t xml:space="preserve"> </w:t>
      </w:r>
      <w:r w:rsidRPr="0096524F">
        <w:t>v.</w:t>
      </w:r>
      <w:r w:rsidRPr="0096524F">
        <w:t xml:space="preserve"> </w:t>
      </w:r>
      <w:r w:rsidRPr="0096524F">
        <w:t>Poly-Tech Indus., Inc., 95 F.3d 663, 39 USPQ2d 1961 (8th Cir.</w:t>
      </w:r>
      <w:r w:rsidRPr="0096524F">
        <w:t xml:space="preserve"> </w:t>
      </w:r>
      <w:r w:rsidRPr="0096524F">
        <w:t xml:space="preserve">1996), </w:t>
      </w:r>
      <w:r w:rsidRPr="0096524F">
        <w:rPr>
          <w:i/>
        </w:rPr>
        <w:t>cert</w:t>
      </w:r>
      <w:r w:rsidRPr="0096524F">
        <w:t>.</w:t>
      </w:r>
      <w:r w:rsidRPr="0096524F">
        <w:t xml:space="preserve"> </w:t>
      </w:r>
      <w:r w:rsidRPr="0096524F">
        <w:rPr>
          <w:i/>
        </w:rPr>
        <w:t>denied,</w:t>
      </w:r>
      <w:r w:rsidRPr="0096524F">
        <w:t xml:space="preserve"> 519 U.S.</w:t>
      </w:r>
      <w:r w:rsidRPr="0096524F">
        <w:t xml:space="preserve"> </w:t>
      </w:r>
      <w:r w:rsidRPr="0096524F">
        <w:t>1151 (1997);</w:t>
      </w:r>
      <w:r w:rsidRPr="0096524F">
        <w:t xml:space="preserve"> </w:t>
      </w:r>
      <w:r w:rsidRPr="0096524F">
        <w:t>Le Sportsac, Inc.</w:t>
      </w:r>
      <w:r w:rsidRPr="0096524F">
        <w:t xml:space="preserve"> </w:t>
      </w:r>
      <w:r w:rsidRPr="0096524F">
        <w:t>v.</w:t>
      </w:r>
      <w:r w:rsidRPr="0096524F">
        <w:t xml:space="preserve"> </w:t>
      </w:r>
      <w:r w:rsidRPr="0096524F">
        <w:t>K Mart Corp., 754 F.2d 71, 225 USPQ 654 (2d Cir.</w:t>
      </w:r>
      <w:r w:rsidRPr="0096524F">
        <w:t xml:space="preserve"> </w:t>
      </w:r>
      <w:r w:rsidRPr="0096524F">
        <w:t>1985);</w:t>
      </w:r>
      <w:r w:rsidRPr="0096524F">
        <w:t xml:space="preserve"> </w:t>
      </w:r>
      <w:r w:rsidRPr="0096524F">
        <w:t>W.T.</w:t>
      </w:r>
      <w:r w:rsidRPr="0096524F">
        <w:t xml:space="preserve"> </w:t>
      </w:r>
      <w:r w:rsidRPr="0096524F">
        <w:t>Rogers Co.</w:t>
      </w:r>
      <w:r w:rsidRPr="0096524F">
        <w:t xml:space="preserve"> </w:t>
      </w:r>
      <w:r w:rsidRPr="0096524F">
        <w:t>v.</w:t>
      </w:r>
      <w:r w:rsidRPr="0096524F">
        <w:t xml:space="preserve"> </w:t>
      </w:r>
      <w:r w:rsidRPr="0096524F">
        <w:t>Keene, 778 F.2d 334, 228 USPQ 145 (7th Cir.</w:t>
      </w:r>
      <w:r w:rsidRPr="0096524F">
        <w:t xml:space="preserve"> </w:t>
      </w:r>
      <w:r w:rsidRPr="0096524F">
        <w:t>1985).</w:t>
      </w:r>
    </w:p>
  </w:footnote>
  <w:footnote w:id="1019">
    <w:p w14:paraId="38F7F5BC" w14:textId="7E45EC36" w:rsidR="0096524F" w:rsidRDefault="0096524F" w:rsidP="0096524F">
      <w:pPr>
        <w:pStyle w:val="FootnoteText"/>
      </w:pPr>
      <w:r w:rsidRPr="0096524F">
        <w:rPr>
          <w:rStyle w:val="FootnoteReference"/>
          <w:rFonts w:eastAsiaTheme="majorEastAsia"/>
        </w:rPr>
        <w:footnoteRef/>
      </w:r>
      <w:r w:rsidRPr="0096524F">
        <w:t xml:space="preserve">In </w:t>
      </w:r>
      <w:r w:rsidRPr="0096524F">
        <w:rPr>
          <w:rStyle w:val="BCasenamefull"/>
        </w:rPr>
        <w:t>DO Denim LLC v. Fried Denim, Inc</w:t>
      </w:r>
      <w:r w:rsidRPr="0096524F">
        <w:t>., 634 F.</w:t>
      </w:r>
      <w:r w:rsidRPr="0096524F">
        <w:t xml:space="preserve"> </w:t>
      </w:r>
      <w:r w:rsidRPr="0096524F">
        <w:t>Supp.</w:t>
      </w:r>
      <w:r w:rsidRPr="0096524F">
        <w:t xml:space="preserve"> </w:t>
      </w:r>
      <w:r w:rsidRPr="0096524F">
        <w:t>2d 403, 408, 91 USPQ2d 1589 (S.D.N.Y.</w:t>
      </w:r>
      <w:r w:rsidRPr="0096524F">
        <w:t xml:space="preserve"> </w:t>
      </w:r>
      <w:r w:rsidRPr="0096524F">
        <w:t>2009), the court dismissed a dilution claim because it pleaded non-functionality only in a conclusory fashion.</w:t>
      </w:r>
    </w:p>
  </w:footnote>
  <w:footnote w:id="1020">
    <w:p w14:paraId="54B7DE9F" w14:textId="2AFA04E9" w:rsidR="0096524F" w:rsidRPr="00EB11B3" w:rsidRDefault="0096524F" w:rsidP="0096524F">
      <w:pPr>
        <w:pStyle w:val="FootnoteText"/>
      </w:pPr>
      <w:r w:rsidRPr="0096524F">
        <w:rPr>
          <w:vertAlign w:val="superscript"/>
        </w:rPr>
        <w:footnoteRef/>
      </w:r>
      <w:r w:rsidRPr="0096524F">
        <w:t>Ringling Bros.-Barnum &amp; Bailey Combined Shows, Inc.</w:t>
      </w:r>
      <w:r w:rsidRPr="0096524F">
        <w:t xml:space="preserve"> </w:t>
      </w:r>
      <w:r w:rsidRPr="0096524F">
        <w:t>v.</w:t>
      </w:r>
      <w:r w:rsidRPr="0096524F">
        <w:t xml:space="preserve"> </w:t>
      </w:r>
      <w:r w:rsidRPr="0096524F">
        <w:t>Utah Div.</w:t>
      </w:r>
      <w:r w:rsidRPr="0096524F">
        <w:t xml:space="preserve"> </w:t>
      </w:r>
      <w:r w:rsidRPr="0096524F">
        <w:t xml:space="preserve">of Travel Dev., 170 F.3d 449, 464, 50 USPQ2d 1065 (4th Cir.), </w:t>
      </w:r>
      <w:r w:rsidRPr="0096524F">
        <w:rPr>
          <w:i/>
        </w:rPr>
        <w:t>cert</w:t>
      </w:r>
      <w:r w:rsidRPr="0096524F">
        <w:t>.</w:t>
      </w:r>
      <w:r w:rsidRPr="0096524F">
        <w:t xml:space="preserve"> </w:t>
      </w:r>
      <w:r w:rsidRPr="0096524F">
        <w:rPr>
          <w:i/>
        </w:rPr>
        <w:t>denied</w:t>
      </w:r>
      <w:r w:rsidRPr="0096524F">
        <w:t>, 528 U.S.</w:t>
      </w:r>
      <w:r w:rsidRPr="0096524F">
        <w:t xml:space="preserve"> </w:t>
      </w:r>
      <w:r w:rsidRPr="0096524F">
        <w:t>923 (1999).</w:t>
      </w:r>
    </w:p>
  </w:footnote>
  <w:footnote w:id="1021">
    <w:p w14:paraId="47743D32" w14:textId="4FBE47AA" w:rsidR="0096524F" w:rsidRPr="00EB11B3" w:rsidRDefault="0096524F" w:rsidP="0096524F">
      <w:pPr>
        <w:pStyle w:val="FootnoteText"/>
      </w:pPr>
      <w:r w:rsidRPr="0096524F">
        <w:rPr>
          <w:vertAlign w:val="superscript"/>
        </w:rPr>
        <w:footnoteRef/>
      </w:r>
      <w:r w:rsidRPr="0096524F">
        <w:t>Moseley v.</w:t>
      </w:r>
      <w:r w:rsidRPr="0096524F">
        <w:t xml:space="preserve"> </w:t>
      </w:r>
      <w:r w:rsidRPr="0096524F">
        <w:t>V Secret Catalogue, Inc., 537 U.S.</w:t>
      </w:r>
      <w:r w:rsidRPr="0096524F">
        <w:t xml:space="preserve"> </w:t>
      </w:r>
      <w:r w:rsidRPr="0096524F">
        <w:t>418, 65 USPQ2d 1801 (2003).</w:t>
      </w:r>
    </w:p>
  </w:footnote>
  <w:footnote w:id="1022">
    <w:p w14:paraId="0C7E3980" w14:textId="6547F417" w:rsidR="0096524F" w:rsidRPr="00EB11B3" w:rsidRDefault="0096524F" w:rsidP="0096524F">
      <w:pPr>
        <w:pStyle w:val="FootnoteText"/>
      </w:pPr>
      <w:r w:rsidRPr="0096524F">
        <w:rPr>
          <w:vertAlign w:val="superscript"/>
        </w:rPr>
        <w:footnoteRef/>
      </w:r>
      <w:r w:rsidRPr="0096524F">
        <w:t>Nabisco, Inc.</w:t>
      </w:r>
      <w:r w:rsidRPr="0096524F">
        <w:t xml:space="preserve"> </w:t>
      </w:r>
      <w:r w:rsidRPr="0096524F">
        <w:t>v.</w:t>
      </w:r>
      <w:r w:rsidRPr="0096524F">
        <w:t xml:space="preserve"> </w:t>
      </w:r>
      <w:r w:rsidRPr="0096524F">
        <w:t>PF Brands, Inc., 191 F.3d 208, 228, 51 USPQ2d 1882 (2d Cir.</w:t>
      </w:r>
      <w:r w:rsidRPr="0096524F">
        <w:t xml:space="preserve"> </w:t>
      </w:r>
      <w:r w:rsidRPr="0096524F">
        <w:t>1999).</w:t>
      </w:r>
    </w:p>
  </w:footnote>
  <w:footnote w:id="1023">
    <w:p w14:paraId="568F2C7E" w14:textId="73843550" w:rsidR="0096524F" w:rsidRPr="00EB11B3" w:rsidRDefault="0096524F" w:rsidP="0096524F">
      <w:pPr>
        <w:pStyle w:val="FootnoteText"/>
      </w:pPr>
      <w:r w:rsidRPr="0096524F">
        <w:rPr>
          <w:vertAlign w:val="superscript"/>
        </w:rPr>
        <w:footnoteRef/>
      </w:r>
      <w:r w:rsidRPr="0096524F">
        <w:t>Eli Lilly &amp; Co.</w:t>
      </w:r>
      <w:r w:rsidRPr="0096524F">
        <w:t xml:space="preserve"> </w:t>
      </w:r>
      <w:r w:rsidRPr="0096524F">
        <w:t>v.</w:t>
      </w:r>
      <w:r w:rsidRPr="0096524F">
        <w:t xml:space="preserve"> </w:t>
      </w:r>
      <w:r w:rsidRPr="0096524F">
        <w:t>Natural Answers, Inc., 233 F.3d 456, 469, 56 USPQ2d 1942 (7th Cir.</w:t>
      </w:r>
      <w:r w:rsidRPr="0096524F">
        <w:t xml:space="preserve"> </w:t>
      </w:r>
      <w:r w:rsidRPr="0096524F">
        <w:t>2000).</w:t>
      </w:r>
    </w:p>
  </w:footnote>
  <w:footnote w:id="1024">
    <w:p w14:paraId="3638A94D" w14:textId="24A92205" w:rsidR="0096524F" w:rsidRPr="00EB11B3" w:rsidRDefault="0096524F" w:rsidP="0096524F">
      <w:pPr>
        <w:pStyle w:val="FootnoteText"/>
      </w:pPr>
      <w:r w:rsidRPr="0096524F">
        <w:rPr>
          <w:vertAlign w:val="superscript"/>
        </w:rPr>
        <w:footnoteRef/>
      </w:r>
      <w:r w:rsidRPr="0096524F">
        <w:t>Mead Data Cent., Inc.</w:t>
      </w:r>
      <w:r w:rsidRPr="0096524F">
        <w:t xml:space="preserve"> </w:t>
      </w:r>
      <w:r w:rsidRPr="0096524F">
        <w:t>v.</w:t>
      </w:r>
      <w:r w:rsidRPr="0096524F">
        <w:t xml:space="preserve"> </w:t>
      </w:r>
      <w:r w:rsidRPr="0096524F">
        <w:t>Toyota Motor Sales, U.S.A., Inc., 875 F.2d 1026, 1035, 10 USPQ2d 1961 (2d Cir.</w:t>
      </w:r>
      <w:r w:rsidRPr="0096524F">
        <w:t xml:space="preserve"> </w:t>
      </w:r>
      <w:r w:rsidRPr="0096524F">
        <w:t>1989) (Sweet, J., concurring).</w:t>
      </w:r>
    </w:p>
  </w:footnote>
  <w:footnote w:id="1025">
    <w:p w14:paraId="0134C9ED" w14:textId="62552170" w:rsidR="0096524F" w:rsidRPr="00EB11B3" w:rsidRDefault="0096524F" w:rsidP="0096524F">
      <w:pPr>
        <w:pStyle w:val="FootnoteText"/>
      </w:pPr>
      <w:r w:rsidRPr="0096524F">
        <w:rPr>
          <w:vertAlign w:val="superscript"/>
        </w:rPr>
        <w:footnoteRef/>
      </w:r>
      <w:r w:rsidRPr="0096524F">
        <w:t>Lanham Act §43(c)(7), 15 U.S.C.</w:t>
      </w:r>
      <w:r w:rsidRPr="0096524F">
        <w:t xml:space="preserve"> </w:t>
      </w:r>
      <w:r w:rsidRPr="0096524F">
        <w:t>§1125(c)(7).</w:t>
      </w:r>
    </w:p>
  </w:footnote>
  <w:footnote w:id="1026">
    <w:p w14:paraId="315C1F58" w14:textId="61BE9F9F" w:rsidR="0096524F" w:rsidRPr="0096524F" w:rsidRDefault="0096524F" w:rsidP="0096524F">
      <w:pPr>
        <w:pStyle w:val="FootnoteText"/>
      </w:pPr>
      <w:r w:rsidRPr="0096524F">
        <w:rPr>
          <w:vertAlign w:val="superscript"/>
        </w:rPr>
        <w:footnoteRef/>
      </w:r>
      <w:r w:rsidRPr="0096524F">
        <w:t xml:space="preserve">The most significant post-TDRA trade dress case to date is </w:t>
      </w:r>
      <w:r w:rsidRPr="0096524F">
        <w:rPr>
          <w:rStyle w:val="BCasenamefull"/>
        </w:rPr>
        <w:t>Apple, Inc. v. Samsung Electronics Co.</w:t>
      </w:r>
      <w:r w:rsidRPr="0096524F">
        <w:t>, 920 F.</w:t>
      </w:r>
      <w:r w:rsidRPr="0096524F">
        <w:t xml:space="preserve"> </w:t>
      </w:r>
      <w:r w:rsidRPr="0096524F">
        <w:t>Supp.</w:t>
      </w:r>
      <w:r w:rsidRPr="0096524F">
        <w:t xml:space="preserve"> </w:t>
      </w:r>
      <w:r w:rsidRPr="0096524F">
        <w:t>2d 1079 (N.D.</w:t>
      </w:r>
      <w:r w:rsidRPr="0096524F">
        <w:t xml:space="preserve"> </w:t>
      </w:r>
      <w:r w:rsidRPr="0096524F">
        <w:t>Cal.</w:t>
      </w:r>
      <w:r w:rsidRPr="0096524F">
        <w:t xml:space="preserve"> </w:t>
      </w:r>
      <w:r w:rsidRPr="0096524F">
        <w:t xml:space="preserve">2013), where the court upheld a substantial jury award in favor of Apple based on patent infringement </w:t>
      </w:r>
      <w:r w:rsidRPr="0096524F">
        <w:rPr>
          <w:i/>
        </w:rPr>
        <w:t>and</w:t>
      </w:r>
      <w:r w:rsidRPr="0096524F">
        <w:t xml:space="preserve"> trademark dilution.</w:t>
      </w:r>
      <w:r w:rsidRPr="0096524F">
        <w:t xml:space="preserve"> </w:t>
      </w:r>
      <w:r w:rsidRPr="0096524F">
        <w:rPr>
          <w:i/>
        </w:rPr>
        <w:t>Id</w:t>
      </w:r>
      <w:r w:rsidRPr="0096524F">
        <w:t>.</w:t>
      </w:r>
      <w:r w:rsidRPr="0096524F">
        <w:t xml:space="preserve"> </w:t>
      </w:r>
      <w:r w:rsidRPr="0096524F">
        <w:t>at 1095–98 (discussing dilution claims).</w:t>
      </w:r>
      <w:r w:rsidRPr="0096524F">
        <w:t xml:space="preserve"> </w:t>
      </w:r>
      <w:r w:rsidRPr="0096524F">
        <w:t>The Federal Circuit described Apple’s claimed protected iPhone trade dresses as follows:</w:t>
      </w:r>
    </w:p>
    <w:p w14:paraId="362B3236" w14:textId="30A5083B" w:rsidR="0096524F" w:rsidRPr="0096524F" w:rsidRDefault="0096524F" w:rsidP="0096524F">
      <w:pPr>
        <w:pStyle w:val="BQuotelong"/>
      </w:pPr>
      <w:r w:rsidRPr="0096524F">
        <w:t>These two trade dresses protect the overall visual impression of the non-functional elements of the iPhone’s front face, including:</w:t>
      </w:r>
      <w:r w:rsidRPr="0096524F">
        <w:t xml:space="preserve"> </w:t>
      </w:r>
      <w:r w:rsidRPr="0096524F">
        <w:t>(i) a rectangular product with four evenly rounded corners;</w:t>
      </w:r>
      <w:r w:rsidRPr="0096524F">
        <w:t xml:space="preserve"> </w:t>
      </w:r>
      <w:r w:rsidRPr="0096524F">
        <w:t>(ii) a flat clear surface covering the front of the product;</w:t>
      </w:r>
      <w:r w:rsidRPr="0096524F">
        <w:t xml:space="preserve"> </w:t>
      </w:r>
      <w:r w:rsidRPr="0096524F">
        <w:t>(iii) the appearance of a metallic bezel around the flat clear surface;</w:t>
      </w:r>
      <w:r w:rsidRPr="0096524F">
        <w:t xml:space="preserve"> </w:t>
      </w:r>
      <w:r w:rsidRPr="0096524F">
        <w:t>(iv) a display screen under the clear surface;</w:t>
      </w:r>
      <w:r w:rsidRPr="0096524F">
        <w:t xml:space="preserve"> </w:t>
      </w:r>
      <w:r w:rsidRPr="0096524F">
        <w:t>(v) under the clear surface, substantial black borders above and below the display screen and narrower black borders on either side of the screen;</w:t>
      </w:r>
      <w:r w:rsidRPr="0096524F">
        <w:t xml:space="preserve"> </w:t>
      </w:r>
      <w:r w:rsidRPr="0096524F">
        <w:t>(vi) when the device is on, a row of small dots on the display screen;</w:t>
      </w:r>
      <w:r w:rsidRPr="0096524F">
        <w:t xml:space="preserve"> </w:t>
      </w:r>
      <w:r w:rsidRPr="0096524F">
        <w:t>(vii) when the device is on, a matrix of colorful square icons with evenly rounded corners within the display screen;</w:t>
      </w:r>
      <w:r w:rsidRPr="0096524F">
        <w:t xml:space="preserve"> </w:t>
      </w:r>
      <w:r w:rsidRPr="0096524F">
        <w:t>and (viii) when the device is on, a bottom dock of colorful square icons with evenly rounded corners set off from the other icons on the display, which does not change as other pages of the user interface are viewed.</w:t>
      </w:r>
    </w:p>
    <w:p w14:paraId="323200C8" w14:textId="0874049B" w:rsidR="0096524F" w:rsidRPr="0096524F" w:rsidRDefault="0096524F" w:rsidP="0096524F">
      <w:pPr>
        <w:pStyle w:val="FootnoteText"/>
      </w:pPr>
      <w:r w:rsidRPr="0096524F">
        <w:t>Apple, Inc.</w:t>
      </w:r>
      <w:r w:rsidRPr="0096524F">
        <w:t xml:space="preserve"> </w:t>
      </w:r>
      <w:r w:rsidRPr="0096524F">
        <w:t>v.</w:t>
      </w:r>
      <w:r w:rsidRPr="0096524F">
        <w:t xml:space="preserve"> </w:t>
      </w:r>
      <w:r w:rsidRPr="0096524F">
        <w:t>Samsung Elecs.</w:t>
      </w:r>
      <w:r w:rsidRPr="0096524F">
        <w:t xml:space="preserve"> </w:t>
      </w:r>
      <w:r w:rsidRPr="0096524F">
        <w:t>Co., 735 F.3d 1352, 1358, 108 USPQ2d 1833 (Fed.</w:t>
      </w:r>
      <w:r w:rsidRPr="0096524F">
        <w:t xml:space="preserve"> </w:t>
      </w:r>
      <w:r w:rsidRPr="0096524F">
        <w:t>Cir.</w:t>
      </w:r>
      <w:r w:rsidRPr="0096524F">
        <w:t xml:space="preserve"> </w:t>
      </w:r>
      <w:r w:rsidRPr="0096524F">
        <w:t>2013).</w:t>
      </w:r>
      <w:r w:rsidRPr="0096524F">
        <w:t xml:space="preserve"> </w:t>
      </w:r>
      <w:r w:rsidRPr="0096524F">
        <w:t>In a later appeal, the Federal Circuit reversed the portion of a jury verdict that found dilution of Apple’s trade dress on the grounds that the trade dress was functional.</w:t>
      </w:r>
      <w:r w:rsidRPr="0096524F">
        <w:t xml:space="preserve"> </w:t>
      </w:r>
      <w:r w:rsidRPr="0096524F">
        <w:t>786 F.3d 983, 114 USPQ2d 1953 (Fed.</w:t>
      </w:r>
      <w:r w:rsidRPr="0096524F">
        <w:t xml:space="preserve"> </w:t>
      </w:r>
      <w:r w:rsidRPr="0096524F">
        <w:t>Cir.</w:t>
      </w:r>
      <w:r w:rsidRPr="0096524F">
        <w:t xml:space="preserve"> </w:t>
      </w:r>
      <w:r w:rsidRPr="0096524F">
        <w:t>2015).</w:t>
      </w:r>
      <w:r w:rsidRPr="0096524F">
        <w:t xml:space="preserve"> </w:t>
      </w:r>
      <w:r w:rsidRPr="0096524F">
        <w:t>This decision is discussed further in §VI.C.1.</w:t>
      </w:r>
      <w:r w:rsidRPr="0096524F">
        <w:t xml:space="preserve"> </w:t>
      </w:r>
      <w:r w:rsidRPr="0096524F">
        <w:t>of this chapter.</w:t>
      </w:r>
      <w:r w:rsidRPr="0096524F">
        <w:t xml:space="preserve"> </w:t>
      </w:r>
      <w:r w:rsidRPr="0096524F">
        <w:t>A few other cases have applied the TDRA to trade dress.</w:t>
      </w:r>
      <w:r w:rsidRPr="0096524F">
        <w:t xml:space="preserve"> </w:t>
      </w:r>
      <w:r w:rsidRPr="0096524F">
        <w:rPr>
          <w:i/>
        </w:rPr>
        <w:t>E.g.</w:t>
      </w:r>
      <w:r w:rsidRPr="0096524F">
        <w:t>, adidas-America, Inc.</w:t>
      </w:r>
      <w:r w:rsidRPr="0096524F">
        <w:t xml:space="preserve"> </w:t>
      </w:r>
      <w:r w:rsidRPr="0096524F">
        <w:t>v.</w:t>
      </w:r>
      <w:r w:rsidRPr="0096524F">
        <w:t xml:space="preserve"> </w:t>
      </w:r>
      <w:r w:rsidRPr="0096524F">
        <w:t>Payless Shoesource, Inc., 546 F.</w:t>
      </w:r>
      <w:r w:rsidRPr="0096524F">
        <w:t xml:space="preserve"> </w:t>
      </w:r>
      <w:r w:rsidRPr="0096524F">
        <w:t>Supp.</w:t>
      </w:r>
      <w:r w:rsidRPr="0096524F">
        <w:t xml:space="preserve"> </w:t>
      </w:r>
      <w:r w:rsidRPr="0096524F">
        <w:t>2d 1029, 1062–63 (D.</w:t>
      </w:r>
      <w:r w:rsidRPr="0096524F">
        <w:t xml:space="preserve"> </w:t>
      </w:r>
      <w:r w:rsidRPr="0096524F">
        <w:t>Or.</w:t>
      </w:r>
      <w:r w:rsidRPr="0096524F">
        <w:t xml:space="preserve"> </w:t>
      </w:r>
      <w:r w:rsidRPr="0096524F">
        <w:t>2008);</w:t>
      </w:r>
      <w:r w:rsidRPr="0096524F">
        <w:t xml:space="preserve"> </w:t>
      </w:r>
      <w:r w:rsidRPr="0096524F">
        <w:t>Hershey Co.</w:t>
      </w:r>
      <w:r w:rsidRPr="0096524F">
        <w:t xml:space="preserve"> </w:t>
      </w:r>
      <w:r w:rsidRPr="0096524F">
        <w:t>v.</w:t>
      </w:r>
      <w:r w:rsidRPr="0096524F">
        <w:t xml:space="preserve"> </w:t>
      </w:r>
      <w:r w:rsidRPr="0096524F">
        <w:t>Art Van Furniture, Inc., 2008 WL 4724756 (E.D.</w:t>
      </w:r>
      <w:r w:rsidRPr="0096524F">
        <w:t xml:space="preserve"> </w:t>
      </w:r>
      <w:r w:rsidRPr="0096524F">
        <w:t>Mich.</w:t>
      </w:r>
      <w:r w:rsidRPr="0096524F">
        <w:t xml:space="preserve"> </w:t>
      </w:r>
      <w:r w:rsidRPr="0096524F">
        <w:t>Oct.</w:t>
      </w:r>
      <w:r w:rsidRPr="0096524F">
        <w:t xml:space="preserve"> </w:t>
      </w:r>
      <w:r w:rsidRPr="0096524F">
        <w:t>24, 2008).</w:t>
      </w:r>
      <w:r w:rsidRPr="0096524F">
        <w:t xml:space="preserve"> </w:t>
      </w:r>
      <w:r w:rsidRPr="0096524F">
        <w:t xml:space="preserve">The </w:t>
      </w:r>
      <w:r w:rsidRPr="0096524F">
        <w:rPr>
          <w:i/>
        </w:rPr>
        <w:t>adidas</w:t>
      </w:r>
      <w:r w:rsidRPr="0096524F">
        <w:t xml:space="preserve"> case was a true product configuration case, but its analysis was complicated by the fact that the court applied the original FTDA to the part of the claim asserting damages.</w:t>
      </w:r>
    </w:p>
    <w:p w14:paraId="4354D737" w14:textId="77777777" w:rsidR="0096524F" w:rsidRDefault="0096524F" w:rsidP="003B59DB">
      <w:pPr>
        <w:pStyle w:val="footnoteflush"/>
      </w:pPr>
    </w:p>
  </w:footnote>
  <w:footnote w:id="1027">
    <w:p w14:paraId="727F7A44" w14:textId="14067B76" w:rsidR="0096524F" w:rsidRPr="00EB11B3" w:rsidRDefault="0096524F" w:rsidP="0096524F">
      <w:pPr>
        <w:pStyle w:val="FootnoteText"/>
      </w:pPr>
      <w:r w:rsidRPr="0096524F">
        <w:rPr>
          <w:vertAlign w:val="superscript"/>
        </w:rPr>
        <w:footnoteRef/>
      </w:r>
      <w:r w:rsidRPr="0096524F">
        <w:t>If the configurations are not particularly similar, then dilution is very unlikely.</w:t>
      </w:r>
      <w:r w:rsidRPr="0096524F">
        <w:t xml:space="preserve"> </w:t>
      </w:r>
      <w:r w:rsidRPr="0096524F">
        <w:t xml:space="preserve">In </w:t>
      </w:r>
      <w:r w:rsidRPr="0096524F">
        <w:rPr>
          <w:i/>
        </w:rPr>
        <w:t>Moseley v</w:t>
      </w:r>
      <w:r w:rsidRPr="0096524F">
        <w:t>.</w:t>
      </w:r>
      <w:r w:rsidRPr="0096524F">
        <w:t xml:space="preserve"> </w:t>
      </w:r>
      <w:r w:rsidRPr="0096524F">
        <w:rPr>
          <w:i/>
        </w:rPr>
        <w:t>V Secret Catalogue, Inc</w:t>
      </w:r>
      <w:r w:rsidRPr="0096524F">
        <w:t>., 537 U.S.</w:t>
      </w:r>
      <w:r w:rsidRPr="0096524F">
        <w:t xml:space="preserve"> </w:t>
      </w:r>
      <w:r w:rsidRPr="0096524F">
        <w:t>418, 434, 65 USPQ2d 1801 (2003), the Supreme Court indicated that the use of an identical mark by the second user could constitute evidence of dilution.</w:t>
      </w:r>
      <w:r w:rsidRPr="0096524F">
        <w:t xml:space="preserve"> </w:t>
      </w:r>
      <w:r w:rsidRPr="0096524F">
        <w:t>However, such a simplistic solution would make it very easy to prove dilution in such cases and may unnecessarily cause conflicts with the policy of the patent laws.</w:t>
      </w:r>
      <w:r w:rsidRPr="0096524F">
        <w:t xml:space="preserve"> </w:t>
      </w:r>
      <w:r w:rsidRPr="0096524F">
        <w:t>Therefore, applying such a test in product configuration cases seems unwarranted.</w:t>
      </w:r>
    </w:p>
  </w:footnote>
  <w:footnote w:id="1028">
    <w:p w14:paraId="2431ADC2" w14:textId="0223BAA8" w:rsidR="0096524F" w:rsidRPr="0096524F" w:rsidRDefault="0096524F" w:rsidP="0096524F">
      <w:pPr>
        <w:pStyle w:val="FootnoteText"/>
      </w:pPr>
      <w:r w:rsidRPr="0096524F">
        <w:rPr>
          <w:vertAlign w:val="superscript"/>
        </w:rPr>
        <w:footnoteRef/>
      </w:r>
      <w:r w:rsidRPr="0096524F">
        <w:t xml:space="preserve">In </w:t>
      </w:r>
      <w:r w:rsidRPr="0096524F">
        <w:rPr>
          <w:rStyle w:val="BCasenamefull"/>
        </w:rPr>
        <w:t>Apple, Inc. v. Samsung Electronics Co.</w:t>
      </w:r>
      <w:r w:rsidRPr="0096524F">
        <w:t>, 920 F.</w:t>
      </w:r>
      <w:r w:rsidRPr="0096524F">
        <w:t xml:space="preserve"> </w:t>
      </w:r>
      <w:r w:rsidRPr="0096524F">
        <w:t>Supp.</w:t>
      </w:r>
      <w:r w:rsidRPr="0096524F">
        <w:t xml:space="preserve"> </w:t>
      </w:r>
      <w:r w:rsidRPr="0096524F">
        <w:t>2d 1079 (N.D.</w:t>
      </w:r>
      <w:r w:rsidRPr="0096524F">
        <w:t xml:space="preserve"> </w:t>
      </w:r>
      <w:r w:rsidRPr="0096524F">
        <w:t>Cal.</w:t>
      </w:r>
      <w:r w:rsidRPr="0096524F">
        <w:t xml:space="preserve"> </w:t>
      </w:r>
      <w:r w:rsidRPr="0096524F">
        <w:t xml:space="preserve">2013), </w:t>
      </w:r>
      <w:r w:rsidRPr="0096524F">
        <w:rPr>
          <w:i/>
        </w:rPr>
        <w:t>aff’d in part</w:t>
      </w:r>
      <w:r w:rsidRPr="0096524F">
        <w:t>,</w:t>
      </w:r>
      <w:r w:rsidRPr="0096524F">
        <w:rPr>
          <w:i/>
        </w:rPr>
        <w:t xml:space="preserve"> rev’d in part on other grounds</w:t>
      </w:r>
      <w:r w:rsidRPr="0096524F">
        <w:t>, 786 F.3d 983, 114 USPQ2d 1953 (Fed.</w:t>
      </w:r>
      <w:r w:rsidRPr="0096524F">
        <w:t xml:space="preserve"> </w:t>
      </w:r>
      <w:r w:rsidRPr="0096524F">
        <w:t>Cir.</w:t>
      </w:r>
      <w:r w:rsidRPr="0096524F">
        <w:t xml:space="preserve"> </w:t>
      </w:r>
      <w:r w:rsidRPr="0096524F">
        <w:t xml:space="preserve">2015) (the Federal Circuit found the trade dress functional and did not discuss dilution), </w:t>
      </w:r>
      <w:r w:rsidRPr="0096524F">
        <w:rPr>
          <w:i/>
        </w:rPr>
        <w:t>rev’d on other grounds</w:t>
      </w:r>
      <w:r w:rsidRPr="0096524F">
        <w:t>, 137 S.</w:t>
      </w:r>
      <w:r w:rsidRPr="0096524F">
        <w:t xml:space="preserve"> </w:t>
      </w:r>
      <w:r w:rsidRPr="0096524F">
        <w:t>Ct.</w:t>
      </w:r>
      <w:r w:rsidRPr="0096524F">
        <w:t xml:space="preserve"> </w:t>
      </w:r>
      <w:r w:rsidRPr="0096524F">
        <w:t>429, 120 USPQ2d 1749 (2016), the district court cited Samsung’s intent to copy Apple’s product design as a factor in Apple’s favor.</w:t>
      </w:r>
      <w:r w:rsidRPr="0096524F">
        <w:t xml:space="preserve"> </w:t>
      </w:r>
      <w:r w:rsidRPr="0096524F">
        <w:rPr>
          <w:i/>
        </w:rPr>
        <w:t>Id</w:t>
      </w:r>
      <w:r w:rsidRPr="0096524F">
        <w:t>.</w:t>
      </w:r>
      <w:r w:rsidRPr="0096524F">
        <w:t xml:space="preserve"> </w:t>
      </w:r>
      <w:r w:rsidRPr="0096524F">
        <w:t>at 1098.</w:t>
      </w:r>
      <w:r w:rsidRPr="0096524F">
        <w:t xml:space="preserve"> </w:t>
      </w:r>
      <w:r w:rsidRPr="0096524F">
        <w:t>Indeed, copying was cited as a justification for a finding that Samsung’s dilution was a “willful intent to trade on the reputation” of Apple’s design.</w:t>
      </w:r>
      <w:r w:rsidRPr="0096524F">
        <w:t xml:space="preserve"> </w:t>
      </w:r>
      <w:r w:rsidRPr="0096524F">
        <w:rPr>
          <w:i/>
        </w:rPr>
        <w:t>Id</w:t>
      </w:r>
      <w:r w:rsidRPr="0096524F">
        <w:t>.</w:t>
      </w:r>
    </w:p>
    <w:p w14:paraId="20E3A7F2" w14:textId="77777777" w:rsidR="0096524F" w:rsidRDefault="0096524F" w:rsidP="00D758BD">
      <w:pPr>
        <w:pStyle w:val="footnote"/>
      </w:pPr>
    </w:p>
  </w:footnote>
  <w:footnote w:id="1029">
    <w:p w14:paraId="09B1E09D" w14:textId="4AAD21DB" w:rsidR="0096524F" w:rsidRPr="00EB11B3" w:rsidRDefault="0096524F" w:rsidP="0096524F">
      <w:pPr>
        <w:pStyle w:val="FootnoteText"/>
      </w:pPr>
      <w:r w:rsidRPr="0096524F">
        <w:rPr>
          <w:vertAlign w:val="superscript"/>
        </w:rPr>
        <w:footnoteRef/>
      </w:r>
      <w:r w:rsidRPr="0096524F">
        <w:rPr>
          <w:i/>
        </w:rPr>
        <w:t>See</w:t>
      </w:r>
      <w:r w:rsidRPr="0096524F">
        <w:t xml:space="preserve"> Wallace Int’l Silversmiths, Inc.</w:t>
      </w:r>
      <w:r w:rsidRPr="0096524F">
        <w:t xml:space="preserve"> </w:t>
      </w:r>
      <w:r w:rsidRPr="0096524F">
        <w:t>v.</w:t>
      </w:r>
      <w:r w:rsidRPr="0096524F">
        <w:t xml:space="preserve"> </w:t>
      </w:r>
      <w:r w:rsidRPr="0096524F">
        <w:t>Godinger Silver Art Co., 916 F.2d 76, 81, 16 USPQ2d 1555 (2d Cir.</w:t>
      </w:r>
      <w:r w:rsidRPr="0096524F">
        <w:t xml:space="preserve"> </w:t>
      </w:r>
      <w:r w:rsidRPr="0096524F">
        <w:t xml:space="preserve">1990), </w:t>
      </w:r>
      <w:r w:rsidRPr="0096524F">
        <w:rPr>
          <w:i/>
        </w:rPr>
        <w:t>cert</w:t>
      </w:r>
      <w:r w:rsidRPr="0096524F">
        <w:t>.</w:t>
      </w:r>
      <w:r w:rsidRPr="0096524F">
        <w:t xml:space="preserve"> </w:t>
      </w:r>
      <w:r w:rsidRPr="0096524F">
        <w:rPr>
          <w:i/>
        </w:rPr>
        <w:t>denied</w:t>
      </w:r>
      <w:r w:rsidRPr="0096524F">
        <w:t>, 499 U.S.</w:t>
      </w:r>
      <w:r w:rsidRPr="0096524F">
        <w:t xml:space="preserve"> </w:t>
      </w:r>
      <w:r w:rsidRPr="0096524F">
        <w:t>976 (1991).</w:t>
      </w:r>
    </w:p>
  </w:footnote>
  <w:footnote w:id="1030">
    <w:p w14:paraId="14F031AC" w14:textId="07E5C89E" w:rsidR="0096524F" w:rsidRPr="00EB11B3" w:rsidRDefault="0096524F" w:rsidP="0096524F">
      <w:pPr>
        <w:pStyle w:val="FootnoteText"/>
      </w:pPr>
      <w:r w:rsidRPr="0096524F">
        <w:rPr>
          <w:vertAlign w:val="superscript"/>
        </w:rPr>
        <w:footnoteRef/>
      </w:r>
      <w:r w:rsidRPr="0096524F">
        <w:rPr>
          <w:i/>
        </w:rPr>
        <w:t>See</w:t>
      </w:r>
      <w:r w:rsidRPr="0096524F">
        <w:t xml:space="preserve"> Ferrari S.P.A.</w:t>
      </w:r>
      <w:r w:rsidRPr="0096524F">
        <w:t xml:space="preserve"> </w:t>
      </w:r>
      <w:r w:rsidRPr="0096524F">
        <w:t>Esercizio v.</w:t>
      </w:r>
      <w:r w:rsidRPr="0096524F">
        <w:t xml:space="preserve"> </w:t>
      </w:r>
      <w:r w:rsidRPr="0096524F">
        <w:t>Roberts, 944 F.2d 1235, 1245, 20 USPQ2d 1001 (6th Cir.</w:t>
      </w:r>
      <w:r w:rsidRPr="0096524F">
        <w:t xml:space="preserve"> </w:t>
      </w:r>
      <w:r w:rsidRPr="0096524F">
        <w:t xml:space="preserve">1991) (arguing that a kit for converting other cars into a car resembling a Ferrari would harm the image of the real Ferrari), </w:t>
      </w:r>
      <w:r w:rsidRPr="0096524F">
        <w:rPr>
          <w:i/>
        </w:rPr>
        <w:t>cert</w:t>
      </w:r>
      <w:r w:rsidRPr="0096524F">
        <w:t>.</w:t>
      </w:r>
      <w:r w:rsidRPr="0096524F">
        <w:t xml:space="preserve"> </w:t>
      </w:r>
      <w:r w:rsidRPr="0096524F">
        <w:rPr>
          <w:i/>
        </w:rPr>
        <w:t>denied,</w:t>
      </w:r>
      <w:r w:rsidRPr="0096524F">
        <w:t xml:space="preserve"> 505 U.S.</w:t>
      </w:r>
      <w:r w:rsidRPr="0096524F">
        <w:t xml:space="preserve"> </w:t>
      </w:r>
      <w:r w:rsidRPr="0096524F">
        <w:t>1219 (1992).</w:t>
      </w:r>
    </w:p>
  </w:footnote>
  <w:footnote w:id="1031">
    <w:p w14:paraId="0E67EB2F" w14:textId="66833EB2" w:rsidR="0096524F" w:rsidRPr="00EB11B3" w:rsidRDefault="0096524F" w:rsidP="0096524F">
      <w:pPr>
        <w:pStyle w:val="FootnoteText"/>
      </w:pPr>
      <w:r w:rsidRPr="0096524F">
        <w:rPr>
          <w:vertAlign w:val="superscript"/>
        </w:rPr>
        <w:footnoteRef/>
      </w:r>
      <w:r w:rsidRPr="0096524F">
        <w:t>61 F.</w:t>
      </w:r>
      <w:r w:rsidRPr="0096524F">
        <w:t xml:space="preserve"> </w:t>
      </w:r>
      <w:r w:rsidRPr="0096524F">
        <w:t>Supp.</w:t>
      </w:r>
      <w:r w:rsidRPr="0096524F">
        <w:t xml:space="preserve"> </w:t>
      </w:r>
      <w:r w:rsidRPr="0096524F">
        <w:t>2d 700 (N.D.</w:t>
      </w:r>
      <w:r w:rsidRPr="0096524F">
        <w:t xml:space="preserve"> </w:t>
      </w:r>
      <w:r w:rsidRPr="0096524F">
        <w:t>Ohio 1999).</w:t>
      </w:r>
    </w:p>
  </w:footnote>
  <w:footnote w:id="1032">
    <w:p w14:paraId="02105D6C" w14:textId="154E08CD"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718.</w:t>
      </w:r>
    </w:p>
  </w:footnote>
  <w:footnote w:id="1033">
    <w:p w14:paraId="05431D60" w14:textId="04F8697A"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rPr>
          <w:i/>
        </w:rPr>
        <w:t>See also</w:t>
      </w:r>
      <w:r w:rsidRPr="0096524F">
        <w:t xml:space="preserve"> Ford Motor Co.</w:t>
      </w:r>
      <w:r w:rsidRPr="0096524F">
        <w:t xml:space="preserve"> </w:t>
      </w:r>
      <w:r w:rsidRPr="0096524F">
        <w:t>v.</w:t>
      </w:r>
      <w:r w:rsidRPr="0096524F">
        <w:t xml:space="preserve"> </w:t>
      </w:r>
      <w:r w:rsidRPr="0096524F">
        <w:t>Lloyd Design Corp., 184 F.</w:t>
      </w:r>
      <w:r w:rsidRPr="0096524F">
        <w:t xml:space="preserve"> </w:t>
      </w:r>
      <w:r w:rsidRPr="0096524F">
        <w:t>Supp.</w:t>
      </w:r>
      <w:r w:rsidRPr="0096524F">
        <w:t xml:space="preserve"> </w:t>
      </w:r>
      <w:r w:rsidRPr="0096524F">
        <w:t>2d 665, 677, 62 USPQ2d 1109 (E.D.</w:t>
      </w:r>
      <w:r w:rsidRPr="0096524F">
        <w:t xml:space="preserve"> </w:t>
      </w:r>
      <w:r w:rsidRPr="0096524F">
        <w:t>Mich.</w:t>
      </w:r>
      <w:r w:rsidRPr="0096524F">
        <w:t xml:space="preserve"> </w:t>
      </w:r>
      <w:r w:rsidRPr="0096524F">
        <w:t>2002) (alluding to the possibility of inferior goods in finding confusion between plaintiff’s and defendant’s floor mats, though not describing it as tarnishment).</w:t>
      </w:r>
      <w:r w:rsidRPr="0096524F">
        <w:t xml:space="preserve"> </w:t>
      </w:r>
      <w:r w:rsidRPr="0096524F">
        <w:rPr>
          <w:i/>
        </w:rPr>
        <w:t>But cf</w:t>
      </w:r>
      <w:r w:rsidRPr="0096524F">
        <w:t>.</w:t>
      </w:r>
      <w:r w:rsidRPr="0096524F">
        <w:t xml:space="preserve"> </w:t>
      </w:r>
      <w:r w:rsidRPr="0096524F">
        <w:t>Sony Computer Entm’t, Inc.</w:t>
      </w:r>
      <w:r w:rsidRPr="0096524F">
        <w:t xml:space="preserve"> </w:t>
      </w:r>
      <w:r w:rsidRPr="0096524F">
        <w:t>v.</w:t>
      </w:r>
      <w:r w:rsidRPr="0096524F">
        <w:t xml:space="preserve"> </w:t>
      </w:r>
      <w:r w:rsidRPr="0096524F">
        <w:t xml:space="preserve">Connectix Corp., 203 F.3d 596, 609 (9th Cir.) (rejecting tarnishment claim regarding computer entertainment devices, finding no evidence of a distinct difference in quality of play), </w:t>
      </w:r>
      <w:r w:rsidRPr="0096524F">
        <w:rPr>
          <w:i/>
        </w:rPr>
        <w:t>cert</w:t>
      </w:r>
      <w:r w:rsidRPr="0096524F">
        <w:t>.</w:t>
      </w:r>
      <w:r w:rsidRPr="0096524F">
        <w:t xml:space="preserve"> </w:t>
      </w:r>
      <w:r w:rsidRPr="0096524F">
        <w:rPr>
          <w:i/>
        </w:rPr>
        <w:t>denied,</w:t>
      </w:r>
      <w:r w:rsidRPr="0096524F">
        <w:t xml:space="preserve"> 531 U.S.</w:t>
      </w:r>
      <w:r w:rsidRPr="0096524F">
        <w:t xml:space="preserve"> </w:t>
      </w:r>
      <w:r w:rsidRPr="0096524F">
        <w:t>871 (2000).</w:t>
      </w:r>
    </w:p>
  </w:footnote>
  <w:footnote w:id="1034">
    <w:p w14:paraId="71FB309F" w14:textId="0B57AD69" w:rsidR="0096524F" w:rsidRPr="00FC2AE2" w:rsidRDefault="0096524F" w:rsidP="0096524F">
      <w:pPr>
        <w:pStyle w:val="FootnoteText"/>
        <w:rPr>
          <w:lang w:val="sv-SE"/>
        </w:rPr>
      </w:pPr>
      <w:r w:rsidRPr="0096524F">
        <w:rPr>
          <w:rStyle w:val="FootnoteReference"/>
          <w:rFonts w:eastAsiaTheme="majorEastAsia"/>
        </w:rPr>
        <w:footnoteRef/>
      </w:r>
      <w:r w:rsidRPr="0096524F">
        <w:t>744 F.</w:t>
      </w:r>
      <w:r w:rsidRPr="0096524F">
        <w:t xml:space="preserve"> </w:t>
      </w:r>
      <w:r w:rsidRPr="0096524F">
        <w:t>Supp.</w:t>
      </w:r>
      <w:r w:rsidRPr="0096524F">
        <w:t xml:space="preserve"> </w:t>
      </w:r>
      <w:r w:rsidRPr="0096524F">
        <w:t>3d 894 (D.</w:t>
      </w:r>
      <w:r w:rsidRPr="0096524F">
        <w:t xml:space="preserve"> </w:t>
      </w:r>
      <w:r w:rsidRPr="0096524F">
        <w:t>Minn.</w:t>
      </w:r>
      <w:r w:rsidRPr="0096524F">
        <w:t xml:space="preserve"> </w:t>
      </w:r>
      <w:r w:rsidRPr="0096524F">
        <w:t>2024).</w:t>
      </w:r>
    </w:p>
  </w:footnote>
  <w:footnote w:id="1035">
    <w:p w14:paraId="025759DB" w14:textId="4916D776" w:rsidR="0096524F" w:rsidRPr="00897A36" w:rsidRDefault="0096524F" w:rsidP="0096524F">
      <w:pPr>
        <w:pStyle w:val="FootnoteText"/>
      </w:pPr>
      <w:r w:rsidRPr="0096524F">
        <w:rPr>
          <w:rStyle w:val="FootnoteReference"/>
          <w:rFonts w:eastAsiaTheme="majorEastAsia"/>
        </w:rPr>
        <w:footnoteRef/>
      </w:r>
      <w:r w:rsidRPr="0096524F">
        <w:rPr>
          <w:i/>
        </w:rPr>
        <w:t>Id</w:t>
      </w:r>
      <w:r w:rsidRPr="0096524F">
        <w:t>.</w:t>
      </w:r>
      <w:r w:rsidRPr="0096524F">
        <w:t xml:space="preserve"> </w:t>
      </w:r>
      <w:r w:rsidRPr="0096524F">
        <w:t>at 905.</w:t>
      </w:r>
    </w:p>
  </w:footnote>
  <w:footnote w:id="1036">
    <w:p w14:paraId="0DABD3CD" w14:textId="369C6600" w:rsidR="0096524F" w:rsidRPr="00EB11B3" w:rsidRDefault="0096524F" w:rsidP="0096524F">
      <w:pPr>
        <w:pStyle w:val="FootnoteText"/>
      </w:pPr>
      <w:r w:rsidRPr="0096524F">
        <w:rPr>
          <w:vertAlign w:val="superscript"/>
        </w:rPr>
        <w:footnoteRef/>
      </w:r>
      <w:r w:rsidRPr="0096524F">
        <w:t>However, in most such cases, one would expect confusion to be the stronger point.</w:t>
      </w:r>
    </w:p>
  </w:footnote>
  <w:footnote w:id="1037">
    <w:p w14:paraId="2A29EC96" w14:textId="33073ABB" w:rsidR="0096524F" w:rsidRPr="00EB11B3" w:rsidRDefault="0096524F" w:rsidP="0096524F">
      <w:pPr>
        <w:pStyle w:val="FootnoteText"/>
      </w:pPr>
      <w:r w:rsidRPr="0096524F">
        <w:rPr>
          <w:vertAlign w:val="superscript"/>
        </w:rPr>
        <w:footnoteRef/>
      </w:r>
      <w:r w:rsidRPr="0096524F">
        <w:rPr>
          <w:i/>
        </w:rPr>
        <w:t>See</w:t>
      </w:r>
      <w:r w:rsidRPr="0096524F">
        <w:t xml:space="preserve"> TrafFix Devices, Inc.</w:t>
      </w:r>
      <w:r w:rsidRPr="0096524F">
        <w:t xml:space="preserve"> </w:t>
      </w:r>
      <w:r w:rsidRPr="0096524F">
        <w:t>v.</w:t>
      </w:r>
      <w:r w:rsidRPr="0096524F">
        <w:t xml:space="preserve"> </w:t>
      </w:r>
      <w:r w:rsidRPr="0096524F">
        <w:t>Marketing Displays, Inc., 532 U.S.</w:t>
      </w:r>
      <w:r w:rsidRPr="0096524F">
        <w:t xml:space="preserve"> </w:t>
      </w:r>
      <w:r w:rsidRPr="0096524F">
        <w:t>23, 29, 58 USPQ2d 1001 (2001);</w:t>
      </w:r>
      <w:r w:rsidRPr="0096524F">
        <w:t xml:space="preserve"> </w:t>
      </w:r>
      <w:r w:rsidRPr="0096524F">
        <w:t>Lanham Act §2(e)(5), 15 U.S.C.</w:t>
      </w:r>
      <w:r w:rsidRPr="0096524F">
        <w:t xml:space="preserve"> </w:t>
      </w:r>
      <w:r w:rsidRPr="0096524F">
        <w:t>§1052(e)(5) (functionality precludes registration);</w:t>
      </w:r>
      <w:r w:rsidRPr="0096524F">
        <w:t xml:space="preserve"> </w:t>
      </w:r>
      <w:r w:rsidRPr="0096524F">
        <w:t>Lanham Act §33(b)(8), 15 U.S.C.</w:t>
      </w:r>
      <w:r w:rsidRPr="0096524F">
        <w:t xml:space="preserve"> </w:t>
      </w:r>
      <w:r w:rsidRPr="0096524F">
        <w:t>1115(b)(8) (functionality a defense to incontestability).</w:t>
      </w:r>
    </w:p>
  </w:footnote>
  <w:footnote w:id="1038">
    <w:p w14:paraId="69602376" w14:textId="17DF86FB" w:rsidR="0096524F" w:rsidRPr="00813E50" w:rsidRDefault="0096524F" w:rsidP="0096524F">
      <w:pPr>
        <w:pStyle w:val="FootnoteText"/>
        <w:rPr>
          <w:rFonts w:eastAsia="Calibri"/>
        </w:rPr>
      </w:pPr>
      <w:r w:rsidRPr="0096524F">
        <w:rPr>
          <w:vertAlign w:val="superscript"/>
        </w:rPr>
        <w:footnoteRef/>
      </w:r>
      <w:r w:rsidRPr="0096524F">
        <w:rPr>
          <w:i/>
        </w:rPr>
        <w:t>See, e</w:t>
      </w:r>
      <w:r w:rsidRPr="0096524F">
        <w:t>.</w:t>
      </w:r>
      <w:r w:rsidRPr="0096524F">
        <w:rPr>
          <w:i/>
        </w:rPr>
        <w:t>g</w:t>
      </w:r>
      <w:r w:rsidRPr="0096524F">
        <w:t>.,</w:t>
      </w:r>
      <w:r w:rsidRPr="0096524F">
        <w:rPr>
          <w:rFonts w:eastAsia="Calibri"/>
        </w:rPr>
        <w:t xml:space="preserve"> Apple, Inc.</w:t>
      </w:r>
      <w:r w:rsidRPr="0096524F">
        <w:rPr>
          <w:rFonts w:eastAsia="Calibri"/>
        </w:rPr>
        <w:t xml:space="preserve"> </w:t>
      </w:r>
      <w:r w:rsidRPr="0096524F">
        <w:rPr>
          <w:rFonts w:eastAsia="Calibri"/>
        </w:rPr>
        <w:t>v.</w:t>
      </w:r>
      <w:r w:rsidRPr="0096524F">
        <w:rPr>
          <w:rFonts w:eastAsia="Calibri"/>
        </w:rPr>
        <w:t xml:space="preserve"> </w:t>
      </w:r>
      <w:r w:rsidRPr="0096524F">
        <w:rPr>
          <w:rFonts w:eastAsia="Calibri"/>
        </w:rPr>
        <w:t>Samsung Elecs.</w:t>
      </w:r>
      <w:r w:rsidRPr="0096524F">
        <w:rPr>
          <w:rFonts w:eastAsia="Calibri"/>
        </w:rPr>
        <w:t xml:space="preserve"> </w:t>
      </w:r>
      <w:r w:rsidRPr="0096524F">
        <w:rPr>
          <w:rFonts w:eastAsia="Calibri"/>
        </w:rPr>
        <w:t>Co., 920 F.</w:t>
      </w:r>
      <w:r w:rsidRPr="0096524F">
        <w:rPr>
          <w:rFonts w:eastAsia="Calibri"/>
        </w:rPr>
        <w:t xml:space="preserve"> </w:t>
      </w:r>
      <w:r w:rsidRPr="0096524F">
        <w:rPr>
          <w:rFonts w:eastAsia="Calibri"/>
        </w:rPr>
        <w:t>Supp.</w:t>
      </w:r>
      <w:r w:rsidRPr="0096524F">
        <w:rPr>
          <w:rFonts w:eastAsia="Calibri"/>
        </w:rPr>
        <w:t xml:space="preserve"> </w:t>
      </w:r>
      <w:r w:rsidRPr="0096524F">
        <w:rPr>
          <w:rFonts w:eastAsia="Calibri"/>
        </w:rPr>
        <w:t>2d 1116, 1123–26 (N.D.</w:t>
      </w:r>
      <w:r w:rsidRPr="0096524F">
        <w:rPr>
          <w:rFonts w:eastAsia="Calibri"/>
        </w:rPr>
        <w:t xml:space="preserve"> </w:t>
      </w:r>
      <w:r w:rsidRPr="0096524F">
        <w:rPr>
          <w:rFonts w:eastAsia="Calibri"/>
        </w:rPr>
        <w:t>Cal.</w:t>
      </w:r>
      <w:r w:rsidRPr="0096524F">
        <w:rPr>
          <w:rFonts w:eastAsia="Calibri"/>
        </w:rPr>
        <w:t xml:space="preserve"> </w:t>
      </w:r>
      <w:r w:rsidRPr="0096524F">
        <w:rPr>
          <w:rFonts w:eastAsia="Calibri"/>
        </w:rPr>
        <w:t xml:space="preserve">2013) (discussing functionality), </w:t>
      </w:r>
      <w:r w:rsidRPr="0096524F">
        <w:rPr>
          <w:rFonts w:eastAsia="Calibri"/>
          <w:i/>
        </w:rPr>
        <w:t>aff’d in part</w:t>
      </w:r>
      <w:r w:rsidRPr="0096524F">
        <w:rPr>
          <w:rFonts w:eastAsia="Calibri"/>
        </w:rPr>
        <w:t>,</w:t>
      </w:r>
      <w:r w:rsidRPr="0096524F">
        <w:rPr>
          <w:rFonts w:eastAsia="Calibri"/>
          <w:i/>
        </w:rPr>
        <w:t xml:space="preserve"> rev’d in part</w:t>
      </w:r>
      <w:r w:rsidRPr="0096524F">
        <w:rPr>
          <w:rFonts w:eastAsia="Calibri"/>
        </w:rPr>
        <w:t>, 786 F.3d 983, 114 USPQ2d 1953 (Fed.</w:t>
      </w:r>
      <w:r w:rsidRPr="0096524F">
        <w:rPr>
          <w:rFonts w:eastAsia="Calibri"/>
        </w:rPr>
        <w:t xml:space="preserve"> </w:t>
      </w:r>
      <w:r w:rsidRPr="0096524F">
        <w:rPr>
          <w:rFonts w:eastAsia="Calibri"/>
        </w:rPr>
        <w:t>Cir.</w:t>
      </w:r>
      <w:r w:rsidRPr="0096524F">
        <w:rPr>
          <w:rFonts w:eastAsia="Calibri"/>
        </w:rPr>
        <w:t xml:space="preserve"> </w:t>
      </w:r>
      <w:r w:rsidRPr="0096524F">
        <w:rPr>
          <w:rFonts w:eastAsia="Calibri"/>
        </w:rPr>
        <w:t xml:space="preserve">2015) (the Federal Circuit held that the trade dress was functional), </w:t>
      </w:r>
      <w:r w:rsidRPr="0096524F">
        <w:rPr>
          <w:rFonts w:eastAsia="Calibri"/>
          <w:i/>
        </w:rPr>
        <w:t>rev’d on other grounds</w:t>
      </w:r>
      <w:r w:rsidRPr="0096524F">
        <w:rPr>
          <w:rFonts w:eastAsia="Calibri"/>
        </w:rPr>
        <w:t>, 137 S.</w:t>
      </w:r>
      <w:r w:rsidRPr="0096524F">
        <w:rPr>
          <w:rFonts w:eastAsia="Calibri"/>
        </w:rPr>
        <w:t xml:space="preserve"> </w:t>
      </w:r>
      <w:r w:rsidRPr="0096524F">
        <w:rPr>
          <w:rFonts w:eastAsia="Calibri"/>
        </w:rPr>
        <w:t>Ct.</w:t>
      </w:r>
      <w:r w:rsidRPr="0096524F">
        <w:rPr>
          <w:rFonts w:eastAsia="Calibri"/>
        </w:rPr>
        <w:t xml:space="preserve"> </w:t>
      </w:r>
      <w:r w:rsidRPr="0096524F">
        <w:rPr>
          <w:rFonts w:eastAsia="Calibri"/>
        </w:rPr>
        <w:t>429, 120 USPQ2d 1749 (2016);</w:t>
      </w:r>
      <w:r w:rsidRPr="0096524F">
        <w:rPr>
          <w:rFonts w:eastAsia="Calibri"/>
        </w:rPr>
        <w:t xml:space="preserve"> </w:t>
      </w:r>
      <w:r w:rsidRPr="0096524F">
        <w:t>I.P.</w:t>
      </w:r>
      <w:r w:rsidRPr="0096524F">
        <w:t xml:space="preserve"> </w:t>
      </w:r>
      <w:r w:rsidRPr="0096524F">
        <w:t>Lund Trading ApS v.</w:t>
      </w:r>
      <w:r w:rsidRPr="0096524F">
        <w:t xml:space="preserve"> </w:t>
      </w:r>
      <w:r w:rsidRPr="0096524F">
        <w:t>Kohler Co., 118 F.</w:t>
      </w:r>
      <w:r w:rsidRPr="0096524F">
        <w:t xml:space="preserve"> </w:t>
      </w:r>
      <w:r w:rsidRPr="0096524F">
        <w:t>Supp.</w:t>
      </w:r>
      <w:r w:rsidRPr="0096524F">
        <w:t xml:space="preserve"> </w:t>
      </w:r>
      <w:r w:rsidRPr="0096524F">
        <w:t>2d 92, 99, 56 USPQ2d 1776 (D.</w:t>
      </w:r>
      <w:r w:rsidRPr="0096524F">
        <w:t xml:space="preserve"> </w:t>
      </w:r>
      <w:r w:rsidRPr="0096524F">
        <w:t>Mass.</w:t>
      </w:r>
      <w:r w:rsidRPr="0096524F">
        <w:t xml:space="preserve"> </w:t>
      </w:r>
      <w:r w:rsidRPr="0096524F">
        <w:t>2000) (trade dress protection for product configuration requires nonfunctionality).</w:t>
      </w:r>
    </w:p>
  </w:footnote>
  <w:footnote w:id="1039">
    <w:p w14:paraId="6D6AE907" w14:textId="0AC9880B" w:rsidR="0096524F" w:rsidRPr="00EB11B3" w:rsidRDefault="0096524F" w:rsidP="0096524F">
      <w:pPr>
        <w:pStyle w:val="FootnoteText"/>
      </w:pPr>
      <w:r w:rsidRPr="0096524F">
        <w:rPr>
          <w:vertAlign w:val="superscript"/>
        </w:rPr>
        <w:footnoteRef/>
      </w:r>
      <w:r w:rsidRPr="0096524F">
        <w:rPr>
          <w:i/>
        </w:rPr>
        <w:t>See</w:t>
      </w:r>
      <w:r w:rsidRPr="0096524F">
        <w:t xml:space="preserve"> Qualitex Co.</w:t>
      </w:r>
      <w:r w:rsidRPr="0096524F">
        <w:t xml:space="preserve"> </w:t>
      </w:r>
      <w:r w:rsidRPr="0096524F">
        <w:t>v.</w:t>
      </w:r>
      <w:r w:rsidRPr="0096524F">
        <w:t xml:space="preserve"> </w:t>
      </w:r>
      <w:r w:rsidRPr="0096524F">
        <w:t>Jacobson Prods.</w:t>
      </w:r>
      <w:r w:rsidRPr="0096524F">
        <w:t xml:space="preserve"> </w:t>
      </w:r>
      <w:r w:rsidRPr="0096524F">
        <w:t>Co., 514 U.S.</w:t>
      </w:r>
      <w:r w:rsidRPr="0096524F">
        <w:t xml:space="preserve"> </w:t>
      </w:r>
      <w:r w:rsidRPr="0096524F">
        <w:t>159, 165, 34 USPQ2d 1161 (1995);</w:t>
      </w:r>
      <w:r w:rsidRPr="0096524F">
        <w:t xml:space="preserve"> </w:t>
      </w:r>
      <w:r w:rsidRPr="0096524F">
        <w:t>I.P.</w:t>
      </w:r>
      <w:r w:rsidRPr="0096524F">
        <w:t xml:space="preserve"> </w:t>
      </w:r>
      <w:r w:rsidRPr="0096524F">
        <w:t>Lund Trading ApS v.</w:t>
      </w:r>
      <w:r w:rsidRPr="0096524F">
        <w:t xml:space="preserve"> </w:t>
      </w:r>
      <w:r w:rsidRPr="0096524F">
        <w:t>Kohler Co., 163 F.3d 27, 37, 49 USPQ2d 1225 (1st Cir.</w:t>
      </w:r>
      <w:r w:rsidRPr="0096524F">
        <w:t xml:space="preserve"> </w:t>
      </w:r>
      <w:r w:rsidRPr="0096524F">
        <w:t>1998).</w:t>
      </w:r>
      <w:r w:rsidRPr="0096524F">
        <w:t xml:space="preserve"> </w:t>
      </w:r>
      <w:r w:rsidRPr="0096524F">
        <w:t xml:space="preserve">In </w:t>
      </w:r>
      <w:r w:rsidRPr="0096524F">
        <w:rPr>
          <w:i/>
        </w:rPr>
        <w:t>TrafFix Devices, Inc</w:t>
      </w:r>
      <w:r w:rsidRPr="0096524F">
        <w:t>.</w:t>
      </w:r>
      <w:r w:rsidRPr="0096524F">
        <w:t xml:space="preserve"> </w:t>
      </w:r>
      <w:r w:rsidRPr="0096524F">
        <w:rPr>
          <w:i/>
        </w:rPr>
        <w:t>v</w:t>
      </w:r>
      <w:r w:rsidRPr="0096524F">
        <w:t>.</w:t>
      </w:r>
      <w:r w:rsidRPr="0096524F">
        <w:t xml:space="preserve"> </w:t>
      </w:r>
      <w:r w:rsidRPr="0096524F">
        <w:rPr>
          <w:i/>
        </w:rPr>
        <w:t>Marketing Displays, Inc</w:t>
      </w:r>
      <w:r w:rsidRPr="0096524F">
        <w:t>., 532 U.S.</w:t>
      </w:r>
      <w:r w:rsidRPr="0096524F">
        <w:t xml:space="preserve"> </w:t>
      </w:r>
      <w:r w:rsidRPr="0096524F">
        <w:t>23, 58 USPQ2d 1001 (2001), the Court indicated that the interest in effective competition may be confined to cases of “aesthetic” functionality.</w:t>
      </w:r>
      <w:r w:rsidRPr="0096524F">
        <w:t xml:space="preserve"> </w:t>
      </w:r>
      <w:r w:rsidRPr="0096524F">
        <w:rPr>
          <w:i/>
        </w:rPr>
        <w:t>Id</w:t>
      </w:r>
      <w:r w:rsidRPr="0096524F">
        <w:t>.</w:t>
      </w:r>
      <w:r w:rsidRPr="0096524F">
        <w:t xml:space="preserve"> </w:t>
      </w:r>
      <w:r w:rsidRPr="0096524F">
        <w:t>at 32–33.</w:t>
      </w:r>
      <w:r w:rsidRPr="0096524F">
        <w:t xml:space="preserve"> </w:t>
      </w:r>
      <w:r w:rsidRPr="0096524F">
        <w:rPr>
          <w:i/>
        </w:rPr>
        <w:t>See</w:t>
      </w:r>
      <w:r w:rsidRPr="0096524F">
        <w:t xml:space="preserve"> Groeneveld Transp.</w:t>
      </w:r>
      <w:r w:rsidRPr="0096524F">
        <w:t xml:space="preserve"> </w:t>
      </w:r>
      <w:r w:rsidRPr="0096524F">
        <w:t>Efficiency, Inc.</w:t>
      </w:r>
      <w:r w:rsidRPr="0096524F">
        <w:t xml:space="preserve"> </w:t>
      </w:r>
      <w:r w:rsidRPr="0096524F">
        <w:t>v.</w:t>
      </w:r>
      <w:r w:rsidRPr="0096524F">
        <w:t xml:space="preserve"> </w:t>
      </w:r>
      <w:r w:rsidRPr="0096524F">
        <w:t>Lubecore Int’l, Inc., 730 F.3d 494, 506–07, 108 USPQ2d 1022 (6th Cir.</w:t>
      </w:r>
      <w:r w:rsidRPr="0096524F">
        <w:t xml:space="preserve"> </w:t>
      </w:r>
      <w:r w:rsidRPr="0096524F">
        <w:t>2013) (</w:t>
      </w:r>
      <w:r w:rsidRPr="0096524F">
        <w:rPr>
          <w:i/>
        </w:rPr>
        <w:t>TrafFix</w:t>
      </w:r>
      <w:r w:rsidRPr="0096524F">
        <w:t xml:space="preserve"> holds that one need not consider alternative designs when determining functionality).</w:t>
      </w:r>
    </w:p>
  </w:footnote>
  <w:footnote w:id="1040">
    <w:p w14:paraId="1F4ED943" w14:textId="4B5CE30D" w:rsidR="0096524F" w:rsidRDefault="0096524F" w:rsidP="0096524F">
      <w:pPr>
        <w:pStyle w:val="FootnoteText"/>
      </w:pPr>
      <w:r w:rsidRPr="0096524F">
        <w:rPr>
          <w:rStyle w:val="FootnoteReference"/>
          <w:rFonts w:eastAsiaTheme="majorEastAsia"/>
        </w:rPr>
        <w:footnoteRef/>
      </w:r>
      <w:r w:rsidRPr="0096524F">
        <w:rPr>
          <w:i/>
        </w:rPr>
        <w:t>See</w:t>
      </w:r>
      <w:r w:rsidRPr="0096524F">
        <w:t xml:space="preserve"> </w:t>
      </w:r>
      <w:r w:rsidRPr="0096524F">
        <w:rPr>
          <w:i/>
        </w:rPr>
        <w:t>Lubecore</w:t>
      </w:r>
      <w:r w:rsidRPr="0096524F">
        <w:t>, 730 F.3d at 508 (“the public policy underlying the functionality doctrine … is to channel the legal protection of useful designs from the realm of trademark to that of patent”).</w:t>
      </w:r>
    </w:p>
  </w:footnote>
  <w:footnote w:id="1041">
    <w:p w14:paraId="26F4A4A2" w14:textId="535CB11E" w:rsidR="0096524F" w:rsidRPr="00EB11B3" w:rsidRDefault="0096524F" w:rsidP="0096524F">
      <w:pPr>
        <w:pStyle w:val="FootnoteText"/>
      </w:pPr>
      <w:r w:rsidRPr="0096524F">
        <w:rPr>
          <w:vertAlign w:val="superscript"/>
        </w:rPr>
        <w:footnoteRef/>
      </w:r>
      <w:r w:rsidRPr="0096524F">
        <w:rPr>
          <w:i/>
        </w:rPr>
        <w:t>See</w:t>
      </w:r>
      <w:r w:rsidRPr="0096524F">
        <w:t xml:space="preserve"> L.A.</w:t>
      </w:r>
      <w:r w:rsidRPr="0096524F">
        <w:t xml:space="preserve"> </w:t>
      </w:r>
      <w:r w:rsidRPr="0096524F">
        <w:t>Gear, Inc.</w:t>
      </w:r>
      <w:r w:rsidRPr="0096524F">
        <w:t xml:space="preserve"> </w:t>
      </w:r>
      <w:r w:rsidRPr="0096524F">
        <w:t>v.</w:t>
      </w:r>
      <w:r w:rsidRPr="0096524F">
        <w:t xml:space="preserve"> </w:t>
      </w:r>
      <w:r w:rsidRPr="0096524F">
        <w:t>Thom McAn Shoe Co., 988 F.2d 1117, 1123 (Fed.</w:t>
      </w:r>
      <w:r w:rsidRPr="0096524F">
        <w:t xml:space="preserve"> </w:t>
      </w:r>
      <w:r w:rsidRPr="0096524F">
        <w:t xml:space="preserve">Cir.), </w:t>
      </w:r>
      <w:r w:rsidRPr="0096524F">
        <w:rPr>
          <w:i/>
        </w:rPr>
        <w:t>cert</w:t>
      </w:r>
      <w:r w:rsidRPr="0096524F">
        <w:t>.</w:t>
      </w:r>
      <w:r w:rsidRPr="0096524F">
        <w:t xml:space="preserve"> </w:t>
      </w:r>
      <w:r w:rsidRPr="0096524F">
        <w:rPr>
          <w:i/>
        </w:rPr>
        <w:t>denied,</w:t>
      </w:r>
      <w:r w:rsidRPr="0096524F">
        <w:t xml:space="preserve"> 510 U.S.</w:t>
      </w:r>
      <w:r w:rsidRPr="0096524F">
        <w:t xml:space="preserve"> </w:t>
      </w:r>
      <w:r w:rsidRPr="0096524F">
        <w:t>908 (1993).</w:t>
      </w:r>
    </w:p>
  </w:footnote>
  <w:footnote w:id="1042">
    <w:p w14:paraId="5D71144F" w14:textId="4A8C932A" w:rsidR="0096524F" w:rsidRPr="00EB11B3" w:rsidRDefault="0096524F" w:rsidP="0096524F">
      <w:pPr>
        <w:pStyle w:val="FootnoteText"/>
      </w:pPr>
      <w:r w:rsidRPr="0096524F">
        <w:rPr>
          <w:vertAlign w:val="superscript"/>
        </w:rPr>
        <w:footnoteRef/>
      </w:r>
      <w:r w:rsidRPr="0096524F">
        <w:rPr>
          <w:i/>
        </w:rPr>
        <w:t>See</w:t>
      </w:r>
      <w:r w:rsidRPr="0096524F">
        <w:t xml:space="preserve"> Wallace Int’l Silversmiths, Inc.</w:t>
      </w:r>
      <w:r w:rsidRPr="0096524F">
        <w:t xml:space="preserve"> </w:t>
      </w:r>
      <w:r w:rsidRPr="0096524F">
        <w:t>v.</w:t>
      </w:r>
      <w:r w:rsidRPr="0096524F">
        <w:t xml:space="preserve"> </w:t>
      </w:r>
      <w:r w:rsidRPr="0096524F">
        <w:t>Godinger Silver Art Co., 916 F.2d 76, 79, 16 USPQ2d 1555 (2d Cir.</w:t>
      </w:r>
      <w:r w:rsidRPr="0096524F">
        <w:t xml:space="preserve"> </w:t>
      </w:r>
      <w:r w:rsidRPr="0096524F">
        <w:t xml:space="preserve">1990), </w:t>
      </w:r>
      <w:r w:rsidRPr="0096524F">
        <w:rPr>
          <w:i/>
        </w:rPr>
        <w:t>cert</w:t>
      </w:r>
      <w:r w:rsidRPr="0096524F">
        <w:t>.</w:t>
      </w:r>
      <w:r w:rsidRPr="0096524F">
        <w:t xml:space="preserve"> </w:t>
      </w:r>
      <w:r w:rsidRPr="0096524F">
        <w:rPr>
          <w:i/>
        </w:rPr>
        <w:t>denied,</w:t>
      </w:r>
      <w:r w:rsidRPr="0096524F">
        <w:t xml:space="preserve"> 499 U.S.</w:t>
      </w:r>
      <w:r w:rsidRPr="0096524F">
        <w:t xml:space="preserve"> </w:t>
      </w:r>
      <w:r w:rsidRPr="0096524F">
        <w:t>976 (1991).</w:t>
      </w:r>
    </w:p>
  </w:footnote>
  <w:footnote w:id="1043">
    <w:p w14:paraId="16F4623C" w14:textId="462FEF57"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81.</w:t>
      </w:r>
      <w:r w:rsidRPr="0096524F">
        <w:t xml:space="preserve"> </w:t>
      </w:r>
      <w:r w:rsidRPr="0096524F">
        <w:rPr>
          <w:i/>
        </w:rPr>
        <w:t>See</w:t>
      </w:r>
      <w:r w:rsidRPr="0096524F">
        <w:t xml:space="preserve"> Qualitex Co.</w:t>
      </w:r>
      <w:r w:rsidRPr="0096524F">
        <w:t xml:space="preserve"> </w:t>
      </w:r>
      <w:r w:rsidRPr="0096524F">
        <w:t>v.</w:t>
      </w:r>
      <w:r w:rsidRPr="0096524F">
        <w:t xml:space="preserve"> </w:t>
      </w:r>
      <w:r w:rsidRPr="0096524F">
        <w:t>Jacobson Prods.</w:t>
      </w:r>
      <w:r w:rsidRPr="0096524F">
        <w:t xml:space="preserve"> </w:t>
      </w:r>
      <w:r w:rsidRPr="0096524F">
        <w:t>Co., 514 U.S.</w:t>
      </w:r>
      <w:r w:rsidRPr="0096524F">
        <w:t xml:space="preserve"> </w:t>
      </w:r>
      <w:r w:rsidRPr="0096524F">
        <w:t>159, 165–66, 34 USPQ2d 1161 (1995).</w:t>
      </w:r>
    </w:p>
  </w:footnote>
  <w:footnote w:id="1044">
    <w:p w14:paraId="5DBBF55B" w14:textId="2CABCAFA" w:rsidR="0096524F" w:rsidRPr="00EB11B3" w:rsidRDefault="0096524F" w:rsidP="0096524F">
      <w:pPr>
        <w:pStyle w:val="FootnoteText"/>
      </w:pPr>
      <w:r w:rsidRPr="0096524F">
        <w:rPr>
          <w:vertAlign w:val="superscript"/>
        </w:rPr>
        <w:footnoteRef/>
      </w:r>
      <w:r w:rsidRPr="0096524F">
        <w:rPr>
          <w:i/>
        </w:rPr>
        <w:t>See, e</w:t>
      </w:r>
      <w:r w:rsidRPr="0096524F">
        <w:t>.</w:t>
      </w:r>
      <w:r w:rsidRPr="0096524F">
        <w:rPr>
          <w:i/>
        </w:rPr>
        <w:t>g</w:t>
      </w:r>
      <w:r w:rsidRPr="0096524F">
        <w:t>., Apple, Inc.</w:t>
      </w:r>
      <w:r w:rsidRPr="0096524F">
        <w:t xml:space="preserve"> </w:t>
      </w:r>
      <w:r w:rsidRPr="0096524F">
        <w:t>v.</w:t>
      </w:r>
      <w:r w:rsidRPr="0096524F">
        <w:t xml:space="preserve"> </w:t>
      </w:r>
      <w:r w:rsidRPr="0096524F">
        <w:t>Samsung Elecs.</w:t>
      </w:r>
      <w:r w:rsidRPr="0096524F">
        <w:t xml:space="preserve"> </w:t>
      </w:r>
      <w:r w:rsidRPr="0096524F">
        <w:t>Co., 2012 WL 2571719, at *5–6 (N.D.</w:t>
      </w:r>
      <w:r w:rsidRPr="0096524F">
        <w:t xml:space="preserve"> </w:t>
      </w:r>
      <w:r w:rsidRPr="0096524F">
        <w:t>Cal.</w:t>
      </w:r>
      <w:r w:rsidRPr="0096524F">
        <w:t xml:space="preserve"> </w:t>
      </w:r>
      <w:r w:rsidRPr="0096524F">
        <w:t>June 30, 2012) (designs are aesthetically functional “[w]hen goods are bought largely for their aesthetic value” (quoting Au-Tomotive Gold, Inc.</w:t>
      </w:r>
      <w:r w:rsidRPr="0096524F">
        <w:t xml:space="preserve"> </w:t>
      </w:r>
      <w:r w:rsidRPr="0096524F">
        <w:t>v.</w:t>
      </w:r>
      <w:r w:rsidRPr="0096524F">
        <w:t xml:space="preserve"> </w:t>
      </w:r>
      <w:r w:rsidRPr="0096524F">
        <w:t>Volkswagen of Am., Inc., 457 F.3d 1062, 1068, 80 USPQ2d 1293 (9th Cir.</w:t>
      </w:r>
      <w:r w:rsidRPr="0096524F">
        <w:t xml:space="preserve"> </w:t>
      </w:r>
      <w:r w:rsidRPr="0096524F">
        <w:t>2006)));</w:t>
      </w:r>
      <w:r w:rsidRPr="0096524F">
        <w:t xml:space="preserve"> </w:t>
      </w:r>
      <w:r w:rsidRPr="0096524F">
        <w:t>Ford Motor Co.</w:t>
      </w:r>
      <w:r w:rsidRPr="0096524F">
        <w:t xml:space="preserve"> </w:t>
      </w:r>
      <w:r w:rsidRPr="0096524F">
        <w:t>v.</w:t>
      </w:r>
      <w:r w:rsidRPr="0096524F">
        <w:t xml:space="preserve"> </w:t>
      </w:r>
      <w:r w:rsidRPr="0096524F">
        <w:t>Lloyd Design Corp., 184 F.</w:t>
      </w:r>
      <w:r w:rsidRPr="0096524F">
        <w:t xml:space="preserve"> </w:t>
      </w:r>
      <w:r w:rsidRPr="0096524F">
        <w:t>Supp.</w:t>
      </w:r>
      <w:r w:rsidRPr="0096524F">
        <w:t xml:space="preserve"> </w:t>
      </w:r>
      <w:r w:rsidRPr="0096524F">
        <w:t>2d 665, 673–77, 62 USPQ2d 1109 (E.D.</w:t>
      </w:r>
      <w:r w:rsidRPr="0096524F">
        <w:t xml:space="preserve"> </w:t>
      </w:r>
      <w:r w:rsidRPr="0096524F">
        <w:t>Mich.</w:t>
      </w:r>
      <w:r w:rsidRPr="0096524F">
        <w:t xml:space="preserve"> </w:t>
      </w:r>
      <w:r w:rsidRPr="0096524F">
        <w:t>2002) (rejecting claim of aesthetic functionality in a case involving both confusion and dilution);</w:t>
      </w:r>
      <w:r w:rsidRPr="0096524F">
        <w:t xml:space="preserve"> </w:t>
      </w:r>
      <w:r w:rsidRPr="0096524F">
        <w:t>Erin M.</w:t>
      </w:r>
      <w:r w:rsidRPr="0096524F">
        <w:t xml:space="preserve"> </w:t>
      </w:r>
      <w:r w:rsidRPr="0096524F">
        <w:t xml:space="preserve">Harriman, </w:t>
      </w:r>
      <w:r w:rsidRPr="0096524F">
        <w:rPr>
          <w:i/>
        </w:rPr>
        <w:t>Aesthetic Functionality:</w:t>
      </w:r>
      <w:r w:rsidRPr="0096524F">
        <w:rPr>
          <w:i/>
        </w:rPr>
        <w:t xml:space="preserve"> </w:t>
      </w:r>
      <w:r w:rsidRPr="0096524F">
        <w:rPr>
          <w:i/>
        </w:rPr>
        <w:t>The Disarray Among Modern Courts,</w:t>
      </w:r>
      <w:r w:rsidRPr="0096524F">
        <w:t xml:space="preserve"> 86 </w:t>
      </w:r>
      <w:r w:rsidRPr="0096524F">
        <w:rPr>
          <w:smallCaps/>
        </w:rPr>
        <w:t>Trademark Rep.</w:t>
      </w:r>
      <w:r w:rsidRPr="0096524F">
        <w:rPr>
          <w:smallCaps/>
        </w:rPr>
        <w:t xml:space="preserve"> </w:t>
      </w:r>
      <w:r w:rsidRPr="0096524F">
        <w:t>276 (1996);</w:t>
      </w:r>
      <w:r w:rsidRPr="0096524F">
        <w:t xml:space="preserve"> </w:t>
      </w:r>
      <w:r w:rsidRPr="0096524F">
        <w:t>William D.</w:t>
      </w:r>
      <w:r w:rsidRPr="0096524F">
        <w:t xml:space="preserve"> </w:t>
      </w:r>
      <w:r w:rsidRPr="0096524F">
        <w:t xml:space="preserve">Coston, </w:t>
      </w:r>
      <w:r w:rsidRPr="0096524F">
        <w:rPr>
          <w:i/>
        </w:rPr>
        <w:t>Wal-Mart Stores, Inc</w:t>
      </w:r>
      <w:r w:rsidRPr="0096524F">
        <w:t>.</w:t>
      </w:r>
      <w:r w:rsidRPr="0096524F">
        <w:t xml:space="preserve"> </w:t>
      </w:r>
      <w:r w:rsidRPr="0096524F">
        <w:rPr>
          <w:i/>
        </w:rPr>
        <w:t>v</w:t>
      </w:r>
      <w:r w:rsidRPr="0096524F">
        <w:t>.</w:t>
      </w:r>
      <w:r w:rsidRPr="0096524F">
        <w:t xml:space="preserve"> </w:t>
      </w:r>
      <w:r w:rsidRPr="0096524F">
        <w:rPr>
          <w:i/>
        </w:rPr>
        <w:t>Samara Bros</w:t>
      </w:r>
      <w:r w:rsidRPr="0096524F">
        <w:t>.</w:t>
      </w:r>
      <w:r w:rsidRPr="0096524F">
        <w:rPr>
          <w:i/>
        </w:rPr>
        <w:t>, Inc</w:t>
      </w:r>
      <w:r w:rsidRPr="0096524F">
        <w:t>.</w:t>
      </w:r>
      <w:r w:rsidRPr="0096524F">
        <w:rPr>
          <w:i/>
        </w:rPr>
        <w:t>:</w:t>
      </w:r>
      <w:r w:rsidRPr="0096524F">
        <w:rPr>
          <w:i/>
        </w:rPr>
        <w:t xml:space="preserve"> </w:t>
      </w:r>
      <w:r w:rsidRPr="0096524F">
        <w:rPr>
          <w:i/>
        </w:rPr>
        <w:t>The Triumph of Consumer Protection in Lanham Act Litigation,</w:t>
      </w:r>
      <w:r w:rsidRPr="0096524F">
        <w:t xml:space="preserve"> 90 </w:t>
      </w:r>
      <w:r w:rsidRPr="0096524F">
        <w:rPr>
          <w:smallCaps/>
        </w:rPr>
        <w:t>Trademark Rep.</w:t>
      </w:r>
      <w:r w:rsidRPr="0096524F">
        <w:rPr>
          <w:smallCaps/>
        </w:rPr>
        <w:t xml:space="preserve"> </w:t>
      </w:r>
      <w:r w:rsidRPr="0096524F">
        <w:t xml:space="preserve">572, 580 (2000) (asserting that prior to the </w:t>
      </w:r>
      <w:r w:rsidRPr="0096524F">
        <w:rPr>
          <w:i/>
        </w:rPr>
        <w:t>Wal-Mart</w:t>
      </w:r>
      <w:r w:rsidRPr="0096524F">
        <w:t xml:space="preserve"> decision the PTO and TTAB had treated it as a nonviable doctrine);</w:t>
      </w:r>
      <w:r w:rsidRPr="0096524F">
        <w:t xml:space="preserve"> </w:t>
      </w:r>
      <w:r w:rsidRPr="0096524F">
        <w:t>Jerre B.</w:t>
      </w:r>
      <w:r w:rsidRPr="0096524F">
        <w:t xml:space="preserve"> </w:t>
      </w:r>
      <w:r w:rsidRPr="0096524F">
        <w:t xml:space="preserve">Swann, </w:t>
      </w:r>
      <w:r w:rsidRPr="0096524F">
        <w:rPr>
          <w:i/>
        </w:rPr>
        <w:t>The Configuration Quagmire:</w:t>
      </w:r>
      <w:r w:rsidRPr="0096524F">
        <w:rPr>
          <w:i/>
        </w:rPr>
        <w:t xml:space="preserve"> </w:t>
      </w:r>
      <w:r w:rsidRPr="0096524F">
        <w:rPr>
          <w:i/>
        </w:rPr>
        <w:t>Is Protection Anticompetitive or Beneficial to Consumers, and the Need to Synthesize Extremes,</w:t>
      </w:r>
      <w:r w:rsidRPr="0096524F">
        <w:t xml:space="preserve"> 87 </w:t>
      </w:r>
      <w:r w:rsidRPr="0096524F">
        <w:rPr>
          <w:smallCaps/>
        </w:rPr>
        <w:t>Trademark Rep.</w:t>
      </w:r>
      <w:r w:rsidRPr="0096524F">
        <w:rPr>
          <w:smallCaps/>
        </w:rPr>
        <w:t xml:space="preserve"> </w:t>
      </w:r>
      <w:r w:rsidRPr="0096524F">
        <w:t>253, 255 (1997).</w:t>
      </w:r>
    </w:p>
  </w:footnote>
  <w:footnote w:id="1045">
    <w:p w14:paraId="5168D8CC" w14:textId="5596B030" w:rsidR="0096524F" w:rsidRPr="00EB11B3" w:rsidRDefault="0096524F" w:rsidP="0096524F">
      <w:pPr>
        <w:pStyle w:val="FootnoteText"/>
      </w:pPr>
      <w:r w:rsidRPr="0096524F">
        <w:rPr>
          <w:vertAlign w:val="superscript"/>
        </w:rPr>
        <w:footnoteRef/>
      </w:r>
      <w:r w:rsidRPr="0096524F">
        <w:rPr>
          <w:i/>
        </w:rPr>
        <w:t>See</w:t>
      </w:r>
      <w:r w:rsidRPr="0096524F">
        <w:t xml:space="preserve"> David S.</w:t>
      </w:r>
      <w:r w:rsidRPr="0096524F">
        <w:t xml:space="preserve"> </w:t>
      </w:r>
      <w:r w:rsidRPr="0096524F">
        <w:t xml:space="preserve">Welkowitz, </w:t>
      </w:r>
      <w:r w:rsidRPr="0096524F">
        <w:rPr>
          <w:i/>
        </w:rPr>
        <w:t>Trade Dress and Patent—The Dilemma of Confusion,</w:t>
      </w:r>
      <w:r w:rsidRPr="0096524F">
        <w:t xml:space="preserve"> 30 </w:t>
      </w:r>
      <w:r w:rsidRPr="0096524F">
        <w:rPr>
          <w:smallCaps/>
        </w:rPr>
        <w:t>Rutgers L.J.</w:t>
      </w:r>
      <w:r w:rsidRPr="0096524F">
        <w:rPr>
          <w:smallCaps/>
        </w:rPr>
        <w:t xml:space="preserve"> </w:t>
      </w:r>
      <w:r w:rsidRPr="0096524F">
        <w:t>289, 339–41 (1999).</w:t>
      </w:r>
    </w:p>
  </w:footnote>
  <w:footnote w:id="1046">
    <w:p w14:paraId="0332A9AE" w14:textId="2FF5EFA7" w:rsidR="0096524F" w:rsidRPr="0096524F" w:rsidRDefault="0096524F" w:rsidP="0096524F">
      <w:pPr>
        <w:pStyle w:val="FootnoteText"/>
      </w:pPr>
      <w:r w:rsidRPr="0096524F">
        <w:rPr>
          <w:vertAlign w:val="superscript"/>
        </w:rPr>
        <w:footnoteRef/>
      </w:r>
      <w:r w:rsidRPr="0096524F">
        <w:t>786 F.3d 983, 114 USPQ2d 1953 (Fed.</w:t>
      </w:r>
      <w:r w:rsidRPr="0096524F">
        <w:t xml:space="preserve"> </w:t>
      </w:r>
      <w:r w:rsidRPr="0096524F">
        <w:t>Cir.</w:t>
      </w:r>
      <w:r w:rsidRPr="0096524F">
        <w:t xml:space="preserve"> </w:t>
      </w:r>
      <w:r w:rsidRPr="0096524F">
        <w:t xml:space="preserve">2015), </w:t>
      </w:r>
      <w:r w:rsidRPr="0096524F">
        <w:rPr>
          <w:i/>
        </w:rPr>
        <w:t>rev’d on other grounds</w:t>
      </w:r>
      <w:r w:rsidRPr="0096524F">
        <w:t>, 137 S.</w:t>
      </w:r>
      <w:r w:rsidRPr="0096524F">
        <w:t xml:space="preserve"> </w:t>
      </w:r>
      <w:r w:rsidRPr="0096524F">
        <w:t>Ct.</w:t>
      </w:r>
      <w:r w:rsidRPr="0096524F">
        <w:t xml:space="preserve"> </w:t>
      </w:r>
      <w:r w:rsidRPr="0096524F">
        <w:t>429, 120 USPQ2d 1749 (2016).</w:t>
      </w:r>
    </w:p>
    <w:p w14:paraId="49A435F4" w14:textId="77777777" w:rsidR="0096524F" w:rsidRDefault="0096524F" w:rsidP="00D758BD">
      <w:pPr>
        <w:pStyle w:val="footnote"/>
      </w:pPr>
    </w:p>
  </w:footnote>
  <w:footnote w:id="1047">
    <w:p w14:paraId="13E8D997" w14:textId="08F7A01B"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989.</w:t>
      </w:r>
    </w:p>
    <w:p w14:paraId="66F027D5" w14:textId="77777777" w:rsidR="0096524F" w:rsidRPr="00882ED4" w:rsidRDefault="0096524F" w:rsidP="00D758BD">
      <w:pPr>
        <w:pStyle w:val="footnote"/>
        <w:rPr>
          <w:lang w:val="da-DK"/>
        </w:rPr>
      </w:pPr>
    </w:p>
  </w:footnote>
  <w:footnote w:id="1048">
    <w:p w14:paraId="52AB49EA" w14:textId="1EC5D565"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990.</w:t>
      </w:r>
    </w:p>
    <w:p w14:paraId="103F86EE" w14:textId="77777777" w:rsidR="0096524F" w:rsidRPr="00882ED4" w:rsidRDefault="0096524F" w:rsidP="00D758BD">
      <w:pPr>
        <w:pStyle w:val="footnote"/>
        <w:rPr>
          <w:lang w:val="da-DK"/>
        </w:rPr>
      </w:pPr>
    </w:p>
  </w:footnote>
  <w:footnote w:id="1049">
    <w:p w14:paraId="45A534E4" w14:textId="26985644"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991–92.</w:t>
      </w:r>
    </w:p>
    <w:p w14:paraId="6DEAF09B" w14:textId="77777777" w:rsidR="0096524F" w:rsidRPr="00882ED4" w:rsidRDefault="0096524F" w:rsidP="00D758BD">
      <w:pPr>
        <w:pStyle w:val="footnote"/>
        <w:rPr>
          <w:lang w:val="da-DK"/>
        </w:rPr>
      </w:pPr>
    </w:p>
  </w:footnote>
  <w:footnote w:id="1050">
    <w:p w14:paraId="28FFA249" w14:textId="3D3228A0"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992.</w:t>
      </w:r>
    </w:p>
    <w:p w14:paraId="72018689" w14:textId="77777777" w:rsidR="0096524F" w:rsidRDefault="0096524F" w:rsidP="00D758BD">
      <w:pPr>
        <w:pStyle w:val="footnote"/>
      </w:pPr>
    </w:p>
  </w:footnote>
  <w:footnote w:id="1051">
    <w:p w14:paraId="5BB29F72" w14:textId="75768596"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(quoting Disc Golf Ass’n v.</w:t>
      </w:r>
      <w:r w:rsidRPr="0096524F">
        <w:t xml:space="preserve"> </w:t>
      </w:r>
      <w:r w:rsidRPr="0096524F">
        <w:t>Champion Discs, Inc., 158 F.3d 1002, 1007 (9th</w:t>
      </w:r>
      <w:r w:rsidRPr="0096524F">
        <w:rPr>
          <w:vertAlign w:val="superscript"/>
        </w:rPr>
        <w:t xml:space="preserve"> </w:t>
      </w:r>
      <w:r w:rsidRPr="0096524F">
        <w:t>Cir.</w:t>
      </w:r>
      <w:r w:rsidRPr="0096524F">
        <w:t xml:space="preserve"> </w:t>
      </w:r>
      <w:r w:rsidRPr="0096524F">
        <w:t>1998)).</w:t>
      </w:r>
    </w:p>
    <w:p w14:paraId="6E9BCF06" w14:textId="77777777" w:rsidR="0096524F" w:rsidRDefault="0096524F" w:rsidP="00D758BD">
      <w:pPr>
        <w:pStyle w:val="footnote"/>
      </w:pPr>
    </w:p>
  </w:footnote>
  <w:footnote w:id="1052">
    <w:p w14:paraId="2A87C406" w14:textId="5766EB96"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993.</w:t>
      </w:r>
    </w:p>
    <w:p w14:paraId="3577E9FB" w14:textId="77777777" w:rsidR="0096524F" w:rsidRPr="00882ED4" w:rsidRDefault="0096524F" w:rsidP="00D758BD">
      <w:pPr>
        <w:pStyle w:val="footnote"/>
        <w:rPr>
          <w:lang w:val="da-DK"/>
        </w:rPr>
      </w:pPr>
    </w:p>
  </w:footnote>
  <w:footnote w:id="1053">
    <w:p w14:paraId="4660391F" w14:textId="2268C7F0"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993–94.</w:t>
      </w:r>
    </w:p>
    <w:p w14:paraId="747C2AA8" w14:textId="77777777" w:rsidR="0096524F" w:rsidRPr="00882ED4" w:rsidRDefault="0096524F" w:rsidP="00D758BD">
      <w:pPr>
        <w:pStyle w:val="footnote"/>
        <w:rPr>
          <w:lang w:val="da-DK"/>
        </w:rPr>
      </w:pPr>
    </w:p>
  </w:footnote>
  <w:footnote w:id="1054">
    <w:p w14:paraId="017D5D3B" w14:textId="28CB11FD"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994–95.</w:t>
      </w:r>
    </w:p>
    <w:p w14:paraId="416E5E40" w14:textId="77777777" w:rsidR="0096524F" w:rsidRPr="00882ED4" w:rsidRDefault="0096524F" w:rsidP="00D758BD">
      <w:pPr>
        <w:pStyle w:val="footnote"/>
        <w:rPr>
          <w:lang w:val="da-DK"/>
        </w:rPr>
      </w:pPr>
    </w:p>
  </w:footnote>
  <w:footnote w:id="1055">
    <w:p w14:paraId="44F32A98" w14:textId="117DDB8C"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995.</w:t>
      </w:r>
    </w:p>
    <w:p w14:paraId="3FB5D9B1" w14:textId="77777777" w:rsidR="0096524F" w:rsidRPr="00882ED4" w:rsidRDefault="0096524F" w:rsidP="00D758BD">
      <w:pPr>
        <w:pStyle w:val="footnote"/>
        <w:rPr>
          <w:lang w:val="da-DK"/>
        </w:rPr>
      </w:pPr>
    </w:p>
  </w:footnote>
  <w:footnote w:id="1056">
    <w:p w14:paraId="6E58B957" w14:textId="245C4C06"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995–96.</w:t>
      </w:r>
    </w:p>
    <w:p w14:paraId="5CCB2BC6" w14:textId="77777777" w:rsidR="0096524F" w:rsidRPr="00882ED4" w:rsidRDefault="0096524F" w:rsidP="00D758BD">
      <w:pPr>
        <w:pStyle w:val="footnote"/>
        <w:rPr>
          <w:lang w:val="da-DK"/>
        </w:rPr>
      </w:pPr>
    </w:p>
  </w:footnote>
  <w:footnote w:id="1057">
    <w:p w14:paraId="3F056313" w14:textId="03DD4492" w:rsidR="0096524F" w:rsidRPr="0096524F"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996.</w:t>
      </w:r>
    </w:p>
    <w:p w14:paraId="4CB698E2" w14:textId="77777777" w:rsidR="0096524F" w:rsidRPr="00882ED4" w:rsidRDefault="0096524F" w:rsidP="00D758BD">
      <w:pPr>
        <w:pStyle w:val="footnote"/>
        <w:rPr>
          <w:lang w:val="da-DK"/>
        </w:rPr>
      </w:pPr>
    </w:p>
  </w:footnote>
  <w:footnote w:id="1058">
    <w:p w14:paraId="7E12D8C9" w14:textId="51C73DA3" w:rsidR="0096524F" w:rsidRDefault="0096524F" w:rsidP="0096524F">
      <w:pPr>
        <w:pStyle w:val="FootnoteText"/>
      </w:pPr>
      <w:r w:rsidRPr="0096524F">
        <w:rPr>
          <w:rStyle w:val="FootnoteReference"/>
          <w:rFonts w:eastAsiaTheme="majorEastAsia"/>
        </w:rPr>
        <w:footnoteRef/>
      </w:r>
      <w:r w:rsidRPr="0096524F">
        <w:t>2025 WL 947543, 2025 BL 104783 (D.</w:t>
      </w:r>
      <w:r w:rsidRPr="0096524F">
        <w:t xml:space="preserve"> </w:t>
      </w:r>
      <w:r w:rsidRPr="0096524F">
        <w:t>Nev.</w:t>
      </w:r>
      <w:r w:rsidRPr="0096524F">
        <w:t xml:space="preserve"> </w:t>
      </w:r>
      <w:r w:rsidRPr="0096524F">
        <w:t>Mar.</w:t>
      </w:r>
      <w:r w:rsidRPr="0096524F">
        <w:t xml:space="preserve"> </w:t>
      </w:r>
      <w:r w:rsidRPr="0096524F">
        <w:t>28, 2025).</w:t>
      </w:r>
    </w:p>
  </w:footnote>
  <w:footnote w:id="1059">
    <w:p w14:paraId="26F2F0C5" w14:textId="5A9C45F7" w:rsidR="0096524F" w:rsidRPr="004A28BE" w:rsidRDefault="0096524F" w:rsidP="0096524F">
      <w:pPr>
        <w:pStyle w:val="FootnoteText"/>
      </w:pPr>
      <w:r w:rsidRPr="0096524F">
        <w:rPr>
          <w:rStyle w:val="FootnoteReference"/>
          <w:rFonts w:eastAsiaTheme="majorEastAsia"/>
        </w:rPr>
        <w:footnoteRef/>
      </w:r>
      <w:r w:rsidRPr="0096524F">
        <w:rPr>
          <w:i/>
        </w:rPr>
        <w:t>Id</w:t>
      </w:r>
      <w:r w:rsidRPr="0096524F">
        <w:t>.</w:t>
      </w:r>
      <w:r w:rsidRPr="0096524F">
        <w:t xml:space="preserve"> </w:t>
      </w:r>
      <w:r w:rsidRPr="0096524F">
        <w:t>at *2–3.</w:t>
      </w:r>
    </w:p>
  </w:footnote>
  <w:footnote w:id="1060">
    <w:p w14:paraId="13AB0ABF" w14:textId="6534E03B" w:rsidR="0096524F" w:rsidRPr="00EB11B3" w:rsidRDefault="0096524F" w:rsidP="0096524F">
      <w:pPr>
        <w:pStyle w:val="FootnoteText"/>
      </w:pPr>
      <w:r w:rsidRPr="0096524F">
        <w:rPr>
          <w:vertAlign w:val="superscript"/>
        </w:rPr>
        <w:footnoteRef/>
      </w:r>
      <w:r w:rsidRPr="0096524F">
        <w:rPr>
          <w:i/>
        </w:rPr>
        <w:t xml:space="preserve">Compare </w:t>
      </w:r>
      <w:r w:rsidRPr="0096524F">
        <w:t>15 U.S.C.</w:t>
      </w:r>
      <w:r w:rsidRPr="0096524F">
        <w:t xml:space="preserve"> </w:t>
      </w:r>
      <w:r w:rsidRPr="0096524F">
        <w:t xml:space="preserve">§1125(c)(1) </w:t>
      </w:r>
      <w:r w:rsidRPr="0096524F">
        <w:rPr>
          <w:i/>
        </w:rPr>
        <w:t>with</w:t>
      </w:r>
      <w:r w:rsidRPr="0096524F">
        <w:t xml:space="preserve"> former 15 U.S.C.</w:t>
      </w:r>
      <w:r w:rsidRPr="0096524F">
        <w:t xml:space="preserve"> </w:t>
      </w:r>
      <w:r w:rsidRPr="0096524F">
        <w:t>§1125(c)(1) (superseded by the Trademark Dilution Revision Act of 2006) (setting forth factors to determine whether a mark is “distinctive and famous”).</w:t>
      </w:r>
    </w:p>
  </w:footnote>
  <w:footnote w:id="1061">
    <w:p w14:paraId="7600E86A" w14:textId="03D3D7E3" w:rsidR="0096524F" w:rsidRPr="00EB11B3" w:rsidRDefault="0096524F" w:rsidP="0096524F">
      <w:pPr>
        <w:pStyle w:val="FootnoteText"/>
      </w:pPr>
      <w:r w:rsidRPr="0096524F">
        <w:rPr>
          <w:vertAlign w:val="superscript"/>
        </w:rPr>
        <w:footnoteRef/>
      </w:r>
      <w:r w:rsidRPr="0096524F">
        <w:t>The Second Circuit had required a separate showing of distinctiveness as part of the analysis of dilution.</w:t>
      </w:r>
      <w:r w:rsidRPr="0096524F">
        <w:t xml:space="preserve"> </w:t>
      </w:r>
      <w:r w:rsidRPr="0096524F">
        <w:t>Nabisco, Inc.</w:t>
      </w:r>
      <w:r w:rsidRPr="0096524F">
        <w:t xml:space="preserve"> </w:t>
      </w:r>
      <w:r w:rsidRPr="0096524F">
        <w:t>v.</w:t>
      </w:r>
      <w:r w:rsidRPr="0096524F">
        <w:t xml:space="preserve"> </w:t>
      </w:r>
      <w:r w:rsidRPr="0096524F">
        <w:t>PF Brands, Inc., 191 F.3d 208, 216, 51 USPQ2d 1882 (2d Cir.</w:t>
      </w:r>
      <w:r w:rsidRPr="0096524F">
        <w:t xml:space="preserve"> </w:t>
      </w:r>
      <w:r w:rsidRPr="0096524F">
        <w:t>1999).</w:t>
      </w:r>
      <w:r w:rsidRPr="0096524F">
        <w:t xml:space="preserve"> </w:t>
      </w:r>
      <w:r w:rsidRPr="0096524F">
        <w:t>Other circuits simply cited distinctiveness as a general requirement for consideration as a trademark.</w:t>
      </w:r>
      <w:r w:rsidRPr="0096524F">
        <w:t xml:space="preserve"> </w:t>
      </w:r>
      <w:r w:rsidRPr="0096524F">
        <w:rPr>
          <w:i/>
        </w:rPr>
        <w:t>See, e</w:t>
      </w:r>
      <w:r w:rsidRPr="0096524F">
        <w:t>.</w:t>
      </w:r>
      <w:r w:rsidRPr="0096524F">
        <w:rPr>
          <w:i/>
        </w:rPr>
        <w:t>g</w:t>
      </w:r>
      <w:r w:rsidRPr="0096524F">
        <w:t>., Times Mirror Magazines, Inc.</w:t>
      </w:r>
      <w:r w:rsidRPr="0096524F">
        <w:t xml:space="preserve"> </w:t>
      </w:r>
      <w:r w:rsidRPr="0096524F">
        <w:t>v.</w:t>
      </w:r>
      <w:r w:rsidRPr="0096524F">
        <w:t xml:space="preserve"> </w:t>
      </w:r>
      <w:r w:rsidRPr="0096524F">
        <w:t>Las Vegas Sports News, LLC, 212 F.3d 157, 166–67, 54 USPQ2d 1577 (3d Cir.</w:t>
      </w:r>
      <w:r w:rsidRPr="0096524F">
        <w:t xml:space="preserve"> </w:t>
      </w:r>
      <w:r w:rsidRPr="0096524F">
        <w:t xml:space="preserve">2000), </w:t>
      </w:r>
      <w:r w:rsidRPr="0096524F">
        <w:rPr>
          <w:i/>
        </w:rPr>
        <w:t>cert</w:t>
      </w:r>
      <w:r w:rsidRPr="0096524F">
        <w:t>.</w:t>
      </w:r>
      <w:r w:rsidRPr="0096524F">
        <w:t xml:space="preserve"> </w:t>
      </w:r>
      <w:r w:rsidRPr="0096524F">
        <w:rPr>
          <w:i/>
        </w:rPr>
        <w:t>denied</w:t>
      </w:r>
      <w:r w:rsidRPr="0096524F">
        <w:t>, 531 U.S.</w:t>
      </w:r>
      <w:r w:rsidRPr="0096524F">
        <w:t xml:space="preserve"> </w:t>
      </w:r>
      <w:r w:rsidRPr="0096524F">
        <w:t>1071 (2001).</w:t>
      </w:r>
      <w:r w:rsidRPr="0096524F">
        <w:t xml:space="preserve"> </w:t>
      </w:r>
      <w:r w:rsidRPr="0096524F">
        <w:t>After the TDRA, it appears that the Third Circuit’s interpretation will be implemented.</w:t>
      </w:r>
    </w:p>
  </w:footnote>
  <w:footnote w:id="1062">
    <w:p w14:paraId="3C725BA4" w14:textId="24C9A6A5" w:rsidR="0096524F" w:rsidRPr="00EB11B3" w:rsidRDefault="0096524F" w:rsidP="0096524F">
      <w:pPr>
        <w:pStyle w:val="FootnoteText"/>
      </w:pPr>
      <w:r w:rsidRPr="0096524F">
        <w:rPr>
          <w:vertAlign w:val="superscript"/>
        </w:rPr>
        <w:footnoteRef/>
      </w:r>
      <w:r w:rsidRPr="0096524F">
        <w:t>529 U.S.</w:t>
      </w:r>
      <w:r w:rsidRPr="0096524F">
        <w:t xml:space="preserve"> </w:t>
      </w:r>
      <w:r w:rsidRPr="0096524F">
        <w:t>205, 54 USPQ2d 1065 (2000).</w:t>
      </w:r>
    </w:p>
  </w:footnote>
  <w:footnote w:id="1063">
    <w:p w14:paraId="553F956B" w14:textId="710DE4D9"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216.</w:t>
      </w:r>
    </w:p>
  </w:footnote>
  <w:footnote w:id="1064">
    <w:p w14:paraId="3D55AE35" w14:textId="152362A4"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213.</w:t>
      </w:r>
      <w:r w:rsidRPr="0096524F">
        <w:t xml:space="preserve"> </w:t>
      </w:r>
      <w:r w:rsidRPr="0096524F">
        <w:t>The Court distinguished product configuration from product packaging, the latter being protectable by a showing of inherent distinctiveness.</w:t>
      </w:r>
      <w:r w:rsidRPr="0096524F">
        <w:t xml:space="preserve"> </w:t>
      </w:r>
      <w:r w:rsidRPr="0096524F">
        <w:rPr>
          <w:i/>
        </w:rPr>
        <w:t>Id</w:t>
      </w:r>
      <w:r w:rsidRPr="0096524F">
        <w:t>.</w:t>
      </w:r>
      <w:r w:rsidRPr="0096524F">
        <w:t xml:space="preserve"> </w:t>
      </w:r>
      <w:r w:rsidRPr="0096524F">
        <w:t>at 212, 215.</w:t>
      </w:r>
      <w:r w:rsidRPr="0096524F">
        <w:t xml:space="preserve"> </w:t>
      </w:r>
      <w:r w:rsidRPr="0096524F">
        <w:rPr>
          <w:i/>
        </w:rPr>
        <w:t>See</w:t>
      </w:r>
      <w:r w:rsidRPr="0096524F">
        <w:t xml:space="preserve"> New York Stock Exch., Inc.</w:t>
      </w:r>
      <w:r w:rsidRPr="0096524F">
        <w:t xml:space="preserve"> </w:t>
      </w:r>
      <w:r w:rsidRPr="0096524F">
        <w:t>v.</w:t>
      </w:r>
      <w:r w:rsidRPr="0096524F">
        <w:t xml:space="preserve"> </w:t>
      </w:r>
      <w:r w:rsidRPr="0096524F">
        <w:t>New York, New York Hotel, LLC, 293 F.3d 550, 557, 62 USPQ2d 1260 (2d Cir.</w:t>
      </w:r>
      <w:r w:rsidRPr="0096524F">
        <w:t xml:space="preserve"> </w:t>
      </w:r>
      <w:r w:rsidRPr="0096524F">
        <w:t>2002) (permitting dilution claim involving defendant’s copying of the stock exchange façade to proceed, and citing a packaging case in support of finding a possibility of inherent distinctiveness).</w:t>
      </w:r>
    </w:p>
  </w:footnote>
  <w:footnote w:id="1065">
    <w:p w14:paraId="28B80CC0" w14:textId="2FA0DC3A" w:rsidR="0096524F" w:rsidRPr="00EB11B3" w:rsidRDefault="0096524F" w:rsidP="0096524F">
      <w:pPr>
        <w:pStyle w:val="FootnoteText"/>
      </w:pPr>
      <w:r w:rsidRPr="0096524F">
        <w:rPr>
          <w:vertAlign w:val="superscript"/>
        </w:rPr>
        <w:footnoteRef/>
      </w:r>
      <w:r w:rsidRPr="0096524F">
        <w:t>TCPIP Holding Co.</w:t>
      </w:r>
      <w:r w:rsidRPr="0096524F">
        <w:t xml:space="preserve"> </w:t>
      </w:r>
      <w:r w:rsidRPr="0096524F">
        <w:t>v.</w:t>
      </w:r>
      <w:r w:rsidRPr="0096524F">
        <w:t xml:space="preserve"> </w:t>
      </w:r>
      <w:r w:rsidRPr="0096524F">
        <w:t>Haar Commc’ns, Inc., 244 F.3d 88, 98, 57 USPQ2d 1969 (2d Cir.</w:t>
      </w:r>
      <w:r w:rsidRPr="0096524F">
        <w:t xml:space="preserve"> </w:t>
      </w:r>
      <w:r w:rsidRPr="0096524F">
        <w:t>2001).</w:t>
      </w:r>
    </w:p>
  </w:footnote>
  <w:footnote w:id="1066">
    <w:p w14:paraId="0921576E" w14:textId="03C5AE12" w:rsidR="0096524F" w:rsidRPr="00EB11B3" w:rsidRDefault="0096524F" w:rsidP="0096524F">
      <w:pPr>
        <w:pStyle w:val="FootnoteText"/>
      </w:pPr>
      <w:r w:rsidRPr="0096524F">
        <w:rPr>
          <w:vertAlign w:val="superscript"/>
        </w:rPr>
        <w:footnoteRef/>
      </w:r>
      <w:r w:rsidRPr="0096524F">
        <w:rPr>
          <w:i/>
        </w:rPr>
        <w:t>See, e</w:t>
      </w:r>
      <w:r w:rsidRPr="0096524F">
        <w:t>.</w:t>
      </w:r>
      <w:r w:rsidRPr="0096524F">
        <w:rPr>
          <w:i/>
        </w:rPr>
        <w:t>g</w:t>
      </w:r>
      <w:r w:rsidRPr="0096524F">
        <w:t>., Malaco Leaf, AB v.</w:t>
      </w:r>
      <w:r w:rsidRPr="0096524F">
        <w:t xml:space="preserve"> </w:t>
      </w:r>
      <w:r w:rsidRPr="0096524F">
        <w:t>Promotion in Motion, Inc., 287 F.</w:t>
      </w:r>
      <w:r w:rsidRPr="0096524F">
        <w:t xml:space="preserve"> </w:t>
      </w:r>
      <w:r w:rsidRPr="0096524F">
        <w:t>Supp.</w:t>
      </w:r>
      <w:r w:rsidRPr="0096524F">
        <w:t xml:space="preserve"> </w:t>
      </w:r>
      <w:r w:rsidRPr="0096524F">
        <w:t>2d 355, 367 (S.D.N.Y.</w:t>
      </w:r>
      <w:r w:rsidRPr="0096524F">
        <w:t xml:space="preserve"> </w:t>
      </w:r>
      <w:r w:rsidRPr="0096524F">
        <w:t>2003);</w:t>
      </w:r>
      <w:r w:rsidRPr="0096524F">
        <w:t xml:space="preserve"> </w:t>
      </w:r>
      <w:r w:rsidRPr="0096524F">
        <w:t>New Colt Holding Corp.</w:t>
      </w:r>
      <w:r w:rsidRPr="0096524F">
        <w:t xml:space="preserve"> </w:t>
      </w:r>
      <w:r w:rsidRPr="0096524F">
        <w:t>v.</w:t>
      </w:r>
      <w:r w:rsidRPr="0096524F">
        <w:t xml:space="preserve"> </w:t>
      </w:r>
      <w:r w:rsidRPr="0096524F">
        <w:t>RJG Holdings of Fla., Inc., 2003 U.S.</w:t>
      </w:r>
      <w:r w:rsidRPr="0096524F">
        <w:t xml:space="preserve"> </w:t>
      </w:r>
      <w:r w:rsidRPr="0096524F">
        <w:t>Dist.</w:t>
      </w:r>
      <w:r w:rsidRPr="0096524F">
        <w:t xml:space="preserve"> </w:t>
      </w:r>
      <w:r w:rsidRPr="0096524F">
        <w:t>LEXIS 25288, at *11–14 (D.</w:t>
      </w:r>
      <w:r w:rsidRPr="0096524F">
        <w:t xml:space="preserve"> </w:t>
      </w:r>
      <w:r w:rsidRPr="0096524F">
        <w:t>Conn.</w:t>
      </w:r>
      <w:r w:rsidRPr="0096524F">
        <w:t xml:space="preserve"> </w:t>
      </w:r>
      <w:r w:rsidRPr="0096524F">
        <w:t>2003) (</w:t>
      </w:r>
      <w:r w:rsidRPr="0096524F">
        <w:rPr>
          <w:i/>
        </w:rPr>
        <w:t>TCPIP</w:t>
      </w:r>
      <w:r w:rsidRPr="0096524F">
        <w:t xml:space="preserve"> bars trade dress dilution case relating to configuration of gun).</w:t>
      </w:r>
      <w:r w:rsidRPr="0096524F">
        <w:t xml:space="preserve"> </w:t>
      </w:r>
      <w:r w:rsidRPr="0096524F">
        <w:t>This issue is discussed further in Chapter 8, §VIII.C.3.</w:t>
      </w:r>
    </w:p>
  </w:footnote>
  <w:footnote w:id="1067">
    <w:p w14:paraId="757BE305" w14:textId="51B38DB4" w:rsidR="0096524F" w:rsidRPr="00EB11B3" w:rsidRDefault="0096524F" w:rsidP="0096524F">
      <w:pPr>
        <w:pStyle w:val="FootnoteText"/>
      </w:pPr>
      <w:r w:rsidRPr="0096524F">
        <w:rPr>
          <w:vertAlign w:val="superscript"/>
        </w:rPr>
        <w:footnoteRef/>
      </w:r>
      <w:r w:rsidRPr="0096524F">
        <w:t xml:space="preserve">One assumes that the TDRA did not inadvertently do away with the </w:t>
      </w:r>
      <w:r w:rsidRPr="0096524F">
        <w:rPr>
          <w:i/>
        </w:rPr>
        <w:t>Wal-Mart</w:t>
      </w:r>
      <w:r w:rsidRPr="0096524F">
        <w:t xml:space="preserve"> requirement that acquired distinctiveness must be shown.</w:t>
      </w:r>
    </w:p>
  </w:footnote>
  <w:footnote w:id="1068">
    <w:p w14:paraId="4F661D05" w14:textId="4A7BFEE6" w:rsidR="0096524F" w:rsidRPr="00EB11B3" w:rsidRDefault="0096524F" w:rsidP="0096524F">
      <w:pPr>
        <w:pStyle w:val="FootnoteText"/>
      </w:pPr>
      <w:r w:rsidRPr="0096524F">
        <w:rPr>
          <w:vertAlign w:val="superscript"/>
        </w:rPr>
        <w:footnoteRef/>
      </w:r>
      <w:r w:rsidRPr="0096524F">
        <w:rPr>
          <w:i/>
        </w:rPr>
        <w:t>See, e</w:t>
      </w:r>
      <w:r w:rsidRPr="0096524F">
        <w:t>.</w:t>
      </w:r>
      <w:r w:rsidRPr="0096524F">
        <w:rPr>
          <w:i/>
        </w:rPr>
        <w:t>g</w:t>
      </w:r>
      <w:r w:rsidRPr="0096524F">
        <w:t>., I.P.</w:t>
      </w:r>
      <w:r w:rsidRPr="0096524F">
        <w:t xml:space="preserve"> </w:t>
      </w:r>
      <w:r w:rsidRPr="0096524F">
        <w:t>Lund Trading ApS v.</w:t>
      </w:r>
      <w:r w:rsidRPr="0096524F">
        <w:t xml:space="preserve"> </w:t>
      </w:r>
      <w:r w:rsidRPr="0096524F">
        <w:t>Kohler Co., 163 F.3d 27, 42, 49 USPQ2d 1225 (1st Cir.</w:t>
      </w:r>
      <w:r w:rsidRPr="0096524F">
        <w:t xml:space="preserve"> </w:t>
      </w:r>
      <w:r w:rsidRPr="0096524F">
        <w:t>1998);</w:t>
      </w:r>
      <w:r w:rsidRPr="0096524F">
        <w:t xml:space="preserve"> </w:t>
      </w:r>
      <w:r w:rsidRPr="0096524F">
        <w:t>Apple, Inc.</w:t>
      </w:r>
      <w:r w:rsidRPr="0096524F">
        <w:t xml:space="preserve"> </w:t>
      </w:r>
      <w:r w:rsidRPr="0096524F">
        <w:t>v.</w:t>
      </w:r>
      <w:r w:rsidRPr="0096524F">
        <w:t xml:space="preserve"> </w:t>
      </w:r>
      <w:r w:rsidRPr="0096524F">
        <w:t>Samsung Elecs.</w:t>
      </w:r>
      <w:r w:rsidRPr="0096524F">
        <w:t xml:space="preserve"> </w:t>
      </w:r>
      <w:r w:rsidRPr="0096524F">
        <w:t>Co., 920 F.</w:t>
      </w:r>
      <w:r w:rsidRPr="0096524F">
        <w:t xml:space="preserve"> </w:t>
      </w:r>
      <w:r w:rsidRPr="0096524F">
        <w:t>Supp.</w:t>
      </w:r>
      <w:r w:rsidRPr="0096524F">
        <w:t xml:space="preserve"> </w:t>
      </w:r>
      <w:r w:rsidRPr="0096524F">
        <w:t>2d 1116, 1125 (N.D.</w:t>
      </w:r>
      <w:r w:rsidRPr="0096524F">
        <w:t xml:space="preserve"> </w:t>
      </w:r>
      <w:r w:rsidRPr="0096524F">
        <w:t>Cal.</w:t>
      </w:r>
      <w:r w:rsidRPr="0096524F">
        <w:t xml:space="preserve"> </w:t>
      </w:r>
      <w:r w:rsidRPr="0096524F">
        <w:t>Jan.</w:t>
      </w:r>
      <w:r w:rsidRPr="0096524F">
        <w:t xml:space="preserve"> </w:t>
      </w:r>
      <w:r w:rsidRPr="0096524F">
        <w:t>29, 2013) (discussing evidence of secondary meaning).</w:t>
      </w:r>
    </w:p>
  </w:footnote>
  <w:footnote w:id="1069">
    <w:p w14:paraId="29EE87B8" w14:textId="08415A3B" w:rsidR="0096524F" w:rsidRPr="00EB11B3" w:rsidRDefault="0096524F" w:rsidP="0096524F">
      <w:pPr>
        <w:pStyle w:val="FootnoteText"/>
      </w:pPr>
      <w:r w:rsidRPr="0096524F">
        <w:rPr>
          <w:vertAlign w:val="superscript"/>
        </w:rPr>
        <w:footnoteRef/>
      </w:r>
      <w:r w:rsidRPr="0096524F">
        <w:rPr>
          <w:i/>
        </w:rPr>
        <w:t>See, e</w:t>
      </w:r>
      <w:r w:rsidRPr="0096524F">
        <w:t>.</w:t>
      </w:r>
      <w:r w:rsidRPr="0096524F">
        <w:rPr>
          <w:i/>
        </w:rPr>
        <w:t>g</w:t>
      </w:r>
      <w:r w:rsidRPr="0096524F">
        <w:t>., Apple, Inc.</w:t>
      </w:r>
      <w:r w:rsidRPr="0096524F">
        <w:t xml:space="preserve"> </w:t>
      </w:r>
      <w:r w:rsidRPr="0096524F">
        <w:t>v.</w:t>
      </w:r>
      <w:r w:rsidRPr="0096524F">
        <w:t xml:space="preserve"> </w:t>
      </w:r>
      <w:r w:rsidRPr="0096524F">
        <w:t>Samsung Elecs.</w:t>
      </w:r>
      <w:r w:rsidRPr="0096524F">
        <w:t xml:space="preserve"> </w:t>
      </w:r>
      <w:r w:rsidRPr="0096524F">
        <w:t>Co., 920 F.</w:t>
      </w:r>
      <w:r w:rsidRPr="0096524F">
        <w:t xml:space="preserve"> </w:t>
      </w:r>
      <w:r w:rsidRPr="0096524F">
        <w:t>Supp.</w:t>
      </w:r>
      <w:r w:rsidRPr="0096524F">
        <w:t xml:space="preserve"> </w:t>
      </w:r>
      <w:r w:rsidRPr="0096524F">
        <w:t>2d at 1125 (discussing evidence of secondary meaning);</w:t>
      </w:r>
      <w:r w:rsidRPr="0096524F">
        <w:t xml:space="preserve"> </w:t>
      </w:r>
      <w:r w:rsidRPr="0096524F">
        <w:t>I.P.</w:t>
      </w:r>
      <w:r w:rsidRPr="0096524F">
        <w:t xml:space="preserve"> </w:t>
      </w:r>
      <w:r w:rsidRPr="0096524F">
        <w:t>Lund Trading ApS v.</w:t>
      </w:r>
      <w:r w:rsidRPr="0096524F">
        <w:t xml:space="preserve"> </w:t>
      </w:r>
      <w:r w:rsidRPr="0096524F">
        <w:t>Kohler Co., 118 F.</w:t>
      </w:r>
      <w:r w:rsidRPr="0096524F">
        <w:t xml:space="preserve"> </w:t>
      </w:r>
      <w:r w:rsidRPr="0096524F">
        <w:t>Supp.</w:t>
      </w:r>
      <w:r w:rsidRPr="0096524F">
        <w:t xml:space="preserve"> </w:t>
      </w:r>
      <w:r w:rsidRPr="0096524F">
        <w:t>2d 92, 105, 56 USPQ2d 1776 (D.</w:t>
      </w:r>
      <w:r w:rsidRPr="0096524F">
        <w:t xml:space="preserve"> </w:t>
      </w:r>
      <w:r w:rsidRPr="0096524F">
        <w:t>Mass.</w:t>
      </w:r>
      <w:r w:rsidRPr="0096524F">
        <w:t xml:space="preserve"> </w:t>
      </w:r>
      <w:r w:rsidRPr="0096524F">
        <w:t>2000).</w:t>
      </w:r>
    </w:p>
  </w:footnote>
  <w:footnote w:id="1070">
    <w:p w14:paraId="070E80D9" w14:textId="182349A7" w:rsidR="0096524F" w:rsidRPr="00EB11B3" w:rsidRDefault="0096524F" w:rsidP="0096524F">
      <w:pPr>
        <w:pStyle w:val="FootnoteText"/>
      </w:pPr>
      <w:r w:rsidRPr="0096524F">
        <w:rPr>
          <w:vertAlign w:val="superscript"/>
        </w:rPr>
        <w:footnoteRef/>
      </w:r>
      <w:r w:rsidRPr="0096524F">
        <w:t>I.P.</w:t>
      </w:r>
      <w:r w:rsidRPr="0096524F">
        <w:t xml:space="preserve"> </w:t>
      </w:r>
      <w:r w:rsidRPr="0096524F">
        <w:t>Lund Trading ApS v.</w:t>
      </w:r>
      <w:r w:rsidRPr="0096524F">
        <w:t xml:space="preserve"> </w:t>
      </w:r>
      <w:r w:rsidRPr="0096524F">
        <w:t>Kohler Co., 118 F.</w:t>
      </w:r>
      <w:r w:rsidRPr="0096524F">
        <w:t xml:space="preserve"> </w:t>
      </w:r>
      <w:r w:rsidRPr="0096524F">
        <w:t>Supp.</w:t>
      </w:r>
      <w:r w:rsidRPr="0096524F">
        <w:t xml:space="preserve"> </w:t>
      </w:r>
      <w:r w:rsidRPr="0096524F">
        <w:t>2d 92, 108 (D.</w:t>
      </w:r>
      <w:r w:rsidRPr="0096524F">
        <w:t xml:space="preserve"> </w:t>
      </w:r>
      <w:r w:rsidRPr="0096524F">
        <w:t>Mass.</w:t>
      </w:r>
      <w:r w:rsidRPr="0096524F">
        <w:t xml:space="preserve"> </w:t>
      </w:r>
      <w:r w:rsidRPr="0096524F">
        <w:t>2000).</w:t>
      </w:r>
    </w:p>
  </w:footnote>
  <w:footnote w:id="1071">
    <w:p w14:paraId="7E16151E" w14:textId="4E2F3D5C" w:rsidR="0096524F" w:rsidRPr="00EB11B3" w:rsidRDefault="0096524F" w:rsidP="0096524F">
      <w:pPr>
        <w:pStyle w:val="FootnoteText"/>
      </w:pPr>
      <w:r w:rsidRPr="0096524F">
        <w:rPr>
          <w:vertAlign w:val="superscript"/>
        </w:rPr>
        <w:footnoteRef/>
      </w:r>
      <w:r w:rsidRPr="0096524F">
        <w:rPr>
          <w:i/>
        </w:rPr>
        <w:t>Id</w:t>
      </w:r>
      <w:r w:rsidRPr="0096524F">
        <w:t>.</w:t>
      </w:r>
    </w:p>
  </w:footnote>
  <w:footnote w:id="1072">
    <w:p w14:paraId="09866B92" w14:textId="0551C78B"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111.</w:t>
      </w:r>
    </w:p>
  </w:footnote>
  <w:footnote w:id="1073">
    <w:p w14:paraId="09B8BF6D" w14:textId="10F1F356"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at 110–11 (discussing different surveys).</w:t>
      </w:r>
      <w:r w:rsidRPr="0096524F">
        <w:t xml:space="preserve"> </w:t>
      </w:r>
      <w:r w:rsidRPr="0096524F">
        <w:rPr>
          <w:i/>
        </w:rPr>
        <w:t>See</w:t>
      </w:r>
      <w:r w:rsidRPr="0096524F">
        <w:t xml:space="preserve"> Syndicate Sales, Inc.</w:t>
      </w:r>
      <w:r w:rsidRPr="0096524F">
        <w:t xml:space="preserve"> </w:t>
      </w:r>
      <w:r w:rsidRPr="0096524F">
        <w:t>v.</w:t>
      </w:r>
      <w:r w:rsidRPr="0096524F">
        <w:t xml:space="preserve"> </w:t>
      </w:r>
      <w:r w:rsidRPr="0096524F">
        <w:t>Hampshire Paper Corp., 2000 WL 1428665, at *12–15 (S.D.</w:t>
      </w:r>
      <w:r w:rsidRPr="0096524F">
        <w:t xml:space="preserve"> </w:t>
      </w:r>
      <w:r w:rsidRPr="0096524F">
        <w:t>Ind.</w:t>
      </w:r>
      <w:r w:rsidRPr="0096524F">
        <w:t xml:space="preserve"> </w:t>
      </w:r>
      <w:r w:rsidRPr="0096524F">
        <w:t>Aug.</w:t>
      </w:r>
      <w:r w:rsidRPr="0096524F">
        <w:t xml:space="preserve"> </w:t>
      </w:r>
      <w:r w:rsidRPr="0096524F">
        <w:t>30, 2000).</w:t>
      </w:r>
      <w:r w:rsidRPr="0096524F">
        <w:t xml:space="preserve"> </w:t>
      </w:r>
      <w:r w:rsidRPr="0096524F">
        <w:t xml:space="preserve">The analysis of secondary meaning in </w:t>
      </w:r>
      <w:r w:rsidRPr="0096524F">
        <w:rPr>
          <w:i/>
        </w:rPr>
        <w:t>Lund</w:t>
      </w:r>
      <w:r w:rsidRPr="0096524F">
        <w:t xml:space="preserve"> was criticized in Vincent N.</w:t>
      </w:r>
      <w:r w:rsidRPr="0096524F">
        <w:t xml:space="preserve"> </w:t>
      </w:r>
      <w:r w:rsidRPr="0096524F">
        <w:t xml:space="preserve">Palladino, </w:t>
      </w:r>
      <w:r w:rsidRPr="0096524F">
        <w:rPr>
          <w:i/>
        </w:rPr>
        <w:t>Secondary Meaning Surveys in Light of Lund,</w:t>
      </w:r>
      <w:r w:rsidRPr="0096524F">
        <w:t xml:space="preserve"> 91 </w:t>
      </w:r>
      <w:r w:rsidRPr="0096524F">
        <w:rPr>
          <w:smallCaps/>
        </w:rPr>
        <w:t>Trademark Rep.</w:t>
      </w:r>
      <w:r w:rsidRPr="0096524F">
        <w:rPr>
          <w:smallCaps/>
        </w:rPr>
        <w:t xml:space="preserve"> </w:t>
      </w:r>
      <w:r w:rsidRPr="0096524F">
        <w:t>573 (2001).</w:t>
      </w:r>
    </w:p>
  </w:footnote>
  <w:footnote w:id="1074">
    <w:p w14:paraId="69CA9F0D" w14:textId="4DC08AF3" w:rsidR="0096524F" w:rsidRPr="00EB11B3" w:rsidRDefault="0096524F" w:rsidP="0096524F">
      <w:pPr>
        <w:pStyle w:val="FootnoteText"/>
      </w:pPr>
      <w:r w:rsidRPr="0096524F">
        <w:rPr>
          <w:vertAlign w:val="superscript"/>
        </w:rPr>
        <w:footnoteRef/>
      </w:r>
      <w:r w:rsidRPr="0096524F">
        <w:t>118 F.</w:t>
      </w:r>
      <w:r w:rsidRPr="0096524F">
        <w:t xml:space="preserve"> </w:t>
      </w:r>
      <w:r w:rsidRPr="0096524F">
        <w:t>Supp.</w:t>
      </w:r>
      <w:r w:rsidRPr="0096524F">
        <w:t xml:space="preserve"> </w:t>
      </w:r>
      <w:r w:rsidRPr="0096524F">
        <w:t>2d at 114.</w:t>
      </w:r>
      <w:r w:rsidRPr="0096524F">
        <w:t xml:space="preserve"> </w:t>
      </w:r>
      <w:r w:rsidRPr="0096524F">
        <w:t>Several states do not require a famous mark;</w:t>
      </w:r>
      <w:r w:rsidRPr="0096524F">
        <w:t xml:space="preserve"> </w:t>
      </w:r>
      <w:r w:rsidRPr="0096524F">
        <w:t>others require only local fame.</w:t>
      </w:r>
      <w:r w:rsidRPr="0096524F">
        <w:t xml:space="preserve"> </w:t>
      </w:r>
      <w:r w:rsidRPr="0096524F">
        <w:rPr>
          <w:i/>
        </w:rPr>
        <w:t>See</w:t>
      </w:r>
      <w:r w:rsidRPr="0096524F">
        <w:t xml:space="preserve"> Chapter 2.</w:t>
      </w:r>
      <w:r w:rsidRPr="0096524F">
        <w:t xml:space="preserve"> </w:t>
      </w:r>
      <w:r w:rsidRPr="0096524F">
        <w:rPr>
          <w:i/>
        </w:rPr>
        <w:t>Cf</w:t>
      </w:r>
      <w:r w:rsidRPr="0096524F">
        <w:t>.</w:t>
      </w:r>
      <w:r w:rsidRPr="0096524F">
        <w:t xml:space="preserve"> </w:t>
      </w:r>
      <w:r w:rsidRPr="0096524F">
        <w:t>Nabisco, Inc.</w:t>
      </w:r>
      <w:r w:rsidRPr="0096524F">
        <w:t xml:space="preserve"> </w:t>
      </w:r>
      <w:r w:rsidRPr="0096524F">
        <w:t>v.</w:t>
      </w:r>
      <w:r w:rsidRPr="0096524F">
        <w:t xml:space="preserve"> </w:t>
      </w:r>
      <w:r w:rsidRPr="0096524F">
        <w:t>PF Brands, Inc., 191 F.3d 208, 225 n.7, 51 USPQ2d 1882 (2d Cir.</w:t>
      </w:r>
      <w:r w:rsidRPr="0096524F">
        <w:t xml:space="preserve"> </w:t>
      </w:r>
      <w:r w:rsidRPr="0096524F">
        <w:t>1999) (noting that even if the (original) FTDA requires actual dilution, New York law does not).</w:t>
      </w:r>
    </w:p>
  </w:footnote>
  <w:footnote w:id="1075">
    <w:p w14:paraId="22F6FB5A" w14:textId="6E9F5DF2" w:rsidR="0096524F" w:rsidRPr="00EB11B3" w:rsidRDefault="0096524F" w:rsidP="0096524F">
      <w:pPr>
        <w:pStyle w:val="FootnoteText"/>
      </w:pPr>
      <w:r w:rsidRPr="0096524F">
        <w:rPr>
          <w:vertAlign w:val="superscript"/>
        </w:rPr>
        <w:footnoteRef/>
      </w:r>
      <w:r w:rsidRPr="0096524F">
        <w:rPr>
          <w:i/>
        </w:rPr>
        <w:t>But see Nabisco,</w:t>
      </w:r>
      <w:r w:rsidRPr="0096524F">
        <w:t xml:space="preserve"> 191 F.3d at 217 (upholding an injunction for product configuration dilution despite finding only a “moderate” degree of distinctiveness).</w:t>
      </w:r>
    </w:p>
  </w:footnote>
  <w:footnote w:id="1076">
    <w:p w14:paraId="3E251DE5" w14:textId="254853A3" w:rsidR="0096524F" w:rsidRPr="00EB11B3" w:rsidRDefault="0096524F" w:rsidP="0096524F">
      <w:pPr>
        <w:pStyle w:val="FootnoteText"/>
      </w:pPr>
      <w:r w:rsidRPr="0096524F">
        <w:rPr>
          <w:vertAlign w:val="superscript"/>
        </w:rPr>
        <w:footnoteRef/>
      </w:r>
      <w:r w:rsidRPr="0096524F">
        <w:t>See generally Chapter 8.</w:t>
      </w:r>
    </w:p>
  </w:footnote>
  <w:footnote w:id="1077">
    <w:p w14:paraId="188B8C81" w14:textId="31C6CA6C" w:rsidR="0096524F" w:rsidRPr="00EB11B3" w:rsidRDefault="0096524F" w:rsidP="0096524F">
      <w:pPr>
        <w:pStyle w:val="FootnoteText"/>
      </w:pPr>
      <w:r w:rsidRPr="0096524F">
        <w:rPr>
          <w:vertAlign w:val="superscript"/>
        </w:rPr>
        <w:footnoteRef/>
      </w:r>
      <w:r w:rsidRPr="0096524F">
        <w:t>I.P.</w:t>
      </w:r>
      <w:r w:rsidRPr="0096524F">
        <w:t xml:space="preserve"> </w:t>
      </w:r>
      <w:r w:rsidRPr="0096524F">
        <w:t>Lund Trading ApS v.</w:t>
      </w:r>
      <w:r w:rsidRPr="0096524F">
        <w:t xml:space="preserve"> </w:t>
      </w:r>
      <w:r w:rsidRPr="0096524F">
        <w:t>Kohler Co., 163 F.3d 27, 46, 49 USPQ2d 1225 (1st Cir.</w:t>
      </w:r>
      <w:r w:rsidRPr="0096524F">
        <w:t xml:space="preserve"> </w:t>
      </w:r>
      <w:r w:rsidRPr="0096524F">
        <w:t>1998).</w:t>
      </w:r>
      <w:r w:rsidRPr="0096524F">
        <w:t xml:space="preserve"> </w:t>
      </w:r>
      <w:r w:rsidRPr="0096524F">
        <w:rPr>
          <w:i/>
        </w:rPr>
        <w:t>See</w:t>
      </w:r>
      <w:r w:rsidRPr="0096524F">
        <w:t xml:space="preserve"> TCPIP Holding Co.</w:t>
      </w:r>
      <w:r w:rsidRPr="0096524F">
        <w:t xml:space="preserve"> </w:t>
      </w:r>
      <w:r w:rsidRPr="0096524F">
        <w:t>v.</w:t>
      </w:r>
      <w:r w:rsidRPr="0096524F">
        <w:t xml:space="preserve"> </w:t>
      </w:r>
      <w:r w:rsidRPr="0096524F">
        <w:t>Haar Commc’ns, Inc., 244 F.3d 88, 97, 57 USPQ2d 1969 (2d Cir.</w:t>
      </w:r>
      <w:r w:rsidRPr="0096524F">
        <w:t xml:space="preserve"> </w:t>
      </w:r>
      <w:r w:rsidRPr="0096524F">
        <w:t>2001) (requiring a “high ‘degree of</w:t>
      </w:r>
      <w:r w:rsidRPr="0096524F">
        <w:t xml:space="preserve"> </w:t>
      </w:r>
      <w:r w:rsidRPr="0096524F">
        <w:t>…</w:t>
      </w:r>
      <w:r w:rsidRPr="0096524F">
        <w:t xml:space="preserve"> </w:t>
      </w:r>
      <w:r w:rsidRPr="0096524F">
        <w:t>acquired distinctiveness’” for a mark to be considered famous);</w:t>
      </w:r>
      <w:r w:rsidRPr="0096524F">
        <w:t xml:space="preserve"> </w:t>
      </w:r>
      <w:r w:rsidRPr="0096524F">
        <w:t>Elite Access Sys., Inc.</w:t>
      </w:r>
      <w:r w:rsidRPr="0096524F">
        <w:t xml:space="preserve"> </w:t>
      </w:r>
      <w:r w:rsidRPr="0096524F">
        <w:t>v.</w:t>
      </w:r>
      <w:r w:rsidRPr="0096524F">
        <w:t xml:space="preserve"> </w:t>
      </w:r>
      <w:r w:rsidRPr="0096524F">
        <w:t>Ramset Automatic Gate Sys., Inc., 2003 WL 1914122, at *5–6 (Cal.</w:t>
      </w:r>
      <w:r w:rsidRPr="0096524F">
        <w:t xml:space="preserve"> </w:t>
      </w:r>
      <w:r w:rsidRPr="0096524F">
        <w:t>Ct.</w:t>
      </w:r>
      <w:r w:rsidRPr="0096524F">
        <w:t xml:space="preserve"> </w:t>
      </w:r>
      <w:r w:rsidRPr="0096524F">
        <w:t>App.</w:t>
      </w:r>
      <w:r w:rsidRPr="0096524F">
        <w:t xml:space="preserve"> </w:t>
      </w:r>
      <w:r w:rsidRPr="0096524F">
        <w:t>Apr.</w:t>
      </w:r>
      <w:r w:rsidRPr="0096524F">
        <w:t xml:space="preserve"> </w:t>
      </w:r>
      <w:r w:rsidRPr="0096524F">
        <w:t xml:space="preserve">22, 2003) (applying </w:t>
      </w:r>
      <w:r w:rsidRPr="0096524F">
        <w:rPr>
          <w:i/>
        </w:rPr>
        <w:t>Lund</w:t>
      </w:r>
      <w:r w:rsidRPr="0096524F">
        <w:t>, requiring more than distinctiveness, and finding product configuration not famous) (opinion not certified for publication).</w:t>
      </w:r>
    </w:p>
  </w:footnote>
  <w:footnote w:id="1078">
    <w:p w14:paraId="754E3DA3" w14:textId="7A57C411" w:rsidR="0096524F" w:rsidRPr="00EB11B3" w:rsidRDefault="0096524F" w:rsidP="0096524F">
      <w:pPr>
        <w:pStyle w:val="FootnoteText"/>
      </w:pPr>
      <w:r w:rsidRPr="0096524F">
        <w:rPr>
          <w:vertAlign w:val="superscript"/>
        </w:rPr>
        <w:footnoteRef/>
      </w:r>
      <w:r w:rsidRPr="0096524F">
        <w:rPr>
          <w:i/>
        </w:rPr>
        <w:t>I</w:t>
      </w:r>
      <w:r w:rsidRPr="0096524F">
        <w:t>.</w:t>
      </w:r>
      <w:r w:rsidRPr="0096524F">
        <w:rPr>
          <w:i/>
        </w:rPr>
        <w:t>P</w:t>
      </w:r>
      <w:r w:rsidRPr="0096524F">
        <w:t>.</w:t>
      </w:r>
      <w:r w:rsidRPr="0096524F">
        <w:t xml:space="preserve"> </w:t>
      </w:r>
      <w:r w:rsidRPr="0096524F">
        <w:rPr>
          <w:i/>
        </w:rPr>
        <w:t>Lund</w:t>
      </w:r>
      <w:r w:rsidRPr="0096524F">
        <w:t>, 163 F.3d at 47.</w:t>
      </w:r>
      <w:r w:rsidRPr="0096524F">
        <w:t xml:space="preserve"> </w:t>
      </w:r>
      <w:r w:rsidRPr="0096524F">
        <w:t>On remand, the district court dismissed, based on a lack of secondary meaning, and did not have to apply the more rigorous test for a famous mark.</w:t>
      </w:r>
      <w:r w:rsidRPr="0096524F">
        <w:t xml:space="preserve"> </w:t>
      </w:r>
      <w:r w:rsidRPr="0096524F">
        <w:t>118 F.</w:t>
      </w:r>
      <w:r w:rsidRPr="0096524F">
        <w:t xml:space="preserve"> </w:t>
      </w:r>
      <w:r w:rsidRPr="0096524F">
        <w:t>Supp.</w:t>
      </w:r>
      <w:r w:rsidRPr="0096524F">
        <w:t xml:space="preserve"> </w:t>
      </w:r>
      <w:r w:rsidRPr="0096524F">
        <w:t>2d 92 (D.</w:t>
      </w:r>
      <w:r w:rsidRPr="0096524F">
        <w:t xml:space="preserve"> </w:t>
      </w:r>
      <w:r w:rsidRPr="0096524F">
        <w:t>Mass.</w:t>
      </w:r>
      <w:r w:rsidRPr="0096524F">
        <w:t xml:space="preserve"> </w:t>
      </w:r>
      <w:r w:rsidRPr="0096524F">
        <w:t>2000).</w:t>
      </w:r>
    </w:p>
  </w:footnote>
  <w:footnote w:id="1079">
    <w:p w14:paraId="312BC1A4" w14:textId="1409B7EA" w:rsidR="0096524F" w:rsidRPr="00EB11B3" w:rsidRDefault="0096524F" w:rsidP="0096524F">
      <w:pPr>
        <w:pStyle w:val="FootnoteText"/>
      </w:pPr>
      <w:r w:rsidRPr="0096524F">
        <w:rPr>
          <w:vertAlign w:val="superscript"/>
        </w:rPr>
        <w:footnoteRef/>
      </w:r>
      <w:r w:rsidRPr="0096524F">
        <w:rPr>
          <w:i/>
        </w:rPr>
        <w:t xml:space="preserve">See </w:t>
      </w:r>
      <w:r w:rsidRPr="0096524F">
        <w:t>Chapter 8, §VIII.C.3.</w:t>
      </w:r>
    </w:p>
  </w:footnote>
  <w:footnote w:id="1080">
    <w:p w14:paraId="2687E3FD" w14:textId="7D5BDF2F" w:rsidR="0096524F" w:rsidRPr="00EB11B3" w:rsidRDefault="0096524F" w:rsidP="0096524F">
      <w:pPr>
        <w:pStyle w:val="FootnoteText"/>
      </w:pPr>
      <w:r w:rsidRPr="0096524F">
        <w:rPr>
          <w:vertAlign w:val="superscript"/>
        </w:rPr>
        <w:footnoteRef/>
      </w:r>
      <w:r w:rsidRPr="0096524F">
        <w:t>Lanham Act §43(c)(1), 15 U.S.C.</w:t>
      </w:r>
      <w:r w:rsidRPr="0096524F">
        <w:t xml:space="preserve"> </w:t>
      </w:r>
      <w:r w:rsidRPr="0096524F">
        <w:t>§1125(c)(1).</w:t>
      </w:r>
    </w:p>
  </w:footnote>
  <w:footnote w:id="1081">
    <w:p w14:paraId="241AA9CF" w14:textId="53E149AC" w:rsidR="0096524F" w:rsidRPr="00EB11B3" w:rsidRDefault="0096524F" w:rsidP="0096524F">
      <w:pPr>
        <w:pStyle w:val="FootnoteText"/>
      </w:pPr>
      <w:r w:rsidRPr="0096524F">
        <w:rPr>
          <w:vertAlign w:val="superscript"/>
        </w:rPr>
        <w:footnoteRef/>
      </w:r>
      <w:r w:rsidRPr="0096524F">
        <w:rPr>
          <w:i/>
        </w:rPr>
        <w:t>Id</w:t>
      </w:r>
      <w:r w:rsidRPr="0096524F">
        <w:t>.</w:t>
      </w:r>
      <w:r w:rsidRPr="0096524F">
        <w:t xml:space="preserve"> </w:t>
      </w:r>
      <w:r w:rsidRPr="0096524F">
        <w:t>§43(c)(2)(A)(iii), 15 U.S.C.</w:t>
      </w:r>
      <w:r w:rsidRPr="0096524F">
        <w:t xml:space="preserve"> </w:t>
      </w:r>
      <w:r w:rsidRPr="0096524F">
        <w:t>§1125(c)(2)(A)(iii).</w:t>
      </w:r>
    </w:p>
  </w:footnote>
  <w:footnote w:id="1082">
    <w:p w14:paraId="7C9C90B7" w14:textId="04D43822" w:rsidR="0096524F" w:rsidRPr="00EB11B3" w:rsidRDefault="0096524F" w:rsidP="0096524F">
      <w:pPr>
        <w:pStyle w:val="FootnoteText"/>
      </w:pPr>
      <w:r w:rsidRPr="0096524F">
        <w:rPr>
          <w:vertAlign w:val="superscript"/>
        </w:rPr>
        <w:footnoteRef/>
      </w:r>
      <w:r w:rsidRPr="0096524F">
        <w:t>It is also worth noting that the degree of inherent or acquired distinctiveness is a factor in determining likelihood of dilution of the mark.</w:t>
      </w:r>
      <w:r w:rsidRPr="0096524F">
        <w:t xml:space="preserve"> </w:t>
      </w:r>
      <w:r w:rsidRPr="0096524F">
        <w:t>Lanham Act §43(c)(2)(B)(ii), 15 U.S.C.</w:t>
      </w:r>
      <w:r w:rsidRPr="0096524F">
        <w:t xml:space="preserve"> </w:t>
      </w:r>
      <w:r w:rsidRPr="0096524F">
        <w:t>§1125(c)(2)(B)(ii).</w:t>
      </w:r>
      <w:r w:rsidRPr="0096524F">
        <w:t xml:space="preserve"> </w:t>
      </w:r>
      <w:r w:rsidRPr="0096524F">
        <w:rPr>
          <w:i/>
        </w:rPr>
        <w:t>But cf.</w:t>
      </w:r>
      <w:r w:rsidRPr="0096524F">
        <w:rPr>
          <w:i/>
        </w:rPr>
        <w:t xml:space="preserve"> </w:t>
      </w:r>
      <w:r w:rsidRPr="0096524F">
        <w:t>Apple, Inc.</w:t>
      </w:r>
      <w:r w:rsidRPr="0096524F">
        <w:t xml:space="preserve"> </w:t>
      </w:r>
      <w:r w:rsidRPr="0096524F">
        <w:t>v.</w:t>
      </w:r>
      <w:r w:rsidRPr="0096524F">
        <w:t xml:space="preserve"> </w:t>
      </w:r>
      <w:r w:rsidRPr="0096524F">
        <w:t>Samsung Elecs.</w:t>
      </w:r>
      <w:r w:rsidRPr="0096524F">
        <w:t xml:space="preserve"> </w:t>
      </w:r>
      <w:r w:rsidRPr="0096524F">
        <w:t>Co., 2012 WL 2571719, at *7–8 (N.D.</w:t>
      </w:r>
      <w:r w:rsidRPr="0096524F">
        <w:t xml:space="preserve"> </w:t>
      </w:r>
      <w:r w:rsidRPr="0096524F">
        <w:t>Cal.</w:t>
      </w:r>
      <w:r w:rsidRPr="0096524F">
        <w:t xml:space="preserve"> </w:t>
      </w:r>
      <w:r w:rsidRPr="0096524F">
        <w:t>June 30, 2012) (rejecting Samsung’s argument that a survey showing less than 60 percent recognition demonstrated lack of fame as a matter of law).</w:t>
      </w:r>
    </w:p>
  </w:footnote>
  <w:footnote w:id="1083">
    <w:p w14:paraId="49CEE7D5" w14:textId="2F76659E" w:rsidR="0096524F" w:rsidRPr="00EB11B3" w:rsidRDefault="0096524F" w:rsidP="0096524F">
      <w:pPr>
        <w:pStyle w:val="FootnoteText"/>
      </w:pPr>
      <w:r w:rsidRPr="0096524F">
        <w:rPr>
          <w:vertAlign w:val="superscript"/>
        </w:rPr>
        <w:footnoteRef/>
      </w:r>
      <w:r w:rsidRPr="0096524F">
        <w:t>Lanham Act §43(c)(4), 15 U.S.C.</w:t>
      </w:r>
      <w:r w:rsidRPr="0096524F">
        <w:t xml:space="preserve"> </w:t>
      </w:r>
      <w:r w:rsidRPr="0096524F">
        <w:t>§1125(c)(4).</w:t>
      </w:r>
      <w:r w:rsidRPr="0096524F">
        <w:t xml:space="preserve"> </w:t>
      </w:r>
      <w:r w:rsidRPr="0096524F">
        <w:t xml:space="preserve">In </w:t>
      </w:r>
      <w:r w:rsidRPr="0096524F">
        <w:rPr>
          <w:rStyle w:val="BCasenamefull"/>
        </w:rPr>
        <w:t>Apple, Inc. v. Samsung Electronics Co.</w:t>
      </w:r>
      <w:r w:rsidRPr="0096524F">
        <w:t>, 2012 WL 2571719, at *7–8 (N.D.</w:t>
      </w:r>
      <w:r w:rsidRPr="0096524F">
        <w:t xml:space="preserve"> </w:t>
      </w:r>
      <w:r w:rsidRPr="0096524F">
        <w:t>Cal.</w:t>
      </w:r>
      <w:r w:rsidRPr="0096524F">
        <w:t xml:space="preserve"> </w:t>
      </w:r>
      <w:r w:rsidRPr="0096524F">
        <w:t>June 30, 2012), the court did not make clear how it or a jury would make this distinction.</w:t>
      </w:r>
      <w:r w:rsidRPr="0096524F">
        <w:t xml:space="preserve"> </w:t>
      </w:r>
      <w:r w:rsidRPr="0096524F">
        <w:t>The court cited advertisements that featured pictures of the products, but those ads would also have contained Apple’s logo and mark.</w:t>
      </w:r>
      <w:r w:rsidRPr="0096524F">
        <w:t xml:space="preserve"> </w:t>
      </w:r>
      <w:r w:rsidRPr="0096524F">
        <w:t>The jury instructions did not mention the issue.</w:t>
      </w:r>
      <w:r w:rsidRPr="0096524F">
        <w:t xml:space="preserve"> </w:t>
      </w:r>
      <w:r w:rsidRPr="0096524F">
        <w:t xml:space="preserve">(The jury instructions are available at </w:t>
      </w:r>
      <w:hyperlink r:id="rId4" w:history="1">
        <w:r w:rsidRPr="0096524F">
          <w:rPr>
            <w:rStyle w:val="Hyperlink"/>
          </w:rPr>
          <w:t>https://www.bloomberglaw.com/document/X1Q6MB72RGO2</w:t>
        </w:r>
      </w:hyperlink>
      <w:r w:rsidRPr="0096524F">
        <w:t>.)</w:t>
      </w:r>
    </w:p>
  </w:footnote>
  <w:footnote w:id="1084">
    <w:p w14:paraId="614DF839" w14:textId="5910C4D5" w:rsidR="0096524F" w:rsidRPr="00EB11B3" w:rsidRDefault="0096524F" w:rsidP="0096524F">
      <w:pPr>
        <w:pStyle w:val="FootnoteText"/>
      </w:pPr>
      <w:r w:rsidRPr="0096524F">
        <w:rPr>
          <w:vertAlign w:val="superscript"/>
        </w:rPr>
        <w:footnoteRef/>
      </w:r>
      <w:r w:rsidRPr="0096524F">
        <w:t>adidas-Salomon AG v.</w:t>
      </w:r>
      <w:r w:rsidRPr="0096524F">
        <w:t xml:space="preserve"> </w:t>
      </w:r>
      <w:r w:rsidRPr="0096524F">
        <w:t>Target Corp., 228 F.</w:t>
      </w:r>
      <w:r w:rsidRPr="0096524F">
        <w:t xml:space="preserve"> </w:t>
      </w:r>
      <w:r w:rsidRPr="0096524F">
        <w:t>Supp.</w:t>
      </w:r>
      <w:r w:rsidRPr="0096524F">
        <w:t xml:space="preserve"> </w:t>
      </w:r>
      <w:r w:rsidRPr="0096524F">
        <w:t>2d 1192 (D.</w:t>
      </w:r>
      <w:r w:rsidRPr="0096524F">
        <w:t xml:space="preserve"> </w:t>
      </w:r>
      <w:r w:rsidRPr="0096524F">
        <w:t>Or.</w:t>
      </w:r>
      <w:r w:rsidRPr="0096524F">
        <w:t xml:space="preserve"> </w:t>
      </w:r>
      <w:r w:rsidRPr="0096524F">
        <w:t>2002).</w:t>
      </w:r>
      <w:r w:rsidRPr="0096524F">
        <w:t xml:space="preserve"> </w:t>
      </w:r>
      <w:r w:rsidRPr="0096524F">
        <w:t>A similar result occurred in adidas-America, Inc.</w:t>
      </w:r>
      <w:r w:rsidRPr="0096524F">
        <w:t xml:space="preserve"> </w:t>
      </w:r>
      <w:r w:rsidRPr="0096524F">
        <w:t>v.</w:t>
      </w:r>
      <w:r w:rsidRPr="0096524F">
        <w:t xml:space="preserve"> </w:t>
      </w:r>
      <w:r w:rsidRPr="0096524F">
        <w:t>Payless Shoesource, Inc., 546 F.</w:t>
      </w:r>
      <w:r w:rsidRPr="0096524F">
        <w:t xml:space="preserve"> </w:t>
      </w:r>
      <w:r w:rsidRPr="0096524F">
        <w:t>Supp.</w:t>
      </w:r>
      <w:r w:rsidRPr="0096524F">
        <w:t xml:space="preserve"> </w:t>
      </w:r>
      <w:r w:rsidRPr="0096524F">
        <w:t>2d 1029, 1062–63 (D.</w:t>
      </w:r>
      <w:r w:rsidRPr="0096524F">
        <w:t xml:space="preserve"> </w:t>
      </w:r>
      <w:r w:rsidRPr="0096524F">
        <w:t>Or.</w:t>
      </w:r>
      <w:r w:rsidRPr="0096524F">
        <w:t xml:space="preserve"> </w:t>
      </w:r>
      <w:r w:rsidRPr="0096524F">
        <w:t>2008).</w:t>
      </w:r>
    </w:p>
  </w:footnote>
  <w:footnote w:id="1085">
    <w:p w14:paraId="466A4C82" w14:textId="5C7A325D" w:rsidR="0096524F" w:rsidRPr="00EB11B3" w:rsidRDefault="0096524F" w:rsidP="0096524F">
      <w:pPr>
        <w:pStyle w:val="FootnoteText"/>
      </w:pPr>
      <w:r w:rsidRPr="0096524F">
        <w:rPr>
          <w:vertAlign w:val="superscript"/>
        </w:rPr>
        <w:footnoteRef/>
      </w:r>
      <w:r w:rsidRPr="0096524F">
        <w:rPr>
          <w:i/>
        </w:rPr>
        <w:t>Target</w:t>
      </w:r>
      <w:r w:rsidRPr="0096524F">
        <w:t>, at 1216–17.</w:t>
      </w:r>
    </w:p>
  </w:footnote>
  <w:footnote w:id="1086">
    <w:p w14:paraId="43551AB2" w14:textId="0ED9105D" w:rsidR="0096524F" w:rsidRPr="0096524F" w:rsidRDefault="0096524F" w:rsidP="0096524F">
      <w:pPr>
        <w:pStyle w:val="FootnoteText"/>
      </w:pPr>
      <w:r w:rsidRPr="0096524F">
        <w:rPr>
          <w:vertAlign w:val="superscript"/>
        </w:rPr>
        <w:footnoteRef/>
      </w:r>
      <w:r w:rsidRPr="0096524F">
        <w:rPr>
          <w:i/>
        </w:rPr>
        <w:t>E.g.</w:t>
      </w:r>
      <w:r w:rsidRPr="0096524F">
        <w:t>, Apple, Inc.</w:t>
      </w:r>
      <w:r w:rsidRPr="0096524F">
        <w:t xml:space="preserve"> </w:t>
      </w:r>
      <w:r w:rsidRPr="0096524F">
        <w:t>v.</w:t>
      </w:r>
      <w:r w:rsidRPr="0096524F">
        <w:t xml:space="preserve"> </w:t>
      </w:r>
      <w:r w:rsidRPr="0096524F">
        <w:t>Samsung Elecs.</w:t>
      </w:r>
      <w:r w:rsidRPr="0096524F">
        <w:t xml:space="preserve"> </w:t>
      </w:r>
      <w:r w:rsidRPr="0096524F">
        <w:t>Co., 920 F.</w:t>
      </w:r>
      <w:r w:rsidRPr="0096524F">
        <w:t xml:space="preserve"> </w:t>
      </w:r>
      <w:r w:rsidRPr="0096524F">
        <w:t>Supp.</w:t>
      </w:r>
      <w:r w:rsidRPr="0096524F">
        <w:t xml:space="preserve"> </w:t>
      </w:r>
      <w:r w:rsidRPr="0096524F">
        <w:t>2d 1116, 1125–26 (N.D.</w:t>
      </w:r>
      <w:r w:rsidRPr="0096524F">
        <w:t xml:space="preserve"> </w:t>
      </w:r>
      <w:r w:rsidRPr="0096524F">
        <w:t>Cal.</w:t>
      </w:r>
      <w:r w:rsidRPr="0096524F">
        <w:t xml:space="preserve"> </w:t>
      </w:r>
      <w:r w:rsidRPr="0096524F">
        <w:t xml:space="preserve">2013) (discussing various design claims, including the iPad), </w:t>
      </w:r>
      <w:r w:rsidRPr="0096524F">
        <w:rPr>
          <w:i/>
        </w:rPr>
        <w:t>aff’d in part</w:t>
      </w:r>
      <w:r w:rsidRPr="0096524F">
        <w:t xml:space="preserve">, </w:t>
      </w:r>
      <w:r w:rsidRPr="0096524F">
        <w:rPr>
          <w:i/>
        </w:rPr>
        <w:t>rev’d in part on other grounds</w:t>
      </w:r>
      <w:r w:rsidRPr="0096524F">
        <w:t>, 786 F.3d 983, 114 USPQ2d 1953 (Fed.</w:t>
      </w:r>
      <w:r w:rsidRPr="0096524F">
        <w:t xml:space="preserve"> </w:t>
      </w:r>
      <w:r w:rsidRPr="0096524F">
        <w:t>Cir.</w:t>
      </w:r>
      <w:r w:rsidRPr="0096524F">
        <w:t xml:space="preserve"> </w:t>
      </w:r>
      <w:r w:rsidRPr="0096524F">
        <w:t xml:space="preserve">2015) (the Federal Circuit reversed the trademark claims that had been upheld by the district court on the grounds that the trade dresses were functional, but did not discuss dilution), </w:t>
      </w:r>
      <w:r w:rsidRPr="0096524F">
        <w:rPr>
          <w:i/>
        </w:rPr>
        <w:t>rev’d on other grounds</w:t>
      </w:r>
      <w:r w:rsidRPr="0096524F">
        <w:t>, 580 U.S.</w:t>
      </w:r>
      <w:r w:rsidRPr="0096524F">
        <w:t xml:space="preserve"> </w:t>
      </w:r>
      <w:r w:rsidRPr="0096524F">
        <w:t>53, 120 USPQ2d 1749 (2016).</w:t>
      </w:r>
    </w:p>
    <w:p w14:paraId="32EDF522" w14:textId="77777777" w:rsidR="0096524F" w:rsidRDefault="0096524F" w:rsidP="00D758BD">
      <w:pPr>
        <w:pStyle w:val="footnote"/>
      </w:pPr>
    </w:p>
  </w:footnote>
  <w:footnote w:id="1087">
    <w:p w14:paraId="435855E5" w14:textId="3855841F" w:rsidR="0096524F" w:rsidRPr="00EB11B3" w:rsidRDefault="0096524F" w:rsidP="0096524F">
      <w:pPr>
        <w:pStyle w:val="FootnoteText"/>
      </w:pPr>
      <w:r w:rsidRPr="0096524F">
        <w:rPr>
          <w:vertAlign w:val="superscript"/>
        </w:rPr>
        <w:footnoteRef/>
      </w:r>
      <w:r w:rsidRPr="0096524F">
        <w:rPr>
          <w:i/>
        </w:rPr>
        <w:t>See</w:t>
      </w:r>
      <w:r w:rsidRPr="0096524F">
        <w:t xml:space="preserve"> Syndicate Sales, Inc.</w:t>
      </w:r>
      <w:r w:rsidRPr="0096524F">
        <w:t xml:space="preserve"> </w:t>
      </w:r>
      <w:r w:rsidRPr="0096524F">
        <w:t>v.</w:t>
      </w:r>
      <w:r w:rsidRPr="0096524F">
        <w:t xml:space="preserve"> </w:t>
      </w:r>
      <w:r w:rsidRPr="0096524F">
        <w:t>Hampshire Paper Corp., 192 F.3d 633, 640–41, 52 USPQ2d 1035 (7th Cir.</w:t>
      </w:r>
      <w:r w:rsidRPr="0096524F">
        <w:t xml:space="preserve"> </w:t>
      </w:r>
      <w:r w:rsidRPr="0096524F">
        <w:t>1999).</w:t>
      </w:r>
    </w:p>
  </w:footnote>
  <w:footnote w:id="1088">
    <w:p w14:paraId="3FF69182" w14:textId="10B4AB05" w:rsidR="0096524F" w:rsidRPr="00EB11B3" w:rsidRDefault="0096524F" w:rsidP="0096524F">
      <w:pPr>
        <w:pStyle w:val="FootnoteText"/>
      </w:pPr>
      <w:r w:rsidRPr="0096524F">
        <w:rPr>
          <w:vertAlign w:val="superscript"/>
        </w:rPr>
        <w:footnoteRef/>
      </w:r>
      <w:r w:rsidRPr="0096524F">
        <w:t>Lanham Act §43(c)(2), 15 U.S.C.</w:t>
      </w:r>
      <w:r w:rsidRPr="0096524F">
        <w:t xml:space="preserve"> </w:t>
      </w:r>
      <w:r w:rsidRPr="0096524F">
        <w:t>§1125(c)(2).</w:t>
      </w:r>
    </w:p>
  </w:footnote>
  <w:footnote w:id="1089">
    <w:p w14:paraId="155317BF" w14:textId="2D10F22D" w:rsidR="0096524F" w:rsidRPr="00EB11B3" w:rsidRDefault="0096524F" w:rsidP="0096524F">
      <w:pPr>
        <w:pStyle w:val="FootnoteText"/>
      </w:pPr>
      <w:r w:rsidRPr="0096524F">
        <w:rPr>
          <w:vertAlign w:val="superscript"/>
        </w:rPr>
        <w:footnoteRef/>
      </w:r>
      <w:r w:rsidRPr="0096524F">
        <w:rPr>
          <w:smallCaps/>
        </w:rPr>
        <w:t>U.S.</w:t>
      </w:r>
      <w:r w:rsidRPr="0096524F">
        <w:rPr>
          <w:smallCaps/>
        </w:rPr>
        <w:t xml:space="preserve"> </w:t>
      </w:r>
      <w:r w:rsidRPr="0096524F">
        <w:rPr>
          <w:smallCaps/>
        </w:rPr>
        <w:t>Const.</w:t>
      </w:r>
      <w:r w:rsidRPr="0096524F">
        <w:t>, art.</w:t>
      </w:r>
      <w:r w:rsidRPr="0096524F">
        <w:t xml:space="preserve"> </w:t>
      </w:r>
      <w:r w:rsidRPr="0096524F">
        <w:t>I, §8, cl.</w:t>
      </w:r>
      <w:r w:rsidRPr="0096524F">
        <w:t xml:space="preserve"> </w:t>
      </w:r>
      <w:r w:rsidRPr="0096524F">
        <w:t>8.</w:t>
      </w:r>
    </w:p>
  </w:footnote>
  <w:footnote w:id="1090">
    <w:p w14:paraId="0E8CB8DF" w14:textId="43BA65EA" w:rsidR="0096524F" w:rsidRPr="00EB11B3" w:rsidRDefault="0096524F" w:rsidP="0096524F">
      <w:pPr>
        <w:pStyle w:val="FootnoteText"/>
      </w:pPr>
      <w:r w:rsidRPr="0096524F">
        <w:rPr>
          <w:vertAlign w:val="superscript"/>
        </w:rPr>
        <w:footnoteRef/>
      </w:r>
      <w:r w:rsidRPr="0096524F">
        <w:rPr>
          <w:i/>
        </w:rPr>
        <w:t>See</w:t>
      </w:r>
      <w:r w:rsidRPr="0096524F">
        <w:t xml:space="preserve"> TrafFix Devices, Inc.</w:t>
      </w:r>
      <w:r w:rsidRPr="0096524F">
        <w:t xml:space="preserve"> </w:t>
      </w:r>
      <w:r w:rsidRPr="0096524F">
        <w:t>v.</w:t>
      </w:r>
      <w:r w:rsidRPr="0096524F">
        <w:t xml:space="preserve"> </w:t>
      </w:r>
      <w:r w:rsidRPr="0096524F">
        <w:t>Marketing Displays, Inc., 532 U.S.</w:t>
      </w:r>
      <w:r w:rsidRPr="0096524F">
        <w:t xml:space="preserve"> </w:t>
      </w:r>
      <w:r w:rsidRPr="0096524F">
        <w:t>23, 35, 58 USPQ2d 1001 (2001) (noting, but declining to decide, the constitutional issue).</w:t>
      </w:r>
      <w:r w:rsidRPr="0096524F">
        <w:t xml:space="preserve"> </w:t>
      </w:r>
      <w:r w:rsidRPr="0096524F">
        <w:t>This issue is discussed further in Chapter 10, §VI.</w:t>
      </w:r>
    </w:p>
  </w:footnote>
  <w:footnote w:id="1091">
    <w:p w14:paraId="232F4F2C" w14:textId="57779DBF" w:rsidR="0096524F" w:rsidRPr="00EB11B3" w:rsidRDefault="0096524F" w:rsidP="0096524F">
      <w:pPr>
        <w:pStyle w:val="FootnoteText"/>
      </w:pPr>
      <w:r w:rsidRPr="0096524F">
        <w:rPr>
          <w:vertAlign w:val="superscript"/>
        </w:rPr>
        <w:footnoteRef/>
      </w:r>
      <w:r w:rsidRPr="0096524F">
        <w:t>“Nothing in this subsection shall be construed to impair, modify, or supersede the applicability of the patent laws of the United States.” Lanham Act §43(c)(7), 15 U.S.C.</w:t>
      </w:r>
      <w:r w:rsidRPr="0096524F">
        <w:t xml:space="preserve"> </w:t>
      </w:r>
      <w:r w:rsidRPr="0096524F">
        <w:t>§1125(c)(7).</w:t>
      </w:r>
    </w:p>
  </w:footnote>
  <w:footnote w:id="1092">
    <w:p w14:paraId="0B2CA34A" w14:textId="24B4A76C" w:rsidR="0096524F" w:rsidRPr="0096524F" w:rsidRDefault="0096524F" w:rsidP="0096524F">
      <w:pPr>
        <w:pStyle w:val="FootnoteText"/>
      </w:pPr>
      <w:r w:rsidRPr="0096524F">
        <w:rPr>
          <w:vertAlign w:val="superscript"/>
        </w:rPr>
        <w:footnoteRef/>
      </w:r>
      <w:r w:rsidRPr="0096524F">
        <w:t>Apple, Inc.</w:t>
      </w:r>
      <w:r w:rsidRPr="0096524F">
        <w:t xml:space="preserve"> </w:t>
      </w:r>
      <w:r w:rsidRPr="0096524F">
        <w:t>v.</w:t>
      </w:r>
      <w:r w:rsidRPr="0096524F">
        <w:t xml:space="preserve"> </w:t>
      </w:r>
      <w:r w:rsidRPr="0096524F">
        <w:t>Samsung Elecs.</w:t>
      </w:r>
      <w:r w:rsidRPr="0096524F">
        <w:t xml:space="preserve"> </w:t>
      </w:r>
      <w:r w:rsidRPr="0096524F">
        <w:t>Co., 920 F.</w:t>
      </w:r>
      <w:r w:rsidRPr="0096524F">
        <w:t xml:space="preserve"> </w:t>
      </w:r>
      <w:r w:rsidRPr="0096524F">
        <w:t>Supp.</w:t>
      </w:r>
      <w:r w:rsidRPr="0096524F">
        <w:t xml:space="preserve"> </w:t>
      </w:r>
      <w:r w:rsidRPr="0096524F">
        <w:t>2d 1079 (N.D.</w:t>
      </w:r>
      <w:r w:rsidRPr="0096524F">
        <w:t xml:space="preserve"> </w:t>
      </w:r>
      <w:r w:rsidRPr="0096524F">
        <w:t>Cal.</w:t>
      </w:r>
      <w:r w:rsidRPr="0096524F">
        <w:t xml:space="preserve"> </w:t>
      </w:r>
      <w:r w:rsidRPr="0096524F">
        <w:t xml:space="preserve">2013) (upholding jury award in favor of Apple on patent and dilution claims), </w:t>
      </w:r>
      <w:r w:rsidRPr="0096524F">
        <w:rPr>
          <w:i/>
        </w:rPr>
        <w:t>aff’d in part on other grounds</w:t>
      </w:r>
      <w:r w:rsidRPr="0096524F">
        <w:t xml:space="preserve">, </w:t>
      </w:r>
      <w:r w:rsidRPr="0096524F">
        <w:rPr>
          <w:i/>
        </w:rPr>
        <w:t>rev’d in part on other grounds</w:t>
      </w:r>
      <w:r w:rsidRPr="0096524F">
        <w:t>, 786 F.3d 983, 114 USPQ2d 1953 (Fed.</w:t>
      </w:r>
      <w:r w:rsidRPr="0096524F">
        <w:t xml:space="preserve"> </w:t>
      </w:r>
      <w:r w:rsidRPr="0096524F">
        <w:t>Cir.</w:t>
      </w:r>
      <w:r w:rsidRPr="0096524F">
        <w:t xml:space="preserve"> </w:t>
      </w:r>
      <w:r w:rsidRPr="0096524F">
        <w:t xml:space="preserve">2015) (the Federal Circuit reversed the trademark claims on the grounds that the trade dresses were functional, but did not discuss dilution), </w:t>
      </w:r>
      <w:r w:rsidRPr="0096524F">
        <w:rPr>
          <w:i/>
        </w:rPr>
        <w:t>rev’d on other grounds</w:t>
      </w:r>
      <w:r w:rsidRPr="0096524F">
        <w:t>, 580 U.S.</w:t>
      </w:r>
      <w:r w:rsidRPr="0096524F">
        <w:t xml:space="preserve"> </w:t>
      </w:r>
      <w:r w:rsidRPr="0096524F">
        <w:t>53, 120 USPQ2d 1749 (2016).</w:t>
      </w:r>
    </w:p>
    <w:p w14:paraId="4A810B66" w14:textId="77777777" w:rsidR="0096524F" w:rsidRDefault="0096524F" w:rsidP="00D758BD">
      <w:pPr>
        <w:pStyle w:val="footnote"/>
      </w:pPr>
    </w:p>
  </w:footnote>
  <w:footnote w:id="1093">
    <w:p w14:paraId="7A2531A5" w14:textId="4187ABFB" w:rsidR="0096524F" w:rsidRPr="0096524F" w:rsidRDefault="0096524F" w:rsidP="0096524F">
      <w:pPr>
        <w:pStyle w:val="FootnoteText"/>
      </w:pPr>
      <w:r w:rsidRPr="0096524F">
        <w:rPr>
          <w:vertAlign w:val="superscript"/>
        </w:rPr>
        <w:footnoteRef/>
      </w:r>
      <w:r w:rsidRPr="0096524F">
        <w:rPr>
          <w:i/>
        </w:rPr>
        <w:t>Id</w:t>
      </w:r>
      <w:r w:rsidRPr="0096524F">
        <w:t>.</w:t>
      </w:r>
    </w:p>
    <w:p w14:paraId="7FEE8830" w14:textId="77777777" w:rsidR="0096524F" w:rsidRDefault="0096524F" w:rsidP="00D758BD">
      <w:pPr>
        <w:pStyle w:val="footnote"/>
      </w:pPr>
    </w:p>
  </w:footnote>
  <w:footnote w:id="1094">
    <w:p w14:paraId="4A3FB7E3" w14:textId="2CCB4A9A" w:rsidR="0096524F" w:rsidRPr="0096524F" w:rsidRDefault="0096524F" w:rsidP="0096524F">
      <w:pPr>
        <w:pStyle w:val="FootnoteText"/>
      </w:pPr>
      <w:r w:rsidRPr="0096524F">
        <w:rPr>
          <w:vertAlign w:val="superscript"/>
        </w:rPr>
        <w:footnoteRef/>
      </w:r>
      <w:r w:rsidRPr="0096524F">
        <w:rPr>
          <w:i/>
        </w:rPr>
        <w:t xml:space="preserve">See </w:t>
      </w:r>
      <w:r w:rsidRPr="0096524F">
        <w:t>Apple Inc.</w:t>
      </w:r>
      <w:r w:rsidRPr="0096524F">
        <w:t xml:space="preserve"> </w:t>
      </w:r>
      <w:r w:rsidRPr="0096524F">
        <w:t>v.</w:t>
      </w:r>
      <w:r w:rsidRPr="0096524F">
        <w:t xml:space="preserve"> </w:t>
      </w:r>
      <w:r w:rsidRPr="0096524F">
        <w:t>Samsung Elecs.</w:t>
      </w:r>
      <w:r w:rsidRPr="0096524F">
        <w:t xml:space="preserve"> </w:t>
      </w:r>
      <w:r w:rsidRPr="0096524F">
        <w:t>Co., 786 F.3d 983, 996, 114 USPQ2d 1953 (Fed.</w:t>
      </w:r>
      <w:r w:rsidRPr="0096524F">
        <w:t xml:space="preserve"> </w:t>
      </w:r>
      <w:r w:rsidRPr="0096524F">
        <w:t>Cir.</w:t>
      </w:r>
      <w:r w:rsidRPr="0096524F">
        <w:t xml:space="preserve"> </w:t>
      </w:r>
      <w:r w:rsidRPr="0096524F">
        <w:t xml:space="preserve">2015) (declining to address the constitutional issue), </w:t>
      </w:r>
      <w:r w:rsidRPr="0096524F">
        <w:rPr>
          <w:i/>
        </w:rPr>
        <w:t>rev’d on other grounds</w:t>
      </w:r>
      <w:r w:rsidRPr="0096524F">
        <w:t>, 580 U.S.</w:t>
      </w:r>
      <w:r w:rsidRPr="0096524F">
        <w:t xml:space="preserve"> </w:t>
      </w:r>
      <w:r w:rsidRPr="0096524F">
        <w:t>53, 120 USPQ2d 1749 (2016).</w:t>
      </w:r>
    </w:p>
    <w:p w14:paraId="097E636C" w14:textId="77777777" w:rsidR="0096524F" w:rsidRDefault="0096524F" w:rsidP="00D758BD">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proofState w:spelling="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41"/>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762"/>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2EA2"/>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20D"/>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1CCB"/>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7B4"/>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B7EC4"/>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25B0"/>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B41"/>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24F"/>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0ADB"/>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A1B"/>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6D08"/>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0A21"/>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2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rsid w:val="00311088"/>
    <w:rPr>
      <w:vertAlign w:val="superscript"/>
    </w:rPr>
  </w:style>
  <w:style w:type="paragraph" w:styleId="FootnoteText">
    <w:name w:val="footnote text"/>
    <w:basedOn w:val="Normal"/>
    <w:link w:val="FootnoteTextChar"/>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w:basedOn w:val="Normal"/>
    <w:uiPriority w:val="99"/>
    <w:qFormat/>
    <w:rsid w:val="00A60ADB"/>
    <w:pPr>
      <w:widowControl w:val="0"/>
      <w:spacing w:before="0" w:after="0"/>
      <w:ind w:firstLine="360"/>
    </w:pPr>
    <w:rPr>
      <w:kern w:val="0"/>
      <w:lang w:bidi="ar-SA"/>
    </w:rPr>
  </w:style>
  <w:style w:type="paragraph" w:customStyle="1" w:styleId="footnote">
    <w:name w:val="footnote"/>
    <w:basedOn w:val="text"/>
    <w:autoRedefine/>
    <w:uiPriority w:val="99"/>
    <w:qFormat/>
    <w:rsid w:val="00A60ADB"/>
    <w:rPr>
      <w:sz w:val="20"/>
    </w:rPr>
  </w:style>
  <w:style w:type="paragraph" w:customStyle="1" w:styleId="blockquote">
    <w:name w:val="block quote"/>
    <w:basedOn w:val="Normal"/>
    <w:autoRedefine/>
    <w:qFormat/>
    <w:rsid w:val="00A60ADB"/>
    <w:pPr>
      <w:spacing w:after="240"/>
      <w:ind w:left="720"/>
    </w:pPr>
    <w:rPr>
      <w:kern w:val="0"/>
      <w:sz w:val="20"/>
      <w:lang w:bidi="ar-SA"/>
    </w:rPr>
  </w:style>
  <w:style w:type="paragraph" w:customStyle="1" w:styleId="footnoteflush">
    <w:name w:val="footnote flush"/>
    <w:basedOn w:val="Normal"/>
    <w:uiPriority w:val="99"/>
    <w:rsid w:val="00A60ADB"/>
    <w:pPr>
      <w:autoSpaceDE w:val="0"/>
      <w:autoSpaceDN w:val="0"/>
      <w:adjustRightInd w:val="0"/>
      <w:spacing w:before="0" w:after="0"/>
      <w:jc w:val="both"/>
      <w:textAlignment w:val="center"/>
    </w:pPr>
    <w:rPr>
      <w:rFonts w:eastAsiaTheme="minorEastAsia" w:cs="ITC New Baskerville Std"/>
      <w:color w:val="000000"/>
      <w:kern w:val="0"/>
      <w:sz w:val="20"/>
      <w:szCs w:val="18"/>
      <w:lang w:bidi="ar-SA"/>
    </w:rPr>
  </w:style>
  <w:style w:type="paragraph" w:customStyle="1" w:styleId="tabletext">
    <w:name w:val="table text"/>
    <w:basedOn w:val="Normal"/>
    <w:uiPriority w:val="99"/>
    <w:rsid w:val="00A60ADB"/>
    <w:pPr>
      <w:tabs>
        <w:tab w:val="left" w:pos="4068"/>
      </w:tabs>
      <w:suppressAutoHyphens/>
      <w:autoSpaceDE w:val="0"/>
      <w:autoSpaceDN w:val="0"/>
      <w:adjustRightInd w:val="0"/>
      <w:spacing w:before="0" w:after="40"/>
      <w:textAlignment w:val="center"/>
    </w:pPr>
    <w:rPr>
      <w:rFonts w:eastAsiaTheme="minorEastAsia" w:cs="ITC New Baskerville Std"/>
      <w:color w:val="000000"/>
      <w:kern w:val="0"/>
      <w:sz w:val="20"/>
      <w:szCs w:val="20"/>
      <w:lang w:bidi="ar-SA"/>
    </w:rPr>
  </w:style>
  <w:style w:type="paragraph" w:customStyle="1" w:styleId="NoParagraphStyle">
    <w:name w:val="[No Paragraph Style]"/>
    <w:basedOn w:val="Normal"/>
    <w:rsid w:val="00A60ADB"/>
    <w:pPr>
      <w:widowControl w:val="0"/>
      <w:autoSpaceDE w:val="0"/>
      <w:autoSpaceDN w:val="0"/>
      <w:adjustRightInd w:val="0"/>
      <w:spacing w:before="0" w:after="0"/>
      <w:ind w:firstLine="360"/>
      <w:textAlignment w:val="center"/>
    </w:pPr>
    <w:rPr>
      <w:rFonts w:eastAsiaTheme="minorEastAsia" w:cs="Times"/>
      <w:color w:val="000000"/>
      <w:kern w:val="0"/>
      <w:lang w:bidi="ar-SA"/>
    </w:rPr>
  </w:style>
  <w:style w:type="paragraph" w:customStyle="1" w:styleId="4thlevelheada">
    <w:name w:val="4th level head a."/>
    <w:basedOn w:val="Normal"/>
    <w:autoRedefine/>
    <w:uiPriority w:val="99"/>
    <w:rsid w:val="00A60ADB"/>
    <w:pPr>
      <w:keepNext/>
      <w:widowControl w:val="0"/>
      <w:tabs>
        <w:tab w:val="left" w:pos="740"/>
      </w:tabs>
      <w:suppressAutoHyphens/>
      <w:autoSpaceDE w:val="0"/>
      <w:autoSpaceDN w:val="0"/>
      <w:adjustRightInd w:val="0"/>
      <w:spacing w:after="240"/>
      <w:ind w:left="840" w:hanging="360"/>
      <w:textAlignment w:val="center"/>
    </w:pPr>
    <w:rPr>
      <w:rFonts w:eastAsiaTheme="minorEastAsia" w:cs="ITC New Baskerville Std"/>
      <w:bCs/>
      <w:i/>
      <w:color w:val="000000"/>
      <w:kern w:val="0"/>
      <w:szCs w:val="22"/>
      <w:lang w:bidi="ar-SA"/>
    </w:rPr>
  </w:style>
  <w:style w:type="paragraph" w:customStyle="1" w:styleId="blockquotenoparagraphindent">
    <w:name w:val="block quote no paragraph indent"/>
    <w:basedOn w:val="Normal"/>
    <w:autoRedefine/>
    <w:uiPriority w:val="99"/>
    <w:rsid w:val="00A60ADB"/>
    <w:pPr>
      <w:spacing w:after="240"/>
      <w:ind w:left="720"/>
      <w:jc w:val="both"/>
    </w:pPr>
    <w:rPr>
      <w:rFonts w:cstheme="minorBidi"/>
      <w:kern w:val="0"/>
      <w:sz w:val="20"/>
      <w:szCs w:val="21"/>
      <w:lang w:bidi="ar-SA"/>
    </w:rPr>
  </w:style>
  <w:style w:type="paragraph" w:customStyle="1" w:styleId="footnoteregpara">
    <w:name w:val="footnote reg para"/>
    <w:basedOn w:val="footnote"/>
    <w:autoRedefine/>
    <w:uiPriority w:val="99"/>
    <w:rsid w:val="00A60ADB"/>
    <w:pPr>
      <w:widowControl/>
      <w:autoSpaceDE w:val="0"/>
      <w:autoSpaceDN w:val="0"/>
      <w:adjustRightInd w:val="0"/>
      <w:jc w:val="both"/>
      <w:textAlignment w:val="center"/>
    </w:pPr>
    <w:rPr>
      <w:rFonts w:eastAsiaTheme="minorEastAsia" w:cs="ITC New Baskerville Std"/>
      <w:color w:val="000000"/>
      <w:szCs w:val="18"/>
    </w:rPr>
  </w:style>
  <w:style w:type="paragraph" w:customStyle="1" w:styleId="2ndlevelheadA">
    <w:name w:val="2nd level head A."/>
    <w:basedOn w:val="Normal"/>
    <w:autoRedefine/>
    <w:uiPriority w:val="99"/>
    <w:rsid w:val="00A60ADB"/>
    <w:pPr>
      <w:keepNext/>
      <w:tabs>
        <w:tab w:val="left" w:pos="360"/>
      </w:tabs>
      <w:suppressAutoHyphens/>
      <w:spacing w:after="240"/>
      <w:ind w:left="360" w:hanging="360"/>
    </w:pPr>
    <w:rPr>
      <w:rFonts w:cstheme="minorBidi"/>
      <w:b/>
      <w:bCs/>
      <w:kern w:val="0"/>
      <w:szCs w:val="22"/>
      <w:lang w:bidi="ar-SA"/>
    </w:rPr>
  </w:style>
  <w:style w:type="paragraph" w:customStyle="1" w:styleId="textflush">
    <w:name w:val="text flush"/>
    <w:basedOn w:val="text"/>
    <w:autoRedefine/>
    <w:uiPriority w:val="99"/>
    <w:qFormat/>
    <w:rsid w:val="00A60ADB"/>
    <w:pPr>
      <w:ind w:firstLine="0"/>
    </w:pPr>
  </w:style>
  <w:style w:type="paragraph" w:customStyle="1" w:styleId="blockquotewparaindent">
    <w:name w:val="block quote w/para indent"/>
    <w:basedOn w:val="Normal"/>
    <w:autoRedefine/>
    <w:uiPriority w:val="99"/>
    <w:qFormat/>
    <w:rsid w:val="00A60ADB"/>
    <w:pPr>
      <w:spacing w:after="240"/>
      <w:ind w:left="360" w:firstLine="360"/>
    </w:pPr>
    <w:rPr>
      <w:rFonts w:eastAsiaTheme="minorEastAsia" w:cs="ITC New Baskerville Std"/>
      <w:color w:val="000000"/>
      <w:kern w:val="0"/>
      <w:sz w:val="20"/>
      <w:szCs w:val="22"/>
      <w:lang w:bidi="ar-SA"/>
    </w:rPr>
  </w:style>
  <w:style w:type="paragraph" w:customStyle="1" w:styleId="block-p">
    <w:name w:val="block-p/+/+"/>
    <w:basedOn w:val="Normal"/>
    <w:autoRedefine/>
    <w:uiPriority w:val="99"/>
    <w:rsid w:val="00A60ADB"/>
    <w:pPr>
      <w:spacing w:before="120"/>
      <w:ind w:left="720" w:firstLine="360"/>
    </w:pPr>
    <w:rPr>
      <w:rFonts w:cstheme="minorBidi"/>
      <w:kern w:val="0"/>
      <w:sz w:val="20"/>
      <w:szCs w:val="22"/>
      <w:lang w:bidi="ar-SA"/>
    </w:rPr>
  </w:style>
  <w:style w:type="paragraph" w:customStyle="1" w:styleId="Blockquoteflush">
    <w:name w:val="Block quote flush"/>
    <w:basedOn w:val="Normal"/>
    <w:autoRedefine/>
    <w:uiPriority w:val="99"/>
    <w:qFormat/>
    <w:rsid w:val="00A60ADB"/>
    <w:pPr>
      <w:widowControl w:val="0"/>
      <w:spacing w:after="240"/>
      <w:ind w:left="720"/>
    </w:pPr>
    <w:rPr>
      <w:kern w:val="0"/>
      <w:sz w:val="20"/>
      <w:lang w:bidi="ar-SA"/>
    </w:rPr>
  </w:style>
  <w:style w:type="paragraph" w:customStyle="1" w:styleId="bulletend">
    <w:name w:val="bullet end"/>
    <w:basedOn w:val="Normal"/>
    <w:autoRedefine/>
    <w:uiPriority w:val="99"/>
    <w:rsid w:val="00A60ADB"/>
    <w:pPr>
      <w:spacing w:before="0" w:after="240"/>
      <w:ind w:left="720" w:hanging="360"/>
    </w:pPr>
    <w:rPr>
      <w:rFonts w:cstheme="minorBidi"/>
      <w:kern w:val="0"/>
      <w:szCs w:val="22"/>
      <w:lang w:bidi="ar-SA"/>
    </w:rPr>
  </w:style>
  <w:style w:type="paragraph" w:customStyle="1" w:styleId="blockquoteparaindent-">
    <w:name w:val="block quote para indent -/+"/>
    <w:basedOn w:val="Normal"/>
    <w:autoRedefine/>
    <w:uiPriority w:val="99"/>
    <w:rsid w:val="00A60ADB"/>
    <w:pPr>
      <w:spacing w:before="0" w:after="240"/>
      <w:ind w:left="720" w:firstLine="360"/>
    </w:pPr>
    <w:rPr>
      <w:rFonts w:cstheme="minorBidi"/>
      <w:kern w:val="0"/>
      <w:sz w:val="20"/>
      <w:szCs w:val="22"/>
      <w:lang w:bidi="ar-SA"/>
    </w:rPr>
  </w:style>
  <w:style w:type="paragraph" w:customStyle="1" w:styleId="block-p-">
    <w:name w:val="block-p/+/-"/>
    <w:basedOn w:val="block-f-"/>
    <w:autoRedefine/>
    <w:qFormat/>
    <w:rsid w:val="00A60ADB"/>
    <w:pPr>
      <w:ind w:firstLine="360"/>
    </w:pPr>
  </w:style>
  <w:style w:type="paragraph" w:customStyle="1" w:styleId="block-p--">
    <w:name w:val="block-p/-/-"/>
    <w:basedOn w:val="blockquoteparaindent-"/>
    <w:autoRedefine/>
    <w:uiPriority w:val="99"/>
    <w:rsid w:val="00A60ADB"/>
    <w:pPr>
      <w:spacing w:after="0"/>
    </w:pPr>
  </w:style>
  <w:style w:type="paragraph" w:customStyle="1" w:styleId="footnoteparaindent">
    <w:name w:val="footnote para indent"/>
    <w:basedOn w:val="Normal"/>
    <w:autoRedefine/>
    <w:uiPriority w:val="99"/>
    <w:rsid w:val="00A60ADB"/>
    <w:pPr>
      <w:spacing w:before="0" w:after="0"/>
      <w:ind w:firstLine="360"/>
      <w:jc w:val="both"/>
    </w:pPr>
    <w:rPr>
      <w:rFonts w:cstheme="minorBidi"/>
      <w:kern w:val="0"/>
      <w:sz w:val="20"/>
      <w:szCs w:val="16"/>
      <w:lang w:bidi="ar-SA"/>
    </w:rPr>
  </w:style>
  <w:style w:type="paragraph" w:customStyle="1" w:styleId="block-p-0">
    <w:name w:val="block-p/-/+"/>
    <w:basedOn w:val="Normal"/>
    <w:autoRedefine/>
    <w:uiPriority w:val="99"/>
    <w:qFormat/>
    <w:rsid w:val="00A60ADB"/>
    <w:pPr>
      <w:widowControl w:val="0"/>
      <w:spacing w:before="0" w:after="240"/>
      <w:ind w:left="720" w:firstLine="360"/>
    </w:pPr>
    <w:rPr>
      <w:kern w:val="0"/>
      <w:sz w:val="20"/>
      <w:lang w:bidi="ar-SA"/>
    </w:rPr>
  </w:style>
  <w:style w:type="paragraph" w:customStyle="1" w:styleId="block-f-">
    <w:name w:val="block-f/+/-"/>
    <w:basedOn w:val="Normal"/>
    <w:autoRedefine/>
    <w:uiPriority w:val="99"/>
    <w:qFormat/>
    <w:rsid w:val="00A60ADB"/>
    <w:pPr>
      <w:spacing w:before="120"/>
      <w:ind w:left="720"/>
    </w:pPr>
    <w:rPr>
      <w:rFonts w:eastAsiaTheme="minorEastAsia" w:cs="ITC New Baskerville Std"/>
      <w:color w:val="000000"/>
      <w:kern w:val="0"/>
      <w:sz w:val="20"/>
      <w:szCs w:val="20"/>
      <w:lang w:bidi="ar-SA"/>
    </w:rPr>
  </w:style>
  <w:style w:type="paragraph" w:customStyle="1" w:styleId="textflush6ptbelow">
    <w:name w:val="text flush 6 pt below"/>
    <w:basedOn w:val="textflush"/>
    <w:autoRedefine/>
    <w:uiPriority w:val="99"/>
    <w:rsid w:val="00A60ADB"/>
    <w:pPr>
      <w:autoSpaceDE w:val="0"/>
      <w:autoSpaceDN w:val="0"/>
      <w:adjustRightInd w:val="0"/>
      <w:spacing w:after="240"/>
      <w:textAlignment w:val="center"/>
    </w:pPr>
    <w:rPr>
      <w:rFonts w:eastAsiaTheme="minorEastAsia" w:cs="ITC New Baskerville Std"/>
      <w:color w:val="000000"/>
      <w:szCs w:val="22"/>
    </w:rPr>
  </w:style>
  <w:style w:type="paragraph" w:customStyle="1" w:styleId="block2ndindent">
    <w:name w:val="block 2nd indent"/>
    <w:basedOn w:val="Normal"/>
    <w:autoRedefine/>
    <w:uiPriority w:val="99"/>
    <w:qFormat/>
    <w:rsid w:val="00A60ADB"/>
    <w:pPr>
      <w:spacing w:before="0" w:after="0"/>
      <w:ind w:left="1440"/>
    </w:pPr>
    <w:rPr>
      <w:rFonts w:cstheme="minorBidi"/>
      <w:kern w:val="0"/>
      <w:sz w:val="20"/>
      <w:szCs w:val="22"/>
      <w:lang w:bidi="ar-SA"/>
    </w:rPr>
  </w:style>
  <w:style w:type="paragraph" w:customStyle="1" w:styleId="block2ndindentspace">
    <w:name w:val="block 2nd indent + space"/>
    <w:basedOn w:val="Normal"/>
    <w:autoRedefine/>
    <w:uiPriority w:val="99"/>
    <w:rsid w:val="00A60ADB"/>
    <w:pPr>
      <w:spacing w:before="120" w:after="0"/>
      <w:ind w:left="1440"/>
    </w:pPr>
    <w:rPr>
      <w:rFonts w:cstheme="minorBidi"/>
      <w:kern w:val="0"/>
      <w:sz w:val="20"/>
      <w:szCs w:val="22"/>
      <w:lang w:bidi="ar-SA"/>
    </w:rPr>
  </w:style>
  <w:style w:type="paragraph" w:customStyle="1" w:styleId="toc10">
    <w:name w:val="toc1"/>
    <w:basedOn w:val="text"/>
    <w:autoRedefine/>
    <w:uiPriority w:val="99"/>
    <w:rsid w:val="00A60ADB"/>
    <w:pPr>
      <w:tabs>
        <w:tab w:val="right" w:pos="480"/>
        <w:tab w:val="left" w:pos="600"/>
        <w:tab w:val="right" w:leader="dot" w:pos="5520"/>
        <w:tab w:val="right" w:pos="6240"/>
        <w:tab w:val="right" w:pos="6960"/>
      </w:tabs>
      <w:autoSpaceDE w:val="0"/>
      <w:autoSpaceDN w:val="0"/>
      <w:adjustRightInd w:val="0"/>
      <w:ind w:left="600" w:hanging="600"/>
      <w:textAlignment w:val="center"/>
    </w:pPr>
    <w:rPr>
      <w:rFonts w:eastAsiaTheme="minorEastAsia" w:cs="ITC New Baskerville Std"/>
      <w:color w:val="000000"/>
      <w:sz w:val="22"/>
      <w:szCs w:val="22"/>
    </w:rPr>
  </w:style>
  <w:style w:type="paragraph" w:customStyle="1" w:styleId="toc20">
    <w:name w:val="toc2"/>
    <w:basedOn w:val="toc10"/>
    <w:autoRedefine/>
    <w:uiPriority w:val="99"/>
    <w:rsid w:val="00A60ADB"/>
    <w:pPr>
      <w:tabs>
        <w:tab w:val="clear" w:pos="480"/>
        <w:tab w:val="clear" w:pos="600"/>
        <w:tab w:val="left" w:pos="960"/>
      </w:tabs>
      <w:ind w:left="960" w:hanging="360"/>
    </w:pPr>
  </w:style>
  <w:style w:type="paragraph" w:customStyle="1" w:styleId="toc40">
    <w:name w:val="toc4"/>
    <w:basedOn w:val="Normal"/>
    <w:autoRedefine/>
    <w:uiPriority w:val="99"/>
    <w:rsid w:val="00A60ADB"/>
    <w:pPr>
      <w:widowControl w:val="0"/>
      <w:tabs>
        <w:tab w:val="left" w:pos="1680"/>
        <w:tab w:val="right" w:leader="dot" w:pos="5520"/>
        <w:tab w:val="right" w:pos="6240"/>
        <w:tab w:val="right" w:pos="6960"/>
      </w:tabs>
      <w:autoSpaceDE w:val="0"/>
      <w:autoSpaceDN w:val="0"/>
      <w:adjustRightInd w:val="0"/>
      <w:spacing w:before="0" w:after="0"/>
      <w:ind w:left="1680" w:hanging="300"/>
      <w:textAlignment w:val="center"/>
    </w:pPr>
    <w:rPr>
      <w:rFonts w:eastAsiaTheme="minorEastAsia" w:cs="ITC New Baskerville Std"/>
      <w:color w:val="000000"/>
      <w:kern w:val="0"/>
      <w:sz w:val="22"/>
      <w:szCs w:val="22"/>
      <w:lang w:bidi="ar-SA"/>
    </w:rPr>
  </w:style>
  <w:style w:type="paragraph" w:customStyle="1" w:styleId="toc30">
    <w:name w:val="toc3"/>
    <w:basedOn w:val="toc20"/>
    <w:autoRedefine/>
    <w:uiPriority w:val="99"/>
    <w:rsid w:val="00A60ADB"/>
    <w:pPr>
      <w:tabs>
        <w:tab w:val="clear" w:pos="960"/>
        <w:tab w:val="left" w:pos="1380"/>
        <w:tab w:val="left" w:pos="8900"/>
      </w:tabs>
      <w:ind w:left="1380" w:hanging="420"/>
    </w:pPr>
  </w:style>
  <w:style w:type="paragraph" w:customStyle="1" w:styleId="toc5">
    <w:name w:val="toc5"/>
    <w:basedOn w:val="toc40"/>
    <w:autoRedefine/>
    <w:uiPriority w:val="99"/>
    <w:rsid w:val="00A60ADB"/>
    <w:pPr>
      <w:tabs>
        <w:tab w:val="clear" w:pos="1680"/>
        <w:tab w:val="right" w:pos="2040"/>
        <w:tab w:val="left" w:pos="2160"/>
      </w:tabs>
      <w:ind w:left="2160" w:hanging="480"/>
    </w:pPr>
  </w:style>
  <w:style w:type="paragraph" w:customStyle="1" w:styleId="toc7">
    <w:name w:val="toc7"/>
    <w:basedOn w:val="Normal"/>
    <w:autoRedefine/>
    <w:uiPriority w:val="99"/>
    <w:rsid w:val="00A60ADB"/>
    <w:pPr>
      <w:widowControl w:val="0"/>
      <w:tabs>
        <w:tab w:val="left" w:pos="2880"/>
        <w:tab w:val="right" w:leader="dot" w:pos="5520"/>
        <w:tab w:val="right" w:pos="6240"/>
        <w:tab w:val="right" w:pos="6960"/>
      </w:tabs>
      <w:autoSpaceDE w:val="0"/>
      <w:autoSpaceDN w:val="0"/>
      <w:adjustRightInd w:val="0"/>
      <w:spacing w:before="0" w:after="0"/>
      <w:ind w:left="2880" w:hanging="360"/>
      <w:textAlignment w:val="center"/>
    </w:pPr>
    <w:rPr>
      <w:rFonts w:eastAsiaTheme="minorEastAsia" w:cs="ITC New Baskerville Std"/>
      <w:color w:val="000000"/>
      <w:kern w:val="0"/>
      <w:sz w:val="22"/>
      <w:szCs w:val="22"/>
      <w:lang w:bidi="ar-SA"/>
    </w:rPr>
  </w:style>
  <w:style w:type="paragraph" w:customStyle="1" w:styleId="2ndLevel1">
    <w:name w:val="2nd Level /1"/>
    <w:basedOn w:val="2ndlevelheadA"/>
    <w:autoRedefine/>
    <w:uiPriority w:val="99"/>
    <w:rsid w:val="00A60ADB"/>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bulletstart">
    <w:name w:val="bullet start"/>
    <w:basedOn w:val="Normal"/>
    <w:autoRedefine/>
    <w:uiPriority w:val="99"/>
    <w:rsid w:val="00A60ADB"/>
    <w:pPr>
      <w:tabs>
        <w:tab w:val="left" w:pos="360"/>
        <w:tab w:val="left" w:pos="720"/>
      </w:tabs>
      <w:spacing w:after="0"/>
      <w:ind w:left="720" w:hanging="360"/>
    </w:pPr>
    <w:rPr>
      <w:rFonts w:cstheme="minorBidi"/>
      <w:kern w:val="0"/>
      <w:szCs w:val="22"/>
      <w:lang w:bidi="ar-SA"/>
    </w:rPr>
  </w:style>
  <w:style w:type="paragraph" w:customStyle="1" w:styleId="bullet">
    <w:name w:val="bullet"/>
    <w:basedOn w:val="Normal"/>
    <w:uiPriority w:val="99"/>
    <w:qFormat/>
    <w:rsid w:val="00A60ADB"/>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Numberliststart">
    <w:name w:val="Number list start"/>
    <w:basedOn w:val="Normal"/>
    <w:autoRedefine/>
    <w:uiPriority w:val="99"/>
    <w:rsid w:val="00A60ADB"/>
    <w:pPr>
      <w:widowControl w:val="0"/>
      <w:tabs>
        <w:tab w:val="left" w:pos="480"/>
      </w:tabs>
      <w:autoSpaceDE w:val="0"/>
      <w:autoSpaceDN w:val="0"/>
      <w:adjustRightInd w:val="0"/>
      <w:spacing w:after="0"/>
      <w:ind w:left="960" w:hanging="480"/>
      <w:textAlignment w:val="center"/>
    </w:pPr>
    <w:rPr>
      <w:rFonts w:eastAsiaTheme="minorEastAsia" w:cs="ITC New Baskerville Std"/>
      <w:color w:val="000000"/>
      <w:kern w:val="0"/>
      <w:szCs w:val="22"/>
      <w:lang w:bidi="ar-SA"/>
    </w:rPr>
  </w:style>
  <w:style w:type="paragraph" w:customStyle="1" w:styleId="numberlistend">
    <w:name w:val="number list end"/>
    <w:basedOn w:val="numberliststart0"/>
    <w:autoRedefine/>
    <w:qFormat/>
    <w:rsid w:val="00A60ADB"/>
    <w:pPr>
      <w:spacing w:before="0" w:after="240"/>
    </w:pPr>
  </w:style>
  <w:style w:type="paragraph" w:customStyle="1" w:styleId="block3rdindent">
    <w:name w:val="block 3rd indent"/>
    <w:basedOn w:val="Normal"/>
    <w:autoRedefine/>
    <w:qFormat/>
    <w:rsid w:val="00A60ADB"/>
    <w:pPr>
      <w:widowControl w:val="0"/>
      <w:spacing w:before="0"/>
      <w:ind w:left="2160"/>
    </w:pPr>
    <w:rPr>
      <w:kern w:val="0"/>
      <w:sz w:val="20"/>
      <w:lang w:bidi="ar-SA"/>
    </w:rPr>
  </w:style>
  <w:style w:type="paragraph" w:customStyle="1" w:styleId="numberlistplstart">
    <w:name w:val="number list pl start"/>
    <w:basedOn w:val="Normal"/>
    <w:autoRedefine/>
    <w:uiPriority w:val="99"/>
    <w:rsid w:val="00A60ADB"/>
    <w:pPr>
      <w:tabs>
        <w:tab w:val="left" w:pos="840"/>
      </w:tabs>
      <w:spacing w:before="120" w:after="0"/>
      <w:ind w:left="960" w:hanging="480"/>
    </w:pPr>
    <w:rPr>
      <w:rFonts w:cstheme="minorBidi"/>
      <w:kern w:val="0"/>
      <w:szCs w:val="22"/>
      <w:lang w:bidi="ar-SA"/>
    </w:rPr>
  </w:style>
  <w:style w:type="paragraph" w:customStyle="1" w:styleId="numberlistpl">
    <w:name w:val="number list pl"/>
    <w:basedOn w:val="Normal"/>
    <w:autoRedefine/>
    <w:uiPriority w:val="99"/>
    <w:rsid w:val="00A60ADB"/>
    <w:pPr>
      <w:widowControl w:val="0"/>
      <w:tabs>
        <w:tab w:val="left" w:pos="920"/>
      </w:tabs>
      <w:autoSpaceDE w:val="0"/>
      <w:autoSpaceDN w:val="0"/>
      <w:adjustRightInd w:val="0"/>
      <w:spacing w:before="0" w:after="0"/>
      <w:ind w:left="960" w:hanging="480"/>
      <w:textAlignment w:val="center"/>
    </w:pPr>
    <w:rPr>
      <w:rFonts w:eastAsiaTheme="minorEastAsia" w:cs="ITC New Baskerville Std"/>
      <w:color w:val="000000"/>
      <w:kern w:val="0"/>
      <w:szCs w:val="22"/>
      <w:lang w:bidi="ar-SA"/>
    </w:rPr>
  </w:style>
  <w:style w:type="paragraph" w:customStyle="1" w:styleId="3rdLevel2">
    <w:name w:val="3rd Level / 2"/>
    <w:basedOn w:val="Normal"/>
    <w:autoRedefine/>
    <w:uiPriority w:val="99"/>
    <w:rsid w:val="00A60ADB"/>
    <w:pPr>
      <w:keepNext/>
      <w:widowControl w:val="0"/>
      <w:tabs>
        <w:tab w:val="left" w:pos="360"/>
      </w:tabs>
      <w:suppressAutoHyphens/>
      <w:autoSpaceDE w:val="0"/>
      <w:autoSpaceDN w:val="0"/>
      <w:adjustRightInd w:val="0"/>
      <w:spacing w:before="0" w:after="240"/>
      <w:ind w:left="360" w:hanging="360"/>
      <w:textAlignment w:val="center"/>
    </w:pPr>
    <w:rPr>
      <w:rFonts w:eastAsiaTheme="minorEastAsia" w:cs="ITC New Baskerville Std"/>
      <w:b/>
      <w:bCs/>
      <w:i/>
      <w:iCs/>
      <w:color w:val="000000"/>
      <w:kern w:val="0"/>
      <w:szCs w:val="22"/>
      <w:lang w:bidi="ar-SA"/>
    </w:rPr>
  </w:style>
  <w:style w:type="paragraph" w:customStyle="1" w:styleId="4thLevel3">
    <w:name w:val="4th Level / 3"/>
    <w:basedOn w:val="4thlevelheada"/>
    <w:autoRedefine/>
    <w:uiPriority w:val="99"/>
    <w:rsid w:val="00A60ADB"/>
    <w:pPr>
      <w:tabs>
        <w:tab w:val="clear" w:pos="740"/>
        <w:tab w:val="left" w:pos="360"/>
      </w:tabs>
      <w:spacing w:before="0"/>
      <w:ind w:left="360"/>
    </w:pPr>
  </w:style>
  <w:style w:type="paragraph" w:customStyle="1" w:styleId="1stLevelHeadII">
    <w:name w:val="1st Level Head II."/>
    <w:basedOn w:val="Normal"/>
    <w:autoRedefine/>
    <w:uiPriority w:val="99"/>
    <w:rsid w:val="00A60ADB"/>
    <w:pPr>
      <w:keepNext/>
      <w:widowControl w:val="0"/>
      <w:suppressAutoHyphens/>
      <w:autoSpaceDE w:val="0"/>
      <w:autoSpaceDN w:val="0"/>
      <w:adjustRightInd w:val="0"/>
      <w:spacing w:before="480" w:after="360"/>
      <w:jc w:val="center"/>
      <w:textAlignment w:val="center"/>
    </w:pPr>
    <w:rPr>
      <w:rFonts w:eastAsiaTheme="minorEastAsia" w:cs="ITC New Baskerville Std"/>
      <w:b/>
      <w:bCs/>
      <w:smallCaps/>
      <w:color w:val="000000"/>
      <w:kern w:val="0"/>
      <w:lang w:bidi="ar-SA"/>
    </w:rPr>
  </w:style>
  <w:style w:type="paragraph" w:customStyle="1" w:styleId="3rdLevelHead1">
    <w:name w:val="3rd Level Head 1."/>
    <w:basedOn w:val="Normal"/>
    <w:autoRedefine/>
    <w:uiPriority w:val="99"/>
    <w:rsid w:val="00A60ADB"/>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szCs w:val="22"/>
      <w:lang w:bidi="ar-SA"/>
    </w:rPr>
  </w:style>
  <w:style w:type="paragraph" w:customStyle="1" w:styleId="blockquote-f-">
    <w:name w:val="block quote-f +/-"/>
    <w:basedOn w:val="blockquotenoparagraphindent"/>
    <w:uiPriority w:val="99"/>
    <w:rsid w:val="00A60ADB"/>
    <w:pPr>
      <w:widowControl w:val="0"/>
      <w:autoSpaceDE w:val="0"/>
      <w:autoSpaceDN w:val="0"/>
      <w:adjustRightInd w:val="0"/>
      <w:spacing w:before="120" w:after="0" w:line="230" w:lineRule="atLeast"/>
      <w:ind w:left="440"/>
      <w:textAlignment w:val="center"/>
    </w:pPr>
    <w:rPr>
      <w:rFonts w:eastAsiaTheme="minorEastAsia" w:cs="ITC New Baskerville Std"/>
      <w:color w:val="000000"/>
    </w:rPr>
  </w:style>
  <w:style w:type="paragraph" w:customStyle="1" w:styleId="numberlist-start">
    <w:name w:val="number list - start"/>
    <w:basedOn w:val="Normal"/>
    <w:autoRedefine/>
    <w:uiPriority w:val="99"/>
    <w:rsid w:val="00A60ADB"/>
    <w:pPr>
      <w:widowControl w:val="0"/>
      <w:tabs>
        <w:tab w:val="left" w:pos="840"/>
      </w:tabs>
      <w:autoSpaceDE w:val="0"/>
      <w:autoSpaceDN w:val="0"/>
      <w:adjustRightInd w:val="0"/>
      <w:spacing w:after="0"/>
      <w:ind w:left="1320" w:hanging="480"/>
      <w:jc w:val="both"/>
      <w:textAlignment w:val="center"/>
    </w:pPr>
    <w:rPr>
      <w:rFonts w:eastAsiaTheme="minorEastAsia" w:cs="ITC New Baskerville Std"/>
      <w:color w:val="000000"/>
      <w:kern w:val="0"/>
      <w:lang w:bidi="ar-SA"/>
    </w:rPr>
  </w:style>
  <w:style w:type="paragraph" w:customStyle="1" w:styleId="3rdlevelhead10">
    <w:name w:val="3rd level head 1."/>
    <w:basedOn w:val="Normal"/>
    <w:autoRedefine/>
    <w:uiPriority w:val="99"/>
    <w:rsid w:val="00A60ADB"/>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Cs/>
      <w:i/>
      <w:iCs/>
      <w:color w:val="000000"/>
      <w:kern w:val="0"/>
      <w:lang w:bidi="ar-SA"/>
    </w:rPr>
  </w:style>
  <w:style w:type="paragraph" w:customStyle="1" w:styleId="3rdlevelheadnospace">
    <w:name w:val="3rd level head no space"/>
    <w:basedOn w:val="3rdlevelhead10"/>
    <w:uiPriority w:val="99"/>
    <w:rsid w:val="00A60ADB"/>
    <w:pPr>
      <w:spacing w:before="0"/>
    </w:pPr>
  </w:style>
  <w:style w:type="paragraph" w:customStyle="1" w:styleId="2ndlevelheadnospace">
    <w:name w:val="2nd level head no space"/>
    <w:basedOn w:val="2ndlevelheadA"/>
    <w:uiPriority w:val="99"/>
    <w:rsid w:val="00A60ADB"/>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numberlist">
    <w:name w:val="number list"/>
    <w:basedOn w:val="numberlistplstart"/>
    <w:autoRedefine/>
    <w:uiPriority w:val="99"/>
    <w:qFormat/>
    <w:rsid w:val="00A60ADB"/>
    <w:pPr>
      <w:tabs>
        <w:tab w:val="clear" w:pos="840"/>
        <w:tab w:val="left" w:pos="480"/>
      </w:tabs>
      <w:spacing w:before="0"/>
    </w:pPr>
  </w:style>
  <w:style w:type="paragraph" w:customStyle="1" w:styleId="4thlevelheadnospace">
    <w:name w:val="4th level head no space"/>
    <w:basedOn w:val="4thlevelheada"/>
    <w:uiPriority w:val="99"/>
    <w:rsid w:val="00A60ADB"/>
    <w:pPr>
      <w:spacing w:before="0"/>
      <w:ind w:left="701"/>
    </w:pPr>
    <w:rPr>
      <w:szCs w:val="24"/>
    </w:rPr>
  </w:style>
  <w:style w:type="paragraph" w:customStyle="1" w:styleId="bulletlist">
    <w:name w:val="bullet list"/>
    <w:basedOn w:val="Normal"/>
    <w:qFormat/>
    <w:rsid w:val="00A60ADB"/>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footnoteindentwpara">
    <w:name w:val="footnote indent w/para"/>
    <w:basedOn w:val="Normal"/>
    <w:autoRedefine/>
    <w:uiPriority w:val="99"/>
    <w:rsid w:val="00A60ADB"/>
    <w:pPr>
      <w:widowControl w:val="0"/>
      <w:autoSpaceDE w:val="0"/>
      <w:autoSpaceDN w:val="0"/>
      <w:adjustRightInd w:val="0"/>
      <w:spacing w:before="40" w:after="0" w:line="360" w:lineRule="auto"/>
      <w:ind w:left="360"/>
      <w:jc w:val="both"/>
      <w:textAlignment w:val="center"/>
    </w:pPr>
    <w:rPr>
      <w:rFonts w:eastAsiaTheme="minorEastAsia" w:cs="ITC New Baskerville Std"/>
      <w:color w:val="000000"/>
      <w:kern w:val="0"/>
      <w:sz w:val="20"/>
      <w:szCs w:val="18"/>
      <w:lang w:bidi="ar-SA"/>
    </w:rPr>
  </w:style>
  <w:style w:type="paragraph" w:customStyle="1" w:styleId="texteditorsnote">
    <w:name w:val="text editor's note"/>
    <w:basedOn w:val="text"/>
    <w:autoRedefine/>
    <w:uiPriority w:val="99"/>
    <w:rsid w:val="00A60ADB"/>
    <w:pPr>
      <w:autoSpaceDE w:val="0"/>
      <w:autoSpaceDN w:val="0"/>
      <w:adjustRightInd w:val="0"/>
      <w:spacing w:before="120"/>
      <w:ind w:firstLine="439"/>
      <w:jc w:val="both"/>
      <w:textAlignment w:val="center"/>
    </w:pPr>
    <w:rPr>
      <w:rFonts w:eastAsiaTheme="minorEastAsia" w:cs="ITC New Baskerville Std"/>
      <w:b/>
      <w:bCs/>
      <w:color w:val="000000"/>
      <w:szCs w:val="22"/>
    </w:rPr>
  </w:style>
  <w:style w:type="paragraph" w:customStyle="1" w:styleId="footnoteindent">
    <w:name w:val="footnote indent"/>
    <w:basedOn w:val="footnote"/>
    <w:autoRedefine/>
    <w:uiPriority w:val="99"/>
    <w:rsid w:val="00A60ADB"/>
    <w:pPr>
      <w:autoSpaceDE w:val="0"/>
      <w:autoSpaceDN w:val="0"/>
      <w:adjustRightInd w:val="0"/>
      <w:spacing w:before="40"/>
      <w:ind w:left="360" w:firstLine="0"/>
      <w:jc w:val="both"/>
      <w:textAlignment w:val="center"/>
    </w:pPr>
    <w:rPr>
      <w:rFonts w:eastAsiaTheme="minorEastAsia" w:cs="ITC New Baskerville Std"/>
      <w:color w:val="000000"/>
      <w:szCs w:val="18"/>
    </w:rPr>
  </w:style>
  <w:style w:type="paragraph" w:customStyle="1" w:styleId="6thlevelheada">
    <w:name w:val="6th level head (a)"/>
    <w:basedOn w:val="text"/>
    <w:autoRedefine/>
    <w:uiPriority w:val="99"/>
    <w:rsid w:val="00A60ADB"/>
    <w:pPr>
      <w:spacing w:before="120"/>
      <w:ind w:firstLine="439"/>
      <w:jc w:val="both"/>
    </w:pPr>
  </w:style>
  <w:style w:type="paragraph" w:customStyle="1" w:styleId="5thlevelhead1">
    <w:name w:val="5th level head (1)"/>
    <w:basedOn w:val="Normal"/>
    <w:autoRedefine/>
    <w:uiPriority w:val="99"/>
    <w:rsid w:val="00A60ADB"/>
    <w:pPr>
      <w:keepNext/>
      <w:widowControl w:val="0"/>
      <w:suppressAutoHyphens/>
      <w:autoSpaceDE w:val="0"/>
      <w:autoSpaceDN w:val="0"/>
      <w:adjustRightInd w:val="0"/>
      <w:spacing w:after="240" w:line="240" w:lineRule="atLeast"/>
      <w:ind w:left="821" w:hanging="360"/>
      <w:textAlignment w:val="center"/>
    </w:pPr>
    <w:rPr>
      <w:rFonts w:eastAsiaTheme="minorEastAsia" w:cs="ITC New Baskerville Std"/>
      <w:i/>
      <w:iCs/>
      <w:color w:val="000000"/>
      <w:kern w:val="0"/>
      <w:sz w:val="22"/>
      <w:szCs w:val="22"/>
      <w:lang w:bidi="ar-SA"/>
    </w:rPr>
  </w:style>
  <w:style w:type="paragraph" w:customStyle="1" w:styleId="nt">
    <w:name w:val="nt"/>
    <w:basedOn w:val="Normal"/>
    <w:autoRedefine/>
    <w:qFormat/>
    <w:rsid w:val="00A60ADB"/>
    <w:pPr>
      <w:spacing w:before="0" w:after="0"/>
      <w:ind w:firstLine="360"/>
    </w:pPr>
    <w:rPr>
      <w:rFonts w:eastAsiaTheme="minorEastAsia" w:cs="Times LT Std"/>
      <w:color w:val="000000"/>
      <w:kern w:val="0"/>
      <w:sz w:val="20"/>
      <w:szCs w:val="18"/>
      <w:lang w:bidi="ar-SA"/>
    </w:rPr>
  </w:style>
  <w:style w:type="paragraph" w:customStyle="1" w:styleId="bulletspaceabove">
    <w:name w:val="bullet space above"/>
    <w:basedOn w:val="Normal"/>
    <w:autoRedefine/>
    <w:uiPriority w:val="99"/>
    <w:rsid w:val="00A60ADB"/>
    <w:pPr>
      <w:widowControl w:val="0"/>
      <w:tabs>
        <w:tab w:val="left" w:pos="660"/>
      </w:tabs>
      <w:autoSpaceDE w:val="0"/>
      <w:autoSpaceDN w:val="0"/>
      <w:adjustRightInd w:val="0"/>
      <w:spacing w:after="0"/>
      <w:ind w:left="660" w:hanging="180"/>
      <w:jc w:val="both"/>
      <w:textAlignment w:val="center"/>
    </w:pPr>
    <w:rPr>
      <w:rFonts w:ascii="Times LT Std" w:eastAsiaTheme="minorEastAsia" w:hAnsi="Times LT Std" w:cs="Times LT Std"/>
      <w:color w:val="000000"/>
      <w:kern w:val="0"/>
      <w:lang w:bidi="ar-SA"/>
    </w:rPr>
  </w:style>
  <w:style w:type="paragraph" w:customStyle="1" w:styleId="block">
    <w:name w:val="block"/>
    <w:basedOn w:val="text"/>
    <w:autoRedefine/>
    <w:uiPriority w:val="99"/>
    <w:rsid w:val="00A60ADB"/>
    <w:pPr>
      <w:autoSpaceDE w:val="0"/>
      <w:autoSpaceDN w:val="0"/>
      <w:adjustRightInd w:val="0"/>
      <w:spacing w:before="240" w:after="240" w:line="220" w:lineRule="atLeast"/>
      <w:ind w:left="480" w:firstLine="0"/>
      <w:jc w:val="both"/>
      <w:textAlignment w:val="center"/>
    </w:pPr>
    <w:rPr>
      <w:rFonts w:ascii="Times LT Std" w:eastAsiaTheme="minorEastAsia" w:hAnsi="Times LT Std" w:cs="Times LT Std"/>
      <w:color w:val="000000"/>
      <w:sz w:val="20"/>
      <w:szCs w:val="22"/>
    </w:rPr>
  </w:style>
  <w:style w:type="paragraph" w:customStyle="1" w:styleId="textinsert">
    <w:name w:val="text insert +/+"/>
    <w:basedOn w:val="textflush"/>
    <w:autoRedefine/>
    <w:uiPriority w:val="99"/>
    <w:rsid w:val="00A60ADB"/>
    <w:pPr>
      <w:autoSpaceDE w:val="0"/>
      <w:autoSpaceDN w:val="0"/>
      <w:adjustRightInd w:val="0"/>
      <w:spacing w:before="120" w:after="120"/>
      <w:ind w:firstLine="439"/>
      <w:jc w:val="both"/>
      <w:textAlignment w:val="center"/>
    </w:pPr>
    <w:rPr>
      <w:rFonts w:eastAsiaTheme="minorEastAsia"/>
      <w:color w:val="000000"/>
      <w:szCs w:val="22"/>
    </w:rPr>
  </w:style>
  <w:style w:type="paragraph" w:customStyle="1" w:styleId="4thLevelHeada0">
    <w:name w:val="4th Level Head a."/>
    <w:basedOn w:val="Normal"/>
    <w:autoRedefine/>
    <w:uiPriority w:val="99"/>
    <w:rsid w:val="00A60ADB"/>
    <w:pPr>
      <w:keepNext/>
      <w:widowControl w:val="0"/>
      <w:tabs>
        <w:tab w:val="left" w:pos="360"/>
      </w:tabs>
      <w:suppressAutoHyphens/>
      <w:autoSpaceDE w:val="0"/>
      <w:autoSpaceDN w:val="0"/>
      <w:adjustRightInd w:val="0"/>
      <w:spacing w:after="240"/>
      <w:ind w:left="799" w:hanging="360"/>
      <w:textAlignment w:val="center"/>
    </w:pPr>
    <w:rPr>
      <w:rFonts w:eastAsiaTheme="minorEastAsia" w:cs="ITC New Baskerville Std"/>
      <w:i/>
      <w:iCs/>
      <w:color w:val="000000"/>
      <w:kern w:val="0"/>
      <w:szCs w:val="22"/>
      <w:lang w:bidi="ar-SA"/>
    </w:rPr>
  </w:style>
  <w:style w:type="paragraph" w:customStyle="1" w:styleId="mainvolumehead">
    <w:name w:val="main volume head"/>
    <w:basedOn w:val="text"/>
    <w:autoRedefine/>
    <w:uiPriority w:val="99"/>
    <w:rsid w:val="00A60ADB"/>
    <w:pPr>
      <w:keepNext/>
      <w:suppressAutoHyphens/>
      <w:autoSpaceDE w:val="0"/>
      <w:autoSpaceDN w:val="0"/>
      <w:adjustRightInd w:val="0"/>
      <w:spacing w:before="480" w:after="240"/>
      <w:ind w:firstLine="0"/>
      <w:jc w:val="center"/>
      <w:textAlignment w:val="center"/>
    </w:pPr>
    <w:rPr>
      <w:rFonts w:eastAsiaTheme="minorEastAsia" w:cs="ITC New Baskerville Std"/>
      <w:b/>
      <w:bCs/>
      <w:caps/>
      <w:color w:val="000000"/>
      <w:szCs w:val="22"/>
    </w:rPr>
  </w:style>
  <w:style w:type="paragraph" w:customStyle="1" w:styleId="textmainvolume">
    <w:name w:val="text main volume"/>
    <w:basedOn w:val="text"/>
    <w:autoRedefine/>
    <w:uiPriority w:val="99"/>
    <w:rsid w:val="00A60ADB"/>
    <w:pPr>
      <w:autoSpaceDE w:val="0"/>
      <w:autoSpaceDN w:val="0"/>
      <w:adjustRightInd w:val="0"/>
      <w:spacing w:after="120"/>
      <w:ind w:firstLine="439"/>
      <w:jc w:val="both"/>
      <w:textAlignment w:val="center"/>
    </w:pPr>
    <w:rPr>
      <w:rFonts w:eastAsiaTheme="minorEastAsia" w:cs="ITC New Baskerville Std"/>
      <w:color w:val="000000"/>
      <w:szCs w:val="22"/>
    </w:rPr>
  </w:style>
  <w:style w:type="paragraph" w:customStyle="1" w:styleId="textinsert-">
    <w:name w:val="text insert -/+"/>
    <w:basedOn w:val="textinsert"/>
    <w:autoRedefine/>
    <w:uiPriority w:val="99"/>
    <w:rsid w:val="00A60ADB"/>
    <w:pPr>
      <w:spacing w:before="0"/>
    </w:pPr>
    <w:rPr>
      <w:rFonts w:cs="ITC New Baskerville Std"/>
    </w:rPr>
  </w:style>
  <w:style w:type="paragraph" w:customStyle="1" w:styleId="2ndLevelHeadA0">
    <w:name w:val="2nd Level Head A."/>
    <w:basedOn w:val="Normal"/>
    <w:autoRedefine/>
    <w:uiPriority w:val="99"/>
    <w:rsid w:val="00A60ADB"/>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Cs/>
      <w:color w:val="000000"/>
      <w:kern w:val="0"/>
      <w:lang w:bidi="ar-SA"/>
    </w:rPr>
  </w:style>
  <w:style w:type="paragraph" w:customStyle="1" w:styleId="5thLevelHeadii">
    <w:name w:val="5th Level Head ii."/>
    <w:basedOn w:val="Normal"/>
    <w:autoRedefine/>
    <w:uiPriority w:val="99"/>
    <w:rsid w:val="00A60ADB"/>
    <w:pPr>
      <w:keepNext/>
      <w:widowControl w:val="0"/>
      <w:tabs>
        <w:tab w:val="left" w:pos="1020"/>
      </w:tabs>
      <w:suppressAutoHyphens/>
      <w:autoSpaceDE w:val="0"/>
      <w:autoSpaceDN w:val="0"/>
      <w:adjustRightInd w:val="0"/>
      <w:spacing w:before="120"/>
      <w:ind w:left="1020" w:hanging="360"/>
      <w:textAlignment w:val="center"/>
    </w:pPr>
    <w:rPr>
      <w:rFonts w:eastAsiaTheme="minorEastAsia" w:cs="ITC New Baskerville Std"/>
      <w:i/>
      <w:iCs/>
      <w:color w:val="000000"/>
      <w:kern w:val="0"/>
      <w:szCs w:val="22"/>
      <w:lang w:bidi="ar-SA"/>
    </w:rPr>
  </w:style>
  <w:style w:type="paragraph" w:customStyle="1" w:styleId="blockquoteparaindent">
    <w:name w:val="block quote para indent"/>
    <w:basedOn w:val="blockquote"/>
    <w:autoRedefine/>
    <w:uiPriority w:val="99"/>
    <w:qFormat/>
    <w:rsid w:val="00A60ADB"/>
    <w:pPr>
      <w:autoSpaceDE w:val="0"/>
      <w:autoSpaceDN w:val="0"/>
      <w:adjustRightInd w:val="0"/>
      <w:spacing w:before="120" w:after="120"/>
      <w:ind w:left="439" w:firstLine="240"/>
      <w:jc w:val="both"/>
      <w:textAlignment w:val="center"/>
    </w:pPr>
    <w:rPr>
      <w:rFonts w:eastAsiaTheme="minorEastAsia" w:cs="Times LT Std"/>
      <w:color w:val="000000"/>
      <w:szCs w:val="22"/>
    </w:rPr>
  </w:style>
  <w:style w:type="paragraph" w:customStyle="1" w:styleId="block-p0">
    <w:name w:val="block-p"/>
    <w:basedOn w:val="Blockquoteflush"/>
    <w:autoRedefine/>
    <w:qFormat/>
    <w:rsid w:val="00A60ADB"/>
    <w:pPr>
      <w:ind w:firstLine="240"/>
    </w:pPr>
  </w:style>
  <w:style w:type="paragraph" w:customStyle="1" w:styleId="bulletliststart">
    <w:name w:val="bullet list start"/>
    <w:basedOn w:val="Normal"/>
    <w:autoRedefine/>
    <w:uiPriority w:val="99"/>
    <w:qFormat/>
    <w:rsid w:val="00A60ADB"/>
    <w:pPr>
      <w:tabs>
        <w:tab w:val="left" w:pos="360"/>
      </w:tabs>
      <w:spacing w:after="0"/>
      <w:ind w:left="720" w:hanging="360"/>
    </w:pPr>
    <w:rPr>
      <w:spacing w:val="-3"/>
      <w:kern w:val="0"/>
      <w:szCs w:val="22"/>
      <w:lang w:bidi="ar-SA"/>
    </w:rPr>
  </w:style>
  <w:style w:type="paragraph" w:customStyle="1" w:styleId="bulletlistend">
    <w:name w:val="bullet list end"/>
    <w:basedOn w:val="bullet"/>
    <w:autoRedefine/>
    <w:qFormat/>
    <w:rsid w:val="00A60ADB"/>
    <w:pPr>
      <w:spacing w:after="240"/>
    </w:pPr>
  </w:style>
  <w:style w:type="paragraph" w:customStyle="1" w:styleId="1stLevelHeadI">
    <w:name w:val="1st Level Head I."/>
    <w:basedOn w:val="Normal"/>
    <w:autoRedefine/>
    <w:uiPriority w:val="99"/>
    <w:rsid w:val="00A60ADB"/>
    <w:pPr>
      <w:keepNext/>
      <w:widowControl w:val="0"/>
      <w:suppressAutoHyphens/>
      <w:autoSpaceDE w:val="0"/>
      <w:autoSpaceDN w:val="0"/>
      <w:adjustRightInd w:val="0"/>
      <w:spacing w:before="360" w:after="240"/>
      <w:jc w:val="center"/>
      <w:textAlignment w:val="center"/>
    </w:pPr>
    <w:rPr>
      <w:rFonts w:ascii="Times SC" w:eastAsiaTheme="minorEastAsia" w:hAnsi="Times SC" w:cs="Times SC"/>
      <w:b/>
      <w:bCs/>
      <w:smallCaps/>
      <w:color w:val="000000"/>
      <w:kern w:val="0"/>
      <w:lang w:bidi="ar-SA"/>
    </w:rPr>
  </w:style>
  <w:style w:type="paragraph" w:customStyle="1" w:styleId="3rdLevelHeadfrom2">
    <w:name w:val="3rd Level Head from 2"/>
    <w:basedOn w:val="3rdLevelHead1"/>
    <w:autoRedefine/>
    <w:uiPriority w:val="99"/>
    <w:rsid w:val="00A60ADB"/>
    <w:pPr>
      <w:spacing w:before="0" w:after="120" w:line="240" w:lineRule="atLeast"/>
    </w:pPr>
    <w:rPr>
      <w:rFonts w:cs="Times New Roman"/>
      <w:bCs w:val="0"/>
    </w:rPr>
  </w:style>
  <w:style w:type="paragraph" w:customStyle="1" w:styleId="4thHeadfrom3">
    <w:name w:val="4th Head from 3"/>
    <w:basedOn w:val="4thLevelHeada0"/>
    <w:autoRedefine/>
    <w:uiPriority w:val="99"/>
    <w:rsid w:val="00A60ADB"/>
    <w:pPr>
      <w:tabs>
        <w:tab w:val="clear" w:pos="360"/>
        <w:tab w:val="left" w:pos="800"/>
      </w:tabs>
      <w:spacing w:before="0" w:after="120" w:line="240" w:lineRule="atLeast"/>
      <w:ind w:left="800"/>
    </w:pPr>
    <w:rPr>
      <w:rFonts w:cs="Times LT Std"/>
    </w:rPr>
  </w:style>
  <w:style w:type="paragraph" w:customStyle="1" w:styleId="blockquotewparaindent0">
    <w:name w:val="block quote w para indent"/>
    <w:basedOn w:val="blockquote"/>
    <w:autoRedefine/>
    <w:uiPriority w:val="99"/>
    <w:rsid w:val="00A60ADB"/>
    <w:pPr>
      <w:autoSpaceDE w:val="0"/>
      <w:autoSpaceDN w:val="0"/>
      <w:adjustRightInd w:val="0"/>
      <w:spacing w:before="120" w:after="120" w:line="220" w:lineRule="atLeast"/>
      <w:ind w:firstLine="360"/>
      <w:jc w:val="both"/>
      <w:textAlignment w:val="center"/>
    </w:pPr>
    <w:rPr>
      <w:rFonts w:ascii="Times LT Std" w:eastAsiaTheme="minorEastAsia" w:hAnsi="Times LT Std" w:cs="Times LT Std"/>
      <w:color w:val="000000"/>
      <w:szCs w:val="20"/>
    </w:rPr>
  </w:style>
  <w:style w:type="paragraph" w:customStyle="1" w:styleId="numberlistroman">
    <w:name w:val="number list roman"/>
    <w:basedOn w:val="Normal"/>
    <w:autoRedefine/>
    <w:uiPriority w:val="99"/>
    <w:rsid w:val="00A60ADB"/>
    <w:pPr>
      <w:widowControl w:val="0"/>
      <w:tabs>
        <w:tab w:val="right" w:pos="920"/>
        <w:tab w:val="left" w:pos="1040"/>
      </w:tabs>
      <w:autoSpaceDE w:val="0"/>
      <w:autoSpaceDN w:val="0"/>
      <w:adjustRightInd w:val="0"/>
      <w:spacing w:before="0" w:after="0" w:line="240" w:lineRule="atLeast"/>
      <w:ind w:left="1039" w:hanging="600"/>
      <w:jc w:val="both"/>
      <w:textAlignment w:val="center"/>
    </w:pPr>
    <w:rPr>
      <w:rFonts w:eastAsiaTheme="minorEastAsia" w:cs="Times LT Std"/>
      <w:color w:val="000000"/>
      <w:kern w:val="0"/>
      <w:szCs w:val="22"/>
      <w:lang w:bidi="ar-SA"/>
    </w:rPr>
  </w:style>
  <w:style w:type="paragraph" w:customStyle="1" w:styleId="5thLevelHead">
    <w:name w:val="5th Level Head"/>
    <w:basedOn w:val="4thHeadfrom3"/>
    <w:autoRedefine/>
    <w:uiPriority w:val="99"/>
    <w:rsid w:val="00A60ADB"/>
    <w:pPr>
      <w:tabs>
        <w:tab w:val="clear" w:pos="800"/>
        <w:tab w:val="left" w:pos="1240"/>
      </w:tabs>
      <w:spacing w:before="120"/>
      <w:ind w:left="1240"/>
    </w:pPr>
  </w:style>
  <w:style w:type="paragraph" w:customStyle="1" w:styleId="5thHeadfrom4">
    <w:name w:val="5th Head from 4"/>
    <w:basedOn w:val="5thLevelHead"/>
    <w:autoRedefine/>
    <w:uiPriority w:val="99"/>
    <w:rsid w:val="00A60ADB"/>
    <w:pPr>
      <w:spacing w:before="0"/>
    </w:pPr>
  </w:style>
  <w:style w:type="paragraph" w:customStyle="1" w:styleId="4thLevela">
    <w:name w:val="4th Level a."/>
    <w:basedOn w:val="Normal"/>
    <w:autoRedefine/>
    <w:uiPriority w:val="99"/>
    <w:rsid w:val="00A60ADB"/>
    <w:pPr>
      <w:keepNext/>
      <w:widowControl w:val="0"/>
      <w:tabs>
        <w:tab w:val="left" w:pos="820"/>
      </w:tabs>
      <w:suppressAutoHyphens/>
      <w:autoSpaceDE w:val="0"/>
      <w:autoSpaceDN w:val="0"/>
      <w:adjustRightInd w:val="0"/>
      <w:spacing w:before="120" w:line="250" w:lineRule="atLeast"/>
      <w:ind w:left="820" w:hanging="360"/>
      <w:textAlignment w:val="center"/>
    </w:pPr>
    <w:rPr>
      <w:rFonts w:eastAsiaTheme="minorEastAsia" w:cs="Times LT Std"/>
      <w:i/>
      <w:iCs/>
      <w:color w:val="000000"/>
      <w:kern w:val="0"/>
      <w:szCs w:val="23"/>
      <w:lang w:bidi="ar-SA"/>
    </w:rPr>
  </w:style>
  <w:style w:type="paragraph" w:customStyle="1" w:styleId="3rdLevel20">
    <w:name w:val="3rd Level /2"/>
    <w:basedOn w:val="3rdLevelHead1"/>
    <w:autoRedefine/>
    <w:uiPriority w:val="99"/>
    <w:rsid w:val="00A60ADB"/>
    <w:pPr>
      <w:spacing w:before="0" w:after="180" w:line="250" w:lineRule="atLeast"/>
    </w:pPr>
    <w:rPr>
      <w:rFonts w:cs="Times LT Std"/>
      <w:szCs w:val="23"/>
    </w:rPr>
  </w:style>
  <w:style w:type="paragraph" w:customStyle="1" w:styleId="numberliststart0">
    <w:name w:val="number list start"/>
    <w:basedOn w:val="Normal"/>
    <w:autoRedefine/>
    <w:qFormat/>
    <w:rsid w:val="00A60ADB"/>
    <w:pPr>
      <w:tabs>
        <w:tab w:val="left" w:pos="480"/>
      </w:tabs>
      <w:spacing w:after="0"/>
      <w:ind w:left="960" w:hanging="480"/>
    </w:pPr>
    <w:rPr>
      <w:kern w:val="0"/>
      <w:lang w:bidi="ar-SA"/>
    </w:rPr>
  </w:style>
  <w:style w:type="paragraph" w:customStyle="1" w:styleId="blockquotepnl">
    <w:name w:val="block quote pnl"/>
    <w:basedOn w:val="blockquote"/>
    <w:autoRedefine/>
    <w:uiPriority w:val="99"/>
    <w:rsid w:val="00A60ADB"/>
    <w:pPr>
      <w:tabs>
        <w:tab w:val="left" w:pos="480"/>
      </w:tabs>
      <w:autoSpaceDE w:val="0"/>
      <w:autoSpaceDN w:val="0"/>
      <w:adjustRightInd w:val="0"/>
      <w:spacing w:before="0" w:after="0"/>
      <w:ind w:left="1320" w:hanging="480"/>
      <w:jc w:val="both"/>
      <w:textAlignment w:val="center"/>
    </w:pPr>
    <w:rPr>
      <w:rFonts w:eastAsiaTheme="minorEastAsia" w:cs="Times LT Std"/>
      <w:color w:val="000000"/>
      <w:szCs w:val="21"/>
    </w:rPr>
  </w:style>
  <w:style w:type="paragraph" w:customStyle="1" w:styleId="blocknl">
    <w:name w:val="block nl"/>
    <w:basedOn w:val="Normal"/>
    <w:autoRedefine/>
    <w:qFormat/>
    <w:rsid w:val="00A60ADB"/>
    <w:pPr>
      <w:tabs>
        <w:tab w:val="left" w:pos="480"/>
      </w:tabs>
      <w:spacing w:before="0" w:after="0"/>
      <w:ind w:left="1680" w:hanging="480"/>
    </w:pPr>
    <w:rPr>
      <w:rFonts w:cstheme="minorBidi"/>
      <w:kern w:val="0"/>
      <w:sz w:val="20"/>
      <w:szCs w:val="22"/>
      <w:lang w:bidi="ar-SA"/>
    </w:rPr>
  </w:style>
  <w:style w:type="paragraph" w:customStyle="1" w:styleId="3rdlevelhditalic">
    <w:name w:val="3rd level hd italic"/>
    <w:basedOn w:val="Normal"/>
    <w:autoRedefine/>
    <w:qFormat/>
    <w:rsid w:val="00A60ADB"/>
    <w:pPr>
      <w:tabs>
        <w:tab w:val="left" w:pos="360"/>
      </w:tabs>
      <w:spacing w:after="240"/>
      <w:ind w:left="360" w:hanging="360"/>
    </w:pPr>
    <w:rPr>
      <w:rFonts w:cstheme="minorBidi"/>
      <w:i/>
      <w:kern w:val="0"/>
      <w:szCs w:val="22"/>
      <w:lang w:bidi="ar-SA"/>
    </w:rPr>
  </w:style>
  <w:style w:type="paragraph" w:customStyle="1" w:styleId="2ndLevelheadAblditalic">
    <w:name w:val="2nd Level head A. bld italic"/>
    <w:basedOn w:val="Normal"/>
    <w:autoRedefine/>
    <w:qFormat/>
    <w:rsid w:val="00A60ADB"/>
    <w:pPr>
      <w:tabs>
        <w:tab w:val="left" w:pos="360"/>
      </w:tabs>
      <w:spacing w:after="240"/>
      <w:ind w:left="360" w:hanging="360"/>
    </w:pPr>
    <w:rPr>
      <w:rFonts w:cstheme="minorBidi"/>
      <w:b/>
      <w:i/>
      <w:kern w:val="0"/>
      <w:szCs w:val="22"/>
      <w:lang w:bidi="ar-SA"/>
    </w:rPr>
  </w:style>
  <w:style w:type="paragraph" w:customStyle="1" w:styleId="Blockquote0">
    <w:name w:val="Block quote"/>
    <w:basedOn w:val="Normal"/>
    <w:autoRedefine/>
    <w:uiPriority w:val="99"/>
    <w:qFormat/>
    <w:rsid w:val="00A60ADB"/>
    <w:pPr>
      <w:widowControl w:val="0"/>
      <w:spacing w:after="240"/>
      <w:ind w:left="720"/>
    </w:pPr>
    <w:rPr>
      <w:kern w:val="0"/>
      <w:sz w:val="20"/>
      <w:lang w:bidi="ar-SA"/>
    </w:rPr>
  </w:style>
  <w:style w:type="paragraph" w:customStyle="1" w:styleId="Level21">
    <w:name w:val="Level 2 / 1"/>
    <w:basedOn w:val="Normal"/>
    <w:autoRedefine/>
    <w:uiPriority w:val="99"/>
    <w:rsid w:val="00A60ADB"/>
    <w:pPr>
      <w:keepNext/>
      <w:widowControl w:val="0"/>
      <w:tabs>
        <w:tab w:val="left" w:pos="360"/>
      </w:tabs>
      <w:suppressAutoHyphens/>
      <w:autoSpaceDE w:val="0"/>
      <w:autoSpaceDN w:val="0"/>
      <w:adjustRightInd w:val="0"/>
      <w:spacing w:before="0" w:after="240" w:line="240" w:lineRule="atLeast"/>
      <w:ind w:left="360" w:hanging="360"/>
      <w:textAlignment w:val="center"/>
    </w:pPr>
    <w:rPr>
      <w:rFonts w:eastAsiaTheme="minorEastAsia" w:cs="NewCenturySchlbk"/>
      <w:b/>
      <w:bCs/>
      <w:color w:val="000000"/>
      <w:kern w:val="0"/>
      <w:szCs w:val="22"/>
      <w:lang w:bidi="ar-SA"/>
    </w:rPr>
  </w:style>
  <w:style w:type="paragraph" w:customStyle="1" w:styleId="Level3Headi">
    <w:name w:val="Level 3 Head i."/>
    <w:basedOn w:val="Normal"/>
    <w:autoRedefine/>
    <w:uiPriority w:val="99"/>
    <w:rsid w:val="00A60ADB"/>
    <w:pPr>
      <w:keepNext/>
      <w:widowControl w:val="0"/>
      <w:tabs>
        <w:tab w:val="left" w:pos="480"/>
      </w:tabs>
      <w:suppressAutoHyphens/>
      <w:autoSpaceDE w:val="0"/>
      <w:autoSpaceDN w:val="0"/>
      <w:adjustRightInd w:val="0"/>
      <w:spacing w:after="240" w:line="240" w:lineRule="atLeast"/>
      <w:ind w:left="480" w:hanging="480"/>
      <w:textAlignment w:val="center"/>
    </w:pPr>
    <w:rPr>
      <w:rFonts w:eastAsiaTheme="minorEastAsia" w:cs="NewCenturySchlbk"/>
      <w:b/>
      <w:bCs/>
      <w:i/>
      <w:iCs/>
      <w:color w:val="000000"/>
      <w:kern w:val="0"/>
      <w:szCs w:val="22"/>
      <w:lang w:bidi="ar-SA"/>
    </w:rPr>
  </w:style>
  <w:style w:type="paragraph" w:customStyle="1" w:styleId="Level4Heada">
    <w:name w:val="Level 4 Head a."/>
    <w:basedOn w:val="text"/>
    <w:autoRedefine/>
    <w:uiPriority w:val="99"/>
    <w:rsid w:val="00A60ADB"/>
    <w:pPr>
      <w:keepNext/>
      <w:tabs>
        <w:tab w:val="left" w:pos="360"/>
      </w:tabs>
      <w:suppressAutoHyphens/>
      <w:autoSpaceDE w:val="0"/>
      <w:autoSpaceDN w:val="0"/>
      <w:adjustRightInd w:val="0"/>
      <w:spacing w:before="240" w:after="240" w:line="240" w:lineRule="atLeast"/>
      <w:ind w:left="360" w:hanging="360"/>
      <w:textAlignment w:val="center"/>
    </w:pPr>
    <w:rPr>
      <w:rFonts w:eastAsiaTheme="minorEastAsia" w:cs="NewCenturySchlbk"/>
      <w:i/>
      <w:iCs/>
      <w:color w:val="000000"/>
      <w:szCs w:val="22"/>
    </w:rPr>
  </w:style>
  <w:style w:type="paragraph" w:customStyle="1" w:styleId="Level2HeadA">
    <w:name w:val="Level 2 Head A."/>
    <w:basedOn w:val="NoParagraphStyle"/>
    <w:autoRedefine/>
    <w:uiPriority w:val="99"/>
    <w:rsid w:val="00A60ADB"/>
    <w:pPr>
      <w:keepNext/>
      <w:tabs>
        <w:tab w:val="left" w:pos="360"/>
      </w:tabs>
      <w:suppressAutoHyphens/>
      <w:spacing w:before="240" w:after="240" w:line="240" w:lineRule="atLeast"/>
      <w:ind w:left="360" w:hanging="360"/>
    </w:pPr>
    <w:rPr>
      <w:rFonts w:cs="NewCenturySchlbk"/>
      <w:b/>
      <w:bCs/>
      <w:szCs w:val="22"/>
    </w:rPr>
  </w:style>
  <w:style w:type="paragraph" w:customStyle="1" w:styleId="Level32">
    <w:name w:val="Level 3 / 2"/>
    <w:basedOn w:val="Level3Headi"/>
    <w:autoRedefine/>
    <w:uiPriority w:val="99"/>
    <w:rsid w:val="00A60ADB"/>
    <w:pPr>
      <w:spacing w:before="0"/>
    </w:pPr>
  </w:style>
  <w:style w:type="paragraph" w:customStyle="1" w:styleId="Blockquotenospacebelow">
    <w:name w:val="Block quote (no space below)"/>
    <w:basedOn w:val="Blockquote0"/>
    <w:autoRedefine/>
    <w:uiPriority w:val="99"/>
    <w:rsid w:val="00A60ADB"/>
    <w:pPr>
      <w:autoSpaceDE w:val="0"/>
      <w:autoSpaceDN w:val="0"/>
      <w:adjustRightInd w:val="0"/>
      <w:spacing w:after="0"/>
      <w:jc w:val="both"/>
      <w:textAlignment w:val="center"/>
    </w:pPr>
    <w:rPr>
      <w:rFonts w:eastAsiaTheme="minorEastAsia" w:cs="NewCenturySchlbk"/>
      <w:color w:val="000000"/>
      <w:szCs w:val="20"/>
    </w:rPr>
  </w:style>
  <w:style w:type="paragraph" w:customStyle="1" w:styleId="Numberliststart1">
    <w:name w:val="Number list (start)"/>
    <w:basedOn w:val="Normal"/>
    <w:autoRedefine/>
    <w:qFormat/>
    <w:rsid w:val="00A60ADB"/>
    <w:pPr>
      <w:widowControl w:val="0"/>
      <w:tabs>
        <w:tab w:val="left" w:pos="840"/>
      </w:tabs>
      <w:spacing w:after="0"/>
      <w:ind w:left="840" w:firstLine="360"/>
    </w:pPr>
    <w:rPr>
      <w:kern w:val="0"/>
      <w:lang w:bidi="ar-SA"/>
    </w:rPr>
  </w:style>
  <w:style w:type="paragraph" w:customStyle="1" w:styleId="Numberliststop">
    <w:name w:val="Number list (stop)"/>
    <w:basedOn w:val="Numberliststart1"/>
    <w:autoRedefine/>
    <w:qFormat/>
    <w:rsid w:val="00A60ADB"/>
    <w:pPr>
      <w:tabs>
        <w:tab w:val="clear" w:pos="840"/>
        <w:tab w:val="left" w:pos="480"/>
      </w:tabs>
      <w:spacing w:before="0" w:after="240"/>
      <w:ind w:left="960" w:hanging="480"/>
    </w:pPr>
  </w:style>
  <w:style w:type="paragraph" w:customStyle="1" w:styleId="Numberlist0">
    <w:name w:val="Number list"/>
    <w:basedOn w:val="Numberliststop"/>
    <w:autoRedefine/>
    <w:qFormat/>
    <w:rsid w:val="00A60ADB"/>
    <w:pPr>
      <w:spacing w:after="0"/>
    </w:pPr>
  </w:style>
  <w:style w:type="paragraph" w:customStyle="1" w:styleId="Level43">
    <w:name w:val="Level 4/3"/>
    <w:basedOn w:val="Level4Heada"/>
    <w:autoRedefine/>
    <w:uiPriority w:val="99"/>
    <w:rsid w:val="00A60ADB"/>
    <w:pPr>
      <w:spacing w:before="0"/>
    </w:pPr>
  </w:style>
  <w:style w:type="paragraph" w:customStyle="1" w:styleId="Level5Head1">
    <w:name w:val="Level 5 Head (1)"/>
    <w:basedOn w:val="Level43"/>
    <w:autoRedefine/>
    <w:uiPriority w:val="99"/>
    <w:rsid w:val="00A60ADB"/>
    <w:pPr>
      <w:spacing w:before="240" w:line="240" w:lineRule="auto"/>
      <w:ind w:left="919" w:hanging="480"/>
    </w:pPr>
  </w:style>
  <w:style w:type="paragraph" w:customStyle="1" w:styleId="Level3Head">
    <w:name w:val="Level 3 Head"/>
    <w:basedOn w:val="text"/>
    <w:autoRedefine/>
    <w:qFormat/>
    <w:rsid w:val="00A60ADB"/>
  </w:style>
  <w:style w:type="paragraph" w:customStyle="1" w:styleId="bullet-dash">
    <w:name w:val="bullet-dash"/>
    <w:basedOn w:val="Normal"/>
    <w:autoRedefine/>
    <w:qFormat/>
    <w:rsid w:val="00A60ADB"/>
    <w:pPr>
      <w:tabs>
        <w:tab w:val="left" w:pos="660"/>
      </w:tabs>
      <w:spacing w:before="0" w:after="0"/>
      <w:ind w:left="840" w:hanging="180"/>
    </w:pPr>
    <w:rPr>
      <w:kern w:val="0"/>
      <w:szCs w:val="22"/>
      <w:lang w:bidi="ar-SA"/>
    </w:rPr>
  </w:style>
  <w:style w:type="paragraph" w:customStyle="1" w:styleId="numberlist2ndlevel">
    <w:name w:val="number list / 2nd level"/>
    <w:basedOn w:val="Numberlist0"/>
    <w:autoRedefine/>
    <w:qFormat/>
    <w:rsid w:val="00A60ADB"/>
    <w:pPr>
      <w:ind w:left="1440"/>
    </w:pPr>
  </w:style>
  <w:style w:type="paragraph" w:customStyle="1" w:styleId="2ndLevelheadfrom1">
    <w:name w:val="2nd Level head_from 1"/>
    <w:basedOn w:val="2ndLevelHeadA0"/>
    <w:autoRedefine/>
    <w:uiPriority w:val="99"/>
    <w:rsid w:val="00A60ADB"/>
    <w:pPr>
      <w:spacing w:before="0" w:line="240" w:lineRule="atLeast"/>
    </w:pPr>
    <w:rPr>
      <w:rFonts w:cs="Times LT Std"/>
      <w:iCs w:val="0"/>
      <w:szCs w:val="22"/>
    </w:rPr>
  </w:style>
  <w:style w:type="paragraph" w:customStyle="1" w:styleId="1stlevelheadI0">
    <w:name w:val="1st level head I."/>
    <w:basedOn w:val="Normal"/>
    <w:autoRedefine/>
    <w:uiPriority w:val="99"/>
    <w:rsid w:val="00A60ADB"/>
    <w:pPr>
      <w:keepNext/>
      <w:widowControl w:val="0"/>
      <w:suppressAutoHyphens/>
      <w:autoSpaceDE w:val="0"/>
      <w:autoSpaceDN w:val="0"/>
      <w:adjustRightInd w:val="0"/>
      <w:spacing w:before="480" w:after="240"/>
      <w:jc w:val="center"/>
      <w:textAlignment w:val="center"/>
    </w:pPr>
    <w:rPr>
      <w:rFonts w:eastAsiaTheme="minorEastAsia"/>
      <w:color w:val="000000"/>
      <w:kern w:val="0"/>
      <w:szCs w:val="26"/>
      <w:lang w:bidi="ar-SA"/>
    </w:rPr>
  </w:style>
  <w:style w:type="paragraph" w:customStyle="1" w:styleId="4th-3">
    <w:name w:val="4th-3"/>
    <w:basedOn w:val="4thlevelheada"/>
    <w:autoRedefine/>
    <w:uiPriority w:val="99"/>
    <w:rsid w:val="00A60ADB"/>
    <w:pPr>
      <w:tabs>
        <w:tab w:val="clear" w:pos="740"/>
      </w:tabs>
      <w:spacing w:before="0"/>
    </w:pPr>
    <w:rPr>
      <w:rFonts w:cs="Times LT Std"/>
      <w:bCs w:val="0"/>
      <w:iCs/>
      <w:szCs w:val="24"/>
    </w:rPr>
  </w:style>
  <w:style w:type="paragraph" w:customStyle="1" w:styleId="level4iii">
    <w:name w:val="level 4 (iii)"/>
    <w:basedOn w:val="4thlevelheada"/>
    <w:autoRedefine/>
    <w:uiPriority w:val="99"/>
    <w:rsid w:val="00A60ADB"/>
    <w:pPr>
      <w:tabs>
        <w:tab w:val="clear" w:pos="740"/>
        <w:tab w:val="left" w:pos="960"/>
      </w:tabs>
      <w:ind w:left="960" w:hanging="480"/>
    </w:pPr>
    <w:rPr>
      <w:rFonts w:cs="Times LT Std"/>
      <w:bCs w:val="0"/>
      <w:iCs/>
      <w:szCs w:val="24"/>
    </w:rPr>
  </w:style>
  <w:style w:type="paragraph" w:customStyle="1" w:styleId="blockquote2ndlevel">
    <w:name w:val="block quote 2nd level"/>
    <w:basedOn w:val="blockquote"/>
    <w:autoRedefine/>
    <w:qFormat/>
    <w:rsid w:val="00A60ADB"/>
    <w:pPr>
      <w:ind w:left="1200"/>
    </w:pPr>
  </w:style>
  <w:style w:type="paragraph" w:customStyle="1" w:styleId="BasicParagraph">
    <w:name w:val="[Basic Paragraph]"/>
    <w:basedOn w:val="NoParagraphStyle"/>
    <w:uiPriority w:val="99"/>
    <w:rsid w:val="00A60ADB"/>
    <w:pPr>
      <w:spacing w:line="240" w:lineRule="atLeast"/>
      <w:ind w:firstLine="0"/>
    </w:pPr>
    <w:rPr>
      <w:rFonts w:ascii="ITC New Baskerville Std" w:hAnsi="ITC New Baskerville Std" w:cs="ITC New Baskerville Std"/>
      <w:sz w:val="22"/>
      <w:szCs w:val="22"/>
    </w:rPr>
  </w:style>
  <w:style w:type="paragraph" w:customStyle="1" w:styleId="chapternumber">
    <w:name w:val="chapter number"/>
    <w:basedOn w:val="BasicParagraph"/>
    <w:uiPriority w:val="99"/>
    <w:rsid w:val="00A60ADB"/>
    <w:pPr>
      <w:suppressAutoHyphens/>
      <w:spacing w:after="240" w:line="560" w:lineRule="atLeast"/>
    </w:pPr>
    <w:rPr>
      <w:b/>
      <w:bCs/>
      <w:sz w:val="56"/>
      <w:szCs w:val="56"/>
    </w:rPr>
  </w:style>
  <w:style w:type="paragraph" w:customStyle="1" w:styleId="chaptertitle">
    <w:name w:val="chapter title"/>
    <w:basedOn w:val="BasicParagraph"/>
    <w:uiPriority w:val="99"/>
    <w:rsid w:val="00A60ADB"/>
    <w:pPr>
      <w:suppressAutoHyphens/>
      <w:spacing w:after="480" w:line="440" w:lineRule="atLeast"/>
    </w:pPr>
    <w:rPr>
      <w:sz w:val="40"/>
      <w:szCs w:val="40"/>
    </w:rPr>
  </w:style>
  <w:style w:type="paragraph" w:customStyle="1" w:styleId="blockquoteparaspaceaboveonly">
    <w:name w:val="block quote para space above only"/>
    <w:basedOn w:val="blockquoteparaindent"/>
    <w:uiPriority w:val="99"/>
    <w:rsid w:val="00A60ADB"/>
    <w:pPr>
      <w:widowControl w:val="0"/>
      <w:spacing w:before="240" w:after="0" w:line="200" w:lineRule="atLeast"/>
      <w:ind w:left="440" w:firstLine="400"/>
    </w:pPr>
    <w:rPr>
      <w:rFonts w:ascii="ITC New Baskerville Std" w:hAnsi="ITC New Baskerville Std" w:cs="ITC New Baskerville Std"/>
      <w:szCs w:val="20"/>
    </w:rPr>
  </w:style>
  <w:style w:type="paragraph" w:customStyle="1" w:styleId="blockquotenospace">
    <w:name w:val="block quote no space"/>
    <w:basedOn w:val="block-p--"/>
    <w:uiPriority w:val="99"/>
    <w:rsid w:val="00A60ADB"/>
    <w:pPr>
      <w:widowControl w:val="0"/>
      <w:autoSpaceDE w:val="0"/>
      <w:autoSpaceDN w:val="0"/>
      <w:adjustRightInd w:val="0"/>
      <w:spacing w:line="200" w:lineRule="atLeast"/>
      <w:ind w:left="440" w:firstLine="0"/>
      <w:jc w:val="both"/>
      <w:textAlignment w:val="center"/>
    </w:pPr>
    <w:rPr>
      <w:rFonts w:ascii="ITC New Baskerville Std" w:eastAsiaTheme="minorEastAsia" w:hAnsi="ITC New Baskerville Std" w:cs="ITC New Baskerville Std"/>
      <w:color w:val="000000"/>
      <w:szCs w:val="20"/>
    </w:rPr>
  </w:style>
  <w:style w:type="character" w:customStyle="1" w:styleId="superscript">
    <w:name w:val="superscript"/>
    <w:uiPriority w:val="99"/>
    <w:rsid w:val="00A60ADB"/>
    <w:rPr>
      <w:vertAlign w:val="superscript"/>
    </w:rPr>
  </w:style>
  <w:style w:type="paragraph" w:customStyle="1" w:styleId="block-f">
    <w:name w:val="block-f +/+"/>
    <w:basedOn w:val="Normal"/>
    <w:autoRedefine/>
    <w:uiPriority w:val="99"/>
    <w:qFormat/>
    <w:rsid w:val="00A60ADB"/>
    <w:pPr>
      <w:spacing w:after="240"/>
      <w:ind w:left="720"/>
    </w:pPr>
    <w:rPr>
      <w:rFonts w:eastAsiaTheme="minorEastAsia" w:cstheme="minorBidi"/>
      <w:kern w:val="0"/>
      <w:sz w:val="20"/>
      <w:szCs w:val="22"/>
      <w:lang w:bidi="ar-SA"/>
    </w:rPr>
  </w:style>
  <w:style w:type="paragraph" w:customStyle="1" w:styleId="block-p1">
    <w:name w:val="block-p +/+"/>
    <w:basedOn w:val="Normal"/>
    <w:autoRedefine/>
    <w:uiPriority w:val="99"/>
    <w:qFormat/>
    <w:rsid w:val="00A60ADB"/>
    <w:pPr>
      <w:spacing w:after="240"/>
      <w:ind w:left="720" w:firstLine="720"/>
    </w:pPr>
    <w:rPr>
      <w:rFonts w:eastAsiaTheme="minorEastAsia"/>
      <w:kern w:val="0"/>
      <w:sz w:val="20"/>
      <w:szCs w:val="22"/>
      <w:lang w:bidi="ar-SA"/>
    </w:rPr>
  </w:style>
  <w:style w:type="paragraph" w:customStyle="1" w:styleId="figurehead">
    <w:name w:val="figure head"/>
    <w:basedOn w:val="text"/>
    <w:uiPriority w:val="99"/>
    <w:rsid w:val="00A60ADB"/>
    <w:pPr>
      <w:suppressAutoHyphens/>
      <w:autoSpaceDE w:val="0"/>
      <w:autoSpaceDN w:val="0"/>
      <w:adjustRightInd w:val="0"/>
      <w:spacing w:before="240" w:after="240" w:line="240" w:lineRule="atLeast"/>
      <w:ind w:firstLine="0"/>
      <w:jc w:val="center"/>
      <w:textAlignment w:val="center"/>
    </w:pPr>
    <w:rPr>
      <w:rFonts w:ascii="ITC New Baskerville Std" w:eastAsiaTheme="minorEastAsia" w:hAnsi="ITC New Baskerville Std" w:cs="ITC New Baskerville Std"/>
      <w:b/>
      <w:bCs/>
      <w:color w:val="000000"/>
      <w:sz w:val="22"/>
      <w:szCs w:val="22"/>
    </w:rPr>
  </w:style>
  <w:style w:type="paragraph" w:customStyle="1" w:styleId="3rdlevelhead1i">
    <w:name w:val="3rd level head 1._i"/>
    <w:basedOn w:val="Normal"/>
    <w:autoRedefine/>
    <w:uiPriority w:val="99"/>
    <w:qFormat/>
    <w:rsid w:val="00A60ADB"/>
    <w:pPr>
      <w:tabs>
        <w:tab w:val="left" w:pos="360"/>
      </w:tabs>
      <w:spacing w:after="240"/>
      <w:ind w:left="360" w:hanging="360"/>
    </w:pPr>
    <w:rPr>
      <w:rFonts w:eastAsiaTheme="minorEastAsia" w:cstheme="minorBidi"/>
      <w:i/>
      <w:kern w:val="0"/>
      <w:szCs w:val="22"/>
      <w:lang w:bidi="ar-SA"/>
    </w:rPr>
  </w:style>
  <w:style w:type="paragraph" w:customStyle="1" w:styleId="block-p--0">
    <w:name w:val="block-p -/-"/>
    <w:basedOn w:val="Normal"/>
    <w:autoRedefine/>
    <w:uiPriority w:val="99"/>
    <w:rsid w:val="00A60ADB"/>
    <w:pPr>
      <w:widowControl w:val="0"/>
      <w:autoSpaceDE w:val="0"/>
      <w:autoSpaceDN w:val="0"/>
      <w:adjustRightInd w:val="0"/>
      <w:spacing w:before="0" w:after="0"/>
      <w:ind w:left="720" w:firstLine="720"/>
      <w:textAlignment w:val="center"/>
    </w:pPr>
    <w:rPr>
      <w:rFonts w:eastAsiaTheme="minorEastAsia" w:cs="NewCenturySchlbk"/>
      <w:color w:val="000000"/>
      <w:kern w:val="0"/>
      <w:sz w:val="20"/>
      <w:szCs w:val="20"/>
      <w:lang w:bidi="ar-SA"/>
    </w:rPr>
  </w:style>
  <w:style w:type="paragraph" w:customStyle="1" w:styleId="block-p-1">
    <w:name w:val="block-p -/+"/>
    <w:basedOn w:val="Normal"/>
    <w:autoRedefine/>
    <w:uiPriority w:val="99"/>
    <w:qFormat/>
    <w:rsid w:val="00A60ADB"/>
    <w:pPr>
      <w:spacing w:before="0" w:after="240"/>
      <w:ind w:left="720" w:firstLine="720"/>
    </w:pPr>
    <w:rPr>
      <w:rFonts w:eastAsiaTheme="minorEastAsia" w:cstheme="minorBidi"/>
      <w:kern w:val="0"/>
      <w:sz w:val="20"/>
      <w:szCs w:val="22"/>
      <w:lang w:bidi="ar-SA"/>
    </w:rPr>
  </w:style>
  <w:style w:type="paragraph" w:customStyle="1" w:styleId="block-p-2">
    <w:name w:val="block-p +/-"/>
    <w:basedOn w:val="Normal"/>
    <w:autoRedefine/>
    <w:uiPriority w:val="99"/>
    <w:rsid w:val="00A60ADB"/>
    <w:pPr>
      <w:spacing w:after="0"/>
      <w:ind w:left="720" w:firstLine="720"/>
    </w:pPr>
    <w:rPr>
      <w:rFonts w:eastAsiaTheme="minorEastAsia" w:cstheme="minorBidi"/>
      <w:kern w:val="0"/>
      <w:sz w:val="20"/>
      <w:szCs w:val="22"/>
      <w:lang w:bidi="ar-SA"/>
    </w:rPr>
  </w:style>
  <w:style w:type="paragraph" w:customStyle="1" w:styleId="ChapterNum">
    <w:name w:val="ChapterNum"/>
    <w:basedOn w:val="Normal"/>
    <w:link w:val="ChapterNumChar"/>
    <w:rsid w:val="00A60ADB"/>
    <w:pPr>
      <w:widowControl w:val="0"/>
      <w:tabs>
        <w:tab w:val="left" w:pos="0"/>
        <w:tab w:val="right" w:pos="600"/>
        <w:tab w:val="left" w:pos="720"/>
        <w:tab w:val="right" w:leader="dot" w:pos="5520"/>
        <w:tab w:val="right" w:pos="6120"/>
        <w:tab w:val="right" w:pos="6956"/>
      </w:tabs>
      <w:spacing w:before="0" w:after="0" w:line="240" w:lineRule="atLeast"/>
      <w:ind w:firstLine="720"/>
    </w:pPr>
    <w:rPr>
      <w:rFonts w:eastAsia="Times New Roman"/>
      <w:kern w:val="0"/>
      <w:sz w:val="56"/>
      <w:szCs w:val="56"/>
      <w:lang w:bidi="ar-SA"/>
    </w:rPr>
  </w:style>
  <w:style w:type="character" w:customStyle="1" w:styleId="ChapterNumChar">
    <w:name w:val="ChapterNum Char"/>
    <w:link w:val="ChapterNum"/>
    <w:rsid w:val="00A60ADB"/>
    <w:rPr>
      <w:rFonts w:eastAsia="Times New Roman"/>
      <w:kern w:val="0"/>
      <w:sz w:val="56"/>
      <w:szCs w:val="56"/>
      <w:lang w:bidi="ar-SA"/>
    </w:rPr>
  </w:style>
  <w:style w:type="character" w:styleId="UnresolvedMention">
    <w:name w:val="Unresolved Mention"/>
    <w:basedOn w:val="DefaultParagraphFont"/>
    <w:uiPriority w:val="99"/>
    <w:semiHidden/>
    <w:unhideWhenUsed/>
    <w:rsid w:val="00A60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inkedin.com/in/welkowitz-david-76b34891"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plannedparenthoo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oomberglaw.com/document/X6Q082LC0000OD?documentName=IH&amp;fmt=pdf" TargetMode="External"/><Relationship Id="rId2" Type="http://schemas.openxmlformats.org/officeDocument/2006/relationships/hyperlink" Target="https://www.bloomberglaw.com/document/X6Q082LC0000OD?documentName=RH&amp;fmt=pdf" TargetMode="External"/><Relationship Id="rId1" Type="http://schemas.openxmlformats.org/officeDocument/2006/relationships/hyperlink" Target="https://www.bloomberglaw.com/document/X6Q082LC0000OD?documentName=IH&amp;fmt=pdf" TargetMode="External"/><Relationship Id="rId4" Type="http://schemas.openxmlformats.org/officeDocument/2006/relationships/hyperlink" Target="https://www.bloomberglaw.com/document/X1Q6MB72RGO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EDE3F07-2428-4C2F-94C3-824F1137E0EB}"/>
      </w:docPartPr>
      <w:docPartBody>
        <w:p w:rsidR="00E77C7A" w:rsidRDefault="00E77C7A">
          <w:r w:rsidRPr="007E4A7E">
            <w:rPr>
              <w:rStyle w:val="PlaceholderText"/>
            </w:rPr>
            <w:t>Click or tap here to enter text.</w:t>
          </w:r>
        </w:p>
      </w:docPartBody>
    </w:docPart>
    <w:docPart>
      <w:docPartPr>
        <w:name w:val="B121A4063EA24EB8A31179CD3EFCEAAB"/>
        <w:category>
          <w:name w:val="General"/>
          <w:gallery w:val="placeholder"/>
        </w:category>
        <w:types>
          <w:type w:val="bbPlcHdr"/>
        </w:types>
        <w:behaviors>
          <w:behavior w:val="content"/>
        </w:behaviors>
        <w:guid w:val="{DF034A50-2F40-4593-A998-B7BD038EC7D3}"/>
      </w:docPartPr>
      <w:docPartBody>
        <w:p w:rsidR="00E77C7A" w:rsidRDefault="00E77C7A">
          <w:r w:rsidRPr="007E4A7E">
            <w:rPr>
              <w:rStyle w:val="PlaceholderText"/>
            </w:rPr>
            <w:t>Unit.Start</w:t>
          </w:r>
        </w:p>
      </w:docPartBody>
    </w:docPart>
    <w:docPart>
      <w:docPartPr>
        <w:name w:val="D6E3C7D1DBC64873BE479B6C72BCC0A6"/>
        <w:category>
          <w:name w:val="General"/>
          <w:gallery w:val="placeholder"/>
        </w:category>
        <w:types>
          <w:type w:val="bbPlcHdr"/>
        </w:types>
        <w:behaviors>
          <w:behavior w:val="content"/>
        </w:behaviors>
        <w:guid w:val="{F70E2193-78BE-4427-BD70-7ADFFAF3AB7F}"/>
      </w:docPartPr>
      <w:docPartBody>
        <w:p w:rsidR="00E77C7A" w:rsidRDefault="00E77C7A">
          <w:r w:rsidRPr="007E4A7E">
            <w:rPr>
              <w:rStyle w:val="PlaceholderText"/>
            </w:rPr>
            <w:t>Document</w:t>
          </w:r>
        </w:p>
      </w:docPartBody>
    </w:docPart>
    <w:docPart>
      <w:docPartPr>
        <w:name w:val="E1675B60502448579735D1F69219E8B1"/>
        <w:category>
          <w:name w:val="General"/>
          <w:gallery w:val="placeholder"/>
        </w:category>
        <w:types>
          <w:type w:val="bbPlcHdr"/>
        </w:types>
        <w:behaviors>
          <w:behavior w:val="content"/>
        </w:behaviors>
        <w:guid w:val="{5DBCA28B-D697-446D-B663-6624532173D0}"/>
      </w:docPartPr>
      <w:docPartBody>
        <w:p w:rsidR="00E77C7A" w:rsidRDefault="00E77C7A">
          <w:r w:rsidRPr="007E4A7E">
            <w:rPr>
              <w:rStyle w:val="PlaceholderText"/>
            </w:rPr>
            <w:t>enter text</w:t>
          </w:r>
        </w:p>
      </w:docPartBody>
    </w:docPart>
    <w:docPart>
      <w:docPartPr>
        <w:name w:val="4E69FCA83B8F463E8369A4A4AB62D6A4"/>
        <w:category>
          <w:name w:val="General"/>
          <w:gallery w:val="placeholder"/>
        </w:category>
        <w:types>
          <w:type w:val="bbPlcHdr"/>
        </w:types>
        <w:behaviors>
          <w:behavior w:val="content"/>
        </w:behaviors>
        <w:guid w:val="{21410A89-74CE-4AB0-A606-11FE4FE54E3A}"/>
      </w:docPartPr>
      <w:docPartBody>
        <w:p w:rsidR="00E77C7A" w:rsidRDefault="00E77C7A">
          <w:r w:rsidRPr="007E4A7E">
            <w:rPr>
              <w:rStyle w:val="PlaceholderText"/>
            </w:rPr>
            <w:t>enter text</w:t>
          </w:r>
        </w:p>
      </w:docPartBody>
    </w:docPart>
    <w:docPart>
      <w:docPartPr>
        <w:name w:val="7A119756646B4847B137E693DA3F869F"/>
        <w:category>
          <w:name w:val="General"/>
          <w:gallery w:val="placeholder"/>
        </w:category>
        <w:types>
          <w:type w:val="bbPlcHdr"/>
        </w:types>
        <w:behaviors>
          <w:behavior w:val="content"/>
        </w:behaviors>
        <w:guid w:val="{8BC29B61-8326-46FB-838A-FF37AA24A3A7}"/>
      </w:docPartPr>
      <w:docPartBody>
        <w:p w:rsidR="00E77C7A" w:rsidRDefault="00E77C7A">
          <w:r w:rsidRPr="007E4A7E">
            <w:rPr>
              <w:rStyle w:val="PlaceholderText"/>
            </w:rPr>
            <w:t>enter REQUIRED text</w:t>
          </w:r>
        </w:p>
      </w:docPartBody>
    </w:docPart>
    <w:docPart>
      <w:docPartPr>
        <w:name w:val="A49BAAD0279A484AA697C8B922665F1C"/>
        <w:category>
          <w:name w:val="General"/>
          <w:gallery w:val="placeholder"/>
        </w:category>
        <w:types>
          <w:type w:val="bbPlcHdr"/>
        </w:types>
        <w:behaviors>
          <w:behavior w:val="content"/>
        </w:behaviors>
        <w:guid w:val="{098AB80D-4AEA-44F0-A75E-D7D9F61095E6}"/>
      </w:docPartPr>
      <w:docPartBody>
        <w:p w:rsidR="00E77C7A" w:rsidRDefault="00E77C7A">
          <w:r w:rsidRPr="007E4A7E">
            <w:rPr>
              <w:rStyle w:val="PlaceholderText"/>
            </w:rPr>
            <w:t>enter REQUIRED text</w:t>
          </w:r>
        </w:p>
      </w:docPartBody>
    </w:docPart>
    <w:docPart>
      <w:docPartPr>
        <w:name w:val="372F82AF19BC49DB89508C47F1812E5E"/>
        <w:category>
          <w:name w:val="General"/>
          <w:gallery w:val="placeholder"/>
        </w:category>
        <w:types>
          <w:type w:val="bbPlcHdr"/>
        </w:types>
        <w:behaviors>
          <w:behavior w:val="content"/>
        </w:behaviors>
        <w:guid w:val="{B4B1699D-2254-420B-B1C6-A5A30F1744C3}"/>
      </w:docPartPr>
      <w:docPartBody>
        <w:p w:rsidR="00E77C7A" w:rsidRDefault="00E77C7A">
          <w:r w:rsidRPr="007E4A7E">
            <w:rPr>
              <w:rStyle w:val="PlaceholderText"/>
            </w:rPr>
            <w:t>enter text</w:t>
          </w:r>
        </w:p>
      </w:docPartBody>
    </w:docPart>
    <w:docPart>
      <w:docPartPr>
        <w:name w:val="D3FDD32F5BF74360B943C3435AC12C74"/>
        <w:category>
          <w:name w:val="General"/>
          <w:gallery w:val="placeholder"/>
        </w:category>
        <w:types>
          <w:type w:val="bbPlcHdr"/>
        </w:types>
        <w:behaviors>
          <w:behavior w:val="content"/>
        </w:behaviors>
        <w:guid w:val="{323628A9-4311-4A35-A46C-D9153F75F37A}"/>
      </w:docPartPr>
      <w:docPartBody>
        <w:p w:rsidR="00E77C7A" w:rsidRDefault="00E77C7A">
          <w:r w:rsidRPr="007E4A7E">
            <w:rPr>
              <w:rStyle w:val="PlaceholderText"/>
            </w:rPr>
            <w:t>enter text</w:t>
          </w:r>
        </w:p>
      </w:docPartBody>
    </w:docPart>
    <w:docPart>
      <w:docPartPr>
        <w:name w:val="5E05674D7FF9488483C2655B515C82A9"/>
        <w:category>
          <w:name w:val="General"/>
          <w:gallery w:val="placeholder"/>
        </w:category>
        <w:types>
          <w:type w:val="bbPlcHdr"/>
        </w:types>
        <w:behaviors>
          <w:behavior w:val="content"/>
        </w:behaviors>
        <w:guid w:val="{710FB6E3-EDDE-409A-A7A1-41A51EAB8CC9}"/>
      </w:docPartPr>
      <w:docPartBody>
        <w:p w:rsidR="00E77C7A" w:rsidRDefault="00E77C7A">
          <w:r w:rsidRPr="007E4A7E">
            <w:rPr>
              <w:rStyle w:val="PlaceholderText"/>
            </w:rPr>
            <w:t>enter text</w:t>
          </w:r>
        </w:p>
      </w:docPartBody>
    </w:docPart>
    <w:docPart>
      <w:docPartPr>
        <w:name w:val="5B490397C80D4F27B94406DD071F75F9"/>
        <w:category>
          <w:name w:val="General"/>
          <w:gallery w:val="placeholder"/>
        </w:category>
        <w:types>
          <w:type w:val="bbPlcHdr"/>
        </w:types>
        <w:behaviors>
          <w:behavior w:val="content"/>
        </w:behaviors>
        <w:guid w:val="{9051E921-D2FB-41AB-9CF4-2B677AE57D2E}"/>
      </w:docPartPr>
      <w:docPartBody>
        <w:p w:rsidR="00E77C7A" w:rsidRDefault="00E77C7A">
          <w:r w:rsidRPr="007E4A7E">
            <w:rPr>
              <w:rStyle w:val="PlaceholderText"/>
            </w:rPr>
            <w:t>enter text</w:t>
          </w:r>
        </w:p>
      </w:docPartBody>
    </w:docPart>
    <w:docPart>
      <w:docPartPr>
        <w:name w:val="246754D8A7AE405686466F4B8AB2FF17"/>
        <w:category>
          <w:name w:val="General"/>
          <w:gallery w:val="placeholder"/>
        </w:category>
        <w:types>
          <w:type w:val="bbPlcHdr"/>
        </w:types>
        <w:behaviors>
          <w:behavior w:val="content"/>
        </w:behaviors>
        <w:guid w:val="{B077D977-2D82-47CA-AEAA-4047A1E55437}"/>
      </w:docPartPr>
      <w:docPartBody>
        <w:p w:rsidR="00E77C7A" w:rsidRDefault="00E77C7A">
          <w:r w:rsidRPr="007E4A7E">
            <w:rPr>
              <w:rStyle w:val="PlaceholderText"/>
            </w:rPr>
            <w:t>enter text</w:t>
          </w:r>
        </w:p>
      </w:docPartBody>
    </w:docPart>
    <w:docPart>
      <w:docPartPr>
        <w:name w:val="95B3A39754AB4EBF867123E4BCAFF864"/>
        <w:category>
          <w:name w:val="General"/>
          <w:gallery w:val="placeholder"/>
        </w:category>
        <w:types>
          <w:type w:val="bbPlcHdr"/>
        </w:types>
        <w:behaviors>
          <w:behavior w:val="content"/>
        </w:behaviors>
        <w:guid w:val="{2AB4A961-40C9-4B7D-A486-ABF79B41648A}"/>
      </w:docPartPr>
      <w:docPartBody>
        <w:p w:rsidR="00E77C7A" w:rsidRDefault="00E77C7A">
          <w:r w:rsidRPr="007E4A7E">
            <w:rPr>
              <w:rStyle w:val="PlaceholderText"/>
            </w:rPr>
            <w:t>enter text</w:t>
          </w:r>
        </w:p>
      </w:docPartBody>
    </w:docPart>
    <w:docPart>
      <w:docPartPr>
        <w:name w:val="503F179C12E547AEABA0D5CDC67CA5FB"/>
        <w:category>
          <w:name w:val="General"/>
          <w:gallery w:val="placeholder"/>
        </w:category>
        <w:types>
          <w:type w:val="bbPlcHdr"/>
        </w:types>
        <w:behaviors>
          <w:behavior w:val="content"/>
        </w:behaviors>
        <w:guid w:val="{1C704573-C9D8-451F-B171-24A5A9BF80FC}"/>
      </w:docPartPr>
      <w:docPartBody>
        <w:p w:rsidR="00E77C7A" w:rsidRDefault="00E77C7A">
          <w:r w:rsidRPr="007E4A7E">
            <w:rPr>
              <w:rStyle w:val="PlaceholderText"/>
            </w:rPr>
            <w:t>enter text</w:t>
          </w:r>
        </w:p>
      </w:docPartBody>
    </w:docPart>
    <w:docPart>
      <w:docPartPr>
        <w:name w:val="C449BBB536304ECB89EF1DD2D31D639F"/>
        <w:category>
          <w:name w:val="General"/>
          <w:gallery w:val="placeholder"/>
        </w:category>
        <w:types>
          <w:type w:val="bbPlcHdr"/>
        </w:types>
        <w:behaviors>
          <w:behavior w:val="content"/>
        </w:behaviors>
        <w:guid w:val="{3C78A86D-C96E-42C4-825E-F60CB5455F59}"/>
      </w:docPartPr>
      <w:docPartBody>
        <w:p w:rsidR="00E77C7A" w:rsidRDefault="00E77C7A">
          <w:r w:rsidRPr="007E4A7E">
            <w:rPr>
              <w:rStyle w:val="PlaceholderText"/>
            </w:rPr>
            <w:t>enter text</w:t>
          </w:r>
        </w:p>
      </w:docPartBody>
    </w:docPart>
    <w:docPart>
      <w:docPartPr>
        <w:name w:val="9B5AF4A3192B48BEB1655AA26E3F7764"/>
        <w:category>
          <w:name w:val="General"/>
          <w:gallery w:val="placeholder"/>
        </w:category>
        <w:types>
          <w:type w:val="bbPlcHdr"/>
        </w:types>
        <w:behaviors>
          <w:behavior w:val="content"/>
        </w:behaviors>
        <w:guid w:val="{456D698A-00EA-4FE5-B095-E84E35A6B695}"/>
      </w:docPartPr>
      <w:docPartBody>
        <w:p w:rsidR="00E77C7A" w:rsidRDefault="00E77C7A">
          <w:r w:rsidRPr="007E4A7E">
            <w:rPr>
              <w:rStyle w:val="PlaceholderText"/>
            </w:rPr>
            <w:t>choose an item (REQUIRED)</w:t>
          </w:r>
        </w:p>
      </w:docPartBody>
    </w:docPart>
    <w:docPart>
      <w:docPartPr>
        <w:name w:val="40D44E26C3E8421A9E0EA8801BDDE981"/>
        <w:category>
          <w:name w:val="General"/>
          <w:gallery w:val="placeholder"/>
        </w:category>
        <w:types>
          <w:type w:val="bbPlcHdr"/>
        </w:types>
        <w:behaviors>
          <w:behavior w:val="content"/>
        </w:behaviors>
        <w:guid w:val="{BB31D2F8-1B4B-44C6-BD5A-EBCF5BAA9252}"/>
      </w:docPartPr>
      <w:docPartBody>
        <w:p w:rsidR="00E77C7A" w:rsidRDefault="00E77C7A">
          <w:r w:rsidRPr="007E4A7E">
            <w:rPr>
              <w:rStyle w:val="PlaceholderText"/>
            </w:rPr>
            <w:t>enter text</w:t>
          </w:r>
        </w:p>
      </w:docPartBody>
    </w:docPart>
    <w:docPart>
      <w:docPartPr>
        <w:name w:val="1CB56A91F2114BCD9A9263D2909D798B"/>
        <w:category>
          <w:name w:val="General"/>
          <w:gallery w:val="placeholder"/>
        </w:category>
        <w:types>
          <w:type w:val="bbPlcHdr"/>
        </w:types>
        <w:behaviors>
          <w:behavior w:val="content"/>
        </w:behaviors>
        <w:guid w:val="{35E07AEB-98B6-47F9-A3B3-BBF67BF9DB19}"/>
      </w:docPartPr>
      <w:docPartBody>
        <w:p w:rsidR="00E77C7A" w:rsidRDefault="00E77C7A">
          <w:r w:rsidRPr="007E4A7E">
            <w:rPr>
              <w:rStyle w:val="PlaceholderText"/>
            </w:rPr>
            <w:t>enter text</w:t>
          </w:r>
        </w:p>
      </w:docPartBody>
    </w:docPart>
    <w:docPart>
      <w:docPartPr>
        <w:name w:val="0DD9D127A06E4369B6DE2107B9F15CC6"/>
        <w:category>
          <w:name w:val="General"/>
          <w:gallery w:val="placeholder"/>
        </w:category>
        <w:types>
          <w:type w:val="bbPlcHdr"/>
        </w:types>
        <w:behaviors>
          <w:behavior w:val="content"/>
        </w:behaviors>
        <w:guid w:val="{715B7C04-45CB-43B8-8742-6439525FE7A8}"/>
      </w:docPartPr>
      <w:docPartBody>
        <w:p w:rsidR="00E77C7A" w:rsidRDefault="00E77C7A">
          <w:r w:rsidRPr="007E4A7E">
            <w:rPr>
              <w:rStyle w:val="PlaceholderText"/>
            </w:rPr>
            <w:t>enter REQUIRED text</w:t>
          </w:r>
        </w:p>
      </w:docPartBody>
    </w:docPart>
    <w:docPart>
      <w:docPartPr>
        <w:name w:val="EAB01A623DC942FCAC9F9AE7050C7637"/>
        <w:category>
          <w:name w:val="General"/>
          <w:gallery w:val="placeholder"/>
        </w:category>
        <w:types>
          <w:type w:val="bbPlcHdr"/>
        </w:types>
        <w:behaviors>
          <w:behavior w:val="content"/>
        </w:behaviors>
        <w:guid w:val="{597F9BA2-311B-436E-A89B-110A24BC168E}"/>
      </w:docPartPr>
      <w:docPartBody>
        <w:p w:rsidR="00E77C7A" w:rsidRDefault="00E77C7A">
          <w:r w:rsidRPr="007E4A7E">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7A"/>
    <w:rsid w:val="001A2EA2"/>
    <w:rsid w:val="0067627F"/>
    <w:rsid w:val="00C26D08"/>
    <w:rsid w:val="00E7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C7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onversion.options xmlns="http://www.bna.com/gateway/conversion.options">
  <ns0:tables xmlns:ns0="http://www.bna.com/gateway/conversion.options" tag="smart"/>
</conversion.options>
</file>

<file path=customXml/item4.xml><?xml version="1.0" encoding="utf-8"?>
<document xmlns="http://www.bna.com/gateway/unit.start">
  <ns0:unit.start xmlns:ns0="http://www.bna.com/gateway/unit.start" copyright.owner="enter text" subpart.name="enter text" unit.code="main0009" unit.name="Chapter 9. The Meaning of Dilution Under Federal Dilution Law" folio="337" class.code="A" class.name="Book Body" bna.id.prefix="9" pdm.name="Chap09" part.num="2" part.name="Part II. Federal Dilution Law" publication.name="Trademark Dilution - Federal, State, and International Law, Second Edition" acct.code="TD2M20" date="2025-09-25" supplement="0" volume.num="1" service.code="td-book"/>
</document>
</file>

<file path=customXml/item5.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6.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100-book"/>
    <listitem value="hlbs2300-book"/>
    <listitem value="hlbs2400-book"/>
    <listitem value="hlbs2600-book"/>
    <listitem value="hlbs2650-book"/>
    <listitem value="hlbs2800-book"/>
    <listitem value="hlbs2900-book"/>
    <listitem value="hlbs33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Props1.xml><?xml version="1.0" encoding="utf-8"?>
<ds:datastoreItem xmlns:ds="http://schemas.openxmlformats.org/officeDocument/2006/customXml" ds:itemID="{25203738-0C39-41F2-B232-E9DAD00FD52D}">
  <ds:schemaRefs>
    <ds:schemaRef ds:uri="PortfolioServiceCodes"/>
  </ds:schemaRefs>
</ds:datastoreItem>
</file>

<file path=customXml/itemProps2.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3.xml><?xml version="1.0" encoding="utf-8"?>
<ds:datastoreItem xmlns:ds="http://schemas.openxmlformats.org/officeDocument/2006/customXml" ds:itemID="{DADA3C72-C4A8-40A7-A93D-753FF12AADFE}">
  <ds:schemaRefs>
    <ds:schemaRef ds:uri="http://www.bna.com/gateway/conversion.options"/>
  </ds:schemaRefs>
</ds:datastoreItem>
</file>

<file path=customXml/itemProps4.xml><?xml version="1.0" encoding="utf-8"?>
<ds:datastoreItem xmlns:ds="http://schemas.openxmlformats.org/officeDocument/2006/customXml" ds:itemID="{B04FCA99-13B0-422B-ADC9-9491644FA79D}">
  <ds:schemaRefs>
    <ds:schemaRef ds:uri="http://www.bna.com/gateway/unit.start"/>
  </ds:schemaRefs>
</ds:datastoreItem>
</file>

<file path=customXml/itemProps5.xml><?xml version="1.0" encoding="utf-8"?>
<ds:datastoreItem xmlns:ds="http://schemas.openxmlformats.org/officeDocument/2006/customXml" ds:itemID="{88E47CC7-89B1-4334-9439-A1F1C1083F4F}">
  <ds:schemaRefs>
    <ds:schemaRef ds:uri="ReferenceServiceCodes"/>
  </ds:schemaRefs>
</ds:datastoreItem>
</file>

<file path=customXml/itemProps6.xml><?xml version="1.0" encoding="utf-8"?>
<ds:datastoreItem xmlns:ds="http://schemas.openxmlformats.org/officeDocument/2006/customXml" ds:itemID="{438364F0-8022-49DD-ACD0-F4F06AB21D4B}">
  <ds:schemaRefs>
    <ds:schemaRef ds:uri="Book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BPub_Prep.dotm</Template>
  <TotalTime>0</TotalTime>
  <Pages>121</Pages>
  <Words>43013</Words>
  <Characters>227855</Characters>
  <Application>Microsoft Office Word</Application>
  <DocSecurity>0</DocSecurity>
  <Lines>1898</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2025-09-25T20:44:00Z</dcterms:created>
  <dcterms:modified xsi:type="dcterms:W3CDTF">2025-09-27T02:08:00Z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