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16AC" w14:textId="77777777" w:rsidR="003C5CBB" w:rsidRPr="003C5CBB" w:rsidRDefault="00E55D20" w:rsidP="009332C5">
      <w:pPr>
        <w:pStyle w:val="BDocStart"/>
      </w:pPr>
      <w:sdt>
        <w:sdtPr>
          <w:tag w:val="unit.start.head"/>
          <w:id w:val="-569266337"/>
          <w:lock w:val="sdtLocked"/>
          <w:placeholder>
            <w:docPart w:val="F5F05FB031324C1F97FA756C61FD882C"/>
          </w:placeholder>
          <w15:appearance w15:val="hidden"/>
        </w:sdtPr>
        <w:sdtEndPr/>
        <w:sdtContent>
          <w:r w:rsidR="009332C5">
            <w:t>Unit.Start</w:t>
          </w:r>
        </w:sdtContent>
      </w:sdt>
    </w:p>
    <w:sdt>
      <w:sdtPr>
        <w:rPr>
          <w:rStyle w:val="BContentControl"/>
        </w:rPr>
        <w:alias w:val="unit.start"/>
        <w:tag w:val="Unit1"/>
        <w:id w:val="846758231"/>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23EF08F8" w14:textId="6D6B78F5" w:rsidR="003C5CBB" w:rsidRPr="003C5CBB" w:rsidRDefault="00E55D20" w:rsidP="009332C5">
          <w:pPr>
            <w:pStyle w:val="BNormal"/>
          </w:pPr>
          <w:sdt>
            <w:sdtPr>
              <w:rPr>
                <w:rStyle w:val="BContentControl"/>
              </w:rPr>
              <w:alias w:val="acct.code"/>
              <w:tag w:val="acct.code"/>
              <w:id w:val="-637565731"/>
              <w:lock w:val="sdtLocked"/>
              <w:placeholder>
                <w:docPart w:val="F7EA3D5F3EBF4985A365D24A37535E19"/>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9332C5">
                <w:rPr>
                  <w:rStyle w:val="BContentControl"/>
                </w:rPr>
                <w:t>TD2M20</w:t>
              </w:r>
            </w:sdtContent>
          </w:sdt>
          <w:sdt>
            <w:sdtPr>
              <w:rPr>
                <w:rStyle w:val="BContentControl"/>
              </w:rPr>
              <w:alias w:val="bna.id.prefix"/>
              <w:tag w:val="bna.id.prefix"/>
              <w:id w:val="-1822725632"/>
              <w:lock w:val="sdtLocked"/>
              <w:placeholder>
                <w:docPart w:val="8DC2000D82CE447FA9D5303DBF06C87B"/>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9332C5">
                <w:rPr>
                  <w:rStyle w:val="BContentControl"/>
                </w:rPr>
                <w:t>8</w:t>
              </w:r>
            </w:sdtContent>
          </w:sdt>
          <w:r w:rsidR="009332C5" w:rsidRPr="009332C5">
            <w:rPr>
              <w:rStyle w:val="BContentControl"/>
            </w:rPr>
            <w:t xml:space="preserve"> </w:t>
          </w:r>
          <w:sdt>
            <w:sdtPr>
              <w:rPr>
                <w:rStyle w:val="BContentControl"/>
              </w:rPr>
              <w:alias w:val="class.code*"/>
              <w:tag w:val="class.code"/>
              <w:id w:val="548726195"/>
              <w:lock w:val="sdtLocked"/>
              <w:placeholder>
                <w:docPart w:val="5762314B17A045B6B5ED92286AE04848"/>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9332C5">
                <w:rPr>
                  <w:rStyle w:val="BContentControl"/>
                </w:rPr>
                <w:t>A</w:t>
              </w:r>
            </w:sdtContent>
          </w:sdt>
          <w:r w:rsidR="009332C5" w:rsidRPr="009332C5">
            <w:rPr>
              <w:rStyle w:val="BContentControl"/>
            </w:rPr>
            <w:t xml:space="preserve"> </w:t>
          </w:r>
          <w:sdt>
            <w:sdtPr>
              <w:rPr>
                <w:rStyle w:val="BContentControl"/>
              </w:rPr>
              <w:alias w:val="class.name*"/>
              <w:tag w:val="class.name"/>
              <w:id w:val="-1942907531"/>
              <w:lock w:val="sdtLocked"/>
              <w:placeholder>
                <w:docPart w:val="7C0673686D0F48BF9B989BDC7AC9E753"/>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9332C5">
                <w:rPr>
                  <w:rStyle w:val="BContentControl"/>
                </w:rPr>
                <w:t>Book Body</w:t>
              </w:r>
            </w:sdtContent>
          </w:sdt>
          <w:r w:rsidR="009332C5" w:rsidRPr="009332C5">
            <w:rPr>
              <w:rStyle w:val="BContentControl"/>
            </w:rPr>
            <w:t xml:space="preserve"> </w:t>
          </w:r>
          <w:sdt>
            <w:sdtPr>
              <w:rPr>
                <w:rStyle w:val="BContentControl"/>
              </w:rPr>
              <w:alias w:val="copyright.owner"/>
              <w:tag w:val="copyright.owner"/>
              <w:id w:val="2011401954"/>
              <w:lock w:val="sdtLocked"/>
              <w:placeholder>
                <w:docPart w:val="F855EC82FA104837AF9AB76647B55AFD"/>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9332C5" w:rsidRPr="009332C5">
                <w:rPr>
                  <w:rStyle w:val="BContentControl"/>
                </w:rPr>
                <w:t>enter text</w:t>
              </w:r>
            </w:sdtContent>
          </w:sdt>
          <w:r w:rsidR="009332C5" w:rsidRPr="009332C5">
            <w:rPr>
              <w:rStyle w:val="BContentControl"/>
            </w:rPr>
            <w:t xml:space="preserve"> </w:t>
          </w:r>
          <w:sdt>
            <w:sdtPr>
              <w:rPr>
                <w:rStyle w:val="BContentControl"/>
              </w:rPr>
              <w:alias w:val="date"/>
              <w:tag w:val="date"/>
              <w:id w:val="-1888407684"/>
              <w:lock w:val="sdtLocked"/>
              <w:placeholder>
                <w:docPart w:val="4396D7D684EA41ED8974838AF61AAE14"/>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9332C5">
                <w:rPr>
                  <w:rStyle w:val="BContentControl"/>
                </w:rPr>
                <w:t>2025-09-25</w:t>
              </w:r>
            </w:sdtContent>
          </w:sdt>
          <w:r w:rsidR="009332C5" w:rsidRPr="009332C5">
            <w:rPr>
              <w:rStyle w:val="BContentControl"/>
            </w:rPr>
            <w:t xml:space="preserve"> </w:t>
          </w:r>
          <w:sdt>
            <w:sdtPr>
              <w:rPr>
                <w:rStyle w:val="BContentControl"/>
              </w:rPr>
              <w:alias w:val="folio"/>
              <w:tag w:val="folio"/>
              <w:id w:val="153652935"/>
              <w:lock w:val="sdtLocked"/>
              <w:placeholder>
                <w:docPart w:val="3B445C9A0F63450CBB47CD7FD8249240"/>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9332C5">
                <w:rPr>
                  <w:rStyle w:val="BContentControl"/>
                </w:rPr>
                <w:t>261</w:t>
              </w:r>
            </w:sdtContent>
          </w:sdt>
          <w:r w:rsidR="009332C5" w:rsidRPr="009332C5">
            <w:rPr>
              <w:rStyle w:val="BContentControl"/>
            </w:rPr>
            <w:t xml:space="preserve"> </w:t>
          </w:r>
          <w:sdt>
            <w:sdtPr>
              <w:rPr>
                <w:rStyle w:val="BContentControl"/>
              </w:rPr>
              <w:alias w:val="part.name"/>
              <w:tag w:val="part.name"/>
              <w:id w:val="-1938589573"/>
              <w:lock w:val="sdtLocked"/>
              <w:placeholder>
                <w:docPart w:val="47044BA6D57B4380A7E83195046BD1F6"/>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3C5CBB" w:rsidRPr="003C5CBB">
                <w:rPr>
                  <w:rStyle w:val="BContentControl"/>
                </w:rPr>
                <w:t>Part II. Federal Dilution Law</w:t>
              </w:r>
            </w:sdtContent>
          </w:sdt>
          <w:r w:rsidR="009332C5" w:rsidRPr="009332C5">
            <w:rPr>
              <w:rStyle w:val="BContentControl"/>
            </w:rPr>
            <w:t xml:space="preserve"> </w:t>
          </w:r>
          <w:sdt>
            <w:sdtPr>
              <w:rPr>
                <w:rStyle w:val="BContentControl"/>
              </w:rPr>
              <w:alias w:val="part.num"/>
              <w:tag w:val="part.num"/>
              <w:id w:val="1739971582"/>
              <w:lock w:val="sdtLocked"/>
              <w:placeholder>
                <w:docPart w:val="77D3427F08DB4417B945BB01211B6540"/>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9332C5">
                <w:rPr>
                  <w:rStyle w:val="BContentControl"/>
                </w:rPr>
                <w:t>2</w:t>
              </w:r>
            </w:sdtContent>
          </w:sdt>
          <w:r w:rsidR="009332C5" w:rsidRPr="009332C5">
            <w:rPr>
              <w:rStyle w:val="BContentControl"/>
            </w:rPr>
            <w:t xml:space="preserve"> </w:t>
          </w:r>
          <w:sdt>
            <w:sdtPr>
              <w:rPr>
                <w:rStyle w:val="BContentControl"/>
              </w:rPr>
              <w:alias w:val="subpart.name"/>
              <w:tag w:val="subpart.name"/>
              <w:id w:val="282768628"/>
              <w:lock w:val="sdtLocked"/>
              <w:placeholder>
                <w:docPart w:val="A20DCA04B81C498D88DF9930E00C4B77"/>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9332C5" w:rsidRPr="009332C5">
                <w:rPr>
                  <w:rStyle w:val="BContentControl"/>
                </w:rPr>
                <w:t>enter text</w:t>
              </w:r>
            </w:sdtContent>
          </w:sdt>
          <w:r w:rsidR="009332C5" w:rsidRPr="009332C5">
            <w:rPr>
              <w:rStyle w:val="BContentControl"/>
            </w:rPr>
            <w:t xml:space="preserve"> </w:t>
          </w:r>
          <w:sdt>
            <w:sdtPr>
              <w:rPr>
                <w:rStyle w:val="BContentControl"/>
              </w:rPr>
              <w:alias w:val="pdm.name"/>
              <w:tag w:val="pdm.name"/>
              <w:id w:val="-1824805859"/>
              <w:lock w:val="sdtLocked"/>
              <w:placeholder>
                <w:docPart w:val="E28EC9B6EAF241EF9AF6B235AAD8479B"/>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9332C5">
                <w:rPr>
                  <w:rStyle w:val="BContentControl"/>
                </w:rPr>
                <w:t>Chap08</w:t>
              </w:r>
            </w:sdtContent>
          </w:sdt>
          <w:r w:rsidR="009332C5" w:rsidRPr="009332C5">
            <w:rPr>
              <w:rStyle w:val="BContentControl"/>
            </w:rPr>
            <w:t xml:space="preserve"> </w:t>
          </w:r>
          <w:sdt>
            <w:sdtPr>
              <w:rPr>
                <w:rStyle w:val="BContentControl"/>
              </w:rPr>
              <w:alias w:val="publication.name"/>
              <w:tag w:val="publication.name"/>
              <w:id w:val="90893211"/>
              <w:lock w:val="sdtLocked"/>
              <w:placeholder>
                <w:docPart w:val="A615BD327359406983F3AC766ABF9DA0"/>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9332C5">
                <w:rPr>
                  <w:rStyle w:val="BContentControl"/>
                </w:rPr>
                <w:t>Trademark Dilution - Federal, State, and International Law, Second Edition</w:t>
              </w:r>
            </w:sdtContent>
          </w:sdt>
          <w:r w:rsidR="009332C5" w:rsidRPr="009332C5">
            <w:rPr>
              <w:rStyle w:val="BContentControl"/>
            </w:rPr>
            <w:t xml:space="preserve"> </w:t>
          </w:r>
          <w:sdt>
            <w:sdtPr>
              <w:rPr>
                <w:rStyle w:val="BContentControl"/>
              </w:rPr>
              <w:alias w:val="service.code*"/>
              <w:tag w:val="mUnit1"/>
              <w:id w:val="1956289645"/>
              <w:lock w:val="sdtLocked"/>
              <w:placeholder>
                <w:docPart w:val="DECBBB20A9DF4BF4AB83AB521174B02A"/>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9332C5">
                <w:rPr>
                  <w:rStyle w:val="BContentControl"/>
                </w:rPr>
                <w:t>td-book</w:t>
              </w:r>
            </w:sdtContent>
          </w:sdt>
          <w:r w:rsidR="009332C5" w:rsidRPr="009332C5">
            <w:rPr>
              <w:rStyle w:val="BContentControl"/>
            </w:rPr>
            <w:t xml:space="preserve"> </w:t>
          </w:r>
          <w:sdt>
            <w:sdtPr>
              <w:rPr>
                <w:rStyle w:val="BContentControl"/>
              </w:rPr>
              <w:alias w:val="supplement"/>
              <w:tag w:val="supplement"/>
              <w:id w:val="648178867"/>
              <w:lock w:val="sdtLocked"/>
              <w:placeholder>
                <w:docPart w:val="4F4E87500A9441159640B48FB8F6EADA"/>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9332C5">
                <w:rPr>
                  <w:rStyle w:val="BContentControl"/>
                </w:rPr>
                <w:t>0</w:t>
              </w:r>
            </w:sdtContent>
          </w:sdt>
          <w:r w:rsidR="009332C5" w:rsidRPr="009332C5">
            <w:rPr>
              <w:rStyle w:val="BContentControl"/>
            </w:rPr>
            <w:t xml:space="preserve"> </w:t>
          </w:r>
          <w:sdt>
            <w:sdtPr>
              <w:rPr>
                <w:rStyle w:val="BContentControl"/>
              </w:rPr>
              <w:alias w:val="unit.code"/>
              <w:tag w:val="unit.code"/>
              <w:id w:val="744455801"/>
              <w:lock w:val="sdtLocked"/>
              <w:placeholder>
                <w:docPart w:val="2B6EEEC2EF65472FB6AF500F3130FDA4"/>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9332C5">
                <w:rPr>
                  <w:rStyle w:val="BContentControl"/>
                </w:rPr>
                <w:t>main0008</w:t>
              </w:r>
            </w:sdtContent>
          </w:sdt>
          <w:r w:rsidR="009332C5" w:rsidRPr="009332C5">
            <w:rPr>
              <w:rStyle w:val="BContentControl"/>
            </w:rPr>
            <w:t xml:space="preserve"> </w:t>
          </w:r>
          <w:sdt>
            <w:sdtPr>
              <w:rPr>
                <w:rStyle w:val="BContentControl"/>
              </w:rPr>
              <w:alias w:val="unit.name*"/>
              <w:tag w:val="unit.name"/>
              <w:id w:val="22210922"/>
              <w:lock w:val="sdtLocked"/>
              <w:placeholder>
                <w:docPart w:val="88E99134EF2E4B19A1AAEBA51CE19B00"/>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3C5CBB" w:rsidRPr="003C5CBB">
                <w:rPr>
                  <w:rStyle w:val="BContentControl"/>
                </w:rPr>
                <w:t>Chapter 8. The Requirement of a Famous Mark Under Federal Dilution Law</w:t>
              </w:r>
            </w:sdtContent>
          </w:sdt>
          <w:r w:rsidR="009332C5" w:rsidRPr="009332C5">
            <w:rPr>
              <w:rStyle w:val="BContentControl"/>
            </w:rPr>
            <w:t xml:space="preserve"> </w:t>
          </w:r>
          <w:sdt>
            <w:sdtPr>
              <w:rPr>
                <w:rStyle w:val="BContentControl"/>
              </w:rPr>
              <w:alias w:val="volume.num"/>
              <w:tag w:val="volume.num"/>
              <w:id w:val="894234440"/>
              <w:lock w:val="sdtLocked"/>
              <w:placeholder>
                <w:docPart w:val="6B48B39BF5A44E6D805F4D38159922E7"/>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9332C5">
                <w:rPr>
                  <w:rStyle w:val="BContentControl"/>
                </w:rPr>
                <w:t>1</w:t>
              </w:r>
            </w:sdtContent>
          </w:sdt>
        </w:p>
        <w:bookmarkEnd w:id="0" w:displacedByCustomXml="next"/>
      </w:sdtContent>
    </w:sdt>
    <w:p w14:paraId="63DF2035" w14:textId="77777777" w:rsidR="003C5CBB" w:rsidRPr="003C5CBB" w:rsidRDefault="00E55D20" w:rsidP="009332C5">
      <w:pPr>
        <w:pStyle w:val="BDocStart"/>
      </w:pPr>
      <w:sdt>
        <w:sdtPr>
          <w:tag w:val="DocStart"/>
          <w:id w:val="784922966"/>
          <w:lock w:val="sdtLocked"/>
          <w:placeholder>
            <w:docPart w:val="0A8673CC332B432182C98FC58E2327A0"/>
          </w:placeholder>
          <w15:appearance w15:val="hidden"/>
        </w:sdtPr>
        <w:sdtEndPr/>
        <w:sdtContent>
          <w:r w:rsidR="009332C5">
            <w:t>Document</w:t>
          </w:r>
        </w:sdtContent>
      </w:sdt>
    </w:p>
    <w:p w14:paraId="0D9B9D5E" w14:textId="1639A209" w:rsidR="003C5CBB" w:rsidRPr="003C5CBB" w:rsidRDefault="00634BAE" w:rsidP="008B3068">
      <w:pPr>
        <w:pStyle w:val="BChapterName"/>
      </w:pPr>
      <w:r w:rsidRPr="003C5CBB">
        <w:t>Chapter 8</w:t>
      </w:r>
      <w:r w:rsidR="003C5CBB" w:rsidRPr="003C5CBB">
        <w:t>. T</w:t>
      </w:r>
      <w:r w:rsidRPr="003C5CBB">
        <w:t>he Requirement of a Famous Mark Under Federal Dilution Law</w:t>
      </w:r>
    </w:p>
    <w:p w14:paraId="22CA4CEE" w14:textId="05AE22FC" w:rsidR="003C5CBB" w:rsidRPr="003C5CBB" w:rsidRDefault="003C5CBB" w:rsidP="003C5CBB">
      <w:pPr>
        <w:pStyle w:val="BNormal"/>
      </w:pPr>
      <w:r w:rsidRPr="003C5CBB">
        <w:rPr>
          <w:i/>
        </w:rPr>
        <w:t>This chapter is current through May 2025.</w:t>
      </w:r>
    </w:p>
    <w:p w14:paraId="4B387681" w14:textId="2D192EAB" w:rsidR="003C5CBB" w:rsidRPr="003C5CBB" w:rsidRDefault="003C5CBB" w:rsidP="003C5CBB">
      <w:pPr>
        <w:pStyle w:val="BNormal"/>
      </w:pPr>
      <w:hyperlink r:id="rId13" w:history="1">
        <w:r w:rsidRPr="003C5CBB">
          <w:rPr>
            <w:rStyle w:val="Hyperlink"/>
          </w:rPr>
          <w:t>David Welkowitz</w:t>
        </w:r>
      </w:hyperlink>
      <w:r w:rsidRPr="003C5CBB">
        <w:rPr>
          <w:rFonts w:eastAsiaTheme="majorEastAsia"/>
          <w:vertAlign w:val="superscript"/>
        </w:rPr>
        <w:footnoteReference w:id="1"/>
      </w:r>
      <w:r w:rsidR="008B3068">
        <w:br/>
      </w:r>
      <w:r w:rsidRPr="003C5CBB">
        <w:rPr>
          <w:i/>
        </w:rPr>
        <w:t>Whittier Law School</w:t>
      </w:r>
    </w:p>
    <w:p w14:paraId="6A2FF442" w14:textId="5099DA1E" w:rsidR="003C5CBB" w:rsidRPr="003C5CBB" w:rsidRDefault="00634BAE" w:rsidP="003C5CBB">
      <w:pPr>
        <w:pStyle w:val="BNormal"/>
      </w:pPr>
      <w:r w:rsidRPr="003C5CBB">
        <w:t>Disclaimer</w:t>
      </w:r>
      <w:r w:rsidR="003C5CBB" w:rsidRPr="003C5CBB">
        <w:t>: T</w:t>
      </w:r>
      <w:r w:rsidRPr="003C5CBB">
        <w:t>he opinions expressed here are solely those of the author and should not be construed as representing the opinions, directly or indirectly, of the U.S</w:t>
      </w:r>
      <w:r w:rsidR="003C5CBB" w:rsidRPr="003C5CBB">
        <w:t>. C</w:t>
      </w:r>
      <w:r w:rsidRPr="003C5CBB">
        <w:t>opyright Office.</w:t>
      </w:r>
    </w:p>
    <w:p w14:paraId="33D681C7" w14:textId="685368F1" w:rsidR="003C5CBB" w:rsidRPr="003C5CBB" w:rsidRDefault="008B3068" w:rsidP="008B3068">
      <w:pPr>
        <w:pStyle w:val="BHead1"/>
      </w:pPr>
      <w:r>
        <w:t>8.</w:t>
      </w:r>
      <w:r w:rsidR="003C5CBB" w:rsidRPr="008B3068">
        <w:rPr>
          <w:rStyle w:val="BBNAidChar"/>
          <w:rFonts w:eastAsiaTheme="majorEastAsia"/>
        </w:rPr>
        <w:t>I</w:t>
      </w:r>
      <w:r w:rsidR="003C5CBB" w:rsidRPr="003C5CBB">
        <w:t>.</w:t>
      </w:r>
      <w:r>
        <w:t xml:space="preserve">  </w:t>
      </w:r>
      <w:r w:rsidR="003C5CBB" w:rsidRPr="003C5CBB">
        <w:t>Mark Must be “Famous” for Federal</w:t>
      </w:r>
      <w:r w:rsidR="003C5CBB">
        <w:t xml:space="preserve"> </w:t>
      </w:r>
      <w:r w:rsidR="003C5CBB" w:rsidRPr="003C5CBB">
        <w:t>Dilution Law to Apply</w:t>
      </w:r>
    </w:p>
    <w:p w14:paraId="32F8C70D" w14:textId="62EDD50B" w:rsidR="003C5CBB" w:rsidRPr="003C5CBB" w:rsidRDefault="008B3068" w:rsidP="008B3068">
      <w:pPr>
        <w:pStyle w:val="BHead2"/>
      </w:pPr>
      <w:r>
        <w:t>8.I.</w:t>
      </w:r>
      <w:r w:rsidR="003C5CBB" w:rsidRPr="008B3068">
        <w:rPr>
          <w:rStyle w:val="BBNAidChar"/>
          <w:rFonts w:eastAsiaTheme="majorEastAsia"/>
        </w:rPr>
        <w:t>A</w:t>
      </w:r>
      <w:r w:rsidR="003C5CBB" w:rsidRPr="003C5CBB">
        <w:t>.</w:t>
      </w:r>
      <w:r>
        <w:t> </w:t>
      </w:r>
      <w:r w:rsidR="003C5CBB" w:rsidRPr="003C5CBB">
        <w:tab/>
        <w:t>The Limited Universe of Federal Protection: Only Famous Marks</w:t>
      </w:r>
    </w:p>
    <w:p w14:paraId="42E7976E" w14:textId="7F334295" w:rsidR="003C5CBB" w:rsidRPr="003C5CBB" w:rsidRDefault="00634BAE" w:rsidP="003C5CBB">
      <w:pPr>
        <w:pStyle w:val="BNormal"/>
      </w:pPr>
      <w:r w:rsidRPr="003C5CBB">
        <w:t>A critical dimension of dilution protection is the universe of marks eligible for this extraordinary remedy</w:t>
      </w:r>
      <w:r w:rsidR="003C5CBB" w:rsidRPr="003C5CBB">
        <w:t>. F</w:t>
      </w:r>
      <w:r w:rsidRPr="003C5CBB">
        <w:t>rank Schechter’s original vision was that only “coined” marks would be eligible.</w:t>
      </w:r>
      <w:r w:rsidR="003C5CBB" w:rsidRPr="003C5CBB">
        <w:rPr>
          <w:vertAlign w:val="superscript"/>
        </w:rPr>
        <w:footnoteReference w:id="2"/>
      </w:r>
      <w:r w:rsidRPr="003C5CBB">
        <w:t xml:space="preserve"> The earliest state dilution laws did not specify the parameters of eligibility, beyond an inferential requirement that the mark have “distinctive quality.”</w:t>
      </w:r>
      <w:r w:rsidR="003C5CBB" w:rsidRPr="003C5CBB">
        <w:rPr>
          <w:vertAlign w:val="superscript"/>
        </w:rPr>
        <w:footnoteReference w:id="3"/>
      </w:r>
      <w:r w:rsidRPr="003C5CBB">
        <w:t xml:space="preserve"> The federal statute, however, is more explicit</w:t>
      </w:r>
      <w:r w:rsidR="003C5CBB" w:rsidRPr="003C5CBB">
        <w:t>: i</w:t>
      </w:r>
      <w:r w:rsidRPr="003C5CBB">
        <w:t>t limits its protection to “famous” marks.</w:t>
      </w:r>
    </w:p>
    <w:p w14:paraId="789CF2D8" w14:textId="5D2A617D" w:rsidR="003C5CBB" w:rsidRPr="003C5CBB" w:rsidRDefault="00634BAE" w:rsidP="003C5CBB">
      <w:pPr>
        <w:pStyle w:val="BNormal"/>
      </w:pPr>
      <w:r w:rsidRPr="003C5CBB">
        <w:t>The first sentence of Section 43(c) of the Lanham Act begins as follows</w:t>
      </w:r>
      <w:r w:rsidR="003C5CBB" w:rsidRPr="003C5CBB">
        <w:t>: “</w:t>
      </w:r>
      <w:r w:rsidRPr="003C5CBB">
        <w:t xml:space="preserve">Subject to the principles of equity, the owner of a </w:t>
      </w:r>
      <w:r w:rsidR="003C5CBB" w:rsidRPr="003C5CBB">
        <w:rPr>
          <w:i/>
        </w:rPr>
        <w:t>famous mark</w:t>
      </w:r>
      <w:r w:rsidR="003C5CBB" w:rsidRPr="003C5CBB">
        <w:t xml:space="preserve"> </w:t>
      </w:r>
      <w:r w:rsidRPr="003C5CBB">
        <w:t>…</w:t>
      </w:r>
      <w:r w:rsidR="003C5CBB" w:rsidRPr="003C5CBB">
        <w:t xml:space="preserve"> </w:t>
      </w:r>
      <w:r w:rsidRPr="003C5CBB">
        <w:t>shall be entitled to an injunction</w:t>
      </w:r>
      <w:r w:rsidR="003C5CBB" w:rsidRPr="003C5CBB">
        <w:t xml:space="preserve"> </w:t>
      </w:r>
      <w:r w:rsidRPr="003C5CBB">
        <w:t>…</w:t>
      </w:r>
      <w:r w:rsidR="003C5CBB" w:rsidRPr="003C5CBB">
        <w:t xml:space="preserve"> </w:t>
      </w:r>
      <w:r w:rsidRPr="003C5CBB">
        <w:t>.”</w:t>
      </w:r>
      <w:r w:rsidR="003C5CBB" w:rsidRPr="003C5CBB">
        <w:rPr>
          <w:vertAlign w:val="superscript"/>
        </w:rPr>
        <w:footnoteReference w:id="4"/>
      </w:r>
      <w:r w:rsidRPr="003C5CBB">
        <w:t xml:space="preserve"> Thus, the prerequisite to any determination </w:t>
      </w:r>
      <w:r w:rsidRPr="003C5CBB">
        <w:lastRenderedPageBreak/>
        <w:t xml:space="preserve">under the federal dilution law of whether a second user’s mark dilutes that of the first user is the existence of a “famous mark.” Without that, the remedy </w:t>
      </w:r>
      <w:proofErr w:type="gramStart"/>
      <w:r w:rsidRPr="003C5CBB">
        <w:t>of</w:t>
      </w:r>
      <w:proofErr w:type="gramEnd"/>
      <w:r w:rsidRPr="003C5CBB">
        <w:t xml:space="preserve"> dilution is unavailable</w:t>
      </w:r>
      <w:r w:rsidR="003C5CBB" w:rsidRPr="003C5CBB">
        <w:t>. I</w:t>
      </w:r>
      <w:r w:rsidRPr="003C5CBB">
        <w:t>t is appropriate, then, to begin our analysis of the statute by asking what Congress intended when it limited the statute to “famous” marks.</w:t>
      </w:r>
    </w:p>
    <w:p w14:paraId="53A28106" w14:textId="6FC13C2B" w:rsidR="003C5CBB" w:rsidRPr="003C5CBB" w:rsidRDefault="00634BAE" w:rsidP="003C5CBB">
      <w:pPr>
        <w:pStyle w:val="BNormal"/>
      </w:pPr>
      <w:r w:rsidRPr="003C5CBB">
        <w:t>It appears from the legislative history of the Federal Trademark Dilution Act of 1995 (FTDA)</w:t>
      </w:r>
      <w:r w:rsidR="003C5CBB" w:rsidRPr="003C5CBB">
        <w:rPr>
          <w:vertAlign w:val="superscript"/>
        </w:rPr>
        <w:footnoteReference w:id="5"/>
      </w:r>
      <w:r w:rsidRPr="003C5CBB">
        <w:t xml:space="preserve"> that Congress intended to single out only the strongest marks for protection from dilution.</w:t>
      </w:r>
      <w:r w:rsidR="003C5CBB" w:rsidRPr="003C5CBB">
        <w:rPr>
          <w:vertAlign w:val="superscript"/>
        </w:rPr>
        <w:footnoteReference w:id="6"/>
      </w:r>
      <w:r w:rsidRPr="003C5CBB">
        <w:t xml:space="preserve"> The 1987 proposal of the Review Commission of the United States Trademark Association (USTA), which begat the FTDA, stated that the FTDA was to be “a narrowly drawn dilution section [added] to the Lanham Act, protecting only registered marks which have become famous throughout a substantial portion of the United States.”</w:t>
      </w:r>
      <w:r w:rsidR="003C5CBB" w:rsidRPr="003C5CBB">
        <w:rPr>
          <w:vertAlign w:val="superscript"/>
        </w:rPr>
        <w:footnoteReference w:id="7"/>
      </w:r>
      <w:r w:rsidRPr="003C5CBB">
        <w:t xml:space="preserve"> The proposal further stated, “The requirement of fame reflects the view of the [USTA] Commission that dilution protection should be confined to marks which are both distinctive</w:t>
      </w:r>
      <w:r w:rsidR="003C5CBB" w:rsidRPr="003C5CBB">
        <w:t xml:space="preserve"> </w:t>
      </w:r>
      <w:r w:rsidRPr="003C5CBB">
        <w:t>…</w:t>
      </w:r>
      <w:r w:rsidR="003C5CBB" w:rsidRPr="003C5CBB">
        <w:t xml:space="preserve"> </w:t>
      </w:r>
      <w:r w:rsidRPr="003C5CBB">
        <w:t>and famous, as established by separate evidence [from distinctiveness].”</w:t>
      </w:r>
      <w:r w:rsidR="003C5CBB" w:rsidRPr="003C5CBB">
        <w:rPr>
          <w:vertAlign w:val="superscript"/>
        </w:rPr>
        <w:footnoteReference w:id="8"/>
      </w:r>
    </w:p>
    <w:p w14:paraId="5F6B9770" w14:textId="3CD5EA3E" w:rsidR="003C5CBB" w:rsidRPr="003C5CBB" w:rsidRDefault="00634BAE" w:rsidP="003C5CBB">
      <w:pPr>
        <w:pStyle w:val="BNormal"/>
      </w:pPr>
      <w:r w:rsidRPr="003C5CBB">
        <w:t>Congress apparently agreed</w:t>
      </w:r>
      <w:r w:rsidR="003C5CBB" w:rsidRPr="003C5CBB">
        <w:t>: t</w:t>
      </w:r>
      <w:r w:rsidRPr="003C5CBB">
        <w:t>he FTDA provided protection from dilution only for marks that were “famous,” and its successor, the Trademark Dilution Revision Act (TDRA),</w:t>
      </w:r>
      <w:r w:rsidR="003C5CBB" w:rsidRPr="003C5CBB">
        <w:rPr>
          <w:vertAlign w:val="superscript"/>
        </w:rPr>
        <w:footnoteReference w:id="9"/>
      </w:r>
      <w:r w:rsidRPr="003C5CBB">
        <w:t xml:space="preserve"> does the same</w:t>
      </w:r>
      <w:r w:rsidR="003C5CBB" w:rsidRPr="003C5CBB">
        <w:t>. F</w:t>
      </w:r>
      <w:r w:rsidRPr="003C5CBB">
        <w:t xml:space="preserve">ame, however, is not only fleeting, </w:t>
      </w:r>
      <w:proofErr w:type="gramStart"/>
      <w:r w:rsidRPr="003C5CBB">
        <w:t>it is</w:t>
      </w:r>
      <w:proofErr w:type="gramEnd"/>
      <w:r w:rsidRPr="003C5CBB">
        <w:t xml:space="preserve"> difficult to define</w:t>
      </w:r>
      <w:r w:rsidR="003C5CBB" w:rsidRPr="003C5CBB">
        <w:t>. B</w:t>
      </w:r>
      <w:r w:rsidRPr="003C5CBB">
        <w:t>ecause of its threshold position in the dilution analysis, it is important that the concept be both understandable and circumscribed in a manner consistent with the intent of Congress</w:t>
      </w:r>
      <w:r w:rsidR="003C5CBB" w:rsidRPr="003C5CBB">
        <w:t>. U</w:t>
      </w:r>
      <w:r w:rsidRPr="003C5CBB">
        <w:t>nfortunately, the issue of fame has not led to consistent or easily comprehensible results.</w:t>
      </w:r>
    </w:p>
    <w:p w14:paraId="62F01BA5" w14:textId="076CEDC7" w:rsidR="003C5CBB" w:rsidRPr="003C5CBB" w:rsidRDefault="00634BAE" w:rsidP="003C5CBB">
      <w:pPr>
        <w:pStyle w:val="BNormal"/>
      </w:pPr>
      <w:r w:rsidRPr="003C5CBB">
        <w:t>The TDRA defines a famous mark as follows</w:t>
      </w:r>
      <w:r w:rsidR="003C5CBB" w:rsidRPr="003C5CBB">
        <w:t>: “</w:t>
      </w:r>
      <w:r w:rsidRPr="003C5CBB">
        <w:t>a mark is famous if it is widely recognized by the general consuming public of the United States as a designation of source of the goods or services of the mark’s owner.”</w:t>
      </w:r>
      <w:r w:rsidR="003C5CBB" w:rsidRPr="003C5CBB">
        <w:rPr>
          <w:vertAlign w:val="superscript"/>
        </w:rPr>
        <w:footnoteReference w:id="10"/>
      </w:r>
      <w:r w:rsidRPr="003C5CBB">
        <w:t xml:space="preserve"> In addition to the definition, the statute includes four (nonexclusive) factors that courts can use to guide their analysis of fame:</w:t>
      </w:r>
      <w:r w:rsidR="003C5CBB" w:rsidRPr="003C5CBB">
        <w:rPr>
          <w:vertAlign w:val="superscript"/>
        </w:rPr>
        <w:footnoteReference w:id="11"/>
      </w:r>
    </w:p>
    <w:p w14:paraId="276FD248" w14:textId="5ABF2E4E" w:rsidR="003C5CBB" w:rsidRPr="003C5CBB" w:rsidRDefault="00634BAE" w:rsidP="003C5CBB">
      <w:pPr>
        <w:pStyle w:val="BListitemorig"/>
      </w:pPr>
      <w:r w:rsidRPr="003C5CBB">
        <w:t>(i)</w:t>
      </w:r>
      <w:r w:rsidRPr="003C5CBB">
        <w:tab/>
        <w:t>The duration, extent, and geographic reach of advertising and publicity of the mark, whether advertised or publicized by the owner or third parties.</w:t>
      </w:r>
    </w:p>
    <w:p w14:paraId="2475A7FB" w14:textId="73605633" w:rsidR="003C5CBB" w:rsidRPr="003C5CBB" w:rsidRDefault="00634BAE" w:rsidP="003C5CBB">
      <w:pPr>
        <w:pStyle w:val="BListitemorig"/>
      </w:pPr>
      <w:r w:rsidRPr="003C5CBB">
        <w:lastRenderedPageBreak/>
        <w:t>(ii)</w:t>
      </w:r>
      <w:r w:rsidRPr="003C5CBB">
        <w:tab/>
        <w:t>The amount, volume, and geographic extent of sales of goods or services offered under the mark.</w:t>
      </w:r>
    </w:p>
    <w:p w14:paraId="0A966CF5" w14:textId="51D7E9FF" w:rsidR="003C5CBB" w:rsidRPr="003C5CBB" w:rsidRDefault="00634BAE" w:rsidP="003C5CBB">
      <w:pPr>
        <w:pStyle w:val="BListitemorig"/>
      </w:pPr>
      <w:r w:rsidRPr="003C5CBB">
        <w:t>(iii)</w:t>
      </w:r>
      <w:r w:rsidRPr="003C5CBB">
        <w:tab/>
        <w:t>The extent of actual recognition of the mark.</w:t>
      </w:r>
    </w:p>
    <w:p w14:paraId="441B690E" w14:textId="6338C50F" w:rsidR="003C5CBB" w:rsidRPr="003C5CBB" w:rsidRDefault="00634BAE" w:rsidP="003C5CBB">
      <w:pPr>
        <w:pStyle w:val="BListitemorig"/>
      </w:pPr>
      <w:r w:rsidRPr="003C5CBB">
        <w:t>(iv)</w:t>
      </w:r>
      <w:r w:rsidRPr="003C5CBB">
        <w:tab/>
        <w:t>Whether the mark was registered under the Act of March 3, 1881, or the Act of February 20, 1905, or on the principal register.</w:t>
      </w:r>
      <w:r w:rsidR="003C5CBB" w:rsidRPr="003C5CBB">
        <w:rPr>
          <w:vertAlign w:val="superscript"/>
        </w:rPr>
        <w:footnoteReference w:id="12"/>
      </w:r>
    </w:p>
    <w:p w14:paraId="32306C51" w14:textId="3DEAD9BE" w:rsidR="003C5CBB" w:rsidRPr="003C5CBB" w:rsidRDefault="00634BAE" w:rsidP="003C5CBB">
      <w:pPr>
        <w:pStyle w:val="BNormal"/>
      </w:pPr>
      <w:r w:rsidRPr="003C5CBB">
        <w:t>The references to the “general consuming public” and the requirement that the mark be “widely recognized</w:t>
      </w:r>
      <w:r w:rsidR="003C5CBB" w:rsidRPr="003C5CBB">
        <w:t xml:space="preserve"> </w:t>
      </w:r>
      <w:r w:rsidRPr="003C5CBB">
        <w:t>…</w:t>
      </w:r>
      <w:r w:rsidR="003C5CBB" w:rsidRPr="003C5CBB">
        <w:t xml:space="preserve"> </w:t>
      </w:r>
      <w:r w:rsidR="003C5CBB" w:rsidRPr="003C5CBB">
        <w:rPr>
          <w:i/>
        </w:rPr>
        <w:t>as a designation of source</w:t>
      </w:r>
      <w:r w:rsidRPr="003C5CBB">
        <w:t>” are critical limitations to the universe of eligible marks</w:t>
      </w:r>
      <w:r w:rsidR="003C5CBB" w:rsidRPr="003C5CBB">
        <w:t>. A</w:t>
      </w:r>
      <w:r w:rsidRPr="003C5CBB">
        <w:t>lthough not entirely unambiguous, it seems that the mark’s renown must reach all segments of the population, not just the knowledgeable groups (or target groups),</w:t>
      </w:r>
      <w:r w:rsidR="003C5CBB" w:rsidRPr="003C5CBB">
        <w:rPr>
          <w:vertAlign w:val="superscript"/>
        </w:rPr>
        <w:footnoteReference w:id="13"/>
      </w:r>
      <w:r w:rsidRPr="003C5CBB">
        <w:t xml:space="preserve"> and that it must be understood to be a “mark”—not just a famous word</w:t>
      </w:r>
      <w:r w:rsidR="003C5CBB" w:rsidRPr="003C5CBB">
        <w:t>. T</w:t>
      </w:r>
      <w:r w:rsidRPr="003C5CBB">
        <w:t>he factors, particularly (i), (ii), and (iv), are at best indirect indicators of public recognition</w:t>
      </w:r>
      <w:r w:rsidR="003C5CBB" w:rsidRPr="003C5CBB">
        <w:t>. C</w:t>
      </w:r>
      <w:r w:rsidRPr="003C5CBB">
        <w:t>ourts must be mindful of the definition itself, so that dilution remains the circumscribed remedy that its drafters intended.</w:t>
      </w:r>
    </w:p>
    <w:p w14:paraId="63B9200A" w14:textId="77777777" w:rsidR="003C5CBB" w:rsidRPr="003C5CBB" w:rsidRDefault="00634BAE" w:rsidP="003C5CBB">
      <w:pPr>
        <w:pStyle w:val="BNormal"/>
      </w:pPr>
      <w:r w:rsidRPr="003C5CBB">
        <w:t>The current definition, a product of the statutory revision 10 years after passage of the first federal dilution law, clarifies the dimensions of eligibility, following significant disagreement among courts about the proper meaning of “fame.”</w:t>
      </w:r>
    </w:p>
    <w:p w14:paraId="6A967C57" w14:textId="381C3C15" w:rsidR="003C5CBB" w:rsidRPr="003C5CBB" w:rsidRDefault="00634BAE" w:rsidP="003C5CBB">
      <w:pPr>
        <w:pStyle w:val="BNormal"/>
      </w:pPr>
      <w:r w:rsidRPr="003C5CBB">
        <w:t>As originally enacted, the FTDA contained no definition of fame</w:t>
      </w:r>
      <w:r w:rsidR="003C5CBB" w:rsidRPr="003C5CBB">
        <w:t>. I</w:t>
      </w:r>
      <w:r w:rsidRPr="003C5CBB">
        <w:t>t merely provided eight nonexclusive factors to guide courts in the assessment of whether a mark was “distinctive and famous.”</w:t>
      </w:r>
      <w:r w:rsidR="003C5CBB" w:rsidRPr="003C5CBB">
        <w:rPr>
          <w:vertAlign w:val="superscript"/>
        </w:rPr>
        <w:footnoteReference w:id="14"/>
      </w:r>
      <w:r w:rsidRPr="003C5CBB">
        <w:t xml:space="preserve"> This led to considerable judicial confusion</w:t>
      </w:r>
      <w:r w:rsidR="003C5CBB" w:rsidRPr="003C5CBB">
        <w:t>. C</w:t>
      </w:r>
      <w:r w:rsidRPr="003C5CBB">
        <w:t>ourts did not find it simple to apply the FTDA’s factors, except in the easiest of cases.</w:t>
      </w:r>
      <w:r w:rsidR="003C5CBB" w:rsidRPr="003C5CBB">
        <w:rPr>
          <w:vertAlign w:val="superscript"/>
        </w:rPr>
        <w:footnoteReference w:id="15"/>
      </w:r>
      <w:r w:rsidRPr="003C5CBB">
        <w:t xml:space="preserve"> In an effort to alleviate that confusion, the TDRA added the definition of fame and replaced the original eight factors with four factors.</w:t>
      </w:r>
      <w:r w:rsidR="003C5CBB" w:rsidRPr="003C5CBB">
        <w:rPr>
          <w:vertAlign w:val="superscript"/>
        </w:rPr>
        <w:footnoteReference w:id="16"/>
      </w:r>
      <w:r w:rsidRPr="003C5CBB">
        <w:t xml:space="preserve"> Lumping together the terms “distinctive and famous” in the original statute when </w:t>
      </w:r>
      <w:r w:rsidRPr="003C5CBB">
        <w:lastRenderedPageBreak/>
        <w:t>setting forth the eight factors was also an unfortunate drafting choice</w:t>
      </w:r>
      <w:r w:rsidR="003C5CBB" w:rsidRPr="003C5CBB">
        <w:t>. T</w:t>
      </w:r>
      <w:r w:rsidRPr="003C5CBB">
        <w:t>hough certainly not irrelevant to the issue of fame, the eight factors did not readily separate marks that are relatively distinctive from those that are in the special category called “famous.”</w:t>
      </w:r>
      <w:r w:rsidR="003C5CBB" w:rsidRPr="003C5CBB">
        <w:rPr>
          <w:vertAlign w:val="superscript"/>
        </w:rPr>
        <w:footnoteReference w:id="17"/>
      </w:r>
      <w:r w:rsidRPr="003C5CBB">
        <w:t xml:space="preserve"> Moreover, this language caused confusion in the courts about the significance of the term “distinctive.”</w:t>
      </w:r>
      <w:r w:rsidR="003C5CBB" w:rsidRPr="003C5CBB">
        <w:rPr>
          <w:vertAlign w:val="superscript"/>
        </w:rPr>
        <w:footnoteReference w:id="18"/>
      </w:r>
    </w:p>
    <w:p w14:paraId="1D6B663B" w14:textId="142292A4" w:rsidR="003C5CBB" w:rsidRPr="003C5CBB" w:rsidRDefault="00634BAE" w:rsidP="003C5CBB">
      <w:pPr>
        <w:pStyle w:val="BNormal"/>
      </w:pPr>
      <w:proofErr w:type="gramStart"/>
      <w:r w:rsidRPr="003C5CBB">
        <w:t>It is clear that the</w:t>
      </w:r>
      <w:proofErr w:type="gramEnd"/>
      <w:r w:rsidRPr="003C5CBB">
        <w:t xml:space="preserve"> universe of eligible marks is intended to be a limited one.</w:t>
      </w:r>
      <w:r w:rsidR="003C5CBB" w:rsidRPr="003C5CBB">
        <w:rPr>
          <w:vertAlign w:val="superscript"/>
        </w:rPr>
        <w:footnoteReference w:id="19"/>
      </w:r>
      <w:r w:rsidRPr="003C5CBB">
        <w:t xml:space="preserve"> Only those few marks that can establish their “claim to fame” may use the protections of federal law</w:t>
      </w:r>
      <w:r w:rsidR="003C5CBB" w:rsidRPr="003C5CBB">
        <w:t>. I</w:t>
      </w:r>
      <w:r w:rsidRPr="003C5CBB">
        <w:t>ndeed, several courts have stated that plaintiff must show that its mark is a “household word.”</w:t>
      </w:r>
      <w:r w:rsidR="003C5CBB" w:rsidRPr="003C5CBB">
        <w:rPr>
          <w:vertAlign w:val="superscript"/>
        </w:rPr>
        <w:footnoteReference w:id="20"/>
      </w:r>
      <w:r w:rsidRPr="003C5CBB">
        <w:t xml:space="preserve"> All other marks, even those deemed “strong,” can be protected only by ordinary confusion-based infringement claims</w:t>
      </w:r>
      <w:r w:rsidR="003C5CBB" w:rsidRPr="003C5CBB">
        <w:t>. (</w:t>
      </w:r>
      <w:r w:rsidRPr="003C5CBB">
        <w:t xml:space="preserve">If an applicable state dilution law permits protection of less-than-famous marks, a mark owner may avail itself of that protection as well, provided it does </w:t>
      </w:r>
      <w:r w:rsidRPr="003C5CBB">
        <w:lastRenderedPageBreak/>
        <w:t>not conflict with the TDRA.</w:t>
      </w:r>
      <w:r w:rsidR="003C5CBB" w:rsidRPr="003C5CBB">
        <w:rPr>
          <w:vertAlign w:val="superscript"/>
        </w:rPr>
        <w:footnoteReference w:id="21"/>
      </w:r>
      <w:r w:rsidRPr="003C5CBB">
        <w:t>) Moreover, a dilution plaintiff alleging infringement of multiple marks must show that each mark is famous.</w:t>
      </w:r>
      <w:r w:rsidR="003C5CBB" w:rsidRPr="003C5CBB">
        <w:rPr>
          <w:vertAlign w:val="superscript"/>
        </w:rPr>
        <w:footnoteReference w:id="22"/>
      </w:r>
    </w:p>
    <w:p w14:paraId="219E9A23" w14:textId="2ACFB633" w:rsidR="003C5CBB" w:rsidRPr="003C5CBB" w:rsidRDefault="00634BAE" w:rsidP="003C5CBB">
      <w:pPr>
        <w:pStyle w:val="BNormal"/>
      </w:pPr>
      <w:r w:rsidRPr="003C5CBB">
        <w:t>Perhaps there is a positive lesson in the difficulty courts (and statutory drafters) have had with the definition of fame</w:t>
      </w:r>
      <w:r w:rsidR="003C5CBB" w:rsidRPr="003C5CBB">
        <w:t>: i</w:t>
      </w:r>
      <w:r w:rsidRPr="003C5CBB">
        <w:t>f the court has any significant doubts about whether a mark is famous, it probably is not.</w:t>
      </w:r>
    </w:p>
    <w:p w14:paraId="378BD5DB" w14:textId="5912EBA0" w:rsidR="003C5CBB" w:rsidRPr="003C5CBB" w:rsidRDefault="008B3068" w:rsidP="008B3068">
      <w:pPr>
        <w:pStyle w:val="BHead2"/>
      </w:pPr>
      <w:r>
        <w:t>8.I.</w:t>
      </w:r>
      <w:r w:rsidR="003C5CBB" w:rsidRPr="008B3068">
        <w:rPr>
          <w:rStyle w:val="BBNAidChar"/>
          <w:rFonts w:eastAsiaTheme="majorEastAsia"/>
        </w:rPr>
        <w:t>B</w:t>
      </w:r>
      <w:r w:rsidR="003C5CBB" w:rsidRPr="003C5CBB">
        <w:t>.</w:t>
      </w:r>
      <w:r>
        <w:t> </w:t>
      </w:r>
      <w:r w:rsidR="003C5CBB" w:rsidRPr="003C5CBB">
        <w:tab/>
        <w:t>Fame as a Gatekeeper for the Claim of Dilution</w:t>
      </w:r>
    </w:p>
    <w:p w14:paraId="3C11DDED" w14:textId="141545C9" w:rsidR="003C5CBB" w:rsidRPr="003C5CBB" w:rsidRDefault="00634BAE" w:rsidP="003C5CBB">
      <w:pPr>
        <w:pStyle w:val="BNormal"/>
      </w:pPr>
      <w:r w:rsidRPr="003C5CBB">
        <w:t>Fame is more than simply an element of the claim of dilution</w:t>
      </w:r>
      <w:r w:rsidR="003C5CBB" w:rsidRPr="003C5CBB">
        <w:t>. I</w:t>
      </w:r>
      <w:r w:rsidRPr="003C5CBB">
        <w:t>t is a threshold requirement that narrows the group of marks eligible to move to the next step of determining whether dilution exists</w:t>
      </w:r>
      <w:r w:rsidR="003C5CBB" w:rsidRPr="003C5CBB">
        <w:t>. A</w:t>
      </w:r>
      <w:r w:rsidRPr="003C5CBB">
        <w:t>s the Ninth Circuit has noted, dilution is a broad remedy, giving what approaches “rights in gross” in a trademark to its owner.</w:t>
      </w:r>
      <w:r w:rsidR="003C5CBB" w:rsidRPr="003C5CBB">
        <w:rPr>
          <w:vertAlign w:val="superscript"/>
        </w:rPr>
        <w:footnoteReference w:id="23"/>
      </w:r>
      <w:r w:rsidRPr="003C5CBB">
        <w:t xml:space="preserve"> Thus, the requirement of fame is a gatekeeper that prevents dilution from swallowing up claims of trademark infringement and unfair competition.</w:t>
      </w:r>
      <w:r w:rsidR="003C5CBB" w:rsidRPr="003C5CBB">
        <w:rPr>
          <w:vertAlign w:val="superscript"/>
        </w:rPr>
        <w:footnoteReference w:id="24"/>
      </w:r>
      <w:r w:rsidRPr="003C5CBB">
        <w:t xml:space="preserve"> If fame is to serve its proper role, courts must be very circumspect about the marks they permit to pass through the gateway of fame.</w:t>
      </w:r>
      <w:r w:rsidR="003C5CBB" w:rsidRPr="003C5CBB">
        <w:rPr>
          <w:vertAlign w:val="superscript"/>
        </w:rPr>
        <w:footnoteReference w:id="25"/>
      </w:r>
      <w:r w:rsidRPr="003C5CBB">
        <w:t xml:space="preserve"> If a mark is not one that is very clearly famous (such as Coca-Cola or Kodak), the court should begin the analysis with a skeptical, “show me” attitude and require a clear demonstration that the mark in question is famous.</w:t>
      </w:r>
      <w:r w:rsidR="003C5CBB" w:rsidRPr="003C5CBB">
        <w:rPr>
          <w:vertAlign w:val="superscript"/>
        </w:rPr>
        <w:footnoteReference w:id="26"/>
      </w:r>
      <w:r w:rsidRPr="003C5CBB">
        <w:t xml:space="preserve"> It should be remembered that even if a mark is not deemed famous, its holder can still claim protection under traditional notions of trademark infringement as long as the mark is distinctive</w:t>
      </w:r>
      <w:r w:rsidR="003C5CBB" w:rsidRPr="003C5CBB">
        <w:t>. T</w:t>
      </w:r>
      <w:r w:rsidRPr="003C5CBB">
        <w:t>herefore, courts need not worry about under-protecting trademarks.</w:t>
      </w:r>
    </w:p>
    <w:p w14:paraId="645EB246" w14:textId="75B025FC" w:rsidR="003C5CBB" w:rsidRPr="003C5CBB" w:rsidRDefault="00634BAE" w:rsidP="003C5CBB">
      <w:pPr>
        <w:pStyle w:val="BNormal"/>
      </w:pPr>
      <w:r w:rsidRPr="003C5CBB">
        <w:t>Another reason for a rigorous analysis of fame is the difficulty courts have had defining dilution.</w:t>
      </w:r>
      <w:r w:rsidR="003C5CBB" w:rsidRPr="003C5CBB">
        <w:rPr>
          <w:vertAlign w:val="superscript"/>
        </w:rPr>
        <w:footnoteReference w:id="27"/>
      </w:r>
      <w:r w:rsidRPr="003C5CBB">
        <w:t xml:space="preserve"> Given that problem, one can expect a fair amount of unevenness in the analysis of whether a second use dilutes the “famous” mark</w:t>
      </w:r>
      <w:r w:rsidR="003C5CBB" w:rsidRPr="003C5CBB">
        <w:t>. S</w:t>
      </w:r>
      <w:r w:rsidRPr="003C5CBB">
        <w:t>ome unevenness can be tolerated if the category of protected marks is small</w:t>
      </w:r>
      <w:r w:rsidR="003C5CBB" w:rsidRPr="003C5CBB">
        <w:t>. H</w:t>
      </w:r>
      <w:r w:rsidRPr="003C5CBB">
        <w:t xml:space="preserve">owever, if the </w:t>
      </w:r>
      <w:r w:rsidRPr="003C5CBB">
        <w:lastRenderedPageBreak/>
        <w:t>category of protected marks is large, this unevenness produces unfairness, forum shopping, and uncertain legal counseling.</w:t>
      </w:r>
      <w:r w:rsidR="003C5CBB" w:rsidRPr="003C5CBB">
        <w:rPr>
          <w:vertAlign w:val="superscript"/>
        </w:rPr>
        <w:footnoteReference w:id="28"/>
      </w:r>
      <w:r w:rsidRPr="003C5CBB">
        <w:t xml:space="preserve"> Thus, </w:t>
      </w:r>
      <w:proofErr w:type="gramStart"/>
      <w:r w:rsidRPr="003C5CBB">
        <w:t>in order for</w:t>
      </w:r>
      <w:proofErr w:type="gramEnd"/>
      <w:r w:rsidRPr="003C5CBB">
        <w:t xml:space="preserve"> fame to keep its gatekeeper role intact, if there are doubts about the existence of fame, they should be resolved </w:t>
      </w:r>
      <w:r w:rsidR="003C5CBB" w:rsidRPr="003C5CBB">
        <w:rPr>
          <w:i/>
        </w:rPr>
        <w:t>against</w:t>
      </w:r>
      <w:r w:rsidRPr="003C5CBB">
        <w:t xml:space="preserve"> eligibility.</w:t>
      </w:r>
    </w:p>
    <w:p w14:paraId="7628C5FE" w14:textId="45E630CB" w:rsidR="003C5CBB" w:rsidRPr="003C5CBB" w:rsidRDefault="008B3068" w:rsidP="008B3068">
      <w:pPr>
        <w:pStyle w:val="BHead2"/>
      </w:pPr>
      <w:r>
        <w:t>8.I.</w:t>
      </w:r>
      <w:r w:rsidR="003C5CBB" w:rsidRPr="008B3068">
        <w:rPr>
          <w:rStyle w:val="BBNAidChar"/>
          <w:rFonts w:eastAsiaTheme="majorEastAsia"/>
        </w:rPr>
        <w:t>C</w:t>
      </w:r>
      <w:r w:rsidR="003C5CBB" w:rsidRPr="003C5CBB">
        <w:t>.</w:t>
      </w:r>
      <w:r>
        <w:t> </w:t>
      </w:r>
      <w:r w:rsidR="003C5CBB" w:rsidRPr="003C5CBB">
        <w:tab/>
        <w:t>Distinctiveness Not the Same as Fame</w:t>
      </w:r>
    </w:p>
    <w:p w14:paraId="14DE591B" w14:textId="1494AB34" w:rsidR="003C5CBB" w:rsidRPr="003C5CBB" w:rsidRDefault="00634BAE" w:rsidP="003C5CBB">
      <w:pPr>
        <w:pStyle w:val="BNormal"/>
      </w:pPr>
      <w:r w:rsidRPr="003C5CBB">
        <w:t>The older state dilution statutes protect any mark deemed “distinctive.”</w:t>
      </w:r>
      <w:r w:rsidR="003C5CBB" w:rsidRPr="003C5CBB">
        <w:rPr>
          <w:vertAlign w:val="superscript"/>
        </w:rPr>
        <w:footnoteReference w:id="29"/>
      </w:r>
      <w:r w:rsidRPr="003C5CBB">
        <w:t xml:space="preserve"> But that is not the case under the TDRA</w:t>
      </w:r>
      <w:r w:rsidR="003C5CBB" w:rsidRPr="003C5CBB">
        <w:t>. T</w:t>
      </w:r>
      <w:r w:rsidRPr="003C5CBB">
        <w:t>he first sentence of the TDRA limits its protection to a “famous mark that is distinctive, inherently or through acquired distinctiveness</w:t>
      </w:r>
      <w:r w:rsidR="003C5CBB" w:rsidRPr="003C5CBB">
        <w:t>. …</w:t>
      </w:r>
      <w:r w:rsidRPr="003C5CBB">
        <w:t>”</w:t>
      </w:r>
      <w:r w:rsidR="003C5CBB" w:rsidRPr="003C5CBB">
        <w:rPr>
          <w:vertAlign w:val="superscript"/>
        </w:rPr>
        <w:footnoteReference w:id="30"/>
      </w:r>
      <w:r w:rsidRPr="003C5CBB">
        <w:t xml:space="preserve"> Obviously, the language of the statute is not intended to </w:t>
      </w:r>
      <w:r w:rsidR="003C5CBB" w:rsidRPr="003C5CBB">
        <w:rPr>
          <w:i/>
        </w:rPr>
        <w:t>equate</w:t>
      </w:r>
      <w:r w:rsidRPr="003C5CBB">
        <w:t xml:space="preserve"> distinctiveness with fame</w:t>
      </w:r>
      <w:r w:rsidR="003C5CBB" w:rsidRPr="003C5CBB">
        <w:t>. R</w:t>
      </w:r>
      <w:r w:rsidRPr="003C5CBB">
        <w:t>ather, distinctiveness is a necessary, but not sufficient, requirement under the statute</w:t>
      </w:r>
      <w:r w:rsidR="003C5CBB" w:rsidRPr="003C5CBB">
        <w:t>. A</w:t>
      </w:r>
      <w:r w:rsidRPr="003C5CBB">
        <w:t xml:space="preserve"> protected mark must be distinctive, but it must be much more to be famous.</w:t>
      </w:r>
      <w:r w:rsidR="003C5CBB" w:rsidRPr="003C5CBB">
        <w:rPr>
          <w:vertAlign w:val="superscript"/>
        </w:rPr>
        <w:footnoteReference w:id="31"/>
      </w:r>
      <w:r w:rsidRPr="003C5CBB">
        <w:t xml:space="preserve"> The difference between distinctiveness and fame is particularly critical when considering the factor of inherent distinctiveness</w:t>
      </w:r>
      <w:r w:rsidR="003C5CBB" w:rsidRPr="003C5CBB">
        <w:t>. I</w:t>
      </w:r>
      <w:r w:rsidRPr="003C5CBB">
        <w:t>nherent distinctiveness is more a measure of potential, while fame measures whether that potential has been achieved</w:t>
      </w:r>
      <w:r w:rsidR="003C5CBB" w:rsidRPr="003C5CBB">
        <w:t>. A</w:t>
      </w:r>
      <w:r w:rsidRPr="003C5CBB">
        <w:t>lthough a mark that is inherently distinctive is automatically eligible for protection from trademark infringement, inherent distinctiveness does not necessarily make a mark eligible to be protected from dilution.</w:t>
      </w:r>
      <w:r w:rsidR="003C5CBB" w:rsidRPr="003C5CBB">
        <w:rPr>
          <w:vertAlign w:val="superscript"/>
        </w:rPr>
        <w:footnoteReference w:id="32"/>
      </w:r>
      <w:r w:rsidRPr="003C5CBB">
        <w:t xml:space="preserve"> A mark may be coined, arbitrary, or unique</w:t>
      </w:r>
      <w:r w:rsidR="003C5CBB" w:rsidRPr="003C5CBB">
        <w:t xml:space="preserve"> </w:t>
      </w:r>
      <w:r w:rsidRPr="003C5CBB">
        <w:t>…</w:t>
      </w:r>
      <w:r w:rsidR="003C5CBB" w:rsidRPr="003C5CBB">
        <w:t xml:space="preserve"> </w:t>
      </w:r>
      <w:r w:rsidRPr="003C5CBB">
        <w:t>but still not famous</w:t>
      </w:r>
      <w:r w:rsidR="003C5CBB" w:rsidRPr="003C5CBB">
        <w:t>. C</w:t>
      </w:r>
      <w:r w:rsidRPr="003C5CBB">
        <w:t xml:space="preserve">ourts must not make the mistake of deciding that </w:t>
      </w:r>
      <w:proofErr w:type="gramStart"/>
      <w:r w:rsidRPr="003C5CBB">
        <w:t>a very unique</w:t>
      </w:r>
      <w:proofErr w:type="gramEnd"/>
      <w:r w:rsidRPr="003C5CBB">
        <w:t xml:space="preserve"> mark that is now “distinctive” and that </w:t>
      </w:r>
      <w:r w:rsidR="003C5CBB" w:rsidRPr="003C5CBB">
        <w:rPr>
          <w:i/>
        </w:rPr>
        <w:t>could</w:t>
      </w:r>
      <w:r w:rsidRPr="003C5CBB">
        <w:t xml:space="preserve"> become famous has </w:t>
      </w:r>
      <w:proofErr w:type="gramStart"/>
      <w:r w:rsidRPr="003C5CBB">
        <w:t>actually become</w:t>
      </w:r>
      <w:proofErr w:type="gramEnd"/>
      <w:r w:rsidRPr="003C5CBB">
        <w:t xml:space="preserve"> well recognized by the public at large and recognized as a trademark</w:t>
      </w:r>
      <w:r w:rsidR="003C5CBB" w:rsidRPr="003C5CBB">
        <w:t>. A</w:t>
      </w:r>
      <w:r w:rsidRPr="003C5CBB">
        <w:t>s the TDRA makes clear, although distinctiveness is not irrelevant to fame, the analysis of fame is separate from the analysis of distinctiveness.</w:t>
      </w:r>
    </w:p>
    <w:p w14:paraId="5DE70528" w14:textId="03340D90" w:rsidR="003C5CBB" w:rsidRPr="003C5CBB" w:rsidRDefault="00634BAE" w:rsidP="003C5CBB">
      <w:pPr>
        <w:pStyle w:val="BNormal"/>
      </w:pPr>
      <w:r w:rsidRPr="003C5CBB">
        <w:t>Even with marks that have secondary meaning, fame requires more than simply the level of recognition needed for trademark protection</w:t>
      </w:r>
      <w:r w:rsidR="003C5CBB" w:rsidRPr="003C5CBB">
        <w:t>. S</w:t>
      </w:r>
      <w:r w:rsidRPr="003C5CBB">
        <w:t>econdary meaning is clearly relevant to fame, since it demonstrates actual public recognition, not simply potential.</w:t>
      </w:r>
      <w:r w:rsidR="003C5CBB" w:rsidRPr="003C5CBB">
        <w:rPr>
          <w:vertAlign w:val="superscript"/>
        </w:rPr>
        <w:footnoteReference w:id="33"/>
      </w:r>
      <w:r w:rsidRPr="003C5CBB">
        <w:t xml:space="preserve"> However, the degree and type of recognition needed to show that a mark is </w:t>
      </w:r>
      <w:r w:rsidRPr="003C5CBB">
        <w:lastRenderedPageBreak/>
        <w:t>famous differ from that needed to show protectability.</w:t>
      </w:r>
      <w:r w:rsidR="003C5CBB" w:rsidRPr="003C5CBB">
        <w:rPr>
          <w:vertAlign w:val="superscript"/>
        </w:rPr>
        <w:footnoteReference w:id="34"/>
      </w:r>
      <w:r w:rsidRPr="003C5CBB">
        <w:t xml:space="preserve"> To show secondary meaning, the owner of a mark is required to demonstrate only that an appreciable number of people in the relevant market recognize the word or symbol as the owner’s trademark</w:t>
      </w:r>
      <w:r w:rsidR="003C5CBB" w:rsidRPr="003C5CBB">
        <w:t>. H</w:t>
      </w:r>
      <w:r w:rsidRPr="003C5CBB">
        <w:t>owever, the TDRA requires that a famous mark be “widely recognized by the general consuming public.”</w:t>
      </w:r>
      <w:r w:rsidR="003C5CBB" w:rsidRPr="003C5CBB">
        <w:rPr>
          <w:vertAlign w:val="superscript"/>
        </w:rPr>
        <w:footnoteReference w:id="35"/>
      </w:r>
      <w:r w:rsidRPr="003C5CBB">
        <w:t xml:space="preserve"> Therefore, the relevant evidence of acquired distinctiveness must look beyond the “relevant market” for the product or service, and must include the public at large, even if they are not likely to purchase the product.</w:t>
      </w:r>
      <w:r w:rsidR="003C5CBB" w:rsidRPr="003C5CBB">
        <w:rPr>
          <w:vertAlign w:val="superscript"/>
        </w:rPr>
        <w:footnoteReference w:id="36"/>
      </w:r>
      <w:r w:rsidRPr="003C5CBB">
        <w:t xml:space="preserve"> The requirement that the mark be “widely recognized” also indicates that the percentage of consumers recognizing the mark must be greater than that required for secondary meaning</w:t>
      </w:r>
      <w:r w:rsidR="003C5CBB" w:rsidRPr="003C5CBB">
        <w:t>. M</w:t>
      </w:r>
      <w:r w:rsidRPr="003C5CBB">
        <w:t>oreover, ordinarily for a mark to have secondary meaning (i.e., for it to be considered distinctive) it is not necessary that the mark point uniquely or overwhelmingly to a single source to a large body of consumers</w:t>
      </w:r>
      <w:r w:rsidR="003C5CBB" w:rsidRPr="003C5CBB">
        <w:t>. A</w:t>
      </w:r>
      <w:r w:rsidRPr="003C5CBB">
        <w:t xml:space="preserve"> famous mark ought to be, if not exclusive to one owner, then overwhelmingly recognized as pointing to one owner.</w:t>
      </w:r>
      <w:r w:rsidR="003C5CBB" w:rsidRPr="003C5CBB">
        <w:rPr>
          <w:vertAlign w:val="superscript"/>
        </w:rPr>
        <w:footnoteReference w:id="37"/>
      </w:r>
    </w:p>
    <w:p w14:paraId="41D52AA6" w14:textId="2678B5B9" w:rsidR="003C5CBB" w:rsidRPr="003C5CBB" w:rsidRDefault="00634BAE" w:rsidP="003C5CBB">
      <w:pPr>
        <w:pStyle w:val="BNormal"/>
      </w:pPr>
      <w:r w:rsidRPr="003C5CBB">
        <w:t>Court decisions on this issue prior to the TDRA were uneven</w:t>
      </w:r>
      <w:r w:rsidR="003C5CBB" w:rsidRPr="003C5CBB">
        <w:t>. S</w:t>
      </w:r>
      <w:r w:rsidRPr="003C5CBB">
        <w:t>everal early district court decisions seemed to require little more than secondary meaning to find a mark famous.</w:t>
      </w:r>
      <w:r w:rsidR="003C5CBB" w:rsidRPr="003C5CBB">
        <w:rPr>
          <w:vertAlign w:val="superscript"/>
        </w:rPr>
        <w:footnoteReference w:id="38"/>
      </w:r>
      <w:r w:rsidRPr="003C5CBB">
        <w:t xml:space="preserve"> Indeed, one oft-cited early decision stated that the plaintiff need only show “ownership of a </w:t>
      </w:r>
      <w:r w:rsidR="003C5CBB" w:rsidRPr="003C5CBB">
        <w:rPr>
          <w:i/>
        </w:rPr>
        <w:t>distinctive</w:t>
      </w:r>
      <w:r w:rsidRPr="003C5CBB">
        <w:t xml:space="preserve"> mark.”</w:t>
      </w:r>
      <w:r w:rsidR="003C5CBB" w:rsidRPr="003C5CBB">
        <w:rPr>
          <w:vertAlign w:val="superscript"/>
        </w:rPr>
        <w:footnoteReference w:id="39"/>
      </w:r>
      <w:r w:rsidRPr="003C5CBB">
        <w:t xml:space="preserve"> Other courts, unfortunately, failed to discern the difference between the FTDA and many state laws regarding the issue of fame</w:t>
      </w:r>
      <w:r w:rsidR="003C5CBB" w:rsidRPr="003C5CBB">
        <w:t>. W</w:t>
      </w:r>
      <w:r w:rsidRPr="003C5CBB">
        <w:t>ith almost no exceptions, states with statutes patterned after the 1964 Model Bill do not require fame as a prerequisite.</w:t>
      </w:r>
      <w:r w:rsidR="003C5CBB" w:rsidRPr="003C5CBB">
        <w:rPr>
          <w:vertAlign w:val="superscript"/>
        </w:rPr>
        <w:footnoteReference w:id="40"/>
      </w:r>
      <w:r w:rsidRPr="003C5CBB">
        <w:t xml:space="preserve"> Although most of those states require a mark to be “strong,” “very strong,” or “highly distinctive,”</w:t>
      </w:r>
      <w:r w:rsidR="003C5CBB" w:rsidRPr="003C5CBB">
        <w:rPr>
          <w:vertAlign w:val="superscript"/>
        </w:rPr>
        <w:footnoteReference w:id="41"/>
      </w:r>
      <w:r w:rsidRPr="003C5CBB">
        <w:t xml:space="preserve"> the parameters of such strength are very murky.</w:t>
      </w:r>
      <w:r w:rsidR="003C5CBB" w:rsidRPr="003C5CBB">
        <w:rPr>
          <w:vertAlign w:val="superscript"/>
        </w:rPr>
        <w:footnoteReference w:id="42"/>
      </w:r>
      <w:r w:rsidRPr="003C5CBB">
        <w:t xml:space="preserve"> By contrast, the FTDA clearly required a “famous” mark, even if the factors used to show this were not models of clarity</w:t>
      </w:r>
      <w:r w:rsidR="003C5CBB" w:rsidRPr="003C5CBB">
        <w:t>. T</w:t>
      </w:r>
      <w:r w:rsidRPr="003C5CBB">
        <w:t xml:space="preserve">hus, using state-law cases as a guide to this element </w:t>
      </w:r>
      <w:r w:rsidRPr="003C5CBB">
        <w:lastRenderedPageBreak/>
        <w:t>has often yielded inappropriate results.</w:t>
      </w:r>
      <w:r w:rsidR="003C5CBB" w:rsidRPr="003C5CBB">
        <w:rPr>
          <w:vertAlign w:val="superscript"/>
        </w:rPr>
        <w:footnoteReference w:id="43"/>
      </w:r>
      <w:r w:rsidRPr="003C5CBB">
        <w:t xml:space="preserve"> However, as time went on, courts, particularly at the appellate level, appeared to recognize the distinction between distinctiveness and fame.</w:t>
      </w:r>
      <w:r w:rsidR="003C5CBB" w:rsidRPr="003C5CBB">
        <w:rPr>
          <w:vertAlign w:val="superscript"/>
        </w:rPr>
        <w:footnoteReference w:id="44"/>
      </w:r>
    </w:p>
    <w:p w14:paraId="772D86D7" w14:textId="298FB746" w:rsidR="003C5CBB" w:rsidRPr="003C5CBB" w:rsidRDefault="00634BAE" w:rsidP="003C5CBB">
      <w:pPr>
        <w:pStyle w:val="BNormal"/>
      </w:pPr>
      <w:r w:rsidRPr="003C5CBB">
        <w:t>As an example of the heightened scrutiny of fame for dilution purposes, a district court found that a mark could be considered a “famous” mark for purposes of applying the doctrine that a “famous” foreign mark not used in the United States can be protected against a user in the United States,</w:t>
      </w:r>
      <w:r w:rsidR="003C5CBB" w:rsidRPr="003C5CBB">
        <w:rPr>
          <w:vertAlign w:val="superscript"/>
        </w:rPr>
        <w:footnoteReference w:id="45"/>
      </w:r>
      <w:r w:rsidRPr="003C5CBB">
        <w:t xml:space="preserve"> yet not be famous within the meaning of the FTDA.</w:t>
      </w:r>
      <w:r w:rsidR="003C5CBB" w:rsidRPr="003C5CBB">
        <w:rPr>
          <w:vertAlign w:val="superscript"/>
        </w:rPr>
        <w:footnoteReference w:id="46"/>
      </w:r>
      <w:r w:rsidRPr="003C5CBB">
        <w:t xml:space="preserve"> The court held that secondary meaning was required under the “famous marks” doctrine but not the level of fame required by the FTDA.</w:t>
      </w:r>
      <w:r w:rsidR="003C5CBB" w:rsidRPr="003C5CBB">
        <w:rPr>
          <w:vertAlign w:val="superscript"/>
        </w:rPr>
        <w:footnoteReference w:id="47"/>
      </w:r>
    </w:p>
    <w:p w14:paraId="55B3C236" w14:textId="66D99CA8" w:rsidR="003C5CBB" w:rsidRPr="003C5CBB" w:rsidRDefault="00634BAE" w:rsidP="003C5CBB">
      <w:pPr>
        <w:pStyle w:val="BNormal"/>
      </w:pPr>
      <w:r w:rsidRPr="003C5CBB">
        <w:t>Finally, it should be evident that not all marks deemed “strong” for purposes of analyzing likelihood of confusion should be deemed “famous.” Indeed, the Federal Circuit, which denominates the strongest marks as “famous” marks in its confusion analysis, has pointedly distinguished between “fame” for confusion purposes and “famous” for dilution purposes.</w:t>
      </w:r>
      <w:r w:rsidR="003C5CBB" w:rsidRPr="003C5CBB">
        <w:rPr>
          <w:vertAlign w:val="superscript"/>
        </w:rPr>
        <w:footnoteReference w:id="48"/>
      </w:r>
    </w:p>
    <w:p w14:paraId="4E303E68" w14:textId="33888A16" w:rsidR="003C5CBB" w:rsidRPr="003C5CBB" w:rsidRDefault="00634BAE" w:rsidP="003C5CBB">
      <w:pPr>
        <w:pStyle w:val="BNormal"/>
      </w:pPr>
      <w:r w:rsidRPr="003C5CBB">
        <w:t xml:space="preserve">Now that the TDRA has clarified the definition of a famous mark and made clear that distinctiveness is not the same as fame, courts should be rigorous in their </w:t>
      </w:r>
      <w:proofErr w:type="gramStart"/>
      <w:r w:rsidRPr="003C5CBB">
        <w:t>analyses</w:t>
      </w:r>
      <w:proofErr w:type="gramEnd"/>
      <w:r w:rsidRPr="003C5CBB">
        <w:t xml:space="preserve"> of the issue</w:t>
      </w:r>
      <w:r w:rsidR="003C5CBB" w:rsidRPr="003C5CBB">
        <w:t>. I</w:t>
      </w:r>
      <w:r w:rsidRPr="003C5CBB">
        <w:t>ncreasingly, decisions after the TDRA appear to be taking a careful look at this issue, in contrast to the early decisions under the original FTDA.</w:t>
      </w:r>
      <w:r w:rsidR="003C5CBB" w:rsidRPr="003C5CBB">
        <w:rPr>
          <w:vertAlign w:val="superscript"/>
        </w:rPr>
        <w:footnoteReference w:id="49"/>
      </w:r>
    </w:p>
    <w:p w14:paraId="4884F336" w14:textId="2AEAA328" w:rsidR="003C5CBB" w:rsidRPr="003C5CBB" w:rsidRDefault="008B3068" w:rsidP="008B3068">
      <w:pPr>
        <w:pStyle w:val="BHead1"/>
      </w:pPr>
      <w:r>
        <w:t>8.</w:t>
      </w:r>
      <w:r w:rsidR="003C5CBB" w:rsidRPr="008B3068">
        <w:rPr>
          <w:rStyle w:val="BBNAidChar"/>
          <w:rFonts w:eastAsiaTheme="majorEastAsia"/>
        </w:rPr>
        <w:t>II</w:t>
      </w:r>
      <w:r w:rsidR="003C5CBB" w:rsidRPr="003C5CBB">
        <w:t>.</w:t>
      </w:r>
      <w:r>
        <w:t xml:space="preserve">  </w:t>
      </w:r>
      <w:r w:rsidR="003C5CBB" w:rsidRPr="003C5CBB">
        <w:t>Determining Fame: An Overview</w:t>
      </w:r>
    </w:p>
    <w:p w14:paraId="00DEF7AD" w14:textId="0681ECFB" w:rsidR="003C5CBB" w:rsidRPr="003C5CBB" w:rsidRDefault="008B3068" w:rsidP="008B3068">
      <w:pPr>
        <w:pStyle w:val="BHead2"/>
      </w:pPr>
      <w:r>
        <w:lastRenderedPageBreak/>
        <w:t>8.II.</w:t>
      </w:r>
      <w:r w:rsidR="003C5CBB" w:rsidRPr="008B3068">
        <w:rPr>
          <w:rStyle w:val="BBNAidChar"/>
          <w:rFonts w:eastAsiaTheme="majorEastAsia"/>
        </w:rPr>
        <w:t>A</w:t>
      </w:r>
      <w:r w:rsidR="003C5CBB" w:rsidRPr="003C5CBB">
        <w:t>.</w:t>
      </w:r>
      <w:r>
        <w:t> </w:t>
      </w:r>
      <w:r w:rsidR="003C5CBB" w:rsidRPr="003C5CBB">
        <w:tab/>
        <w:t>The Importance of the Definition of Fame</w:t>
      </w:r>
    </w:p>
    <w:p w14:paraId="6CC198E1" w14:textId="275BAB11" w:rsidR="003C5CBB" w:rsidRPr="003C5CBB" w:rsidRDefault="00634BAE" w:rsidP="003C5CBB">
      <w:pPr>
        <w:pStyle w:val="BNormal"/>
      </w:pPr>
      <w:r w:rsidRPr="003C5CBB">
        <w:t xml:space="preserve">The current federal law (i.e., the TDRA) contains both a definition of what constitutes a “famous” mark and a set of four factors to guide courts in determining </w:t>
      </w:r>
      <w:proofErr w:type="gramStart"/>
      <w:r w:rsidRPr="003C5CBB">
        <w:t>whether or not</w:t>
      </w:r>
      <w:proofErr w:type="gramEnd"/>
      <w:r w:rsidRPr="003C5CBB">
        <w:t xml:space="preserve"> a mark is famous</w:t>
      </w:r>
      <w:r w:rsidR="003C5CBB" w:rsidRPr="003C5CBB">
        <w:t>. T</w:t>
      </w:r>
      <w:r w:rsidRPr="003C5CBB">
        <w:t>his is a change from the original statute, which contained no definition and gave eight guiding factors</w:t>
      </w:r>
      <w:r w:rsidR="003C5CBB" w:rsidRPr="003C5CBB">
        <w:t>. T</w:t>
      </w:r>
      <w:r w:rsidRPr="003C5CBB">
        <w:t>he TDRA now defines fame as follows</w:t>
      </w:r>
      <w:r w:rsidR="003C5CBB" w:rsidRPr="003C5CBB">
        <w:t>: “</w:t>
      </w:r>
      <w:r w:rsidRPr="003C5CBB">
        <w:t>a mark is famous if it is widely recognized by the general consuming public of the United States as a designation of source of the goods or services of the mark’s owner.”</w:t>
      </w:r>
      <w:r w:rsidR="003C5CBB" w:rsidRPr="003C5CBB">
        <w:rPr>
          <w:vertAlign w:val="superscript"/>
        </w:rPr>
        <w:footnoteReference w:id="50"/>
      </w:r>
      <w:r w:rsidRPr="003C5CBB">
        <w:t xml:space="preserve"> The statute then lists four nonmandatory factors to assist the analysis:</w:t>
      </w:r>
    </w:p>
    <w:p w14:paraId="23C81F82" w14:textId="31938A0D" w:rsidR="003C5CBB" w:rsidRPr="003C5CBB" w:rsidRDefault="00634BAE" w:rsidP="003C5CBB">
      <w:pPr>
        <w:pStyle w:val="BListitemorig"/>
      </w:pPr>
      <w:r w:rsidRPr="003C5CBB">
        <w:t>(i)</w:t>
      </w:r>
      <w:r w:rsidRPr="003C5CBB">
        <w:tab/>
        <w:t>The duration, extent, and geographic reach of advertising and publicity of the mark, whether advertised or publicized by the owner or third parties.</w:t>
      </w:r>
    </w:p>
    <w:p w14:paraId="38E5C791" w14:textId="0423EB7E" w:rsidR="003C5CBB" w:rsidRPr="003C5CBB" w:rsidRDefault="00634BAE" w:rsidP="003C5CBB">
      <w:pPr>
        <w:pStyle w:val="BListitemorig"/>
      </w:pPr>
      <w:r w:rsidRPr="003C5CBB">
        <w:t>(ii)</w:t>
      </w:r>
      <w:r w:rsidRPr="003C5CBB">
        <w:tab/>
        <w:t>The amount, volume, and geographic extent of sales of goods or services offered under the mark.</w:t>
      </w:r>
    </w:p>
    <w:p w14:paraId="604A9027" w14:textId="710E0149" w:rsidR="003C5CBB" w:rsidRPr="003C5CBB" w:rsidRDefault="00634BAE" w:rsidP="003C5CBB">
      <w:pPr>
        <w:pStyle w:val="BListitemorig"/>
      </w:pPr>
      <w:r w:rsidRPr="003C5CBB">
        <w:t>(iii)</w:t>
      </w:r>
      <w:r w:rsidRPr="003C5CBB">
        <w:tab/>
        <w:t>The extent of actual recognition of the mark.</w:t>
      </w:r>
    </w:p>
    <w:p w14:paraId="4F526A8F" w14:textId="4154366B" w:rsidR="003C5CBB" w:rsidRPr="003C5CBB" w:rsidRDefault="00634BAE" w:rsidP="003C5CBB">
      <w:pPr>
        <w:pStyle w:val="BListitemorig"/>
      </w:pPr>
      <w:r w:rsidRPr="003C5CBB">
        <w:t>(iv)</w:t>
      </w:r>
      <w:r w:rsidRPr="003C5CBB">
        <w:tab/>
        <w:t>Whether the mark was registered under the Act of March 3, 1881, or the Act of February 20, 1905, or on the principal register.</w:t>
      </w:r>
    </w:p>
    <w:p w14:paraId="45F75B56" w14:textId="7FE03DCA" w:rsidR="003C5CBB" w:rsidRPr="003C5CBB" w:rsidRDefault="00634BAE" w:rsidP="003C5CBB">
      <w:pPr>
        <w:pStyle w:val="BNormal"/>
      </w:pPr>
      <w:r w:rsidRPr="003C5CBB">
        <w:t>The definition is the crucial aspect of the analysis of fame</w:t>
      </w:r>
      <w:r w:rsidR="003C5CBB" w:rsidRPr="003C5CBB">
        <w:t>. P</w:t>
      </w:r>
      <w:r w:rsidRPr="003C5CBB">
        <w:t>rior to the TDRA, the statute had no definition of fame</w:t>
      </w:r>
      <w:r w:rsidR="003C5CBB" w:rsidRPr="003C5CBB">
        <w:t>; i</w:t>
      </w:r>
      <w:r w:rsidRPr="003C5CBB">
        <w:t>t contained only factors to guide the analysis</w:t>
      </w:r>
      <w:r w:rsidR="003C5CBB" w:rsidRPr="003C5CBB">
        <w:t>. B</w:t>
      </w:r>
      <w:r w:rsidRPr="003C5CBB">
        <w:t>ut without a definition, there was no context in which to apply the factors</w:t>
      </w:r>
      <w:r w:rsidR="003C5CBB" w:rsidRPr="003C5CBB">
        <w:t>. B</w:t>
      </w:r>
      <w:r w:rsidRPr="003C5CBB">
        <w:t>y themselves, the factors do not easily separate “distinctive” marks from “famous” ones</w:t>
      </w:r>
      <w:r w:rsidR="003C5CBB" w:rsidRPr="003C5CBB">
        <w:t>. T</w:t>
      </w:r>
      <w:r w:rsidRPr="003C5CBB">
        <w:t>hey do not tell a court—even generally—what audience is relevant when counting advertising dollars, for example</w:t>
      </w:r>
      <w:r w:rsidR="003C5CBB" w:rsidRPr="003C5CBB">
        <w:t>. N</w:t>
      </w:r>
      <w:r w:rsidRPr="003C5CBB">
        <w:t>or do they indicate the quantity and quality of recognition necessary to meet the threshold demanded by a determination of fame</w:t>
      </w:r>
      <w:r w:rsidR="003C5CBB" w:rsidRPr="003C5CBB">
        <w:t>. W</w:t>
      </w:r>
      <w:r w:rsidRPr="003C5CBB">
        <w:t xml:space="preserve">ith a definition, the statutory factors now can be applied with an eye toward how they fit the definition—do the factors strongly point to widespread recognition of the mark, </w:t>
      </w:r>
      <w:r w:rsidR="003C5CBB" w:rsidRPr="003C5CBB">
        <w:rPr>
          <w:i/>
        </w:rPr>
        <w:t>as a mark</w:t>
      </w:r>
      <w:r w:rsidRPr="003C5CBB">
        <w:t>, by a diverse segment of the general population across a very substantial part of the country</w:t>
      </w:r>
      <w:r w:rsidR="003C5CBB" w:rsidRPr="003C5CBB">
        <w:t>? I</w:t>
      </w:r>
      <w:r w:rsidRPr="003C5CBB">
        <w:t>t is important for courts to return to the definition and not count on the factors as accurate proxies for the definition</w:t>
      </w:r>
      <w:r w:rsidR="003C5CBB" w:rsidRPr="003C5CBB">
        <w:t>. L</w:t>
      </w:r>
      <w:r w:rsidRPr="003C5CBB">
        <w:t>arge advertising dollars aimed at a small (if prosperous) audience would not satisfy the definition</w:t>
      </w:r>
      <w:r w:rsidR="003C5CBB" w:rsidRPr="003C5CBB">
        <w:t>. N</w:t>
      </w:r>
      <w:r w:rsidRPr="003C5CBB">
        <w:t xml:space="preserve">or would </w:t>
      </w:r>
      <w:proofErr w:type="gramStart"/>
      <w:r w:rsidRPr="003C5CBB">
        <w:t>a high</w:t>
      </w:r>
      <w:proofErr w:type="gramEnd"/>
      <w:r w:rsidRPr="003C5CBB">
        <w:t xml:space="preserve"> degree of recognition among a very specific subset of the population.</w:t>
      </w:r>
    </w:p>
    <w:p w14:paraId="36C63FD9" w14:textId="347A629D" w:rsidR="003C5CBB" w:rsidRPr="003C5CBB" w:rsidRDefault="00634BAE" w:rsidP="003C5CBB">
      <w:pPr>
        <w:pStyle w:val="BNormal"/>
      </w:pPr>
      <w:r w:rsidRPr="003C5CBB">
        <w:t>In one respect, the TTAB found the definition to be clear</w:t>
      </w:r>
      <w:r w:rsidR="003C5CBB" w:rsidRPr="003C5CBB">
        <w:t>: w</w:t>
      </w:r>
      <w:r w:rsidRPr="003C5CBB">
        <w:t>hether fame must exist both at the time of the complaint and through the end of trial</w:t>
      </w:r>
      <w:r w:rsidR="003C5CBB" w:rsidRPr="003C5CBB">
        <w:t>. D</w:t>
      </w:r>
      <w:r w:rsidRPr="003C5CBB">
        <w:t xml:space="preserve">rawing on the statutory language stating that “a mark is famous if it is widely recognized,” the TTAB found that a mark must be famous both at the outset of the proceeding and at the end of trial </w:t>
      </w:r>
      <w:proofErr w:type="gramStart"/>
      <w:r w:rsidRPr="003C5CBB">
        <w:t>in order to</w:t>
      </w:r>
      <w:proofErr w:type="gramEnd"/>
      <w:r w:rsidRPr="003C5CBB">
        <w:t xml:space="preserve"> claim dilution protection.</w:t>
      </w:r>
      <w:r w:rsidR="003C5CBB" w:rsidRPr="003C5CBB">
        <w:rPr>
          <w:vertAlign w:val="superscript"/>
        </w:rPr>
        <w:footnoteReference w:id="51"/>
      </w:r>
    </w:p>
    <w:p w14:paraId="12593C58" w14:textId="1DA1548F" w:rsidR="003C5CBB" w:rsidRPr="003C5CBB" w:rsidRDefault="00634BAE" w:rsidP="003C5CBB">
      <w:pPr>
        <w:pStyle w:val="BNormal"/>
      </w:pPr>
      <w:r w:rsidRPr="003C5CBB">
        <w:t>However, the definition is not entirely self-explanatory</w:t>
      </w:r>
      <w:r w:rsidR="003C5CBB" w:rsidRPr="003C5CBB">
        <w:t>. T</w:t>
      </w:r>
      <w:r w:rsidRPr="003C5CBB">
        <w:t>here are several questions left unanswered that must be resolved by the courts.</w:t>
      </w:r>
    </w:p>
    <w:p w14:paraId="5BACD664" w14:textId="3C435848" w:rsidR="003C5CBB" w:rsidRPr="003C5CBB" w:rsidRDefault="00634BAE" w:rsidP="003C5CBB">
      <w:pPr>
        <w:pStyle w:val="BNormal"/>
      </w:pPr>
      <w:r w:rsidRPr="003C5CBB">
        <w:t>The first question to ask is what is meant by “widely recognized.” How wide, exactly</w:t>
      </w:r>
      <w:r w:rsidR="003C5CBB" w:rsidRPr="003C5CBB">
        <w:t>? L</w:t>
      </w:r>
      <w:r w:rsidRPr="003C5CBB">
        <w:t>ike many other defining characteristics of trademark law, this question is not susceptible to a precise answer</w:t>
      </w:r>
      <w:r w:rsidR="003C5CBB" w:rsidRPr="003C5CBB">
        <w:t>. T</w:t>
      </w:r>
      <w:r w:rsidRPr="003C5CBB">
        <w:t>he guiding factors listed in the statute do not speak directly to this issue</w:t>
      </w:r>
      <w:r w:rsidR="003C5CBB" w:rsidRPr="003C5CBB">
        <w:t>; t</w:t>
      </w:r>
      <w:r w:rsidRPr="003C5CBB">
        <w:t xml:space="preserve">hey tell the court to consider how </w:t>
      </w:r>
      <w:proofErr w:type="gramStart"/>
      <w:r w:rsidRPr="003C5CBB">
        <w:t>much of</w:t>
      </w:r>
      <w:proofErr w:type="gramEnd"/>
      <w:r w:rsidRPr="003C5CBB">
        <w:t xml:space="preserve"> certain things exist, but they do not tell the court what threshold might be relevant</w:t>
      </w:r>
      <w:r w:rsidR="003C5CBB" w:rsidRPr="003C5CBB">
        <w:t>. H</w:t>
      </w:r>
      <w:r w:rsidRPr="003C5CBB">
        <w:t xml:space="preserve">owever, if we look back at the original federal dilution proposal in 1987, we see that the proposal contemplated that a mark should be known </w:t>
      </w:r>
      <w:r w:rsidRPr="003C5CBB">
        <w:lastRenderedPageBreak/>
        <w:t xml:space="preserve">“throughout a substantial portion of the United States” </w:t>
      </w:r>
      <w:proofErr w:type="gramStart"/>
      <w:r w:rsidRPr="003C5CBB">
        <w:t>in order to</w:t>
      </w:r>
      <w:proofErr w:type="gramEnd"/>
      <w:r w:rsidRPr="003C5CBB">
        <w:t xml:space="preserve"> be considered famous.</w:t>
      </w:r>
      <w:r w:rsidR="003C5CBB" w:rsidRPr="003C5CBB">
        <w:rPr>
          <w:vertAlign w:val="superscript"/>
        </w:rPr>
        <w:footnoteReference w:id="52"/>
      </w:r>
      <w:r w:rsidRPr="003C5CBB">
        <w:t xml:space="preserve"> Thus, at least geographically, that should provide a guidepost.</w:t>
      </w:r>
      <w:r w:rsidR="003C5CBB" w:rsidRPr="003C5CBB">
        <w:rPr>
          <w:vertAlign w:val="superscript"/>
        </w:rPr>
        <w:footnoteReference w:id="53"/>
      </w:r>
    </w:p>
    <w:p w14:paraId="569A30CA" w14:textId="5C468CD8" w:rsidR="003C5CBB" w:rsidRPr="003C5CBB" w:rsidRDefault="00634BAE" w:rsidP="003C5CBB">
      <w:pPr>
        <w:pStyle w:val="BNormal"/>
      </w:pPr>
      <w:r w:rsidRPr="003C5CBB">
        <w:t>Next, we must determine to whom the “general consuming public of the United States” refers</w:t>
      </w:r>
      <w:r w:rsidR="003C5CBB" w:rsidRPr="003C5CBB">
        <w:t>. T</w:t>
      </w:r>
      <w:r w:rsidRPr="003C5CBB">
        <w:t>his language must be interpreted with reference to the case law under the original FTDA</w:t>
      </w:r>
      <w:r w:rsidR="003C5CBB" w:rsidRPr="003C5CBB">
        <w:t>. A</w:t>
      </w:r>
      <w:r w:rsidRPr="003C5CBB">
        <w:t>s discussed below, under the original FTDA, courts were divided about whether a mark could be considered “famous” if its fame was limited to a particular product niche.</w:t>
      </w:r>
      <w:r w:rsidR="003C5CBB" w:rsidRPr="003C5CBB">
        <w:rPr>
          <w:vertAlign w:val="superscript"/>
        </w:rPr>
        <w:footnoteReference w:id="54"/>
      </w:r>
      <w:r w:rsidRPr="003C5CBB">
        <w:t xml:space="preserve"> That is, could marks be eligible for dilution protection if they were known only to a narrow group of consumers</w:t>
      </w:r>
      <w:r w:rsidR="003C5CBB" w:rsidRPr="003C5CBB">
        <w:t>? T</w:t>
      </w:r>
      <w:r w:rsidRPr="003C5CBB">
        <w:t>he drafters of the TDRA clearly wished to eliminate the concept of “niche fame” by referring to the “</w:t>
      </w:r>
      <w:r w:rsidR="003C5CBB" w:rsidRPr="003C5CBB">
        <w:rPr>
          <w:i/>
        </w:rPr>
        <w:t>general</w:t>
      </w:r>
      <w:r w:rsidRPr="003C5CBB">
        <w:t xml:space="preserve"> consuming public.”</w:t>
      </w:r>
      <w:r w:rsidR="003C5CBB" w:rsidRPr="003C5CBB">
        <w:rPr>
          <w:vertAlign w:val="superscript"/>
        </w:rPr>
        <w:footnoteReference w:id="55"/>
      </w:r>
      <w:r w:rsidRPr="003C5CBB">
        <w:t xml:space="preserve"> Thus, it would appear that only marks recognized by a wide cross-section of consumers—young, middle aged, old, rich, not rich, hip, not hip, computer (or car or any other product) geeks and non-geeks—would be eligible for dilution protection</w:t>
      </w:r>
      <w:r w:rsidR="003C5CBB" w:rsidRPr="003C5CBB">
        <w:t>. T</w:t>
      </w:r>
      <w:r w:rsidRPr="003C5CBB">
        <w:t>o use concrete examples, a brand of toothpaste (say, Crest or Colgate) would be more likely to be known to the general consuming public than a brand of expensive bicycle (Trek, for example),</w:t>
      </w:r>
      <w:r w:rsidR="003C5CBB" w:rsidRPr="003C5CBB">
        <w:rPr>
          <w:vertAlign w:val="superscript"/>
        </w:rPr>
        <w:footnoteReference w:id="56"/>
      </w:r>
      <w:r w:rsidRPr="003C5CBB">
        <w:t xml:space="preserve"> and would be far better known than, for instance, the name of many charitable foundations (other than the Ford Foundation).</w:t>
      </w:r>
      <w:r w:rsidR="003C5CBB" w:rsidRPr="003C5CBB">
        <w:rPr>
          <w:vertAlign w:val="superscript"/>
        </w:rPr>
        <w:footnoteReference w:id="57"/>
      </w:r>
      <w:r w:rsidRPr="003C5CBB">
        <w:t xml:space="preserve"> This does leave some potential issues to be resolved</w:t>
      </w:r>
      <w:r w:rsidR="003C5CBB" w:rsidRPr="003C5CBB">
        <w:t>. D</w:t>
      </w:r>
      <w:r w:rsidRPr="003C5CBB">
        <w:t xml:space="preserve">oes the reference to the “general consuming public” mean that </w:t>
      </w:r>
      <w:r w:rsidR="003C5CBB" w:rsidRPr="003C5CBB">
        <w:rPr>
          <w:i/>
        </w:rPr>
        <w:t>every</w:t>
      </w:r>
      <w:r w:rsidRPr="003C5CBB">
        <w:t xml:space="preserve"> demographic group must be considered a part of the relevant group</w:t>
      </w:r>
      <w:r w:rsidR="003C5CBB" w:rsidRPr="003C5CBB">
        <w:t>? W</w:t>
      </w:r>
      <w:r w:rsidRPr="003C5CBB">
        <w:t>hat if a mark is extremely well known among people under 35, but virtually unknown among those over 45</w:t>
      </w:r>
      <w:r w:rsidR="003C5CBB" w:rsidRPr="003C5CBB">
        <w:t>? P</w:t>
      </w:r>
      <w:r w:rsidRPr="003C5CBB">
        <w:t>robably the better answer is that the mark owner is out of luck with respect to dilution, but can pursue a confusion claim.</w:t>
      </w:r>
      <w:r w:rsidR="003C5CBB" w:rsidRPr="003C5CBB">
        <w:rPr>
          <w:vertAlign w:val="superscript"/>
        </w:rPr>
        <w:footnoteReference w:id="58"/>
      </w:r>
      <w:r w:rsidRPr="003C5CBB">
        <w:t xml:space="preserve"> Otherwise, we may revive “niche” market fame through the back door</w:t>
      </w:r>
      <w:r w:rsidR="003C5CBB" w:rsidRPr="003C5CBB">
        <w:t>. H</w:t>
      </w:r>
      <w:r w:rsidRPr="003C5CBB">
        <w:t>owever, this also complicates the problem of proof</w:t>
      </w:r>
      <w:r w:rsidR="003C5CBB" w:rsidRPr="003C5CBB">
        <w:t>. I</w:t>
      </w:r>
      <w:r w:rsidRPr="003C5CBB">
        <w:t xml:space="preserve">f a mark owner wishes to establish fame using a survey, for example, that survey will have to be </w:t>
      </w:r>
      <w:proofErr w:type="gramStart"/>
      <w:r w:rsidRPr="003C5CBB">
        <w:t>fairly comprehensive</w:t>
      </w:r>
      <w:proofErr w:type="gramEnd"/>
      <w:r w:rsidRPr="003C5CBB">
        <w:t xml:space="preserve"> to be relevant</w:t>
      </w:r>
      <w:r w:rsidR="003C5CBB" w:rsidRPr="003C5CBB">
        <w:t>. T</w:t>
      </w:r>
      <w:r w:rsidRPr="003C5CBB">
        <w:t>his, of course, will be more expensive.</w:t>
      </w:r>
    </w:p>
    <w:p w14:paraId="068E3BBA" w14:textId="1996137C" w:rsidR="003C5CBB" w:rsidRPr="003C5CBB" w:rsidRDefault="00634BAE" w:rsidP="003C5CBB">
      <w:pPr>
        <w:pStyle w:val="BNormal"/>
      </w:pPr>
      <w:r w:rsidRPr="003C5CBB">
        <w:t>It must also be famous “as a designation of source” for the mark owner</w:t>
      </w:r>
      <w:r w:rsidR="003C5CBB" w:rsidRPr="003C5CBB">
        <w:t>. Y</w:t>
      </w:r>
      <w:r w:rsidRPr="003C5CBB">
        <w:t xml:space="preserve">our mark may be famous in other contexts, but if it is not famous as a source identifier for </w:t>
      </w:r>
      <w:r w:rsidR="003C5CBB" w:rsidRPr="003C5CBB">
        <w:rPr>
          <w:i/>
        </w:rPr>
        <w:t>your</w:t>
      </w:r>
      <w:r w:rsidRPr="003C5CBB">
        <w:t xml:space="preserve"> goods or services, it will not satisfy the definition.</w:t>
      </w:r>
      <w:r w:rsidR="003C5CBB" w:rsidRPr="003C5CBB">
        <w:rPr>
          <w:vertAlign w:val="superscript"/>
        </w:rPr>
        <w:footnoteReference w:id="59"/>
      </w:r>
    </w:p>
    <w:p w14:paraId="28EAEE47" w14:textId="2D764DCC" w:rsidR="003C5CBB" w:rsidRPr="003C5CBB" w:rsidRDefault="00634BAE" w:rsidP="003C5CBB">
      <w:pPr>
        <w:pStyle w:val="BNormal"/>
      </w:pPr>
      <w:r w:rsidRPr="003C5CBB">
        <w:t>The original FTDA set forth eight factors for courts to use in determining whether a mark was “famous and distinctive.” As noted in the sections that follow, this led to another difficulty, namely, determining the role of distinctiveness in deciding whether a mark was eligible for dilution protection</w:t>
      </w:r>
      <w:r w:rsidR="003C5CBB" w:rsidRPr="003C5CBB">
        <w:t>. T</w:t>
      </w:r>
      <w:r w:rsidRPr="003C5CBB">
        <w:t xml:space="preserve">he current FTDA does not </w:t>
      </w:r>
      <w:proofErr w:type="gramStart"/>
      <w:r w:rsidRPr="003C5CBB">
        <w:t>completely eliminate</w:t>
      </w:r>
      <w:proofErr w:type="gramEnd"/>
      <w:r w:rsidRPr="003C5CBB">
        <w:t xml:space="preserve"> the need for a distinctive mark</w:t>
      </w:r>
      <w:r w:rsidR="003C5CBB" w:rsidRPr="003C5CBB">
        <w:t>. I</w:t>
      </w:r>
      <w:r w:rsidRPr="003C5CBB">
        <w:t xml:space="preserve">nstead, it separates the inquiry by giving rights to the “owner of a famous mark that is distinctive, inherently or through acquired distinctiveness,” and by completely </w:t>
      </w:r>
      <w:r w:rsidRPr="003C5CBB">
        <w:lastRenderedPageBreak/>
        <w:t>separating the definition and factors for determining fame from the issue of distinctiveness</w:t>
      </w:r>
      <w:r w:rsidR="003C5CBB" w:rsidRPr="003C5CBB">
        <w:t>. P</w:t>
      </w:r>
      <w:r w:rsidRPr="003C5CBB">
        <w:t>erhaps this will alleviate some of the problems courts had with the original statute</w:t>
      </w:r>
      <w:r w:rsidR="003C5CBB" w:rsidRPr="003C5CBB">
        <w:t>. T</w:t>
      </w:r>
      <w:r w:rsidRPr="003C5CBB">
        <w:t xml:space="preserve">he current FTDA makes it clear that a mark must be distinctive </w:t>
      </w:r>
      <w:proofErr w:type="gramStart"/>
      <w:r w:rsidRPr="003C5CBB">
        <w:t>in order to</w:t>
      </w:r>
      <w:proofErr w:type="gramEnd"/>
      <w:r w:rsidRPr="003C5CBB">
        <w:t xml:space="preserve"> be eligible for protection</w:t>
      </w:r>
      <w:r w:rsidR="003C5CBB" w:rsidRPr="003C5CBB">
        <w:t>; h</w:t>
      </w:r>
      <w:r w:rsidRPr="003C5CBB">
        <w:t xml:space="preserve">owever, it seems to eliminate the argument that a mark must be </w:t>
      </w:r>
      <w:r w:rsidR="003C5CBB" w:rsidRPr="003C5CBB">
        <w:rPr>
          <w:i/>
        </w:rPr>
        <w:t>inherently</w:t>
      </w:r>
      <w:r w:rsidRPr="003C5CBB">
        <w:t xml:space="preserve"> distinctive to be eligible</w:t>
      </w:r>
      <w:r w:rsidR="003C5CBB" w:rsidRPr="003C5CBB">
        <w:t>. O</w:t>
      </w:r>
      <w:r w:rsidRPr="003C5CBB">
        <w:t>n the other hand, this should not make inherent distinctiveness irrelevant</w:t>
      </w:r>
      <w:r w:rsidR="003C5CBB" w:rsidRPr="003C5CBB">
        <w:t>. A</w:t>
      </w:r>
      <w:r w:rsidRPr="003C5CBB">
        <w:t>lthough it is not a listed factor, those factors are not exclusive, and a court could decide that a lack of inherent distinctiveness is relevant to the determination of fame.</w:t>
      </w:r>
    </w:p>
    <w:p w14:paraId="1052C2F6" w14:textId="2EAE33DA" w:rsidR="003C5CBB" w:rsidRPr="003C5CBB" w:rsidRDefault="00634BAE" w:rsidP="003C5CBB">
      <w:pPr>
        <w:pStyle w:val="BNormal"/>
      </w:pPr>
      <w:r w:rsidRPr="003C5CBB">
        <w:t>Finally, one must consider the original factors under the pre-amendment FTDA</w:t>
      </w:r>
      <w:r w:rsidR="003C5CBB" w:rsidRPr="003C5CBB">
        <w:t>. A</w:t>
      </w:r>
      <w:r w:rsidRPr="003C5CBB">
        <w:t>lthough several of them have been eliminated from the current statute, the factors in the statute are not intended to be exclusive</w:t>
      </w:r>
      <w:r w:rsidR="003C5CBB" w:rsidRPr="003C5CBB">
        <w:t>. T</w:t>
      </w:r>
      <w:r w:rsidRPr="003C5CBB">
        <w:t xml:space="preserve">herefore, a court may, if it wishes, consult the previous factors (as well as judicial interpretations of that statute) for possible guidance </w:t>
      </w:r>
      <w:proofErr w:type="gramStart"/>
      <w:r w:rsidRPr="003C5CBB">
        <w:t>as long as</w:t>
      </w:r>
      <w:proofErr w:type="gramEnd"/>
      <w:r w:rsidRPr="003C5CBB">
        <w:t xml:space="preserve"> those factors and cases are consistent with the current definition of fame</w:t>
      </w:r>
      <w:r w:rsidR="003C5CBB" w:rsidRPr="003C5CBB">
        <w:t>. M</w:t>
      </w:r>
      <w:r w:rsidRPr="003C5CBB">
        <w:t>oreover, the previous factors remain relevant for the states that have enacted dilution laws patterned after the original FTDA</w:t>
      </w:r>
      <w:r w:rsidR="003C5CBB" w:rsidRPr="003C5CBB">
        <w:t>. T</w:t>
      </w:r>
      <w:r w:rsidRPr="003C5CBB">
        <w:t>hus, although we will first discuss the provisions of the current statute, we will also discuss the former factors as guidance both under federal and state law.</w:t>
      </w:r>
    </w:p>
    <w:p w14:paraId="022FB636" w14:textId="5C765976" w:rsidR="003C5CBB" w:rsidRPr="003C5CBB" w:rsidRDefault="00634BAE" w:rsidP="003C5CBB">
      <w:pPr>
        <w:pStyle w:val="BNormal"/>
      </w:pPr>
      <w:r w:rsidRPr="003C5CBB">
        <w:t xml:space="preserve">Although the statute is not explicit, </w:t>
      </w:r>
      <w:proofErr w:type="gramStart"/>
      <w:r w:rsidRPr="003C5CBB">
        <w:t>it is clear that the</w:t>
      </w:r>
      <w:proofErr w:type="gramEnd"/>
      <w:r w:rsidRPr="003C5CBB">
        <w:t xml:space="preserve"> drafters intended a rigorous analysis of fame under the TDRA</w:t>
      </w:r>
      <w:r w:rsidR="003C5CBB" w:rsidRPr="003C5CBB">
        <w:t>. E</w:t>
      </w:r>
      <w:r w:rsidRPr="003C5CBB">
        <w:t>ligibility should be restricted to truly famous marks</w:t>
      </w:r>
      <w:r w:rsidR="003C5CBB" w:rsidRPr="003C5CBB">
        <w:t>. I</w:t>
      </w:r>
      <w:r w:rsidRPr="003C5CBB">
        <w:t>f courts are uncertain about the existence of fame, they should err on the side of denying eligibility for dilution protection—which would still leave marks eligible for protection under the usual likelihood-of-confusion standard.</w:t>
      </w:r>
    </w:p>
    <w:p w14:paraId="775609A1" w14:textId="416D1C8B" w:rsidR="003C5CBB" w:rsidRPr="003C5CBB" w:rsidRDefault="008B3068" w:rsidP="008B3068">
      <w:pPr>
        <w:pStyle w:val="BHead2"/>
      </w:pPr>
      <w:r>
        <w:t>8.II.</w:t>
      </w:r>
      <w:r w:rsidR="003C5CBB" w:rsidRPr="008B3068">
        <w:rPr>
          <w:rStyle w:val="BBNAidChar"/>
          <w:rFonts w:eastAsiaTheme="majorEastAsia"/>
        </w:rPr>
        <w:t>B</w:t>
      </w:r>
      <w:r w:rsidR="003C5CBB" w:rsidRPr="003C5CBB">
        <w:t>.</w:t>
      </w:r>
      <w:r>
        <w:t> </w:t>
      </w:r>
      <w:r w:rsidR="003C5CBB" w:rsidRPr="003C5CBB">
        <w:tab/>
        <w:t>The Role of the Factors Under the TDRA</w:t>
      </w:r>
    </w:p>
    <w:p w14:paraId="74E06AEE" w14:textId="351703D6" w:rsidR="003C5CBB" w:rsidRPr="003C5CBB" w:rsidRDefault="00634BAE" w:rsidP="003C5CBB">
      <w:pPr>
        <w:pStyle w:val="BNormal"/>
      </w:pPr>
      <w:r w:rsidRPr="003C5CBB">
        <w:t xml:space="preserve">As noted in the previous section, the guiding factors must be viewed </w:t>
      </w:r>
      <w:proofErr w:type="gramStart"/>
      <w:r w:rsidRPr="003C5CBB">
        <w:t>in light of</w:t>
      </w:r>
      <w:proofErr w:type="gramEnd"/>
      <w:r w:rsidRPr="003C5CBB">
        <w:t xml:space="preserve"> the TDRA’s definition of fame</w:t>
      </w:r>
      <w:r w:rsidR="003C5CBB" w:rsidRPr="003C5CBB">
        <w:t>. U</w:t>
      </w:r>
      <w:r w:rsidRPr="003C5CBB">
        <w:t>nlike the situation under the original FTDA, the existence of a definition of fame means that the guiding factors are clearly subservient to the definition</w:t>
      </w:r>
      <w:r w:rsidR="003C5CBB" w:rsidRPr="003C5CBB">
        <w:t>; t</w:t>
      </w:r>
      <w:r w:rsidRPr="003C5CBB">
        <w:t>hey should not be seen as a mechanical substitute for the definition</w:t>
      </w:r>
      <w:r w:rsidR="003C5CBB" w:rsidRPr="003C5CBB">
        <w:t>. I</w:t>
      </w:r>
      <w:r w:rsidRPr="003C5CBB">
        <w:t>n particular, the requirement that a famous mark be one that is “widely recognized by the general consuming public” must be taken seriously, lest fame fail to serve its function of distinguishing those marks entitled to the special protection of dilution from those that may only avail themselves of the usual confusion-based protection from infringement.</w:t>
      </w:r>
    </w:p>
    <w:p w14:paraId="3B7A1F0B" w14:textId="2E93451B" w:rsidR="003C5CBB" w:rsidRPr="003C5CBB" w:rsidRDefault="00634BAE" w:rsidP="003C5CBB">
      <w:pPr>
        <w:pStyle w:val="BNormal"/>
      </w:pPr>
      <w:r w:rsidRPr="003C5CBB">
        <w:t>The general definition raises certain questions about the necessary scope of recognition</w:t>
      </w:r>
      <w:r w:rsidR="003C5CBB" w:rsidRPr="003C5CBB">
        <w:t>. T</w:t>
      </w:r>
      <w:r w:rsidRPr="003C5CBB">
        <w:t>he reference to the “general consuming public” is one that was clearly intended to eliminate marks that are recognized only by consumers familiar with a narrow market—expensive bicycles or high-end audiophile equipment, for example</w:t>
      </w:r>
      <w:r w:rsidR="003C5CBB" w:rsidRPr="003C5CBB">
        <w:t>. W</w:t>
      </w:r>
      <w:r w:rsidRPr="003C5CBB">
        <w:t xml:space="preserve">hether the definition contemplates the possibility of </w:t>
      </w:r>
      <w:r w:rsidR="003C5CBB" w:rsidRPr="003C5CBB">
        <w:rPr>
          <w:i/>
        </w:rPr>
        <w:t>any</w:t>
      </w:r>
      <w:r w:rsidRPr="003C5CBB">
        <w:t xml:space="preserve"> subset of the market being sufficient (e.g., people under 50, teenagers) is less clear.</w:t>
      </w:r>
      <w:r w:rsidR="003C5CBB" w:rsidRPr="003C5CBB">
        <w:rPr>
          <w:vertAlign w:val="superscript"/>
        </w:rPr>
        <w:footnoteReference w:id="60"/>
      </w:r>
    </w:p>
    <w:p w14:paraId="11754FE9" w14:textId="04F1B4F8" w:rsidR="003C5CBB" w:rsidRPr="003C5CBB" w:rsidRDefault="00634BAE" w:rsidP="003C5CBB">
      <w:pPr>
        <w:pStyle w:val="BNormal"/>
      </w:pPr>
      <w:r w:rsidRPr="003C5CBB">
        <w:t>Most of the guiding factors included in the statute, which are quoted in Section II.A, above, are at best indirect evidence of fame.</w:t>
      </w:r>
      <w:r w:rsidR="003C5CBB" w:rsidRPr="003C5CBB">
        <w:rPr>
          <w:vertAlign w:val="superscript"/>
        </w:rPr>
        <w:footnoteReference w:id="61"/>
      </w:r>
      <w:r w:rsidRPr="003C5CBB">
        <w:t xml:space="preserve"> Simply discussing the factors separately, or adding up how many </w:t>
      </w:r>
      <w:proofErr w:type="gramStart"/>
      <w:r w:rsidRPr="003C5CBB">
        <w:t>favor</w:t>
      </w:r>
      <w:proofErr w:type="gramEnd"/>
      <w:r w:rsidRPr="003C5CBB">
        <w:t xml:space="preserve"> fame, is not sufficient</w:t>
      </w:r>
      <w:r w:rsidR="003C5CBB" w:rsidRPr="003C5CBB">
        <w:t>. D</w:t>
      </w:r>
      <w:r w:rsidRPr="003C5CBB">
        <w:t>irect information ordinarily must come from surveys, which are an expensive proposition</w:t>
      </w:r>
      <w:r w:rsidR="003C5CBB" w:rsidRPr="003C5CBB">
        <w:t>. H</w:t>
      </w:r>
      <w:r w:rsidRPr="003C5CBB">
        <w:t>owever, the FTDA was enacted to preserve the substantial value built up by the owners of famous marks</w:t>
      </w:r>
      <w:r w:rsidR="003C5CBB" w:rsidRPr="003C5CBB">
        <w:t>. I</w:t>
      </w:r>
      <w:r w:rsidRPr="003C5CBB">
        <w:t>t does not seem unfair to require some extra effort by the famous mark owner to protect such a valuable investment</w:t>
      </w:r>
      <w:r w:rsidR="003C5CBB" w:rsidRPr="003C5CBB">
        <w:t>. M</w:t>
      </w:r>
      <w:r w:rsidRPr="003C5CBB">
        <w:t>oreover, similar surveys are commonplace in trademark litigation to show secondary meaning.</w:t>
      </w:r>
      <w:r w:rsidR="003C5CBB" w:rsidRPr="003C5CBB">
        <w:rPr>
          <w:vertAlign w:val="superscript"/>
        </w:rPr>
        <w:footnoteReference w:id="62"/>
      </w:r>
      <w:r w:rsidRPr="003C5CBB">
        <w:t xml:space="preserve"> </w:t>
      </w:r>
      <w:r w:rsidRPr="003C5CBB">
        <w:lastRenderedPageBreak/>
        <w:t>Thus, asking the owner of a famous mark to obtain a survey to show fame would not be requesting something extraordinary</w:t>
      </w:r>
      <w:r w:rsidR="003C5CBB" w:rsidRPr="003C5CBB">
        <w:t>. I</w:t>
      </w:r>
      <w:r w:rsidRPr="003C5CBB">
        <w:t>ndeed, the third factor, extent of actual recognition, virtually begs for such evidence</w:t>
      </w:r>
      <w:r w:rsidR="003C5CBB" w:rsidRPr="003C5CBB">
        <w:t>. T</w:t>
      </w:r>
      <w:r w:rsidRPr="003C5CBB">
        <w:t>hat said, the other factors still have their place in determining whether a mark is famous</w:t>
      </w:r>
      <w:r w:rsidR="003C5CBB" w:rsidRPr="003C5CBB">
        <w:t>. T</w:t>
      </w:r>
      <w:r w:rsidRPr="003C5CBB">
        <w:t>hey can be used to bolster significantly any direct evidence of fame provided by the mark owner</w:t>
      </w:r>
      <w:r w:rsidR="003C5CBB" w:rsidRPr="003C5CBB">
        <w:t>. M</w:t>
      </w:r>
      <w:r w:rsidRPr="003C5CBB">
        <w:t>oreover, survey evidence itself is far from perfect.</w:t>
      </w:r>
      <w:r w:rsidR="003C5CBB" w:rsidRPr="003C5CBB">
        <w:rPr>
          <w:vertAlign w:val="superscript"/>
        </w:rPr>
        <w:footnoteReference w:id="63"/>
      </w:r>
      <w:r w:rsidRPr="003C5CBB">
        <w:t xml:space="preserve"> Thus, surveys and the factors complement each other, providing a more complete picture of the fame (or lack thereof) of the mark</w:t>
      </w:r>
      <w:r w:rsidR="003C5CBB" w:rsidRPr="003C5CBB">
        <w:t>. I</w:t>
      </w:r>
      <w:r w:rsidRPr="003C5CBB">
        <w:t>f used as the statute indicates, as a set of nonexclusive guideposts</w:t>
      </w:r>
      <w:r w:rsidR="003C5CBB" w:rsidRPr="003C5CBB">
        <w:rPr>
          <w:vertAlign w:val="superscript"/>
        </w:rPr>
        <w:footnoteReference w:id="64"/>
      </w:r>
      <w:r w:rsidRPr="003C5CBB">
        <w:t xml:space="preserve"> and with an understanding of their limitations, these factors provide a significant benefit to the analysis of fame.</w:t>
      </w:r>
      <w:r w:rsidR="003C5CBB" w:rsidRPr="003C5CBB">
        <w:rPr>
          <w:vertAlign w:val="superscript"/>
        </w:rPr>
        <w:footnoteReference w:id="65"/>
      </w:r>
    </w:p>
    <w:p w14:paraId="50426CC9" w14:textId="77777777" w:rsidR="003C5CBB" w:rsidRPr="003C5CBB" w:rsidRDefault="00634BAE" w:rsidP="003C5CBB">
      <w:pPr>
        <w:pStyle w:val="BNormal"/>
      </w:pPr>
      <w:r w:rsidRPr="003C5CBB">
        <w:t xml:space="preserve">In the final analysis, however, courts must always </w:t>
      </w:r>
      <w:proofErr w:type="gramStart"/>
      <w:r w:rsidRPr="003C5CBB">
        <w:t>refer back</w:t>
      </w:r>
      <w:proofErr w:type="gramEnd"/>
      <w:r w:rsidRPr="003C5CBB">
        <w:t xml:space="preserve"> to the definition of fame before making a final decision.</w:t>
      </w:r>
    </w:p>
    <w:p w14:paraId="2318AFE6" w14:textId="11ECE5A7" w:rsidR="003C5CBB" w:rsidRPr="003C5CBB" w:rsidRDefault="008B3068" w:rsidP="008B3068">
      <w:pPr>
        <w:pStyle w:val="BHead3"/>
      </w:pPr>
      <w:r>
        <w:t>8.II.B.</w:t>
      </w:r>
      <w:r w:rsidR="003C5CBB" w:rsidRPr="008B3068">
        <w:rPr>
          <w:rStyle w:val="BBNAidChar"/>
          <w:rFonts w:eastAsiaTheme="majorEastAsia"/>
        </w:rPr>
        <w:t>1</w:t>
      </w:r>
      <w:r w:rsidR="003C5CBB" w:rsidRPr="003C5CBB">
        <w:t>.</w:t>
      </w:r>
      <w:r>
        <w:t> </w:t>
      </w:r>
      <w:r w:rsidR="003C5CBB" w:rsidRPr="003C5CBB">
        <w:tab/>
        <w:t>Duration and Extent of Advertising and Publicity</w:t>
      </w:r>
    </w:p>
    <w:p w14:paraId="07C79B1C" w14:textId="0833B6A8" w:rsidR="003C5CBB" w:rsidRPr="003C5CBB" w:rsidRDefault="00634BAE" w:rsidP="003C5CBB">
      <w:pPr>
        <w:pStyle w:val="BNormal"/>
      </w:pPr>
      <w:r w:rsidRPr="003C5CBB">
        <w:t>The first factor is “[t]he duration, extent, and geographic reach of advertising and publicity of the mark, whether advertised or publicized by the owner or third parties.” This factor is essentially the same as the third factor under the original FTDA</w:t>
      </w:r>
      <w:r w:rsidR="003C5CBB" w:rsidRPr="003C5CBB">
        <w:t>. C</w:t>
      </w:r>
      <w:r w:rsidRPr="003C5CBB">
        <w:t>learly, advertising and publicity can be an indirect indication of fame, by demonstrating the possible penetration of the mark into the public’s consciousness</w:t>
      </w:r>
      <w:r w:rsidR="003C5CBB" w:rsidRPr="003C5CBB">
        <w:t xml:space="preserve">. </w:t>
      </w:r>
      <w:r w:rsidR="003C5CBB" w:rsidRPr="003C5CBB">
        <w:rPr>
          <w:vertAlign w:val="superscript"/>
        </w:rPr>
        <w:footnoteReference w:id="66"/>
      </w:r>
      <w:r w:rsidRPr="003C5CBB">
        <w:t xml:space="preserve"> Of course, advertising alone—especially dollars alone—does not guarantee success.</w:t>
      </w:r>
      <w:r w:rsidR="003C5CBB" w:rsidRPr="003C5CBB">
        <w:rPr>
          <w:vertAlign w:val="superscript"/>
        </w:rPr>
        <w:footnoteReference w:id="67"/>
      </w:r>
      <w:r w:rsidRPr="003C5CBB">
        <w:t xml:space="preserve"> Thus, particularly where advertising has been short-lived, the second part of this factor—third-party publicity for the mark—may be a useful adjunct in determining whether the advertising has been successful</w:t>
      </w:r>
      <w:r w:rsidR="003C5CBB" w:rsidRPr="003C5CBB">
        <w:t>. I</w:t>
      </w:r>
      <w:r w:rsidRPr="003C5CBB">
        <w:t>n general, if there is a great deal of third-party publicity, through magazine articles, cartoons, etc., provided it is widely disseminated in materials generally available to consumers,</w:t>
      </w:r>
      <w:r w:rsidR="003C5CBB" w:rsidRPr="003C5CBB">
        <w:rPr>
          <w:vertAlign w:val="superscript"/>
        </w:rPr>
        <w:footnoteReference w:id="68"/>
      </w:r>
      <w:r w:rsidRPr="003C5CBB">
        <w:t xml:space="preserve"> this factor should be particularly relevant to a determination of the degree to which the mark has penetrated the consciousness of consumers.</w:t>
      </w:r>
    </w:p>
    <w:p w14:paraId="121522F8" w14:textId="367D6B23" w:rsidR="003C5CBB" w:rsidRPr="003C5CBB" w:rsidRDefault="00634BAE" w:rsidP="003C5CBB">
      <w:pPr>
        <w:pStyle w:val="BNormal"/>
      </w:pPr>
      <w:r w:rsidRPr="003C5CBB">
        <w:t xml:space="preserve">In addition, this factor must be analyzed in conjunction with the definition of a famous mark, which requires that a mark be “widely recognized by the </w:t>
      </w:r>
      <w:r w:rsidR="003C5CBB" w:rsidRPr="003C5CBB">
        <w:rPr>
          <w:i/>
        </w:rPr>
        <w:t>general consuming public</w:t>
      </w:r>
      <w:r w:rsidRPr="003C5CBB">
        <w:t>.” Thus, evidence of advertising must be viewed carefully</w:t>
      </w:r>
      <w:r w:rsidR="003C5CBB" w:rsidRPr="003C5CBB">
        <w:t>. W</w:t>
      </w:r>
      <w:r w:rsidRPr="003C5CBB">
        <w:t>as the advertising aimed at the “general consuming public” or only at a specific subset of the market</w:t>
      </w:r>
      <w:r w:rsidR="003C5CBB" w:rsidRPr="003C5CBB">
        <w:t>? I</w:t>
      </w:r>
      <w:r w:rsidRPr="003C5CBB">
        <w:t>f the latter, then advertising expenditures (at least without other evidence) would not be an adequate demonstration that the mark would be recognized by the general consuming public.</w:t>
      </w:r>
    </w:p>
    <w:p w14:paraId="32B52345" w14:textId="4832F363" w:rsidR="003C5CBB" w:rsidRPr="003C5CBB" w:rsidRDefault="008B3068" w:rsidP="008B3068">
      <w:pPr>
        <w:pStyle w:val="BHead3"/>
      </w:pPr>
      <w:r>
        <w:lastRenderedPageBreak/>
        <w:t>8.II.B.</w:t>
      </w:r>
      <w:r w:rsidR="003C5CBB" w:rsidRPr="008B3068">
        <w:rPr>
          <w:rStyle w:val="BBNAidChar"/>
          <w:rFonts w:eastAsiaTheme="majorEastAsia"/>
        </w:rPr>
        <w:t>2</w:t>
      </w:r>
      <w:r w:rsidR="003C5CBB" w:rsidRPr="003C5CBB">
        <w:t>.</w:t>
      </w:r>
      <w:r>
        <w:t> </w:t>
      </w:r>
      <w:r w:rsidR="003C5CBB" w:rsidRPr="003C5CBB">
        <w:tab/>
        <w:t>Amount and Extent of Sales Using the Mark</w:t>
      </w:r>
    </w:p>
    <w:p w14:paraId="1BA105EF" w14:textId="379B76E2" w:rsidR="003C5CBB" w:rsidRPr="003C5CBB" w:rsidRDefault="00634BAE" w:rsidP="003C5CBB">
      <w:pPr>
        <w:pStyle w:val="BNormal"/>
      </w:pPr>
      <w:r w:rsidRPr="003C5CBB">
        <w:t>As the Supreme Court recognized early in this century, a trademark’s value as a source identifier is directly connected to its actual use in the sale of goods or services.</w:t>
      </w:r>
      <w:r w:rsidR="003C5CBB" w:rsidRPr="003C5CBB">
        <w:rPr>
          <w:vertAlign w:val="superscript"/>
        </w:rPr>
        <w:footnoteReference w:id="69"/>
      </w:r>
      <w:r w:rsidRPr="003C5CBB">
        <w:t xml:space="preserve"> The greater the volume and more geographically extensive the sales, the more likely it is that the public will come to recognize the mark.</w:t>
      </w:r>
      <w:r w:rsidR="003C5CBB" w:rsidRPr="003C5CBB">
        <w:rPr>
          <w:vertAlign w:val="superscript"/>
        </w:rPr>
        <w:footnoteReference w:id="70"/>
      </w:r>
      <w:r w:rsidRPr="003C5CBB">
        <w:t xml:space="preserve"> As is the case with advertising, sales to a narrow segment of the public will be less relevant to a demonstration that the mark is known to the “general consuming public.” Very expensive items, such as airplanes or yachts, may yield high dollar volumes but would not necessarily translate into brand recognition by the general consuming public</w:t>
      </w:r>
      <w:r w:rsidR="003C5CBB" w:rsidRPr="003C5CBB">
        <w:t>. T</w:t>
      </w:r>
      <w:r w:rsidRPr="003C5CBB">
        <w:t>his factor makes an interesting change from the original FTDA</w:t>
      </w:r>
      <w:r w:rsidR="003C5CBB" w:rsidRPr="003C5CBB">
        <w:t>. O</w:t>
      </w:r>
      <w:r w:rsidRPr="003C5CBB">
        <w:t>riginally, the FTDA contained a factor that included both the extent of use and the duration of use</w:t>
      </w:r>
      <w:r w:rsidR="003C5CBB" w:rsidRPr="003C5CBB">
        <w:t>. T</w:t>
      </w:r>
      <w:r w:rsidRPr="003C5CBB">
        <w:t>he amended statute does not include duration of use, perhaps in recognition of the fact that fame can arise rather quickly, and the fact that even extensive sales of a product or service under a common name would not necessarily make the mark famous.</w:t>
      </w:r>
    </w:p>
    <w:p w14:paraId="7E8204B7" w14:textId="6B46A93A" w:rsidR="003C5CBB" w:rsidRPr="003C5CBB" w:rsidRDefault="00634BAE" w:rsidP="003C5CBB">
      <w:pPr>
        <w:pStyle w:val="BNormal"/>
      </w:pPr>
      <w:r w:rsidRPr="003C5CBB">
        <w:t>As with advertising, sales must be examined to see whether the purchasers reasonably represent the “general consuming public of the United States.” Sales only to one segment of the public may not satisfy the general definition of fame.</w:t>
      </w:r>
      <w:r w:rsidR="003C5CBB" w:rsidRPr="003C5CBB">
        <w:rPr>
          <w:vertAlign w:val="superscript"/>
        </w:rPr>
        <w:footnoteReference w:id="71"/>
      </w:r>
    </w:p>
    <w:p w14:paraId="0AE1C727" w14:textId="65AFEDE3" w:rsidR="003C5CBB" w:rsidRPr="003C5CBB" w:rsidRDefault="008B3068" w:rsidP="008B3068">
      <w:pPr>
        <w:pStyle w:val="BHead3"/>
      </w:pPr>
      <w:r>
        <w:t>8.II.B.</w:t>
      </w:r>
      <w:r w:rsidR="003C5CBB" w:rsidRPr="008B3068">
        <w:rPr>
          <w:rStyle w:val="BBNAidChar"/>
          <w:rFonts w:eastAsiaTheme="majorEastAsia"/>
        </w:rPr>
        <w:t>3</w:t>
      </w:r>
      <w:r w:rsidR="003C5CBB" w:rsidRPr="003C5CBB">
        <w:t>.</w:t>
      </w:r>
      <w:r>
        <w:t> </w:t>
      </w:r>
      <w:r w:rsidR="003C5CBB" w:rsidRPr="003C5CBB">
        <w:tab/>
        <w:t>Extent of Actual Recognition</w:t>
      </w:r>
    </w:p>
    <w:p w14:paraId="7201A6C3" w14:textId="5FC0FB6A" w:rsidR="003C5CBB" w:rsidRPr="003C5CBB" w:rsidRDefault="00634BAE" w:rsidP="003C5CBB">
      <w:pPr>
        <w:pStyle w:val="BNormal"/>
      </w:pPr>
      <w:r w:rsidRPr="003C5CBB">
        <w:t>The third factor is “[t]he extent of actual recognition of the mark.” This represents a spinoff of one of the original FTDA factors, the degree of inherent or acquired distinctiveness of the mark</w:t>
      </w:r>
      <w:r w:rsidR="003C5CBB" w:rsidRPr="003C5CBB">
        <w:t>. T</w:t>
      </w:r>
      <w:r w:rsidRPr="003C5CBB">
        <w:t xml:space="preserve">his factor would only measure the acquired distinctiveness, which is probably the </w:t>
      </w:r>
      <w:proofErr w:type="gramStart"/>
      <w:r w:rsidRPr="003C5CBB">
        <w:t>more</w:t>
      </w:r>
      <w:proofErr w:type="gramEnd"/>
      <w:r w:rsidRPr="003C5CBB">
        <w:t xml:space="preserve"> relevant indicator of fame.</w:t>
      </w:r>
      <w:r w:rsidR="003C5CBB" w:rsidRPr="003C5CBB">
        <w:rPr>
          <w:vertAlign w:val="superscript"/>
        </w:rPr>
        <w:footnoteReference w:id="72"/>
      </w:r>
      <w:r w:rsidRPr="003C5CBB">
        <w:t xml:space="preserve"> One would expect that a survey would be the most direct evidence available under this factor</w:t>
      </w:r>
      <w:r w:rsidR="003C5CBB" w:rsidRPr="003C5CBB">
        <w:t>. H</w:t>
      </w:r>
      <w:r w:rsidRPr="003C5CBB">
        <w:t>owever, because the statute requires that the mark be “widely recognized” (both in terms of the types of consumers and the geographic extent of recognition), a survey would have to be conducted with care</w:t>
      </w:r>
      <w:r w:rsidR="003C5CBB" w:rsidRPr="003C5CBB">
        <w:t>. I</w:t>
      </w:r>
      <w:r w:rsidRPr="003C5CBB">
        <w:t>t would have to include a wide enough range of respondents to constitute the “general consuming public” and a sufficient geographic range to justify it as demonstrating the necessary scope of recognition</w:t>
      </w:r>
      <w:r w:rsidR="003C5CBB" w:rsidRPr="003C5CBB">
        <w:t>. M</w:t>
      </w:r>
      <w:r w:rsidRPr="003C5CBB">
        <w:t>oreover, the Trademark Trial and Appeal Board has emphasized its preference for unaided surveys as opposed to aided surveys for demonstrating fame.</w:t>
      </w:r>
      <w:r w:rsidR="003C5CBB" w:rsidRPr="003C5CBB">
        <w:rPr>
          <w:vertAlign w:val="superscript"/>
        </w:rPr>
        <w:footnoteReference w:id="73"/>
      </w:r>
    </w:p>
    <w:p w14:paraId="44EE940D" w14:textId="2945FDE6" w:rsidR="003C5CBB" w:rsidRPr="003C5CBB" w:rsidRDefault="008B3068" w:rsidP="008B3068">
      <w:pPr>
        <w:pStyle w:val="BHead3"/>
      </w:pPr>
      <w:r>
        <w:t>8.II.B.</w:t>
      </w:r>
      <w:r w:rsidR="003C5CBB" w:rsidRPr="008B3068">
        <w:rPr>
          <w:rStyle w:val="BBNAidChar"/>
          <w:rFonts w:eastAsiaTheme="majorEastAsia"/>
        </w:rPr>
        <w:t>4</w:t>
      </w:r>
      <w:r w:rsidR="003C5CBB" w:rsidRPr="003C5CBB">
        <w:t>.</w:t>
      </w:r>
      <w:r>
        <w:t> </w:t>
      </w:r>
      <w:r w:rsidR="003C5CBB" w:rsidRPr="003C5CBB">
        <w:tab/>
        <w:t>Registration Under the Lanham Act</w:t>
      </w:r>
    </w:p>
    <w:p w14:paraId="5635F788" w14:textId="2A42CD96" w:rsidR="003C5CBB" w:rsidRPr="003C5CBB" w:rsidRDefault="00634BAE" w:rsidP="003C5CBB">
      <w:pPr>
        <w:pStyle w:val="BNormal"/>
      </w:pPr>
      <w:r w:rsidRPr="003C5CBB">
        <w:t>The fourth and final factor—whether the mark is registered on the Principal Register under the Lanham Act</w:t>
      </w:r>
      <w:r w:rsidR="003C5CBB" w:rsidRPr="003C5CBB">
        <w:rPr>
          <w:vertAlign w:val="superscript"/>
        </w:rPr>
        <w:footnoteReference w:id="74"/>
      </w:r>
      <w:r w:rsidRPr="003C5CBB">
        <w:t>—is by far the least relevant of the four</w:t>
      </w:r>
      <w:r w:rsidR="003C5CBB" w:rsidRPr="003C5CBB">
        <w:t>. W</w:t>
      </w:r>
      <w:r w:rsidRPr="003C5CBB">
        <w:t xml:space="preserve">hen the FTDA </w:t>
      </w:r>
      <w:proofErr w:type="gramStart"/>
      <w:r w:rsidRPr="003C5CBB">
        <w:t>was being</w:t>
      </w:r>
      <w:proofErr w:type="gramEnd"/>
      <w:r w:rsidRPr="003C5CBB">
        <w:t xml:space="preserve"> debated in 1995, the proposal allowed only registered marks to be eligible for dilution protection</w:t>
      </w:r>
      <w:r w:rsidR="003C5CBB" w:rsidRPr="003C5CBB">
        <w:t>. R</w:t>
      </w:r>
      <w:r w:rsidRPr="003C5CBB">
        <w:t>ep</w:t>
      </w:r>
      <w:r w:rsidR="003C5CBB" w:rsidRPr="003C5CBB">
        <w:t>. P</w:t>
      </w:r>
      <w:r w:rsidRPr="003C5CBB">
        <w:t>atricia S</w:t>
      </w:r>
      <w:r w:rsidR="003C5CBB" w:rsidRPr="003C5CBB">
        <w:t>. S</w:t>
      </w:r>
      <w:r w:rsidRPr="003C5CBB">
        <w:t xml:space="preserve">chroeder offered an amendment, which </w:t>
      </w:r>
      <w:r w:rsidRPr="003C5CBB">
        <w:lastRenderedPageBreak/>
        <w:t>was accepted, that made the FTDA applicable to nonregistered marks.</w:t>
      </w:r>
      <w:r w:rsidR="003C5CBB" w:rsidRPr="003C5CBB">
        <w:rPr>
          <w:vertAlign w:val="superscript"/>
        </w:rPr>
        <w:footnoteReference w:id="75"/>
      </w:r>
      <w:r w:rsidRPr="003C5CBB">
        <w:t xml:space="preserve"> However, Congress, in an apparent effort to encourage registration of marks, decided to make the existence of a registration a “plus” factor in the analysis of fame, by including it in the eight original factors under the FTDA</w:t>
      </w:r>
      <w:r w:rsidR="003C5CBB" w:rsidRPr="003C5CBB">
        <w:t>. T</w:t>
      </w:r>
      <w:r w:rsidRPr="003C5CBB">
        <w:t>he TDRA kept this factor, apparently for the same reason</w:t>
      </w:r>
      <w:r w:rsidR="003C5CBB" w:rsidRPr="003C5CBB">
        <w:t>. A</w:t>
      </w:r>
      <w:r w:rsidRPr="003C5CBB">
        <w:t>lthough it is true that one would expect the owner of a famous mark to register it in order to protect his or her investment,</w:t>
      </w:r>
      <w:r w:rsidR="003C5CBB" w:rsidRPr="003C5CBB">
        <w:rPr>
          <w:vertAlign w:val="superscript"/>
        </w:rPr>
        <w:footnoteReference w:id="76"/>
      </w:r>
      <w:r w:rsidRPr="003C5CBB">
        <w:t xml:space="preserve"> the existence of a registration does nothing to demonstrate that the “general consuming public” actually recognizes the mark.</w:t>
      </w:r>
      <w:r w:rsidR="003C5CBB" w:rsidRPr="003C5CBB">
        <w:rPr>
          <w:vertAlign w:val="superscript"/>
        </w:rPr>
        <w:footnoteReference w:id="77"/>
      </w:r>
      <w:r w:rsidRPr="003C5CBB">
        <w:t xml:space="preserve"> Furthermore, giving too much weight to this factor would defeat the purpose of the amendment permitting unregistered marks to be eligible for federal dilution protection.</w:t>
      </w:r>
      <w:r w:rsidR="003C5CBB" w:rsidRPr="003C5CBB">
        <w:rPr>
          <w:vertAlign w:val="superscript"/>
        </w:rPr>
        <w:footnoteReference w:id="78"/>
      </w:r>
    </w:p>
    <w:p w14:paraId="75AB55A3" w14:textId="7D2A31A0" w:rsidR="003C5CBB" w:rsidRPr="003C5CBB" w:rsidRDefault="008B3068" w:rsidP="008B3068">
      <w:pPr>
        <w:pStyle w:val="BHead2"/>
      </w:pPr>
      <w:r>
        <w:t>8.II.</w:t>
      </w:r>
      <w:r w:rsidR="003C5CBB" w:rsidRPr="008B3068">
        <w:rPr>
          <w:rStyle w:val="BBNAidChar"/>
          <w:rFonts w:eastAsiaTheme="majorEastAsia"/>
        </w:rPr>
        <w:t>C</w:t>
      </w:r>
      <w:r w:rsidR="003C5CBB" w:rsidRPr="003C5CBB">
        <w:t>.</w:t>
      </w:r>
      <w:r>
        <w:t> </w:t>
      </w:r>
      <w:r w:rsidR="003C5CBB" w:rsidRPr="003C5CBB">
        <w:tab/>
        <w:t>The Efficacy of the Factors as a Guide to Courts</w:t>
      </w:r>
    </w:p>
    <w:p w14:paraId="0CAC6940" w14:textId="3B095255" w:rsidR="003C5CBB" w:rsidRPr="003C5CBB" w:rsidRDefault="00634BAE" w:rsidP="003C5CBB">
      <w:pPr>
        <w:pStyle w:val="BNormal"/>
      </w:pPr>
      <w:r w:rsidRPr="003C5CBB">
        <w:t>Although at least three of the four guiding factors are relevant to a determination of fame, these factors will require careful interpretation by courts</w:t>
      </w:r>
      <w:r w:rsidR="003C5CBB" w:rsidRPr="003C5CBB">
        <w:t>. F</w:t>
      </w:r>
      <w:r w:rsidRPr="003C5CBB">
        <w:t xml:space="preserve">irst, as noted earlier, the factors do </w:t>
      </w:r>
      <w:proofErr w:type="gramStart"/>
      <w:r w:rsidRPr="003C5CBB">
        <w:t>not themselves</w:t>
      </w:r>
      <w:proofErr w:type="gramEnd"/>
      <w:r w:rsidRPr="003C5CBB">
        <w:t xml:space="preserve"> require any </w:t>
      </w:r>
      <w:proofErr w:type="gramStart"/>
      <w:r w:rsidRPr="003C5CBB">
        <w:t xml:space="preserve">particular </w:t>
      </w:r>
      <w:r w:rsidR="003C5CBB" w:rsidRPr="003C5CBB">
        <w:rPr>
          <w:i/>
        </w:rPr>
        <w:t>extent</w:t>
      </w:r>
      <w:proofErr w:type="gramEnd"/>
      <w:r w:rsidRPr="003C5CBB">
        <w:t xml:space="preserve"> of advertising, publicity, use, or recognition</w:t>
      </w:r>
      <w:r w:rsidR="003C5CBB" w:rsidRPr="003C5CBB">
        <w:t>. T</w:t>
      </w:r>
      <w:r w:rsidRPr="003C5CBB">
        <w:t xml:space="preserve">hey do have to be interpreted </w:t>
      </w:r>
      <w:proofErr w:type="gramStart"/>
      <w:r w:rsidRPr="003C5CBB">
        <w:t>in light of</w:t>
      </w:r>
      <w:proofErr w:type="gramEnd"/>
      <w:r w:rsidRPr="003C5CBB">
        <w:t xml:space="preserve"> the requirement of a “widely recognized” mark.</w:t>
      </w:r>
    </w:p>
    <w:p w14:paraId="5429CF5D" w14:textId="4C7650A3" w:rsidR="003C5CBB" w:rsidRPr="003C5CBB" w:rsidRDefault="00634BAE" w:rsidP="003C5CBB">
      <w:pPr>
        <w:pStyle w:val="BNormal"/>
      </w:pPr>
      <w:r w:rsidRPr="003C5CBB">
        <w:t>Second, these factors do not require that a mark be recognized by the public apart from the goods or services with which it is used</w:t>
      </w:r>
      <w:r w:rsidR="003C5CBB" w:rsidRPr="003C5CBB">
        <w:t xml:space="preserve">. </w:t>
      </w:r>
      <w:proofErr w:type="gramStart"/>
      <w:r w:rsidR="003C5CBB" w:rsidRPr="003C5CBB">
        <w:t>I</w:t>
      </w:r>
      <w:r w:rsidRPr="003C5CBB">
        <w:t>n particular, advertising</w:t>
      </w:r>
      <w:proofErr w:type="gramEnd"/>
      <w:r w:rsidRPr="003C5CBB">
        <w:t xml:space="preserve"> would be aimed at the target audience, and sales would be limited to that audience</w:t>
      </w:r>
      <w:r w:rsidR="003C5CBB" w:rsidRPr="003C5CBB">
        <w:t>. C</w:t>
      </w:r>
      <w:r w:rsidRPr="003C5CBB">
        <w:t>ourts must consider whether the advertising and/or sales reach the general consuming public</w:t>
      </w:r>
      <w:r w:rsidR="003C5CBB" w:rsidRPr="003C5CBB">
        <w:t>. T</w:t>
      </w:r>
      <w:r w:rsidRPr="003C5CBB">
        <w:t>hat, of course, would be difficult to measure</w:t>
      </w:r>
      <w:r w:rsidR="003C5CBB" w:rsidRPr="003C5CBB">
        <w:t>. H</w:t>
      </w:r>
      <w:r w:rsidRPr="003C5CBB">
        <w:t>owever, because dilution has its greatest power when two parties do not compete, it is important to know whether, in addition to its wide recognition, the reputedly famous mark is recognized as pointing to the famous mark owner when seen outside of the context of its usual product niche</w:t>
      </w:r>
      <w:r w:rsidR="003C5CBB" w:rsidRPr="003C5CBB">
        <w:t>. T</w:t>
      </w:r>
      <w:r w:rsidRPr="003C5CBB">
        <w:t xml:space="preserve">his could be considered part of the analysis of dilution itself, although none of the factors added by the TDRA to guide the analysis of dilution by blurring (separate from the fame factors) </w:t>
      </w:r>
      <w:proofErr w:type="gramStart"/>
      <w:r w:rsidRPr="003C5CBB">
        <w:t>includes</w:t>
      </w:r>
      <w:proofErr w:type="gramEnd"/>
      <w:r w:rsidRPr="003C5CBB">
        <w:t xml:space="preserve"> an explicit requirement of recognition outside of the mark’s product environment</w:t>
      </w:r>
      <w:r w:rsidR="003C5CBB" w:rsidRPr="003C5CBB">
        <w:t>. (</w:t>
      </w:r>
      <w:r w:rsidRPr="003C5CBB">
        <w:t xml:space="preserve">The dilution factors do, however, acknowledge the relevance of the mark’s uniqueness, as discussed further in Chapter 9.) One hopes that courts will consider this as a part of their </w:t>
      </w:r>
      <w:proofErr w:type="gramStart"/>
      <w:r w:rsidRPr="003C5CBB">
        <w:t>analyses</w:t>
      </w:r>
      <w:proofErr w:type="gramEnd"/>
      <w:r w:rsidRPr="003C5CBB">
        <w:t>.</w:t>
      </w:r>
    </w:p>
    <w:p w14:paraId="52A9C8CB" w14:textId="269BD706" w:rsidR="003C5CBB" w:rsidRPr="003C5CBB" w:rsidRDefault="00634BAE" w:rsidP="003C5CBB">
      <w:pPr>
        <w:pStyle w:val="BNormal"/>
      </w:pPr>
      <w:r w:rsidRPr="003C5CBB">
        <w:t xml:space="preserve">In the first few years of </w:t>
      </w:r>
      <w:proofErr w:type="gramStart"/>
      <w:r w:rsidRPr="003C5CBB">
        <w:t>the FTDA’s</w:t>
      </w:r>
      <w:proofErr w:type="gramEnd"/>
      <w:r w:rsidRPr="003C5CBB">
        <w:t xml:space="preserve"> existence, many courts were not particularly rigorous in their analysis of fame</w:t>
      </w:r>
      <w:r w:rsidR="003C5CBB" w:rsidRPr="003C5CBB">
        <w:t>. H</w:t>
      </w:r>
      <w:r w:rsidRPr="003C5CBB">
        <w:t xml:space="preserve">owever, as time went on, courts became more stringent in their </w:t>
      </w:r>
      <w:proofErr w:type="gramStart"/>
      <w:r w:rsidRPr="003C5CBB">
        <w:t>analyses</w:t>
      </w:r>
      <w:proofErr w:type="gramEnd"/>
      <w:r w:rsidR="003C5CBB" w:rsidRPr="003C5CBB">
        <w:t>. T</w:t>
      </w:r>
      <w:r w:rsidRPr="003C5CBB">
        <w:t>he TDRA anticipates the continuation of a rigorous analysis, and even eliminates “niche fame,” which was a means by which some marks that were less than widely recognized could be deemed famous under the original FTDA.</w:t>
      </w:r>
    </w:p>
    <w:p w14:paraId="6C6F6E4D" w14:textId="56BEB57E" w:rsidR="003C5CBB" w:rsidRPr="003C5CBB" w:rsidRDefault="008B3068" w:rsidP="008B3068">
      <w:pPr>
        <w:pStyle w:val="BHead2"/>
      </w:pPr>
      <w:r>
        <w:t>8.II.</w:t>
      </w:r>
      <w:r w:rsidR="003C5CBB" w:rsidRPr="008B3068">
        <w:rPr>
          <w:rStyle w:val="BBNAidChar"/>
          <w:rFonts w:eastAsiaTheme="majorEastAsia"/>
        </w:rPr>
        <w:t>D</w:t>
      </w:r>
      <w:r w:rsidR="003C5CBB" w:rsidRPr="003C5CBB">
        <w:t>.</w:t>
      </w:r>
      <w:r>
        <w:t> </w:t>
      </w:r>
      <w:r w:rsidR="003C5CBB" w:rsidRPr="003C5CBB">
        <w:tab/>
        <w:t>Are the Original FTDA Factors Still Relevant Under the TDRA?</w:t>
      </w:r>
    </w:p>
    <w:p w14:paraId="5595A647" w14:textId="5923C931" w:rsidR="003C5CBB" w:rsidRPr="003C5CBB" w:rsidRDefault="00634BAE" w:rsidP="003C5CBB">
      <w:pPr>
        <w:pStyle w:val="BNormal"/>
      </w:pPr>
      <w:r w:rsidRPr="003C5CBB">
        <w:t>Prior to the TDRA, federal dilution law suffered from two critical defects that made the analysis of fame particularly challenging</w:t>
      </w:r>
      <w:r w:rsidR="003C5CBB" w:rsidRPr="003C5CBB">
        <w:t>. F</w:t>
      </w:r>
      <w:r w:rsidRPr="003C5CBB">
        <w:t>irst, the statute contained no definition of fame, only factors to consider</w:t>
      </w:r>
      <w:r w:rsidR="003C5CBB" w:rsidRPr="003C5CBB">
        <w:t>. T</w:t>
      </w:r>
      <w:r w:rsidRPr="003C5CBB">
        <w:t xml:space="preserve">hus, there </w:t>
      </w:r>
      <w:r w:rsidRPr="003C5CBB">
        <w:lastRenderedPageBreak/>
        <w:t>was no structure for the application of the factors</w:t>
      </w:r>
      <w:r w:rsidR="003C5CBB" w:rsidRPr="003C5CBB">
        <w:t>. S</w:t>
      </w:r>
      <w:r w:rsidRPr="003C5CBB">
        <w:t>econd, the original eight factors were to be used to determine whether a mark was “distinctive and famous.” But distinctiveness and fame are two separate things, and the prior factors did not distinguish between the two</w:t>
      </w:r>
      <w:r w:rsidR="003C5CBB" w:rsidRPr="003C5CBB">
        <w:t>. T</w:t>
      </w:r>
      <w:r w:rsidRPr="003C5CBB">
        <w:t>he FTDA originally included eight factors</w:t>
      </w:r>
      <w:r w:rsidR="003C5CBB" w:rsidRPr="003C5CBB">
        <w:t>; t</w:t>
      </w:r>
      <w:r w:rsidRPr="003C5CBB">
        <w:t>he TDRA reduced the number of factors to four</w:t>
      </w:r>
      <w:r w:rsidR="003C5CBB" w:rsidRPr="003C5CBB">
        <w:t>. I</w:t>
      </w:r>
      <w:r w:rsidRPr="003C5CBB">
        <w:t>t is sensible to ask whether the TDRA’s changes—defining fame, separating it from distinctiveness, reducing the number of factors, and in some cases revising them—makes the FTDA’s eight factors irrelevant under the TDRA.</w:t>
      </w:r>
    </w:p>
    <w:p w14:paraId="7668A19C" w14:textId="77777777" w:rsidR="003C5CBB" w:rsidRPr="003C5CBB" w:rsidRDefault="00634BAE" w:rsidP="003C5CBB">
      <w:pPr>
        <w:pStyle w:val="BNormal"/>
      </w:pPr>
      <w:r w:rsidRPr="003C5CBB">
        <w:t>The eight original factors under the FTDA were as follows:</w:t>
      </w:r>
    </w:p>
    <w:p w14:paraId="30055606" w14:textId="6A7EDEB7" w:rsidR="003C5CBB" w:rsidRPr="003C5CBB" w:rsidRDefault="00634BAE" w:rsidP="003C5CBB">
      <w:pPr>
        <w:pStyle w:val="BListitemorig"/>
      </w:pPr>
      <w:r w:rsidRPr="003C5CBB">
        <w:t xml:space="preserve">(A) the degree of inherent or acquired distinctiveness of the </w:t>
      </w:r>
      <w:proofErr w:type="gramStart"/>
      <w:r w:rsidRPr="003C5CBB">
        <w:t>mark;</w:t>
      </w:r>
      <w:proofErr w:type="gramEnd"/>
    </w:p>
    <w:p w14:paraId="4815792B" w14:textId="20330366" w:rsidR="003C5CBB" w:rsidRPr="003C5CBB" w:rsidRDefault="00634BAE" w:rsidP="003C5CBB">
      <w:pPr>
        <w:pStyle w:val="BListitemorig"/>
      </w:pPr>
      <w:r w:rsidRPr="003C5CBB">
        <w:t xml:space="preserve">(B) the duration and extent of use of the mark in connection with the goods or services with which the mark is </w:t>
      </w:r>
      <w:proofErr w:type="gramStart"/>
      <w:r w:rsidRPr="003C5CBB">
        <w:t>used;</w:t>
      </w:r>
      <w:proofErr w:type="gramEnd"/>
    </w:p>
    <w:p w14:paraId="0AAA0711" w14:textId="60162FA0" w:rsidR="003C5CBB" w:rsidRPr="003C5CBB" w:rsidRDefault="00634BAE" w:rsidP="003C5CBB">
      <w:pPr>
        <w:pStyle w:val="BListitemorig"/>
      </w:pPr>
      <w:r w:rsidRPr="003C5CBB">
        <w:t xml:space="preserve">(C) the duration and extent of advertising and publicity of the </w:t>
      </w:r>
      <w:proofErr w:type="gramStart"/>
      <w:r w:rsidRPr="003C5CBB">
        <w:t>mark;</w:t>
      </w:r>
      <w:proofErr w:type="gramEnd"/>
    </w:p>
    <w:p w14:paraId="51B745B8" w14:textId="4E2E0995" w:rsidR="003C5CBB" w:rsidRPr="003C5CBB" w:rsidRDefault="00634BAE" w:rsidP="003C5CBB">
      <w:pPr>
        <w:pStyle w:val="BListitemorig"/>
      </w:pPr>
      <w:r w:rsidRPr="003C5CBB">
        <w:t xml:space="preserve">(D) the geographical extent of the trading area in which the mark is </w:t>
      </w:r>
      <w:proofErr w:type="gramStart"/>
      <w:r w:rsidRPr="003C5CBB">
        <w:t>used;</w:t>
      </w:r>
      <w:proofErr w:type="gramEnd"/>
    </w:p>
    <w:p w14:paraId="6D3E1704" w14:textId="573267A7" w:rsidR="003C5CBB" w:rsidRPr="003C5CBB" w:rsidRDefault="00634BAE" w:rsidP="003C5CBB">
      <w:pPr>
        <w:pStyle w:val="BListitemorig"/>
      </w:pPr>
      <w:r w:rsidRPr="003C5CBB">
        <w:t xml:space="preserve">(E) the channels of trade for the goods or services with which the mark is </w:t>
      </w:r>
      <w:proofErr w:type="gramStart"/>
      <w:r w:rsidRPr="003C5CBB">
        <w:t>used;</w:t>
      </w:r>
      <w:proofErr w:type="gramEnd"/>
    </w:p>
    <w:p w14:paraId="37DE35EB" w14:textId="43BF594B" w:rsidR="003C5CBB" w:rsidRPr="003C5CBB" w:rsidRDefault="00634BAE" w:rsidP="003C5CBB">
      <w:pPr>
        <w:pStyle w:val="BListitemorig"/>
      </w:pPr>
      <w:r w:rsidRPr="003C5CBB">
        <w:t xml:space="preserve">(F) the degree of recognition of the mark in the trading areas and channels of trade used by the mark’s owner and the person against whom the injunction is </w:t>
      </w:r>
      <w:proofErr w:type="gramStart"/>
      <w:r w:rsidRPr="003C5CBB">
        <w:t>sought;</w:t>
      </w:r>
      <w:proofErr w:type="gramEnd"/>
    </w:p>
    <w:p w14:paraId="140E65C5" w14:textId="1ED1741B" w:rsidR="003C5CBB" w:rsidRPr="003C5CBB" w:rsidRDefault="00634BAE" w:rsidP="003C5CBB">
      <w:pPr>
        <w:pStyle w:val="BListitemorig"/>
      </w:pPr>
      <w:r w:rsidRPr="003C5CBB">
        <w:t>(G) the nature and extent of use of the same or similar marks by third parties</w:t>
      </w:r>
      <w:r w:rsidR="003C5CBB" w:rsidRPr="003C5CBB">
        <w:t>; a</w:t>
      </w:r>
      <w:r w:rsidRPr="003C5CBB">
        <w:t>nd</w:t>
      </w:r>
    </w:p>
    <w:p w14:paraId="78ADFA2F" w14:textId="645FEBD3" w:rsidR="003C5CBB" w:rsidRPr="003C5CBB" w:rsidRDefault="00634BAE" w:rsidP="003C5CBB">
      <w:pPr>
        <w:pStyle w:val="BListitemorig"/>
      </w:pPr>
      <w:r w:rsidRPr="003C5CBB">
        <w:t>(H) whether the mark was registered under the Act of March 3, 1881, or the Act of February 20, 1905, or on the principal register.</w:t>
      </w:r>
      <w:r w:rsidR="003C5CBB" w:rsidRPr="003C5CBB">
        <w:rPr>
          <w:vertAlign w:val="superscript"/>
        </w:rPr>
        <w:footnoteReference w:id="79"/>
      </w:r>
    </w:p>
    <w:p w14:paraId="1FD42515" w14:textId="3D4DD7C1" w:rsidR="003C5CBB" w:rsidRPr="003C5CBB" w:rsidRDefault="00634BAE" w:rsidP="003C5CBB">
      <w:pPr>
        <w:pStyle w:val="BNormal"/>
      </w:pPr>
      <w:r w:rsidRPr="003C5CBB">
        <w:t>Registration, probably the least relevant factor, was retained in the TDRA</w:t>
      </w:r>
      <w:r w:rsidR="003C5CBB" w:rsidRPr="003C5CBB">
        <w:t>. T</w:t>
      </w:r>
      <w:r w:rsidRPr="003C5CBB">
        <w:t>he second factor (and, to a large degree, the fourth) is largely retained in the second TDRA factor, except that the TDRA omits the “duration” and refers specifically to “sales,” not use</w:t>
      </w:r>
      <w:r w:rsidR="003C5CBB" w:rsidRPr="003C5CBB">
        <w:t>. T</w:t>
      </w:r>
      <w:r w:rsidRPr="003C5CBB">
        <w:t>he third factor is essentially retained by the first TDRA factor</w:t>
      </w:r>
      <w:r w:rsidR="003C5CBB" w:rsidRPr="003C5CBB">
        <w:t>. T</w:t>
      </w:r>
      <w:r w:rsidRPr="003C5CBB">
        <w:t>he TDRA’s third factor—extent of actual recognition—reflects parts of the original first and sixth factors, though the TDRA’s factor is more narrowly focused</w:t>
      </w:r>
      <w:r w:rsidR="003C5CBB" w:rsidRPr="003C5CBB">
        <w:t>. T</w:t>
      </w:r>
      <w:r w:rsidRPr="003C5CBB">
        <w:t>hus, the TDRA reflects several of the original factors.</w:t>
      </w:r>
    </w:p>
    <w:p w14:paraId="31B4064E" w14:textId="292BC92C" w:rsidR="003C5CBB" w:rsidRPr="003C5CBB" w:rsidRDefault="00634BAE" w:rsidP="003C5CBB">
      <w:pPr>
        <w:pStyle w:val="BNormal"/>
      </w:pPr>
      <w:r w:rsidRPr="003C5CBB">
        <w:t>As for the factors, or parts thereof, omitted by the TDRA, courts should be circumspect about applying them after the TDRA</w:t>
      </w:r>
      <w:r w:rsidR="003C5CBB" w:rsidRPr="003C5CBB">
        <w:t>. T</w:t>
      </w:r>
      <w:r w:rsidRPr="003C5CBB">
        <w:t>he drafters of the TDRA presumably considered the issue and determined that the omitted factors were not as relevant to the TDRA’s definition of fame</w:t>
      </w:r>
      <w:r w:rsidR="003C5CBB" w:rsidRPr="003C5CBB">
        <w:t>. O</w:t>
      </w:r>
      <w:r w:rsidRPr="003C5CBB">
        <w:t xml:space="preserve">n the other hand, the TDRA permits courts to consider other factors, </w:t>
      </w:r>
      <w:proofErr w:type="gramStart"/>
      <w:r w:rsidRPr="003C5CBB">
        <w:t>provided that</w:t>
      </w:r>
      <w:proofErr w:type="gramEnd"/>
      <w:r w:rsidRPr="003C5CBB">
        <w:t xml:space="preserve"> they are relevant to the issue as currently circumscribed</w:t>
      </w:r>
      <w:r w:rsidR="003C5CBB" w:rsidRPr="003C5CBB">
        <w:t>. T</w:t>
      </w:r>
      <w:r w:rsidRPr="003C5CBB">
        <w:t>hus, the channels of trade of the mark’s use would only be relevant in distinguishing niche market marks—marks that are famous only in a specific product market—from marks recognized by the “general consuming public.” A product with channels of trade that included most consumers would tend to indicate that its associated mark was not a niche market mark</w:t>
      </w:r>
      <w:r w:rsidR="003C5CBB" w:rsidRPr="003C5CBB">
        <w:t>. B</w:t>
      </w:r>
      <w:r w:rsidRPr="003C5CBB">
        <w:t>ut since niche market</w:t>
      </w:r>
      <w:r w:rsidR="003C5CBB" w:rsidRPr="003C5CBB">
        <w:rPr>
          <w:i/>
        </w:rPr>
        <w:t xml:space="preserve"> sales</w:t>
      </w:r>
      <w:r w:rsidRPr="003C5CBB">
        <w:t xml:space="preserve"> do not necessarily mean niche market</w:t>
      </w:r>
      <w:r w:rsidR="003C5CBB" w:rsidRPr="003C5CBB">
        <w:rPr>
          <w:i/>
        </w:rPr>
        <w:t xml:space="preserve"> recognition</w:t>
      </w:r>
      <w:r w:rsidRPr="003C5CBB">
        <w:t xml:space="preserve"> (e.g., Rolls-Royce cars), this factor’s relevance is somewhat limited.</w:t>
      </w:r>
    </w:p>
    <w:p w14:paraId="7CE4EEAF" w14:textId="725A5B9F" w:rsidR="003C5CBB" w:rsidRPr="003C5CBB" w:rsidRDefault="00634BAE" w:rsidP="003C5CBB">
      <w:pPr>
        <w:pStyle w:val="BNormal"/>
      </w:pPr>
      <w:r w:rsidRPr="003C5CBB">
        <w:t>Inherent distinctiveness, a part of the first FTDA factor, is a separate concern under the TDRA</w:t>
      </w:r>
      <w:r w:rsidR="003C5CBB" w:rsidRPr="003C5CBB">
        <w:t>. A</w:t>
      </w:r>
      <w:r w:rsidRPr="003C5CBB">
        <w:t xml:space="preserve"> mark must be both famous and distinctive, separately considered</w:t>
      </w:r>
      <w:r w:rsidR="003C5CBB" w:rsidRPr="003C5CBB">
        <w:t>. I</w:t>
      </w:r>
      <w:r w:rsidRPr="003C5CBB">
        <w:t>t is not entirely irrelevant to fame</w:t>
      </w:r>
      <w:r w:rsidR="003C5CBB" w:rsidRPr="003C5CBB">
        <w:t>; a</w:t>
      </w:r>
      <w:r w:rsidRPr="003C5CBB">
        <w:t>n unusual, conceptually strong mark might tend to be remembered by consumers</w:t>
      </w:r>
      <w:r w:rsidR="003C5CBB" w:rsidRPr="003C5CBB">
        <w:t xml:space="preserve">. </w:t>
      </w:r>
      <w:proofErr w:type="gramStart"/>
      <w:r w:rsidR="003C5CBB" w:rsidRPr="003C5CBB">
        <w:t>H</w:t>
      </w:r>
      <w:r w:rsidRPr="003C5CBB">
        <w:t>owever</w:t>
      </w:r>
      <w:proofErr w:type="gramEnd"/>
      <w:r w:rsidRPr="003C5CBB">
        <w:t xml:space="preserve"> it is far less important under the TDRA definition of fame.</w:t>
      </w:r>
    </w:p>
    <w:p w14:paraId="70F35000" w14:textId="352BD7A5" w:rsidR="003C5CBB" w:rsidRPr="003C5CBB" w:rsidRDefault="00634BAE" w:rsidP="003C5CBB">
      <w:pPr>
        <w:pStyle w:val="BNormal"/>
      </w:pPr>
      <w:r w:rsidRPr="003C5CBB">
        <w:lastRenderedPageBreak/>
        <w:t xml:space="preserve">Third-party use of the mark is </w:t>
      </w:r>
      <w:proofErr w:type="gramStart"/>
      <w:r w:rsidRPr="003C5CBB">
        <w:t>really more</w:t>
      </w:r>
      <w:proofErr w:type="gramEnd"/>
      <w:r w:rsidRPr="003C5CBB">
        <w:t xml:space="preserve"> relevant to the issue of dilution than fame</w:t>
      </w:r>
      <w:r w:rsidR="003C5CBB" w:rsidRPr="003C5CBB">
        <w:t>. T</w:t>
      </w:r>
      <w:r w:rsidRPr="003C5CBB">
        <w:t>hus, its omission by the TDRA makes sense.</w:t>
      </w:r>
    </w:p>
    <w:p w14:paraId="709596CA" w14:textId="75A5B3E5" w:rsidR="003C5CBB" w:rsidRPr="003C5CBB" w:rsidRDefault="00634BAE" w:rsidP="003C5CBB">
      <w:pPr>
        <w:pStyle w:val="BNormal"/>
      </w:pPr>
      <w:r w:rsidRPr="003C5CBB">
        <w:t xml:space="preserve">In sum, those factors (or parts thereof) not subsumed by the TDRA definition and not included in its factors are of limited </w:t>
      </w:r>
      <w:proofErr w:type="gramStart"/>
      <w:r w:rsidRPr="003C5CBB">
        <w:t>relevance, but</w:t>
      </w:r>
      <w:proofErr w:type="gramEnd"/>
      <w:r w:rsidRPr="003C5CBB">
        <w:t xml:space="preserve"> may be of some use in particular instances.</w:t>
      </w:r>
    </w:p>
    <w:p w14:paraId="3555EE46" w14:textId="6D45920A" w:rsidR="003C5CBB" w:rsidRPr="003C5CBB" w:rsidRDefault="008B3068" w:rsidP="008B3068">
      <w:pPr>
        <w:pStyle w:val="BHead1"/>
      </w:pPr>
      <w:r>
        <w:t>8.</w:t>
      </w:r>
      <w:r w:rsidR="003C5CBB" w:rsidRPr="008B3068">
        <w:rPr>
          <w:rStyle w:val="BBNAidChar"/>
          <w:rFonts w:eastAsiaTheme="majorEastAsia"/>
        </w:rPr>
        <w:t>III</w:t>
      </w:r>
      <w:r w:rsidR="003C5CBB" w:rsidRPr="003C5CBB">
        <w:t>.</w:t>
      </w:r>
      <w:r>
        <w:t xml:space="preserve">  </w:t>
      </w:r>
      <w:r w:rsidR="003C5CBB" w:rsidRPr="003C5CBB">
        <w:t>Analyzing Fame: The Courts’ Experience</w:t>
      </w:r>
    </w:p>
    <w:p w14:paraId="0384A64D" w14:textId="21007FB9" w:rsidR="003C5CBB" w:rsidRPr="003C5CBB" w:rsidRDefault="008B3068" w:rsidP="008B3068">
      <w:pPr>
        <w:pStyle w:val="BHead2"/>
      </w:pPr>
      <w:r>
        <w:t>8.III.</w:t>
      </w:r>
      <w:r w:rsidR="003C5CBB" w:rsidRPr="008B3068">
        <w:rPr>
          <w:rStyle w:val="BBNAidChar"/>
          <w:rFonts w:eastAsiaTheme="majorEastAsia"/>
        </w:rPr>
        <w:t>A</w:t>
      </w:r>
      <w:r w:rsidR="003C5CBB" w:rsidRPr="003C5CBB">
        <w:t>.</w:t>
      </w:r>
      <w:r>
        <w:t> </w:t>
      </w:r>
      <w:r w:rsidR="003C5CBB" w:rsidRPr="003C5CBB">
        <w:tab/>
        <w:t>Court Opinions After the TDRA</w:t>
      </w:r>
    </w:p>
    <w:p w14:paraId="2785376B" w14:textId="1C5A6DA3" w:rsidR="003C5CBB" w:rsidRPr="003C5CBB" w:rsidRDefault="00634BAE" w:rsidP="003C5CBB">
      <w:pPr>
        <w:pStyle w:val="BNormal"/>
      </w:pPr>
      <w:r w:rsidRPr="003C5CBB">
        <w:t>As discussed in Section II, above, the TDRA has altered the analysis of fame</w:t>
      </w:r>
      <w:r w:rsidR="003C5CBB" w:rsidRPr="003C5CBB">
        <w:t>. T</w:t>
      </w:r>
      <w:r w:rsidRPr="003C5CBB">
        <w:t>hus, it makes sense to separate the post-TDRA discussion from the discussion of pre-TDRA cases</w:t>
      </w:r>
      <w:r w:rsidR="003C5CBB" w:rsidRPr="003C5CBB">
        <w:t>. T</w:t>
      </w:r>
      <w:r w:rsidRPr="003C5CBB">
        <w:t xml:space="preserve">his does not mean that pre-TDRA cases are irrelevant to the current analysis—after all, there is an overlap between the current and former factors, as also discussed in Section II.D, above —but pre-TDRA cases must be used with care, </w:t>
      </w:r>
      <w:proofErr w:type="gramStart"/>
      <w:r w:rsidRPr="003C5CBB">
        <w:t>in light of</w:t>
      </w:r>
      <w:proofErr w:type="gramEnd"/>
      <w:r w:rsidRPr="003C5CBB">
        <w:t xml:space="preserve"> the TDRA definition of fame</w:t>
      </w:r>
      <w:r w:rsidR="003C5CBB" w:rsidRPr="003C5CBB">
        <w:t>. W</w:t>
      </w:r>
      <w:r w:rsidRPr="003C5CBB">
        <w:t>hether before or after the TDRA, the analysis requires a careful balancing of the factors, keeping in mind that dilution eligibility is intended to be limited to a small set of marks</w:t>
      </w:r>
      <w:r w:rsidR="003C5CBB" w:rsidRPr="003C5CBB">
        <w:t>. T</w:t>
      </w:r>
      <w:r w:rsidRPr="003C5CBB">
        <w:t>he current definition of a famous mark clarifies this latter point</w:t>
      </w:r>
      <w:r w:rsidR="003C5CBB" w:rsidRPr="003C5CBB">
        <w:t>. I</w:t>
      </w:r>
      <w:r w:rsidRPr="003C5CBB">
        <w:t>t is important for courts to use the factors with the definition always in the forefront.</w:t>
      </w:r>
    </w:p>
    <w:p w14:paraId="25D31E68" w14:textId="66168B0A" w:rsidR="003C5CBB" w:rsidRPr="003C5CBB" w:rsidRDefault="00634BAE" w:rsidP="003C5CBB">
      <w:pPr>
        <w:pStyle w:val="BNormal"/>
      </w:pPr>
      <w:r w:rsidRPr="003C5CBB">
        <w:t>Not surprisingly, the first few decisions under the TDRA produced a somewhat mixed bag of analyses and results.</w:t>
      </w:r>
      <w:r w:rsidR="003C5CBB" w:rsidRPr="003C5CBB">
        <w:rPr>
          <w:vertAlign w:val="superscript"/>
        </w:rPr>
        <w:footnoteReference w:id="80"/>
      </w:r>
      <w:r w:rsidRPr="003C5CBB">
        <w:t xml:space="preserve"> However, as time has passed, the courts do appear to be taking a more careful approach to the requirement of fame.</w:t>
      </w:r>
      <w:r w:rsidR="003C5CBB" w:rsidRPr="003C5CBB">
        <w:rPr>
          <w:vertAlign w:val="superscript"/>
        </w:rPr>
        <w:footnoteReference w:id="81"/>
      </w:r>
      <w:r w:rsidRPr="003C5CBB">
        <w:t xml:space="preserve"> Unfortunately, there also are examples of courts finding fame using improper or clearly </w:t>
      </w:r>
      <w:r w:rsidRPr="003C5CBB">
        <w:lastRenderedPageBreak/>
        <w:t>inadequate analyses.</w:t>
      </w:r>
      <w:r w:rsidR="003C5CBB" w:rsidRPr="003C5CBB">
        <w:rPr>
          <w:vertAlign w:val="superscript"/>
        </w:rPr>
        <w:footnoteReference w:id="82"/>
      </w:r>
      <w:r w:rsidRPr="003C5CBB">
        <w:t xml:space="preserve"> One hopes that better guidance will emerge as appellate courts review a larger number of cases under the TDRA’s standard.</w:t>
      </w:r>
    </w:p>
    <w:p w14:paraId="5AB7115D" w14:textId="708260AA" w:rsidR="003C5CBB" w:rsidRPr="003C5CBB" w:rsidRDefault="00634BAE" w:rsidP="003C5CBB">
      <w:pPr>
        <w:pStyle w:val="BNormal"/>
      </w:pPr>
      <w:r w:rsidRPr="003C5CBB">
        <w:t>Although the close cases tend to yield results that are sometimes difficult to reconcile, after several years of decisions after the TDRA, some trends have emerged</w:t>
      </w:r>
      <w:r w:rsidR="003C5CBB" w:rsidRPr="003C5CBB">
        <w:t>. T</w:t>
      </w:r>
      <w:r w:rsidRPr="003C5CBB">
        <w:t>he easiest trend to spot is that most courts understand that the TDRA’s definition of fame eliminates marks from being considered famous if they are only locally well known or are well known only to a limited segment of the public.</w:t>
      </w:r>
      <w:r w:rsidR="003C5CBB" w:rsidRPr="003C5CBB">
        <w:rPr>
          <w:vertAlign w:val="superscript"/>
        </w:rPr>
        <w:footnoteReference w:id="83"/>
      </w:r>
    </w:p>
    <w:p w14:paraId="01E49CED" w14:textId="0FD1716F" w:rsidR="003C5CBB" w:rsidRPr="003C5CBB" w:rsidRDefault="00634BAE" w:rsidP="003C5CBB">
      <w:pPr>
        <w:pStyle w:val="BNormal"/>
      </w:pPr>
      <w:r w:rsidRPr="003C5CBB">
        <w:lastRenderedPageBreak/>
        <w:t>One might imagine that the TDRA’s emphasis on acquired distinctiveness might lead courts to emphasize survey evidence as the best evidence of this element, but courts do not necessarily require such evidence.</w:t>
      </w:r>
      <w:r w:rsidR="003C5CBB" w:rsidRPr="003C5CBB">
        <w:rPr>
          <w:vertAlign w:val="superscript"/>
        </w:rPr>
        <w:footnoteReference w:id="84"/>
      </w:r>
      <w:r w:rsidRPr="003C5CBB">
        <w:t xml:space="preserve"> It appears that courts are willing to rely on circumstantial evidence, such as widespread advertising and sales, often augmented by unsolicited media attention.</w:t>
      </w:r>
      <w:r w:rsidR="003C5CBB" w:rsidRPr="003C5CBB">
        <w:rPr>
          <w:vertAlign w:val="superscript"/>
        </w:rPr>
        <w:footnoteReference w:id="85"/>
      </w:r>
      <w:r w:rsidRPr="003C5CBB">
        <w:t xml:space="preserve"> For example, in what is a seemingly easy case for fame, a court found various Pepsi marks to be famous “as a result of their long use and PepsiCo’s extensive sale of products under the marks.”</w:t>
      </w:r>
      <w:r w:rsidR="003C5CBB" w:rsidRPr="003C5CBB">
        <w:rPr>
          <w:vertAlign w:val="superscript"/>
        </w:rPr>
        <w:footnoteReference w:id="86"/>
      </w:r>
      <w:r w:rsidRPr="003C5CBB">
        <w:t xml:space="preserve"> In a less obvious case of fame, involving the Hot Wheels word and logo (flame) marks used by Mattel on toy cars, the court cited long use, large advertising expenditures, and large sales figures as sufficient to allow a factfinder to conclude that the mark was famous.</w:t>
      </w:r>
      <w:r w:rsidR="003C5CBB" w:rsidRPr="003C5CBB">
        <w:rPr>
          <w:vertAlign w:val="superscript"/>
        </w:rPr>
        <w:footnoteReference w:id="87"/>
      </w:r>
      <w:r w:rsidRPr="003C5CBB">
        <w:t xml:space="preserve"> In cases in which the </w:t>
      </w:r>
      <w:r w:rsidR="003C5CBB" w:rsidRPr="003C5CBB">
        <w:rPr>
          <w:i/>
        </w:rPr>
        <w:t>lack</w:t>
      </w:r>
      <w:r w:rsidRPr="003C5CBB">
        <w:t xml:space="preserve"> of fame appeared obvious, courts have briefly cited inadequate circumstantial evidence (sales, advertising, and length of use) as a reason to grant summary judgment on the issue.</w:t>
      </w:r>
      <w:r w:rsidR="003C5CBB" w:rsidRPr="003C5CBB">
        <w:rPr>
          <w:vertAlign w:val="superscript"/>
        </w:rPr>
        <w:footnoteReference w:id="88"/>
      </w:r>
    </w:p>
    <w:p w14:paraId="396EEEF3" w14:textId="646E731C" w:rsidR="003C5CBB" w:rsidRPr="003C5CBB" w:rsidRDefault="00634BAE" w:rsidP="003C5CBB">
      <w:pPr>
        <w:pStyle w:val="BNormal"/>
      </w:pPr>
      <w:r w:rsidRPr="003C5CBB">
        <w:t>In some cases, defendants concede the issue of fame, focusing on other dilution issues.</w:t>
      </w:r>
      <w:r w:rsidR="003C5CBB" w:rsidRPr="003C5CBB">
        <w:rPr>
          <w:vertAlign w:val="superscript"/>
        </w:rPr>
        <w:footnoteReference w:id="89"/>
      </w:r>
      <w:r w:rsidRPr="003C5CBB">
        <w:t xml:space="preserve"> In other cases, it is so clear that the mark is not famous that courts dismiss the claim with a cursory discussion.</w:t>
      </w:r>
      <w:r w:rsidR="003C5CBB" w:rsidRPr="003C5CBB">
        <w:rPr>
          <w:vertAlign w:val="superscript"/>
        </w:rPr>
        <w:footnoteReference w:id="90"/>
      </w:r>
      <w:r w:rsidRPr="003C5CBB">
        <w:t xml:space="preserve"> And there are some cases in which the court denies summary judgment, putting off the issue until later.</w:t>
      </w:r>
      <w:r w:rsidR="003C5CBB" w:rsidRPr="003C5CBB">
        <w:rPr>
          <w:vertAlign w:val="superscript"/>
        </w:rPr>
        <w:footnoteReference w:id="91"/>
      </w:r>
    </w:p>
    <w:p w14:paraId="49D4C316" w14:textId="5455254F" w:rsidR="003C5CBB" w:rsidRPr="003C5CBB" w:rsidRDefault="00634BAE" w:rsidP="003C5CBB">
      <w:pPr>
        <w:pStyle w:val="BNormal"/>
      </w:pPr>
      <w:r w:rsidRPr="003C5CBB">
        <w:lastRenderedPageBreak/>
        <w:t>Conceding fame should not be done lightly</w:t>
      </w:r>
      <w:r w:rsidR="003C5CBB" w:rsidRPr="003C5CBB">
        <w:t>. I</w:t>
      </w:r>
      <w:r w:rsidRPr="003C5CBB">
        <w:t>n some cases, a concession or a short discussion is appropriate, given the obvious fame of the mark.</w:t>
      </w:r>
      <w:r w:rsidR="003C5CBB" w:rsidRPr="003C5CBB">
        <w:rPr>
          <w:vertAlign w:val="superscript"/>
        </w:rPr>
        <w:footnoteReference w:id="92"/>
      </w:r>
      <w:r w:rsidRPr="003C5CBB">
        <w:t xml:space="preserve"> If one were defending against a dilution claim by, say, Coca-Cola, it would be wiser to concede fame and move to the definition of dilution than to expend money litigating whether Coca-Cola is famous</w:t>
      </w:r>
      <w:r w:rsidR="003C5CBB" w:rsidRPr="003C5CBB">
        <w:t>. B</w:t>
      </w:r>
      <w:r w:rsidRPr="003C5CBB">
        <w:t xml:space="preserve">ut in </w:t>
      </w:r>
      <w:proofErr w:type="gramStart"/>
      <w:r w:rsidRPr="003C5CBB">
        <w:t>the less</w:t>
      </w:r>
      <w:proofErr w:type="gramEnd"/>
      <w:r w:rsidRPr="003C5CBB">
        <w:t xml:space="preserve"> than </w:t>
      </w:r>
      <w:proofErr w:type="gramStart"/>
      <w:r w:rsidRPr="003C5CBB">
        <w:t>very obvious</w:t>
      </w:r>
      <w:proofErr w:type="gramEnd"/>
      <w:r w:rsidRPr="003C5CBB">
        <w:t xml:space="preserve"> cases, it makes sense to force the plaintiff to prove that its mark’s fame is not limited to a niche market.</w:t>
      </w:r>
      <w:r w:rsidR="003C5CBB" w:rsidRPr="003C5CBB">
        <w:rPr>
          <w:vertAlign w:val="superscript"/>
        </w:rPr>
        <w:footnoteReference w:id="93"/>
      </w:r>
    </w:p>
    <w:p w14:paraId="60B9EFF6" w14:textId="43A26544" w:rsidR="003C5CBB" w:rsidRPr="003C5CBB" w:rsidRDefault="00634BAE" w:rsidP="003C5CBB">
      <w:pPr>
        <w:pStyle w:val="BNormal"/>
      </w:pPr>
      <w:r w:rsidRPr="003C5CBB">
        <w:t>It has been suggested that it may even be appropriate, in a very limited number of cases, for the court to take judicial notice of the fame of the mark.</w:t>
      </w:r>
      <w:r w:rsidR="003C5CBB" w:rsidRPr="003C5CBB">
        <w:rPr>
          <w:vertAlign w:val="superscript"/>
        </w:rPr>
        <w:footnoteReference w:id="94"/>
      </w:r>
      <w:r w:rsidRPr="003C5CBB">
        <w:t xml:space="preserve"> Such a suggestion must be viewed with great skepticism, however, in view of the requirement under the Federal Rules of Evidence that judicially noticed facts be indisputable.</w:t>
      </w:r>
      <w:r w:rsidR="003C5CBB" w:rsidRPr="003C5CBB">
        <w:rPr>
          <w:vertAlign w:val="superscript"/>
        </w:rPr>
        <w:footnoteReference w:id="95"/>
      </w:r>
      <w:r w:rsidRPr="003C5CBB">
        <w:t xml:space="preserve"> Moreover, since fame is such a key element of a federal dilution claim, judges should be very hesitant to allow it to be established by judicial notice</w:t>
      </w:r>
      <w:r w:rsidR="003C5CBB" w:rsidRPr="003C5CBB">
        <w:t>. I</w:t>
      </w:r>
      <w:r w:rsidRPr="003C5CBB">
        <w:t xml:space="preserve">n other cases, it appears that the defendant may have conceded too </w:t>
      </w:r>
      <w:proofErr w:type="gramStart"/>
      <w:r w:rsidRPr="003C5CBB">
        <w:t>hastily</w:t>
      </w:r>
      <w:proofErr w:type="gramEnd"/>
      <w:r w:rsidRPr="003C5CBB">
        <w:t xml:space="preserve"> and the mark’s fame should have been subjected to more rigorous analysis.</w:t>
      </w:r>
      <w:r w:rsidR="003C5CBB" w:rsidRPr="003C5CBB">
        <w:rPr>
          <w:vertAlign w:val="superscript"/>
        </w:rPr>
        <w:footnoteReference w:id="96"/>
      </w:r>
    </w:p>
    <w:p w14:paraId="0CE3B9CF" w14:textId="5520B102" w:rsidR="003C5CBB" w:rsidRPr="003C5CBB" w:rsidRDefault="00634BAE" w:rsidP="003C5CBB">
      <w:pPr>
        <w:pStyle w:val="BNormal"/>
      </w:pPr>
      <w:r w:rsidRPr="003C5CBB">
        <w:t>Other than in the most obvious cases, there should be a considered discussion of fame that includes, but is not limited to, the factors listed in Section 43(c)(2)(A) of the Lanham Act</w:t>
      </w:r>
      <w:r w:rsidR="003C5CBB" w:rsidRPr="003C5CBB">
        <w:t>. I</w:t>
      </w:r>
      <w:r w:rsidRPr="003C5CBB">
        <w:t>ndeed, even where there is a stipulation that a mark is famous, a court should not automatically accept the concession</w:t>
      </w:r>
      <w:r w:rsidR="003C5CBB" w:rsidRPr="003C5CBB">
        <w:t>. W</w:t>
      </w:r>
      <w:r w:rsidRPr="003C5CBB">
        <w:t>hether a mark is famous is, at least to some degree, a legal determination under the statute (or more precisely, a mixed legal and factual question).</w:t>
      </w:r>
      <w:r w:rsidR="003C5CBB" w:rsidRPr="003C5CBB">
        <w:rPr>
          <w:vertAlign w:val="superscript"/>
        </w:rPr>
        <w:footnoteReference w:id="97"/>
      </w:r>
      <w:r w:rsidRPr="003C5CBB">
        <w:t xml:space="preserve"> Although federal courts generally are supposed to accept stipulations of fact, they are not required to accept stipulations where the issue is a mixed one of fact and law.</w:t>
      </w:r>
      <w:r w:rsidR="003C5CBB" w:rsidRPr="003C5CBB">
        <w:rPr>
          <w:vertAlign w:val="superscript"/>
        </w:rPr>
        <w:footnoteReference w:id="98"/>
      </w:r>
      <w:r w:rsidRPr="003C5CBB">
        <w:t xml:space="preserve"> Courts should be wary of accepting the </w:t>
      </w:r>
      <w:r w:rsidRPr="003C5CBB">
        <w:lastRenderedPageBreak/>
        <w:t>broad authority conferred by the FTDA by agreement of the parties without at least some examination of whether this authority is being exercised under proper circumstances</w:t>
      </w:r>
      <w:r w:rsidR="003C5CBB" w:rsidRPr="003C5CBB">
        <w:t>. M</w:t>
      </w:r>
      <w:r w:rsidRPr="003C5CBB">
        <w:t>arks also have been found to be famous based on the defendant’s default.</w:t>
      </w:r>
      <w:r w:rsidR="003C5CBB" w:rsidRPr="003C5CBB">
        <w:rPr>
          <w:vertAlign w:val="superscript"/>
        </w:rPr>
        <w:footnoteReference w:id="99"/>
      </w:r>
      <w:r w:rsidRPr="003C5CBB">
        <w:t xml:space="preserve"> At a minimum, such a finding should not be considered precedential in the event of later litigation involving the same mark</w:t>
      </w:r>
      <w:r w:rsidR="003C5CBB" w:rsidRPr="003C5CBB">
        <w:t>. O</w:t>
      </w:r>
      <w:r w:rsidRPr="003C5CBB">
        <w:t>ne difficult problem involves default judgments</w:t>
      </w:r>
      <w:r w:rsidR="003C5CBB" w:rsidRPr="003C5CBB">
        <w:t>. A</w:t>
      </w:r>
      <w:r w:rsidRPr="003C5CBB">
        <w:t>lthough courts do generally analyze the issue of fame, often it is not a searching analysis because the defendant is deemed to have admitted the well-pleaded allegations of the complaint.</w:t>
      </w:r>
      <w:r w:rsidR="003C5CBB" w:rsidRPr="003C5CBB">
        <w:rPr>
          <w:vertAlign w:val="superscript"/>
        </w:rPr>
        <w:footnoteReference w:id="100"/>
      </w:r>
    </w:p>
    <w:p w14:paraId="3E6EC3DD" w14:textId="13F0EFD6" w:rsidR="003C5CBB" w:rsidRPr="003C5CBB" w:rsidRDefault="00634BAE" w:rsidP="003C5CBB">
      <w:pPr>
        <w:pStyle w:val="BNormal"/>
      </w:pPr>
      <w:r w:rsidRPr="003C5CBB">
        <w:t>The most useful cases (though certainly not the most numerous ones) are those in which the analysis is reasonably thorough</w:t>
      </w:r>
      <w:r w:rsidR="003C5CBB" w:rsidRPr="003C5CBB">
        <w:t>. O</w:t>
      </w:r>
      <w:r w:rsidRPr="003C5CBB">
        <w:t>ne thing can be said at this stage</w:t>
      </w:r>
      <w:r w:rsidR="003C5CBB" w:rsidRPr="003C5CBB">
        <w:t>: a</w:t>
      </w:r>
      <w:r w:rsidRPr="003C5CBB">
        <w:t xml:space="preserve"> thorough analysis does not predict the outcome</w:t>
      </w:r>
      <w:r w:rsidR="003C5CBB" w:rsidRPr="003C5CBB">
        <w:t>. W</w:t>
      </w:r>
      <w:r w:rsidRPr="003C5CBB">
        <w:t>hat follows is a discussion of some of the more notable analyses of fame.</w:t>
      </w:r>
    </w:p>
    <w:p w14:paraId="4920FC9B" w14:textId="2B3099E0" w:rsidR="003C5CBB" w:rsidRPr="003C5CBB" w:rsidRDefault="008B3068" w:rsidP="008B3068">
      <w:pPr>
        <w:pStyle w:val="BHead3"/>
      </w:pPr>
      <w:r>
        <w:t>8.III.A.</w:t>
      </w:r>
      <w:r w:rsidR="003C5CBB" w:rsidRPr="008B3068">
        <w:rPr>
          <w:rStyle w:val="BBNAidChar"/>
          <w:rFonts w:eastAsiaTheme="majorEastAsia"/>
        </w:rPr>
        <w:t>1</w:t>
      </w:r>
      <w:r w:rsidR="003C5CBB" w:rsidRPr="003C5CBB">
        <w:t>.</w:t>
      </w:r>
      <w:r>
        <w:t> </w:t>
      </w:r>
      <w:r w:rsidR="003C5CBB" w:rsidRPr="003C5CBB">
        <w:tab/>
        <w:t>Cases Finding Marks to Be Famous</w:t>
      </w:r>
    </w:p>
    <w:p w14:paraId="754FC3F1" w14:textId="7605EB14" w:rsidR="003C5CBB" w:rsidRPr="003C5CBB" w:rsidRDefault="00634BAE" w:rsidP="003C5CBB">
      <w:pPr>
        <w:pStyle w:val="BNormal"/>
      </w:pPr>
      <w:r w:rsidRPr="003C5CBB">
        <w:t xml:space="preserve">Actual findings that a </w:t>
      </w:r>
      <w:proofErr w:type="gramStart"/>
      <w:r w:rsidRPr="003C5CBB">
        <w:t>mark</w:t>
      </w:r>
      <w:proofErr w:type="gramEnd"/>
      <w:r w:rsidRPr="003C5CBB">
        <w:t xml:space="preserve"> is famous are relatively unusual</w:t>
      </w:r>
      <w:r w:rsidR="003C5CBB" w:rsidRPr="003C5CBB">
        <w:t>. F</w:t>
      </w:r>
      <w:r w:rsidRPr="003C5CBB">
        <w:t>ar more common are cases in which the courts find issues of fact to be decided (while denying summary judgment) or in which courts find fame to be adequately pled (denying motions to dismiss)</w:t>
      </w:r>
      <w:r w:rsidR="003C5CBB" w:rsidRPr="003C5CBB">
        <w:t>. B</w:t>
      </w:r>
      <w:r w:rsidRPr="003C5CBB">
        <w:t>oth of those situations do not require actual factual findings</w:t>
      </w:r>
      <w:r w:rsidR="003C5CBB" w:rsidRPr="003C5CBB">
        <w:t>. N</w:t>
      </w:r>
      <w:r w:rsidRPr="003C5CBB">
        <w:t>evertheless, there are several post-TDRA cases in which the courts carefully, or somewhat carefully, discussed the issue of fame and ultimately concluded that the mark in question was famous</w:t>
      </w:r>
      <w:r w:rsidR="003C5CBB" w:rsidRPr="003C5CBB">
        <w:t>. I</w:t>
      </w:r>
      <w:r w:rsidRPr="003C5CBB">
        <w:t>n many of these cases the conclusions were not unreasonable (and may have seemed to be an easy one)</w:t>
      </w:r>
      <w:r w:rsidR="003C5CBB" w:rsidRPr="003C5CBB">
        <w:t>. A</w:t>
      </w:r>
      <w:r w:rsidRPr="003C5CBB">
        <w:t>ll of them tell us something about the way the courts view the analysis of fame.</w:t>
      </w:r>
    </w:p>
    <w:p w14:paraId="3FA1BBFC" w14:textId="3D7782F9" w:rsidR="003C5CBB" w:rsidRPr="003C5CBB" w:rsidRDefault="00634BAE" w:rsidP="003C5CBB">
      <w:pPr>
        <w:pStyle w:val="BNormal"/>
      </w:pPr>
      <w:r w:rsidRPr="003C5CBB">
        <w:t xml:space="preserve"> </w:t>
      </w:r>
      <w:r w:rsidR="003C5CBB" w:rsidRPr="003C5CBB">
        <w:rPr>
          <w:i/>
        </w:rPr>
        <w:t>Nissan Motor Co</w:t>
      </w:r>
      <w:r w:rsidR="003C5CBB" w:rsidRPr="003C5CBB">
        <w:t xml:space="preserve">. </w:t>
      </w:r>
      <w:r w:rsidR="003C5CBB" w:rsidRPr="003C5CBB">
        <w:rPr>
          <w:i/>
        </w:rPr>
        <w:t>v</w:t>
      </w:r>
      <w:r w:rsidR="003C5CBB" w:rsidRPr="003C5CBB">
        <w:t xml:space="preserve">. </w:t>
      </w:r>
      <w:r w:rsidR="003C5CBB" w:rsidRPr="003C5CBB">
        <w:rPr>
          <w:i/>
        </w:rPr>
        <w:t>Nissan Computer Corp</w:t>
      </w:r>
      <w:r w:rsidRPr="003C5CBB">
        <w:t>.</w:t>
      </w:r>
      <w:r w:rsidR="003C5CBB" w:rsidRPr="003C5CBB">
        <w:rPr>
          <w:vertAlign w:val="superscript"/>
        </w:rPr>
        <w:footnoteReference w:id="101"/>
      </w:r>
      <w:r w:rsidRPr="003C5CBB">
        <w:t xml:space="preserve"> was a long-running trademark case that began well before even the Supreme Court’s 2003 </w:t>
      </w:r>
      <w:r w:rsidR="003C5CBB" w:rsidRPr="003C5CBB">
        <w:rPr>
          <w:i/>
        </w:rPr>
        <w:t>Moseley</w:t>
      </w:r>
      <w:r w:rsidRPr="003C5CBB">
        <w:t xml:space="preserve"> decision that led to the revision of the FTDA in 2006.</w:t>
      </w:r>
      <w:r w:rsidR="003C5CBB" w:rsidRPr="003C5CBB">
        <w:rPr>
          <w:vertAlign w:val="superscript"/>
        </w:rPr>
        <w:footnoteReference w:id="102"/>
      </w:r>
      <w:r w:rsidRPr="003C5CBB">
        <w:t xml:space="preserve"> In its latest opinion, the district court determined that the Nissan mark was famous, as that term is defined in the TDRA (though it ultimately decided that there was no dilution)</w:t>
      </w:r>
      <w:r w:rsidR="003C5CBB" w:rsidRPr="003C5CBB">
        <w:t>. T</w:t>
      </w:r>
      <w:r w:rsidRPr="003C5CBB">
        <w:t>he court reviewed all four TDRA factors, noting extensive advertising and publicity over a decade before the defendant’s use,</w:t>
      </w:r>
      <w:r w:rsidR="003C5CBB" w:rsidRPr="003C5CBB">
        <w:rPr>
          <w:vertAlign w:val="superscript"/>
        </w:rPr>
        <w:footnoteReference w:id="103"/>
      </w:r>
      <w:r w:rsidRPr="003C5CBB">
        <w:t xml:space="preserve"> a large volume of sales nationwide, survey evidence showing recognition plus media coverage, and early registration of the mark (a minor factor).</w:t>
      </w:r>
      <w:r w:rsidR="003C5CBB" w:rsidRPr="003C5CBB">
        <w:rPr>
          <w:vertAlign w:val="superscript"/>
        </w:rPr>
        <w:footnoteReference w:id="104"/>
      </w:r>
      <w:r w:rsidRPr="003C5CBB">
        <w:t xml:space="preserve"> The court then weighed the factors (all of which counted in Nissan Motor’s favor) and compared the evidence to other cases in which marks had been held famous.</w:t>
      </w:r>
      <w:r w:rsidR="003C5CBB" w:rsidRPr="003C5CBB">
        <w:rPr>
          <w:vertAlign w:val="superscript"/>
        </w:rPr>
        <w:footnoteReference w:id="105"/>
      </w:r>
      <w:r w:rsidRPr="003C5CBB">
        <w:t xml:space="preserve"> Finally, the court noted the </w:t>
      </w:r>
      <w:r w:rsidRPr="003C5CBB">
        <w:lastRenderedPageBreak/>
        <w:t>ubiquity and importance of this product—cars—in the country, seemingly indicating that consumers would pay more attention to automobile advertising.</w:t>
      </w:r>
      <w:r w:rsidR="003C5CBB" w:rsidRPr="003C5CBB">
        <w:rPr>
          <w:vertAlign w:val="superscript"/>
        </w:rPr>
        <w:footnoteReference w:id="106"/>
      </w:r>
      <w:r w:rsidRPr="003C5CBB">
        <w:t xml:space="preserve"> This shows the importance of the “general consuming public” aspect of the definition.</w:t>
      </w:r>
    </w:p>
    <w:p w14:paraId="1204227B" w14:textId="55EF927A" w:rsidR="003C5CBB" w:rsidRPr="003C5CBB" w:rsidRDefault="00634BAE" w:rsidP="003C5CBB">
      <w:pPr>
        <w:pStyle w:val="BNormal"/>
      </w:pPr>
      <w:r w:rsidRPr="003C5CBB">
        <w:t xml:space="preserve">A similar, though less detailed, analysis was conducted in </w:t>
      </w:r>
      <w:proofErr w:type="gramStart"/>
      <w:r w:rsidR="003C5CBB" w:rsidRPr="003C5CBB">
        <w:rPr>
          <w:i/>
        </w:rPr>
        <w:t>Nike,</w:t>
      </w:r>
      <w:proofErr w:type="gramEnd"/>
      <w:r w:rsidR="003C5CBB" w:rsidRPr="003C5CBB">
        <w:rPr>
          <w:i/>
        </w:rPr>
        <w:t xml:space="preserve"> Inc</w:t>
      </w:r>
      <w:r w:rsidR="003C5CBB" w:rsidRPr="003C5CBB">
        <w:t xml:space="preserve">. </w:t>
      </w:r>
      <w:r w:rsidR="003C5CBB" w:rsidRPr="003C5CBB">
        <w:rPr>
          <w:i/>
        </w:rPr>
        <w:t>v</w:t>
      </w:r>
      <w:r w:rsidR="003C5CBB" w:rsidRPr="003C5CBB">
        <w:t xml:space="preserve">. </w:t>
      </w:r>
      <w:r w:rsidR="003C5CBB" w:rsidRPr="003C5CBB">
        <w:rPr>
          <w:i/>
        </w:rPr>
        <w:t xml:space="preserve">Nikepal </w:t>
      </w:r>
      <w:proofErr w:type="gramStart"/>
      <w:r w:rsidR="003C5CBB" w:rsidRPr="003C5CBB">
        <w:rPr>
          <w:i/>
        </w:rPr>
        <w:t>International,</w:t>
      </w:r>
      <w:proofErr w:type="gramEnd"/>
      <w:r w:rsidR="003C5CBB" w:rsidRPr="003C5CBB">
        <w:rPr>
          <w:i/>
        </w:rPr>
        <w:t xml:space="preserve"> Inc</w:t>
      </w:r>
      <w:r w:rsidRPr="003C5CBB">
        <w:t>.,</w:t>
      </w:r>
      <w:r w:rsidR="003C5CBB" w:rsidRPr="003C5CBB">
        <w:rPr>
          <w:vertAlign w:val="superscript"/>
        </w:rPr>
        <w:footnoteReference w:id="107"/>
      </w:r>
      <w:r w:rsidRPr="003C5CBB">
        <w:t xml:space="preserve"> in which the court cited the same kind of evidence, including survey evidence and media attention specifically indicating the success of the brand.</w:t>
      </w:r>
      <w:r w:rsidR="003C5CBB" w:rsidRPr="003C5CBB">
        <w:rPr>
          <w:vertAlign w:val="superscript"/>
        </w:rPr>
        <w:footnoteReference w:id="108"/>
      </w:r>
    </w:p>
    <w:p w14:paraId="288A02BF" w14:textId="37BAC161" w:rsidR="003C5CBB" w:rsidRPr="003C5CBB" w:rsidRDefault="00634BAE" w:rsidP="003C5CBB">
      <w:pPr>
        <w:pStyle w:val="BNormal"/>
      </w:pPr>
      <w:r w:rsidRPr="003C5CBB">
        <w:t xml:space="preserve">The Gap was found to be a famous mark in </w:t>
      </w:r>
      <w:r w:rsidR="003C5CBB" w:rsidRPr="003C5CBB">
        <w:rPr>
          <w:i/>
        </w:rPr>
        <w:t>The Gap, Inc</w:t>
      </w:r>
      <w:r w:rsidR="003C5CBB" w:rsidRPr="003C5CBB">
        <w:t xml:space="preserve">. </w:t>
      </w:r>
      <w:r w:rsidR="003C5CBB" w:rsidRPr="003C5CBB">
        <w:rPr>
          <w:i/>
        </w:rPr>
        <w:t>v</w:t>
      </w:r>
      <w:r w:rsidR="003C5CBB" w:rsidRPr="003C5CBB">
        <w:t xml:space="preserve">. </w:t>
      </w:r>
      <w:r w:rsidR="003C5CBB" w:rsidRPr="003C5CBB">
        <w:rPr>
          <w:i/>
        </w:rPr>
        <w:t>G</w:t>
      </w:r>
      <w:r w:rsidRPr="003C5CBB">
        <w:t>.</w:t>
      </w:r>
      <w:r w:rsidR="003C5CBB" w:rsidRPr="003C5CBB">
        <w:rPr>
          <w:i/>
        </w:rPr>
        <w:t>A</w:t>
      </w:r>
      <w:r w:rsidRPr="003C5CBB">
        <w:t>.</w:t>
      </w:r>
      <w:r w:rsidR="003C5CBB" w:rsidRPr="003C5CBB">
        <w:rPr>
          <w:i/>
        </w:rPr>
        <w:t>P</w:t>
      </w:r>
      <w:r w:rsidR="003C5CBB" w:rsidRPr="003C5CBB">
        <w:t xml:space="preserve">. </w:t>
      </w:r>
      <w:r w:rsidR="003C5CBB" w:rsidRPr="003C5CBB">
        <w:rPr>
          <w:i/>
        </w:rPr>
        <w:t>Adventures Inc</w:t>
      </w:r>
      <w:r w:rsidRPr="003C5CBB">
        <w:t>.</w:t>
      </w:r>
      <w:r w:rsidR="003C5CBB" w:rsidRPr="003C5CBB">
        <w:rPr>
          <w:vertAlign w:val="superscript"/>
        </w:rPr>
        <w:footnoteReference w:id="109"/>
      </w:r>
      <w:r w:rsidRPr="003C5CBB">
        <w:t xml:space="preserve"> The court cited </w:t>
      </w:r>
      <w:proofErr w:type="gramStart"/>
      <w:r w:rsidRPr="003C5CBB">
        <w:t>large sustained</w:t>
      </w:r>
      <w:proofErr w:type="gramEnd"/>
      <w:r w:rsidRPr="003C5CBB">
        <w:t xml:space="preserve"> advertising expenditures over a </w:t>
      </w:r>
      <w:proofErr w:type="gramStart"/>
      <w:r w:rsidRPr="003C5CBB">
        <w:t>twenty year</w:t>
      </w:r>
      <w:proofErr w:type="gramEnd"/>
      <w:r w:rsidRPr="003C5CBB">
        <w:t xml:space="preserve"> period, unsolicited media coverage, and product placements (which are really nothing more than Gap advertisements).</w:t>
      </w:r>
      <w:r w:rsidR="003C5CBB" w:rsidRPr="003C5CBB">
        <w:rPr>
          <w:vertAlign w:val="superscript"/>
        </w:rPr>
        <w:footnoteReference w:id="110"/>
      </w:r>
    </w:p>
    <w:p w14:paraId="5368927B" w14:textId="41877D0D" w:rsidR="003C5CBB" w:rsidRPr="003C5CBB" w:rsidRDefault="00634BAE" w:rsidP="003C5CBB">
      <w:pPr>
        <w:pStyle w:val="BNormal"/>
      </w:pPr>
      <w:r w:rsidRPr="003C5CBB">
        <w:t>In another case involving a well-known automobile brand, Audi and its multi-ring logo were found to be famous marks, based on advertising efforts, sales, and long registration time.</w:t>
      </w:r>
      <w:r w:rsidR="003C5CBB" w:rsidRPr="003C5CBB">
        <w:rPr>
          <w:vertAlign w:val="superscript"/>
        </w:rPr>
        <w:footnoteReference w:id="111"/>
      </w:r>
    </w:p>
    <w:p w14:paraId="188CFCAF" w14:textId="781E97C0" w:rsidR="003C5CBB" w:rsidRPr="003C5CBB" w:rsidRDefault="00634BAE" w:rsidP="003C5CBB">
      <w:pPr>
        <w:pStyle w:val="BNormal"/>
      </w:pPr>
      <w:r w:rsidRPr="003C5CBB">
        <w:t>The trademark Newport for cigarettes was found famous based on its status as the leading menthol brand and the second leading cigarette brand.</w:t>
      </w:r>
      <w:r w:rsidR="003C5CBB" w:rsidRPr="003C5CBB">
        <w:rPr>
          <w:vertAlign w:val="superscript"/>
        </w:rPr>
        <w:footnoteReference w:id="112"/>
      </w:r>
      <w:r w:rsidRPr="003C5CBB">
        <w:t xml:space="preserve"> While the mark may well be famous, the court did not consider whether its fame extended beyond smokers, which would make it only famous in a niche market (it did not, for example, examine the extent to which advertising would be expected to reach nonsmokers).</w:t>
      </w:r>
    </w:p>
    <w:p w14:paraId="1F19252A" w14:textId="57268E20" w:rsidR="003C5CBB" w:rsidRPr="003C5CBB" w:rsidRDefault="00634BAE" w:rsidP="003C5CBB">
      <w:pPr>
        <w:pStyle w:val="BNormal"/>
      </w:pPr>
      <w:r w:rsidRPr="003C5CBB">
        <w:t>The RE/MAX mark for real estate services was held to be famous, with the court citing the length of use, extent of advertising, and number of real estate transactions conducted under the mark.</w:t>
      </w:r>
      <w:r w:rsidR="003C5CBB" w:rsidRPr="003C5CBB">
        <w:rPr>
          <w:vertAlign w:val="superscript"/>
        </w:rPr>
        <w:footnoteReference w:id="113"/>
      </w:r>
    </w:p>
    <w:p w14:paraId="5D391E46" w14:textId="21A6B0ED" w:rsidR="003C5CBB" w:rsidRPr="003C5CBB" w:rsidRDefault="00634BAE" w:rsidP="003C5CBB">
      <w:pPr>
        <w:pStyle w:val="BNormal"/>
      </w:pPr>
      <w:r w:rsidRPr="003C5CBB">
        <w:t>In a preliminary injunction setting, the Museum of Modern Art’s MoMA mark was found likely to be famous</w:t>
      </w:r>
      <w:r w:rsidR="003C5CBB" w:rsidRPr="003C5CBB">
        <w:t>. T</w:t>
      </w:r>
      <w:r w:rsidRPr="003C5CBB">
        <w:t>he court cited the number of visitors over the previous three years (over 12 million), the visitors to MoMA’s website in the past year (at least 13 million unique visitors), its use in advertising, and in national publications—not simply art publications—the goods and services it sells to the public, and the publicity it garners in national publications.</w:t>
      </w:r>
      <w:r w:rsidR="003C5CBB" w:rsidRPr="003C5CBB">
        <w:rPr>
          <w:vertAlign w:val="superscript"/>
        </w:rPr>
        <w:footnoteReference w:id="114"/>
      </w:r>
    </w:p>
    <w:p w14:paraId="3812DBDD" w14:textId="35217941" w:rsidR="003C5CBB" w:rsidRPr="003C5CBB" w:rsidRDefault="00634BAE" w:rsidP="003C5CBB">
      <w:pPr>
        <w:pStyle w:val="BNormal"/>
      </w:pPr>
      <w:r w:rsidRPr="003C5CBB">
        <w:t>The Trademark Trial and Appeal Board (TTAB or Board), which is consistently strict in its analysis of fame, has found several marks to be famous as well</w:t>
      </w:r>
      <w:r w:rsidR="003C5CBB" w:rsidRPr="003C5CBB">
        <w:t xml:space="preserve">. </w:t>
      </w:r>
      <w:r w:rsidR="003C5CBB" w:rsidRPr="003C5CBB">
        <w:rPr>
          <w:vertAlign w:val="superscript"/>
        </w:rPr>
        <w:footnoteReference w:id="115"/>
      </w:r>
      <w:r w:rsidRPr="003C5CBB">
        <w:t xml:space="preserve"> Unsurprisingly, Nike’s Just Do It mark was essentially admitted </w:t>
      </w:r>
      <w:proofErr w:type="gramStart"/>
      <w:r w:rsidRPr="003C5CBB">
        <w:t>to be</w:t>
      </w:r>
      <w:proofErr w:type="gramEnd"/>
      <w:r w:rsidRPr="003C5CBB">
        <w:t xml:space="preserve"> famous.</w:t>
      </w:r>
      <w:r w:rsidR="003C5CBB" w:rsidRPr="003C5CBB">
        <w:rPr>
          <w:vertAlign w:val="superscript"/>
        </w:rPr>
        <w:footnoteReference w:id="116"/>
      </w:r>
    </w:p>
    <w:p w14:paraId="227C860B" w14:textId="12996FE5" w:rsidR="003C5CBB" w:rsidRPr="003C5CBB" w:rsidRDefault="00634BAE" w:rsidP="003C5CBB">
      <w:pPr>
        <w:pStyle w:val="BNormal"/>
      </w:pPr>
      <w:r w:rsidRPr="003C5CBB">
        <w:lastRenderedPageBreak/>
        <w:t xml:space="preserve">In </w:t>
      </w:r>
      <w:r w:rsidR="003C5CBB" w:rsidRPr="003C5CBB">
        <w:rPr>
          <w:rStyle w:val="BCasenamefull"/>
        </w:rPr>
        <w:t>Chanel, Inc. v. Makarczyk</w:t>
      </w:r>
      <w:r w:rsidRPr="003C5CBB">
        <w:t>,</w:t>
      </w:r>
      <w:r w:rsidR="003C5CBB" w:rsidRPr="003C5CBB">
        <w:rPr>
          <w:vertAlign w:val="superscript"/>
        </w:rPr>
        <w:footnoteReference w:id="117"/>
      </w:r>
      <w:r w:rsidRPr="003C5CBB">
        <w:t xml:space="preserve"> the TTAB conducted a careful examination before finding the Chanel mark to be famous</w:t>
      </w:r>
      <w:r w:rsidR="003C5CBB" w:rsidRPr="003C5CBB">
        <w:t>. A</w:t>
      </w:r>
      <w:r w:rsidRPr="003C5CBB">
        <w:t>fter noting the “strict” standard of fame, the Board examined the different factors</w:t>
      </w:r>
      <w:r w:rsidR="003C5CBB" w:rsidRPr="003C5CBB">
        <w:t>. I</w:t>
      </w:r>
      <w:r w:rsidRPr="003C5CBB">
        <w:t>t first noted the long use (dating back at least 80 years), “extremely high” volume of sales as well as the “broad range” of products sold, and the large volume of traffic on Chanel’s website.</w:t>
      </w:r>
      <w:r w:rsidR="003C5CBB" w:rsidRPr="003C5CBB">
        <w:rPr>
          <w:vertAlign w:val="superscript"/>
        </w:rPr>
        <w:footnoteReference w:id="118"/>
      </w:r>
      <w:r w:rsidRPr="003C5CBB">
        <w:t xml:space="preserve"> Next, reviewing the extent of Chanel’s advertising, the Board found it to be “substantial” and, perhaps more important, it noted that Chanel’s “print advertising campaign reaches both genders at various income levels.”</w:t>
      </w:r>
      <w:r w:rsidR="003C5CBB" w:rsidRPr="003C5CBB">
        <w:rPr>
          <w:vertAlign w:val="superscript"/>
        </w:rPr>
        <w:footnoteReference w:id="119"/>
      </w:r>
      <w:r w:rsidRPr="003C5CBB">
        <w:t xml:space="preserve"> The Board also noted the extensive advertising on television and in other venues.</w:t>
      </w:r>
      <w:r w:rsidR="003C5CBB" w:rsidRPr="003C5CBB">
        <w:rPr>
          <w:vertAlign w:val="superscript"/>
        </w:rPr>
        <w:footnoteReference w:id="120"/>
      </w:r>
      <w:r w:rsidRPr="003C5CBB">
        <w:t xml:space="preserve"> The Board then noted that Chanel’s products have been endorsed very publicly by numerous celebrities, presumably adding to its notoriety,</w:t>
      </w:r>
      <w:r w:rsidR="003C5CBB" w:rsidRPr="003C5CBB">
        <w:rPr>
          <w:vertAlign w:val="superscript"/>
        </w:rPr>
        <w:footnoteReference w:id="121"/>
      </w:r>
      <w:r w:rsidRPr="003C5CBB">
        <w:t xml:space="preserve"> and that its products, conspicuously marked, have been seen in a wide variety of television shows and movies.</w:t>
      </w:r>
      <w:r w:rsidR="003C5CBB" w:rsidRPr="003C5CBB">
        <w:rPr>
          <w:vertAlign w:val="superscript"/>
        </w:rPr>
        <w:footnoteReference w:id="122"/>
      </w:r>
      <w:r w:rsidRPr="003C5CBB">
        <w:t xml:space="preserve"> Finally, the Board dealt with more direct evidence of fame</w:t>
      </w:r>
      <w:r w:rsidR="003C5CBB" w:rsidRPr="003C5CBB">
        <w:t>. I</w:t>
      </w:r>
      <w:r w:rsidRPr="003C5CBB">
        <w:t>t stated that Chanel has consistently been ranked among “the most recognized and famous brands in the United States,” as evidenced by industry awards and industry rankings.</w:t>
      </w:r>
      <w:r w:rsidR="003C5CBB" w:rsidRPr="003C5CBB">
        <w:rPr>
          <w:vertAlign w:val="superscript"/>
        </w:rPr>
        <w:footnoteReference w:id="123"/>
      </w:r>
      <w:r w:rsidRPr="003C5CBB">
        <w:t xml:space="preserve"> Perhaps most important, the Board cited various surveys conducted by Chanel </w:t>
      </w:r>
      <w:r w:rsidR="003C5CBB" w:rsidRPr="003C5CBB">
        <w:rPr>
          <w:i/>
        </w:rPr>
        <w:t>prior to</w:t>
      </w:r>
      <w:r w:rsidRPr="003C5CBB">
        <w:t xml:space="preserve"> these proceedings (for its own marketing purposes).</w:t>
      </w:r>
      <w:r w:rsidR="003C5CBB" w:rsidRPr="003C5CBB">
        <w:rPr>
          <w:vertAlign w:val="superscript"/>
        </w:rPr>
        <w:footnoteReference w:id="124"/>
      </w:r>
      <w:r w:rsidRPr="003C5CBB">
        <w:t xml:space="preserve"> These surveys were said to show “an unusually high degree” of consumer recognition, although the exact numbers were not given.</w:t>
      </w:r>
      <w:r w:rsidR="003C5CBB" w:rsidRPr="003C5CBB">
        <w:rPr>
          <w:vertAlign w:val="superscript"/>
        </w:rPr>
        <w:footnoteReference w:id="125"/>
      </w:r>
      <w:r w:rsidRPr="003C5CBB">
        <w:t xml:space="preserve"> In sum, the Board found Chanel to be a famous mark.</w:t>
      </w:r>
      <w:r w:rsidR="003C5CBB" w:rsidRPr="003C5CBB">
        <w:rPr>
          <w:vertAlign w:val="superscript"/>
        </w:rPr>
        <w:footnoteReference w:id="126"/>
      </w:r>
    </w:p>
    <w:p w14:paraId="113DD098" w14:textId="08ECA1F4" w:rsidR="003C5CBB" w:rsidRPr="003C5CBB" w:rsidRDefault="00634BAE" w:rsidP="003C5CBB">
      <w:pPr>
        <w:pStyle w:val="BNormal"/>
      </w:pPr>
      <w:r w:rsidRPr="003C5CBB">
        <w:t xml:space="preserve">Also found famous was the BlackBerry mark, in </w:t>
      </w:r>
      <w:r w:rsidR="003C5CBB" w:rsidRPr="003C5CBB">
        <w:rPr>
          <w:i/>
        </w:rPr>
        <w:t>Research in Motion Ltd</w:t>
      </w:r>
      <w:r w:rsidR="003C5CBB" w:rsidRPr="003C5CBB">
        <w:t xml:space="preserve">. </w:t>
      </w:r>
      <w:r w:rsidR="003C5CBB" w:rsidRPr="003C5CBB">
        <w:rPr>
          <w:i/>
        </w:rPr>
        <w:t>v</w:t>
      </w:r>
      <w:r w:rsidR="003C5CBB" w:rsidRPr="003C5CBB">
        <w:t xml:space="preserve">. </w:t>
      </w:r>
      <w:r w:rsidR="003C5CBB" w:rsidRPr="003C5CBB">
        <w:rPr>
          <w:i/>
        </w:rPr>
        <w:t>Defining Presence Marketing Group, Inc</w:t>
      </w:r>
      <w:r w:rsidRPr="003C5CBB">
        <w:t>.</w:t>
      </w:r>
      <w:r w:rsidR="003C5CBB" w:rsidRPr="003C5CBB">
        <w:rPr>
          <w:vertAlign w:val="superscript"/>
        </w:rPr>
        <w:footnoteReference w:id="127"/>
      </w:r>
      <w:r w:rsidRPr="003C5CBB">
        <w:t xml:space="preserve"> The Board cited large advertising expenditures, targeting the general public, very large sales figures, and numerous examples of unsolicited media coverage, including rankings indicating that the BlackBerry mark was among the most valuable in the world.</w:t>
      </w:r>
      <w:r w:rsidR="003C5CBB" w:rsidRPr="003C5CBB">
        <w:rPr>
          <w:vertAlign w:val="superscript"/>
        </w:rPr>
        <w:footnoteReference w:id="128"/>
      </w:r>
      <w:r w:rsidRPr="003C5CBB">
        <w:t xml:space="preserve"> The phrase “The Other White Meat,” used by </w:t>
      </w:r>
      <w:r w:rsidRPr="003C5CBB">
        <w:lastRenderedPageBreak/>
        <w:t>the National Pork Board, was found to be famous as well.</w:t>
      </w:r>
      <w:r w:rsidR="003C5CBB" w:rsidRPr="003C5CBB">
        <w:rPr>
          <w:vertAlign w:val="superscript"/>
        </w:rPr>
        <w:footnoteReference w:id="129"/>
      </w:r>
      <w:r w:rsidRPr="003C5CBB">
        <w:t xml:space="preserve"> The Board cited large advertising expenditures, unsolicited media attention, a survey, notice “in popular culture,” and third-party brand rankings as evidence of fame.</w:t>
      </w:r>
      <w:r w:rsidR="003C5CBB" w:rsidRPr="003C5CBB">
        <w:rPr>
          <w:vertAlign w:val="superscript"/>
        </w:rPr>
        <w:footnoteReference w:id="130"/>
      </w:r>
      <w:r w:rsidRPr="003C5CBB">
        <w:t xml:space="preserve"> And the Motown mark was similarly found to be famous, in </w:t>
      </w:r>
      <w:r w:rsidR="003C5CBB" w:rsidRPr="003C5CBB">
        <w:rPr>
          <w:i/>
        </w:rPr>
        <w:t>UMG Recordings, Inc</w:t>
      </w:r>
      <w:r w:rsidR="003C5CBB" w:rsidRPr="003C5CBB">
        <w:t xml:space="preserve">. </w:t>
      </w:r>
      <w:r w:rsidR="003C5CBB" w:rsidRPr="003C5CBB">
        <w:rPr>
          <w:i/>
        </w:rPr>
        <w:t>v</w:t>
      </w:r>
      <w:r w:rsidR="003C5CBB" w:rsidRPr="003C5CBB">
        <w:t xml:space="preserve">. </w:t>
      </w:r>
      <w:r w:rsidR="003C5CBB" w:rsidRPr="003C5CBB">
        <w:rPr>
          <w:i/>
        </w:rPr>
        <w:t>Mattel, Inc</w:t>
      </w:r>
      <w:r w:rsidRPr="003C5CBB">
        <w:t>.</w:t>
      </w:r>
      <w:r w:rsidR="003C5CBB" w:rsidRPr="003C5CBB">
        <w:rPr>
          <w:vertAlign w:val="superscript"/>
        </w:rPr>
        <w:footnoteReference w:id="131"/>
      </w:r>
      <w:r w:rsidRPr="003C5CBB">
        <w:t xml:space="preserve"> The Board cited extensive third-party publicity as well as the company’s own promotional efforts, plus the utilization of Motown as synonymous with Detroit, as factors demonstrating its fame.</w:t>
      </w:r>
      <w:r w:rsidR="003C5CBB" w:rsidRPr="003C5CBB">
        <w:rPr>
          <w:vertAlign w:val="superscript"/>
        </w:rPr>
        <w:footnoteReference w:id="132"/>
      </w:r>
      <w:r w:rsidRPr="003C5CBB">
        <w:t xml:space="preserve"> The Board did note a lack of survey evidence, but stated that the record evidence of public recognition made a survey unnecessary.</w:t>
      </w:r>
      <w:r w:rsidR="003C5CBB" w:rsidRPr="003C5CBB">
        <w:rPr>
          <w:vertAlign w:val="superscript"/>
        </w:rPr>
        <w:footnoteReference w:id="133"/>
      </w:r>
      <w:r w:rsidRPr="003C5CBB">
        <w:t xml:space="preserve"> Finally, Rolex was found to be famous in </w:t>
      </w:r>
      <w:r w:rsidR="003C5CBB" w:rsidRPr="003C5CBB">
        <w:rPr>
          <w:i/>
        </w:rPr>
        <w:t>Rolex Watch U</w:t>
      </w:r>
      <w:r w:rsidRPr="003C5CBB">
        <w:t>.</w:t>
      </w:r>
      <w:r w:rsidR="003C5CBB" w:rsidRPr="003C5CBB">
        <w:rPr>
          <w:i/>
        </w:rPr>
        <w:t>S</w:t>
      </w:r>
      <w:r w:rsidRPr="003C5CBB">
        <w:t>.</w:t>
      </w:r>
      <w:r w:rsidR="003C5CBB" w:rsidRPr="003C5CBB">
        <w:rPr>
          <w:i/>
        </w:rPr>
        <w:t>A</w:t>
      </w:r>
      <w:r w:rsidRPr="003C5CBB">
        <w:t>.</w:t>
      </w:r>
      <w:r w:rsidR="003C5CBB" w:rsidRPr="003C5CBB">
        <w:rPr>
          <w:i/>
        </w:rPr>
        <w:t>, Inc</w:t>
      </w:r>
      <w:r w:rsidR="003C5CBB" w:rsidRPr="003C5CBB">
        <w:t xml:space="preserve">. </w:t>
      </w:r>
      <w:r w:rsidR="003C5CBB" w:rsidRPr="003C5CBB">
        <w:rPr>
          <w:i/>
        </w:rPr>
        <w:t>v</w:t>
      </w:r>
      <w:r w:rsidR="003C5CBB" w:rsidRPr="003C5CBB">
        <w:t xml:space="preserve">. </w:t>
      </w:r>
      <w:r w:rsidR="003C5CBB" w:rsidRPr="003C5CBB">
        <w:rPr>
          <w:i/>
        </w:rPr>
        <w:t>AFP Imaging Corp</w:t>
      </w:r>
      <w:r w:rsidRPr="003C5CBB">
        <w:t>.</w:t>
      </w:r>
      <w:r w:rsidR="003C5CBB" w:rsidRPr="003C5CBB">
        <w:rPr>
          <w:vertAlign w:val="superscript"/>
        </w:rPr>
        <w:footnoteReference w:id="134"/>
      </w:r>
      <w:r w:rsidRPr="003C5CBB">
        <w:t xml:space="preserve"> The Board cited tens of millions of dollars of advertising, much of it in publications aimed at the general public, unsolicited media attention, and its top 100 ranking in </w:t>
      </w:r>
      <w:r w:rsidR="003C5CBB" w:rsidRPr="003C5CBB">
        <w:rPr>
          <w:i/>
        </w:rPr>
        <w:t>Business Week</w:t>
      </w:r>
      <w:r w:rsidRPr="003C5CBB">
        <w:t>’s most valuable brands.</w:t>
      </w:r>
      <w:r w:rsidR="003C5CBB" w:rsidRPr="003C5CBB">
        <w:rPr>
          <w:vertAlign w:val="superscript"/>
        </w:rPr>
        <w:footnoteReference w:id="135"/>
      </w:r>
    </w:p>
    <w:p w14:paraId="08B89DEA" w14:textId="1E2F2226" w:rsidR="003C5CBB" w:rsidRPr="003C5CBB" w:rsidRDefault="00634BAE" w:rsidP="003C5CBB">
      <w:pPr>
        <w:pStyle w:val="BNormal"/>
      </w:pPr>
      <w:r w:rsidRPr="003C5CBB">
        <w:t>Two recent cases in the TTAB have potentially broadened the avenues for a finding of fame, at least in opposition proceedings.</w:t>
      </w:r>
    </w:p>
    <w:p w14:paraId="57FE1BC8" w14:textId="790DD08C" w:rsidR="003C5CBB" w:rsidRPr="003C5CBB" w:rsidRDefault="00634BAE" w:rsidP="003C5CBB">
      <w:pPr>
        <w:pStyle w:val="BNormal"/>
      </w:pPr>
      <w:r w:rsidRPr="003C5CBB">
        <w:t xml:space="preserve">In </w:t>
      </w:r>
      <w:r w:rsidR="003C5CBB" w:rsidRPr="003C5CBB">
        <w:rPr>
          <w:rStyle w:val="BCasenamefull"/>
        </w:rPr>
        <w:t>McDonald’s Corp. v. McSweet, LLC</w:t>
      </w:r>
      <w:r w:rsidRPr="003C5CBB">
        <w:t>,</w:t>
      </w:r>
      <w:r w:rsidR="003C5CBB" w:rsidRPr="003C5CBB">
        <w:rPr>
          <w:vertAlign w:val="superscript"/>
        </w:rPr>
        <w:footnoteReference w:id="136"/>
      </w:r>
      <w:r w:rsidRPr="003C5CBB">
        <w:t xml:space="preserve"> the Board found a </w:t>
      </w:r>
      <w:r w:rsidR="003C5CBB" w:rsidRPr="003C5CBB">
        <w:rPr>
          <w:i/>
        </w:rPr>
        <w:t>family</w:t>
      </w:r>
      <w:r w:rsidRPr="003C5CBB">
        <w:t xml:space="preserve"> of marks consisting of “MC” followed by a generic term to be famous.</w:t>
      </w:r>
      <w:r w:rsidR="003C5CBB" w:rsidRPr="003C5CBB">
        <w:rPr>
          <w:vertAlign w:val="superscript"/>
        </w:rPr>
        <w:footnoteReference w:id="137"/>
      </w:r>
      <w:r w:rsidRPr="003C5CBB">
        <w:t xml:space="preserve"> The Board cited a large number of “MC” products sold by McDonald’s</w:t>
      </w:r>
      <w:r w:rsidR="003C5CBB" w:rsidRPr="003C5CBB">
        <w:rPr>
          <w:vertAlign w:val="superscript"/>
        </w:rPr>
        <w:footnoteReference w:id="138"/>
      </w:r>
      <w:r w:rsidRPr="003C5CBB">
        <w:t xml:space="preserve"> as well as the extensive sales and advertising of McDonald’s products.</w:t>
      </w:r>
      <w:r w:rsidR="003C5CBB" w:rsidRPr="003C5CBB">
        <w:rPr>
          <w:vertAlign w:val="superscript"/>
        </w:rPr>
        <w:footnoteReference w:id="139"/>
      </w:r>
      <w:r w:rsidRPr="003C5CBB">
        <w:t xml:space="preserve"> Since the protection afforded here was for “MC___”, and because dilution covers noncompeting goods as well as competing goods, this gives McDonald’s very broad protection over a variety of other potential marks.</w:t>
      </w:r>
      <w:r w:rsidR="003C5CBB" w:rsidRPr="003C5CBB">
        <w:rPr>
          <w:vertAlign w:val="superscript"/>
        </w:rPr>
        <w:footnoteReference w:id="140"/>
      </w:r>
      <w:r w:rsidRPr="003C5CBB">
        <w:t xml:space="preserve"> It may not be significant, but in this case the Board did not cite its usual admonition that the test for dilution fame is a strict one.</w:t>
      </w:r>
    </w:p>
    <w:p w14:paraId="2C042306" w14:textId="220692EE" w:rsidR="003C5CBB" w:rsidRPr="003C5CBB" w:rsidRDefault="00634BAE" w:rsidP="003C5CBB">
      <w:pPr>
        <w:pStyle w:val="BNormal"/>
      </w:pPr>
      <w:r w:rsidRPr="003C5CBB">
        <w:lastRenderedPageBreak/>
        <w:t xml:space="preserve">The Board found two marks to be famous in </w:t>
      </w:r>
      <w:r w:rsidR="003C5CBB" w:rsidRPr="003C5CBB">
        <w:rPr>
          <w:rStyle w:val="BCasenamefull"/>
        </w:rPr>
        <w:t>New York Yankees Partnership v. IET Products and Services, Inc</w:t>
      </w:r>
      <w:r w:rsidRPr="003C5CBB">
        <w:t>.</w:t>
      </w:r>
      <w:r w:rsidR="003C5CBB" w:rsidRPr="003C5CBB">
        <w:rPr>
          <w:vertAlign w:val="superscript"/>
        </w:rPr>
        <w:footnoteReference w:id="141"/>
      </w:r>
      <w:r w:rsidRPr="003C5CBB">
        <w:t xml:space="preserve"> The first was the New York Yankees logo, with a top hat on a baseball bat (the “Top Hat logo”).</w:t>
      </w:r>
      <w:r w:rsidR="003C5CBB" w:rsidRPr="003C5CBB">
        <w:rPr>
          <w:vertAlign w:val="superscript"/>
        </w:rPr>
        <w:footnoteReference w:id="142"/>
      </w:r>
      <w:r w:rsidRPr="003C5CBB">
        <w:t xml:space="preserve"> The second, perhaps a bit more controversial, was THE HOUSE THAT RUTH BUILT</w:t>
      </w:r>
      <w:r w:rsidR="003C5CBB" w:rsidRPr="003C5CBB">
        <w:t>. A</w:t>
      </w:r>
      <w:r w:rsidRPr="003C5CBB">
        <w:t>s the Board indicated, the phrase is certainly well known as a reference to the original Yankee Stadium.</w:t>
      </w:r>
      <w:r w:rsidR="003C5CBB" w:rsidRPr="003C5CBB">
        <w:rPr>
          <w:vertAlign w:val="superscript"/>
        </w:rPr>
        <w:footnoteReference w:id="143"/>
      </w:r>
      <w:r w:rsidRPr="003C5CBB">
        <w:t xml:space="preserve"> The applicant questioned whether the phrase was famous </w:t>
      </w:r>
      <w:r w:rsidR="003C5CBB" w:rsidRPr="003C5CBB">
        <w:rPr>
          <w:i/>
        </w:rPr>
        <w:t>as a trademark</w:t>
      </w:r>
      <w:r w:rsidRPr="003C5CBB">
        <w:t>—the statute requires that the mark be recognized by the general consuming public “as a designation of source.”</w:t>
      </w:r>
      <w:r w:rsidR="003C5CBB" w:rsidRPr="003C5CBB">
        <w:rPr>
          <w:vertAlign w:val="superscript"/>
        </w:rPr>
        <w:footnoteReference w:id="144"/>
      </w:r>
      <w:r w:rsidRPr="003C5CBB">
        <w:t xml:space="preserve"> However, the Board responded:</w:t>
      </w:r>
    </w:p>
    <w:p w14:paraId="31108A1B" w14:textId="6EC46B24" w:rsidR="003C5CBB" w:rsidRPr="003C5CBB" w:rsidRDefault="00634BAE" w:rsidP="003C5CBB">
      <w:pPr>
        <w:pStyle w:val="BQuotelong"/>
      </w:pPr>
      <w:r w:rsidRPr="003C5CBB">
        <w:t xml:space="preserve">The distinction Applicant makes—between use by the public of THE HOUSE THAT RUTH BUILT designation and use by Opposer as a </w:t>
      </w:r>
      <w:r w:rsidR="003C5CBB" w:rsidRPr="003C5CBB">
        <w:rPr>
          <w:i/>
          <w:u w:val="single"/>
        </w:rPr>
        <w:t>mark</w:t>
      </w:r>
      <w:r w:rsidRPr="003C5CBB">
        <w:t>—is not meaningful to our analysis.</w:t>
      </w:r>
      <w:r w:rsidR="003C5CBB" w:rsidRPr="003C5CBB">
        <w:rPr>
          <w:vertAlign w:val="superscript"/>
        </w:rPr>
        <w:footnoteReference w:id="145"/>
      </w:r>
    </w:p>
    <w:p w14:paraId="21C6B844" w14:textId="556F585A" w:rsidR="003C5CBB" w:rsidRPr="003C5CBB" w:rsidRDefault="00634BAE" w:rsidP="003C5CBB">
      <w:pPr>
        <w:pStyle w:val="BNormal"/>
      </w:pPr>
      <w:r w:rsidRPr="003C5CBB">
        <w:t>This statement is unfortunate</w:t>
      </w:r>
      <w:r w:rsidR="003C5CBB" w:rsidRPr="003C5CBB">
        <w:t>. T</w:t>
      </w:r>
      <w:r w:rsidRPr="003C5CBB">
        <w:t xml:space="preserve">he statutory definition of </w:t>
      </w:r>
      <w:proofErr w:type="gramStart"/>
      <w:r w:rsidRPr="003C5CBB">
        <w:t>fame—</w:t>
      </w:r>
      <w:proofErr w:type="gramEnd"/>
      <w:r w:rsidRPr="003C5CBB">
        <w:t xml:space="preserve">which clearly trumps the </w:t>
      </w:r>
      <w:proofErr w:type="gramStart"/>
      <w:r w:rsidRPr="003C5CBB">
        <w:t>factors—</w:t>
      </w:r>
      <w:proofErr w:type="gramEnd"/>
      <w:r w:rsidRPr="003C5CBB">
        <w:t>requires that the mark be famous</w:t>
      </w:r>
      <w:r w:rsidR="003C5CBB" w:rsidRPr="003C5CBB">
        <w:rPr>
          <w:i/>
        </w:rPr>
        <w:t xml:space="preserve"> as a trademark</w:t>
      </w:r>
      <w:r w:rsidR="003C5CBB" w:rsidRPr="003C5CBB">
        <w:t>. I</w:t>
      </w:r>
      <w:r w:rsidRPr="003C5CBB">
        <w:t xml:space="preserve">t is not enough that it </w:t>
      </w:r>
      <w:r w:rsidR="003C5CBB" w:rsidRPr="003C5CBB">
        <w:rPr>
          <w:i/>
        </w:rPr>
        <w:t>is</w:t>
      </w:r>
      <w:r w:rsidRPr="003C5CBB">
        <w:t xml:space="preserve"> a trademark—in this case, the phrase was registered by the Yankees as a trademark—the public must </w:t>
      </w:r>
      <w:proofErr w:type="gramStart"/>
      <w:r w:rsidRPr="003C5CBB">
        <w:t>actually recognize</w:t>
      </w:r>
      <w:proofErr w:type="gramEnd"/>
      <w:r w:rsidRPr="003C5CBB">
        <w:t xml:space="preserve"> it as such</w:t>
      </w:r>
      <w:r w:rsidR="003C5CBB" w:rsidRPr="003C5CBB">
        <w:t>. T</w:t>
      </w:r>
      <w:r w:rsidRPr="003C5CBB">
        <w:t>hus, either the Board is bypassing the definition, or its phraseology was misguided in a case where it found, in fact, that the mark was famous as a mark</w:t>
      </w:r>
      <w:r w:rsidR="003C5CBB" w:rsidRPr="003C5CBB">
        <w:t>. W</w:t>
      </w:r>
      <w:r w:rsidRPr="003C5CBB">
        <w:t>hen it considered the factors, the Board held that the phrase could be a trademark of the Yankees even if not specifically used by the team as such.</w:t>
      </w:r>
      <w:r w:rsidR="003C5CBB" w:rsidRPr="003C5CBB">
        <w:rPr>
          <w:vertAlign w:val="superscript"/>
        </w:rPr>
        <w:footnoteReference w:id="146"/>
      </w:r>
      <w:r w:rsidRPr="003C5CBB">
        <w:t xml:space="preserve"> While unusual, it is certainly possible for the public to use a reference to the source that the source did not create</w:t>
      </w:r>
      <w:r w:rsidR="003C5CBB" w:rsidRPr="003C5CBB">
        <w:t>. A</w:t>
      </w:r>
      <w:r w:rsidRPr="003C5CBB">
        <w:t>nd the Board was certainly correct to conclude that the phrase has come to be widely recognized as a reference to Yankee Stadium</w:t>
      </w:r>
      <w:r w:rsidR="003C5CBB" w:rsidRPr="003C5CBB">
        <w:t>. M</w:t>
      </w:r>
      <w:r w:rsidRPr="003C5CBB">
        <w:t>oreover, the Board found, based on the record (consisting largely of newspaper articles using the phrase), that the public used the phrase as a designation of source.</w:t>
      </w:r>
      <w:r w:rsidR="003C5CBB" w:rsidRPr="003C5CBB">
        <w:rPr>
          <w:vertAlign w:val="superscript"/>
        </w:rPr>
        <w:footnoteReference w:id="147"/>
      </w:r>
      <w:r w:rsidRPr="003C5CBB">
        <w:t xml:space="preserve"> And the fact that it was registered as a mark is also relevant to the discussion, even if not dispositive.</w:t>
      </w:r>
      <w:r w:rsidR="003C5CBB" w:rsidRPr="003C5CBB">
        <w:rPr>
          <w:vertAlign w:val="superscript"/>
        </w:rPr>
        <w:footnoteReference w:id="148"/>
      </w:r>
      <w:r w:rsidRPr="003C5CBB">
        <w:t xml:space="preserve"> Thus, its conclusion that THE HOUSE THAT RUTH BUILT was a famous mark can be justified on the record, even if the Board’s reasoning could have been more felicitously phrased</w:t>
      </w:r>
      <w:r w:rsidR="003C5CBB" w:rsidRPr="003C5CBB">
        <w:t>. O</w:t>
      </w:r>
      <w:r w:rsidRPr="003C5CBB">
        <w:t>n the other hand, for both the Top Hat logo mark and the word mark, it would have been useful for the Board to have clarified why it believed that the mark was famous among “the general consuming public” and not just sports fans</w:t>
      </w:r>
      <w:r w:rsidR="003C5CBB" w:rsidRPr="003C5CBB">
        <w:t>. W</w:t>
      </w:r>
      <w:r w:rsidRPr="003C5CBB">
        <w:t>hile there was some indication that there was evidence of recognition beyond New York sports fans,</w:t>
      </w:r>
      <w:r w:rsidR="003C5CBB" w:rsidRPr="003C5CBB">
        <w:rPr>
          <w:vertAlign w:val="superscript"/>
        </w:rPr>
        <w:footnoteReference w:id="149"/>
      </w:r>
      <w:r w:rsidRPr="003C5CBB">
        <w:t xml:space="preserve"> it was not clear that the record supported a strong inference that the fame of the marks </w:t>
      </w:r>
      <w:r w:rsidRPr="003C5CBB">
        <w:lastRenderedPageBreak/>
        <w:t>extended to the general consuming public</w:t>
      </w:r>
      <w:r w:rsidR="003C5CBB" w:rsidRPr="003C5CBB">
        <w:t>. S</w:t>
      </w:r>
      <w:r w:rsidRPr="003C5CBB">
        <w:t>uch evidence may have existed, but it would have been helpful had the Board connected it to the definition of fame.</w:t>
      </w:r>
      <w:r w:rsidR="003C5CBB" w:rsidRPr="003C5CBB">
        <w:rPr>
          <w:vertAlign w:val="superscript"/>
        </w:rPr>
        <w:footnoteReference w:id="150"/>
      </w:r>
      <w:r w:rsidRPr="003C5CBB">
        <w:t xml:space="preserve"> Because fame is the gatekeeper element of dilution, it is particularly important to keep its parameters both limited and well defined.</w:t>
      </w:r>
    </w:p>
    <w:p w14:paraId="5EDDF70F" w14:textId="50DF0D6E" w:rsidR="003C5CBB" w:rsidRPr="003C5CBB" w:rsidRDefault="00634BAE" w:rsidP="003C5CBB">
      <w:pPr>
        <w:pStyle w:val="BNormal"/>
      </w:pPr>
      <w:r w:rsidRPr="003C5CBB">
        <w:t>Several cases in which the courts found certain trade dress to be famous were somewhat closer cases and, arguably, could have been decided the other way</w:t>
      </w:r>
      <w:r w:rsidR="003C5CBB" w:rsidRPr="003C5CBB">
        <w:t>. T</w:t>
      </w:r>
      <w:r w:rsidRPr="003C5CBB">
        <w:t xml:space="preserve">he shape and wrapping of a candy bar were held famous in </w:t>
      </w:r>
      <w:r w:rsidR="003C5CBB" w:rsidRPr="003C5CBB">
        <w:rPr>
          <w:i/>
        </w:rPr>
        <w:t>Hershey Company v</w:t>
      </w:r>
      <w:r w:rsidR="003C5CBB" w:rsidRPr="003C5CBB">
        <w:t xml:space="preserve">. </w:t>
      </w:r>
      <w:r w:rsidR="003C5CBB" w:rsidRPr="003C5CBB">
        <w:rPr>
          <w:i/>
        </w:rPr>
        <w:t>Art Van Furniture, Inc</w:t>
      </w:r>
      <w:r w:rsidRPr="003C5CBB">
        <w:t>.</w:t>
      </w:r>
      <w:r w:rsidR="003C5CBB" w:rsidRPr="003C5CBB">
        <w:rPr>
          <w:vertAlign w:val="superscript"/>
        </w:rPr>
        <w:footnoteReference w:id="151"/>
      </w:r>
      <w:r w:rsidRPr="003C5CBB">
        <w:t xml:space="preserve"> The court cited the mark’s “secondary meaning in the marketplace,” its large sales and advertising expenditures, the fact that Hershey owns numerous trademarks (the significance of this is quite unclear), and the “iconic status” of the Hershey bar.</w:t>
      </w:r>
      <w:r w:rsidR="003C5CBB" w:rsidRPr="003C5CBB">
        <w:rPr>
          <w:vertAlign w:val="superscript"/>
        </w:rPr>
        <w:footnoteReference w:id="152"/>
      </w:r>
      <w:r w:rsidRPr="003C5CBB">
        <w:t xml:space="preserve"> Although the court’s conclusion may be correct, the analysis may be flawed as a matter of statutory construction</w:t>
      </w:r>
      <w:r w:rsidR="003C5CBB" w:rsidRPr="003C5CBB">
        <w:t>; i</w:t>
      </w:r>
      <w:r w:rsidRPr="003C5CBB">
        <w:t xml:space="preserve">n the case of unregistered trade dress, the statute requires the mark owner to demonstrate fame </w:t>
      </w:r>
      <w:r w:rsidR="003C5CBB" w:rsidRPr="003C5CBB">
        <w:rPr>
          <w:i/>
        </w:rPr>
        <w:t>without</w:t>
      </w:r>
      <w:r w:rsidRPr="003C5CBB">
        <w:t xml:space="preserve"> the inclusion of a famous name or logo (such as Hershey).</w:t>
      </w:r>
      <w:r w:rsidR="003C5CBB" w:rsidRPr="003C5CBB">
        <w:rPr>
          <w:vertAlign w:val="superscript"/>
        </w:rPr>
        <w:footnoteReference w:id="153"/>
      </w:r>
      <w:r w:rsidRPr="003C5CBB">
        <w:t xml:space="preserve"> Here, it was not entirely clear that the court considered the wrapping famous absent the Hershey name, though it probably would have done so if the matter had been brought to its attention.</w:t>
      </w:r>
    </w:p>
    <w:p w14:paraId="51EECC6D" w14:textId="2EE219B7" w:rsidR="003C5CBB" w:rsidRPr="003C5CBB" w:rsidRDefault="00634BAE" w:rsidP="003C5CBB">
      <w:pPr>
        <w:pStyle w:val="BNormal"/>
      </w:pPr>
      <w:r w:rsidRPr="003C5CBB">
        <w:t xml:space="preserve">Another kind of design mark was held famous in </w:t>
      </w:r>
      <w:r w:rsidR="003C5CBB" w:rsidRPr="003C5CBB">
        <w:rPr>
          <w:i/>
        </w:rPr>
        <w:t>Louis Vuitton Malletier v</w:t>
      </w:r>
      <w:r w:rsidR="003C5CBB" w:rsidRPr="003C5CBB">
        <w:t xml:space="preserve">. </w:t>
      </w:r>
      <w:r w:rsidR="003C5CBB" w:rsidRPr="003C5CBB">
        <w:rPr>
          <w:i/>
        </w:rPr>
        <w:t>Dooney &amp; Bourke, Inc</w:t>
      </w:r>
      <w:r w:rsidRPr="003C5CBB">
        <w:t>.</w:t>
      </w:r>
      <w:r w:rsidR="003C5CBB" w:rsidRPr="003C5CBB">
        <w:rPr>
          <w:vertAlign w:val="superscript"/>
        </w:rPr>
        <w:footnoteReference w:id="154"/>
      </w:r>
      <w:r w:rsidRPr="003C5CBB">
        <w:t xml:space="preserve"> Called the Monogram Multicolore mark by the court, it consisted of a version of the LV monogram already incorporated into an existing mark, set in 33 colors, and placed on a black or white background.</w:t>
      </w:r>
      <w:r w:rsidR="003C5CBB" w:rsidRPr="003C5CBB">
        <w:rPr>
          <w:vertAlign w:val="superscript"/>
        </w:rPr>
        <w:footnoteReference w:id="155"/>
      </w:r>
      <w:r w:rsidRPr="003C5CBB">
        <w:t xml:space="preserve"> Going beyond the plaintiff’s argument (made in response to a summary judgment motion) that there was an issue of fact regarding the mark’s fame, the court found the mark to be famous.</w:t>
      </w:r>
      <w:r w:rsidR="003C5CBB" w:rsidRPr="003C5CBB">
        <w:rPr>
          <w:vertAlign w:val="superscript"/>
        </w:rPr>
        <w:footnoteReference w:id="156"/>
      </w:r>
      <w:r w:rsidRPr="003C5CBB">
        <w:t xml:space="preserve"> The court cited large advertising expenditures and “a deluge of unsolicited media coverage and attention.”</w:t>
      </w:r>
      <w:r w:rsidR="003C5CBB" w:rsidRPr="003C5CBB">
        <w:rPr>
          <w:vertAlign w:val="superscript"/>
        </w:rPr>
        <w:footnoteReference w:id="157"/>
      </w:r>
      <w:r w:rsidRPr="003C5CBB">
        <w:t xml:space="preserve"> This, the court concluded, extended awareness of the mark “far beyond a narrow, niche market.”</w:t>
      </w:r>
      <w:r w:rsidR="003C5CBB" w:rsidRPr="003C5CBB">
        <w:rPr>
          <w:vertAlign w:val="superscript"/>
        </w:rPr>
        <w:footnoteReference w:id="158"/>
      </w:r>
      <w:r w:rsidRPr="003C5CBB">
        <w:t xml:space="preserve"> The court thus recognized the TDRA’s more stringent definition and standard for fame</w:t>
      </w:r>
      <w:r w:rsidR="003C5CBB" w:rsidRPr="003C5CBB">
        <w:t>. H</w:t>
      </w:r>
      <w:r w:rsidRPr="003C5CBB">
        <w:t xml:space="preserve">owever, in the absence of a clear indication of the plaintiff’s advertising vehicles or the sources of </w:t>
      </w:r>
      <w:proofErr w:type="gramStart"/>
      <w:r w:rsidRPr="003C5CBB">
        <w:t>the media</w:t>
      </w:r>
      <w:proofErr w:type="gramEnd"/>
      <w:r w:rsidRPr="003C5CBB">
        <w:t xml:space="preserve"> coverage, it is difficult to assess whether the court appropriately </w:t>
      </w:r>
      <w:r w:rsidRPr="003C5CBB">
        <w:lastRenderedPageBreak/>
        <w:t xml:space="preserve">found that this </w:t>
      </w:r>
      <w:proofErr w:type="gramStart"/>
      <w:r w:rsidR="003C5CBB" w:rsidRPr="003C5CBB">
        <w:rPr>
          <w:i/>
        </w:rPr>
        <w:t>particular</w:t>
      </w:r>
      <w:r w:rsidRPr="003C5CBB">
        <w:t xml:space="preserve"> mark</w:t>
      </w:r>
      <w:proofErr w:type="gramEnd"/>
      <w:r w:rsidRPr="003C5CBB">
        <w:t xml:space="preserve"> (as opposed to the name Louis Vuitton) would be known to the general consuming public.</w:t>
      </w:r>
    </w:p>
    <w:p w14:paraId="1E1C8140" w14:textId="29BB2F50" w:rsidR="003C5CBB" w:rsidRPr="003C5CBB" w:rsidRDefault="00634BAE" w:rsidP="003C5CBB">
      <w:pPr>
        <w:pStyle w:val="BNormal"/>
      </w:pPr>
      <w:r w:rsidRPr="003C5CBB">
        <w:t>In a third design-mark case, the plaintiff, adidas America, prevailed in its argument that its “three stripe” mark on shoes is famous.</w:t>
      </w:r>
      <w:r w:rsidR="003C5CBB" w:rsidRPr="003C5CBB">
        <w:rPr>
          <w:vertAlign w:val="superscript"/>
        </w:rPr>
        <w:footnoteReference w:id="159"/>
      </w:r>
      <w:r w:rsidRPr="003C5CBB">
        <w:t xml:space="preserve"> Although the court’s analysis of fame relied largely on the conclusions of previous cases that the “three stripe” mark was famous,</w:t>
      </w:r>
      <w:r w:rsidR="003C5CBB" w:rsidRPr="003C5CBB">
        <w:rPr>
          <w:vertAlign w:val="superscript"/>
        </w:rPr>
        <w:footnoteReference w:id="160"/>
      </w:r>
      <w:r w:rsidRPr="003C5CBB">
        <w:t xml:space="preserve"> the court also indicated that adidas had presented “extensive evidence” of fame.</w:t>
      </w:r>
      <w:r w:rsidR="003C5CBB" w:rsidRPr="003C5CBB">
        <w:rPr>
          <w:vertAlign w:val="superscript"/>
        </w:rPr>
        <w:footnoteReference w:id="161"/>
      </w:r>
      <w:r w:rsidRPr="003C5CBB">
        <w:t xml:space="preserve"> This evidence apparently included advertising and sales figures and articles in the media demonstrating widespread knowledge of the mark.</w:t>
      </w:r>
      <w:r w:rsidR="003C5CBB" w:rsidRPr="003C5CBB">
        <w:rPr>
          <w:vertAlign w:val="superscript"/>
        </w:rPr>
        <w:footnoteReference w:id="162"/>
      </w:r>
      <w:r w:rsidRPr="003C5CBB">
        <w:t xml:space="preserve"> The evidence did not include a survey</w:t>
      </w:r>
      <w:r w:rsidR="003C5CBB" w:rsidRPr="003C5CBB">
        <w:t>. I</w:t>
      </w:r>
      <w:r w:rsidRPr="003C5CBB">
        <w:t>n this regard, the court indicated that surveys generally are desirable, but that the “extensive evidence” submitted obviated the need for a survey in this case.</w:t>
      </w:r>
      <w:r w:rsidR="003C5CBB" w:rsidRPr="003C5CBB">
        <w:rPr>
          <w:vertAlign w:val="superscript"/>
        </w:rPr>
        <w:footnoteReference w:id="163"/>
      </w:r>
      <w:r w:rsidRPr="003C5CBB">
        <w:t xml:space="preserve"> However, it is noteworthy that the court felt a need to justify its conclusion in the absence of a survey.</w:t>
      </w:r>
    </w:p>
    <w:p w14:paraId="15C97127" w14:textId="4A813C83" w:rsidR="003C5CBB" w:rsidRPr="003C5CBB" w:rsidRDefault="00634BAE" w:rsidP="003C5CBB">
      <w:pPr>
        <w:pStyle w:val="BNormal"/>
      </w:pPr>
      <w:r w:rsidRPr="003C5CBB">
        <w:t>In an opinion analyzing several different Gucci trademark claims involving logos and trade dress, a district court found some to be famous, while others were not famous.</w:t>
      </w:r>
      <w:r w:rsidR="003C5CBB" w:rsidRPr="003C5CBB">
        <w:rPr>
          <w:vertAlign w:val="superscript"/>
        </w:rPr>
        <w:footnoteReference w:id="164"/>
      </w:r>
      <w:r w:rsidRPr="003C5CBB">
        <w:t xml:space="preserve"> Regarding the famous marks, the court cited extensive national advertising, large sales, and, to a degree, the defendant’s own admissions as to the notoriety of the plaintiff’s marks.</w:t>
      </w:r>
      <w:r w:rsidR="003C5CBB" w:rsidRPr="003C5CBB">
        <w:rPr>
          <w:vertAlign w:val="superscript"/>
        </w:rPr>
        <w:footnoteReference w:id="165"/>
      </w:r>
      <w:r w:rsidRPr="003C5CBB">
        <w:t xml:space="preserve"> Discussing the trade-dress mark, the court did not clearly indicate whether that mark would be considered famous without considering other Gucci marks, although it appears that this was assumed.</w:t>
      </w:r>
      <w:r w:rsidR="003C5CBB" w:rsidRPr="003C5CBB">
        <w:rPr>
          <w:vertAlign w:val="superscript"/>
        </w:rPr>
        <w:footnoteReference w:id="166"/>
      </w:r>
    </w:p>
    <w:p w14:paraId="560B1A66" w14:textId="32C3A44E" w:rsidR="003C5CBB" w:rsidRPr="003C5CBB" w:rsidRDefault="00634BAE" w:rsidP="003C5CBB">
      <w:pPr>
        <w:pStyle w:val="BNormal"/>
      </w:pPr>
      <w:r w:rsidRPr="003C5CBB">
        <w:t>And in a design case that contained a mixture of design patent and trademark, the appearance of an Apple iPhone 3GS was found to be famous by a jury in a lawsuit between Apple, Inc</w:t>
      </w:r>
      <w:r w:rsidR="003C5CBB" w:rsidRPr="003C5CBB">
        <w:t>. a</w:t>
      </w:r>
      <w:r w:rsidRPr="003C5CBB">
        <w:t>nd Samsung Electronics, Ltd.</w:t>
      </w:r>
      <w:r w:rsidR="003C5CBB" w:rsidRPr="003C5CBB">
        <w:rPr>
          <w:vertAlign w:val="superscript"/>
        </w:rPr>
        <w:footnoteReference w:id="167"/>
      </w:r>
    </w:p>
    <w:p w14:paraId="498D9928" w14:textId="67E94921" w:rsidR="003C5CBB" w:rsidRPr="003C5CBB" w:rsidRDefault="00634BAE" w:rsidP="003C5CBB">
      <w:pPr>
        <w:pStyle w:val="BNormal"/>
      </w:pPr>
      <w:r w:rsidRPr="003C5CBB">
        <w:t>There also have been some findings of fame in cases that have involved less–than–household names, and where the conclusions could be said to be the result of locally famous marks being perceived as being more nationally famous than they are</w:t>
      </w:r>
      <w:r w:rsidR="003C5CBB" w:rsidRPr="003C5CBB">
        <w:t>. T</w:t>
      </w:r>
      <w:r w:rsidRPr="003C5CBB">
        <w:t>his appears particularly true of marks relating to sports teams.</w:t>
      </w:r>
    </w:p>
    <w:p w14:paraId="2BDB5892" w14:textId="4A513092" w:rsidR="003C5CBB" w:rsidRPr="003C5CBB" w:rsidRDefault="00634BAE" w:rsidP="003C5CBB">
      <w:pPr>
        <w:pStyle w:val="BNormal"/>
      </w:pPr>
      <w:r w:rsidRPr="003C5CBB">
        <w:lastRenderedPageBreak/>
        <w:t xml:space="preserve">One of the less obvious candidates for fame was found in </w:t>
      </w:r>
      <w:r w:rsidR="003C5CBB" w:rsidRPr="003C5CBB">
        <w:rPr>
          <w:i/>
        </w:rPr>
        <w:t>Dallas Cowboys Football Club, Ltd</w:t>
      </w:r>
      <w:r w:rsidR="003C5CBB" w:rsidRPr="003C5CBB">
        <w:t xml:space="preserve">. </w:t>
      </w:r>
      <w:r w:rsidR="003C5CBB" w:rsidRPr="003C5CBB">
        <w:rPr>
          <w:i/>
        </w:rPr>
        <w:t>v</w:t>
      </w:r>
      <w:r w:rsidR="003C5CBB" w:rsidRPr="003C5CBB">
        <w:t xml:space="preserve">. </w:t>
      </w:r>
      <w:r w:rsidR="003C5CBB" w:rsidRPr="003C5CBB">
        <w:rPr>
          <w:i/>
        </w:rPr>
        <w:t>America’s Team Properties, Inc</w:t>
      </w:r>
      <w:r w:rsidRPr="003C5CBB">
        <w:t>.,</w:t>
      </w:r>
      <w:r w:rsidR="003C5CBB" w:rsidRPr="003C5CBB">
        <w:rPr>
          <w:vertAlign w:val="superscript"/>
        </w:rPr>
        <w:footnoteReference w:id="168"/>
      </w:r>
      <w:r w:rsidRPr="003C5CBB">
        <w:t xml:space="preserve"> where the court found that the phrase America’s Team (used by the Dallas Cowboys football team) was a famous mark</w:t>
      </w:r>
      <w:r w:rsidR="003C5CBB" w:rsidRPr="003C5CBB">
        <w:t>. T</w:t>
      </w:r>
      <w:r w:rsidRPr="003C5CBB">
        <w:t>he court based the finding on long use, “geographic reach” of the mark,</w:t>
      </w:r>
      <w:r w:rsidR="003C5CBB" w:rsidRPr="003C5CBB">
        <w:rPr>
          <w:vertAlign w:val="superscript"/>
        </w:rPr>
        <w:footnoteReference w:id="169"/>
      </w:r>
      <w:r w:rsidRPr="003C5CBB">
        <w:t xml:space="preserve"> and a survey demonstrating “actual recognition among a relevant consumer base.”</w:t>
      </w:r>
      <w:r w:rsidR="003C5CBB" w:rsidRPr="003C5CBB">
        <w:rPr>
          <w:vertAlign w:val="superscript"/>
        </w:rPr>
        <w:footnoteReference w:id="170"/>
      </w:r>
      <w:r w:rsidRPr="003C5CBB">
        <w:t xml:space="preserve"> The court did not make clear what that consumer base was</w:t>
      </w:r>
      <w:r w:rsidR="003C5CBB" w:rsidRPr="003C5CBB">
        <w:t>. T</w:t>
      </w:r>
      <w:r w:rsidRPr="003C5CBB">
        <w:t xml:space="preserve">his is obviously critical to the underlying definition, which refers to the “general consuming public.” However, the court also noted that the </w:t>
      </w:r>
      <w:r w:rsidR="003C5CBB" w:rsidRPr="003C5CBB">
        <w:rPr>
          <w:i/>
        </w:rPr>
        <w:t>defendant’s</w:t>
      </w:r>
      <w:r w:rsidRPr="003C5CBB">
        <w:t xml:space="preserve"> promotional literature characterized the mark as “famous.”</w:t>
      </w:r>
      <w:r w:rsidR="003C5CBB" w:rsidRPr="003C5CBB">
        <w:rPr>
          <w:vertAlign w:val="superscript"/>
        </w:rPr>
        <w:footnoteReference w:id="171"/>
      </w:r>
    </w:p>
    <w:p w14:paraId="23ACA987" w14:textId="329C9167" w:rsidR="003C5CBB" w:rsidRPr="003C5CBB" w:rsidRDefault="00634BAE" w:rsidP="003C5CBB">
      <w:pPr>
        <w:pStyle w:val="BNormal"/>
      </w:pPr>
      <w:r w:rsidRPr="003C5CBB">
        <w:t>A jury found various trademarks of the University of Kansas (including its Jayhawks mascot name and colors, and the Phog, a reference to former Kansas basketball coach Phog Allen) to be famous, after the trial court refused to find the marks not famous as a matter of law.</w:t>
      </w:r>
      <w:r w:rsidR="003C5CBB" w:rsidRPr="003C5CBB">
        <w:rPr>
          <w:vertAlign w:val="superscript"/>
        </w:rPr>
        <w:footnoteReference w:id="172"/>
      </w:r>
      <w:r w:rsidRPr="003C5CBB">
        <w:t xml:space="preserve"> While these trademarks may be extremely well known in Kansas, it is far less clear that they are known to the “general consuming public of the United States.”</w:t>
      </w:r>
    </w:p>
    <w:p w14:paraId="6DCEEF52" w14:textId="7CE7E836" w:rsidR="003C5CBB" w:rsidRPr="003C5CBB" w:rsidRDefault="00634BAE" w:rsidP="003C5CBB">
      <w:pPr>
        <w:pStyle w:val="BNormal"/>
      </w:pPr>
      <w:r w:rsidRPr="003C5CBB">
        <w:t xml:space="preserve">In </w:t>
      </w:r>
      <w:r w:rsidR="003C5CBB" w:rsidRPr="003C5CBB">
        <w:rPr>
          <w:i/>
        </w:rPr>
        <w:t>AVS Foundation v</w:t>
      </w:r>
      <w:r w:rsidR="003C5CBB" w:rsidRPr="003C5CBB">
        <w:t xml:space="preserve">. </w:t>
      </w:r>
      <w:r w:rsidR="003C5CBB" w:rsidRPr="003C5CBB">
        <w:rPr>
          <w:i/>
        </w:rPr>
        <w:t>Eugene Berry Enterprise, LLC</w:t>
      </w:r>
      <w:r w:rsidRPr="003C5CBB">
        <w:t>,</w:t>
      </w:r>
      <w:r w:rsidR="003C5CBB" w:rsidRPr="003C5CBB">
        <w:rPr>
          <w:vertAlign w:val="superscript"/>
        </w:rPr>
        <w:footnoteReference w:id="173"/>
      </w:r>
      <w:r w:rsidRPr="003C5CBB">
        <w:t xml:space="preserve"> a Pennsylvania district court found The Terrible Towel used by Pittsburgh Steelers fans to be a famous mark</w:t>
      </w:r>
      <w:r w:rsidR="003C5CBB" w:rsidRPr="003C5CBB">
        <w:t>. A</w:t>
      </w:r>
      <w:r w:rsidRPr="003C5CBB">
        <w:t xml:space="preserve">s with the America’s Team and Jayhawks marks discussed above, it is unclear that the fame of the mark extends beyond football </w:t>
      </w:r>
      <w:proofErr w:type="gramStart"/>
      <w:r w:rsidRPr="003C5CBB">
        <w:t>fans, and</w:t>
      </w:r>
      <w:proofErr w:type="gramEnd"/>
      <w:r w:rsidRPr="003C5CBB">
        <w:t xml:space="preserve"> may not even extend far beyond Pittsburgh to the “general consuming public.” Because it found confusion, the court did not engage in an extensive discussion of dilution</w:t>
      </w:r>
      <w:r w:rsidR="003C5CBB" w:rsidRPr="003C5CBB">
        <w:t>. N</w:t>
      </w:r>
      <w:r w:rsidRPr="003C5CBB">
        <w:t>evertheless, in terms of the fame of the mark, the court cited its arbitrary nature (comparing it to Kodak, although Kodak, unlike Terrible Towel, is entirely made up)</w:t>
      </w:r>
      <w:r w:rsidR="003C5CBB" w:rsidRPr="003C5CBB">
        <w:t>; i</w:t>
      </w:r>
      <w:r w:rsidRPr="003C5CBB">
        <w:t>ts meaning, “especially in the Greater Pittsburgh area”</w:t>
      </w:r>
      <w:r w:rsidR="003C5CBB" w:rsidRPr="003C5CBB">
        <w:t>; 3</w:t>
      </w:r>
      <w:r w:rsidRPr="003C5CBB">
        <w:t>5 years of use</w:t>
      </w:r>
      <w:r w:rsidR="003C5CBB" w:rsidRPr="003C5CBB">
        <w:t>; t</w:t>
      </w:r>
      <w:r w:rsidRPr="003C5CBB">
        <w:t>elevision coverage of Steelers games</w:t>
      </w:r>
      <w:r w:rsidR="003C5CBB" w:rsidRPr="003C5CBB">
        <w:t>; a</w:t>
      </w:r>
      <w:r w:rsidRPr="003C5CBB">
        <w:t>nd “the stature of Pittsburgh sports writer and Steelers broadcaster, Myron Cope, who conceived the idea of ‘The Terrible Towel</w:t>
      </w:r>
      <w:r w:rsidR="003C5CBB" w:rsidRPr="003C5CBB">
        <w:rPr>
          <w:vertAlign w:val="superscript"/>
        </w:rPr>
        <w:t>®</w:t>
      </w:r>
      <w:r w:rsidRPr="003C5CBB">
        <w:t>.’”</w:t>
      </w:r>
      <w:r w:rsidR="003C5CBB" w:rsidRPr="003C5CBB">
        <w:rPr>
          <w:vertAlign w:val="superscript"/>
        </w:rPr>
        <w:footnoteReference w:id="174"/>
      </w:r>
      <w:r w:rsidRPr="003C5CBB">
        <w:t xml:space="preserve"> The court specifically concluded, without citing much national evidence, that the marks were famous to “the general consuming public of the United States.”</w:t>
      </w:r>
      <w:r w:rsidR="003C5CBB" w:rsidRPr="003C5CBB">
        <w:rPr>
          <w:vertAlign w:val="superscript"/>
        </w:rPr>
        <w:footnoteReference w:id="175"/>
      </w:r>
      <w:r w:rsidRPr="003C5CBB">
        <w:t xml:space="preserve"> Obviously, a great deal of the pertinent evidence was local</w:t>
      </w:r>
      <w:r w:rsidR="003C5CBB" w:rsidRPr="003C5CBB">
        <w:t>; t</w:t>
      </w:r>
      <w:r w:rsidRPr="003C5CBB">
        <w:t>he only national evidence was television coverage</w:t>
      </w:r>
      <w:r w:rsidR="003C5CBB" w:rsidRPr="003C5CBB">
        <w:t>. A</w:t>
      </w:r>
      <w:r w:rsidRPr="003C5CBB">
        <w:t xml:space="preserve">nd whether the “general consuming public” truly understood that The Terrible Towel was a </w:t>
      </w:r>
      <w:r w:rsidR="003C5CBB" w:rsidRPr="003C5CBB">
        <w:rPr>
          <w:i/>
        </w:rPr>
        <w:t>trademark</w:t>
      </w:r>
      <w:r w:rsidRPr="003C5CBB">
        <w:t xml:space="preserve"> is very dubious, despite the court’s conclusion.</w:t>
      </w:r>
    </w:p>
    <w:p w14:paraId="7F4B1A4D" w14:textId="1B6654B8" w:rsidR="003C5CBB" w:rsidRPr="003C5CBB" w:rsidRDefault="00634BAE" w:rsidP="003C5CBB">
      <w:pPr>
        <w:pStyle w:val="BNormal"/>
      </w:pPr>
      <w:r w:rsidRPr="003C5CBB">
        <w:t xml:space="preserve">Another close-to-the-line decision in favor of fame was </w:t>
      </w:r>
      <w:r w:rsidR="003C5CBB" w:rsidRPr="003C5CBB">
        <w:rPr>
          <w:i/>
        </w:rPr>
        <w:t>New York City Triathlon, LLC v</w:t>
      </w:r>
      <w:r w:rsidR="003C5CBB" w:rsidRPr="003C5CBB">
        <w:t xml:space="preserve">. </w:t>
      </w:r>
      <w:r w:rsidR="003C5CBB" w:rsidRPr="003C5CBB">
        <w:rPr>
          <w:i/>
        </w:rPr>
        <w:t>NYC Triathlon Club, Inc</w:t>
      </w:r>
      <w:r w:rsidRPr="003C5CBB">
        <w:t>.,</w:t>
      </w:r>
      <w:r w:rsidR="003C5CBB" w:rsidRPr="003C5CBB">
        <w:rPr>
          <w:vertAlign w:val="superscript"/>
        </w:rPr>
        <w:footnoteReference w:id="176"/>
      </w:r>
      <w:r w:rsidRPr="003C5CBB">
        <w:t xml:space="preserve"> where the court found the marks New York City Triathlon, NYC Triathlon, and NYC Tri to be famous</w:t>
      </w:r>
      <w:r w:rsidR="003C5CBB" w:rsidRPr="003C5CBB">
        <w:t>. T</w:t>
      </w:r>
      <w:r w:rsidRPr="003C5CBB">
        <w:t>he court cited 10 years of use, media coverage by several television outlets (including the BBC) and newspapers, the international cast of competitors in the event, the rapid sales of slots in the race, and the number of spectators (who presumably are mostly from New York).</w:t>
      </w:r>
      <w:r w:rsidR="003C5CBB" w:rsidRPr="003C5CBB">
        <w:rPr>
          <w:vertAlign w:val="superscript"/>
        </w:rPr>
        <w:footnoteReference w:id="177"/>
      </w:r>
      <w:r w:rsidRPr="003C5CBB">
        <w:t xml:space="preserve"> The court did not, however, examine whether the </w:t>
      </w:r>
      <w:r w:rsidR="003C5CBB" w:rsidRPr="003C5CBB">
        <w:rPr>
          <w:i/>
        </w:rPr>
        <w:lastRenderedPageBreak/>
        <w:t>general</w:t>
      </w:r>
      <w:r w:rsidRPr="003C5CBB">
        <w:t xml:space="preserve"> consuming public (especially outside of New York), as opposed to a segment of the sports-minded public, was aware of the event.</w:t>
      </w:r>
    </w:p>
    <w:p w14:paraId="60AEC729" w14:textId="55EC29F6" w:rsidR="003C5CBB" w:rsidRPr="003C5CBB" w:rsidRDefault="00634BAE" w:rsidP="003C5CBB">
      <w:pPr>
        <w:pStyle w:val="BNormal"/>
      </w:pPr>
      <w:r w:rsidRPr="003C5CBB">
        <w:t xml:space="preserve">An even more problematic decision was rendered in </w:t>
      </w:r>
      <w:r w:rsidR="003C5CBB" w:rsidRPr="003C5CBB">
        <w:rPr>
          <w:rStyle w:val="BCasenamefull"/>
        </w:rPr>
        <w:t>CrossFit, Inc. v. Maximum Human Performance, LLC</w:t>
      </w:r>
      <w:r w:rsidRPr="003C5CBB">
        <w:t>,</w:t>
      </w:r>
      <w:r w:rsidR="003C5CBB" w:rsidRPr="003C5CBB">
        <w:rPr>
          <w:vertAlign w:val="superscript"/>
        </w:rPr>
        <w:footnoteReference w:id="178"/>
      </w:r>
      <w:r w:rsidRPr="003C5CBB">
        <w:t xml:space="preserve"> where the court found, for purposes of a preliminary injunction, that “CrossFit” was a famous mark</w:t>
      </w:r>
      <w:r w:rsidR="003C5CBB" w:rsidRPr="003C5CBB">
        <w:t>. H</w:t>
      </w:r>
      <w:r w:rsidRPr="003C5CBB">
        <w:t>owever, the only evidence cited by the court was that “[plaintiff] currently licenses over 4,600 affiliate gyms and hosts an annual international workout competition televised nationally by ESPN.”</w:t>
      </w:r>
      <w:r w:rsidR="003C5CBB" w:rsidRPr="003C5CBB">
        <w:rPr>
          <w:vertAlign w:val="superscript"/>
        </w:rPr>
        <w:footnoteReference w:id="179"/>
      </w:r>
      <w:r w:rsidRPr="003C5CBB">
        <w:t xml:space="preserve"> Moreover, earlier in its opinion (regarding confusion), the court noted that “both [plaintiff’s and defendant’s] marks are clearly geared towards the same audience, namely fitness enthusiasts.”</w:t>
      </w:r>
      <w:r w:rsidR="003C5CBB" w:rsidRPr="003C5CBB">
        <w:rPr>
          <w:vertAlign w:val="superscript"/>
        </w:rPr>
        <w:footnoteReference w:id="180"/>
      </w:r>
      <w:r w:rsidRPr="003C5CBB">
        <w:t xml:space="preserve"> That indicates that the mark is, at best, famous in a niche market.</w:t>
      </w:r>
      <w:r w:rsidR="003C5CBB" w:rsidRPr="003C5CBB">
        <w:rPr>
          <w:vertAlign w:val="superscript"/>
        </w:rPr>
        <w:footnoteReference w:id="181"/>
      </w:r>
    </w:p>
    <w:p w14:paraId="30B162E6" w14:textId="6012B6F4" w:rsidR="003C5CBB" w:rsidRPr="003C5CBB" w:rsidRDefault="00634BAE" w:rsidP="003C5CBB">
      <w:pPr>
        <w:pStyle w:val="BNormal"/>
      </w:pPr>
      <w:r w:rsidRPr="003C5CBB">
        <w:t xml:space="preserve">Similarly, in </w:t>
      </w:r>
      <w:r w:rsidR="003C5CBB" w:rsidRPr="003C5CBB">
        <w:rPr>
          <w:rStyle w:val="BCasenamefull"/>
        </w:rPr>
        <w:t>Totalenergies Marketing Puerto Rico Corp. v. Rivera-Robles</w:t>
      </w:r>
      <w:r w:rsidRPr="003C5CBB">
        <w:t>,</w:t>
      </w:r>
      <w:r w:rsidR="003C5CBB" w:rsidRPr="003C5CBB">
        <w:rPr>
          <w:vertAlign w:val="superscript"/>
        </w:rPr>
        <w:footnoteReference w:id="182"/>
      </w:r>
      <w:r w:rsidRPr="003C5CBB">
        <w:t xml:space="preserve"> granting a motion for a preliminary injunction, the court found dilution by tarnishment of plaintiff’s TOTALENERGIES mark</w:t>
      </w:r>
      <w:r w:rsidR="003C5CBB" w:rsidRPr="003C5CBB">
        <w:t>. H</w:t>
      </w:r>
      <w:r w:rsidRPr="003C5CBB">
        <w:t>owever, the court made no finding that the mark was famous</w:t>
      </w:r>
      <w:r w:rsidR="003C5CBB" w:rsidRPr="003C5CBB">
        <w:t>; i</w:t>
      </w:r>
      <w:r w:rsidRPr="003C5CBB">
        <w:t>t only stated that the mark was “likely strong” and that the defendant “does not dispute that the TOTALENERGIES mark is recognizable.”</w:t>
      </w:r>
      <w:r w:rsidR="003C5CBB" w:rsidRPr="003C5CBB">
        <w:rPr>
          <w:vertAlign w:val="superscript"/>
        </w:rPr>
        <w:footnoteReference w:id="183"/>
      </w:r>
    </w:p>
    <w:p w14:paraId="4C323E8F" w14:textId="4901A0C2" w:rsidR="003C5CBB" w:rsidRPr="003C5CBB" w:rsidRDefault="00634BAE" w:rsidP="003C5CBB">
      <w:pPr>
        <w:pStyle w:val="BNormal"/>
      </w:pPr>
      <w:r w:rsidRPr="003C5CBB">
        <w:t xml:space="preserve">Equally problematic was the decision in </w:t>
      </w:r>
      <w:r w:rsidR="003C5CBB" w:rsidRPr="003C5CBB">
        <w:rPr>
          <w:rStyle w:val="BCasenamefull"/>
        </w:rPr>
        <w:t>Whaleco Incorporated v. Temureviewer.com</w:t>
      </w:r>
      <w:r w:rsidRPr="003C5CBB">
        <w:t>,</w:t>
      </w:r>
      <w:r w:rsidR="003C5CBB" w:rsidRPr="003C5CBB">
        <w:rPr>
          <w:vertAlign w:val="superscript"/>
        </w:rPr>
        <w:footnoteReference w:id="184"/>
      </w:r>
      <w:r w:rsidRPr="003C5CBB">
        <w:t xml:space="preserve"> finding the mark TEMU to be famous, albeit in a default situation</w:t>
      </w:r>
      <w:r w:rsidR="003C5CBB" w:rsidRPr="003C5CBB">
        <w:t>. T</w:t>
      </w:r>
      <w:r w:rsidRPr="003C5CBB">
        <w:t>he main justification for finding fame was a Super Bowl commercial, without any indication of its actual impact on consumers.</w:t>
      </w:r>
      <w:r w:rsidR="003C5CBB" w:rsidRPr="003C5CBB">
        <w:rPr>
          <w:vertAlign w:val="superscript"/>
        </w:rPr>
        <w:footnoteReference w:id="185"/>
      </w:r>
      <w:r w:rsidR="003C5CBB" w:rsidRPr="003C5CBB">
        <w:t xml:space="preserve"> </w:t>
      </w:r>
      <w:r w:rsidRPr="003C5CBB">
        <w:t>But even more problematic was the fact that plaintiff was a licensee of the mark—meaning it was not an “owner” and should not have been able to bring the claim regardless of its fame.</w:t>
      </w:r>
      <w:r w:rsidR="003C5CBB" w:rsidRPr="003C5CBB">
        <w:rPr>
          <w:vertAlign w:val="superscript"/>
        </w:rPr>
        <w:footnoteReference w:id="186"/>
      </w:r>
    </w:p>
    <w:p w14:paraId="399E18D9" w14:textId="3FCCCAD8" w:rsidR="003C5CBB" w:rsidRPr="003C5CBB" w:rsidRDefault="00634BAE" w:rsidP="003C5CBB">
      <w:pPr>
        <w:pStyle w:val="BNormal"/>
      </w:pPr>
      <w:r w:rsidRPr="003C5CBB">
        <w:t>Another very questionable decision found the mark “Jack the Rapper” to be famous.</w:t>
      </w:r>
      <w:r w:rsidR="003C5CBB" w:rsidRPr="003C5CBB">
        <w:rPr>
          <w:vertAlign w:val="superscript"/>
        </w:rPr>
        <w:footnoteReference w:id="187"/>
      </w:r>
      <w:r w:rsidRPr="003C5CBB">
        <w:t xml:space="preserve"> Although the court cited the definition in the TDRA, the only evidence of widespread recognition was the use of the alias by its originator “with his radio programming as well as the conventions he hosted for those in the radio and music </w:t>
      </w:r>
      <w:r w:rsidRPr="003C5CBB">
        <w:lastRenderedPageBreak/>
        <w:t>industries.”</w:t>
      </w:r>
      <w:r w:rsidR="003C5CBB" w:rsidRPr="003C5CBB">
        <w:rPr>
          <w:vertAlign w:val="superscript"/>
        </w:rPr>
        <w:footnoteReference w:id="188"/>
      </w:r>
      <w:r w:rsidRPr="003C5CBB">
        <w:t xml:space="preserve"> This indicates little more than niche fame, at best</w:t>
      </w:r>
      <w:r w:rsidR="003C5CBB" w:rsidRPr="003C5CBB">
        <w:t>. M</w:t>
      </w:r>
      <w:r w:rsidRPr="003C5CBB">
        <w:t xml:space="preserve">oreover, an alias used by a performer may not be recognized </w:t>
      </w:r>
      <w:r w:rsidR="003C5CBB" w:rsidRPr="003C5CBB">
        <w:rPr>
          <w:i/>
        </w:rPr>
        <w:t>as a trademark</w:t>
      </w:r>
      <w:r w:rsidRPr="003C5CBB">
        <w:t>, which the TDRA definition of a famous mark also requires.</w:t>
      </w:r>
    </w:p>
    <w:p w14:paraId="151DC2C3" w14:textId="268181F7" w:rsidR="003C5CBB" w:rsidRPr="003C5CBB" w:rsidRDefault="00634BAE" w:rsidP="003C5CBB">
      <w:pPr>
        <w:pStyle w:val="BNormal"/>
      </w:pPr>
      <w:r w:rsidRPr="003C5CBB">
        <w:t>In a somewhat similar fashion, a court found “Ready for the World,” the name of a band, to be famous.</w:t>
      </w:r>
      <w:r w:rsidR="003C5CBB" w:rsidRPr="003C5CBB">
        <w:rPr>
          <w:vertAlign w:val="superscript"/>
        </w:rPr>
        <w:footnoteReference w:id="189"/>
      </w:r>
      <w:r w:rsidR="003C5CBB" w:rsidRPr="003C5CBB">
        <w:t xml:space="preserve"> </w:t>
      </w:r>
      <w:r w:rsidRPr="003C5CBB">
        <w:t>The court simply cited “the band’s recognized acclaim and notoriety” as grounds for finding fame.</w:t>
      </w:r>
      <w:r w:rsidR="003C5CBB" w:rsidRPr="003C5CBB">
        <w:rPr>
          <w:vertAlign w:val="superscript"/>
        </w:rPr>
        <w:footnoteReference w:id="190"/>
      </w:r>
      <w:r w:rsidR="003C5CBB" w:rsidRPr="003C5CBB">
        <w:t xml:space="preserve"> </w:t>
      </w:r>
      <w:r w:rsidRPr="003C5CBB">
        <w:t>(It appears that defendant did not respond to a motion for a preliminary injunction.)</w:t>
      </w:r>
    </w:p>
    <w:p w14:paraId="7C3B16DF" w14:textId="15AE8907" w:rsidR="003C5CBB" w:rsidRPr="003C5CBB" w:rsidRDefault="00634BAE" w:rsidP="003C5CBB">
      <w:pPr>
        <w:pStyle w:val="BNormal"/>
      </w:pPr>
      <w:r w:rsidRPr="003C5CBB">
        <w:t xml:space="preserve">And in </w:t>
      </w:r>
      <w:r w:rsidR="003C5CBB" w:rsidRPr="003C5CBB">
        <w:rPr>
          <w:rStyle w:val="BCasenamefull"/>
        </w:rPr>
        <w:t>Taco John’s International, Inc. v. Taco Chon Mexican Grill LLC</w:t>
      </w:r>
      <w:r w:rsidRPr="003C5CBB">
        <w:t>,</w:t>
      </w:r>
      <w:r w:rsidR="003C5CBB" w:rsidRPr="003C5CBB">
        <w:rPr>
          <w:vertAlign w:val="superscript"/>
        </w:rPr>
        <w:footnoteReference w:id="191"/>
      </w:r>
      <w:r w:rsidRPr="003C5CBB">
        <w:t xml:space="preserve"> the court granted summary judgment on the issue of fame in favor of plaintiff’s mark “Taco John.”  The court acknowledged that plaintiff’s advertising may only have reached a limited number of states because most of its outlets are in the Midwest, but stated that “there is no threshold number of states needed for a mark to be famous, and Taco John’s has locations in every region of the country.”</w:t>
      </w:r>
      <w:r w:rsidR="003C5CBB" w:rsidRPr="003C5CBB">
        <w:rPr>
          <w:vertAlign w:val="superscript"/>
        </w:rPr>
        <w:footnoteReference w:id="192"/>
      </w:r>
      <w:r w:rsidR="003C5CBB" w:rsidRPr="003C5CBB">
        <w:t xml:space="preserve"> </w:t>
      </w:r>
      <w:r w:rsidRPr="003C5CBB">
        <w:t>The court found that “[t]he Mark’s registration, its longstanding history of use, the sales volume, the geographic extent, and the significant spending in advertisement each year all support the Mark’s fame</w:t>
      </w:r>
      <w:r w:rsidR="003C5CBB" w:rsidRPr="003C5CBB">
        <w:t>. …</w:t>
      </w:r>
      <w:r w:rsidRPr="003C5CBB">
        <w:t xml:space="preserve"> Furthermore, Taco Chon puts forth no evidence that refutes TJI’s claim that it has one of the most recognizable Mexican restaurant brands in America.”</w:t>
      </w:r>
      <w:r w:rsidR="003C5CBB" w:rsidRPr="003C5CBB">
        <w:rPr>
          <w:vertAlign w:val="superscript"/>
        </w:rPr>
        <w:footnoteReference w:id="193"/>
      </w:r>
      <w:r w:rsidR="003C5CBB" w:rsidRPr="003C5CBB">
        <w:t xml:space="preserve"> </w:t>
      </w:r>
      <w:r w:rsidRPr="003C5CBB">
        <w:t>With due respect, the court appeared to be placing the burden of persuasion and production on the wrong party</w:t>
      </w:r>
      <w:r w:rsidR="003C5CBB" w:rsidRPr="003C5CBB">
        <w:t>; i</w:t>
      </w:r>
      <w:r w:rsidRPr="003C5CBB">
        <w:t>t is the plaintiff’s burden to prove fame, not the defendant’s burden to disprove the allegations</w:t>
      </w:r>
      <w:r w:rsidR="003C5CBB" w:rsidRPr="003C5CBB">
        <w:t>. M</w:t>
      </w:r>
      <w:r w:rsidRPr="003C5CBB">
        <w:t>oreover, to conclude that “no reasonable jury” could find the mark not famous seems misplaced on the evidence presented in the opinion.</w:t>
      </w:r>
    </w:p>
    <w:p w14:paraId="73DEF488" w14:textId="1DCF84A2" w:rsidR="003C5CBB" w:rsidRPr="003C5CBB" w:rsidRDefault="00634BAE" w:rsidP="003C5CBB">
      <w:pPr>
        <w:pStyle w:val="BNormal"/>
      </w:pPr>
      <w:r w:rsidRPr="003C5CBB">
        <w:t>Finally, the Fourth Circuit upheld a jury finding that the marks See ’n Say and The Farmer Says are famous.</w:t>
      </w:r>
      <w:r w:rsidR="003C5CBB" w:rsidRPr="003C5CBB">
        <w:rPr>
          <w:vertAlign w:val="superscript"/>
        </w:rPr>
        <w:footnoteReference w:id="194"/>
      </w:r>
      <w:r w:rsidRPr="003C5CBB">
        <w:t xml:space="preserve"> The court did not elaborate on the matter, simply holding that “the jury was well situated to make the factual determination that Mattel’s marks were ‘famous.’”</w:t>
      </w:r>
      <w:r w:rsidR="003C5CBB" w:rsidRPr="003C5CBB">
        <w:rPr>
          <w:vertAlign w:val="superscript"/>
        </w:rPr>
        <w:footnoteReference w:id="195"/>
      </w:r>
      <w:r w:rsidRPr="003C5CBB">
        <w:t xml:space="preserve"> Neither mark, however, is an obvious candidate for being considered “widely recognized by the general consuming public.” However, it should be noted that appellate courts are generally reluctant to overturn jury verdicts, and, in dilution cases, will uphold jury instructions that simply track the statute.</w:t>
      </w:r>
      <w:r w:rsidR="003C5CBB" w:rsidRPr="003C5CBB">
        <w:rPr>
          <w:vertAlign w:val="superscript"/>
        </w:rPr>
        <w:footnoteReference w:id="196"/>
      </w:r>
    </w:p>
    <w:p w14:paraId="6C23B410" w14:textId="028BECA9" w:rsidR="003C5CBB" w:rsidRPr="003C5CBB" w:rsidRDefault="008B3068" w:rsidP="008B3068">
      <w:pPr>
        <w:pStyle w:val="BHead3"/>
      </w:pPr>
      <w:r>
        <w:lastRenderedPageBreak/>
        <w:t>8.III.A.</w:t>
      </w:r>
      <w:r w:rsidR="003C5CBB" w:rsidRPr="008B3068">
        <w:rPr>
          <w:rStyle w:val="BBNAidChar"/>
          <w:rFonts w:eastAsiaTheme="majorEastAsia"/>
        </w:rPr>
        <w:t>2</w:t>
      </w:r>
      <w:r w:rsidR="003C5CBB" w:rsidRPr="003C5CBB">
        <w:t>.</w:t>
      </w:r>
      <w:r>
        <w:t> </w:t>
      </w:r>
      <w:r w:rsidR="003C5CBB" w:rsidRPr="003C5CBB">
        <w:tab/>
        <w:t>Cases Finding Marks Not Famous</w:t>
      </w:r>
    </w:p>
    <w:p w14:paraId="566C59B2" w14:textId="10EECBAC" w:rsidR="003C5CBB" w:rsidRPr="003C5CBB" w:rsidRDefault="00634BAE" w:rsidP="003C5CBB">
      <w:pPr>
        <w:pStyle w:val="BNormal"/>
      </w:pPr>
      <w:r w:rsidRPr="003C5CBB">
        <w:t>Cases finding marks not to be famous are far more numerous than cases finding fame</w:t>
      </w:r>
      <w:r w:rsidR="003C5CBB" w:rsidRPr="003C5CBB">
        <w:t>. T</w:t>
      </w:r>
      <w:r w:rsidRPr="003C5CBB">
        <w:t>his is how it should be</w:t>
      </w:r>
      <w:r w:rsidR="003C5CBB" w:rsidRPr="003C5CBB">
        <w:t>: t</w:t>
      </w:r>
      <w:r w:rsidRPr="003C5CBB">
        <w:t>he statute calls for a strict and demanding analysis of the issue of fame</w:t>
      </w:r>
      <w:r w:rsidR="003C5CBB" w:rsidRPr="003C5CBB">
        <w:t>. M</w:t>
      </w:r>
      <w:r w:rsidRPr="003C5CBB">
        <w:t>oreover, any litigants who view asserting a dilution claim as a no-lose proposition (i.e., the worst that is likely to happen would be dismissal) might want to think more carefully about that option</w:t>
      </w:r>
      <w:r w:rsidR="003C5CBB" w:rsidRPr="003C5CBB">
        <w:t>. I</w:t>
      </w:r>
      <w:r w:rsidRPr="003C5CBB">
        <w:t>n at least one reported opinion, a defendant filed a motion for sanctions under Rule 11 of the Federal Rules of Civil Procedure, asserting that the plaintiff’s dilution claim was frivolous because the allegation that its mark was famous was clearly unsupportable</w:t>
      </w:r>
      <w:r w:rsidR="003C5CBB" w:rsidRPr="003C5CBB">
        <w:t>. S</w:t>
      </w:r>
      <w:r w:rsidRPr="003C5CBB">
        <w:t>adly, the district court’s reason for denying sanctions was itself plainly erroneous—citing pre-TDRA law, it said that the plaintiff’s (post-TDRA) assertion that niche fame was sufficient was not frivolous,</w:t>
      </w:r>
      <w:r w:rsidR="003C5CBB" w:rsidRPr="003C5CBB">
        <w:rPr>
          <w:vertAlign w:val="superscript"/>
        </w:rPr>
        <w:footnoteReference w:id="197"/>
      </w:r>
      <w:r w:rsidRPr="003C5CBB">
        <w:t xml:space="preserve"> seemingly ignoring (and plainly not responding to) almost unanimous case law and commentary to the contrary</w:t>
      </w:r>
      <w:r w:rsidR="003C5CBB" w:rsidRPr="003C5CBB">
        <w:t>. H</w:t>
      </w:r>
      <w:r w:rsidRPr="003C5CBB">
        <w:t>ad the court taken proper notice of the new statute, it might have ruled differently</w:t>
      </w:r>
      <w:r w:rsidR="003C5CBB" w:rsidRPr="003C5CBB">
        <w:t>. C</w:t>
      </w:r>
      <w:r w:rsidRPr="003C5CBB">
        <w:t>ourts have not appeared anxious to apply Rule 11 sanctions in dilution cases, probably because dilution claims are usually among many other claims asserted, some of which may be at least colorable</w:t>
      </w:r>
      <w:r w:rsidR="003C5CBB" w:rsidRPr="003C5CBB">
        <w:t>. H</w:t>
      </w:r>
      <w:r w:rsidRPr="003C5CBB">
        <w:t>owever, the increasing assertion of dilution claims involving clearly nonfamous marks may change that attitude</w:t>
      </w:r>
      <w:r w:rsidR="003C5CBB" w:rsidRPr="003C5CBB">
        <w:t>. T</w:t>
      </w:r>
      <w:r w:rsidRPr="003C5CBB">
        <w:t>hus, one should not overlook the possibility that, as time passes, courts may be willing to impose sanctions when assertions of fame are clearly frivolous.</w:t>
      </w:r>
    </w:p>
    <w:p w14:paraId="325F4BA7" w14:textId="145401D6" w:rsidR="003C5CBB" w:rsidRPr="003C5CBB" w:rsidRDefault="00634BAE" w:rsidP="003C5CBB">
      <w:pPr>
        <w:pStyle w:val="BNormal"/>
      </w:pPr>
      <w:r w:rsidRPr="003C5CBB">
        <w:t>Courts have denied claims of fame in several cases where they perceived the mark to be famous, if at all, only in a niche product area, which does not suffice under the TDRA’s “general consuming public of the United States” standard.</w:t>
      </w:r>
      <w:r w:rsidR="003C5CBB" w:rsidRPr="003C5CBB">
        <w:rPr>
          <w:vertAlign w:val="superscript"/>
        </w:rPr>
        <w:footnoteReference w:id="198"/>
      </w:r>
      <w:r w:rsidR="003C5CBB" w:rsidRPr="003C5CBB">
        <w:t xml:space="preserve"> </w:t>
      </w:r>
      <w:r w:rsidRPr="003C5CBB">
        <w:t>Moreover, a mark alleged to be famous in only a limited geographic area would not be sufficient either.</w:t>
      </w:r>
      <w:r w:rsidR="003C5CBB" w:rsidRPr="003C5CBB">
        <w:rPr>
          <w:vertAlign w:val="superscript"/>
        </w:rPr>
        <w:footnoteReference w:id="199"/>
      </w:r>
    </w:p>
    <w:p w14:paraId="6EEFA276" w14:textId="43E9709F" w:rsidR="003C5CBB" w:rsidRPr="003C5CBB" w:rsidRDefault="00634BAE" w:rsidP="003C5CBB">
      <w:pPr>
        <w:pStyle w:val="BNormal"/>
      </w:pPr>
      <w:r w:rsidRPr="003C5CBB">
        <w:t xml:space="preserve">One interesting case in which the court found a mark not famous is </w:t>
      </w:r>
      <w:r w:rsidR="003C5CBB" w:rsidRPr="003C5CBB">
        <w:rPr>
          <w:i/>
        </w:rPr>
        <w:t>Board of Regents, University of Texas System v</w:t>
      </w:r>
      <w:r w:rsidR="003C5CBB" w:rsidRPr="003C5CBB">
        <w:t xml:space="preserve">. </w:t>
      </w:r>
      <w:r w:rsidR="003C5CBB" w:rsidRPr="003C5CBB">
        <w:rPr>
          <w:i/>
        </w:rPr>
        <w:t>KST Electric, Ltd</w:t>
      </w:r>
      <w:r w:rsidRPr="003C5CBB">
        <w:t>.</w:t>
      </w:r>
      <w:r w:rsidR="003C5CBB" w:rsidRPr="003C5CBB">
        <w:rPr>
          <w:vertAlign w:val="superscript"/>
        </w:rPr>
        <w:footnoteReference w:id="200"/>
      </w:r>
      <w:r w:rsidRPr="003C5CBB">
        <w:t xml:space="preserve"> The University mascot is a Texas Longhorn steer, and the University uses various incarnations of the longhorn as a logo</w:t>
      </w:r>
      <w:r w:rsidR="003C5CBB" w:rsidRPr="003C5CBB">
        <w:t>. T</w:t>
      </w:r>
      <w:r w:rsidRPr="003C5CBB">
        <w:t>he defendant created a logo for its business based on a silhouette of a longhorn steer</w:t>
      </w:r>
      <w:r w:rsidR="003C5CBB" w:rsidRPr="003C5CBB">
        <w:t>. I</w:t>
      </w:r>
      <w:r w:rsidRPr="003C5CBB">
        <w:t>n analyzing the University’s dilution claim,</w:t>
      </w:r>
      <w:r w:rsidR="003C5CBB" w:rsidRPr="003C5CBB">
        <w:rPr>
          <w:vertAlign w:val="superscript"/>
        </w:rPr>
        <w:footnoteReference w:id="201"/>
      </w:r>
      <w:r w:rsidRPr="003C5CBB">
        <w:t xml:space="preserve"> the key issue was whether the University’s longhorn logo was a famous mark</w:t>
      </w:r>
      <w:r w:rsidR="003C5CBB" w:rsidRPr="003C5CBB">
        <w:t>. A</w:t>
      </w:r>
      <w:r w:rsidRPr="003C5CBB">
        <w:t xml:space="preserve"> magistrate judge ruled that the logo was not famous, and the magistrate’s report was accepted by the district judge.</w:t>
      </w:r>
      <w:r w:rsidR="003C5CBB" w:rsidRPr="003C5CBB">
        <w:rPr>
          <w:vertAlign w:val="superscript"/>
        </w:rPr>
        <w:footnoteReference w:id="202"/>
      </w:r>
      <w:r w:rsidRPr="003C5CBB">
        <w:t xml:space="preserve"> At the outset, the court ruled that defendant KST’s survey, purporting to show that the longhorn logo was not nationally famous, was significantly flawed.</w:t>
      </w:r>
      <w:r w:rsidR="003C5CBB" w:rsidRPr="003C5CBB">
        <w:rPr>
          <w:vertAlign w:val="superscript"/>
        </w:rPr>
        <w:footnoteReference w:id="203"/>
      </w:r>
      <w:r w:rsidRPr="003C5CBB">
        <w:t xml:space="preserve"> Nevertheless, the court ruled that the University failed to demonstrate a triable issue of fact as to fame</w:t>
      </w:r>
      <w:r w:rsidR="003C5CBB" w:rsidRPr="003C5CBB">
        <w:t>. I</w:t>
      </w:r>
      <w:r w:rsidRPr="003C5CBB">
        <w:t>n particular, the court held that the University’s evidence showed only niche market fame, not fame among the “general consuming public.”</w:t>
      </w:r>
      <w:r w:rsidR="003C5CBB" w:rsidRPr="003C5CBB">
        <w:rPr>
          <w:vertAlign w:val="superscript"/>
        </w:rPr>
        <w:footnoteReference w:id="204"/>
      </w:r>
      <w:r w:rsidRPr="003C5CBB">
        <w:t xml:space="preserve"> Despite the University’s evidence that its football games (and some basketball games) were nationally televised and fairly widely viewed, the court concluded that this showed at most that college football fans (and perhaps college basketball fans) would be aware of the University’s logo.</w:t>
      </w:r>
      <w:r w:rsidR="003C5CBB" w:rsidRPr="003C5CBB">
        <w:rPr>
          <w:vertAlign w:val="superscript"/>
        </w:rPr>
        <w:footnoteReference w:id="205"/>
      </w:r>
      <w:r w:rsidRPr="003C5CBB">
        <w:t xml:space="preserve"> In the </w:t>
      </w:r>
      <w:r w:rsidRPr="003C5CBB">
        <w:lastRenderedPageBreak/>
        <w:t>court’s view, this did not make the logo “a household name.”</w:t>
      </w:r>
      <w:r w:rsidR="003C5CBB" w:rsidRPr="003C5CBB">
        <w:rPr>
          <w:vertAlign w:val="superscript"/>
        </w:rPr>
        <w:footnoteReference w:id="206"/>
      </w:r>
      <w:r w:rsidRPr="003C5CBB">
        <w:t xml:space="preserve"> And, in the court’s view, doubts about fame should be resolved against the mark being famous.</w:t>
      </w:r>
      <w:r w:rsidR="003C5CBB" w:rsidRPr="003C5CBB">
        <w:rPr>
          <w:vertAlign w:val="superscript"/>
        </w:rPr>
        <w:footnoteReference w:id="207"/>
      </w:r>
    </w:p>
    <w:p w14:paraId="65E0EA01" w14:textId="6D925D39" w:rsidR="003C5CBB" w:rsidRPr="003C5CBB" w:rsidRDefault="00634BAE" w:rsidP="003C5CBB">
      <w:pPr>
        <w:pStyle w:val="BNormal"/>
      </w:pPr>
      <w:r w:rsidRPr="003C5CBB">
        <w:t>In another carefully analyzed opinion, the district court found that Mensa was not a famous mark.</w:t>
      </w:r>
      <w:r w:rsidR="003C5CBB" w:rsidRPr="003C5CBB">
        <w:rPr>
          <w:vertAlign w:val="superscript"/>
        </w:rPr>
        <w:footnoteReference w:id="208"/>
      </w:r>
      <w:r w:rsidRPr="003C5CBB">
        <w:t xml:space="preserve"> The court emphasized that a famous mark must be a “household name” and that the court should be sure of fame if a mark is to be eligible for dilution protection.</w:t>
      </w:r>
      <w:r w:rsidR="003C5CBB" w:rsidRPr="003C5CBB">
        <w:rPr>
          <w:vertAlign w:val="superscript"/>
        </w:rPr>
        <w:footnoteReference w:id="209"/>
      </w:r>
      <w:r w:rsidRPr="003C5CBB">
        <w:t xml:space="preserve"> The court specifically noted that the TDRA eliminated “niche fame” as a basis for eligibility and that the mark must be widely known by the “general consuming public.”</w:t>
      </w:r>
      <w:r w:rsidR="003C5CBB" w:rsidRPr="003C5CBB">
        <w:rPr>
          <w:vertAlign w:val="superscript"/>
        </w:rPr>
        <w:footnoteReference w:id="210"/>
      </w:r>
      <w:r w:rsidRPr="003C5CBB">
        <w:t xml:space="preserve"> The court cited the minimal advertising and low revenues of the American Mensa group as factors against fame, while also noting third-party recognition as favoring fame.</w:t>
      </w:r>
      <w:r w:rsidR="003C5CBB" w:rsidRPr="003C5CBB">
        <w:rPr>
          <w:vertAlign w:val="superscript"/>
        </w:rPr>
        <w:footnoteReference w:id="211"/>
      </w:r>
      <w:r w:rsidRPr="003C5CBB">
        <w:t xml:space="preserve"> Perhaps the most significant factor was actual recognition of the mark</w:t>
      </w:r>
      <w:r w:rsidR="003C5CBB" w:rsidRPr="003C5CBB">
        <w:t>. A</w:t>
      </w:r>
      <w:r w:rsidRPr="003C5CBB">
        <w:t xml:space="preserve">lthough 59 percent of survey respondents indicated that they were aware of Mensa as being related to people of high intelligence, it did not show that it was recognized </w:t>
      </w:r>
      <w:r w:rsidR="003C5CBB" w:rsidRPr="003C5CBB">
        <w:rPr>
          <w:i/>
        </w:rPr>
        <w:t>as a mark</w:t>
      </w:r>
      <w:r w:rsidRPr="003C5CBB">
        <w:t>, which is the statutory requirement.</w:t>
      </w:r>
      <w:r w:rsidR="003C5CBB" w:rsidRPr="003C5CBB">
        <w:rPr>
          <w:vertAlign w:val="superscript"/>
        </w:rPr>
        <w:footnoteReference w:id="212"/>
      </w:r>
      <w:r w:rsidRPr="003C5CBB">
        <w:t xml:space="preserve"> However, </w:t>
      </w:r>
      <w:proofErr w:type="gramStart"/>
      <w:r w:rsidRPr="003C5CBB">
        <w:t>as a result of</w:t>
      </w:r>
      <w:proofErr w:type="gramEnd"/>
      <w:r w:rsidRPr="003C5CBB">
        <w:t xml:space="preserve"> a settlement, this opinion was subsequently withdrawn and cannot be relied upon as precedent.</w:t>
      </w:r>
      <w:r w:rsidR="003C5CBB" w:rsidRPr="003C5CBB">
        <w:rPr>
          <w:vertAlign w:val="superscript"/>
        </w:rPr>
        <w:footnoteReference w:id="213"/>
      </w:r>
    </w:p>
    <w:p w14:paraId="19B8CC6A" w14:textId="1D60AB69" w:rsidR="003C5CBB" w:rsidRPr="003C5CBB" w:rsidRDefault="00634BAE" w:rsidP="003C5CBB">
      <w:pPr>
        <w:pStyle w:val="BNormal"/>
      </w:pPr>
      <w:r w:rsidRPr="003C5CBB">
        <w:t>In a case involving a dripping wax seal used as a mark by bourbon distiller Maker’s Mark, the court found the wax seal mark not famous.</w:t>
      </w:r>
      <w:r w:rsidR="003C5CBB" w:rsidRPr="003C5CBB">
        <w:rPr>
          <w:vertAlign w:val="superscript"/>
        </w:rPr>
        <w:footnoteReference w:id="214"/>
      </w:r>
      <w:r w:rsidRPr="003C5CBB">
        <w:t xml:space="preserve"> The case is noteworthy for several reasons</w:t>
      </w:r>
      <w:r w:rsidR="003C5CBB" w:rsidRPr="003C5CBB">
        <w:t>. F</w:t>
      </w:r>
      <w:r w:rsidRPr="003C5CBB">
        <w:t>irst, it involves trade dress, not an ordinary word or logo mark.</w:t>
      </w:r>
      <w:r w:rsidR="003C5CBB" w:rsidRPr="003C5CBB">
        <w:rPr>
          <w:vertAlign w:val="superscript"/>
        </w:rPr>
        <w:footnoteReference w:id="215"/>
      </w:r>
      <w:r w:rsidRPr="003C5CBB">
        <w:t xml:space="preserve"> Second, the court did not find fame, even though it described the mark as a “terrifically strong and focused brand.”</w:t>
      </w:r>
      <w:r w:rsidR="003C5CBB" w:rsidRPr="003C5CBB">
        <w:rPr>
          <w:vertAlign w:val="superscript"/>
        </w:rPr>
        <w:footnoteReference w:id="216"/>
      </w:r>
      <w:r w:rsidRPr="003C5CBB">
        <w:t xml:space="preserve"> Third, the court focused on the requirement of general consumer renown, noting that such fame was in doubt when the </w:t>
      </w:r>
      <w:r w:rsidR="003C5CBB" w:rsidRPr="003C5CBB">
        <w:rPr>
          <w:i/>
        </w:rPr>
        <w:t>name</w:t>
      </w:r>
      <w:r w:rsidRPr="003C5CBB">
        <w:t xml:space="preserve"> Maker’s Mark had only a 69 percent recognition rate </w:t>
      </w:r>
      <w:r w:rsidR="003C5CBB" w:rsidRPr="003C5CBB">
        <w:rPr>
          <w:i/>
        </w:rPr>
        <w:t>among whiskey drinkers</w:t>
      </w:r>
      <w:r w:rsidRPr="003C5CBB">
        <w:t>.</w:t>
      </w:r>
      <w:r w:rsidR="003C5CBB" w:rsidRPr="003C5CBB">
        <w:rPr>
          <w:vertAlign w:val="superscript"/>
        </w:rPr>
        <w:footnoteReference w:id="217"/>
      </w:r>
      <w:r w:rsidRPr="003C5CBB">
        <w:t xml:space="preserve"> Fourth, the court distinguished “general media assertions and acclimations of fame” from direct evidence (such as a survey), finding the former unconvincing evidence of fame.</w:t>
      </w:r>
      <w:r w:rsidR="003C5CBB" w:rsidRPr="003C5CBB">
        <w:rPr>
          <w:vertAlign w:val="superscript"/>
        </w:rPr>
        <w:footnoteReference w:id="218"/>
      </w:r>
      <w:r w:rsidRPr="003C5CBB">
        <w:t xml:space="preserve"> Finally, the court acknowledged that although the brand might have exalted status in its home state of Kentucky—where the court was located—that did not make it famous throughout the United States.</w:t>
      </w:r>
      <w:r w:rsidR="003C5CBB" w:rsidRPr="003C5CBB">
        <w:rPr>
          <w:vertAlign w:val="superscript"/>
        </w:rPr>
        <w:footnoteReference w:id="219"/>
      </w:r>
    </w:p>
    <w:p w14:paraId="6B26CE93" w14:textId="55D5AC46" w:rsidR="003C5CBB" w:rsidRPr="003C5CBB" w:rsidRDefault="00634BAE" w:rsidP="003C5CBB">
      <w:pPr>
        <w:pStyle w:val="BNormal"/>
      </w:pPr>
      <w:r w:rsidRPr="003C5CBB">
        <w:lastRenderedPageBreak/>
        <w:t xml:space="preserve">Another trade dress case where a mark was found not famous is </w:t>
      </w:r>
      <w:r w:rsidR="003C5CBB" w:rsidRPr="003C5CBB">
        <w:rPr>
          <w:rStyle w:val="BCasenamefull"/>
        </w:rPr>
        <w:t>Blumenthal Distributing, Inc. v. Herman Miller, Inc.</w:t>
      </w:r>
      <w:r w:rsidR="003C5CBB" w:rsidRPr="003C5CBB">
        <w:rPr>
          <w:vertAlign w:val="superscript"/>
        </w:rPr>
        <w:footnoteReference w:id="220"/>
      </w:r>
      <w:r w:rsidRPr="003C5CBB">
        <w:t xml:space="preserve"> The case is significant for several reasons</w:t>
      </w:r>
      <w:r w:rsidR="003C5CBB" w:rsidRPr="003C5CBB">
        <w:t>. F</w:t>
      </w:r>
      <w:r w:rsidRPr="003C5CBB">
        <w:t>irst, the court overturned a jury verdict in favor of the mark owner</w:t>
      </w:r>
      <w:r w:rsidR="003C5CBB" w:rsidRPr="003C5CBB">
        <w:t>. S</w:t>
      </w:r>
      <w:r w:rsidRPr="003C5CBB">
        <w:t>econd, the court made clear that a stringent standard for fame was required</w:t>
      </w:r>
      <w:r w:rsidR="003C5CBB" w:rsidRPr="003C5CBB">
        <w:t>. T</w:t>
      </w:r>
      <w:r w:rsidRPr="003C5CBB">
        <w:t>he case involved the design of the Eames chair made by Herman Miller</w:t>
      </w:r>
      <w:r w:rsidR="003C5CBB" w:rsidRPr="003C5CBB">
        <w:t>. T</w:t>
      </w:r>
      <w:r w:rsidRPr="003C5CBB">
        <w:t>he court began its discussion of fame by noting that the FTDA had specifically eliminated niche fame as a basis for eligibility.</w:t>
      </w:r>
      <w:r w:rsidR="003C5CBB" w:rsidRPr="003C5CBB">
        <w:rPr>
          <w:vertAlign w:val="superscript"/>
        </w:rPr>
        <w:footnoteReference w:id="221"/>
      </w:r>
      <w:r w:rsidRPr="003C5CBB">
        <w:t xml:space="preserve"> The court then stated that, pre-TDRA, it had imposed a “very high standard” for demonstrating fame.</w:t>
      </w:r>
      <w:r w:rsidR="003C5CBB" w:rsidRPr="003C5CBB">
        <w:rPr>
          <w:vertAlign w:val="superscript"/>
        </w:rPr>
        <w:footnoteReference w:id="222"/>
      </w:r>
      <w:r w:rsidRPr="003C5CBB">
        <w:t xml:space="preserve"> It stated that, in the prior case, it had required a showing that a mark was “a household name” in order to qualify.</w:t>
      </w:r>
      <w:r w:rsidR="003C5CBB" w:rsidRPr="003C5CBB">
        <w:rPr>
          <w:vertAlign w:val="superscript"/>
        </w:rPr>
        <w:footnoteReference w:id="223"/>
      </w:r>
      <w:r w:rsidRPr="003C5CBB">
        <w:t xml:space="preserve"> The court then reiterated that, even post-TDRA, to be famous a mark must be a “household name.”</w:t>
      </w:r>
      <w:r w:rsidR="003C5CBB" w:rsidRPr="003C5CBB">
        <w:rPr>
          <w:vertAlign w:val="superscript"/>
        </w:rPr>
        <w:footnoteReference w:id="224"/>
      </w:r>
      <w:r w:rsidRPr="003C5CBB">
        <w:t xml:space="preserve"> The court then turned to the evidence of fame in the case at hand:</w:t>
      </w:r>
    </w:p>
    <w:p w14:paraId="20E8D257" w14:textId="7732C6FE" w:rsidR="003C5CBB" w:rsidRPr="003C5CBB" w:rsidRDefault="00634BAE" w:rsidP="003C5CBB">
      <w:pPr>
        <w:pStyle w:val="BQuotelong"/>
      </w:pPr>
      <w:r w:rsidRPr="003C5CBB">
        <w:t>Taken in the light most favorable to HM, the evidence establishes only that</w:t>
      </w:r>
      <w:r w:rsidR="003C5CBB" w:rsidRPr="003C5CBB">
        <w:t>: H</w:t>
      </w:r>
      <w:r w:rsidRPr="003C5CBB">
        <w:t>M spent, on average, $550,000 per year on advertising the Eames chairs from 2004 through 2015 (and under $400,000 per year from 2004 through 2009)</w:t>
      </w:r>
      <w:r w:rsidR="003C5CBB" w:rsidRPr="003C5CBB">
        <w:t>; t</w:t>
      </w:r>
      <w:r w:rsidRPr="003C5CBB">
        <w:t xml:space="preserve">he Eames chairs appeared in obscure publications such as </w:t>
      </w:r>
      <w:r w:rsidR="003C5CBB" w:rsidRPr="003C5CBB">
        <w:rPr>
          <w:i/>
        </w:rPr>
        <w:t>Contract, Metropolis</w:t>
      </w:r>
      <w:r w:rsidRPr="003C5CBB">
        <w:t xml:space="preserve">, and an “industry publication” called </w:t>
      </w:r>
      <w:r w:rsidR="003C5CBB" w:rsidRPr="003C5CBB">
        <w:rPr>
          <w:i/>
        </w:rPr>
        <w:t>Monday Morning Quarterback</w:t>
      </w:r>
      <w:r w:rsidR="003C5CBB" w:rsidRPr="003C5CBB">
        <w:t>; a</w:t>
      </w:r>
      <w:r w:rsidRPr="003C5CBB">
        <w:t>t the time of trial in 2016, HM had, at the very most, around 875,000 unique followers on Facebook, Twitter, and Instagram combined</w:t>
      </w:r>
      <w:r w:rsidR="003C5CBB" w:rsidRPr="003C5CBB">
        <w:t>; m</w:t>
      </w:r>
      <w:r w:rsidRPr="003C5CBB">
        <w:t>ost of the Eames chairs are sold through a distribution channel consisting of only around 45 independently owned dealers with 130 locations across the country</w:t>
      </w:r>
      <w:r w:rsidR="003C5CBB" w:rsidRPr="003C5CBB">
        <w:t>; a</w:t>
      </w:r>
      <w:r w:rsidRPr="003C5CBB">
        <w:t xml:space="preserve">nd the Eames chairs were “very heavily” featured in the TV show </w:t>
      </w:r>
      <w:r w:rsidR="003C5CBB" w:rsidRPr="003C5CBB">
        <w:rPr>
          <w:i/>
        </w:rPr>
        <w:t>Mad Men</w:t>
      </w:r>
      <w:r w:rsidRPr="003C5CBB">
        <w:t>, have appeared in other TV shows and movies, and have been exhibited at several American museums, including the Museum of Modern Art and the Henry Ford Museum.</w:t>
      </w:r>
      <w:r w:rsidR="003C5CBB" w:rsidRPr="003C5CBB">
        <w:rPr>
          <w:vertAlign w:val="superscript"/>
        </w:rPr>
        <w:footnoteReference w:id="225"/>
      </w:r>
    </w:p>
    <w:p w14:paraId="2F73899A" w14:textId="5BE6111B" w:rsidR="003C5CBB" w:rsidRPr="003C5CBB" w:rsidRDefault="00634BAE" w:rsidP="003C5CBB">
      <w:pPr>
        <w:pStyle w:val="BNormal"/>
      </w:pPr>
      <w:r w:rsidRPr="003C5CBB">
        <w:t>It found this evidence to be legally insufficient and overturned the jury’s verdict in favor of Herman Miller.</w:t>
      </w:r>
      <w:r w:rsidR="003C5CBB" w:rsidRPr="003C5CBB">
        <w:rPr>
          <w:vertAlign w:val="superscript"/>
        </w:rPr>
        <w:footnoteReference w:id="226"/>
      </w:r>
    </w:p>
    <w:p w14:paraId="0669ED9A" w14:textId="0DDA9E67" w:rsidR="003C5CBB" w:rsidRPr="003C5CBB" w:rsidRDefault="00634BAE" w:rsidP="003C5CBB">
      <w:pPr>
        <w:pStyle w:val="BNormal"/>
      </w:pPr>
      <w:r w:rsidRPr="003C5CBB">
        <w:t>The owner of the BLUETOOTH mark failed to demonstrate sufficient evidence of fame to warrant summary judgment.</w:t>
      </w:r>
      <w:r w:rsidR="003C5CBB" w:rsidRPr="003C5CBB">
        <w:rPr>
          <w:vertAlign w:val="superscript"/>
        </w:rPr>
        <w:footnoteReference w:id="227"/>
      </w:r>
      <w:r w:rsidRPr="003C5CBB">
        <w:t xml:space="preserve"> Noting that “[d]ilution fame is difficult to prove,” the court found that “Bluetooth fell far short.”</w:t>
      </w:r>
      <w:r w:rsidR="003C5CBB" w:rsidRPr="003C5CBB">
        <w:rPr>
          <w:vertAlign w:val="superscript"/>
        </w:rPr>
        <w:footnoteReference w:id="228"/>
      </w:r>
      <w:r w:rsidRPr="003C5CBB">
        <w:t xml:space="preserve"> The court cited the lack of “any evidence, such as surveys, demonstrating actual brand recognition.”</w:t>
      </w:r>
      <w:r w:rsidR="003C5CBB" w:rsidRPr="003C5CBB">
        <w:rPr>
          <w:vertAlign w:val="superscript"/>
        </w:rPr>
        <w:footnoteReference w:id="229"/>
      </w:r>
    </w:p>
    <w:p w14:paraId="33FCBA73" w14:textId="087ADA04" w:rsidR="003C5CBB" w:rsidRPr="003C5CBB" w:rsidRDefault="00634BAE" w:rsidP="003C5CBB">
      <w:pPr>
        <w:pStyle w:val="BNormal"/>
      </w:pPr>
      <w:r w:rsidRPr="003C5CBB">
        <w:lastRenderedPageBreak/>
        <w:t xml:space="preserve">In </w:t>
      </w:r>
      <w:r w:rsidR="003C5CBB" w:rsidRPr="003C5CBB">
        <w:rPr>
          <w:rStyle w:val="BCasenamefull"/>
        </w:rPr>
        <w:t>Pinterest, Inc. v. Pintrips, Inc.</w:t>
      </w:r>
      <w:r w:rsidRPr="003C5CBB">
        <w:t>,</w:t>
      </w:r>
      <w:r w:rsidR="003C5CBB" w:rsidRPr="003C5CBB">
        <w:rPr>
          <w:vertAlign w:val="superscript"/>
        </w:rPr>
        <w:footnoteReference w:id="230"/>
      </w:r>
      <w:r w:rsidRPr="003C5CBB">
        <w:t xml:space="preserve"> the court granted summary judgment, finding the mark Pinterest not to be famous (at least as of November 2012, the date of defendant’s first use in commerce of an offending mark).</w:t>
      </w:r>
      <w:r w:rsidR="003C5CBB" w:rsidRPr="003C5CBB">
        <w:rPr>
          <w:vertAlign w:val="superscript"/>
        </w:rPr>
        <w:footnoteReference w:id="231"/>
      </w:r>
      <w:r w:rsidRPr="003C5CBB">
        <w:t xml:space="preserve"> The court noted two key deficiencies in plaintiff’s evidence</w:t>
      </w:r>
      <w:r w:rsidR="003C5CBB" w:rsidRPr="003C5CBB">
        <w:t>. F</w:t>
      </w:r>
      <w:r w:rsidRPr="003C5CBB">
        <w:t>irst, although plaintiff submitted articles from prominent publications, noting a rapid rise in the use and awareness of Pinterest, these same articles also highlighted the fact that Pinterest still was not that well known.</w:t>
      </w:r>
      <w:r w:rsidR="003C5CBB" w:rsidRPr="003C5CBB">
        <w:rPr>
          <w:vertAlign w:val="superscript"/>
        </w:rPr>
        <w:footnoteReference w:id="232"/>
      </w:r>
      <w:r w:rsidRPr="003C5CBB">
        <w:t xml:space="preserve"> Second, although plaintiff submitted a survey to demonstrate fame, the court noted that there was no testimony concerning the methodology followed in taking the survey</w:t>
      </w:r>
      <w:r w:rsidR="003C5CBB" w:rsidRPr="003C5CBB">
        <w:t>; t</w:t>
      </w:r>
      <w:r w:rsidRPr="003C5CBB">
        <w:t>hus, it could not be determined whether it truly surveyed the general consuming public, for example.</w:t>
      </w:r>
      <w:r w:rsidR="003C5CBB" w:rsidRPr="003C5CBB">
        <w:rPr>
          <w:vertAlign w:val="superscript"/>
        </w:rPr>
        <w:footnoteReference w:id="233"/>
      </w:r>
      <w:r w:rsidRPr="003C5CBB">
        <w:t xml:space="preserve"> Thus, the court concluded that Pinterest had not met the strict standard for demonstrating fame—it was not a “household name.”</w:t>
      </w:r>
      <w:r w:rsidR="003C5CBB" w:rsidRPr="003C5CBB">
        <w:rPr>
          <w:vertAlign w:val="superscript"/>
        </w:rPr>
        <w:footnoteReference w:id="234"/>
      </w:r>
    </w:p>
    <w:p w14:paraId="158091A6" w14:textId="6C0A7AE1" w:rsidR="003C5CBB" w:rsidRPr="003C5CBB" w:rsidRDefault="00634BAE" w:rsidP="003C5CBB">
      <w:pPr>
        <w:pStyle w:val="BNormal"/>
      </w:pPr>
      <w:r w:rsidRPr="003C5CBB">
        <w:t xml:space="preserve">In </w:t>
      </w:r>
      <w:r w:rsidR="003C5CBB" w:rsidRPr="003C5CBB">
        <w:rPr>
          <w:rStyle w:val="BCasenamefull"/>
        </w:rPr>
        <w:t>Wenger SA v. Olivet International, Inc.</w:t>
      </w:r>
      <w:r w:rsidRPr="003C5CBB">
        <w:t>,</w:t>
      </w:r>
      <w:r w:rsidR="003C5CBB" w:rsidRPr="003C5CBB">
        <w:rPr>
          <w:vertAlign w:val="superscript"/>
        </w:rPr>
        <w:footnoteReference w:id="235"/>
      </w:r>
      <w:r w:rsidRPr="003C5CBB">
        <w:t xml:space="preserve"> the court granted summary judgment on a dilution claim, finding a lack of evidence that plaintiff’s “Swissgear” and accompanying logo marks were famous</w:t>
      </w:r>
      <w:r w:rsidR="003C5CBB" w:rsidRPr="003C5CBB">
        <w:t>. T</w:t>
      </w:r>
      <w:r w:rsidRPr="003C5CBB">
        <w:t>he court began by noting that the “Second Circuit has told district courts to police this line [between famous and not famous] strictly.”</w:t>
      </w:r>
      <w:r w:rsidR="003C5CBB" w:rsidRPr="003C5CBB">
        <w:rPr>
          <w:vertAlign w:val="superscript"/>
        </w:rPr>
        <w:footnoteReference w:id="236"/>
      </w:r>
      <w:r w:rsidR="003C5CBB" w:rsidRPr="003C5CBB">
        <w:t xml:space="preserve"> </w:t>
      </w:r>
      <w:r w:rsidRPr="003C5CBB">
        <w:t>The court noted that many marks that could be considered well known had been found not to be famous, and stated that the central point was to measure the impact of plaintiff’s mark on the “general consuming public.”</w:t>
      </w:r>
      <w:r w:rsidR="003C5CBB" w:rsidRPr="003C5CBB">
        <w:rPr>
          <w:vertAlign w:val="superscript"/>
        </w:rPr>
        <w:footnoteReference w:id="237"/>
      </w:r>
      <w:r w:rsidR="003C5CBB" w:rsidRPr="003C5CBB">
        <w:t xml:space="preserve"> </w:t>
      </w:r>
      <w:r w:rsidRPr="003C5CBB">
        <w:t>It further noted that while the Wenger mark may be “well established,” it fell short of being a “household name.”</w:t>
      </w:r>
      <w:r w:rsidR="003C5CBB" w:rsidRPr="003C5CBB">
        <w:rPr>
          <w:vertAlign w:val="superscript"/>
        </w:rPr>
        <w:footnoteReference w:id="238"/>
      </w:r>
      <w:r w:rsidR="003C5CBB" w:rsidRPr="003C5CBB">
        <w:t xml:space="preserve"> </w:t>
      </w:r>
      <w:r w:rsidRPr="003C5CBB">
        <w:t>To a large degree Wenger attempted to link its current marks to the fame of the Swiss Army knife marks, the rights to which Wenger had assigned away years ago</w:t>
      </w:r>
      <w:r w:rsidR="003C5CBB" w:rsidRPr="003C5CBB">
        <w:t>. E</w:t>
      </w:r>
      <w:r w:rsidRPr="003C5CBB">
        <w:t>ven so, the court found that Wenger failed to produce “surveys, news reports, or any other evidence” demonstrating a consumer connection between Wenger’s marks and Swiss Army knives.</w:t>
      </w:r>
      <w:r w:rsidR="003C5CBB" w:rsidRPr="003C5CBB">
        <w:rPr>
          <w:vertAlign w:val="superscript"/>
        </w:rPr>
        <w:footnoteReference w:id="239"/>
      </w:r>
      <w:r w:rsidR="003C5CBB" w:rsidRPr="003C5CBB">
        <w:t xml:space="preserve"> </w:t>
      </w:r>
      <w:r w:rsidRPr="003C5CBB">
        <w:t>Turning to advertising and sales, the court stated that Wenger’s numbers ($100 million annual U.S</w:t>
      </w:r>
      <w:r w:rsidR="003C5CBB" w:rsidRPr="003C5CBB">
        <w:t>. s</w:t>
      </w:r>
      <w:r w:rsidRPr="003C5CBB">
        <w:t>ales and $3 million annual U.S</w:t>
      </w:r>
      <w:r w:rsidR="003C5CBB" w:rsidRPr="003C5CBB">
        <w:t>. a</w:t>
      </w:r>
      <w:r w:rsidRPr="003C5CBB">
        <w:t>dvertising) were “borderline at best,”</w:t>
      </w:r>
      <w:r w:rsidR="003C5CBB" w:rsidRPr="003C5CBB">
        <w:rPr>
          <w:vertAlign w:val="superscript"/>
        </w:rPr>
        <w:footnoteReference w:id="240"/>
      </w:r>
      <w:r w:rsidRPr="003C5CBB">
        <w:t xml:space="preserve"> and finding the cases it relied on to be inapposite.</w:t>
      </w:r>
      <w:r w:rsidR="003C5CBB" w:rsidRPr="003C5CBB">
        <w:rPr>
          <w:vertAlign w:val="superscript"/>
        </w:rPr>
        <w:footnoteReference w:id="241"/>
      </w:r>
      <w:r w:rsidR="003C5CBB" w:rsidRPr="003C5CBB">
        <w:t xml:space="preserve"> </w:t>
      </w:r>
      <w:r w:rsidRPr="003C5CBB">
        <w:t>Finally, the court noted that many similar marks are used by other parties, which the court believed went to the strength of the mark.</w:t>
      </w:r>
      <w:r w:rsidR="003C5CBB" w:rsidRPr="003C5CBB">
        <w:rPr>
          <w:vertAlign w:val="superscript"/>
        </w:rPr>
        <w:footnoteReference w:id="242"/>
      </w:r>
    </w:p>
    <w:p w14:paraId="06D31F25" w14:textId="6919091D" w:rsidR="003C5CBB" w:rsidRPr="003C5CBB" w:rsidRDefault="00634BAE" w:rsidP="003C5CBB">
      <w:pPr>
        <w:pStyle w:val="BNormal"/>
      </w:pPr>
      <w:r w:rsidRPr="003C5CBB">
        <w:lastRenderedPageBreak/>
        <w:t xml:space="preserve">In </w:t>
      </w:r>
      <w:r w:rsidR="003C5CBB" w:rsidRPr="003C5CBB">
        <w:rPr>
          <w:rStyle w:val="BCasenamefull"/>
        </w:rPr>
        <w:t>Stone Brewing Co., LLC v. MillerCoors LLC</w:t>
      </w:r>
      <w:r w:rsidRPr="003C5CBB">
        <w:t>,</w:t>
      </w:r>
      <w:r w:rsidR="003C5CBB" w:rsidRPr="003C5CBB">
        <w:rPr>
          <w:vertAlign w:val="superscript"/>
        </w:rPr>
        <w:footnoteReference w:id="243"/>
      </w:r>
      <w:r w:rsidRPr="003C5CBB">
        <w:t xml:space="preserve"> the court found STONE not shown to be famous</w:t>
      </w:r>
      <w:r w:rsidR="003C5CBB" w:rsidRPr="003C5CBB">
        <w:t>. T</w:t>
      </w:r>
      <w:r w:rsidRPr="003C5CBB">
        <w:t>he court began by noting that fame is a “difficult and demanding requirement”</w:t>
      </w:r>
      <w:r w:rsidR="003C5CBB" w:rsidRPr="003C5CBB">
        <w:rPr>
          <w:vertAlign w:val="superscript"/>
        </w:rPr>
        <w:footnoteReference w:id="244"/>
      </w:r>
      <w:r w:rsidRPr="003C5CBB">
        <w:t xml:space="preserve"> and  then stated that plaintiff’s evidence of national renown was not sufficient—it showed at most niche fame among craft beer enthusiasts, but not necessarily the general consuming public.</w:t>
      </w:r>
      <w:r w:rsidR="003C5CBB" w:rsidRPr="003C5CBB">
        <w:rPr>
          <w:vertAlign w:val="superscript"/>
        </w:rPr>
        <w:footnoteReference w:id="245"/>
      </w:r>
      <w:r w:rsidRPr="003C5CBB">
        <w:t xml:space="preserve"> Indeed, the court stated that press accounts alone do not show the popularity of the brand generally.</w:t>
      </w:r>
      <w:r w:rsidR="003C5CBB" w:rsidRPr="003C5CBB">
        <w:rPr>
          <w:vertAlign w:val="superscript"/>
        </w:rPr>
        <w:footnoteReference w:id="246"/>
      </w:r>
      <w:r w:rsidRPr="003C5CBB">
        <w:t xml:space="preserve"> The court went on to say that plaintiff had not shown its mark to be a “household name,” nor had it presented evidence of the very high brand awareness of other cases (the court suggested 75 percent).</w:t>
      </w:r>
      <w:r w:rsidR="003C5CBB" w:rsidRPr="003C5CBB">
        <w:rPr>
          <w:vertAlign w:val="superscript"/>
        </w:rPr>
        <w:footnoteReference w:id="247"/>
      </w:r>
      <w:r w:rsidRPr="003C5CBB">
        <w:t xml:space="preserve"> The court then denied summary judgment to defendants.</w:t>
      </w:r>
    </w:p>
    <w:p w14:paraId="0144BD81" w14:textId="007F95A6" w:rsidR="003C5CBB" w:rsidRPr="003C5CBB" w:rsidRDefault="00634BAE" w:rsidP="003C5CBB">
      <w:pPr>
        <w:pStyle w:val="BNormal"/>
      </w:pPr>
      <w:r w:rsidRPr="003C5CBB">
        <w:t xml:space="preserve">In </w:t>
      </w:r>
      <w:r w:rsidR="003C5CBB" w:rsidRPr="003C5CBB">
        <w:rPr>
          <w:rStyle w:val="BCasenamefull"/>
        </w:rPr>
        <w:t>Idaho Golf Partners, Inc. v. Timberstone Management, LLC</w:t>
      </w:r>
      <w:r w:rsidRPr="003C5CBB">
        <w:t>,</w:t>
      </w:r>
      <w:r w:rsidR="003C5CBB" w:rsidRPr="003C5CBB">
        <w:rPr>
          <w:vertAlign w:val="superscript"/>
        </w:rPr>
        <w:footnoteReference w:id="248"/>
      </w:r>
      <w:r w:rsidRPr="003C5CBB">
        <w:t xml:space="preserve"> the court overturned a jury verdict finding dilution, holding that as to the issue of fame, the verdict was against the great weight of the evidence.</w:t>
      </w:r>
      <w:r w:rsidR="003C5CBB" w:rsidRPr="003C5CBB">
        <w:rPr>
          <w:vertAlign w:val="superscript"/>
        </w:rPr>
        <w:footnoteReference w:id="249"/>
      </w:r>
      <w:r w:rsidRPr="003C5CBB">
        <w:t xml:space="preserve"> The court found that, at best, the evidence showed niche fame, which is not sufficient under the TDRA.</w:t>
      </w:r>
      <w:r w:rsidR="003C5CBB" w:rsidRPr="003C5CBB">
        <w:rPr>
          <w:vertAlign w:val="superscript"/>
        </w:rPr>
        <w:footnoteReference w:id="250"/>
      </w:r>
      <w:r w:rsidRPr="003C5CBB">
        <w:t xml:space="preserve"> Further, the court held that Timberstone failed to produce evidence of the level of recognition of its mark among the public.</w:t>
      </w:r>
      <w:r w:rsidR="003C5CBB" w:rsidRPr="003C5CBB">
        <w:rPr>
          <w:vertAlign w:val="superscript"/>
        </w:rPr>
        <w:footnoteReference w:id="251"/>
      </w:r>
      <w:r w:rsidRPr="003C5CBB">
        <w:t xml:space="preserve"> Moreover, it indicated that a proper threshold for fame may be 75 percent, and that Timberstone did not even reach that threshold in its niche.</w:t>
      </w:r>
      <w:r w:rsidR="003C5CBB" w:rsidRPr="003C5CBB">
        <w:rPr>
          <w:vertAlign w:val="superscript"/>
        </w:rPr>
        <w:footnoteReference w:id="252"/>
      </w:r>
    </w:p>
    <w:p w14:paraId="79B019CA" w14:textId="07DFD572" w:rsidR="003C5CBB" w:rsidRPr="003C5CBB" w:rsidRDefault="00634BAE" w:rsidP="003C5CBB">
      <w:pPr>
        <w:pStyle w:val="BNormal"/>
      </w:pPr>
      <w:r w:rsidRPr="003C5CBB">
        <w:t xml:space="preserve">In </w:t>
      </w:r>
      <w:r w:rsidR="003C5CBB" w:rsidRPr="003C5CBB">
        <w:rPr>
          <w:i/>
        </w:rPr>
        <w:t>Gennie Shifter, LLC v</w:t>
      </w:r>
      <w:r w:rsidR="003C5CBB" w:rsidRPr="003C5CBB">
        <w:t xml:space="preserve">. </w:t>
      </w:r>
      <w:r w:rsidR="003C5CBB" w:rsidRPr="003C5CBB">
        <w:rPr>
          <w:i/>
        </w:rPr>
        <w:t>Lokar, Inc</w:t>
      </w:r>
      <w:r w:rsidRPr="003C5CBB">
        <w:t>.,</w:t>
      </w:r>
      <w:r w:rsidR="003C5CBB" w:rsidRPr="003C5CBB">
        <w:rPr>
          <w:vertAlign w:val="superscript"/>
        </w:rPr>
        <w:footnoteReference w:id="253"/>
      </w:r>
      <w:r w:rsidRPr="003C5CBB">
        <w:t xml:space="preserve"> the mark Lokar was determined not to be famous</w:t>
      </w:r>
      <w:r w:rsidR="003C5CBB" w:rsidRPr="003C5CBB">
        <w:t>. T</w:t>
      </w:r>
      <w:r w:rsidRPr="003C5CBB">
        <w:t xml:space="preserve">he court emphasized the requirement of </w:t>
      </w:r>
      <w:r w:rsidR="003C5CBB" w:rsidRPr="003C5CBB">
        <w:rPr>
          <w:i/>
        </w:rPr>
        <w:t>general</w:t>
      </w:r>
      <w:r w:rsidRPr="003C5CBB">
        <w:t xml:space="preserve"> recognition, that niche fame was no longer valid (if it ever was), and that this mark’s renown extended, at most, to those in the group of “hot rod” aficionados.</w:t>
      </w:r>
      <w:r w:rsidR="003C5CBB" w:rsidRPr="003C5CBB">
        <w:rPr>
          <w:vertAlign w:val="superscript"/>
        </w:rPr>
        <w:footnoteReference w:id="254"/>
      </w:r>
    </w:p>
    <w:p w14:paraId="1C4A8D60" w14:textId="64F8115C" w:rsidR="003C5CBB" w:rsidRPr="003C5CBB" w:rsidRDefault="00634BAE" w:rsidP="003C5CBB">
      <w:pPr>
        <w:pStyle w:val="BNormal"/>
      </w:pPr>
      <w:r w:rsidRPr="003C5CBB">
        <w:t xml:space="preserve">In </w:t>
      </w:r>
      <w:r w:rsidR="003C5CBB" w:rsidRPr="003C5CBB">
        <w:rPr>
          <w:rStyle w:val="BCasenamefull"/>
        </w:rPr>
        <w:t>S &amp; P Global, Inc. v. S &amp; P Data LLC</w:t>
      </w:r>
      <w:r w:rsidRPr="003C5CBB">
        <w:t>,</w:t>
      </w:r>
      <w:r w:rsidR="003C5CBB" w:rsidRPr="003C5CBB">
        <w:rPr>
          <w:vertAlign w:val="superscript"/>
        </w:rPr>
        <w:footnoteReference w:id="255"/>
      </w:r>
      <w:r w:rsidRPr="003C5CBB">
        <w:t xml:space="preserve"> the court dismissed a dilution claim after a bench trial, finding insufficient evidence of fame</w:t>
      </w:r>
      <w:r w:rsidR="003C5CBB" w:rsidRPr="003C5CBB">
        <w:t>. A</w:t>
      </w:r>
      <w:r w:rsidRPr="003C5CBB">
        <w:t xml:space="preserve">fter noting that fame is measured by a “rigorous standard,” the court noted that plaintiff’s advertising figures were for its entire parent company and were not broken down by brand, market, </w:t>
      </w:r>
      <w:r w:rsidRPr="003C5CBB">
        <w:lastRenderedPageBreak/>
        <w:t>country, etc.</w:t>
      </w:r>
      <w:r w:rsidR="003C5CBB" w:rsidRPr="003C5CBB">
        <w:rPr>
          <w:vertAlign w:val="superscript"/>
        </w:rPr>
        <w:footnoteReference w:id="256"/>
      </w:r>
      <w:r w:rsidR="003C5CBB" w:rsidRPr="003C5CBB">
        <w:t xml:space="preserve"> </w:t>
      </w:r>
      <w:r w:rsidRPr="003C5CBB">
        <w:t>The court further found that plaintiff’s survey, showing 67% brand recognition, was insufficient, noting that it was taken many years after defendant began its use and indicating a need for 75% recognition.</w:t>
      </w:r>
      <w:r w:rsidR="003C5CBB" w:rsidRPr="003C5CBB">
        <w:rPr>
          <w:vertAlign w:val="superscript"/>
        </w:rPr>
        <w:footnoteReference w:id="257"/>
      </w:r>
    </w:p>
    <w:p w14:paraId="6E74EEBE" w14:textId="310C276B" w:rsidR="003C5CBB" w:rsidRPr="003C5CBB" w:rsidRDefault="00634BAE" w:rsidP="003C5CBB">
      <w:pPr>
        <w:pStyle w:val="BNormal"/>
      </w:pPr>
      <w:r w:rsidRPr="003C5CBB">
        <w:t xml:space="preserve">In a case emphasizing the need for </w:t>
      </w:r>
      <w:r w:rsidR="003C5CBB" w:rsidRPr="003C5CBB">
        <w:rPr>
          <w:i/>
        </w:rPr>
        <w:t>national</w:t>
      </w:r>
      <w:r w:rsidRPr="003C5CBB">
        <w:t xml:space="preserve"> recognition, a court found that Lingo’s Market was not famous, noting that the plaintiff did not demonstrate that the mark was nationally known.</w:t>
      </w:r>
      <w:r w:rsidR="003C5CBB" w:rsidRPr="003C5CBB">
        <w:rPr>
          <w:vertAlign w:val="superscript"/>
        </w:rPr>
        <w:footnoteReference w:id="258"/>
      </w:r>
    </w:p>
    <w:p w14:paraId="3DE3F55F" w14:textId="7E0DAABC" w:rsidR="003C5CBB" w:rsidRPr="003C5CBB" w:rsidRDefault="00634BAE" w:rsidP="003C5CBB">
      <w:pPr>
        <w:pStyle w:val="BNormal"/>
      </w:pPr>
      <w:r w:rsidRPr="003C5CBB">
        <w:t>The trademark ZARA was the subject of somewhat conflicting decisions, with the TTAB deciding that it was not famous for dilution purposes, but a district court finding it was famous—although the district court decision was on a motion for default judgment, so the record may not have been complete.</w:t>
      </w:r>
      <w:r w:rsidR="003C5CBB" w:rsidRPr="003C5CBB">
        <w:rPr>
          <w:vertAlign w:val="superscript"/>
        </w:rPr>
        <w:footnoteReference w:id="259"/>
      </w:r>
    </w:p>
    <w:p w14:paraId="2A423026" w14:textId="43E17AA9" w:rsidR="003C5CBB" w:rsidRPr="003C5CBB" w:rsidRDefault="00634BAE" w:rsidP="003C5CBB">
      <w:pPr>
        <w:pStyle w:val="BNormal"/>
      </w:pPr>
      <w:r w:rsidRPr="003C5CBB">
        <w:t xml:space="preserve">The phrase Soul Man was the subject of a dilution claim in </w:t>
      </w:r>
      <w:r w:rsidR="003C5CBB" w:rsidRPr="003C5CBB">
        <w:rPr>
          <w:i/>
        </w:rPr>
        <w:t>Moore v</w:t>
      </w:r>
      <w:r w:rsidR="003C5CBB" w:rsidRPr="003C5CBB">
        <w:t xml:space="preserve">. </w:t>
      </w:r>
      <w:r w:rsidR="003C5CBB" w:rsidRPr="003C5CBB">
        <w:rPr>
          <w:i/>
        </w:rPr>
        <w:t>Weinstein Co</w:t>
      </w:r>
      <w:r w:rsidRPr="003C5CBB">
        <w:t>.</w:t>
      </w:r>
      <w:r w:rsidR="003C5CBB" w:rsidRPr="003C5CBB">
        <w:rPr>
          <w:i/>
        </w:rPr>
        <w:t>, LLC</w:t>
      </w:r>
      <w:r w:rsidRPr="003C5CBB">
        <w:t>.</w:t>
      </w:r>
      <w:r w:rsidR="003C5CBB" w:rsidRPr="003C5CBB">
        <w:rPr>
          <w:vertAlign w:val="superscript"/>
        </w:rPr>
        <w:footnoteReference w:id="260"/>
      </w:r>
      <w:r w:rsidRPr="003C5CBB">
        <w:t xml:space="preserve"> Samuel David Moore, one part of the Sam &amp; Dave soul music group, claimed rights in the Soul Man designation, and claimed that its use in the movie </w:t>
      </w:r>
      <w:r w:rsidR="003C5CBB" w:rsidRPr="003C5CBB">
        <w:rPr>
          <w:i/>
        </w:rPr>
        <w:t xml:space="preserve">Soul Men </w:t>
      </w:r>
      <w:r w:rsidRPr="003C5CBB">
        <w:t>violated his rights</w:t>
      </w:r>
      <w:r w:rsidR="003C5CBB" w:rsidRPr="003C5CBB">
        <w:t>. T</w:t>
      </w:r>
      <w:r w:rsidRPr="003C5CBB">
        <w:t>he court emphasized that “a party must make much more than a showing of secondary meaning to pursue a claim of trademark dilution.”</w:t>
      </w:r>
      <w:r w:rsidR="003C5CBB" w:rsidRPr="003C5CBB">
        <w:rPr>
          <w:vertAlign w:val="superscript"/>
        </w:rPr>
        <w:footnoteReference w:id="261"/>
      </w:r>
      <w:r w:rsidRPr="003C5CBB">
        <w:t xml:space="preserve"> The court found little actual evidence of public recognition of the phrase as a mark in connection with Moore, found little or no evidence of any commercial use of the mark by the plaintiff, no advertising use, and little evidence of third-party use of the phrase in connection with Moore.</w:t>
      </w:r>
      <w:r w:rsidR="003C5CBB" w:rsidRPr="003C5CBB">
        <w:rPr>
          <w:vertAlign w:val="superscript"/>
        </w:rPr>
        <w:footnoteReference w:id="262"/>
      </w:r>
      <w:r w:rsidRPr="003C5CBB">
        <w:t xml:space="preserve"> The case indicates that a famous mark would ordinarily be fairly uniquely associated with the plaintiff, which was not the case here.</w:t>
      </w:r>
    </w:p>
    <w:p w14:paraId="595403AD" w14:textId="468A72FC" w:rsidR="003C5CBB" w:rsidRPr="003C5CBB" w:rsidRDefault="00634BAE" w:rsidP="003C5CBB">
      <w:pPr>
        <w:pStyle w:val="BNormal"/>
      </w:pPr>
      <w:r w:rsidRPr="003C5CBB">
        <w:t>And in a case emphasizing the need for a “household name,” the court found that sales averaging just under $500,000 a year and advertising expenses of a little over $60,000 per year were insufficient to show that Taxi Wallet was famous, in the absence of any actual evidence of consumer recognition, and in the face of evidence that other makers of wallets called their goods “taxi wallets.”</w:t>
      </w:r>
      <w:r w:rsidR="003C5CBB" w:rsidRPr="003C5CBB">
        <w:rPr>
          <w:vertAlign w:val="superscript"/>
        </w:rPr>
        <w:footnoteReference w:id="263"/>
      </w:r>
    </w:p>
    <w:p w14:paraId="1989F249" w14:textId="1909C16E" w:rsidR="003C5CBB" w:rsidRPr="003C5CBB" w:rsidRDefault="00634BAE" w:rsidP="003C5CBB">
      <w:pPr>
        <w:pStyle w:val="BNormal"/>
      </w:pPr>
      <w:r w:rsidRPr="003C5CBB">
        <w:t>In another case emphasizing the need for a “household name,” a court dismissed the complaint of a fraternity for failure to plausibly allege fame.</w:t>
      </w:r>
      <w:r w:rsidR="003C5CBB" w:rsidRPr="003C5CBB">
        <w:rPr>
          <w:vertAlign w:val="superscript"/>
        </w:rPr>
        <w:footnoteReference w:id="264"/>
      </w:r>
      <w:r w:rsidRPr="003C5CBB">
        <w:t xml:space="preserve"> Plaintiff’s allegations included assertions that it “is one of the oldest and most widely regarded fraternities in the United States”</w:t>
      </w:r>
      <w:r w:rsidR="003C5CBB" w:rsidRPr="003C5CBB">
        <w:t>; t</w:t>
      </w:r>
      <w:r w:rsidRPr="003C5CBB">
        <w:t>hat it had “more than 175,000 initiated members since its founding”</w:t>
      </w:r>
      <w:r w:rsidR="003C5CBB" w:rsidRPr="003C5CBB">
        <w:t>; t</w:t>
      </w:r>
      <w:r w:rsidRPr="003C5CBB">
        <w:t>hat it “has expended substantial amounts of time, expense and energy with its strategic growth </w:t>
      </w:r>
      <w:r w:rsidR="003C5CBB" w:rsidRPr="003C5CBB">
        <w:t>...</w:t>
      </w:r>
      <w:r w:rsidRPr="003C5CBB">
        <w:t> plan”</w:t>
      </w:r>
      <w:r w:rsidR="003C5CBB" w:rsidRPr="003C5CBB">
        <w:t>; a</w:t>
      </w:r>
      <w:r w:rsidRPr="003C5CBB">
        <w:t>nd that it has “a high level of actual recognition among the consuming public” as a result of its “philanthropic and community service oriented activities.”</w:t>
      </w:r>
      <w:r w:rsidR="003C5CBB" w:rsidRPr="003C5CBB">
        <w:rPr>
          <w:vertAlign w:val="superscript"/>
        </w:rPr>
        <w:footnoteReference w:id="265"/>
      </w:r>
    </w:p>
    <w:p w14:paraId="6B7AD8B3" w14:textId="31CE0CF0" w:rsidR="003C5CBB" w:rsidRPr="003C5CBB" w:rsidRDefault="00634BAE" w:rsidP="003C5CBB">
      <w:pPr>
        <w:pStyle w:val="BNormal"/>
      </w:pPr>
      <w:r w:rsidRPr="003C5CBB">
        <w:lastRenderedPageBreak/>
        <w:t>Similarly, a court dismissed a dilution claim on the pleadings, finding that the mark Perfect365 for software was not plausibly pleaded to be famous.</w:t>
      </w:r>
      <w:r w:rsidR="003C5CBB" w:rsidRPr="003C5CBB">
        <w:rPr>
          <w:vertAlign w:val="superscript"/>
        </w:rPr>
        <w:footnoteReference w:id="266"/>
      </w:r>
      <w:r w:rsidRPr="003C5CBB">
        <w:t xml:space="preserve"> The court found that allegations that 20 million people had downloaded the software in this country and that it had been mentioned in several national publications were insufficient in light of plaintiff’s failure to show in nonconclusory allegations that there was actual national recognition of the mark by consumers, a short length of apparent use, and failure to allege facts sufficient to show that the mark was a “household name.”</w:t>
      </w:r>
      <w:r w:rsidR="003C5CBB" w:rsidRPr="003C5CBB">
        <w:rPr>
          <w:vertAlign w:val="superscript"/>
        </w:rPr>
        <w:footnoteReference w:id="267"/>
      </w:r>
    </w:p>
    <w:p w14:paraId="23E4CB89" w14:textId="49A230ED" w:rsidR="003C5CBB" w:rsidRPr="003C5CBB" w:rsidRDefault="00634BAE" w:rsidP="003C5CBB">
      <w:pPr>
        <w:pStyle w:val="BNormal"/>
      </w:pPr>
      <w:r w:rsidRPr="003C5CBB">
        <w:t xml:space="preserve">In </w:t>
      </w:r>
      <w:r w:rsidR="003C5CBB" w:rsidRPr="003C5CBB">
        <w:rPr>
          <w:rStyle w:val="BCasenamefull"/>
        </w:rPr>
        <w:t>H-D U.S.A., LLC v. Affliction Holdings, LLC</w:t>
      </w:r>
      <w:r w:rsidRPr="003C5CBB">
        <w:t>,</w:t>
      </w:r>
      <w:r w:rsidR="003C5CBB" w:rsidRPr="003C5CBB">
        <w:rPr>
          <w:vertAlign w:val="superscript"/>
        </w:rPr>
        <w:footnoteReference w:id="268"/>
      </w:r>
      <w:r w:rsidRPr="003C5CBB">
        <w:t xml:space="preserve"> the court dismissed the complaint on the pleadings</w:t>
      </w:r>
      <w:r w:rsidR="003C5CBB" w:rsidRPr="003C5CBB">
        <w:t>. T</w:t>
      </w:r>
      <w:r w:rsidRPr="003C5CBB">
        <w:t>he court stated that</w:t>
      </w:r>
    </w:p>
    <w:p w14:paraId="0DCD2898" w14:textId="7208FBDA" w:rsidR="003C5CBB" w:rsidRPr="003C5CBB" w:rsidRDefault="00634BAE" w:rsidP="003C5CBB">
      <w:pPr>
        <w:pStyle w:val="BQuotelong"/>
      </w:pPr>
      <w:r w:rsidRPr="003C5CBB">
        <w:t>While Plaintiffs have pleaded numerous facts indicating the Bar &amp; Shield’s Logo fame collectively, Plaintiffs’ attempts to distinguish between the variations of the Bar &amp; Shield Logo are largely absent</w:t>
      </w:r>
      <w:r w:rsidR="003C5CBB" w:rsidRPr="003C5CBB">
        <w:t>. I</w:t>
      </w:r>
      <w:r w:rsidRPr="003C5CBB">
        <w:t>ndeed, in an action alleging dilution of multiple marks, a plaintiff is required to plead facts demonstrating fame of each mark.</w:t>
      </w:r>
      <w:r w:rsidR="003C5CBB" w:rsidRPr="003C5CBB">
        <w:rPr>
          <w:vertAlign w:val="superscript"/>
        </w:rPr>
        <w:footnoteReference w:id="269"/>
      </w:r>
    </w:p>
    <w:p w14:paraId="62C8758C" w14:textId="6E3BDF78" w:rsidR="003C5CBB" w:rsidRPr="003C5CBB" w:rsidRDefault="00634BAE" w:rsidP="003C5CBB">
      <w:pPr>
        <w:pStyle w:val="BNormal"/>
      </w:pPr>
      <w:r w:rsidRPr="003C5CBB">
        <w:t xml:space="preserve">And in </w:t>
      </w:r>
      <w:r w:rsidR="003C5CBB" w:rsidRPr="003C5CBB">
        <w:rPr>
          <w:rStyle w:val="BCasenamefull"/>
        </w:rPr>
        <w:t>Springboards to Education, Inc. v. Scholastic Book Fairs, Inc.</w:t>
      </w:r>
      <w:r w:rsidRPr="003C5CBB">
        <w:t>,</w:t>
      </w:r>
      <w:r w:rsidR="003C5CBB" w:rsidRPr="003C5CBB">
        <w:rPr>
          <w:vertAlign w:val="superscript"/>
        </w:rPr>
        <w:footnoteReference w:id="270"/>
      </w:r>
      <w:r w:rsidRPr="003C5CBB">
        <w:t xml:space="preserve"> a district court also dismissed a dilution claim on the pleadings, after a fairly extensive analysis of the allegations, finding that the marks MILLIONAIRE READER, MILLION DOLLAR READER, MILLIONAIRE’S READING CLUB, and READ A MILLION WORDS were not famous.</w:t>
      </w:r>
      <w:r w:rsidR="003C5CBB" w:rsidRPr="003C5CBB">
        <w:rPr>
          <w:vertAlign w:val="superscript"/>
        </w:rPr>
        <w:footnoteReference w:id="271"/>
      </w:r>
      <w:r w:rsidRPr="003C5CBB">
        <w:t xml:space="preserve"> The court’s analysis emphasized the “widely recognized </w:t>
      </w:r>
      <w:r w:rsidR="003C5CBB" w:rsidRPr="003C5CBB">
        <w:t>...</w:t>
      </w:r>
      <w:r w:rsidRPr="003C5CBB">
        <w:t> among the general consuming public” definition, stating clearly that niche fame is not sufficient.</w:t>
      </w:r>
      <w:r w:rsidR="003C5CBB" w:rsidRPr="003C5CBB">
        <w:rPr>
          <w:vertAlign w:val="superscript"/>
        </w:rPr>
        <w:footnoteReference w:id="272"/>
      </w:r>
      <w:r w:rsidRPr="003C5CBB">
        <w:t xml:space="preserve"> The court further cited a lack of allegations about the geographic scope and amount of sales, as well as a lack of information about the consumers of plaintiff’s services.</w:t>
      </w:r>
      <w:r w:rsidR="003C5CBB" w:rsidRPr="003C5CBB">
        <w:rPr>
          <w:vertAlign w:val="superscript"/>
        </w:rPr>
        <w:footnoteReference w:id="273"/>
      </w:r>
      <w:r w:rsidRPr="003C5CBB">
        <w:t xml:space="preserve"> Finally, the court dismissed the fact that plaintiff’s marks were registered</w:t>
      </w:r>
      <w:r w:rsidR="003C5CBB" w:rsidRPr="003C5CBB">
        <w:t>; a</w:t>
      </w:r>
      <w:r w:rsidRPr="003C5CBB">
        <w:t>lthough not irrelevant, it is clearly insufficient to demonstrate fame.</w:t>
      </w:r>
      <w:r w:rsidR="003C5CBB" w:rsidRPr="003C5CBB">
        <w:rPr>
          <w:vertAlign w:val="superscript"/>
        </w:rPr>
        <w:footnoteReference w:id="274"/>
      </w:r>
    </w:p>
    <w:p w14:paraId="55359F9F" w14:textId="59DB5DC5" w:rsidR="003C5CBB" w:rsidRPr="003C5CBB" w:rsidRDefault="00634BAE" w:rsidP="003C5CBB">
      <w:pPr>
        <w:pStyle w:val="BNormal"/>
      </w:pPr>
      <w:r w:rsidRPr="003C5CBB">
        <w:lastRenderedPageBreak/>
        <w:t xml:space="preserve">In </w:t>
      </w:r>
      <w:proofErr w:type="gramStart"/>
      <w:r w:rsidRPr="003C5CBB">
        <w:t>a fairly uncontroversial</w:t>
      </w:r>
      <w:proofErr w:type="gramEnd"/>
      <w:r w:rsidRPr="003C5CBB">
        <w:t xml:space="preserve"> result, the mark Network Automation was found not famous.</w:t>
      </w:r>
      <w:r w:rsidR="003C5CBB" w:rsidRPr="003C5CBB">
        <w:rPr>
          <w:vertAlign w:val="superscript"/>
        </w:rPr>
        <w:footnoteReference w:id="275"/>
      </w:r>
      <w:r w:rsidRPr="003C5CBB">
        <w:t xml:space="preserve"> The court noted that the mark was at best descriptive, and that it had no secondary meaning</w:t>
      </w:r>
      <w:r w:rsidR="003C5CBB" w:rsidRPr="003C5CBB">
        <w:t>. M</w:t>
      </w:r>
      <w:r w:rsidRPr="003C5CBB">
        <w:t>ore interestingly, the court also stated that the plaintiff failed to present a survey “or expert opinion” demonstrating the extent of the mark’s recognition.</w:t>
      </w:r>
      <w:r w:rsidR="003C5CBB" w:rsidRPr="003C5CBB">
        <w:rPr>
          <w:vertAlign w:val="superscript"/>
        </w:rPr>
        <w:footnoteReference w:id="276"/>
      </w:r>
      <w:r w:rsidRPr="003C5CBB">
        <w:t xml:space="preserve"> What sort of “expert opinion” it thought would be satisfactory, the court did not say.</w:t>
      </w:r>
    </w:p>
    <w:p w14:paraId="778619D7" w14:textId="10814A40" w:rsidR="003C5CBB" w:rsidRPr="003C5CBB" w:rsidRDefault="00634BAE" w:rsidP="003C5CBB">
      <w:pPr>
        <w:pStyle w:val="BNormal"/>
      </w:pPr>
      <w:r w:rsidRPr="003C5CBB">
        <w:t>In a case that may seem surprising, the Trademark Trial and Appeal Board held that, on the evidence in the record, the Coach mark was not famous.</w:t>
      </w:r>
      <w:r w:rsidR="003C5CBB" w:rsidRPr="003C5CBB">
        <w:rPr>
          <w:vertAlign w:val="superscript"/>
        </w:rPr>
        <w:footnoteReference w:id="277"/>
      </w:r>
      <w:r w:rsidRPr="003C5CBB">
        <w:t xml:space="preserve"> The TTAB noted that the evidence only pointed at recognition by a segment of women, and that there was no evidence concerning recognition by men.</w:t>
      </w:r>
      <w:r w:rsidR="003C5CBB" w:rsidRPr="003C5CBB">
        <w:rPr>
          <w:vertAlign w:val="superscript"/>
        </w:rPr>
        <w:footnoteReference w:id="278"/>
      </w:r>
      <w:r w:rsidRPr="003C5CBB">
        <w:t xml:space="preserve"> Notably, the Federal Circuit subsequently affirmed the TTAB’s conclusions about fame.</w:t>
      </w:r>
      <w:r w:rsidR="003C5CBB" w:rsidRPr="003C5CBB">
        <w:rPr>
          <w:vertAlign w:val="superscript"/>
        </w:rPr>
        <w:footnoteReference w:id="279"/>
      </w:r>
    </w:p>
    <w:p w14:paraId="70F50852" w14:textId="09F8E39A" w:rsidR="003C5CBB" w:rsidRPr="003C5CBB" w:rsidRDefault="00634BAE" w:rsidP="003C5CBB">
      <w:pPr>
        <w:pStyle w:val="BNormal"/>
      </w:pPr>
      <w:r w:rsidRPr="003C5CBB">
        <w:t xml:space="preserve">The TTAB demonstrated a stringent approach to fame in rejecting a dilution claim made by Bridgestone in </w:t>
      </w:r>
      <w:r w:rsidR="003C5CBB" w:rsidRPr="003C5CBB">
        <w:rPr>
          <w:rStyle w:val="BCasenamefull"/>
        </w:rPr>
        <w:t>Bridgestone Corp. v. Zhanjiang Deni Carburetor Co., Ltd</w:t>
      </w:r>
      <w:r w:rsidRPr="003C5CBB">
        <w:t>.</w:t>
      </w:r>
      <w:r w:rsidR="003C5CBB" w:rsidRPr="003C5CBB">
        <w:rPr>
          <w:vertAlign w:val="superscript"/>
        </w:rPr>
        <w:footnoteReference w:id="280"/>
      </w:r>
      <w:r w:rsidRPr="003C5CBB">
        <w:t xml:space="preserve"> Bridgestone claimed that its Bridgestone and stylized B marks were famous, but the Board disagreed</w:t>
      </w:r>
      <w:r w:rsidR="003C5CBB" w:rsidRPr="003C5CBB">
        <w:t>. T</w:t>
      </w:r>
      <w:r w:rsidRPr="003C5CBB">
        <w:t>he Board noted that fame “is difficult to prove” and that “a mark must be not only famous, but also so distinctive that the public would associate the term with the owner of the famous mark even when it encounters the term apart from the owner’s goods or services, i.e., devoid of its trademark context.”</w:t>
      </w:r>
      <w:r w:rsidR="003C5CBB" w:rsidRPr="003C5CBB">
        <w:rPr>
          <w:vertAlign w:val="superscript"/>
        </w:rPr>
        <w:footnoteReference w:id="281"/>
      </w:r>
      <w:r w:rsidRPr="003C5CBB">
        <w:t xml:space="preserve"> The Board conceded that Bridgestone demonstrated widespread sales, and had expended large sums of money for advertising</w:t>
      </w:r>
      <w:r w:rsidR="003C5CBB" w:rsidRPr="003C5CBB">
        <w:t>. N</w:t>
      </w:r>
      <w:r w:rsidRPr="003C5CBB">
        <w:t>evertheless, “there [was] no evidence regarding the impact of that marketing and advertising.”</w:t>
      </w:r>
      <w:r w:rsidR="003C5CBB" w:rsidRPr="003C5CBB">
        <w:rPr>
          <w:vertAlign w:val="superscript"/>
        </w:rPr>
        <w:footnoteReference w:id="282"/>
      </w:r>
      <w:r w:rsidRPr="003C5CBB">
        <w:t xml:space="preserve"> There was no indication “that when the public encounters the marks on </w:t>
      </w:r>
      <w:r w:rsidRPr="003C5CBB">
        <w:lastRenderedPageBreak/>
        <w:t>unrelated goods, this use would immediately call to mind opposers’ [Bridgestone] marks.”</w:t>
      </w:r>
      <w:r w:rsidR="003C5CBB" w:rsidRPr="003C5CBB">
        <w:rPr>
          <w:vertAlign w:val="superscript"/>
        </w:rPr>
        <w:footnoteReference w:id="283"/>
      </w:r>
      <w:r w:rsidRPr="003C5CBB">
        <w:t xml:space="preserve"> The Board indicated that the record lacked evidence such as media attention or surveys, which would demonstrate the impact of Bridgestone’s marketing.</w:t>
      </w:r>
      <w:r w:rsidR="003C5CBB" w:rsidRPr="003C5CBB">
        <w:rPr>
          <w:vertAlign w:val="superscript"/>
        </w:rPr>
        <w:footnoteReference w:id="284"/>
      </w:r>
    </w:p>
    <w:p w14:paraId="4084488E" w14:textId="2C4038BA" w:rsidR="003C5CBB" w:rsidRPr="003C5CBB" w:rsidRDefault="00634BAE" w:rsidP="003C5CBB">
      <w:pPr>
        <w:pStyle w:val="BNormal"/>
      </w:pPr>
      <w:r w:rsidRPr="003C5CBB">
        <w:t xml:space="preserve">The TTAB also rejected a claim of fame by the Christian Broadcasting Network for its CBN mark, in </w:t>
      </w:r>
      <w:r w:rsidR="003C5CBB" w:rsidRPr="003C5CBB">
        <w:rPr>
          <w:rStyle w:val="BCasenamefull"/>
        </w:rPr>
        <w:t>The Christian Broadcasting Network, Inc. v. Delicious Ltd.</w:t>
      </w:r>
      <w:r w:rsidR="003C5CBB" w:rsidRPr="003C5CBB">
        <w:rPr>
          <w:vertAlign w:val="superscript"/>
        </w:rPr>
        <w:footnoteReference w:id="285"/>
      </w:r>
      <w:r w:rsidRPr="003C5CBB">
        <w:t xml:space="preserve"> The Board began by acknowledging that the opposer’s marks were registered, which supported a finding of fame.</w:t>
      </w:r>
      <w:r w:rsidR="003C5CBB" w:rsidRPr="003C5CBB">
        <w:rPr>
          <w:vertAlign w:val="superscript"/>
        </w:rPr>
        <w:footnoteReference w:id="286"/>
      </w:r>
      <w:r w:rsidRPr="003C5CBB">
        <w:t xml:space="preserve"> However, with respect to actual evidence of recognition, the Board was skeptical</w:t>
      </w:r>
      <w:r w:rsidR="003C5CBB" w:rsidRPr="003C5CBB">
        <w:t>. T</w:t>
      </w:r>
      <w:r w:rsidRPr="003C5CBB">
        <w:t>he network’s most popular show, The 700 Club, is seen by approximately 650,000 households, which the Board described as “a miniscule percentage” of the total households in the United States.</w:t>
      </w:r>
      <w:r w:rsidR="003C5CBB" w:rsidRPr="003C5CBB">
        <w:rPr>
          <w:vertAlign w:val="superscript"/>
        </w:rPr>
        <w:footnoteReference w:id="287"/>
      </w:r>
      <w:r w:rsidRPr="003C5CBB">
        <w:t xml:space="preserve"> The Board further stated that the audience for the network’s shows appeared not to be representative of the general public.</w:t>
      </w:r>
      <w:r w:rsidR="003C5CBB" w:rsidRPr="003C5CBB">
        <w:rPr>
          <w:vertAlign w:val="superscript"/>
        </w:rPr>
        <w:footnoteReference w:id="288"/>
      </w:r>
      <w:r w:rsidRPr="003C5CBB">
        <w:t xml:space="preserve"> With respect to advertising and sales, the Board found it lacking insofar as it failed to show whether it was aimed at the general public.</w:t>
      </w:r>
      <w:r w:rsidR="003C5CBB" w:rsidRPr="003C5CBB">
        <w:rPr>
          <w:vertAlign w:val="superscript"/>
        </w:rPr>
        <w:footnoteReference w:id="289"/>
      </w:r>
      <w:r w:rsidRPr="003C5CBB">
        <w:t xml:space="preserve"> Similarly, the network’s communication to the public did not demonstrate that it was aimed at a broad swath of the public</w:t>
      </w:r>
      <w:r w:rsidR="003C5CBB" w:rsidRPr="003C5CBB">
        <w:t>. T</w:t>
      </w:r>
      <w:r w:rsidRPr="003C5CBB">
        <w:t>herefore, the Board did not find the mark famous and dismissed the dilution claim.</w:t>
      </w:r>
      <w:r w:rsidR="003C5CBB" w:rsidRPr="003C5CBB">
        <w:rPr>
          <w:vertAlign w:val="superscript"/>
        </w:rPr>
        <w:footnoteReference w:id="290"/>
      </w:r>
    </w:p>
    <w:p w14:paraId="0E377CC1" w14:textId="6DD39A69" w:rsidR="003C5CBB" w:rsidRPr="003C5CBB" w:rsidRDefault="00634BAE" w:rsidP="003C5CBB">
      <w:pPr>
        <w:pStyle w:val="BNormal"/>
      </w:pPr>
      <w:r w:rsidRPr="003C5CBB">
        <w:t>In an unusual case, the TTAB held that, ordinarily, only use of a mark in the United States, or with respect to a mark where “there is an intent to use the mark in the United States coupled with an application for registration,” can be considered for purposes of determining whether a mark is famous under the TDRA.</w:t>
      </w:r>
      <w:r w:rsidR="003C5CBB" w:rsidRPr="003C5CBB">
        <w:rPr>
          <w:vertAlign w:val="superscript"/>
        </w:rPr>
        <w:footnoteReference w:id="291"/>
      </w:r>
      <w:r w:rsidRPr="003C5CBB">
        <w:t xml:space="preserve"> However, the TTAB indicated that in “an unusual case” it would consider use completely outside the United States to be sufficient </w:t>
      </w:r>
      <w:r w:rsidR="003C5CBB" w:rsidRPr="003C5CBB">
        <w:rPr>
          <w:i/>
        </w:rPr>
        <w:t>if</w:t>
      </w:r>
      <w:r w:rsidRPr="003C5CBB">
        <w:t xml:space="preserve"> it created sufficient awareness </w:t>
      </w:r>
      <w:r w:rsidR="003C5CBB" w:rsidRPr="003C5CBB">
        <w:rPr>
          <w:i/>
        </w:rPr>
        <w:t>in</w:t>
      </w:r>
      <w:r w:rsidRPr="003C5CBB">
        <w:t xml:space="preserve"> the United States to satisfy the definition of fame.</w:t>
      </w:r>
      <w:r w:rsidR="003C5CBB" w:rsidRPr="003C5CBB">
        <w:rPr>
          <w:vertAlign w:val="superscript"/>
        </w:rPr>
        <w:footnoteReference w:id="292"/>
      </w:r>
      <w:r w:rsidRPr="003C5CBB">
        <w:t xml:space="preserve"> In this case, the pleadings failed to demonstrate that such had occurred, and the opposition based on dilution was dismissed.</w:t>
      </w:r>
      <w:r w:rsidR="003C5CBB" w:rsidRPr="003C5CBB">
        <w:rPr>
          <w:vertAlign w:val="superscript"/>
        </w:rPr>
        <w:footnoteReference w:id="293"/>
      </w:r>
    </w:p>
    <w:p w14:paraId="1BA61287" w14:textId="4D02D168" w:rsidR="003C5CBB" w:rsidRPr="003C5CBB" w:rsidRDefault="008B3068" w:rsidP="008B3068">
      <w:pPr>
        <w:pStyle w:val="BHead3"/>
      </w:pPr>
      <w:r>
        <w:t>8.III.A.</w:t>
      </w:r>
      <w:r w:rsidR="003C5CBB" w:rsidRPr="008B3068">
        <w:rPr>
          <w:rStyle w:val="BBNAidChar"/>
          <w:rFonts w:eastAsiaTheme="majorEastAsia"/>
        </w:rPr>
        <w:t>3</w:t>
      </w:r>
      <w:r w:rsidR="003C5CBB" w:rsidRPr="003C5CBB">
        <w:t>.</w:t>
      </w:r>
      <w:r>
        <w:t> </w:t>
      </w:r>
      <w:r w:rsidR="003C5CBB" w:rsidRPr="003C5CBB">
        <w:t xml:space="preserve"> Preclusion and the Issue of Fame</w:t>
      </w:r>
    </w:p>
    <w:p w14:paraId="5D32DBA1" w14:textId="45A4C8D3" w:rsidR="003C5CBB" w:rsidRPr="003C5CBB" w:rsidRDefault="00634BAE" w:rsidP="003C5CBB">
      <w:pPr>
        <w:pStyle w:val="BNormal"/>
      </w:pPr>
      <w:r w:rsidRPr="003C5CBB">
        <w:t>In some cases, there may have been an adjudication of the issue of the fame of plaintiff’s mark in a prior case</w:t>
      </w:r>
      <w:r w:rsidR="003C5CBB" w:rsidRPr="003C5CBB">
        <w:t>. W</w:t>
      </w:r>
      <w:r w:rsidRPr="003C5CBB">
        <w:t>hether that prior adjudication should be considered preclusive of the issue in the current case can be a complicated matter</w:t>
      </w:r>
      <w:r w:rsidR="003C5CBB" w:rsidRPr="003C5CBB">
        <w:t>. F</w:t>
      </w:r>
      <w:r w:rsidRPr="003C5CBB">
        <w:t xml:space="preserve">irst, a person who is not a party to </w:t>
      </w:r>
      <w:proofErr w:type="gramStart"/>
      <w:r w:rsidRPr="003C5CBB">
        <w:t>the prior</w:t>
      </w:r>
      <w:proofErr w:type="gramEnd"/>
      <w:r w:rsidRPr="003C5CBB">
        <w:t xml:space="preserve"> action generally may not be precluded from relitigating an issue</w:t>
      </w:r>
      <w:r w:rsidR="003C5CBB" w:rsidRPr="003C5CBB">
        <w:t>. T</w:t>
      </w:r>
      <w:r w:rsidRPr="003C5CBB">
        <w:t xml:space="preserve">hus, even if plaintiff’s mark was found famous in a prior action, a new defendant would </w:t>
      </w:r>
      <w:r w:rsidRPr="003C5CBB">
        <w:lastRenderedPageBreak/>
        <w:t>not be precluded from contesting fame (although the prior finding may be seen as relevant evidence of fame)</w:t>
      </w:r>
      <w:r w:rsidR="003C5CBB" w:rsidRPr="003C5CBB">
        <w:t>. S</w:t>
      </w:r>
      <w:r w:rsidRPr="003C5CBB">
        <w:t>econd if the prior court found that the mark was not famous (and the defendant wishes to use non-mutual issue preclusion), the issue must be identical to the one decided in the prior case</w:t>
      </w:r>
      <w:r w:rsidR="003C5CBB" w:rsidRPr="003C5CBB">
        <w:t>. T</w:t>
      </w:r>
      <w:r w:rsidRPr="003C5CBB">
        <w:t>hus, if the timing of fame is different in the second action—because the statute requires the mark to be famous before the defendant’s first use and the first uses may not be from the same time period—then the issue would not be identical.</w:t>
      </w:r>
      <w:r w:rsidR="003C5CBB" w:rsidRPr="003C5CBB">
        <w:rPr>
          <w:vertAlign w:val="superscript"/>
        </w:rPr>
        <w:footnoteReference w:id="294"/>
      </w:r>
      <w:r w:rsidR="003C5CBB" w:rsidRPr="003C5CBB">
        <w:t xml:space="preserve"> </w:t>
      </w:r>
      <w:r w:rsidRPr="003C5CBB">
        <w:t>Even if the issues appear identical, courts may determine that equitable considerations allow them to permit plaintiff to introduce additional evidence to bolster its claim to fame.</w:t>
      </w:r>
      <w:r w:rsidR="003C5CBB" w:rsidRPr="003C5CBB">
        <w:rPr>
          <w:vertAlign w:val="superscript"/>
        </w:rPr>
        <w:footnoteReference w:id="295"/>
      </w:r>
    </w:p>
    <w:p w14:paraId="0EA4D4F7" w14:textId="00285D9A" w:rsidR="003C5CBB" w:rsidRPr="003C5CBB" w:rsidRDefault="008B3068" w:rsidP="008B3068">
      <w:pPr>
        <w:pStyle w:val="BHead3"/>
      </w:pPr>
      <w:r>
        <w:t>8.III.A.</w:t>
      </w:r>
      <w:r w:rsidR="003C5CBB" w:rsidRPr="008B3068">
        <w:rPr>
          <w:rStyle w:val="BBNAidChar"/>
          <w:rFonts w:eastAsiaTheme="majorEastAsia"/>
        </w:rPr>
        <w:t>4</w:t>
      </w:r>
      <w:r w:rsidR="003C5CBB" w:rsidRPr="003C5CBB">
        <w:t>.</w:t>
      </w:r>
      <w:r>
        <w:t> </w:t>
      </w:r>
      <w:r w:rsidR="003C5CBB" w:rsidRPr="003C5CBB">
        <w:tab/>
        <w:t>Summary: The Important Factors Under the TDRA</w:t>
      </w:r>
    </w:p>
    <w:p w14:paraId="50CF7E76" w14:textId="426BD60A" w:rsidR="003C5CBB" w:rsidRPr="003C5CBB" w:rsidRDefault="00634BAE" w:rsidP="003C5CBB">
      <w:pPr>
        <w:pStyle w:val="BNormal"/>
      </w:pPr>
      <w:r w:rsidRPr="003C5CBB">
        <w:t>Reviewing the cases discussed above, the factor that stands out is unsolicited third-party attention to the mark</w:t>
      </w:r>
      <w:r w:rsidR="003C5CBB" w:rsidRPr="003C5CBB">
        <w:t>. T</w:t>
      </w:r>
      <w:r w:rsidRPr="003C5CBB">
        <w:t>he existence of such attention, particularly when it is found in media that is read, watched, or listened to by a broad cross-section of the public, appears to be a key element in a finding of fame.</w:t>
      </w:r>
      <w:r w:rsidR="003C5CBB" w:rsidRPr="003C5CBB">
        <w:rPr>
          <w:vertAlign w:val="superscript"/>
        </w:rPr>
        <w:footnoteReference w:id="296"/>
      </w:r>
      <w:r w:rsidRPr="003C5CBB">
        <w:t xml:space="preserve"> Advertising dollars are significant, but far from decisive, as one cannot always be certain of their effect on the public.</w:t>
      </w:r>
      <w:r w:rsidR="003C5CBB" w:rsidRPr="003C5CBB">
        <w:rPr>
          <w:vertAlign w:val="superscript"/>
        </w:rPr>
        <w:footnoteReference w:id="297"/>
      </w:r>
      <w:r w:rsidRPr="003C5CBB">
        <w:t xml:space="preserve"> Social media, however, may be used as a means of indicating that advertising reaches a large segment of the public.</w:t>
      </w:r>
      <w:r w:rsidR="003C5CBB" w:rsidRPr="003C5CBB">
        <w:rPr>
          <w:vertAlign w:val="superscript"/>
        </w:rPr>
        <w:footnoteReference w:id="298"/>
      </w:r>
      <w:r w:rsidRPr="003C5CBB">
        <w:t xml:space="preserve"> The factor of registration is usually understood as barely relevant, unless the mark is </w:t>
      </w:r>
      <w:r w:rsidR="003C5CBB" w:rsidRPr="003C5CBB">
        <w:rPr>
          <w:i/>
        </w:rPr>
        <w:t>not</w:t>
      </w:r>
      <w:r w:rsidRPr="003C5CBB">
        <w:t xml:space="preserve"> registered</w:t>
      </w:r>
      <w:r w:rsidR="003C5CBB" w:rsidRPr="003C5CBB">
        <w:t>. M</w:t>
      </w:r>
      <w:r w:rsidRPr="003C5CBB">
        <w:t>ost courts appear to be taking seriously the TDRA’s definitional requirement of recognition by the “</w:t>
      </w:r>
      <w:r w:rsidR="003C5CBB" w:rsidRPr="003C5CBB">
        <w:rPr>
          <w:i/>
        </w:rPr>
        <w:t>general</w:t>
      </w:r>
      <w:r w:rsidRPr="003C5CBB">
        <w:t xml:space="preserve"> consuming public.” Another useful piece of evidence is brand ranking by third parties</w:t>
      </w:r>
      <w:r w:rsidR="003C5CBB" w:rsidRPr="003C5CBB">
        <w:t>. S</w:t>
      </w:r>
      <w:r w:rsidRPr="003C5CBB">
        <w:t>uch evidence must be used with care, since it may only reflect awareness among a specific subset of the public</w:t>
      </w:r>
      <w:r w:rsidR="003C5CBB" w:rsidRPr="003C5CBB">
        <w:t>. N</w:t>
      </w:r>
      <w:r w:rsidRPr="003C5CBB">
        <w:t>evertheless, it is clearly worth introducing as part of one’s evidence of fame</w:t>
      </w:r>
      <w:r w:rsidR="003C5CBB" w:rsidRPr="003C5CBB">
        <w:t>. I</w:t>
      </w:r>
      <w:r w:rsidRPr="003C5CBB">
        <w:t>nterestingly, surveys have not played an overly large role in establishing fame</w:t>
      </w:r>
      <w:r w:rsidR="003C5CBB" w:rsidRPr="003C5CBB">
        <w:t>. C</w:t>
      </w:r>
      <w:r w:rsidRPr="003C5CBB">
        <w:t>ourts have allowed extensive third-party media attention to substitute for a survey in several cases</w:t>
      </w:r>
      <w:r w:rsidR="003C5CBB" w:rsidRPr="003C5CBB">
        <w:t>. W</w:t>
      </w:r>
      <w:r w:rsidRPr="003C5CBB">
        <w:t>hen such evidence heavily weighs on the side of fame, it may be an acceptable substitute</w:t>
      </w:r>
      <w:r w:rsidR="003C5CBB" w:rsidRPr="003C5CBB">
        <w:t>. B</w:t>
      </w:r>
      <w:r w:rsidRPr="003C5CBB">
        <w:t>ut if a court is at all unsure of the outcome, then the absence of a survey should be deemed significant.</w:t>
      </w:r>
    </w:p>
    <w:p w14:paraId="18F2D16E" w14:textId="279B86C2" w:rsidR="003C5CBB" w:rsidRPr="003C5CBB" w:rsidRDefault="008B3068" w:rsidP="008B3068">
      <w:pPr>
        <w:pStyle w:val="BHead2"/>
      </w:pPr>
      <w:r>
        <w:t>8.III.</w:t>
      </w:r>
      <w:r w:rsidR="003C5CBB" w:rsidRPr="008B3068">
        <w:rPr>
          <w:rStyle w:val="BBNAidChar"/>
          <w:rFonts w:eastAsiaTheme="majorEastAsia"/>
        </w:rPr>
        <w:t>B</w:t>
      </w:r>
      <w:r w:rsidR="003C5CBB" w:rsidRPr="003C5CBB">
        <w:t>.</w:t>
      </w:r>
      <w:r>
        <w:t> </w:t>
      </w:r>
      <w:r w:rsidR="003C5CBB" w:rsidRPr="003C5CBB">
        <w:tab/>
        <w:t>Early Adjudication of Fame May Be Difficult to Achieve</w:t>
      </w:r>
    </w:p>
    <w:p w14:paraId="201EE5D7" w14:textId="5B9112A6" w:rsidR="003C5CBB" w:rsidRPr="003C5CBB" w:rsidRDefault="00634BAE" w:rsidP="003C5CBB">
      <w:pPr>
        <w:pStyle w:val="BNormal"/>
      </w:pPr>
      <w:r w:rsidRPr="003C5CBB">
        <w:t>Fame is the gatekeeper for a dilution claim</w:t>
      </w:r>
      <w:r w:rsidR="003C5CBB" w:rsidRPr="003C5CBB">
        <w:t>. A</w:t>
      </w:r>
      <w:r w:rsidRPr="003C5CBB">
        <w:t>s such, one might expect that the TDRA would make it reasonably possible to adjudicate claims of fame early, eliminating clearly ineligible claims without a lengthy litigation process</w:t>
      </w:r>
      <w:r w:rsidR="003C5CBB" w:rsidRPr="003C5CBB">
        <w:t>. B</w:t>
      </w:r>
      <w:r w:rsidRPr="003C5CBB">
        <w:t>efore the TDRA, the absence of a definition made early adjudication extremely difficult</w:t>
      </w:r>
      <w:r w:rsidR="003C5CBB" w:rsidRPr="003C5CBB">
        <w:t>. B</w:t>
      </w:r>
      <w:r w:rsidRPr="003C5CBB">
        <w:t>ut even after the TDRA introduced a somewhat comprehensive definition of fame, obtaining an early adjudication of the issue—through either a motion to dismiss or summary judgment—has been problematic.</w:t>
      </w:r>
      <w:r w:rsidR="003C5CBB" w:rsidRPr="003C5CBB">
        <w:rPr>
          <w:vertAlign w:val="superscript"/>
        </w:rPr>
        <w:footnoteReference w:id="299"/>
      </w:r>
      <w:r w:rsidRPr="003C5CBB">
        <w:t xml:space="preserve"> Thus, the claims of many less-than-household brands will survive long beyond the early stages of litigation.</w:t>
      </w:r>
    </w:p>
    <w:p w14:paraId="575FD69D" w14:textId="6D86B499" w:rsidR="003C5CBB" w:rsidRPr="003C5CBB" w:rsidRDefault="00634BAE" w:rsidP="003C5CBB">
      <w:pPr>
        <w:pStyle w:val="BNormal"/>
      </w:pPr>
      <w:r w:rsidRPr="003C5CBB">
        <w:lastRenderedPageBreak/>
        <w:t>This is not surprising</w:t>
      </w:r>
      <w:r w:rsidR="003C5CBB" w:rsidRPr="003C5CBB">
        <w:t>. M</w:t>
      </w:r>
      <w:r w:rsidRPr="003C5CBB">
        <w:t>otions to dismiss require courts to assume the truth of well-pleaded allegations of fact.</w:t>
      </w:r>
      <w:r w:rsidR="003C5CBB" w:rsidRPr="003C5CBB">
        <w:rPr>
          <w:vertAlign w:val="superscript"/>
        </w:rPr>
        <w:footnoteReference w:id="300"/>
      </w:r>
      <w:r w:rsidRPr="003C5CBB">
        <w:t xml:space="preserve"> Treating fame as such an allegation, courts are understandably reluctant to decide the issue on the face of a complaint.</w:t>
      </w:r>
      <w:r w:rsidR="003C5CBB" w:rsidRPr="003C5CBB">
        <w:rPr>
          <w:vertAlign w:val="superscript"/>
        </w:rPr>
        <w:footnoteReference w:id="301"/>
      </w:r>
    </w:p>
    <w:p w14:paraId="6457F83C" w14:textId="2FF8048E" w:rsidR="003C5CBB" w:rsidRPr="003C5CBB" w:rsidRDefault="00634BAE" w:rsidP="003C5CBB">
      <w:pPr>
        <w:pStyle w:val="BNormal"/>
      </w:pPr>
      <w:r w:rsidRPr="003C5CBB">
        <w:lastRenderedPageBreak/>
        <w:t>However, this does not mean that a court is precluded from finding a lack of fame on a motion to dismiss.</w:t>
      </w:r>
      <w:r w:rsidR="003C5CBB" w:rsidRPr="003C5CBB">
        <w:rPr>
          <w:vertAlign w:val="superscript"/>
        </w:rPr>
        <w:footnoteReference w:id="302"/>
      </w:r>
      <w:r w:rsidRPr="003C5CBB">
        <w:t xml:space="preserve"> Indeed, there are an increasing number of instances where plaintiffs have failed to plausibly allege fame.</w:t>
      </w:r>
      <w:r w:rsidR="003C5CBB" w:rsidRPr="003C5CBB">
        <w:rPr>
          <w:vertAlign w:val="superscript"/>
        </w:rPr>
        <w:footnoteReference w:id="303"/>
      </w:r>
      <w:r w:rsidRPr="003C5CBB">
        <w:t xml:space="preserve"> </w:t>
      </w:r>
      <w:r w:rsidRPr="003C5CBB">
        <w:lastRenderedPageBreak/>
        <w:t>Similarly, some courts are willing to dismiss dilution claims at the summary judgment stage where the evidence does not justify a reasonable fact finder to conclude that a mark is famous.</w:t>
      </w:r>
      <w:r w:rsidR="003C5CBB" w:rsidRPr="003C5CBB">
        <w:rPr>
          <w:vertAlign w:val="superscript"/>
        </w:rPr>
        <w:footnoteReference w:id="304"/>
      </w:r>
    </w:p>
    <w:p w14:paraId="734A9055" w14:textId="29136BEC" w:rsidR="003C5CBB" w:rsidRPr="003C5CBB" w:rsidRDefault="00634BAE" w:rsidP="003C5CBB">
      <w:pPr>
        <w:pStyle w:val="BNormal"/>
      </w:pPr>
      <w:r w:rsidRPr="003C5CBB">
        <w:t>Although summary judgment does require the court to examine the factual record, it, too, has limitations that often make early adjudications difficult</w:t>
      </w:r>
      <w:r w:rsidR="003C5CBB" w:rsidRPr="003C5CBB">
        <w:t>. S</w:t>
      </w:r>
      <w:r w:rsidRPr="003C5CBB">
        <w:t>ummary judgment is not intended to adjudicate factual disputes</w:t>
      </w:r>
      <w:r w:rsidR="003C5CBB" w:rsidRPr="003C5CBB">
        <w:t>: d</w:t>
      </w:r>
      <w:r w:rsidRPr="003C5CBB">
        <w:t>isputed issues of material fact should result in the denial of the motion.</w:t>
      </w:r>
      <w:r w:rsidR="003C5CBB" w:rsidRPr="003C5CBB">
        <w:rPr>
          <w:vertAlign w:val="superscript"/>
        </w:rPr>
        <w:footnoteReference w:id="305"/>
      </w:r>
      <w:r w:rsidRPr="003C5CBB">
        <w:t xml:space="preserve"> Some circuits explicitly admonish courts that summary judgment in trademark cases should seldom be granted.</w:t>
      </w:r>
      <w:r w:rsidR="003C5CBB" w:rsidRPr="003C5CBB">
        <w:rPr>
          <w:vertAlign w:val="superscript"/>
        </w:rPr>
        <w:footnoteReference w:id="306"/>
      </w:r>
    </w:p>
    <w:p w14:paraId="06C94CFC" w14:textId="3BB5A14B" w:rsidR="003C5CBB" w:rsidRPr="003C5CBB" w:rsidRDefault="00634BAE" w:rsidP="003C5CBB">
      <w:pPr>
        <w:pStyle w:val="BNormal"/>
      </w:pPr>
      <w:r w:rsidRPr="003C5CBB">
        <w:t xml:space="preserve">As noted earlier, default judgments create special problems because courts often accept </w:t>
      </w:r>
      <w:proofErr w:type="gramStart"/>
      <w:r w:rsidRPr="003C5CBB">
        <w:t>fairly conclusory</w:t>
      </w:r>
      <w:proofErr w:type="gramEnd"/>
      <w:r w:rsidRPr="003C5CBB">
        <w:t xml:space="preserve"> allegations of fame, and there is no factual record or opposing arguments with which to judge those allegations.</w:t>
      </w:r>
      <w:r w:rsidR="003C5CBB" w:rsidRPr="003C5CBB">
        <w:rPr>
          <w:vertAlign w:val="superscript"/>
        </w:rPr>
        <w:footnoteReference w:id="307"/>
      </w:r>
    </w:p>
    <w:p w14:paraId="4598044B" w14:textId="7132156E" w:rsidR="003C5CBB" w:rsidRPr="003C5CBB" w:rsidRDefault="00634BAE" w:rsidP="003C5CBB">
      <w:pPr>
        <w:pStyle w:val="BNormal"/>
      </w:pPr>
      <w:r w:rsidRPr="003C5CBB">
        <w:lastRenderedPageBreak/>
        <w:t>As a result of these procedural limitations, there will be cases in which dilution claims go forward when the marks in question have little chance of being found famous.</w:t>
      </w:r>
      <w:r w:rsidR="003C5CBB" w:rsidRPr="003C5CBB">
        <w:rPr>
          <w:vertAlign w:val="superscript"/>
        </w:rPr>
        <w:footnoteReference w:id="308"/>
      </w:r>
      <w:r w:rsidRPr="003C5CBB">
        <w:t xml:space="preserve"> This may have the unfortunate effect of encouraging weak dilution claims that require expensive defenses.</w:t>
      </w:r>
      <w:r w:rsidR="003C5CBB" w:rsidRPr="003C5CBB">
        <w:rPr>
          <w:vertAlign w:val="superscript"/>
        </w:rPr>
        <w:footnoteReference w:id="309"/>
      </w:r>
    </w:p>
    <w:p w14:paraId="3853EB01" w14:textId="148D8198" w:rsidR="003C5CBB" w:rsidRPr="003C5CBB" w:rsidRDefault="008B3068" w:rsidP="008B3068">
      <w:pPr>
        <w:pStyle w:val="BHead2"/>
      </w:pPr>
      <w:r>
        <w:t>8.III.</w:t>
      </w:r>
      <w:r w:rsidR="003C5CBB" w:rsidRPr="008B3068">
        <w:rPr>
          <w:rStyle w:val="BBNAidChar"/>
          <w:rFonts w:eastAsiaTheme="majorEastAsia"/>
        </w:rPr>
        <w:t>C</w:t>
      </w:r>
      <w:r w:rsidR="003C5CBB" w:rsidRPr="003C5CBB">
        <w:t>.</w:t>
      </w:r>
      <w:r>
        <w:t> </w:t>
      </w:r>
      <w:r w:rsidR="003C5CBB" w:rsidRPr="003C5CBB">
        <w:tab/>
        <w:t>Can a Mark Not Used in the United States Be Famous?</w:t>
      </w:r>
    </w:p>
    <w:p w14:paraId="441D9887" w14:textId="3DFF220A" w:rsidR="003C5CBB" w:rsidRPr="003C5CBB" w:rsidRDefault="00634BAE" w:rsidP="003C5CBB">
      <w:pPr>
        <w:pStyle w:val="BNormal"/>
      </w:pPr>
      <w:r w:rsidRPr="003C5CBB">
        <w:t>One would imagine that for a mark to satisfy the definition of “famous,” its owner would have to be offering goods or services—i.e., making use of the mark—in the United States</w:t>
      </w:r>
      <w:r w:rsidR="003C5CBB" w:rsidRPr="003C5CBB">
        <w:t>. H</w:t>
      </w:r>
      <w:r w:rsidRPr="003C5CBB">
        <w:t>owever, there is nothing in Section 43(c) of the Lanham Act that requires use in the United States</w:t>
      </w:r>
      <w:r w:rsidR="003C5CBB" w:rsidRPr="003C5CBB">
        <w:t>. R</w:t>
      </w:r>
      <w:r w:rsidRPr="003C5CBB">
        <w:t xml:space="preserve">ather, the requirement is of widespread </w:t>
      </w:r>
      <w:r w:rsidR="003C5CBB" w:rsidRPr="003C5CBB">
        <w:rPr>
          <w:i/>
        </w:rPr>
        <w:t>recognition</w:t>
      </w:r>
      <w:r w:rsidRPr="003C5CBB">
        <w:t xml:space="preserve"> of the mark in this country</w:t>
      </w:r>
      <w:r w:rsidR="003C5CBB" w:rsidRPr="003C5CBB">
        <w:t>. M</w:t>
      </w:r>
      <w:r w:rsidRPr="003C5CBB">
        <w:t>oreover, one could point out that, as a signatory to the Paris Convention and the World Trade Organization’s TRIPS Agreement, the United States appears bound to give protection (though not necessarily dilution protection) to marks that are not used in the United States but that have become “well known” in this country.</w:t>
      </w:r>
      <w:r w:rsidR="003C5CBB" w:rsidRPr="003C5CBB">
        <w:rPr>
          <w:vertAlign w:val="superscript"/>
        </w:rPr>
        <w:footnoteReference w:id="310"/>
      </w:r>
      <w:r w:rsidRPr="003C5CBB">
        <w:t xml:space="preserve"> The federal courts of appeals are divided about whether the Lanham Act countenances infringement protection of marks not used in this country under the so-called “famous marks” doctrine.</w:t>
      </w:r>
      <w:r w:rsidR="003C5CBB" w:rsidRPr="003C5CBB">
        <w:rPr>
          <w:vertAlign w:val="superscript"/>
        </w:rPr>
        <w:footnoteReference w:id="311"/>
      </w:r>
      <w:r w:rsidRPr="003C5CBB">
        <w:t xml:space="preserve"> However, as one district court has noted, even if a mark is protected under the famous marks doctrine, it is not necessarily famous for dilution purposes.</w:t>
      </w:r>
      <w:r w:rsidR="003C5CBB" w:rsidRPr="003C5CBB">
        <w:rPr>
          <w:vertAlign w:val="superscript"/>
        </w:rPr>
        <w:footnoteReference w:id="312"/>
      </w:r>
    </w:p>
    <w:p w14:paraId="1BD8C930" w14:textId="7FC99C64" w:rsidR="003C5CBB" w:rsidRPr="003C5CBB" w:rsidRDefault="00634BAE" w:rsidP="003C5CBB">
      <w:pPr>
        <w:pStyle w:val="BNormal"/>
      </w:pPr>
      <w:r w:rsidRPr="003C5CBB">
        <w:lastRenderedPageBreak/>
        <w:t>In one of its relatively few precedential dilution decisions, the Trademark Trial and Appeal Board confronted this problem.</w:t>
      </w:r>
      <w:r w:rsidR="003C5CBB" w:rsidRPr="003C5CBB">
        <w:rPr>
          <w:vertAlign w:val="superscript"/>
        </w:rPr>
        <w:footnoteReference w:id="313"/>
      </w:r>
      <w:r w:rsidRPr="003C5CBB">
        <w:t xml:space="preserve"> Fiat opposed an application to register Panda for automobiles on the grounds that it would dilute Fiat’s existing Panda mark for automobiles, a mark that is not used in the United States, and that this entitled it to dilution protection</w:t>
      </w:r>
      <w:r w:rsidR="003C5CBB" w:rsidRPr="003C5CBB">
        <w:t>. F</w:t>
      </w:r>
      <w:r w:rsidRPr="003C5CBB">
        <w:t>iat claimed that its mark is well known and famous outside the United States</w:t>
      </w:r>
      <w:r w:rsidR="003C5CBB" w:rsidRPr="003C5CBB">
        <w:t>. A</w:t>
      </w:r>
      <w:r w:rsidRPr="003C5CBB">
        <w:t>fter reviewing the statutory language, the TTAB reasoned that a “mark” as that term is used in Section 43(c) (the “owner of a mark” is entitled to dilution protection) should be interpreted with reference to the definition of a mark in Section 45</w:t>
      </w:r>
      <w:r w:rsidR="003C5CBB" w:rsidRPr="003C5CBB">
        <w:t>. B</w:t>
      </w:r>
      <w:r w:rsidRPr="003C5CBB">
        <w:t>ased on the definition, the TTAB concluded that to oppose on dilution grounds, one should be able to show some sort of use in this country, or intent to use coupled with an application for registration.</w:t>
      </w:r>
      <w:r w:rsidR="003C5CBB" w:rsidRPr="003C5CBB">
        <w:rPr>
          <w:vertAlign w:val="superscript"/>
        </w:rPr>
        <w:footnoteReference w:id="314"/>
      </w:r>
      <w:r w:rsidRPr="003C5CBB">
        <w:t xml:space="preserve"> However, it is important to understand that “use” in this context does not necessarily mean “use in commerce.”</w:t>
      </w:r>
      <w:r w:rsidR="003C5CBB" w:rsidRPr="003C5CBB">
        <w:rPr>
          <w:vertAlign w:val="superscript"/>
        </w:rPr>
        <w:footnoteReference w:id="315"/>
      </w:r>
      <w:r w:rsidRPr="003C5CBB">
        <w:t xml:space="preserve"> Rather, it includes “use analogous to trademark use, or some other activity sufficient to create an association between a mark and a particular source of goods.”</w:t>
      </w:r>
      <w:r w:rsidR="003C5CBB" w:rsidRPr="003C5CBB">
        <w:rPr>
          <w:vertAlign w:val="superscript"/>
        </w:rPr>
        <w:footnoteReference w:id="316"/>
      </w:r>
      <w:r w:rsidRPr="003C5CBB">
        <w:t xml:space="preserve"> Moreover, although it clearly anticipated that the requisite activity would occur in the United States, the TTAB did allow for the possibility that a mark could be famous in the United States solely as a result of activity occurring outside the country.</w:t>
      </w:r>
      <w:r w:rsidR="003C5CBB" w:rsidRPr="003C5CBB">
        <w:rPr>
          <w:vertAlign w:val="superscript"/>
        </w:rPr>
        <w:footnoteReference w:id="317"/>
      </w:r>
      <w:r w:rsidRPr="003C5CBB">
        <w:t xml:space="preserve"> In this case, however, the complaint failed to allege any facts from which one could infer sufficient renown </w:t>
      </w:r>
      <w:r w:rsidR="003C5CBB" w:rsidRPr="003C5CBB">
        <w:rPr>
          <w:i/>
        </w:rPr>
        <w:t>in the United States</w:t>
      </w:r>
      <w:r w:rsidRPr="003C5CBB">
        <w:t>, and, accordingly, the dilution claim was dismissed.</w:t>
      </w:r>
      <w:r w:rsidR="003C5CBB" w:rsidRPr="003C5CBB">
        <w:rPr>
          <w:vertAlign w:val="superscript"/>
        </w:rPr>
        <w:footnoteReference w:id="318"/>
      </w:r>
    </w:p>
    <w:p w14:paraId="4AB09012" w14:textId="7481A275" w:rsidR="003C5CBB" w:rsidRPr="003C5CBB" w:rsidRDefault="00634BAE" w:rsidP="003C5CBB">
      <w:pPr>
        <w:pStyle w:val="BNormal"/>
      </w:pPr>
      <w:r w:rsidRPr="003C5CBB">
        <w:t xml:space="preserve">In a footnote in a subsequent non-precedential decision, the TTAB reiterated its statement from </w:t>
      </w:r>
      <w:r w:rsidR="003C5CBB" w:rsidRPr="003C5CBB">
        <w:rPr>
          <w:i/>
        </w:rPr>
        <w:t xml:space="preserve">Fiat </w:t>
      </w:r>
      <w:r w:rsidRPr="003C5CBB">
        <w:t>that fame might be found through activity outside the United States although again, there was no evidence in the record of any fame at all.</w:t>
      </w:r>
      <w:r w:rsidR="003C5CBB" w:rsidRPr="003C5CBB">
        <w:rPr>
          <w:vertAlign w:val="superscript"/>
        </w:rPr>
        <w:footnoteReference w:id="319"/>
      </w:r>
      <w:r w:rsidRPr="003C5CBB">
        <w:t xml:space="preserve"> That the TTAB bothered to insert the footnote is at least worthy of notice, even if the decision is not precedential.</w:t>
      </w:r>
    </w:p>
    <w:p w14:paraId="2C4F545D" w14:textId="6291F24C" w:rsidR="003C5CBB" w:rsidRPr="003C5CBB" w:rsidRDefault="00634BAE" w:rsidP="003C5CBB">
      <w:pPr>
        <w:pStyle w:val="BNormal"/>
      </w:pPr>
      <w:r w:rsidRPr="003C5CBB">
        <w:t>However, a district court in California has asserted that a plaintiff must be using the mark in commerce (in the United States) to assert a dilution claim, although this appears to be based on a misreading of an earlier Ninth Circuit case.</w:t>
      </w:r>
      <w:r w:rsidR="003C5CBB" w:rsidRPr="003C5CBB">
        <w:rPr>
          <w:vertAlign w:val="superscript"/>
        </w:rPr>
        <w:footnoteReference w:id="320"/>
      </w:r>
    </w:p>
    <w:p w14:paraId="70347C25" w14:textId="0A448655" w:rsidR="003C5CBB" w:rsidRPr="003C5CBB" w:rsidRDefault="00634BAE" w:rsidP="003C5CBB">
      <w:pPr>
        <w:pStyle w:val="BNormal"/>
      </w:pPr>
      <w:r w:rsidRPr="003C5CBB">
        <w:t xml:space="preserve">An interesting twist on this problem occurred in </w:t>
      </w:r>
      <w:r w:rsidR="003C5CBB" w:rsidRPr="003C5CBB">
        <w:rPr>
          <w:rStyle w:val="BCasenamefull"/>
        </w:rPr>
        <w:t>General Cigar Co. v. Cohiba Carribean’s Finest, Inc.</w:t>
      </w:r>
      <w:r w:rsidR="003C5CBB" w:rsidRPr="003C5CBB">
        <w:rPr>
          <w:vertAlign w:val="superscript"/>
        </w:rPr>
        <w:footnoteReference w:id="321"/>
      </w:r>
      <w:r w:rsidRPr="003C5CBB">
        <w:t xml:space="preserve"> There, General Cigar sued a company that was using COHIBA in connection with its cigars.</w:t>
      </w:r>
      <w:r w:rsidR="003C5CBB" w:rsidRPr="003C5CBB">
        <w:rPr>
          <w:vertAlign w:val="superscript"/>
        </w:rPr>
        <w:footnoteReference w:id="322"/>
      </w:r>
      <w:r w:rsidRPr="003C5CBB">
        <w:t xml:space="preserve"> GC has registered the mark in the United States.</w:t>
      </w:r>
      <w:r w:rsidR="003C5CBB" w:rsidRPr="003C5CBB">
        <w:rPr>
          <w:vertAlign w:val="superscript"/>
        </w:rPr>
        <w:footnoteReference w:id="323"/>
      </w:r>
      <w:r w:rsidRPr="003C5CBB">
        <w:t xml:space="preserve"> However, defendant contended that the fame of the COHIBA mark comes from its </w:t>
      </w:r>
      <w:r w:rsidRPr="003C5CBB">
        <w:lastRenderedPageBreak/>
        <w:t>use on Cuban cigars, which plaintiff does not—and cannot—sell.</w:t>
      </w:r>
      <w:r w:rsidR="003C5CBB" w:rsidRPr="003C5CBB">
        <w:rPr>
          <w:vertAlign w:val="superscript"/>
        </w:rPr>
        <w:footnoteReference w:id="324"/>
      </w:r>
      <w:r w:rsidRPr="003C5CBB">
        <w:t xml:space="preserve"> The court rejected this argument, calling it a “</w:t>
      </w:r>
      <w:r w:rsidR="003C5CBB" w:rsidRPr="003C5CBB">
        <w:rPr>
          <w:i/>
        </w:rPr>
        <w:t>jus tertii</w:t>
      </w:r>
      <w:r w:rsidRPr="003C5CBB">
        <w:t>” defense (one attacking the ownership right of the plaintiff), which it stated would not be recognized in a trademark suit.</w:t>
      </w:r>
      <w:r w:rsidR="003C5CBB" w:rsidRPr="003C5CBB">
        <w:rPr>
          <w:vertAlign w:val="superscript"/>
        </w:rPr>
        <w:footnoteReference w:id="325"/>
      </w:r>
      <w:r w:rsidRPr="003C5CBB">
        <w:t xml:space="preserve"> However, if in fact the COHIBA brand owes its fame to someone unconnected with plaintiff, is it appropriate to allow a </w:t>
      </w:r>
      <w:r w:rsidR="003C5CBB" w:rsidRPr="003C5CBB">
        <w:rPr>
          <w:i/>
        </w:rPr>
        <w:t>dilution</w:t>
      </w:r>
      <w:r w:rsidRPr="003C5CBB">
        <w:t xml:space="preserve"> claim in favor of someone whose own goodwill depends on a third party</w:t>
      </w:r>
      <w:r w:rsidR="003C5CBB" w:rsidRPr="003C5CBB">
        <w:t>? (</w:t>
      </w:r>
      <w:r w:rsidRPr="003C5CBB">
        <w:t>An infringement claim, to protect the public from confusion, seems more appropriate.)</w:t>
      </w:r>
    </w:p>
    <w:p w14:paraId="6A7F0E26" w14:textId="13B1602A" w:rsidR="003C5CBB" w:rsidRPr="003C5CBB" w:rsidRDefault="008B3068" w:rsidP="008B3068">
      <w:pPr>
        <w:pStyle w:val="BHead2"/>
      </w:pPr>
      <w:r>
        <w:t>8.III.</w:t>
      </w:r>
      <w:r w:rsidR="003C5CBB" w:rsidRPr="008B3068">
        <w:rPr>
          <w:rStyle w:val="BBNAidChar"/>
          <w:rFonts w:eastAsiaTheme="majorEastAsia"/>
        </w:rPr>
        <w:t>D</w:t>
      </w:r>
      <w:r w:rsidR="003C5CBB" w:rsidRPr="003C5CBB">
        <w:t>.</w:t>
      </w:r>
      <w:r>
        <w:t> </w:t>
      </w:r>
      <w:r w:rsidR="003C5CBB" w:rsidRPr="003C5CBB">
        <w:tab/>
        <w:t>Court Opinions Before the TDRA and Their Continued Relevance After the TDRA</w:t>
      </w:r>
    </w:p>
    <w:p w14:paraId="615DA943" w14:textId="16C2EABA" w:rsidR="003C5CBB" w:rsidRPr="003C5CBB" w:rsidRDefault="008B3068" w:rsidP="008B3068">
      <w:pPr>
        <w:pStyle w:val="BHead3"/>
      </w:pPr>
      <w:r>
        <w:t>8.III.D.</w:t>
      </w:r>
      <w:r w:rsidR="003C5CBB" w:rsidRPr="008B3068">
        <w:rPr>
          <w:rStyle w:val="BBNAidChar"/>
          <w:rFonts w:eastAsiaTheme="majorEastAsia"/>
        </w:rPr>
        <w:t>1</w:t>
      </w:r>
      <w:r w:rsidR="003C5CBB" w:rsidRPr="003C5CBB">
        <w:t>.</w:t>
      </w:r>
      <w:r>
        <w:t> </w:t>
      </w:r>
      <w:r w:rsidR="003C5CBB" w:rsidRPr="003C5CBB">
        <w:tab/>
        <w:t>Overview of Pre-TDRA Court Opinions</w:t>
      </w:r>
    </w:p>
    <w:p w14:paraId="61572D9F" w14:textId="58141606" w:rsidR="003C5CBB" w:rsidRPr="003C5CBB" w:rsidRDefault="00634BAE" w:rsidP="003C5CBB">
      <w:pPr>
        <w:pStyle w:val="BNormal"/>
      </w:pPr>
      <w:r w:rsidRPr="003C5CBB">
        <w:t xml:space="preserve">Court opinions </w:t>
      </w:r>
      <w:proofErr w:type="gramStart"/>
      <w:r w:rsidRPr="003C5CBB">
        <w:t>interpreting</w:t>
      </w:r>
      <w:proofErr w:type="gramEnd"/>
      <w:r w:rsidRPr="003C5CBB">
        <w:t xml:space="preserve"> federal law prior to the TDRA followed three basic paths when discussing whether a mark was famous</w:t>
      </w:r>
      <w:r w:rsidR="003C5CBB" w:rsidRPr="003C5CBB">
        <w:t>. A</w:t>
      </w:r>
      <w:r w:rsidRPr="003C5CBB">
        <w:t>s is still true under the TDRA, defendants often conceded (sometimes perhaps precipitously) that the plaintiff’s mark was famous.</w:t>
      </w:r>
      <w:r w:rsidR="003C5CBB" w:rsidRPr="003C5CBB">
        <w:rPr>
          <w:vertAlign w:val="superscript"/>
        </w:rPr>
        <w:footnoteReference w:id="326"/>
      </w:r>
      <w:r w:rsidRPr="003C5CBB">
        <w:t xml:space="preserve"> In those cases, obviously, there was little or no discussion of the issue beyond a statement of the concession</w:t>
      </w:r>
      <w:r w:rsidR="003C5CBB" w:rsidRPr="003C5CBB">
        <w:t>. I</w:t>
      </w:r>
      <w:r w:rsidRPr="003C5CBB">
        <w:t>n a second set of cases, there was a discussion of fame, but it was very cursory.</w:t>
      </w:r>
      <w:r w:rsidR="003C5CBB" w:rsidRPr="003C5CBB">
        <w:rPr>
          <w:vertAlign w:val="superscript"/>
        </w:rPr>
        <w:footnoteReference w:id="327"/>
      </w:r>
      <w:r w:rsidRPr="003C5CBB">
        <w:t xml:space="preserve"> Finally, there were cases in which the court conducted a </w:t>
      </w:r>
      <w:proofErr w:type="gramStart"/>
      <w:r w:rsidRPr="003C5CBB">
        <w:t>more or less complete</w:t>
      </w:r>
      <w:proofErr w:type="gramEnd"/>
      <w:r w:rsidRPr="003C5CBB">
        <w:t xml:space="preserve"> analysis of fame, some engaging in </w:t>
      </w:r>
      <w:proofErr w:type="gramStart"/>
      <w:r w:rsidRPr="003C5CBB">
        <w:t>fairly extensive</w:t>
      </w:r>
      <w:proofErr w:type="gramEnd"/>
      <w:r w:rsidRPr="003C5CBB">
        <w:t xml:space="preserve"> discussions.</w:t>
      </w:r>
      <w:r w:rsidR="003C5CBB" w:rsidRPr="003C5CBB">
        <w:rPr>
          <w:vertAlign w:val="superscript"/>
        </w:rPr>
        <w:footnoteReference w:id="328"/>
      </w:r>
      <w:r w:rsidRPr="003C5CBB">
        <w:t xml:space="preserve"> This latter category encompassed a rather broad range of discussions.</w:t>
      </w:r>
    </w:p>
    <w:p w14:paraId="4AC97A53" w14:textId="54CF05C2" w:rsidR="003C5CBB" w:rsidRPr="003C5CBB" w:rsidRDefault="00634BAE" w:rsidP="003C5CBB">
      <w:pPr>
        <w:pStyle w:val="BNormal"/>
      </w:pPr>
      <w:r w:rsidRPr="003C5CBB">
        <w:lastRenderedPageBreak/>
        <w:t>One court, apparently seeking a pragmatic approach to the analysis of fame, stated that “most courts take an approach more akin to Justice Stewart’s test for obscenity</w:t>
      </w:r>
      <w:r w:rsidR="003C5CBB" w:rsidRPr="003C5CBB">
        <w:t>: w</w:t>
      </w:r>
      <w:r w:rsidRPr="003C5CBB">
        <w:t>e know it when we see it.”</w:t>
      </w:r>
      <w:r w:rsidR="003C5CBB" w:rsidRPr="003C5CBB">
        <w:rPr>
          <w:vertAlign w:val="superscript"/>
        </w:rPr>
        <w:footnoteReference w:id="329"/>
      </w:r>
      <w:r w:rsidRPr="003C5CBB">
        <w:t xml:space="preserve"> This attitude may reflect the lack of a guiding definition under the FTDA</w:t>
      </w:r>
      <w:r w:rsidR="003C5CBB" w:rsidRPr="003C5CBB">
        <w:t>. A</w:t>
      </w:r>
      <w:r w:rsidRPr="003C5CBB">
        <w:t>lthough the TDRA definition is not perfectly clear, it does provide greater direction and circumscribes the analysis</w:t>
      </w:r>
      <w:r w:rsidR="003C5CBB" w:rsidRPr="003C5CBB">
        <w:t>. T</w:t>
      </w:r>
      <w:r w:rsidRPr="003C5CBB">
        <w:t>he same court noted that the mark in question—SIIA—had not achieved the level of recognition of the classically famous marks such as Coca-Cola, Kodak, and Rolls-Royce.</w:t>
      </w:r>
      <w:r w:rsidR="003C5CBB" w:rsidRPr="003C5CBB">
        <w:rPr>
          <w:vertAlign w:val="superscript"/>
        </w:rPr>
        <w:footnoteReference w:id="330"/>
      </w:r>
      <w:r w:rsidRPr="003C5CBB">
        <w:t xml:space="preserve"> Moreover, the founder of the plaintiff company conceded that the renown of the mark was not on the level of that for Coca-Cola.</w:t>
      </w:r>
      <w:r w:rsidR="003C5CBB" w:rsidRPr="003C5CBB">
        <w:rPr>
          <w:vertAlign w:val="superscript"/>
        </w:rPr>
        <w:footnoteReference w:id="331"/>
      </w:r>
      <w:r w:rsidRPr="003C5CBB">
        <w:t xml:space="preserve"> This opinion is more in line with later FTDA cases and many TDRA cases.</w:t>
      </w:r>
    </w:p>
    <w:p w14:paraId="33C8766F" w14:textId="5E3E47AB" w:rsidR="003C5CBB" w:rsidRPr="003C5CBB" w:rsidRDefault="00634BAE" w:rsidP="003C5CBB">
      <w:pPr>
        <w:pStyle w:val="BNormal"/>
      </w:pPr>
      <w:r w:rsidRPr="003C5CBB">
        <w:t>When discussing pre-TDRA cases, it is advisable to use caution</w:t>
      </w:r>
      <w:r w:rsidR="003C5CBB" w:rsidRPr="003C5CBB">
        <w:t>. S</w:t>
      </w:r>
      <w:r w:rsidRPr="003C5CBB">
        <w:t xml:space="preserve">everal courts of appeals formerly permitted marks to be considered famous if they were famous in a “niche” market—that is, even if they were not known to the </w:t>
      </w:r>
      <w:proofErr w:type="gramStart"/>
      <w:r w:rsidRPr="003C5CBB">
        <w:t>general public</w:t>
      </w:r>
      <w:proofErr w:type="gramEnd"/>
      <w:r w:rsidR="003C5CBB" w:rsidRPr="003C5CBB">
        <w:t>. T</w:t>
      </w:r>
      <w:r w:rsidRPr="003C5CBB">
        <w:t>hat form of fame was eliminated by the TDRA.</w:t>
      </w:r>
    </w:p>
    <w:p w14:paraId="0682F122" w14:textId="04372048" w:rsidR="003C5CBB" w:rsidRPr="003C5CBB" w:rsidRDefault="00634BAE" w:rsidP="003C5CBB">
      <w:pPr>
        <w:pStyle w:val="BNormal"/>
      </w:pPr>
      <w:r w:rsidRPr="003C5CBB">
        <w:t>In several cases from the first two years after the FTDA was enacted, courts determined marks to be famous based on tenuous evidence.</w:t>
      </w:r>
      <w:r w:rsidR="003C5CBB" w:rsidRPr="003C5CBB">
        <w:rPr>
          <w:vertAlign w:val="superscript"/>
        </w:rPr>
        <w:footnoteReference w:id="332"/>
      </w:r>
      <w:r w:rsidRPr="003C5CBB">
        <w:t xml:space="preserve"> Some of these cases appeared to rely largely on the fact that the mark was coined or arbitrary.</w:t>
      </w:r>
      <w:r w:rsidR="003C5CBB" w:rsidRPr="003C5CBB">
        <w:rPr>
          <w:vertAlign w:val="superscript"/>
        </w:rPr>
        <w:footnoteReference w:id="333"/>
      </w:r>
      <w:r w:rsidRPr="003C5CBB">
        <w:t xml:space="preserve"> Others relied on a showing that the mark was “strong” combined with advertising figures, without requiring the plaintiff to show that the advertising succeeded in making the public regard the mark as famous.</w:t>
      </w:r>
      <w:r w:rsidR="003C5CBB" w:rsidRPr="003C5CBB">
        <w:rPr>
          <w:vertAlign w:val="superscript"/>
        </w:rPr>
        <w:footnoteReference w:id="334"/>
      </w:r>
    </w:p>
    <w:p w14:paraId="2B707AFA" w14:textId="5B8B67E9" w:rsidR="003C5CBB" w:rsidRPr="003C5CBB" w:rsidRDefault="00634BAE" w:rsidP="003C5CBB">
      <w:pPr>
        <w:pStyle w:val="BNormal"/>
      </w:pPr>
      <w:r w:rsidRPr="003C5CBB">
        <w:t>However, as cases made their way to the courts of appeals, a more rigorous standard for determining fame emerged</w:t>
      </w:r>
      <w:r w:rsidR="003C5CBB" w:rsidRPr="003C5CBB">
        <w:t>. T</w:t>
      </w:r>
      <w:r w:rsidRPr="003C5CBB">
        <w:t>wo of the more cited appellate decisions stand out</w:t>
      </w:r>
      <w:r w:rsidR="003C5CBB" w:rsidRPr="003C5CBB">
        <w:t xml:space="preserve">: </w:t>
      </w:r>
      <w:r w:rsidR="003C5CBB" w:rsidRPr="003C5CBB">
        <w:rPr>
          <w:i/>
        </w:rPr>
        <w:t>Avery Dennison Corp</w:t>
      </w:r>
      <w:r w:rsidR="003C5CBB" w:rsidRPr="003C5CBB">
        <w:t xml:space="preserve">. </w:t>
      </w:r>
      <w:r w:rsidR="003C5CBB" w:rsidRPr="003C5CBB">
        <w:rPr>
          <w:i/>
        </w:rPr>
        <w:t>v</w:t>
      </w:r>
      <w:r w:rsidR="003C5CBB" w:rsidRPr="003C5CBB">
        <w:t xml:space="preserve">. </w:t>
      </w:r>
      <w:r w:rsidR="003C5CBB" w:rsidRPr="003C5CBB">
        <w:rPr>
          <w:i/>
        </w:rPr>
        <w:t>Sumpton</w:t>
      </w:r>
      <w:r w:rsidR="003C5CBB" w:rsidRPr="003C5CBB">
        <w:rPr>
          <w:vertAlign w:val="superscript"/>
        </w:rPr>
        <w:footnoteReference w:id="335"/>
      </w:r>
      <w:r w:rsidRPr="003C5CBB">
        <w:t xml:space="preserve"> and </w:t>
      </w:r>
      <w:r w:rsidR="003C5CBB" w:rsidRPr="003C5CBB">
        <w:rPr>
          <w:i/>
        </w:rPr>
        <w:t>I</w:t>
      </w:r>
      <w:r w:rsidRPr="003C5CBB">
        <w:t>.</w:t>
      </w:r>
      <w:r w:rsidR="003C5CBB" w:rsidRPr="003C5CBB">
        <w:rPr>
          <w:i/>
        </w:rPr>
        <w:t>P</w:t>
      </w:r>
      <w:r w:rsidR="003C5CBB" w:rsidRPr="003C5CBB">
        <w:t xml:space="preserve">. </w:t>
      </w:r>
      <w:r w:rsidR="003C5CBB" w:rsidRPr="003C5CBB">
        <w:rPr>
          <w:i/>
        </w:rPr>
        <w:t>Lund Trading ApS v</w:t>
      </w:r>
      <w:r w:rsidR="003C5CBB" w:rsidRPr="003C5CBB">
        <w:t xml:space="preserve">. </w:t>
      </w:r>
      <w:r w:rsidR="003C5CBB" w:rsidRPr="003C5CBB">
        <w:rPr>
          <w:i/>
        </w:rPr>
        <w:t>Kohler Co</w:t>
      </w:r>
      <w:r w:rsidRPr="003C5CBB">
        <w:t>.</w:t>
      </w:r>
      <w:r w:rsidR="003C5CBB" w:rsidRPr="003C5CBB">
        <w:rPr>
          <w:vertAlign w:val="superscript"/>
        </w:rPr>
        <w:footnoteReference w:id="336"/>
      </w:r>
    </w:p>
    <w:p w14:paraId="1B0BD47B" w14:textId="2F6AF8E0" w:rsidR="003C5CBB" w:rsidRPr="003C5CBB" w:rsidRDefault="003C5CBB" w:rsidP="003C5CBB">
      <w:pPr>
        <w:pStyle w:val="BNormal"/>
      </w:pPr>
      <w:r w:rsidRPr="003C5CBB">
        <w:rPr>
          <w:i/>
        </w:rPr>
        <w:t>I</w:t>
      </w:r>
      <w:r w:rsidR="00634BAE" w:rsidRPr="003C5CBB">
        <w:t>.</w:t>
      </w:r>
      <w:r w:rsidRPr="003C5CBB">
        <w:rPr>
          <w:i/>
        </w:rPr>
        <w:t>P</w:t>
      </w:r>
      <w:r w:rsidRPr="003C5CBB">
        <w:t xml:space="preserve">. </w:t>
      </w:r>
      <w:r w:rsidRPr="003C5CBB">
        <w:rPr>
          <w:i/>
        </w:rPr>
        <w:t>Lund</w:t>
      </w:r>
      <w:r w:rsidR="00634BAE" w:rsidRPr="003C5CBB">
        <w:t xml:space="preserve"> was a dispute over the design of a faucet</w:t>
      </w:r>
      <w:r w:rsidRPr="003C5CBB">
        <w:t>. T</w:t>
      </w:r>
      <w:r w:rsidR="00634BAE" w:rsidRPr="003C5CBB">
        <w:t>he district court found the design to be famous, but the court of appeals demurred</w:t>
      </w:r>
      <w:r w:rsidRPr="003C5CBB">
        <w:t>. T</w:t>
      </w:r>
      <w:r w:rsidR="00634BAE" w:rsidRPr="003C5CBB">
        <w:t>he First Circuit began with the proposition that protection under the FTDA requires that “a mark ha[s] to be truly prominent and renowned,”</w:t>
      </w:r>
      <w:r w:rsidRPr="003C5CBB">
        <w:rPr>
          <w:vertAlign w:val="superscript"/>
        </w:rPr>
        <w:footnoteReference w:id="337"/>
      </w:r>
      <w:r w:rsidR="00634BAE" w:rsidRPr="003C5CBB">
        <w:t xml:space="preserve"> and “that courts should be discriminating and </w:t>
      </w:r>
      <w:r w:rsidR="00634BAE" w:rsidRPr="003C5CBB">
        <w:lastRenderedPageBreak/>
        <w:t>selective in categorizing a mark as famous.”</w:t>
      </w:r>
      <w:r w:rsidRPr="003C5CBB">
        <w:rPr>
          <w:vertAlign w:val="superscript"/>
        </w:rPr>
        <w:footnoteReference w:id="338"/>
      </w:r>
      <w:r w:rsidR="00634BAE" w:rsidRPr="003C5CBB">
        <w:t xml:space="preserve"> Thus, the </w:t>
      </w:r>
      <w:r w:rsidRPr="003C5CBB">
        <w:rPr>
          <w:i/>
        </w:rPr>
        <w:t>Lund</w:t>
      </w:r>
      <w:r w:rsidR="00634BAE" w:rsidRPr="003C5CBB">
        <w:t xml:space="preserve"> court made clear that the test for fame was significantly more rigorous than the test for distinctiveness.</w:t>
      </w:r>
    </w:p>
    <w:p w14:paraId="54B8F518" w14:textId="1F84C06F" w:rsidR="003C5CBB" w:rsidRPr="003C5CBB" w:rsidRDefault="00634BAE" w:rsidP="003C5CBB">
      <w:pPr>
        <w:pStyle w:val="BNormal"/>
      </w:pPr>
      <w:r w:rsidRPr="003C5CBB">
        <w:t xml:space="preserve">The second appellate case, </w:t>
      </w:r>
      <w:r w:rsidR="003C5CBB" w:rsidRPr="003C5CBB">
        <w:rPr>
          <w:i/>
        </w:rPr>
        <w:t>Avery Dennison Corp</w:t>
      </w:r>
      <w:r w:rsidR="003C5CBB" w:rsidRPr="003C5CBB">
        <w:t xml:space="preserve">. </w:t>
      </w:r>
      <w:r w:rsidR="003C5CBB" w:rsidRPr="003C5CBB">
        <w:rPr>
          <w:i/>
        </w:rPr>
        <w:t>v</w:t>
      </w:r>
      <w:r w:rsidR="003C5CBB" w:rsidRPr="003C5CBB">
        <w:t xml:space="preserve">. </w:t>
      </w:r>
      <w:r w:rsidR="003C5CBB" w:rsidRPr="003C5CBB">
        <w:rPr>
          <w:i/>
        </w:rPr>
        <w:t>Sumpton</w:t>
      </w:r>
      <w:r w:rsidRPr="003C5CBB">
        <w:t>,</w:t>
      </w:r>
      <w:r w:rsidR="003C5CBB" w:rsidRPr="003C5CBB">
        <w:rPr>
          <w:vertAlign w:val="superscript"/>
        </w:rPr>
        <w:footnoteReference w:id="339"/>
      </w:r>
      <w:r w:rsidRPr="003C5CBB">
        <w:t xml:space="preserve"> involved a conflict over Internet domain names</w:t>
      </w:r>
      <w:r w:rsidR="003C5CBB" w:rsidRPr="003C5CBB">
        <w:t>. T</w:t>
      </w:r>
      <w:r w:rsidRPr="003C5CBB">
        <w:t>he defendant registered thousands of domain names to lease as “vanity e-mail addresses,” including the names “avery.net” and “dennison.net.”</w:t>
      </w:r>
      <w:r w:rsidR="003C5CBB" w:rsidRPr="003C5CBB">
        <w:rPr>
          <w:vertAlign w:val="superscript"/>
        </w:rPr>
        <w:footnoteReference w:id="340"/>
      </w:r>
      <w:r w:rsidRPr="003C5CBB">
        <w:t xml:space="preserve"> Avery Dennison claimed that these diluted its trademarks, which were used in Internet domain registrations “avery.com” and “averydennison.com.”</w:t>
      </w:r>
      <w:r w:rsidR="003C5CBB" w:rsidRPr="003C5CBB">
        <w:rPr>
          <w:vertAlign w:val="superscript"/>
        </w:rPr>
        <w:footnoteReference w:id="341"/>
      </w:r>
      <w:r w:rsidRPr="003C5CBB">
        <w:t xml:space="preserve"> Like the First Circuit in </w:t>
      </w:r>
      <w:r w:rsidR="003C5CBB" w:rsidRPr="003C5CBB">
        <w:rPr>
          <w:i/>
        </w:rPr>
        <w:t>Lund</w:t>
      </w:r>
      <w:r w:rsidRPr="003C5CBB">
        <w:t>, the Ninth Circuit began with the proposition that the FTDA’s limitation to famous marks meant that a much higher showing was needed to demonstrate protectability under the FTDA than is required for ordinary trademark infringement.</w:t>
      </w:r>
      <w:r w:rsidR="003C5CBB" w:rsidRPr="003C5CBB">
        <w:rPr>
          <w:vertAlign w:val="superscript"/>
        </w:rPr>
        <w:footnoteReference w:id="342"/>
      </w:r>
      <w:r w:rsidRPr="003C5CBB">
        <w:t xml:space="preserve"> Noting that dilution claims “tread very close to granting ‘rights in gross’ in a trademark,” the court viewed the requirement of fame as keeping dilution from overwhelming trademark-infringement claims.</w:t>
      </w:r>
      <w:r w:rsidR="003C5CBB" w:rsidRPr="003C5CBB">
        <w:rPr>
          <w:vertAlign w:val="superscript"/>
        </w:rPr>
        <w:footnoteReference w:id="343"/>
      </w:r>
    </w:p>
    <w:p w14:paraId="702CB719" w14:textId="6C7E553F" w:rsidR="003C5CBB" w:rsidRPr="003C5CBB" w:rsidRDefault="00634BAE" w:rsidP="003C5CBB">
      <w:pPr>
        <w:pStyle w:val="BNormal"/>
      </w:pPr>
      <w:r w:rsidRPr="003C5CBB">
        <w:t xml:space="preserve">Taken together, the appellate courts in </w:t>
      </w:r>
      <w:r w:rsidR="003C5CBB" w:rsidRPr="003C5CBB">
        <w:rPr>
          <w:i/>
        </w:rPr>
        <w:t>Lund</w:t>
      </w:r>
      <w:r w:rsidRPr="003C5CBB">
        <w:t xml:space="preserve"> and </w:t>
      </w:r>
      <w:r w:rsidR="003C5CBB" w:rsidRPr="003C5CBB">
        <w:rPr>
          <w:i/>
        </w:rPr>
        <w:t>Avery Dennison</w:t>
      </w:r>
      <w:r w:rsidRPr="003C5CBB">
        <w:t xml:space="preserve"> admonished district courts to conduct a careful examination of fame, with a skeptical eye, in a manner </w:t>
      </w:r>
      <w:proofErr w:type="gramStart"/>
      <w:r w:rsidRPr="003C5CBB">
        <w:t>fairly consistent</w:t>
      </w:r>
      <w:proofErr w:type="gramEnd"/>
      <w:r w:rsidRPr="003C5CBB">
        <w:t xml:space="preserve"> with the TDRA definition</w:t>
      </w:r>
      <w:r w:rsidR="003C5CBB" w:rsidRPr="003C5CBB">
        <w:t>. B</w:t>
      </w:r>
      <w:r w:rsidRPr="003C5CBB">
        <w:t>oth courts emphasized the need to show much more than the minimum that the factors in the statute seem to permit</w:t>
      </w:r>
      <w:r w:rsidR="003C5CBB" w:rsidRPr="003C5CBB">
        <w:t>. I</w:t>
      </w:r>
      <w:r w:rsidRPr="003C5CBB">
        <w:t xml:space="preserve">ndeed, the </w:t>
      </w:r>
      <w:r w:rsidR="003C5CBB" w:rsidRPr="003C5CBB">
        <w:rPr>
          <w:i/>
        </w:rPr>
        <w:t>Avery Dennison</w:t>
      </w:r>
      <w:r w:rsidRPr="003C5CBB">
        <w:t xml:space="preserve"> court noted that the fame factors resemble those used to show secondary meaning.</w:t>
      </w:r>
      <w:r w:rsidR="003C5CBB" w:rsidRPr="003C5CBB">
        <w:rPr>
          <w:vertAlign w:val="superscript"/>
        </w:rPr>
        <w:footnoteReference w:id="344"/>
      </w:r>
      <w:r w:rsidRPr="003C5CBB">
        <w:t xml:space="preserve"> However, it correctly deduced that the FTDA anticipated a greater showing if these factors were to count in favor of a determination of fame</w:t>
      </w:r>
      <w:r w:rsidR="003C5CBB" w:rsidRPr="003C5CBB">
        <w:t>. I</w:t>
      </w:r>
      <w:r w:rsidRPr="003C5CBB">
        <w:t xml:space="preserve">n other words, when deciding whether a particular factor counts in favor of </w:t>
      </w:r>
      <w:proofErr w:type="gramStart"/>
      <w:r w:rsidRPr="003C5CBB">
        <w:t>a finding</w:t>
      </w:r>
      <w:proofErr w:type="gramEnd"/>
      <w:r w:rsidRPr="003C5CBB">
        <w:t xml:space="preserve"> of fame, a court should require that the factor </w:t>
      </w:r>
      <w:r w:rsidR="003C5CBB" w:rsidRPr="003C5CBB">
        <w:rPr>
          <w:i/>
        </w:rPr>
        <w:t>clearly</w:t>
      </w:r>
      <w:r w:rsidRPr="003C5CBB">
        <w:t xml:space="preserve"> favors such a showing</w:t>
      </w:r>
      <w:r w:rsidR="003C5CBB" w:rsidRPr="003C5CBB">
        <w:t>. F</w:t>
      </w:r>
      <w:r w:rsidRPr="003C5CBB">
        <w:t>or example, the first factor in the statute was the degree of inherent or acquired distinctiveness</w:t>
      </w:r>
      <w:r w:rsidR="003C5CBB" w:rsidRPr="003C5CBB">
        <w:t>. S</w:t>
      </w:r>
      <w:r w:rsidRPr="003C5CBB">
        <w:t>imply having sufficient distinctiveness to warrant trademark protection is insufficient to count this factor in favor of the mark being famous</w:t>
      </w:r>
      <w:r w:rsidR="003C5CBB" w:rsidRPr="003C5CBB">
        <w:t>. I</w:t>
      </w:r>
      <w:r w:rsidRPr="003C5CBB">
        <w:t>nstead, inherent or acquired distinctiveness (or secondary meaning) should be much greater for a famous mark than for merely distinctive marks.</w:t>
      </w:r>
      <w:r w:rsidR="003C5CBB" w:rsidRPr="003C5CBB">
        <w:rPr>
          <w:vertAlign w:val="superscript"/>
        </w:rPr>
        <w:footnoteReference w:id="345"/>
      </w:r>
      <w:r w:rsidRPr="003C5CBB">
        <w:t xml:space="preserve"> Similarly, the duration and extent of advertising should be much greater for famous marks than for other marks</w:t>
      </w:r>
      <w:r w:rsidR="003C5CBB" w:rsidRPr="003C5CBB">
        <w:t>. T</w:t>
      </w:r>
      <w:r w:rsidRPr="003C5CBB">
        <w:t>he geographical extent of use should extend to a substantial section of the country for a famous mark</w:t>
      </w:r>
      <w:r w:rsidR="003C5CBB" w:rsidRPr="003C5CBB">
        <w:t>. A</w:t>
      </w:r>
      <w:r w:rsidRPr="003C5CBB">
        <w:t>nd a far lower level of third-party use should be tolerated for a famous mark than for a “distinctive” mark.</w:t>
      </w:r>
      <w:r w:rsidR="003C5CBB" w:rsidRPr="003C5CBB">
        <w:rPr>
          <w:vertAlign w:val="superscript"/>
        </w:rPr>
        <w:footnoteReference w:id="346"/>
      </w:r>
      <w:r w:rsidRPr="003C5CBB">
        <w:t xml:space="preserve"> In short, a “famous” mark is much more than even a “strong” mark.</w:t>
      </w:r>
      <w:r w:rsidR="003C5CBB" w:rsidRPr="003C5CBB">
        <w:rPr>
          <w:vertAlign w:val="superscript"/>
        </w:rPr>
        <w:footnoteReference w:id="347"/>
      </w:r>
      <w:r w:rsidRPr="003C5CBB">
        <w:t xml:space="preserve"> If the analysis were otherwise, fame would be little more than a demonstration of secondary meaning</w:t>
      </w:r>
      <w:r w:rsidR="003C5CBB" w:rsidRPr="003C5CBB">
        <w:t>. T</w:t>
      </w:r>
      <w:r w:rsidRPr="003C5CBB">
        <w:t xml:space="preserve">his is perhaps the most important aspect of the </w:t>
      </w:r>
      <w:r w:rsidR="003C5CBB" w:rsidRPr="003C5CBB">
        <w:rPr>
          <w:i/>
        </w:rPr>
        <w:t>Avery Dennison</w:t>
      </w:r>
      <w:r w:rsidRPr="003C5CBB">
        <w:t xml:space="preserve"> opinion, and it is perfectly consistent with the mode of analysis that should be used under the TDRA.</w:t>
      </w:r>
    </w:p>
    <w:p w14:paraId="0BD7B308" w14:textId="1E47A3FD" w:rsidR="003C5CBB" w:rsidRPr="003C5CBB" w:rsidRDefault="00634BAE" w:rsidP="003C5CBB">
      <w:pPr>
        <w:pStyle w:val="BNormal"/>
      </w:pPr>
      <w:r w:rsidRPr="003C5CBB">
        <w:lastRenderedPageBreak/>
        <w:t xml:space="preserve">Moreover, the courts in both </w:t>
      </w:r>
      <w:r w:rsidR="003C5CBB" w:rsidRPr="003C5CBB">
        <w:rPr>
          <w:i/>
        </w:rPr>
        <w:t>Lund</w:t>
      </w:r>
      <w:r w:rsidRPr="003C5CBB">
        <w:t xml:space="preserve"> and </w:t>
      </w:r>
      <w:r w:rsidR="003C5CBB" w:rsidRPr="003C5CBB">
        <w:rPr>
          <w:i/>
        </w:rPr>
        <w:t>Avery Dennison</w:t>
      </w:r>
      <w:r w:rsidRPr="003C5CBB">
        <w:t xml:space="preserve"> properly emphasized the usefulness of well-constructed surveys showing that, </w:t>
      </w:r>
      <w:r w:rsidR="003C5CBB" w:rsidRPr="003C5CBB">
        <w:rPr>
          <w:i/>
        </w:rPr>
        <w:t>in fact</w:t>
      </w:r>
      <w:r w:rsidRPr="003C5CBB">
        <w:t>, the mark was perceived by the public as famous.</w:t>
      </w:r>
      <w:r w:rsidR="003C5CBB" w:rsidRPr="003C5CBB">
        <w:rPr>
          <w:vertAlign w:val="superscript"/>
        </w:rPr>
        <w:footnoteReference w:id="348"/>
      </w:r>
      <w:r w:rsidRPr="003C5CBB">
        <w:t xml:space="preserve"> The fame factors are simply indirect evidence of the ultimate perception.</w:t>
      </w:r>
    </w:p>
    <w:p w14:paraId="17F118B9" w14:textId="32BA0184" w:rsidR="003C5CBB" w:rsidRPr="003C5CBB" w:rsidRDefault="00634BAE" w:rsidP="003C5CBB">
      <w:pPr>
        <w:pStyle w:val="BNormal"/>
      </w:pPr>
      <w:r w:rsidRPr="003C5CBB">
        <w:t xml:space="preserve">Another example of a more skeptical approach to the issue of fame was </w:t>
      </w:r>
      <w:r w:rsidR="003C5CBB" w:rsidRPr="003C5CBB">
        <w:rPr>
          <w:i/>
        </w:rPr>
        <w:t>TCPIP Holding Co</w:t>
      </w:r>
      <w:r w:rsidR="003C5CBB" w:rsidRPr="003C5CBB">
        <w:t xml:space="preserve">. </w:t>
      </w:r>
      <w:r w:rsidR="003C5CBB" w:rsidRPr="003C5CBB">
        <w:rPr>
          <w:i/>
        </w:rPr>
        <w:t>v</w:t>
      </w:r>
      <w:r w:rsidR="003C5CBB" w:rsidRPr="003C5CBB">
        <w:t xml:space="preserve">. </w:t>
      </w:r>
      <w:r w:rsidR="003C5CBB" w:rsidRPr="003C5CBB">
        <w:rPr>
          <w:i/>
        </w:rPr>
        <w:t>Haar Communications, Inc</w:t>
      </w:r>
      <w:r w:rsidRPr="003C5CBB">
        <w:t>.</w:t>
      </w:r>
      <w:r w:rsidR="003C5CBB" w:rsidRPr="003C5CBB">
        <w:rPr>
          <w:vertAlign w:val="superscript"/>
        </w:rPr>
        <w:footnoteReference w:id="349"/>
      </w:r>
      <w:r w:rsidRPr="003C5CBB">
        <w:t xml:space="preserve"> The Second Circuit stated, “we think Congress envisioned that marks would qualify as ‘famous’ only if they carried a substantial degree of fame.”</w:t>
      </w:r>
      <w:r w:rsidR="003C5CBB" w:rsidRPr="003C5CBB">
        <w:rPr>
          <w:vertAlign w:val="superscript"/>
        </w:rPr>
        <w:footnoteReference w:id="350"/>
      </w:r>
    </w:p>
    <w:p w14:paraId="3E3DC554" w14:textId="0FB34BBB" w:rsidR="003C5CBB" w:rsidRPr="003C5CBB" w:rsidRDefault="00634BAE" w:rsidP="003C5CBB">
      <w:pPr>
        <w:pStyle w:val="BNormal"/>
      </w:pPr>
      <w:r w:rsidRPr="003C5CBB">
        <w:t>Several lower courts followed the example of a rigorous approach to examining fame.</w:t>
      </w:r>
      <w:r w:rsidR="003C5CBB" w:rsidRPr="003C5CBB">
        <w:rPr>
          <w:vertAlign w:val="superscript"/>
        </w:rPr>
        <w:footnoteReference w:id="351"/>
      </w:r>
      <w:r w:rsidRPr="003C5CBB">
        <w:t xml:space="preserve"> A good example is </w:t>
      </w:r>
      <w:r w:rsidR="003C5CBB" w:rsidRPr="003C5CBB">
        <w:rPr>
          <w:i/>
        </w:rPr>
        <w:t>Hasbro, Inc</w:t>
      </w:r>
      <w:r w:rsidR="003C5CBB" w:rsidRPr="003C5CBB">
        <w:t xml:space="preserve">. </w:t>
      </w:r>
      <w:r w:rsidR="003C5CBB" w:rsidRPr="003C5CBB">
        <w:rPr>
          <w:i/>
        </w:rPr>
        <w:t>v</w:t>
      </w:r>
      <w:r w:rsidR="003C5CBB" w:rsidRPr="003C5CBB">
        <w:t xml:space="preserve">. </w:t>
      </w:r>
      <w:r w:rsidR="003C5CBB" w:rsidRPr="003C5CBB">
        <w:rPr>
          <w:i/>
        </w:rPr>
        <w:t>Clue Computing, Inc</w:t>
      </w:r>
      <w:r w:rsidRPr="003C5CBB">
        <w:t>.,</w:t>
      </w:r>
      <w:r w:rsidR="003C5CBB" w:rsidRPr="003C5CBB">
        <w:rPr>
          <w:vertAlign w:val="superscript"/>
        </w:rPr>
        <w:footnoteReference w:id="352"/>
      </w:r>
      <w:r w:rsidRPr="003C5CBB">
        <w:t xml:space="preserve"> where a district court held that Hasbro’s Clue mark for a board game was not famous, despite long use of the mark and significant evidence of secondary meaning.</w:t>
      </w:r>
      <w:r w:rsidR="003C5CBB" w:rsidRPr="003C5CBB">
        <w:rPr>
          <w:vertAlign w:val="superscript"/>
        </w:rPr>
        <w:footnoteReference w:id="353"/>
      </w:r>
      <w:r w:rsidRPr="003C5CBB">
        <w:t xml:space="preserve"> The </w:t>
      </w:r>
      <w:r w:rsidR="003C5CBB" w:rsidRPr="003C5CBB">
        <w:rPr>
          <w:i/>
        </w:rPr>
        <w:t>Hasbro</w:t>
      </w:r>
      <w:r w:rsidRPr="003C5CBB">
        <w:t xml:space="preserve"> court cited the </w:t>
      </w:r>
      <w:r w:rsidR="003C5CBB" w:rsidRPr="003C5CBB">
        <w:rPr>
          <w:i/>
        </w:rPr>
        <w:t>Lund</w:t>
      </w:r>
      <w:r w:rsidRPr="003C5CBB">
        <w:t xml:space="preserve"> admonition, as well as third-party uses of the mark, in reaching its conclusion.</w:t>
      </w:r>
      <w:r w:rsidR="003C5CBB" w:rsidRPr="003C5CBB">
        <w:rPr>
          <w:vertAlign w:val="superscript"/>
        </w:rPr>
        <w:footnoteReference w:id="354"/>
      </w:r>
      <w:r w:rsidRPr="003C5CBB">
        <w:t xml:space="preserve"> In the Second Circuit, several district courts interpreted the </w:t>
      </w:r>
      <w:r w:rsidR="003C5CBB" w:rsidRPr="003C5CBB">
        <w:rPr>
          <w:i/>
        </w:rPr>
        <w:t>TCPIP</w:t>
      </w:r>
      <w:r w:rsidRPr="003C5CBB">
        <w:t xml:space="preserve"> decision to mean that only “marks approaching household names” can be considered famous.</w:t>
      </w:r>
      <w:r w:rsidR="003C5CBB" w:rsidRPr="003C5CBB">
        <w:rPr>
          <w:vertAlign w:val="superscript"/>
        </w:rPr>
        <w:footnoteReference w:id="355"/>
      </w:r>
    </w:p>
    <w:p w14:paraId="6AEA7403" w14:textId="2756EC79" w:rsidR="003C5CBB" w:rsidRPr="003C5CBB" w:rsidRDefault="00634BAE" w:rsidP="003C5CBB">
      <w:pPr>
        <w:pStyle w:val="BNormal"/>
      </w:pPr>
      <w:r w:rsidRPr="003C5CBB">
        <w:t xml:space="preserve">Another example is </w:t>
      </w:r>
      <w:r w:rsidR="003C5CBB" w:rsidRPr="003C5CBB">
        <w:rPr>
          <w:i/>
        </w:rPr>
        <w:t>Carnival Corp</w:t>
      </w:r>
      <w:r w:rsidR="003C5CBB" w:rsidRPr="003C5CBB">
        <w:t xml:space="preserve">. </w:t>
      </w:r>
      <w:r w:rsidR="003C5CBB" w:rsidRPr="003C5CBB">
        <w:rPr>
          <w:i/>
        </w:rPr>
        <w:t>v</w:t>
      </w:r>
      <w:r w:rsidR="003C5CBB" w:rsidRPr="003C5CBB">
        <w:t xml:space="preserve">. </w:t>
      </w:r>
      <w:r w:rsidR="003C5CBB" w:rsidRPr="003C5CBB">
        <w:rPr>
          <w:i/>
        </w:rPr>
        <w:t>SeaEscape Casino Cruises, Inc</w:t>
      </w:r>
      <w:r w:rsidRPr="003C5CBB">
        <w:t>.,</w:t>
      </w:r>
      <w:r w:rsidR="003C5CBB" w:rsidRPr="003C5CBB">
        <w:rPr>
          <w:vertAlign w:val="superscript"/>
        </w:rPr>
        <w:footnoteReference w:id="356"/>
      </w:r>
      <w:r w:rsidRPr="003C5CBB">
        <w:t xml:space="preserve"> where the court held that Carnival’s Fun Ship mark was not famous</w:t>
      </w:r>
      <w:r w:rsidR="003C5CBB" w:rsidRPr="003C5CBB">
        <w:t>. C</w:t>
      </w:r>
      <w:r w:rsidRPr="003C5CBB">
        <w:t xml:space="preserve">iting </w:t>
      </w:r>
      <w:r w:rsidR="003C5CBB" w:rsidRPr="003C5CBB">
        <w:rPr>
          <w:i/>
        </w:rPr>
        <w:t>Avery Dennison</w:t>
      </w:r>
      <w:r w:rsidRPr="003C5CBB">
        <w:t>, the court stated that “[i]n order to be famous, a mark must be more than distinctive”;</w:t>
      </w:r>
      <w:r w:rsidR="003C5CBB" w:rsidRPr="003C5CBB">
        <w:rPr>
          <w:vertAlign w:val="superscript"/>
        </w:rPr>
        <w:footnoteReference w:id="357"/>
      </w:r>
      <w:r w:rsidRPr="003C5CBB">
        <w:t xml:space="preserve"> it must be “‘truly prominent and renowned.’”</w:t>
      </w:r>
      <w:r w:rsidR="003C5CBB" w:rsidRPr="003C5CBB">
        <w:rPr>
          <w:vertAlign w:val="superscript"/>
        </w:rPr>
        <w:footnoteReference w:id="358"/>
      </w:r>
      <w:r w:rsidRPr="003C5CBB">
        <w:t xml:space="preserve"> Moreover, although the court acknowledged that Carnival had spent heavily to advertise the mark, it concluded that “extensive advertising and sales are not sufficient to establish fame.”</w:t>
      </w:r>
      <w:r w:rsidR="003C5CBB" w:rsidRPr="003C5CBB">
        <w:rPr>
          <w:vertAlign w:val="superscript"/>
        </w:rPr>
        <w:footnoteReference w:id="359"/>
      </w:r>
    </w:p>
    <w:p w14:paraId="0164856A" w14:textId="74E91525" w:rsidR="003C5CBB" w:rsidRPr="003C5CBB" w:rsidRDefault="00634BAE" w:rsidP="003C5CBB">
      <w:pPr>
        <w:pStyle w:val="BNormal"/>
      </w:pPr>
      <w:r w:rsidRPr="003C5CBB">
        <w:lastRenderedPageBreak/>
        <w:t>In an interesting example of the heightened scrutiny of fame, a court found that a mark could be considered a “famous mark” for purposes of applying the doctrine that a “famous” foreign mark not used in the United States can be protected against a user in the United States,</w:t>
      </w:r>
      <w:r w:rsidR="003C5CBB" w:rsidRPr="003C5CBB">
        <w:rPr>
          <w:vertAlign w:val="superscript"/>
        </w:rPr>
        <w:footnoteReference w:id="360"/>
      </w:r>
      <w:r w:rsidRPr="003C5CBB">
        <w:t xml:space="preserve"> yet not be famous within the meaning of the FTDA.</w:t>
      </w:r>
      <w:r w:rsidR="003C5CBB" w:rsidRPr="003C5CBB">
        <w:rPr>
          <w:vertAlign w:val="superscript"/>
        </w:rPr>
        <w:footnoteReference w:id="361"/>
      </w:r>
    </w:p>
    <w:p w14:paraId="3B7CC6F9" w14:textId="62741D75" w:rsidR="003C5CBB" w:rsidRPr="003C5CBB" w:rsidRDefault="00634BAE" w:rsidP="003C5CBB">
      <w:pPr>
        <w:pStyle w:val="BNormal"/>
      </w:pPr>
      <w:r w:rsidRPr="003C5CBB">
        <w:t>Other courts, however, were not as demanding in their approach to fame.</w:t>
      </w:r>
      <w:r w:rsidR="003C5CBB" w:rsidRPr="003C5CBB">
        <w:rPr>
          <w:vertAlign w:val="superscript"/>
        </w:rPr>
        <w:footnoteReference w:id="362"/>
      </w:r>
      <w:r w:rsidRPr="003C5CBB">
        <w:t xml:space="preserve"> For instance, in </w:t>
      </w:r>
      <w:r w:rsidR="003C5CBB" w:rsidRPr="003C5CBB">
        <w:rPr>
          <w:i/>
        </w:rPr>
        <w:t>Deborah Heart &amp; Lung Center v</w:t>
      </w:r>
      <w:r w:rsidR="003C5CBB" w:rsidRPr="003C5CBB">
        <w:t xml:space="preserve">. </w:t>
      </w:r>
      <w:r w:rsidR="003C5CBB" w:rsidRPr="003C5CBB">
        <w:rPr>
          <w:i/>
        </w:rPr>
        <w:t>Children of the World Foundation, Ltd</w:t>
      </w:r>
      <w:r w:rsidRPr="003C5CBB">
        <w:t>.,</w:t>
      </w:r>
      <w:r w:rsidR="003C5CBB" w:rsidRPr="003C5CBB">
        <w:rPr>
          <w:vertAlign w:val="superscript"/>
        </w:rPr>
        <w:footnoteReference w:id="363"/>
      </w:r>
      <w:r w:rsidRPr="003C5CBB">
        <w:t xml:space="preserve"> the court found the plaintiff’s Children of the World mark to be famous</w:t>
      </w:r>
      <w:r w:rsidR="003C5CBB" w:rsidRPr="003C5CBB">
        <w:t>. T</w:t>
      </w:r>
      <w:r w:rsidRPr="003C5CBB">
        <w:t xml:space="preserve">he court’s opinion contains none of the language found in </w:t>
      </w:r>
      <w:r w:rsidR="003C5CBB" w:rsidRPr="003C5CBB">
        <w:rPr>
          <w:i/>
        </w:rPr>
        <w:t>Lund</w:t>
      </w:r>
      <w:r w:rsidRPr="003C5CBB">
        <w:t xml:space="preserve"> or </w:t>
      </w:r>
      <w:r w:rsidR="003C5CBB" w:rsidRPr="003C5CBB">
        <w:rPr>
          <w:i/>
        </w:rPr>
        <w:t>Avery Dennison</w:t>
      </w:r>
      <w:r w:rsidRPr="003C5CBB">
        <w:t xml:space="preserve"> concerning the narrowness of the category of famous marks</w:t>
      </w:r>
      <w:r w:rsidR="003C5CBB" w:rsidRPr="003C5CBB">
        <w:t>. D</w:t>
      </w:r>
      <w:r w:rsidRPr="003C5CBB">
        <w:t>iscussing the distinctiveness factor, the court identified the mark as “probably suggestive,” implying that this was sufficient to count in the plaintiff’s favor.</w:t>
      </w:r>
      <w:r w:rsidR="003C5CBB" w:rsidRPr="003C5CBB">
        <w:rPr>
          <w:vertAlign w:val="superscript"/>
        </w:rPr>
        <w:footnoteReference w:id="364"/>
      </w:r>
      <w:r w:rsidRPr="003C5CBB">
        <w:t xml:space="preserve"> Fame was likely to be found “within the fields of medicine, and/or medical charities,” not generally.</w:t>
      </w:r>
      <w:r w:rsidR="003C5CBB" w:rsidRPr="003C5CBB">
        <w:rPr>
          <w:vertAlign w:val="superscript"/>
        </w:rPr>
        <w:footnoteReference w:id="365"/>
      </w:r>
      <w:r w:rsidRPr="003C5CBB">
        <w:t xml:space="preserve"> This latter statement, of course, indicates that the mark was probably at best famous in a niche market, which is no longer sufficient since passage of the TDRA.</w:t>
      </w:r>
    </w:p>
    <w:p w14:paraId="7844C4C0" w14:textId="4CCC7859" w:rsidR="003C5CBB" w:rsidRPr="003C5CBB" w:rsidRDefault="00634BAE" w:rsidP="003C5CBB">
      <w:pPr>
        <w:pStyle w:val="BNormal"/>
      </w:pPr>
      <w:r w:rsidRPr="003C5CBB">
        <w:t>Although earlier decisions were not always demanding in their analyses, an increasingly cautious approach to dilution generally could be found in many appellate decisions as time went on.</w:t>
      </w:r>
      <w:r w:rsidR="003C5CBB" w:rsidRPr="003C5CBB">
        <w:rPr>
          <w:vertAlign w:val="superscript"/>
        </w:rPr>
        <w:footnoteReference w:id="366"/>
      </w:r>
    </w:p>
    <w:p w14:paraId="135F3DFB" w14:textId="4EB38F47" w:rsidR="003C5CBB" w:rsidRPr="003C5CBB" w:rsidRDefault="008B3068" w:rsidP="008B3068">
      <w:pPr>
        <w:pStyle w:val="BHead3"/>
      </w:pPr>
      <w:r>
        <w:t>8.III.D.</w:t>
      </w:r>
      <w:r w:rsidR="003C5CBB" w:rsidRPr="008B3068">
        <w:rPr>
          <w:rStyle w:val="BBNAidChar"/>
          <w:rFonts w:eastAsiaTheme="majorEastAsia"/>
        </w:rPr>
        <w:t>2</w:t>
      </w:r>
      <w:r w:rsidR="003C5CBB" w:rsidRPr="003C5CBB">
        <w:t>.</w:t>
      </w:r>
      <w:r>
        <w:t> </w:t>
      </w:r>
      <w:r w:rsidR="003C5CBB" w:rsidRPr="003C5CBB">
        <w:tab/>
        <w:t>Determining Fame: The Most Influential Factors Prior to the TDRA and the Continued Relevance of the Cases After the TDRA</w:t>
      </w:r>
    </w:p>
    <w:p w14:paraId="00817529" w14:textId="314388EA" w:rsidR="003C5CBB" w:rsidRPr="003C5CBB" w:rsidRDefault="00634BAE" w:rsidP="003C5CBB">
      <w:pPr>
        <w:pStyle w:val="BNormal"/>
      </w:pPr>
      <w:r w:rsidRPr="003C5CBB">
        <w:t>The Trademark Dilution Revision Act reduced the number of statutory factors in the FTDA from eight to four, but at least three of the four factors incorporate factors previously included in the FTDA.</w:t>
      </w:r>
      <w:r w:rsidR="003C5CBB" w:rsidRPr="003C5CBB">
        <w:rPr>
          <w:vertAlign w:val="superscript"/>
        </w:rPr>
        <w:footnoteReference w:id="367"/>
      </w:r>
      <w:r w:rsidRPr="003C5CBB">
        <w:t xml:space="preserve"> Therefore, it is instructive to review the degree to which different factors previously part of the analysis influenced the decision about the fame of a mark</w:t>
      </w:r>
      <w:r w:rsidR="003C5CBB" w:rsidRPr="003C5CBB">
        <w:t>. T</w:t>
      </w:r>
      <w:r w:rsidRPr="003C5CBB">
        <w:t>his review may provide clues to the decisions to be made in the post-TDRA era.</w:t>
      </w:r>
    </w:p>
    <w:p w14:paraId="7DBDB923" w14:textId="35FE86A6" w:rsidR="003C5CBB" w:rsidRPr="003C5CBB" w:rsidRDefault="00634BAE" w:rsidP="003C5CBB">
      <w:pPr>
        <w:pStyle w:val="BNormal"/>
      </w:pPr>
      <w:r w:rsidRPr="003C5CBB">
        <w:t xml:space="preserve">As noted above, </w:t>
      </w:r>
      <w:proofErr w:type="gramStart"/>
      <w:r w:rsidRPr="003C5CBB">
        <w:t>a large number of</w:t>
      </w:r>
      <w:proofErr w:type="gramEnd"/>
      <w:r w:rsidRPr="003C5CBB">
        <w:t xml:space="preserve"> cases contain virtually no discussion of fame, because the existence of fame is conceded to exist (sometimes perhaps precipitously).</w:t>
      </w:r>
      <w:r w:rsidR="003C5CBB" w:rsidRPr="003C5CBB">
        <w:rPr>
          <w:vertAlign w:val="superscript"/>
        </w:rPr>
        <w:footnoteReference w:id="368"/>
      </w:r>
      <w:r w:rsidRPr="003C5CBB">
        <w:t xml:space="preserve"> Though many of the discussions in the remaining cases are rather cursory, they generally contain enough information to determine what factors influenced the outcome.</w:t>
      </w:r>
    </w:p>
    <w:p w14:paraId="7A61643C" w14:textId="1271ED74" w:rsidR="003C5CBB" w:rsidRPr="003C5CBB" w:rsidRDefault="00634BAE" w:rsidP="003C5CBB">
      <w:pPr>
        <w:pStyle w:val="BNormal"/>
      </w:pPr>
      <w:r w:rsidRPr="003C5CBB">
        <w:lastRenderedPageBreak/>
        <w:t>It is often easier to determine which factors caused problems for the plaintiffs than to determine which were most helpful</w:t>
      </w:r>
      <w:r w:rsidR="003C5CBB" w:rsidRPr="003C5CBB">
        <w:t>. A</w:t>
      </w:r>
      <w:r w:rsidRPr="003C5CBB">
        <w:t xml:space="preserve"> substantial number of courts cited third-party use as being of great importance.</w:t>
      </w:r>
      <w:r w:rsidR="003C5CBB" w:rsidRPr="003C5CBB">
        <w:rPr>
          <w:vertAlign w:val="superscript"/>
        </w:rPr>
        <w:footnoteReference w:id="369"/>
      </w:r>
      <w:r w:rsidRPr="003C5CBB">
        <w:t xml:space="preserve"> In fact, one court singled out third-party use as a factor entitled to extra consideration.</w:t>
      </w:r>
      <w:r w:rsidR="003C5CBB" w:rsidRPr="003C5CBB">
        <w:rPr>
          <w:vertAlign w:val="superscript"/>
        </w:rPr>
        <w:footnoteReference w:id="370"/>
      </w:r>
      <w:r w:rsidRPr="003C5CBB">
        <w:t xml:space="preserve"> This is not surprising</w:t>
      </w:r>
      <w:r w:rsidR="003C5CBB" w:rsidRPr="003C5CBB">
        <w:t>. I</w:t>
      </w:r>
      <w:r w:rsidRPr="003C5CBB">
        <w:t xml:space="preserve">f there is </w:t>
      </w:r>
      <w:proofErr w:type="gramStart"/>
      <w:r w:rsidRPr="003C5CBB">
        <w:t>a large number of</w:t>
      </w:r>
      <w:proofErr w:type="gramEnd"/>
      <w:r w:rsidRPr="003C5CBB">
        <w:t xml:space="preserve"> third-party users, it is far less likely that the plaintiff’s mark points uniquely or overwhelmingly to the plaintiff</w:t>
      </w:r>
      <w:r w:rsidR="003C5CBB" w:rsidRPr="003C5CBB">
        <w:t>. T</w:t>
      </w:r>
      <w:r w:rsidRPr="003C5CBB">
        <w:t>his, of course, makes it particularly difficult for common words to become famous.</w:t>
      </w:r>
      <w:r w:rsidR="003C5CBB" w:rsidRPr="003C5CBB">
        <w:rPr>
          <w:vertAlign w:val="superscript"/>
        </w:rPr>
        <w:footnoteReference w:id="371"/>
      </w:r>
      <w:r w:rsidRPr="003C5CBB">
        <w:t xml:space="preserve"> Thus, the uniqueness—or inherent distinctiveness (or lack thereof)—of a mark will play an important role as well in this discussion</w:t>
      </w:r>
      <w:r w:rsidR="003C5CBB" w:rsidRPr="003C5CBB">
        <w:t>. H</w:t>
      </w:r>
      <w:r w:rsidRPr="003C5CBB">
        <w:t xml:space="preserve">owever, the notion of uniqueness and the loss of uniqueness is </w:t>
      </w:r>
      <w:proofErr w:type="gramStart"/>
      <w:r w:rsidRPr="003C5CBB">
        <w:t>actually at</w:t>
      </w:r>
      <w:proofErr w:type="gramEnd"/>
      <w:r w:rsidRPr="003C5CBB">
        <w:t xml:space="preserve"> the heart of dilution itself</w:t>
      </w:r>
      <w:r w:rsidR="003C5CBB" w:rsidRPr="003C5CBB">
        <w:t>. U</w:t>
      </w:r>
      <w:r w:rsidRPr="003C5CBB">
        <w:t>nder the TDRA, exclusivity of use of the mark is now included as part of dilution by blurring factors, rather than as an aspect of fame</w:t>
      </w:r>
      <w:r w:rsidR="003C5CBB" w:rsidRPr="003C5CBB">
        <w:t>. T</w:t>
      </w:r>
      <w:r w:rsidRPr="003C5CBB">
        <w:t>hat does not mean it is irrelevant to fame—but its use may be more relevant to the issue of dilution.</w:t>
      </w:r>
    </w:p>
    <w:p w14:paraId="501D8F55" w14:textId="1D90A5BF" w:rsidR="003C5CBB" w:rsidRPr="003C5CBB" w:rsidRDefault="00634BAE" w:rsidP="003C5CBB">
      <w:pPr>
        <w:pStyle w:val="BNormal"/>
      </w:pPr>
      <w:r w:rsidRPr="003C5CBB">
        <w:lastRenderedPageBreak/>
        <w:t>Other factors counting against fame before the TDRA were a relatively short duration of use,</w:t>
      </w:r>
      <w:r w:rsidR="003C5CBB" w:rsidRPr="003C5CBB">
        <w:rPr>
          <w:vertAlign w:val="superscript"/>
        </w:rPr>
        <w:footnoteReference w:id="372"/>
      </w:r>
      <w:r w:rsidRPr="003C5CBB">
        <w:t xml:space="preserve"> low sales figures,</w:t>
      </w:r>
      <w:r w:rsidR="003C5CBB" w:rsidRPr="003C5CBB">
        <w:rPr>
          <w:vertAlign w:val="superscript"/>
        </w:rPr>
        <w:footnoteReference w:id="373"/>
      </w:r>
      <w:r w:rsidRPr="003C5CBB">
        <w:t xml:space="preserve"> and relatively small markets.</w:t>
      </w:r>
      <w:r w:rsidR="003C5CBB" w:rsidRPr="003C5CBB">
        <w:rPr>
          <w:vertAlign w:val="superscript"/>
        </w:rPr>
        <w:footnoteReference w:id="374"/>
      </w:r>
      <w:r w:rsidRPr="003C5CBB">
        <w:t xml:space="preserve"> Many courts indicated that they would like actual evidence that the plaintiff’s mark had achieved substantial renown.</w:t>
      </w:r>
      <w:r w:rsidR="003C5CBB" w:rsidRPr="003C5CBB">
        <w:rPr>
          <w:vertAlign w:val="superscript"/>
        </w:rPr>
        <w:footnoteReference w:id="375"/>
      </w:r>
    </w:p>
    <w:p w14:paraId="56079174" w14:textId="16B4A91A" w:rsidR="003C5CBB" w:rsidRPr="003C5CBB" w:rsidRDefault="00634BAE" w:rsidP="003C5CBB">
      <w:pPr>
        <w:pStyle w:val="BNormal"/>
      </w:pPr>
      <w:r w:rsidRPr="003C5CBB">
        <w:t>It is a bit more difficult to categorize the cases where the mark was found to be famous (in the absence of a concession of this issue)</w:t>
      </w:r>
      <w:r w:rsidR="003C5CBB" w:rsidRPr="003C5CBB">
        <w:t>. M</w:t>
      </w:r>
      <w:r w:rsidRPr="003C5CBB">
        <w:t>any of the courts cited long-term use and extensive advertising as important factors.</w:t>
      </w:r>
      <w:r w:rsidR="003C5CBB" w:rsidRPr="003C5CBB">
        <w:rPr>
          <w:vertAlign w:val="superscript"/>
        </w:rPr>
        <w:footnoteReference w:id="376"/>
      </w:r>
      <w:r w:rsidRPr="003C5CBB">
        <w:t xml:space="preserve"> And, not surprisingly, many courts cited large sales volume as important factors supporting </w:t>
      </w:r>
      <w:proofErr w:type="gramStart"/>
      <w:r w:rsidRPr="003C5CBB">
        <w:t>a finding</w:t>
      </w:r>
      <w:proofErr w:type="gramEnd"/>
      <w:r w:rsidRPr="003C5CBB">
        <w:t xml:space="preserve"> </w:t>
      </w:r>
      <w:r w:rsidRPr="003C5CBB">
        <w:lastRenderedPageBreak/>
        <w:t>of fame.</w:t>
      </w:r>
      <w:r w:rsidR="003C5CBB" w:rsidRPr="003C5CBB">
        <w:rPr>
          <w:vertAlign w:val="superscript"/>
        </w:rPr>
        <w:footnoteReference w:id="377"/>
      </w:r>
      <w:r w:rsidRPr="003C5CBB">
        <w:t xml:space="preserve"> These are </w:t>
      </w:r>
      <w:proofErr w:type="gramStart"/>
      <w:r w:rsidRPr="003C5CBB">
        <w:t>similar to</w:t>
      </w:r>
      <w:proofErr w:type="gramEnd"/>
      <w:r w:rsidRPr="003C5CBB">
        <w:t xml:space="preserve"> the analyses after </w:t>
      </w:r>
      <w:proofErr w:type="gramStart"/>
      <w:r w:rsidRPr="003C5CBB">
        <w:t>the TDRA</w:t>
      </w:r>
      <w:proofErr w:type="gramEnd"/>
      <w:r w:rsidR="003C5CBB" w:rsidRPr="003C5CBB">
        <w:t>. S</w:t>
      </w:r>
      <w:r w:rsidRPr="003C5CBB">
        <w:t>everal courts included inherent distinctiveness, such as a coined or arbitrarily used word, or a very distinctive design as important factors as well.</w:t>
      </w:r>
      <w:r w:rsidR="003C5CBB" w:rsidRPr="003C5CBB">
        <w:rPr>
          <w:vertAlign w:val="superscript"/>
        </w:rPr>
        <w:footnoteReference w:id="378"/>
      </w:r>
      <w:r w:rsidRPr="003C5CBB">
        <w:t xml:space="preserve"> As discussed earlier in Section II.B, although certainly relevant, reliance on inherent distinctiveness, advertising, </w:t>
      </w:r>
      <w:r w:rsidRPr="003C5CBB">
        <w:lastRenderedPageBreak/>
        <w:t>and sales alone is a weak substitute for more direct evidence of customer awareness.</w:t>
      </w:r>
      <w:r w:rsidR="003C5CBB" w:rsidRPr="003C5CBB">
        <w:rPr>
          <w:vertAlign w:val="superscript"/>
        </w:rPr>
        <w:footnoteReference w:id="379"/>
      </w:r>
      <w:r w:rsidRPr="003C5CBB">
        <w:t xml:space="preserve"> Moreover, the TDRA no longer includes inherent distinctiveness as a factor in determining fame (although it could be considered by a court if the court thought it relevant).</w:t>
      </w:r>
    </w:p>
    <w:p w14:paraId="46CA8A5E" w14:textId="6E638BBE" w:rsidR="003C5CBB" w:rsidRPr="003C5CBB" w:rsidRDefault="00634BAE" w:rsidP="003C5CBB">
      <w:pPr>
        <w:pStyle w:val="BNormal"/>
      </w:pPr>
      <w:r w:rsidRPr="003C5CBB">
        <w:t>In the Second Circuit, lower courts took seriously the admonition that there be a “substantial degree” of fame,</w:t>
      </w:r>
      <w:r w:rsidR="003C5CBB" w:rsidRPr="003C5CBB">
        <w:rPr>
          <w:vertAlign w:val="superscript"/>
        </w:rPr>
        <w:footnoteReference w:id="380"/>
      </w:r>
      <w:r w:rsidRPr="003C5CBB">
        <w:t xml:space="preserve"> including requiring evidence that the mark was famous in the defendant’s channels of trade.</w:t>
      </w:r>
      <w:r w:rsidR="003C5CBB" w:rsidRPr="003C5CBB">
        <w:rPr>
          <w:vertAlign w:val="superscript"/>
        </w:rPr>
        <w:footnoteReference w:id="381"/>
      </w:r>
      <w:r w:rsidRPr="003C5CBB">
        <w:t xml:space="preserve"> This latter factor is no longer explicitly included, but it is somewhat implicit in the definitional requirement that the mark be recognized by the “general consuming public.” If anything, the TDRA’s definition requires even more than simply being known in the defendant’s channels of trade</w:t>
      </w:r>
      <w:r w:rsidR="003C5CBB" w:rsidRPr="003C5CBB">
        <w:t>; i</w:t>
      </w:r>
      <w:r w:rsidRPr="003C5CBB">
        <w:t>t requires the mark to be generally known to the consumer.</w:t>
      </w:r>
    </w:p>
    <w:p w14:paraId="64B58053" w14:textId="56E9C29E" w:rsidR="003C5CBB" w:rsidRPr="003C5CBB" w:rsidRDefault="00634BAE" w:rsidP="003C5CBB">
      <w:pPr>
        <w:pStyle w:val="BNormal"/>
      </w:pPr>
      <w:r w:rsidRPr="003C5CBB">
        <w:t>Although surveys are rare (and usually discounted as flawed</w:t>
      </w:r>
      <w:r w:rsidR="003C5CBB" w:rsidRPr="003C5CBB">
        <w:rPr>
          <w:vertAlign w:val="superscript"/>
        </w:rPr>
        <w:footnoteReference w:id="382"/>
      </w:r>
      <w:r w:rsidRPr="003C5CBB">
        <w:t>), many successful plaintiffs have cited unsolicited publicity and evidence of use by others of the mark to refer to the famous mark owner.</w:t>
      </w:r>
      <w:r w:rsidR="003C5CBB" w:rsidRPr="003C5CBB">
        <w:rPr>
          <w:vertAlign w:val="superscript"/>
        </w:rPr>
        <w:footnoteReference w:id="383"/>
      </w:r>
      <w:r w:rsidRPr="003C5CBB">
        <w:t xml:space="preserve"> These third-party references are significant because they show that others </w:t>
      </w:r>
      <w:proofErr w:type="gramStart"/>
      <w:r w:rsidRPr="003C5CBB">
        <w:t>actually do</w:t>
      </w:r>
      <w:proofErr w:type="gramEnd"/>
      <w:r w:rsidRPr="003C5CBB">
        <w:t xml:space="preserve"> recognize the mark</w:t>
      </w:r>
      <w:r w:rsidR="003C5CBB" w:rsidRPr="003C5CBB">
        <w:t>. A</w:t>
      </w:r>
      <w:r w:rsidRPr="003C5CBB">
        <w:t xml:space="preserve"> few such cases have particularly interesting references</w:t>
      </w:r>
      <w:r w:rsidR="003C5CBB" w:rsidRPr="003C5CBB">
        <w:t>. I</w:t>
      </w:r>
      <w:r w:rsidRPr="003C5CBB">
        <w:t xml:space="preserve">n </w:t>
      </w:r>
      <w:r w:rsidR="003C5CBB" w:rsidRPr="003C5CBB">
        <w:rPr>
          <w:i/>
        </w:rPr>
        <w:t>Brown v</w:t>
      </w:r>
      <w:r w:rsidR="003C5CBB" w:rsidRPr="003C5CBB">
        <w:t xml:space="preserve">. </w:t>
      </w:r>
      <w:r w:rsidR="003C5CBB" w:rsidRPr="003C5CBB">
        <w:rPr>
          <w:i/>
        </w:rPr>
        <w:t>It’s Entertainment, Inc</w:t>
      </w:r>
      <w:r w:rsidRPr="003C5CBB">
        <w:t>.,</w:t>
      </w:r>
      <w:r w:rsidR="003C5CBB" w:rsidRPr="003C5CBB">
        <w:rPr>
          <w:vertAlign w:val="superscript"/>
        </w:rPr>
        <w:footnoteReference w:id="384"/>
      </w:r>
      <w:r w:rsidRPr="003C5CBB">
        <w:t xml:space="preserve"> the court noted, among other things, that the mark (a children’s character named Arthur) had been prominently featured as a balloon in the Macy’s Thanksgiving Day Parade.</w:t>
      </w:r>
      <w:r w:rsidR="003C5CBB" w:rsidRPr="003C5CBB">
        <w:rPr>
          <w:vertAlign w:val="superscript"/>
        </w:rPr>
        <w:footnoteReference w:id="385"/>
      </w:r>
      <w:r w:rsidRPr="003C5CBB">
        <w:t xml:space="preserve"> It also was shown on the cover of </w:t>
      </w:r>
      <w:r w:rsidR="003C5CBB" w:rsidRPr="003C5CBB">
        <w:rPr>
          <w:i/>
        </w:rPr>
        <w:t xml:space="preserve">TV Guide </w:t>
      </w:r>
      <w:r w:rsidRPr="003C5CBB">
        <w:t>magazine.</w:t>
      </w:r>
      <w:r w:rsidR="003C5CBB" w:rsidRPr="003C5CBB">
        <w:rPr>
          <w:vertAlign w:val="superscript"/>
        </w:rPr>
        <w:footnoteReference w:id="386"/>
      </w:r>
      <w:r w:rsidRPr="003C5CBB">
        <w:t xml:space="preserve"> Uses in these contexts indicated widespread recognition, since both users relied on such recognition for business purposes</w:t>
      </w:r>
      <w:r w:rsidR="003C5CBB" w:rsidRPr="003C5CBB">
        <w:t xml:space="preserve">. </w:t>
      </w:r>
      <w:r w:rsidR="003C5CBB" w:rsidRPr="003C5CBB">
        <w:lastRenderedPageBreak/>
        <w:t>S</w:t>
      </w:r>
      <w:r w:rsidRPr="003C5CBB">
        <w:t xml:space="preserve">imilarly, in </w:t>
      </w:r>
      <w:r w:rsidR="003C5CBB" w:rsidRPr="003C5CBB">
        <w:rPr>
          <w:i/>
        </w:rPr>
        <w:t>Gideons International, Inc</w:t>
      </w:r>
      <w:r w:rsidR="003C5CBB" w:rsidRPr="003C5CBB">
        <w:t xml:space="preserve">. </w:t>
      </w:r>
      <w:r w:rsidR="003C5CBB" w:rsidRPr="003C5CBB">
        <w:rPr>
          <w:i/>
        </w:rPr>
        <w:t>v</w:t>
      </w:r>
      <w:r w:rsidR="003C5CBB" w:rsidRPr="003C5CBB">
        <w:t xml:space="preserve">. </w:t>
      </w:r>
      <w:r w:rsidR="003C5CBB" w:rsidRPr="003C5CBB">
        <w:rPr>
          <w:i/>
        </w:rPr>
        <w:t>Gideon 300 Ministries, Inc</w:t>
      </w:r>
      <w:r w:rsidRPr="003C5CBB">
        <w:t>.,</w:t>
      </w:r>
      <w:r w:rsidR="003C5CBB" w:rsidRPr="003C5CBB">
        <w:rPr>
          <w:vertAlign w:val="superscript"/>
        </w:rPr>
        <w:footnoteReference w:id="387"/>
      </w:r>
      <w:r w:rsidRPr="003C5CBB">
        <w:t xml:space="preserve"> the court noted that the Gideons were referred to in dictionaries and regarded this as evidence of widespread renown.</w:t>
      </w:r>
      <w:r w:rsidR="003C5CBB" w:rsidRPr="003C5CBB">
        <w:rPr>
          <w:vertAlign w:val="superscript"/>
        </w:rPr>
        <w:footnoteReference w:id="388"/>
      </w:r>
      <w:r w:rsidRPr="003C5CBB">
        <w:t xml:space="preserve"> In </w:t>
      </w:r>
      <w:r w:rsidR="003C5CBB" w:rsidRPr="003C5CBB">
        <w:rPr>
          <w:i/>
        </w:rPr>
        <w:t>Binney &amp; Smith v</w:t>
      </w:r>
      <w:r w:rsidR="003C5CBB" w:rsidRPr="003C5CBB">
        <w:t xml:space="preserve">. </w:t>
      </w:r>
      <w:r w:rsidR="003C5CBB" w:rsidRPr="003C5CBB">
        <w:rPr>
          <w:i/>
        </w:rPr>
        <w:t>Rose Art Industries</w:t>
      </w:r>
      <w:r w:rsidRPr="003C5CBB">
        <w:t>,</w:t>
      </w:r>
      <w:r w:rsidR="003C5CBB" w:rsidRPr="003C5CBB">
        <w:rPr>
          <w:vertAlign w:val="superscript"/>
        </w:rPr>
        <w:footnoteReference w:id="389"/>
      </w:r>
      <w:r w:rsidRPr="003C5CBB">
        <w:t xml:space="preserve"> the mark was the trade dress of the Crayola box, specifically the green and yellow color and chevron shape</w:t>
      </w:r>
      <w:r w:rsidR="003C5CBB" w:rsidRPr="003C5CBB">
        <w:t>. T</w:t>
      </w:r>
      <w:r w:rsidRPr="003C5CBB">
        <w:t>he court cited the fact that the box had been pictured on a U.S</w:t>
      </w:r>
      <w:r w:rsidR="003C5CBB" w:rsidRPr="003C5CBB">
        <w:t>. p</w:t>
      </w:r>
      <w:r w:rsidRPr="003C5CBB">
        <w:t xml:space="preserve">ostage stamp and had been included in the collection of the </w:t>
      </w:r>
      <w:proofErr w:type="gramStart"/>
      <w:r w:rsidRPr="003C5CBB">
        <w:t>Smithsonian museum</w:t>
      </w:r>
      <w:proofErr w:type="gramEnd"/>
      <w:r w:rsidRPr="003C5CBB">
        <w:t xml:space="preserve"> as evidence of its renown.</w:t>
      </w:r>
      <w:r w:rsidR="003C5CBB" w:rsidRPr="003C5CBB">
        <w:rPr>
          <w:vertAlign w:val="superscript"/>
        </w:rPr>
        <w:footnoteReference w:id="390"/>
      </w:r>
      <w:r w:rsidRPr="003C5CBB">
        <w:t xml:space="preserve"> Such unsolicited references should be viewed favorably in the analysis of fame because they are </w:t>
      </w:r>
      <w:proofErr w:type="gramStart"/>
      <w:r w:rsidRPr="003C5CBB">
        <w:t>fairly direct</w:t>
      </w:r>
      <w:proofErr w:type="gramEnd"/>
      <w:r w:rsidRPr="003C5CBB">
        <w:t xml:space="preserve"> evidence of recognition</w:t>
      </w:r>
      <w:r w:rsidR="003C5CBB" w:rsidRPr="003C5CBB">
        <w:t>. C</w:t>
      </w:r>
      <w:r w:rsidRPr="003C5CBB">
        <w:t>ases decided under the TDRA show a similar pattern of giving great weight to unsolicited media attention.</w:t>
      </w:r>
      <w:r w:rsidR="003C5CBB" w:rsidRPr="003C5CBB">
        <w:rPr>
          <w:vertAlign w:val="superscript"/>
        </w:rPr>
        <w:footnoteReference w:id="391"/>
      </w:r>
    </w:p>
    <w:p w14:paraId="4BDFC5E5" w14:textId="537CB065" w:rsidR="003C5CBB" w:rsidRPr="003C5CBB" w:rsidRDefault="00634BAE" w:rsidP="003C5CBB">
      <w:pPr>
        <w:pStyle w:val="BNormal"/>
      </w:pPr>
      <w:r w:rsidRPr="003C5CBB">
        <w:t>The other factors listed in former Section 43(c)(1) of the Lanham Act were referred to occasionally in the cases, but do not appear to have played a critical role in the decisions</w:t>
      </w:r>
      <w:r w:rsidR="003C5CBB" w:rsidRPr="003C5CBB">
        <w:t>. F</w:t>
      </w:r>
      <w:r w:rsidRPr="003C5CBB">
        <w:t>ederal registration, or lack thereof, was cited in some cases to bolster what appears to have been an otherwise done deal.</w:t>
      </w:r>
      <w:r w:rsidR="003C5CBB" w:rsidRPr="003C5CBB">
        <w:rPr>
          <w:vertAlign w:val="superscript"/>
        </w:rPr>
        <w:footnoteReference w:id="392"/>
      </w:r>
    </w:p>
    <w:p w14:paraId="06976600" w14:textId="095076F5" w:rsidR="003C5CBB" w:rsidRPr="003C5CBB" w:rsidRDefault="00634BAE" w:rsidP="003C5CBB">
      <w:pPr>
        <w:pStyle w:val="BNormal"/>
      </w:pPr>
      <w:r w:rsidRPr="003C5CBB">
        <w:t>However, whether one looks at the cases finding a mark to be famous or those refusing to make such a finding, one cannot point to a single factor as determinative</w:t>
      </w:r>
      <w:r w:rsidR="003C5CBB" w:rsidRPr="003C5CBB">
        <w:t>. L</w:t>
      </w:r>
      <w:r w:rsidRPr="003C5CBB">
        <w:t>ack of inherent distinctiveness and third-party uses (which often go hand in hand) may be the most deleterious,</w:t>
      </w:r>
      <w:r w:rsidR="003C5CBB" w:rsidRPr="003C5CBB">
        <w:rPr>
          <w:vertAlign w:val="superscript"/>
        </w:rPr>
        <w:footnoteReference w:id="393"/>
      </w:r>
      <w:r w:rsidRPr="003C5CBB">
        <w:t xml:space="preserve"> but these are factors that no longer play as important a role in the determination of fame</w:t>
      </w:r>
      <w:r w:rsidR="003C5CBB" w:rsidRPr="003C5CBB">
        <w:t>. H</w:t>
      </w:r>
      <w:r w:rsidRPr="003C5CBB">
        <w:t>owever, even after the TDRA, unique marks that have been extensively advertised appear the most likely to be found famous</w:t>
      </w:r>
      <w:r w:rsidR="003C5CBB" w:rsidRPr="003C5CBB">
        <w:t>. I</w:t>
      </w:r>
      <w:r w:rsidRPr="003C5CBB">
        <w:t xml:space="preserve">ncreasingly, courts seemed to favor some kind of direct evidence of fame, through either a survey or evidence of unsolicited </w:t>
      </w:r>
      <w:proofErr w:type="gramStart"/>
      <w:r w:rsidRPr="003C5CBB">
        <w:t>uses</w:t>
      </w:r>
      <w:proofErr w:type="gramEnd"/>
      <w:r w:rsidRPr="003C5CBB">
        <w:t xml:space="preserve"> by others to refer to the famous mark owner.</w:t>
      </w:r>
    </w:p>
    <w:p w14:paraId="5D66F317" w14:textId="3C090DE1" w:rsidR="003C5CBB" w:rsidRPr="003C5CBB" w:rsidRDefault="00634BAE" w:rsidP="003C5CBB">
      <w:pPr>
        <w:pStyle w:val="BNormal"/>
      </w:pPr>
      <w:r w:rsidRPr="003C5CBB">
        <w:t>The best analyses, both in favor of and in opposition to a determination of fame, have looked carefully at all the factors with an eye toward the ultimate test</w:t>
      </w:r>
      <w:r w:rsidR="003C5CBB" w:rsidRPr="003C5CBB">
        <w:t>: d</w:t>
      </w:r>
      <w:r w:rsidRPr="003C5CBB">
        <w:t>oes the mark uniquely or overwhelmingly point to one source throughout a substantial part of the country</w:t>
      </w:r>
      <w:r w:rsidR="003C5CBB" w:rsidRPr="003C5CBB">
        <w:t>? M</w:t>
      </w:r>
      <w:r w:rsidRPr="003C5CBB">
        <w:t>oreover, these courts are mindful that Congress intended that the category of famous marks was to be a relatively small one</w:t>
      </w:r>
      <w:r w:rsidR="003C5CBB" w:rsidRPr="003C5CBB">
        <w:t>. A</w:t>
      </w:r>
      <w:r w:rsidRPr="003C5CBB">
        <w:t>s the number of careful analyses increases, counseling should be more predictable.</w:t>
      </w:r>
    </w:p>
    <w:p w14:paraId="03CAE591" w14:textId="28E1423B" w:rsidR="003C5CBB" w:rsidRPr="003C5CBB" w:rsidRDefault="00634BAE" w:rsidP="003C5CBB">
      <w:pPr>
        <w:pStyle w:val="BNormal"/>
      </w:pPr>
      <w:r w:rsidRPr="003C5CBB">
        <w:t xml:space="preserve">A good example of a careful analysis leading to a finding of fame was </w:t>
      </w:r>
      <w:r w:rsidR="003C5CBB" w:rsidRPr="003C5CBB">
        <w:rPr>
          <w:i/>
        </w:rPr>
        <w:t>Eli Lilly &amp; Co</w:t>
      </w:r>
      <w:r w:rsidR="003C5CBB" w:rsidRPr="003C5CBB">
        <w:t xml:space="preserve">. </w:t>
      </w:r>
      <w:r w:rsidR="003C5CBB" w:rsidRPr="003C5CBB">
        <w:rPr>
          <w:i/>
        </w:rPr>
        <w:t>v</w:t>
      </w:r>
      <w:r w:rsidR="003C5CBB" w:rsidRPr="003C5CBB">
        <w:t xml:space="preserve">. </w:t>
      </w:r>
      <w:r w:rsidR="003C5CBB" w:rsidRPr="003C5CBB">
        <w:rPr>
          <w:i/>
        </w:rPr>
        <w:t>Natural Answers, Inc</w:t>
      </w:r>
      <w:r w:rsidRPr="003C5CBB">
        <w:t>.</w:t>
      </w:r>
      <w:r w:rsidR="003C5CBB" w:rsidRPr="003C5CBB">
        <w:rPr>
          <w:vertAlign w:val="superscript"/>
        </w:rPr>
        <w:footnoteReference w:id="394"/>
      </w:r>
      <w:r w:rsidRPr="003C5CBB">
        <w:t xml:space="preserve"> In </w:t>
      </w:r>
      <w:r w:rsidR="003C5CBB" w:rsidRPr="003C5CBB">
        <w:rPr>
          <w:i/>
        </w:rPr>
        <w:t>Eli Lilly</w:t>
      </w:r>
      <w:r w:rsidRPr="003C5CBB">
        <w:t xml:space="preserve">, the maker of the drug Prozac sued the maker of Herbrozac, marketed as “a powerful, and </w:t>
      </w:r>
      <w:r w:rsidRPr="003C5CBB">
        <w:lastRenderedPageBreak/>
        <w:t>effective whole-natural and herbal formula alternative to</w:t>
      </w:r>
      <w:r w:rsidR="003C5CBB" w:rsidRPr="003C5CBB">
        <w:t xml:space="preserve"> </w:t>
      </w:r>
      <w:r w:rsidRPr="003C5CBB">
        <w:t>…</w:t>
      </w:r>
      <w:r w:rsidR="003C5CBB" w:rsidRPr="003C5CBB">
        <w:t xml:space="preserve"> </w:t>
      </w:r>
      <w:r w:rsidRPr="003C5CBB">
        <w:t>Prozac.”</w:t>
      </w:r>
      <w:r w:rsidR="003C5CBB" w:rsidRPr="003C5CBB">
        <w:rPr>
          <w:vertAlign w:val="superscript"/>
        </w:rPr>
        <w:footnoteReference w:id="395"/>
      </w:r>
      <w:r w:rsidRPr="003C5CBB">
        <w:t xml:space="preserve"> The court began by considering the distinctiveness of the mark Prozac</w:t>
      </w:r>
      <w:r w:rsidR="003C5CBB" w:rsidRPr="003C5CBB">
        <w:t>. R</w:t>
      </w:r>
      <w:r w:rsidRPr="003C5CBB">
        <w:t xml:space="preserve">ejecting the defendant’s argument that the constituent parts—Pro and Zac—were commonly used, the court found the name </w:t>
      </w:r>
      <w:proofErr w:type="gramStart"/>
      <w:r w:rsidRPr="003C5CBB">
        <w:t>as a whole to</w:t>
      </w:r>
      <w:proofErr w:type="gramEnd"/>
      <w:r w:rsidRPr="003C5CBB">
        <w:t xml:space="preserve"> be “arbitrary and fanciful” and thus inherently strong.</w:t>
      </w:r>
      <w:r w:rsidR="003C5CBB" w:rsidRPr="003C5CBB">
        <w:rPr>
          <w:vertAlign w:val="superscript"/>
        </w:rPr>
        <w:footnoteReference w:id="396"/>
      </w:r>
      <w:r w:rsidRPr="003C5CBB">
        <w:t xml:space="preserve"> The court then found Prozac to have been used exclusively to refer to the drug (whose chemical name is fluoextine hydrochloride) since 1988</w:t>
      </w:r>
      <w:r w:rsidR="003C5CBB" w:rsidRPr="003C5CBB">
        <w:t>. T</w:t>
      </w:r>
      <w:r w:rsidRPr="003C5CBB">
        <w:t xml:space="preserve">he court concluded that 11 years of use was </w:t>
      </w:r>
      <w:proofErr w:type="gramStart"/>
      <w:r w:rsidRPr="003C5CBB">
        <w:t>a sufficient</w:t>
      </w:r>
      <w:proofErr w:type="gramEnd"/>
      <w:r w:rsidRPr="003C5CBB">
        <w:t xml:space="preserve"> time for a mark to become famous</w:t>
      </w:r>
      <w:r w:rsidR="003C5CBB" w:rsidRPr="003C5CBB">
        <w:t>. N</w:t>
      </w:r>
      <w:r w:rsidRPr="003C5CBB">
        <w:t>o other cases involving time periods longer than 11 years had described those time periods as too short for a mark to become famous,</w:t>
      </w:r>
      <w:r w:rsidR="003C5CBB" w:rsidRPr="003C5CBB">
        <w:rPr>
          <w:vertAlign w:val="superscript"/>
        </w:rPr>
        <w:footnoteReference w:id="397"/>
      </w:r>
      <w:r w:rsidRPr="003C5CBB">
        <w:t xml:space="preserve"> and the court noted that there is no set minimum time for becoming famous.</w:t>
      </w:r>
      <w:r w:rsidR="003C5CBB" w:rsidRPr="003C5CBB">
        <w:rPr>
          <w:vertAlign w:val="superscript"/>
        </w:rPr>
        <w:footnoteReference w:id="398"/>
      </w:r>
      <w:r w:rsidRPr="003C5CBB">
        <w:t xml:space="preserve"> The court further noted the advertising </w:t>
      </w:r>
      <w:r w:rsidR="003C5CBB" w:rsidRPr="003C5CBB">
        <w:rPr>
          <w:i/>
        </w:rPr>
        <w:t>and</w:t>
      </w:r>
      <w:r w:rsidRPr="003C5CBB">
        <w:t xml:space="preserve"> the unsolicited publicity given Prozac over that time.</w:t>
      </w:r>
      <w:r w:rsidR="003C5CBB" w:rsidRPr="003C5CBB">
        <w:rPr>
          <w:vertAlign w:val="superscript"/>
        </w:rPr>
        <w:footnoteReference w:id="399"/>
      </w:r>
      <w:r w:rsidRPr="003C5CBB">
        <w:t xml:space="preserve"> Thus, the potential customers of Herbrozac would know of Prozac.</w:t>
      </w:r>
      <w:r w:rsidR="003C5CBB" w:rsidRPr="003C5CBB">
        <w:rPr>
          <w:vertAlign w:val="superscript"/>
        </w:rPr>
        <w:footnoteReference w:id="400"/>
      </w:r>
      <w:r w:rsidRPr="003C5CBB">
        <w:t xml:space="preserve"> The court then noted that the defendant had not shown any third-party use of the mark Prozac.</w:t>
      </w:r>
      <w:r w:rsidR="003C5CBB" w:rsidRPr="003C5CBB">
        <w:rPr>
          <w:vertAlign w:val="superscript"/>
        </w:rPr>
        <w:footnoteReference w:id="401"/>
      </w:r>
      <w:r w:rsidRPr="003C5CBB">
        <w:t xml:space="preserve"> Finally, it added that Prozac was registered.</w:t>
      </w:r>
      <w:r w:rsidR="003C5CBB" w:rsidRPr="003C5CBB">
        <w:rPr>
          <w:vertAlign w:val="superscript"/>
        </w:rPr>
        <w:footnoteReference w:id="402"/>
      </w:r>
      <w:r w:rsidRPr="003C5CBB">
        <w:t xml:space="preserve"> In sum, the court conducted a thorough analysis and came to an appropriate conclusion on the issue of fame.</w:t>
      </w:r>
    </w:p>
    <w:p w14:paraId="33A088D5" w14:textId="3E36FB18" w:rsidR="003C5CBB" w:rsidRPr="003C5CBB" w:rsidRDefault="00634BAE" w:rsidP="003C5CBB">
      <w:pPr>
        <w:pStyle w:val="BNormal"/>
      </w:pPr>
      <w:r w:rsidRPr="003C5CBB">
        <w:t xml:space="preserve">Another example of a thorough analysis is </w:t>
      </w:r>
      <w:r w:rsidR="003C5CBB" w:rsidRPr="003C5CBB">
        <w:rPr>
          <w:i/>
        </w:rPr>
        <w:t>Syndicate Sales, Inc</w:t>
      </w:r>
      <w:r w:rsidR="003C5CBB" w:rsidRPr="003C5CBB">
        <w:t xml:space="preserve">. </w:t>
      </w:r>
      <w:r w:rsidR="003C5CBB" w:rsidRPr="003C5CBB">
        <w:rPr>
          <w:i/>
        </w:rPr>
        <w:t>v</w:t>
      </w:r>
      <w:r w:rsidR="003C5CBB" w:rsidRPr="003C5CBB">
        <w:t xml:space="preserve">. </w:t>
      </w:r>
      <w:r w:rsidR="003C5CBB" w:rsidRPr="003C5CBB">
        <w:rPr>
          <w:i/>
        </w:rPr>
        <w:t>Hampshire Paper Corp</w:t>
      </w:r>
      <w:r w:rsidRPr="003C5CBB">
        <w:t>.</w:t>
      </w:r>
      <w:r w:rsidR="003C5CBB" w:rsidRPr="003C5CBB">
        <w:rPr>
          <w:vertAlign w:val="superscript"/>
        </w:rPr>
        <w:footnoteReference w:id="403"/>
      </w:r>
      <w:r w:rsidRPr="003C5CBB">
        <w:t xml:space="preserve"> The trademark in question was the design of certain floral baskets</w:t>
      </w:r>
      <w:r w:rsidR="003C5CBB" w:rsidRPr="003C5CBB">
        <w:t>. T</w:t>
      </w:r>
      <w:r w:rsidRPr="003C5CBB">
        <w:t>he court’s opinion examined each of the statutory elements</w:t>
      </w:r>
      <w:r w:rsidR="003C5CBB" w:rsidRPr="003C5CBB">
        <w:t>. B</w:t>
      </w:r>
      <w:r w:rsidRPr="003C5CBB">
        <w:t>ecause this was a product configuration case, the court viewed the element of distinctiveness as requiring more than simply recognition in general</w:t>
      </w:r>
      <w:r w:rsidR="003C5CBB" w:rsidRPr="003C5CBB">
        <w:t>; r</w:t>
      </w:r>
      <w:r w:rsidRPr="003C5CBB">
        <w:t xml:space="preserve">ecognition </w:t>
      </w:r>
      <w:r w:rsidR="003C5CBB" w:rsidRPr="003C5CBB">
        <w:rPr>
          <w:i/>
        </w:rPr>
        <w:t>as a trademark</w:t>
      </w:r>
      <w:r w:rsidRPr="003C5CBB">
        <w:t xml:space="preserve"> was required.</w:t>
      </w:r>
      <w:r w:rsidR="003C5CBB" w:rsidRPr="003C5CBB">
        <w:rPr>
          <w:vertAlign w:val="superscript"/>
        </w:rPr>
        <w:footnoteReference w:id="404"/>
      </w:r>
      <w:r w:rsidRPr="003C5CBB">
        <w:t xml:space="preserve"> Here, the court viewed the plaintiff’s evidence, which included affidavits from three businesspeople, to be lacking</w:t>
      </w:r>
      <w:r w:rsidR="003C5CBB" w:rsidRPr="003C5CBB">
        <w:t>. A</w:t>
      </w:r>
      <w:r w:rsidRPr="003C5CBB">
        <w:t>lthough the plaintiff had promoted its product for a long time, there was little evidence of significant recognition of the designs as a trademark.</w:t>
      </w:r>
      <w:r w:rsidR="003C5CBB" w:rsidRPr="003C5CBB">
        <w:rPr>
          <w:vertAlign w:val="superscript"/>
        </w:rPr>
        <w:footnoteReference w:id="405"/>
      </w:r>
      <w:r w:rsidRPr="003C5CBB">
        <w:t xml:space="preserve"> Other factors favored the plaintiff</w:t>
      </w:r>
      <w:r w:rsidR="003C5CBB" w:rsidRPr="003C5CBB">
        <w:t>. T</w:t>
      </w:r>
      <w:r w:rsidRPr="003C5CBB">
        <w:t>he court noted the long period of use by the plaintiff</w:t>
      </w:r>
      <w:r w:rsidR="003C5CBB" w:rsidRPr="003C5CBB">
        <w:t>; t</w:t>
      </w:r>
      <w:r w:rsidRPr="003C5CBB">
        <w:t>he use throughout the niche market,</w:t>
      </w:r>
      <w:r w:rsidR="003C5CBB" w:rsidRPr="003C5CBB">
        <w:rPr>
          <w:vertAlign w:val="superscript"/>
        </w:rPr>
        <w:footnoteReference w:id="406"/>
      </w:r>
      <w:r w:rsidRPr="003C5CBB">
        <w:t xml:space="preserve"> both wholesale and retail</w:t>
      </w:r>
      <w:r w:rsidR="003C5CBB" w:rsidRPr="003C5CBB">
        <w:t>; a</w:t>
      </w:r>
      <w:r w:rsidRPr="003C5CBB">
        <w:t>nd the fact that the baskets were sold throughout the country.</w:t>
      </w:r>
      <w:r w:rsidR="003C5CBB" w:rsidRPr="003C5CBB">
        <w:rPr>
          <w:vertAlign w:val="superscript"/>
        </w:rPr>
        <w:footnoteReference w:id="407"/>
      </w:r>
      <w:r w:rsidRPr="003C5CBB">
        <w:t xml:space="preserve"> However, several factors tilted against </w:t>
      </w:r>
      <w:proofErr w:type="gramStart"/>
      <w:r w:rsidRPr="003C5CBB">
        <w:t>a finding</w:t>
      </w:r>
      <w:proofErr w:type="gramEnd"/>
      <w:r w:rsidRPr="003C5CBB">
        <w:t xml:space="preserve"> of fame</w:t>
      </w:r>
      <w:r w:rsidR="003C5CBB" w:rsidRPr="003C5CBB">
        <w:t>. T</w:t>
      </w:r>
      <w:r w:rsidRPr="003C5CBB">
        <w:t xml:space="preserve">he design was not shown </w:t>
      </w:r>
      <w:r w:rsidR="003C5CBB" w:rsidRPr="003C5CBB">
        <w:rPr>
          <w:i/>
        </w:rPr>
        <w:t>by substantial evidence</w:t>
      </w:r>
      <w:r w:rsidRPr="003C5CBB">
        <w:t xml:space="preserve"> to have widespread recognition as a trademark in the relevant channels of trade, and there were indications of significant use by others of substantially similar designs.</w:t>
      </w:r>
      <w:r w:rsidR="003C5CBB" w:rsidRPr="003C5CBB">
        <w:rPr>
          <w:vertAlign w:val="superscript"/>
        </w:rPr>
        <w:footnoteReference w:id="408"/>
      </w:r>
      <w:r w:rsidRPr="003C5CBB">
        <w:t xml:space="preserve"> Further, the design was not federally registered.</w:t>
      </w:r>
      <w:r w:rsidR="003C5CBB" w:rsidRPr="003C5CBB">
        <w:rPr>
          <w:vertAlign w:val="superscript"/>
        </w:rPr>
        <w:footnoteReference w:id="409"/>
      </w:r>
      <w:r w:rsidRPr="003C5CBB">
        <w:t xml:space="preserve"> Thus, the court concluded that the design was not famous, even in its niche market.</w:t>
      </w:r>
      <w:r w:rsidR="003C5CBB" w:rsidRPr="003C5CBB">
        <w:rPr>
          <w:vertAlign w:val="superscript"/>
        </w:rPr>
        <w:footnoteReference w:id="410"/>
      </w:r>
    </w:p>
    <w:p w14:paraId="231285A6" w14:textId="1596073B" w:rsidR="003C5CBB" w:rsidRPr="003C5CBB" w:rsidRDefault="00634BAE" w:rsidP="003C5CBB">
      <w:pPr>
        <w:pStyle w:val="BNormal"/>
      </w:pPr>
      <w:r w:rsidRPr="003C5CBB">
        <w:t xml:space="preserve">In </w:t>
      </w:r>
      <w:r w:rsidR="003C5CBB" w:rsidRPr="003C5CBB">
        <w:rPr>
          <w:i/>
        </w:rPr>
        <w:t>Binney &amp; Smith v</w:t>
      </w:r>
      <w:r w:rsidR="003C5CBB" w:rsidRPr="003C5CBB">
        <w:t xml:space="preserve">. </w:t>
      </w:r>
      <w:r w:rsidR="003C5CBB" w:rsidRPr="003C5CBB">
        <w:rPr>
          <w:i/>
        </w:rPr>
        <w:t>Rose Art Industries</w:t>
      </w:r>
      <w:r w:rsidRPr="003C5CBB">
        <w:t>,</w:t>
      </w:r>
      <w:r w:rsidR="003C5CBB" w:rsidRPr="003C5CBB">
        <w:rPr>
          <w:vertAlign w:val="superscript"/>
        </w:rPr>
        <w:footnoteReference w:id="411"/>
      </w:r>
      <w:r w:rsidRPr="003C5CBB">
        <w:t xml:space="preserve"> the court also conducted a thorough analysis of the fame of the Crayola trade dress</w:t>
      </w:r>
      <w:r w:rsidR="003C5CBB" w:rsidRPr="003C5CBB">
        <w:t>. T</w:t>
      </w:r>
      <w:r w:rsidRPr="003C5CBB">
        <w:t>he court examined all eight statutory factors, citing survey evidence put forth by the plaintiff, third-party recognition of the trade dress (</w:t>
      </w:r>
      <w:proofErr w:type="gramStart"/>
      <w:r w:rsidRPr="003C5CBB">
        <w:t>use</w:t>
      </w:r>
      <w:proofErr w:type="gramEnd"/>
      <w:r w:rsidRPr="003C5CBB">
        <w:t xml:space="preserve"> on a postage stamp), advertising dollars, duration, and </w:t>
      </w:r>
      <w:r w:rsidRPr="003C5CBB">
        <w:lastRenderedPageBreak/>
        <w:t>national scope of use</w:t>
      </w:r>
      <w:r w:rsidR="003C5CBB" w:rsidRPr="003C5CBB">
        <w:t>. T</w:t>
      </w:r>
      <w:r w:rsidRPr="003C5CBB">
        <w:t>he court also reviewed the channels of trade, recognition outside of those channels, and registration,</w:t>
      </w:r>
      <w:r w:rsidR="003C5CBB" w:rsidRPr="003C5CBB">
        <w:rPr>
          <w:vertAlign w:val="superscript"/>
        </w:rPr>
        <w:footnoteReference w:id="412"/>
      </w:r>
      <w:r w:rsidRPr="003C5CBB">
        <w:t xml:space="preserve"> and concluded that the yellow and green box with a chevron was famous.</w:t>
      </w:r>
      <w:r w:rsidR="003C5CBB" w:rsidRPr="003C5CBB">
        <w:rPr>
          <w:vertAlign w:val="superscript"/>
        </w:rPr>
        <w:footnoteReference w:id="413"/>
      </w:r>
    </w:p>
    <w:p w14:paraId="00E50A37" w14:textId="4BEEC130" w:rsidR="003C5CBB" w:rsidRPr="003C5CBB" w:rsidRDefault="00634BAE" w:rsidP="003C5CBB">
      <w:pPr>
        <w:pStyle w:val="BNormal"/>
      </w:pPr>
      <w:r w:rsidRPr="003C5CBB">
        <w:t xml:space="preserve">In </w:t>
      </w:r>
      <w:r w:rsidR="003C5CBB" w:rsidRPr="003C5CBB">
        <w:rPr>
          <w:i/>
        </w:rPr>
        <w:t>Thane International, Inc</w:t>
      </w:r>
      <w:r w:rsidR="003C5CBB" w:rsidRPr="003C5CBB">
        <w:t xml:space="preserve">. </w:t>
      </w:r>
      <w:r w:rsidR="003C5CBB" w:rsidRPr="003C5CBB">
        <w:rPr>
          <w:i/>
        </w:rPr>
        <w:t>v</w:t>
      </w:r>
      <w:r w:rsidR="003C5CBB" w:rsidRPr="003C5CBB">
        <w:t xml:space="preserve">. </w:t>
      </w:r>
      <w:r w:rsidR="003C5CBB" w:rsidRPr="003C5CBB">
        <w:rPr>
          <w:i/>
        </w:rPr>
        <w:t>Trek Bicycle Corp</w:t>
      </w:r>
      <w:r w:rsidRPr="003C5CBB">
        <w:t>.,</w:t>
      </w:r>
      <w:r w:rsidR="003C5CBB" w:rsidRPr="003C5CBB">
        <w:rPr>
          <w:vertAlign w:val="superscript"/>
        </w:rPr>
        <w:footnoteReference w:id="414"/>
      </w:r>
      <w:r w:rsidRPr="003C5CBB">
        <w:t xml:space="preserve"> the Ninth Circuit considered whether the mark Trek (used on a best-selling bicycle) was a famous mark</w:t>
      </w:r>
      <w:r w:rsidR="003C5CBB" w:rsidRPr="003C5CBB">
        <w:t>. O</w:t>
      </w:r>
      <w:r w:rsidRPr="003C5CBB">
        <w:t>ne piece of proffered evidence was the fact that Tour de France winner Lance Armstrong had been pictured on a Wheaties box with his Trek bicycle</w:t>
      </w:r>
      <w:r w:rsidR="003C5CBB" w:rsidRPr="003C5CBB">
        <w:t>. H</w:t>
      </w:r>
      <w:r w:rsidRPr="003C5CBB">
        <w:t>owever, the court characterized this as “incidental” coverage that did not demonstrate that the mark was famous.</w:t>
      </w:r>
      <w:r w:rsidR="003C5CBB" w:rsidRPr="003C5CBB">
        <w:rPr>
          <w:vertAlign w:val="superscript"/>
        </w:rPr>
        <w:footnoteReference w:id="415"/>
      </w:r>
      <w:r w:rsidRPr="003C5CBB">
        <w:t xml:space="preserve"> It also cited the lack of any survey evidence and the lack of any broad-based media coverage specifically indicating the fame of the mark.</w:t>
      </w:r>
      <w:r w:rsidR="003C5CBB" w:rsidRPr="003C5CBB">
        <w:rPr>
          <w:vertAlign w:val="superscript"/>
        </w:rPr>
        <w:footnoteReference w:id="416"/>
      </w:r>
      <w:r w:rsidRPr="003C5CBB">
        <w:t xml:space="preserve"> Finally, the court noted that because the mark was suggestive, and not arbitrary or fanciful, the factor of distinctiveness could be taken as an indication of lack of fame.</w:t>
      </w:r>
      <w:r w:rsidR="003C5CBB" w:rsidRPr="003C5CBB">
        <w:rPr>
          <w:vertAlign w:val="superscript"/>
        </w:rPr>
        <w:footnoteReference w:id="417"/>
      </w:r>
      <w:r w:rsidRPr="003C5CBB">
        <w:t xml:space="preserve"> Thus, it granted summary judgment against the dilution claim.</w:t>
      </w:r>
      <w:r w:rsidR="003C5CBB" w:rsidRPr="003C5CBB">
        <w:rPr>
          <w:vertAlign w:val="superscript"/>
        </w:rPr>
        <w:footnoteReference w:id="418"/>
      </w:r>
    </w:p>
    <w:p w14:paraId="4DF93539" w14:textId="39E16BF0" w:rsidR="003C5CBB" w:rsidRPr="003C5CBB" w:rsidRDefault="00634BAE" w:rsidP="003C5CBB">
      <w:pPr>
        <w:pStyle w:val="BNormal"/>
      </w:pPr>
      <w:r w:rsidRPr="003C5CBB">
        <w:t xml:space="preserve">In </w:t>
      </w:r>
      <w:r w:rsidR="003C5CBB" w:rsidRPr="003C5CBB">
        <w:rPr>
          <w:i/>
        </w:rPr>
        <w:t>I</w:t>
      </w:r>
      <w:r w:rsidRPr="003C5CBB">
        <w:t>.</w:t>
      </w:r>
      <w:r w:rsidR="003C5CBB" w:rsidRPr="003C5CBB">
        <w:rPr>
          <w:i/>
        </w:rPr>
        <w:t>P</w:t>
      </w:r>
      <w:r w:rsidR="003C5CBB" w:rsidRPr="003C5CBB">
        <w:t xml:space="preserve">. </w:t>
      </w:r>
      <w:r w:rsidR="003C5CBB" w:rsidRPr="003C5CBB">
        <w:rPr>
          <w:i/>
        </w:rPr>
        <w:t>Lund Trading ApS v</w:t>
      </w:r>
      <w:r w:rsidR="003C5CBB" w:rsidRPr="003C5CBB">
        <w:t xml:space="preserve">. </w:t>
      </w:r>
      <w:r w:rsidR="003C5CBB" w:rsidRPr="003C5CBB">
        <w:rPr>
          <w:i/>
        </w:rPr>
        <w:t>Kohler Co</w:t>
      </w:r>
      <w:r w:rsidRPr="003C5CBB">
        <w:t>.,</w:t>
      </w:r>
      <w:r w:rsidR="003C5CBB" w:rsidRPr="003C5CBB">
        <w:rPr>
          <w:vertAlign w:val="superscript"/>
        </w:rPr>
        <w:footnoteReference w:id="419"/>
      </w:r>
      <w:r w:rsidRPr="003C5CBB">
        <w:t xml:space="preserve"> the plaintiff’s Vola faucet had been used for 20 years in the United States</w:t>
      </w:r>
      <w:r w:rsidR="003C5CBB" w:rsidRPr="003C5CBB">
        <w:rPr>
          <w:vertAlign w:val="superscript"/>
        </w:rPr>
        <w:footnoteReference w:id="420"/>
      </w:r>
      <w:r w:rsidRPr="003C5CBB">
        <w:t xml:space="preserve"> and was in museum collections.</w:t>
      </w:r>
      <w:r w:rsidR="003C5CBB" w:rsidRPr="003C5CBB">
        <w:rPr>
          <w:vertAlign w:val="superscript"/>
        </w:rPr>
        <w:footnoteReference w:id="421"/>
      </w:r>
      <w:r w:rsidRPr="003C5CBB">
        <w:t xml:space="preserve"> Nevertheless, the First Circuit found this to be insufficient,</w:t>
      </w:r>
    </w:p>
    <w:p w14:paraId="5E348169" w14:textId="1B419773" w:rsidR="003C5CBB" w:rsidRPr="003C5CBB" w:rsidRDefault="00634BAE" w:rsidP="003C5CBB">
      <w:pPr>
        <w:pStyle w:val="BNormal"/>
      </w:pPr>
      <w:r w:rsidRPr="003C5CBB">
        <w:t>“[i]n light of the rigorous standard for fame.”</w:t>
      </w:r>
      <w:r w:rsidR="003C5CBB" w:rsidRPr="003C5CBB">
        <w:rPr>
          <w:vertAlign w:val="superscript"/>
        </w:rPr>
        <w:footnoteReference w:id="422"/>
      </w:r>
      <w:r w:rsidRPr="003C5CBB">
        <w:t xml:space="preserve"> The court cited several deficiencies in plaintiff Lund’s showing</w:t>
      </w:r>
      <w:r w:rsidR="003C5CBB" w:rsidRPr="003C5CBB">
        <w:t>. T</w:t>
      </w:r>
      <w:r w:rsidRPr="003C5CBB">
        <w:t>he faucet design was found not to be inherently distinctive and thus required secondary meaning just to be protected under trademark law</w:t>
      </w:r>
      <w:r w:rsidR="003C5CBB" w:rsidRPr="003C5CBB">
        <w:t>. A</w:t>
      </w:r>
      <w:r w:rsidRPr="003C5CBB">
        <w:t>lthough the plaintiff had demonstrated sufficient secondary meaning for trademark protection, the court found the evidence insufficient to meet the higher standard for fame.</w:t>
      </w:r>
      <w:r w:rsidR="003C5CBB" w:rsidRPr="003C5CBB">
        <w:rPr>
          <w:vertAlign w:val="superscript"/>
        </w:rPr>
        <w:footnoteReference w:id="423"/>
      </w:r>
      <w:r w:rsidRPr="003C5CBB">
        <w:t xml:space="preserve"> The court noted specifically that a consumer survey would have been a useful piece of evidence, but that none was produced here.</w:t>
      </w:r>
      <w:r w:rsidR="003C5CBB" w:rsidRPr="003C5CBB">
        <w:rPr>
          <w:vertAlign w:val="superscript"/>
        </w:rPr>
        <w:footnoteReference w:id="424"/>
      </w:r>
    </w:p>
    <w:p w14:paraId="2D5F7141" w14:textId="0DD31691" w:rsidR="003C5CBB" w:rsidRPr="003C5CBB" w:rsidRDefault="00634BAE" w:rsidP="003C5CBB">
      <w:pPr>
        <w:pStyle w:val="BNormal"/>
      </w:pPr>
      <w:r w:rsidRPr="003C5CBB">
        <w:t>In</w:t>
      </w:r>
      <w:r w:rsidR="003C5CBB" w:rsidRPr="003C5CBB">
        <w:rPr>
          <w:i/>
        </w:rPr>
        <w:t xml:space="preserve"> Avery Dennison Corp</w:t>
      </w:r>
      <w:r w:rsidR="003C5CBB" w:rsidRPr="003C5CBB">
        <w:t xml:space="preserve">. </w:t>
      </w:r>
      <w:r w:rsidR="003C5CBB" w:rsidRPr="003C5CBB">
        <w:rPr>
          <w:i/>
        </w:rPr>
        <w:t>v</w:t>
      </w:r>
      <w:r w:rsidR="003C5CBB" w:rsidRPr="003C5CBB">
        <w:t xml:space="preserve">. </w:t>
      </w:r>
      <w:r w:rsidR="003C5CBB" w:rsidRPr="003C5CBB">
        <w:rPr>
          <w:i/>
        </w:rPr>
        <w:t>Sumpton</w:t>
      </w:r>
      <w:r w:rsidRPr="003C5CBB">
        <w:t>,</w:t>
      </w:r>
      <w:r w:rsidR="003C5CBB" w:rsidRPr="003C5CBB">
        <w:rPr>
          <w:vertAlign w:val="superscript"/>
        </w:rPr>
        <w:footnoteReference w:id="425"/>
      </w:r>
      <w:r w:rsidRPr="003C5CBB">
        <w:t xml:space="preserve"> the lawsuit involved Internet domain names</w:t>
      </w:r>
      <w:r w:rsidR="003C5CBB" w:rsidRPr="003C5CBB">
        <w:t>. T</w:t>
      </w:r>
      <w:r w:rsidRPr="003C5CBB">
        <w:t>he defendant had registered thousands of domain names to lease as “vanity e-mail addresses,” including the names avery.net and dennison.net,</w:t>
      </w:r>
      <w:r w:rsidR="003C5CBB" w:rsidRPr="003C5CBB">
        <w:rPr>
          <w:vertAlign w:val="superscript"/>
        </w:rPr>
        <w:footnoteReference w:id="426"/>
      </w:r>
      <w:r w:rsidRPr="003C5CBB">
        <w:t xml:space="preserve"> which Avery claimed diluted its trademarks</w:t>
      </w:r>
      <w:r w:rsidR="003C5CBB" w:rsidRPr="003C5CBB">
        <w:t>. T</w:t>
      </w:r>
      <w:r w:rsidRPr="003C5CBB">
        <w:t>he court proceeded to discuss all the factors listed in the FTDA</w:t>
      </w:r>
      <w:r w:rsidR="003C5CBB" w:rsidRPr="003C5CBB">
        <w:t>. A</w:t>
      </w:r>
      <w:r w:rsidRPr="003C5CBB">
        <w:t>lthough it found Avery Dennison’s marks</w:t>
      </w:r>
      <w:r w:rsidR="003C5CBB" w:rsidRPr="003C5CBB">
        <w:rPr>
          <w:vertAlign w:val="superscript"/>
        </w:rPr>
        <w:footnoteReference w:id="427"/>
      </w:r>
      <w:r w:rsidRPr="003C5CBB">
        <w:t xml:space="preserve"> to be distinctive—which required secondary meaning because they were deemed surnames</w:t>
      </w:r>
      <w:r w:rsidR="003C5CBB" w:rsidRPr="003C5CBB">
        <w:rPr>
          <w:vertAlign w:val="superscript"/>
        </w:rPr>
        <w:footnoteReference w:id="428"/>
      </w:r>
      <w:r w:rsidRPr="003C5CBB">
        <w:t xml:space="preserve">—the court imposed a higher standard of distinctiveness for </w:t>
      </w:r>
      <w:r w:rsidRPr="003C5CBB">
        <w:lastRenderedPageBreak/>
        <w:t>this factor to favor a plaintiff than would be used if the issue was whether the mark was “distinctive.”</w:t>
      </w:r>
      <w:r w:rsidR="003C5CBB" w:rsidRPr="003C5CBB">
        <w:rPr>
          <w:vertAlign w:val="superscript"/>
        </w:rPr>
        <w:footnoteReference w:id="429"/>
      </w:r>
      <w:r w:rsidRPr="003C5CBB">
        <w:t xml:space="preserve"> The court next noted that the two parties did not compete and that the evidence did not show great recognition of the plaintiff’s marks by the defendant’s customers.</w:t>
      </w:r>
      <w:r w:rsidR="003C5CBB" w:rsidRPr="003C5CBB">
        <w:rPr>
          <w:vertAlign w:val="superscript"/>
        </w:rPr>
        <w:footnoteReference w:id="430"/>
      </w:r>
      <w:r w:rsidRPr="003C5CBB">
        <w:t xml:space="preserve"> (Under the TDRA, this analysis would presumably be replaced by a determination of whether the “general consuming public” recognized the plaintiff’s marks, a more stringent standard.) The court then noted many third-party uses of “Avery” and “Dennison” in trademarks, further reducing the plaintiff’s exclusivity and fame possibilities.</w:t>
      </w:r>
      <w:r w:rsidR="003C5CBB" w:rsidRPr="003C5CBB">
        <w:rPr>
          <w:vertAlign w:val="superscript"/>
        </w:rPr>
        <w:footnoteReference w:id="431"/>
      </w:r>
      <w:r w:rsidRPr="003C5CBB">
        <w:t xml:space="preserve"> The court conceded that the other factors—length of time of use, advertising, and extent of use—favored Avery Dennison</w:t>
      </w:r>
      <w:r w:rsidR="003C5CBB" w:rsidRPr="003C5CBB">
        <w:t>. H</w:t>
      </w:r>
      <w:r w:rsidRPr="003C5CBB">
        <w:t xml:space="preserve">owever, it found Avery’s evidence of the </w:t>
      </w:r>
      <w:r w:rsidR="003C5CBB" w:rsidRPr="003C5CBB">
        <w:rPr>
          <w:i/>
        </w:rPr>
        <w:t>success</w:t>
      </w:r>
      <w:r w:rsidRPr="003C5CBB">
        <w:t xml:space="preserve"> of these efforts, via marketing surveys, to be less convincing.</w:t>
      </w:r>
      <w:r w:rsidR="003C5CBB" w:rsidRPr="003C5CBB">
        <w:rPr>
          <w:vertAlign w:val="superscript"/>
        </w:rPr>
        <w:footnoteReference w:id="432"/>
      </w:r>
      <w:r w:rsidRPr="003C5CBB">
        <w:t xml:space="preserve"> Like the First Circuit in </w:t>
      </w:r>
      <w:r w:rsidR="003C5CBB" w:rsidRPr="003C5CBB">
        <w:rPr>
          <w:i/>
        </w:rPr>
        <w:t>I</w:t>
      </w:r>
      <w:r w:rsidRPr="003C5CBB">
        <w:t>.</w:t>
      </w:r>
      <w:r w:rsidR="003C5CBB" w:rsidRPr="003C5CBB">
        <w:rPr>
          <w:i/>
        </w:rPr>
        <w:t>P</w:t>
      </w:r>
      <w:r w:rsidR="003C5CBB" w:rsidRPr="003C5CBB">
        <w:t xml:space="preserve">. </w:t>
      </w:r>
      <w:r w:rsidR="003C5CBB" w:rsidRPr="003C5CBB">
        <w:rPr>
          <w:i/>
        </w:rPr>
        <w:t>Lund</w:t>
      </w:r>
      <w:r w:rsidRPr="003C5CBB">
        <w:t xml:space="preserve">, the Ninth Circuit in </w:t>
      </w:r>
      <w:r w:rsidR="003C5CBB" w:rsidRPr="003C5CBB">
        <w:rPr>
          <w:i/>
        </w:rPr>
        <w:t xml:space="preserve">Avery </w:t>
      </w:r>
      <w:r w:rsidRPr="003C5CBB">
        <w:t>stated that proper surveys would be valuable evidence in demonstrating fame.</w:t>
      </w:r>
      <w:r w:rsidR="003C5CBB" w:rsidRPr="003C5CBB">
        <w:rPr>
          <w:vertAlign w:val="superscript"/>
        </w:rPr>
        <w:footnoteReference w:id="433"/>
      </w:r>
      <w:r w:rsidRPr="003C5CBB">
        <w:t xml:space="preserve"> However, the court found Avery’s surveys flawed because they largely surveyed Avery’s customer base and did not indicate fame outside that base.</w:t>
      </w:r>
      <w:r w:rsidR="003C5CBB" w:rsidRPr="003C5CBB">
        <w:rPr>
          <w:vertAlign w:val="superscript"/>
        </w:rPr>
        <w:footnoteReference w:id="434"/>
      </w:r>
      <w:r w:rsidRPr="003C5CBB">
        <w:t xml:space="preserve"> The </w:t>
      </w:r>
      <w:r w:rsidR="003C5CBB" w:rsidRPr="003C5CBB">
        <w:rPr>
          <w:i/>
        </w:rPr>
        <w:t xml:space="preserve">Avery </w:t>
      </w:r>
      <w:r w:rsidRPr="003C5CBB">
        <w:t>approach, then, is a mixture of factors still relevant and some that were superseded by the TDRA</w:t>
      </w:r>
      <w:r w:rsidR="003C5CBB" w:rsidRPr="003C5CBB">
        <w:t>. H</w:t>
      </w:r>
      <w:r w:rsidRPr="003C5CBB">
        <w:t>owever, the emphasis on proper surveys would still be valid under the TDRA.</w:t>
      </w:r>
    </w:p>
    <w:p w14:paraId="5D8F8198" w14:textId="14345E88" w:rsidR="003C5CBB" w:rsidRPr="003C5CBB" w:rsidRDefault="00634BAE" w:rsidP="003C5CBB">
      <w:pPr>
        <w:pStyle w:val="BNormal"/>
      </w:pPr>
      <w:r w:rsidRPr="003C5CBB">
        <w:t xml:space="preserve">Another example of a more skeptical approach to the issue of fame is </w:t>
      </w:r>
      <w:r w:rsidR="003C5CBB" w:rsidRPr="003C5CBB">
        <w:rPr>
          <w:i/>
        </w:rPr>
        <w:t>TCPIP Holding Co</w:t>
      </w:r>
      <w:r w:rsidR="003C5CBB" w:rsidRPr="003C5CBB">
        <w:t xml:space="preserve">. </w:t>
      </w:r>
      <w:r w:rsidR="003C5CBB" w:rsidRPr="003C5CBB">
        <w:rPr>
          <w:i/>
        </w:rPr>
        <w:t>v</w:t>
      </w:r>
      <w:r w:rsidR="003C5CBB" w:rsidRPr="003C5CBB">
        <w:t xml:space="preserve">. </w:t>
      </w:r>
      <w:r w:rsidR="003C5CBB" w:rsidRPr="003C5CBB">
        <w:rPr>
          <w:i/>
        </w:rPr>
        <w:t>Haar Communications, Inc</w:t>
      </w:r>
      <w:r w:rsidRPr="003C5CBB">
        <w:t>.</w:t>
      </w:r>
      <w:r w:rsidR="003C5CBB" w:rsidRPr="003C5CBB">
        <w:rPr>
          <w:vertAlign w:val="superscript"/>
        </w:rPr>
        <w:footnoteReference w:id="435"/>
      </w:r>
      <w:r w:rsidRPr="003C5CBB">
        <w:t xml:space="preserve"> The plaintiff, owner of a store called The Children’s Place, sued the defendant, who had registered </w:t>
      </w:r>
      <w:proofErr w:type="gramStart"/>
      <w:r w:rsidRPr="003C5CBB">
        <w:t>a number of</w:t>
      </w:r>
      <w:proofErr w:type="gramEnd"/>
      <w:r w:rsidRPr="003C5CBB">
        <w:t xml:space="preserve"> Internet domain names, including thechildrensplace.com, which included “children” or “child” and “place” in the name</w:t>
      </w:r>
      <w:r w:rsidR="003C5CBB" w:rsidRPr="003C5CBB">
        <w:t>. T</w:t>
      </w:r>
      <w:r w:rsidRPr="003C5CBB">
        <w:t>he key question was whether the plaintiff’s mark was famous and thus eligible for dilution protection</w:t>
      </w:r>
      <w:r w:rsidR="003C5CBB" w:rsidRPr="003C5CBB">
        <w:t>. H</w:t>
      </w:r>
      <w:r w:rsidRPr="003C5CBB">
        <w:t>aving decided previously that a mark must be both “distinctive and famous” to be eligible,</w:t>
      </w:r>
      <w:r w:rsidR="003C5CBB" w:rsidRPr="003C5CBB">
        <w:rPr>
          <w:vertAlign w:val="superscript"/>
        </w:rPr>
        <w:footnoteReference w:id="436"/>
      </w:r>
      <w:r w:rsidRPr="003C5CBB">
        <w:t xml:space="preserve"> the court first considered whether the plaintiff’s mark was distinctive.</w:t>
      </w:r>
      <w:r w:rsidR="003C5CBB" w:rsidRPr="003C5CBB">
        <w:rPr>
          <w:vertAlign w:val="superscript"/>
        </w:rPr>
        <w:footnoteReference w:id="437"/>
      </w:r>
    </w:p>
    <w:p w14:paraId="6C64A25B" w14:textId="381B356A" w:rsidR="003C5CBB" w:rsidRPr="003C5CBB" w:rsidRDefault="00634BAE" w:rsidP="003C5CBB">
      <w:pPr>
        <w:pStyle w:val="BNormal"/>
      </w:pPr>
      <w:r w:rsidRPr="003C5CBB">
        <w:t>The court asserted that trademark law traditionally disfavored descriptive marks, although it permitted infringement suits (requiring confusion) if the mark had secondary meaning.</w:t>
      </w:r>
      <w:r w:rsidR="003C5CBB" w:rsidRPr="003C5CBB">
        <w:rPr>
          <w:vertAlign w:val="superscript"/>
        </w:rPr>
        <w:footnoteReference w:id="438"/>
      </w:r>
      <w:r w:rsidRPr="003C5CBB">
        <w:t xml:space="preserve"> However, because the FTDA gives far greater protection and focuses on the mark owner’s interests, not the consumer’s, the court reasoned that Congress did not intend to confer such expansive protection to descriptive marks.</w:t>
      </w:r>
      <w:r w:rsidR="003C5CBB" w:rsidRPr="003C5CBB">
        <w:rPr>
          <w:vertAlign w:val="superscript"/>
        </w:rPr>
        <w:footnoteReference w:id="439"/>
      </w:r>
      <w:r w:rsidRPr="003C5CBB">
        <w:t xml:space="preserve"> The court concluded that descriptive marks are ineligible for FTDA protection.</w:t>
      </w:r>
      <w:r w:rsidR="003C5CBB" w:rsidRPr="003C5CBB">
        <w:rPr>
          <w:vertAlign w:val="superscript"/>
        </w:rPr>
        <w:footnoteReference w:id="440"/>
      </w:r>
      <w:r w:rsidRPr="003C5CBB">
        <w:t xml:space="preserve"> This aspect of its opinion was overruled by the TDRA, which allows both inherently distinctive marks and marks with acquired distinctiveness (including </w:t>
      </w:r>
      <w:r w:rsidRPr="003C5CBB">
        <w:lastRenderedPageBreak/>
        <w:t>descriptive marks) to be eligible for dilution</w:t>
      </w:r>
      <w:r w:rsidR="003C5CBB" w:rsidRPr="003C5CBB">
        <w:t>. I</w:t>
      </w:r>
      <w:r w:rsidRPr="003C5CBB">
        <w:t xml:space="preserve">n addition to requiring inherent distinctiveness, the </w:t>
      </w:r>
      <w:r w:rsidR="003C5CBB" w:rsidRPr="003C5CBB">
        <w:rPr>
          <w:i/>
        </w:rPr>
        <w:t xml:space="preserve">TCPIP </w:t>
      </w:r>
      <w:r w:rsidRPr="003C5CBB">
        <w:t>court required that a mark must also “have achieved a high ‘degree of</w:t>
      </w:r>
      <w:r w:rsidR="003C5CBB" w:rsidRPr="003C5CBB">
        <w:t xml:space="preserve"> </w:t>
      </w:r>
      <w:r w:rsidRPr="003C5CBB">
        <w:t>…</w:t>
      </w:r>
      <w:r w:rsidR="003C5CBB" w:rsidRPr="003C5CBB">
        <w:t xml:space="preserve"> </w:t>
      </w:r>
      <w:r w:rsidRPr="003C5CBB">
        <w:t>acquired distinctiveness.’”</w:t>
      </w:r>
      <w:r w:rsidR="003C5CBB" w:rsidRPr="003C5CBB">
        <w:rPr>
          <w:vertAlign w:val="superscript"/>
        </w:rPr>
        <w:footnoteReference w:id="441"/>
      </w:r>
    </w:p>
    <w:p w14:paraId="4F0B53C6" w14:textId="06DCEB38" w:rsidR="003C5CBB" w:rsidRPr="003C5CBB" w:rsidRDefault="00634BAE" w:rsidP="003C5CBB">
      <w:pPr>
        <w:pStyle w:val="BNormal"/>
      </w:pPr>
      <w:r w:rsidRPr="003C5CBB">
        <w:t>Finally, the court stated that “we think Congress envisioned that marks would qualify as ‘famous’ only if they carried a substantial degree of fame.”</w:t>
      </w:r>
      <w:r w:rsidR="003C5CBB" w:rsidRPr="003C5CBB">
        <w:rPr>
          <w:vertAlign w:val="superscript"/>
        </w:rPr>
        <w:footnoteReference w:id="442"/>
      </w:r>
      <w:r w:rsidRPr="003C5CBB">
        <w:t xml:space="preserve"> The </w:t>
      </w:r>
      <w:r w:rsidR="003C5CBB" w:rsidRPr="003C5CBB">
        <w:rPr>
          <w:i/>
        </w:rPr>
        <w:t xml:space="preserve">TCPIP </w:t>
      </w:r>
      <w:r w:rsidRPr="003C5CBB">
        <w:t>court’s separate requirement of significant acquired distinctiveness proved to be a barrier to the plaintiffs,</w:t>
      </w:r>
      <w:r w:rsidR="003C5CBB" w:rsidRPr="003C5CBB">
        <w:rPr>
          <w:vertAlign w:val="superscript"/>
        </w:rPr>
        <w:footnoteReference w:id="443"/>
      </w:r>
      <w:r w:rsidRPr="003C5CBB">
        <w:t xml:space="preserve"> and this aspect of the opinion was not specifically disapproved by the TDRA.</w:t>
      </w:r>
      <w:r w:rsidR="003C5CBB" w:rsidRPr="003C5CBB">
        <w:rPr>
          <w:vertAlign w:val="superscript"/>
        </w:rPr>
        <w:footnoteReference w:id="444"/>
      </w:r>
      <w:r w:rsidRPr="003C5CBB">
        <w:t xml:space="preserve"> However, it appears that, as to the element of distinctiveness, the TDRA did not necessarily anticipate a more significant barrier than that erected by ordinary trademark law</w:t>
      </w:r>
      <w:r w:rsidR="003C5CBB" w:rsidRPr="003C5CBB">
        <w:t>. O</w:t>
      </w:r>
      <w:r w:rsidRPr="003C5CBB">
        <w:t>n the other hand, a high degree of acquired distinctiveness might be demanded before finding a mark to be famous.</w:t>
      </w:r>
    </w:p>
    <w:p w14:paraId="21AB5D12" w14:textId="7CA2E544" w:rsidR="003C5CBB" w:rsidRPr="003C5CBB" w:rsidRDefault="00634BAE" w:rsidP="003C5CBB">
      <w:pPr>
        <w:pStyle w:val="BNormal"/>
      </w:pPr>
      <w:r w:rsidRPr="003C5CBB">
        <w:t xml:space="preserve">In </w:t>
      </w:r>
      <w:r w:rsidR="003C5CBB" w:rsidRPr="003C5CBB">
        <w:rPr>
          <w:i/>
        </w:rPr>
        <w:t>We Media, Inc</w:t>
      </w:r>
      <w:r w:rsidR="003C5CBB" w:rsidRPr="003C5CBB">
        <w:t xml:space="preserve">. </w:t>
      </w:r>
      <w:r w:rsidR="003C5CBB" w:rsidRPr="003C5CBB">
        <w:rPr>
          <w:i/>
        </w:rPr>
        <w:t>v</w:t>
      </w:r>
      <w:r w:rsidR="003C5CBB" w:rsidRPr="003C5CBB">
        <w:t xml:space="preserve">. </w:t>
      </w:r>
      <w:r w:rsidR="003C5CBB" w:rsidRPr="003C5CBB">
        <w:rPr>
          <w:i/>
        </w:rPr>
        <w:t>General Electric Co</w:t>
      </w:r>
      <w:r w:rsidRPr="003C5CBB">
        <w:t>.,</w:t>
      </w:r>
      <w:r w:rsidR="003C5CBB" w:rsidRPr="003C5CBB">
        <w:rPr>
          <w:vertAlign w:val="superscript"/>
        </w:rPr>
        <w:footnoteReference w:id="445"/>
      </w:r>
      <w:r w:rsidRPr="003C5CBB">
        <w:t xml:space="preserve"> discussing the plaintiff’s We Media mark, the court carefully analyzed the various factors set forth in the FTDA for determining fame</w:t>
      </w:r>
      <w:r w:rsidR="003C5CBB" w:rsidRPr="003C5CBB">
        <w:t>. R</w:t>
      </w:r>
      <w:r w:rsidRPr="003C5CBB">
        <w:t>egarding the factor of acquired or inherent distinctiveness, the court rejected as insufficient the plaintiff’s proffered survey evidence, which was deemed not even directed to the issue of trademark recognition.</w:t>
      </w:r>
      <w:r w:rsidR="003C5CBB" w:rsidRPr="003C5CBB">
        <w:rPr>
          <w:vertAlign w:val="superscript"/>
        </w:rPr>
        <w:footnoteReference w:id="446"/>
      </w:r>
      <w:r w:rsidRPr="003C5CBB">
        <w:t xml:space="preserve"> With regard to inherent distinctiveness, the court noted that although the mark was not descriptive or generic, it was only suggestive, which put it on a lower plane than arbitrary or fanciful marks.</w:t>
      </w:r>
      <w:r w:rsidR="003C5CBB" w:rsidRPr="003C5CBB">
        <w:rPr>
          <w:vertAlign w:val="superscript"/>
        </w:rPr>
        <w:footnoteReference w:id="447"/>
      </w:r>
      <w:r w:rsidRPr="003C5CBB">
        <w:t xml:space="preserve"> This highlights the fact that even inherent distinctiveness is not sufficient</w:t>
      </w:r>
      <w:r w:rsidR="003C5CBB" w:rsidRPr="003C5CBB">
        <w:t>; a</w:t>
      </w:r>
      <w:r w:rsidRPr="003C5CBB">
        <w:t xml:space="preserve"> showing of acquired distinctiveness is very important as well.</w:t>
      </w:r>
    </w:p>
    <w:p w14:paraId="0FDEBF8B" w14:textId="5598D87E" w:rsidR="003C5CBB" w:rsidRPr="003C5CBB" w:rsidRDefault="00634BAE" w:rsidP="003C5CBB">
      <w:pPr>
        <w:pStyle w:val="BNormal"/>
      </w:pPr>
      <w:r w:rsidRPr="003C5CBB">
        <w:t>As to the factor of duration (which is no longer explicitly part of the fame analysis), the court found that five years of use did not weigh either for or against fame</w:t>
      </w:r>
      <w:r w:rsidR="003C5CBB" w:rsidRPr="003C5CBB">
        <w:t>. M</w:t>
      </w:r>
      <w:r w:rsidRPr="003C5CBB">
        <w:t xml:space="preserve">oreover, even though the plaintiff conducted </w:t>
      </w:r>
      <w:proofErr w:type="gramStart"/>
      <w:r w:rsidRPr="003C5CBB">
        <w:t>fairly extensive</w:t>
      </w:r>
      <w:proofErr w:type="gramEnd"/>
      <w:r w:rsidRPr="003C5CBB">
        <w:t xml:space="preserve"> advertising efforts, the court found no evidence of success in creating trademark recognition.</w:t>
      </w:r>
      <w:r w:rsidR="003C5CBB" w:rsidRPr="003C5CBB">
        <w:rPr>
          <w:vertAlign w:val="superscript"/>
        </w:rPr>
        <w:footnoteReference w:id="448"/>
      </w:r>
      <w:r w:rsidRPr="003C5CBB">
        <w:t xml:space="preserve"> The court rejected as “conclusory” the affidavit proffered by the plaintiff, noting that it did not indicate the basis of the affiant’s conclusion that the mark was famous.</w:t>
      </w:r>
      <w:r w:rsidR="003C5CBB" w:rsidRPr="003C5CBB">
        <w:rPr>
          <w:vertAlign w:val="superscript"/>
        </w:rPr>
        <w:footnoteReference w:id="449"/>
      </w:r>
    </w:p>
    <w:p w14:paraId="5A42C4C6" w14:textId="7BCF6C0D" w:rsidR="003C5CBB" w:rsidRPr="003C5CBB" w:rsidRDefault="00634BAE" w:rsidP="003C5CBB">
      <w:pPr>
        <w:pStyle w:val="BNormal"/>
      </w:pPr>
      <w:r w:rsidRPr="003C5CBB">
        <w:t xml:space="preserve">Even the factor of registration—and the plaintiff’s marks were federally registered—was not held to favor </w:t>
      </w:r>
      <w:proofErr w:type="gramStart"/>
      <w:r w:rsidRPr="003C5CBB">
        <w:t>a finding</w:t>
      </w:r>
      <w:proofErr w:type="gramEnd"/>
      <w:r w:rsidRPr="003C5CBB">
        <w:t xml:space="preserve"> of fame</w:t>
      </w:r>
      <w:r w:rsidR="003C5CBB" w:rsidRPr="003C5CBB">
        <w:t>. R</w:t>
      </w:r>
      <w:r w:rsidRPr="003C5CBB">
        <w:t xml:space="preserve">ather than simply </w:t>
      </w:r>
      <w:proofErr w:type="gramStart"/>
      <w:r w:rsidRPr="003C5CBB">
        <w:t>according</w:t>
      </w:r>
      <w:proofErr w:type="gramEnd"/>
      <w:r w:rsidRPr="003C5CBB">
        <w:t xml:space="preserve"> them minimal but positive weight, the court noted that the registrations did not cover the channels of trade used by the defendants.</w:t>
      </w:r>
      <w:r w:rsidR="003C5CBB" w:rsidRPr="003C5CBB">
        <w:rPr>
          <w:vertAlign w:val="superscript"/>
        </w:rPr>
        <w:footnoteReference w:id="450"/>
      </w:r>
    </w:p>
    <w:p w14:paraId="3182A952" w14:textId="60EA7657" w:rsidR="003C5CBB" w:rsidRPr="003C5CBB" w:rsidRDefault="00634BAE" w:rsidP="003C5CBB">
      <w:pPr>
        <w:pStyle w:val="BNormal"/>
      </w:pPr>
      <w:r w:rsidRPr="003C5CBB">
        <w:lastRenderedPageBreak/>
        <w:t>The Trademark Trial and Appeal Board also engaged in an extensive analysis of fame in its first full-blown discussion of dilution.</w:t>
      </w:r>
      <w:r w:rsidR="003C5CBB" w:rsidRPr="003C5CBB">
        <w:rPr>
          <w:vertAlign w:val="superscript"/>
        </w:rPr>
        <w:footnoteReference w:id="451"/>
      </w:r>
      <w:r w:rsidRPr="003C5CBB">
        <w:t xml:space="preserve"> It continued that careful analysis in its only other significant pre-TDRA dilution case.</w:t>
      </w:r>
      <w:r w:rsidR="003C5CBB" w:rsidRPr="003C5CBB">
        <w:rPr>
          <w:vertAlign w:val="superscript"/>
        </w:rPr>
        <w:footnoteReference w:id="452"/>
      </w:r>
    </w:p>
    <w:p w14:paraId="1BBD5B33" w14:textId="4EC44067" w:rsidR="003C5CBB" w:rsidRPr="003C5CBB" w:rsidRDefault="00634BAE" w:rsidP="003C5CBB">
      <w:pPr>
        <w:pStyle w:val="BNormal"/>
      </w:pPr>
      <w:r w:rsidRPr="003C5CBB">
        <w:t>Many of the cases decided before the TDRA will continue to be relevant</w:t>
      </w:r>
      <w:r w:rsidR="003C5CBB" w:rsidRPr="003C5CBB">
        <w:t>. T</w:t>
      </w:r>
      <w:r w:rsidRPr="003C5CBB">
        <w:t xml:space="preserve">hose whose analyses are stringent, reflecting the current definition of fame, and reflect the factors currently </w:t>
      </w:r>
      <w:proofErr w:type="gramStart"/>
      <w:r w:rsidRPr="003C5CBB">
        <w:t>relevant—</w:t>
      </w:r>
      <w:proofErr w:type="gramEnd"/>
      <w:r w:rsidRPr="003C5CBB">
        <w:t>especially advertising use, unsolicited media attention, and survey evidence—are good candidates for citation under the TDRA</w:t>
      </w:r>
      <w:r w:rsidR="003C5CBB" w:rsidRPr="003C5CBB">
        <w:t>. H</w:t>
      </w:r>
      <w:r w:rsidRPr="003C5CBB">
        <w:t>owever, many cases will not be suitable for use after the TDRA</w:t>
      </w:r>
      <w:r w:rsidR="003C5CBB" w:rsidRPr="003C5CBB">
        <w:t xml:space="preserve">. </w:t>
      </w:r>
      <w:proofErr w:type="gramStart"/>
      <w:r w:rsidR="003C5CBB" w:rsidRPr="003C5CBB">
        <w:t>I</w:t>
      </w:r>
      <w:r w:rsidRPr="003C5CBB">
        <w:t>n particular, cases</w:t>
      </w:r>
      <w:proofErr w:type="gramEnd"/>
      <w:r w:rsidRPr="003C5CBB">
        <w:t xml:space="preserve"> reflecting the use of niche market fame are clearly no longer appropriate precedent</w:t>
      </w:r>
      <w:r w:rsidR="003C5CBB" w:rsidRPr="003C5CBB">
        <w:t>. M</w:t>
      </w:r>
      <w:r w:rsidRPr="003C5CBB">
        <w:t xml:space="preserve">oreover, cases requiring a showing of inherent distinctiveness </w:t>
      </w:r>
      <w:proofErr w:type="gramStart"/>
      <w:r w:rsidRPr="003C5CBB">
        <w:t>are similarly</w:t>
      </w:r>
      <w:proofErr w:type="gramEnd"/>
      <w:r w:rsidRPr="003C5CBB">
        <w:t xml:space="preserve"> no longer relevant</w:t>
      </w:r>
      <w:r w:rsidR="003C5CBB" w:rsidRPr="003C5CBB">
        <w:t>. C</w:t>
      </w:r>
      <w:r w:rsidRPr="003C5CBB">
        <w:t xml:space="preserve">ases discussing third-party uses of a mark are </w:t>
      </w:r>
      <w:proofErr w:type="gramStart"/>
      <w:r w:rsidRPr="003C5CBB">
        <w:t>relevant, but</w:t>
      </w:r>
      <w:proofErr w:type="gramEnd"/>
      <w:r w:rsidRPr="003C5CBB">
        <w:t xml:space="preserve"> should be used with suitable caution since that factor is now used in the analysis of dilution by blurring.</w:t>
      </w:r>
    </w:p>
    <w:p w14:paraId="0718DAFA" w14:textId="598C68FD" w:rsidR="003C5CBB" w:rsidRPr="003C5CBB" w:rsidRDefault="008B3068" w:rsidP="008B3068">
      <w:pPr>
        <w:pStyle w:val="BHead1"/>
      </w:pPr>
      <w:r>
        <w:t>8.</w:t>
      </w:r>
      <w:r w:rsidR="003C5CBB" w:rsidRPr="008B3068">
        <w:rPr>
          <w:rStyle w:val="BBNAidChar"/>
          <w:rFonts w:eastAsiaTheme="majorEastAsia"/>
        </w:rPr>
        <w:t>IV</w:t>
      </w:r>
      <w:r w:rsidR="003C5CBB" w:rsidRPr="003C5CBB">
        <w:t>.</w:t>
      </w:r>
      <w:r>
        <w:t xml:space="preserve">  </w:t>
      </w:r>
      <w:r w:rsidR="003C5CBB" w:rsidRPr="003C5CBB">
        <w:t>Quantifying Fame: How Much Is Enough?</w:t>
      </w:r>
    </w:p>
    <w:p w14:paraId="11B3374A" w14:textId="03345F36" w:rsidR="003C5CBB" w:rsidRPr="003C5CBB" w:rsidRDefault="00634BAE" w:rsidP="003C5CBB">
      <w:pPr>
        <w:pStyle w:val="BNormal"/>
      </w:pPr>
      <w:r w:rsidRPr="003C5CBB">
        <w:t xml:space="preserve">In </w:t>
      </w:r>
      <w:r w:rsidR="003C5CBB" w:rsidRPr="003C5CBB">
        <w:rPr>
          <w:i/>
        </w:rPr>
        <w:t>TCPIP Holding Co</w:t>
      </w:r>
      <w:r w:rsidR="003C5CBB" w:rsidRPr="003C5CBB">
        <w:t xml:space="preserve">. </w:t>
      </w:r>
      <w:r w:rsidR="003C5CBB" w:rsidRPr="003C5CBB">
        <w:rPr>
          <w:i/>
        </w:rPr>
        <w:t>v</w:t>
      </w:r>
      <w:r w:rsidR="003C5CBB" w:rsidRPr="003C5CBB">
        <w:t xml:space="preserve">. </w:t>
      </w:r>
      <w:r w:rsidR="003C5CBB" w:rsidRPr="003C5CBB">
        <w:rPr>
          <w:i/>
        </w:rPr>
        <w:t>Haar Communications, Inc</w:t>
      </w:r>
      <w:r w:rsidRPr="003C5CBB">
        <w:t>.,</w:t>
      </w:r>
      <w:r w:rsidR="003C5CBB" w:rsidRPr="003C5CBB">
        <w:rPr>
          <w:vertAlign w:val="superscript"/>
        </w:rPr>
        <w:footnoteReference w:id="453"/>
      </w:r>
      <w:r w:rsidRPr="003C5CBB">
        <w:t xml:space="preserve"> the Second Circuit noted the difficulty of quantifying fame under the original FTDA</w:t>
      </w:r>
      <w:r w:rsidR="003C5CBB" w:rsidRPr="003C5CBB">
        <w:t>: “</w:t>
      </w:r>
      <w:r w:rsidRPr="003C5CBB">
        <w:t xml:space="preserve">The [Federal Trademark Dilution] Act does not tell </w:t>
      </w:r>
      <w:r w:rsidR="003C5CBB" w:rsidRPr="003C5CBB">
        <w:rPr>
          <w:i/>
        </w:rPr>
        <w:t>how</w:t>
      </w:r>
      <w:r w:rsidRPr="003C5CBB">
        <w:t xml:space="preserve"> famous a mark must be</w:t>
      </w:r>
      <w:r w:rsidR="003C5CBB" w:rsidRPr="003C5CBB">
        <w:t>. N</w:t>
      </w:r>
      <w:r w:rsidRPr="003C5CBB">
        <w:t>or does it provide any direct guidance as to how courts should answer the question.”</w:t>
      </w:r>
      <w:r w:rsidR="003C5CBB" w:rsidRPr="003C5CBB">
        <w:rPr>
          <w:vertAlign w:val="superscript"/>
        </w:rPr>
        <w:footnoteReference w:id="454"/>
      </w:r>
      <w:r w:rsidRPr="003C5CBB">
        <w:t xml:space="preserve"> After briefly examining the legislative history of the FTDA, the court concluded that a famous mark must “carr[y] a substantial degree of fame.”</w:t>
      </w:r>
      <w:r w:rsidR="003C5CBB" w:rsidRPr="003C5CBB">
        <w:rPr>
          <w:vertAlign w:val="superscript"/>
        </w:rPr>
        <w:footnoteReference w:id="455"/>
      </w:r>
      <w:r w:rsidRPr="003C5CBB">
        <w:t xml:space="preserve"> However, the court did not attempt any further quantification.</w:t>
      </w:r>
    </w:p>
    <w:p w14:paraId="37D899EF" w14:textId="40EBA0D5" w:rsidR="003C5CBB" w:rsidRPr="003C5CBB" w:rsidRDefault="00634BAE" w:rsidP="003C5CBB">
      <w:pPr>
        <w:pStyle w:val="BNormal"/>
      </w:pPr>
      <w:r w:rsidRPr="003C5CBB">
        <w:t>The court’s frustration is not surprising</w:t>
      </w:r>
      <w:r w:rsidR="003C5CBB" w:rsidRPr="003C5CBB">
        <w:t>. T</w:t>
      </w:r>
      <w:r w:rsidRPr="003C5CBB">
        <w:t>he eight original factors were very general and did not lead to ineluctable answers</w:t>
      </w:r>
      <w:r w:rsidR="003C5CBB" w:rsidRPr="003C5CBB">
        <w:t xml:space="preserve">. </w:t>
      </w:r>
      <w:proofErr w:type="gramStart"/>
      <w:r w:rsidR="003C5CBB" w:rsidRPr="003C5CBB">
        <w:t>I</w:t>
      </w:r>
      <w:r w:rsidRPr="003C5CBB">
        <w:t>n particular, they</w:t>
      </w:r>
      <w:proofErr w:type="gramEnd"/>
      <w:r w:rsidRPr="003C5CBB">
        <w:t xml:space="preserve"> indicated neither the quantity of the population nor the geographic scope required to demonstrate that a mark is famous</w:t>
      </w:r>
      <w:r w:rsidR="003C5CBB" w:rsidRPr="003C5CBB">
        <w:t>. T</w:t>
      </w:r>
      <w:r w:rsidRPr="003C5CBB">
        <w:t>his is not an unusual problem in trademark law</w:t>
      </w:r>
      <w:r w:rsidR="003C5CBB" w:rsidRPr="003C5CBB">
        <w:t>. F</w:t>
      </w:r>
      <w:r w:rsidRPr="003C5CBB">
        <w:t>or many years, courts have used multifactor tests to determine likelihood of confusion.</w:t>
      </w:r>
      <w:r w:rsidR="003C5CBB" w:rsidRPr="003C5CBB">
        <w:rPr>
          <w:vertAlign w:val="superscript"/>
        </w:rPr>
        <w:footnoteReference w:id="456"/>
      </w:r>
      <w:r w:rsidRPr="003C5CBB">
        <w:t xml:space="preserve"> These tests also do not yield easy answers</w:t>
      </w:r>
      <w:r w:rsidR="003C5CBB" w:rsidRPr="003C5CBB">
        <w:t>. B</w:t>
      </w:r>
      <w:r w:rsidRPr="003C5CBB">
        <w:t>ut, as we have seen, fame is a gatekeeper in the analysis of dilution</w:t>
      </w:r>
      <w:r w:rsidR="003C5CBB" w:rsidRPr="003C5CBB">
        <w:t>. I</w:t>
      </w:r>
      <w:r w:rsidRPr="003C5CBB">
        <w:t>f it is to serve its purpose, there should be at least some general understanding of what fame means, lest claims under the FTDA proliferate unnecessarily</w:t>
      </w:r>
      <w:r w:rsidR="003C5CBB" w:rsidRPr="003C5CBB">
        <w:t>. I</w:t>
      </w:r>
      <w:r w:rsidRPr="003C5CBB">
        <w:t>n addition, the discussion of what constitutes dilution is itself a subject of uncertainty</w:t>
      </w:r>
      <w:r w:rsidR="003C5CBB" w:rsidRPr="003C5CBB">
        <w:t>. L</w:t>
      </w:r>
      <w:r w:rsidRPr="003C5CBB">
        <w:t>ayering uncertainty on top of uncertainty is an undesirable means of solving the problem of protecting famous marks.</w:t>
      </w:r>
    </w:p>
    <w:p w14:paraId="1B1B70B4" w14:textId="0B354687" w:rsidR="003C5CBB" w:rsidRPr="003C5CBB" w:rsidRDefault="00634BAE" w:rsidP="003C5CBB">
      <w:pPr>
        <w:pStyle w:val="BNormal"/>
      </w:pPr>
      <w:r w:rsidRPr="003C5CBB">
        <w:t>The drafters of the TDRA appear to have recognized that more guidance was required in this area</w:t>
      </w:r>
      <w:r w:rsidR="003C5CBB" w:rsidRPr="003C5CBB">
        <w:t>. T</w:t>
      </w:r>
      <w:r w:rsidRPr="003C5CBB">
        <w:t>hey included a definition of fame that requires a mark to be “widely recognized by the general consuming public of the United States.”</w:t>
      </w:r>
      <w:r w:rsidR="003C5CBB" w:rsidRPr="003C5CBB">
        <w:rPr>
          <w:vertAlign w:val="superscript"/>
        </w:rPr>
        <w:footnoteReference w:id="457"/>
      </w:r>
      <w:r w:rsidRPr="003C5CBB">
        <w:t xml:space="preserve"> This definition does not supply a precise guide to measuring fame (and, it must be said, the four guiding factors included in the statute do little to aid in this analysis).</w:t>
      </w:r>
      <w:r w:rsidR="003C5CBB" w:rsidRPr="003C5CBB">
        <w:rPr>
          <w:vertAlign w:val="superscript"/>
        </w:rPr>
        <w:footnoteReference w:id="458"/>
      </w:r>
      <w:r w:rsidRPr="003C5CBB">
        <w:t xml:space="preserve"> However, the definition does give </w:t>
      </w:r>
      <w:r w:rsidR="003C5CBB" w:rsidRPr="003C5CBB">
        <w:rPr>
          <w:i/>
        </w:rPr>
        <w:t>some</w:t>
      </w:r>
      <w:r w:rsidRPr="003C5CBB">
        <w:t xml:space="preserve"> extra assistance—certainly more than the original FTDA</w:t>
      </w:r>
      <w:r w:rsidR="003C5CBB" w:rsidRPr="003C5CBB">
        <w:t>. T</w:t>
      </w:r>
      <w:r w:rsidRPr="003C5CBB">
        <w:t>he concept of “widely recognized” indicates that the Second Circuit’s assumption, quoted above, is essentially correct</w:t>
      </w:r>
      <w:r w:rsidR="003C5CBB" w:rsidRPr="003C5CBB">
        <w:t>: t</w:t>
      </w:r>
      <w:r w:rsidRPr="003C5CBB">
        <w:t xml:space="preserve">here must be a “substantial </w:t>
      </w:r>
      <w:r w:rsidRPr="003C5CBB">
        <w:lastRenderedPageBreak/>
        <w:t>degree of fame.” The mark must be recognized by a large segment of the population—the “general consuming public”—and, implicitly, by the public in a substantial (at least a majority, if not larger) geographic, as well as demographic, segment of the country</w:t>
      </w:r>
      <w:r w:rsidR="003C5CBB" w:rsidRPr="003C5CBB">
        <w:t>. W</w:t>
      </w:r>
      <w:r w:rsidRPr="003C5CBB">
        <w:t>hat the TDRA does not do is give any real quantitative guidance</w:t>
      </w:r>
      <w:r w:rsidR="003C5CBB" w:rsidRPr="003C5CBB">
        <w:t>. A</w:t>
      </w:r>
      <w:r w:rsidRPr="003C5CBB">
        <w:t>t a minimum, a court should not allow marginally famous marks to be eligible</w:t>
      </w:r>
      <w:r w:rsidR="003C5CBB" w:rsidRPr="003C5CBB">
        <w:t>. W</w:t>
      </w:r>
      <w:r w:rsidRPr="003C5CBB">
        <w:t>hen in doubt, courts ought to rule (and direct juries to rule) against fame.</w:t>
      </w:r>
      <w:r w:rsidR="003C5CBB" w:rsidRPr="003C5CBB">
        <w:rPr>
          <w:vertAlign w:val="superscript"/>
        </w:rPr>
        <w:footnoteReference w:id="459"/>
      </w:r>
    </w:p>
    <w:p w14:paraId="78F8442F" w14:textId="1AEB143F" w:rsidR="003C5CBB" w:rsidRPr="003C5CBB" w:rsidRDefault="00634BAE" w:rsidP="003C5CBB">
      <w:pPr>
        <w:pStyle w:val="BNormal"/>
      </w:pPr>
      <w:r w:rsidRPr="003C5CBB">
        <w:t>Placing a numerical floor on a demonstration of fame would be a useful first step</w:t>
      </w:r>
      <w:r w:rsidR="003C5CBB" w:rsidRPr="003C5CBB">
        <w:t>. C</w:t>
      </w:r>
      <w:r w:rsidRPr="003C5CBB">
        <w:t>learly, the low levels used in some cases for finding secondary meaning in a trademark-infringement case</w:t>
      </w:r>
      <w:r w:rsidR="003C5CBB" w:rsidRPr="003C5CBB">
        <w:rPr>
          <w:vertAlign w:val="superscript"/>
        </w:rPr>
        <w:footnoteReference w:id="460"/>
      </w:r>
      <w:r w:rsidRPr="003C5CBB">
        <w:t xml:space="preserve"> are insufficient.</w:t>
      </w:r>
      <w:r w:rsidR="003C5CBB" w:rsidRPr="003C5CBB">
        <w:rPr>
          <w:vertAlign w:val="superscript"/>
        </w:rPr>
        <w:footnoteReference w:id="461"/>
      </w:r>
      <w:r w:rsidRPr="003C5CBB">
        <w:t xml:space="preserve"> Professor McCarthy originally suggested a threshold of 50 percent public knowledge,</w:t>
      </w:r>
      <w:r w:rsidR="003C5CBB" w:rsidRPr="003C5CBB">
        <w:rPr>
          <w:vertAlign w:val="superscript"/>
        </w:rPr>
        <w:footnoteReference w:id="462"/>
      </w:r>
      <w:r w:rsidRPr="003C5CBB">
        <w:t xml:space="preserve"> but after the TDRA, he amended the suggestion to 75 percent.</w:t>
      </w:r>
      <w:r w:rsidR="003C5CBB" w:rsidRPr="003C5CBB">
        <w:rPr>
          <w:vertAlign w:val="superscript"/>
        </w:rPr>
        <w:footnoteReference w:id="463"/>
      </w:r>
      <w:r w:rsidRPr="003C5CBB">
        <w:t xml:space="preserve"> Any such number will be somewhat arbitrary</w:t>
      </w:r>
      <w:r w:rsidR="003C5CBB" w:rsidRPr="003C5CBB">
        <w:t>. A</w:t>
      </w:r>
      <w:r w:rsidRPr="003C5CBB">
        <w:t xml:space="preserve">lthough 50 percent has some appeal as the majority level, </w:t>
      </w:r>
      <w:proofErr w:type="gramStart"/>
      <w:r w:rsidRPr="003C5CBB">
        <w:t>it too</w:t>
      </w:r>
      <w:proofErr w:type="gramEnd"/>
      <w:r w:rsidRPr="003C5CBB">
        <w:t xml:space="preserve"> is basically arbitrary</w:t>
      </w:r>
      <w:r w:rsidR="003C5CBB" w:rsidRPr="003C5CBB">
        <w:t>. A</w:t>
      </w:r>
      <w:r w:rsidRPr="003C5CBB">
        <w:t>nd is a mark that is not known by half the population truly famous?</w:t>
      </w:r>
    </w:p>
    <w:p w14:paraId="6BE67B54" w14:textId="547ED70C" w:rsidR="003C5CBB" w:rsidRPr="003C5CBB" w:rsidRDefault="00634BAE" w:rsidP="003C5CBB">
      <w:pPr>
        <w:pStyle w:val="BNormal"/>
      </w:pPr>
      <w:r w:rsidRPr="003C5CBB">
        <w:t>Creating a more systematic mechanism is not simple, but it is worth the attempt.</w:t>
      </w:r>
      <w:r w:rsidR="003C5CBB" w:rsidRPr="003C5CBB">
        <w:rPr>
          <w:vertAlign w:val="superscript"/>
        </w:rPr>
        <w:footnoteReference w:id="464"/>
      </w:r>
      <w:r w:rsidRPr="003C5CBB">
        <w:t xml:space="preserve"> To begin with, one needs a benchmark against which to measure other marks</w:t>
      </w:r>
      <w:r w:rsidR="003C5CBB" w:rsidRPr="003C5CBB">
        <w:t>. I</w:t>
      </w:r>
      <w:r w:rsidRPr="003C5CBB">
        <w:t>f we can agree on a few marks that are indisputably famous (such as Kodak or Coca-Cola), we may proceed to create the benchmark</w:t>
      </w:r>
      <w:r w:rsidR="003C5CBB" w:rsidRPr="003C5CBB">
        <w:t>. O</w:t>
      </w:r>
      <w:r w:rsidRPr="003C5CBB">
        <w:t>ne could survey the population in various regions of the country, first measuring whether the people are aware of the (supposedly) undeniably famous mark, and second measuring the “intensity” of their awareness</w:t>
      </w:r>
      <w:r w:rsidR="003C5CBB" w:rsidRPr="003C5CBB">
        <w:t>. O</w:t>
      </w:r>
      <w:r w:rsidRPr="003C5CBB">
        <w:t>ne would then conduct a second survey to measure awareness and “intensity” of awareness of the mark proposed as famous</w:t>
      </w:r>
      <w:r w:rsidR="003C5CBB" w:rsidRPr="003C5CBB">
        <w:t>. T</w:t>
      </w:r>
      <w:r w:rsidRPr="003C5CBB">
        <w:t>he two surveys would be compared statistically</w:t>
      </w:r>
      <w:r w:rsidR="003C5CBB" w:rsidRPr="003C5CBB">
        <w:rPr>
          <w:vertAlign w:val="superscript"/>
        </w:rPr>
        <w:footnoteReference w:id="465"/>
      </w:r>
      <w:r w:rsidRPr="003C5CBB">
        <w:t xml:space="preserve"> to determine whether the mark in question is famous.</w:t>
      </w:r>
    </w:p>
    <w:p w14:paraId="633BAFA8" w14:textId="0EB34216" w:rsidR="003C5CBB" w:rsidRPr="003C5CBB" w:rsidRDefault="00634BAE" w:rsidP="003C5CBB">
      <w:pPr>
        <w:pStyle w:val="BNormal"/>
      </w:pPr>
      <w:r w:rsidRPr="003C5CBB">
        <w:t>For this effort to be useful, the benchmark survey would need to be the same for all cases, and that is one of its difficulties</w:t>
      </w:r>
      <w:r w:rsidR="003C5CBB" w:rsidRPr="003C5CBB">
        <w:t>. I</w:t>
      </w:r>
      <w:r w:rsidRPr="003C5CBB">
        <w:t>t is also an expensive proposition that a litigant might well be reluctant to undertake, particularly if all other litigants thereafter would “free ride” on the original</w:t>
      </w:r>
      <w:r w:rsidR="003C5CBB" w:rsidRPr="003C5CBB">
        <w:t>. A</w:t>
      </w:r>
      <w:r w:rsidRPr="003C5CBB">
        <w:t xml:space="preserve">nd the benchmark survey would have to be redone every few years to </w:t>
      </w:r>
      <w:proofErr w:type="gramStart"/>
      <w:r w:rsidRPr="003C5CBB">
        <w:t>insure</w:t>
      </w:r>
      <w:proofErr w:type="gramEnd"/>
      <w:r w:rsidRPr="003C5CBB">
        <w:t xml:space="preserve"> its accuracy</w:t>
      </w:r>
      <w:r w:rsidR="003C5CBB" w:rsidRPr="003C5CBB">
        <w:t>. T</w:t>
      </w:r>
      <w:r w:rsidRPr="003C5CBB">
        <w:t>here is, however, a possible solution to these problems</w:t>
      </w:r>
      <w:r w:rsidR="003C5CBB" w:rsidRPr="003C5CBB">
        <w:t>. U</w:t>
      </w:r>
      <w:r w:rsidRPr="003C5CBB">
        <w:t xml:space="preserve">nder </w:t>
      </w:r>
      <w:r w:rsidRPr="003C5CBB">
        <w:lastRenderedPageBreak/>
        <w:t>the Trademark Amendments Act of 1999, the Trademark Trial and Appeal Board is empowered to consider possible dilution as a defense to registration, if raised in an opposition proceeding.</w:t>
      </w:r>
      <w:r w:rsidR="003C5CBB" w:rsidRPr="003C5CBB">
        <w:rPr>
          <w:vertAlign w:val="superscript"/>
        </w:rPr>
        <w:footnoteReference w:id="466"/>
      </w:r>
      <w:r w:rsidRPr="003C5CBB">
        <w:t xml:space="preserve"> To carry out this task, the U.S</w:t>
      </w:r>
      <w:r w:rsidR="003C5CBB" w:rsidRPr="003C5CBB">
        <w:t>. P</w:t>
      </w:r>
      <w:r w:rsidRPr="003C5CBB">
        <w:t>atent and Trademark Office (PTO) could undertake the survey, which would then be available to courts</w:t>
      </w:r>
      <w:r w:rsidR="003C5CBB" w:rsidRPr="003C5CBB">
        <w:t>. A</w:t>
      </w:r>
      <w:r w:rsidRPr="003C5CBB">
        <w:t>lthough courts would not be obliged to use the PTO’s survey, it could be introduced.</w:t>
      </w:r>
      <w:r w:rsidR="003C5CBB" w:rsidRPr="003C5CBB">
        <w:rPr>
          <w:vertAlign w:val="superscript"/>
        </w:rPr>
        <w:footnoteReference w:id="467"/>
      </w:r>
    </w:p>
    <w:p w14:paraId="2D5E3338" w14:textId="15DF6D75" w:rsidR="003C5CBB" w:rsidRPr="003C5CBB" w:rsidRDefault="00634BAE" w:rsidP="003C5CBB">
      <w:pPr>
        <w:pStyle w:val="BNormal"/>
      </w:pPr>
      <w:r w:rsidRPr="003C5CBB">
        <w:t xml:space="preserve">Delineating the minimum </w:t>
      </w:r>
      <w:r w:rsidR="003C5CBB" w:rsidRPr="003C5CBB">
        <w:rPr>
          <w:i/>
        </w:rPr>
        <w:t>geographic</w:t>
      </w:r>
      <w:r w:rsidRPr="003C5CBB">
        <w:t xml:space="preserve"> scope might be done in a similar fashion</w:t>
      </w:r>
      <w:r w:rsidR="003C5CBB" w:rsidRPr="003C5CBB">
        <w:t>. H</w:t>
      </w:r>
      <w:r w:rsidRPr="003C5CBB">
        <w:t>owever, the inclusion of the geographic extent of advertising and publicity, and geographic scope of sales, as nonexclusive factors</w:t>
      </w:r>
      <w:r w:rsidR="003C5CBB" w:rsidRPr="003C5CBB">
        <w:rPr>
          <w:vertAlign w:val="superscript"/>
        </w:rPr>
        <w:footnoteReference w:id="468"/>
      </w:r>
      <w:r w:rsidRPr="003C5CBB">
        <w:t xml:space="preserve"> arguably means that a set minimum penetration was not intended by Congress</w:t>
      </w:r>
      <w:r w:rsidR="003C5CBB" w:rsidRPr="003C5CBB">
        <w:t>. O</w:t>
      </w:r>
      <w:r w:rsidRPr="003C5CBB">
        <w:t>n the other hand, given the TDRA’s apparent rejection of eligibility for locally famous marks,</w:t>
      </w:r>
      <w:r w:rsidR="003C5CBB" w:rsidRPr="003C5CBB">
        <w:rPr>
          <w:vertAlign w:val="superscript"/>
        </w:rPr>
        <w:footnoteReference w:id="469"/>
      </w:r>
      <w:r w:rsidRPr="003C5CBB">
        <w:t xml:space="preserve"> some </w:t>
      </w:r>
      <w:proofErr w:type="gramStart"/>
      <w:r w:rsidRPr="003C5CBB">
        <w:t>guideline</w:t>
      </w:r>
      <w:proofErr w:type="gramEnd"/>
      <w:r w:rsidRPr="003C5CBB">
        <w:t xml:space="preserve"> would be useful</w:t>
      </w:r>
      <w:r w:rsidR="003C5CBB" w:rsidRPr="003C5CBB">
        <w:t>. A</w:t>
      </w:r>
      <w:r w:rsidRPr="003C5CBB">
        <w:t xml:space="preserve">lthough any number is inherently arbitrary, </w:t>
      </w:r>
      <w:proofErr w:type="gramStart"/>
      <w:r w:rsidRPr="003C5CBB">
        <w:t>it would seem that a</w:t>
      </w:r>
      <w:proofErr w:type="gramEnd"/>
      <w:r w:rsidRPr="003C5CBB">
        <w:t xml:space="preserve"> mark that is “famous” in three-quarters of the country can reasonably call itself a famous mark worthy of extra protection.</w:t>
      </w:r>
      <w:r w:rsidR="003C5CBB" w:rsidRPr="003C5CBB">
        <w:rPr>
          <w:vertAlign w:val="superscript"/>
        </w:rPr>
        <w:footnoteReference w:id="470"/>
      </w:r>
    </w:p>
    <w:p w14:paraId="1B5E34EE" w14:textId="7AA495B6" w:rsidR="003C5CBB" w:rsidRPr="003C5CBB" w:rsidRDefault="008B3068" w:rsidP="008B3068">
      <w:pPr>
        <w:pStyle w:val="BHead1"/>
      </w:pPr>
      <w:r>
        <w:t>8.</w:t>
      </w:r>
      <w:r w:rsidR="003C5CBB" w:rsidRPr="008B3068">
        <w:rPr>
          <w:rStyle w:val="BBNAidChar"/>
          <w:rFonts w:eastAsiaTheme="majorEastAsia"/>
        </w:rPr>
        <w:t>V</w:t>
      </w:r>
      <w:r w:rsidR="003C5CBB" w:rsidRPr="003C5CBB">
        <w:t>.</w:t>
      </w:r>
      <w:r>
        <w:t xml:space="preserve">  </w:t>
      </w:r>
      <w:r w:rsidR="003C5CBB" w:rsidRPr="003C5CBB">
        <w:t>Fame in a Limited Market: Niche Market Fame</w:t>
      </w:r>
    </w:p>
    <w:p w14:paraId="60DAA8A8" w14:textId="17106539" w:rsidR="003C5CBB" w:rsidRPr="003C5CBB" w:rsidRDefault="008B3068" w:rsidP="008B3068">
      <w:pPr>
        <w:pStyle w:val="BHead2"/>
      </w:pPr>
      <w:r>
        <w:t>8.V.</w:t>
      </w:r>
      <w:r w:rsidR="003C5CBB" w:rsidRPr="008B3068">
        <w:rPr>
          <w:rStyle w:val="BBNAidChar"/>
          <w:rFonts w:eastAsiaTheme="majorEastAsia"/>
        </w:rPr>
        <w:t>A</w:t>
      </w:r>
      <w:r w:rsidR="003C5CBB" w:rsidRPr="003C5CBB">
        <w:t>.</w:t>
      </w:r>
      <w:r>
        <w:t> </w:t>
      </w:r>
      <w:r w:rsidR="003C5CBB" w:rsidRPr="003C5CBB">
        <w:tab/>
        <w:t>Niche Market Fame Not Permitted Under the TDRA</w:t>
      </w:r>
    </w:p>
    <w:p w14:paraId="3074BF6E" w14:textId="74071BB6" w:rsidR="003C5CBB" w:rsidRPr="003C5CBB" w:rsidRDefault="00634BAE" w:rsidP="003C5CBB">
      <w:pPr>
        <w:pStyle w:val="BNormal"/>
      </w:pPr>
      <w:r w:rsidRPr="003C5CBB">
        <w:t>One of the difficult issues faced by courts under the original FTDA was whether a mark could be considered famous in a limited market and thus claim protection under the FTDA</w:t>
      </w:r>
      <w:r w:rsidR="003C5CBB" w:rsidRPr="003C5CBB">
        <w:t>. C</w:t>
      </w:r>
      <w:r w:rsidRPr="003C5CBB">
        <w:t>ourts have referred to this as the “niche market” or “niche fame” issue.</w:t>
      </w:r>
      <w:r w:rsidR="003C5CBB" w:rsidRPr="003C5CBB">
        <w:rPr>
          <w:vertAlign w:val="superscript"/>
        </w:rPr>
        <w:footnoteReference w:id="471"/>
      </w:r>
      <w:r w:rsidRPr="003C5CBB">
        <w:t xml:space="preserve"> The problem </w:t>
      </w:r>
      <w:proofErr w:type="gramStart"/>
      <w:r w:rsidRPr="003C5CBB">
        <w:t>actually has</w:t>
      </w:r>
      <w:proofErr w:type="gramEnd"/>
      <w:r w:rsidRPr="003C5CBB">
        <w:t xml:space="preserve"> two dimensions</w:t>
      </w:r>
      <w:r w:rsidR="003C5CBB" w:rsidRPr="003C5CBB">
        <w:t>: g</w:t>
      </w:r>
      <w:r w:rsidRPr="003C5CBB">
        <w:t>eography and channels of trade</w:t>
      </w:r>
      <w:r w:rsidR="003C5CBB" w:rsidRPr="003C5CBB">
        <w:t>. C</w:t>
      </w:r>
      <w:r w:rsidRPr="003C5CBB">
        <w:t>ourts were generally in agreement about the first (it is not sufficient) but differed about the second dimension.</w:t>
      </w:r>
      <w:r w:rsidR="003C5CBB" w:rsidRPr="003C5CBB">
        <w:rPr>
          <w:vertAlign w:val="superscript"/>
        </w:rPr>
        <w:footnoteReference w:id="472"/>
      </w:r>
    </w:p>
    <w:p w14:paraId="0B2FF864" w14:textId="1927A1C2" w:rsidR="003C5CBB" w:rsidRPr="003C5CBB" w:rsidRDefault="00634BAE" w:rsidP="003C5CBB">
      <w:pPr>
        <w:pStyle w:val="BNormal"/>
      </w:pPr>
      <w:r w:rsidRPr="003C5CBB">
        <w:t>The drafters of the TDRA took note of this division and attempted to provide a solution</w:t>
      </w:r>
      <w:r w:rsidR="003C5CBB" w:rsidRPr="003C5CBB">
        <w:t>. T</w:t>
      </w:r>
      <w:r w:rsidRPr="003C5CBB">
        <w:t>he definition of fame under the TDRA refers to the mark being “widely recognized by the general consuming public of the United States.”</w:t>
      </w:r>
      <w:r w:rsidR="003C5CBB" w:rsidRPr="003C5CBB">
        <w:rPr>
          <w:vertAlign w:val="superscript"/>
        </w:rPr>
        <w:footnoteReference w:id="473"/>
      </w:r>
      <w:r w:rsidRPr="003C5CBB">
        <w:t xml:space="preserve"> This was intended to and appears to have resolved the issue against the existence of “niche market” fame.</w:t>
      </w:r>
      <w:r w:rsidR="003C5CBB" w:rsidRPr="003C5CBB">
        <w:rPr>
          <w:vertAlign w:val="superscript"/>
        </w:rPr>
        <w:footnoteReference w:id="474"/>
      </w:r>
      <w:r w:rsidRPr="003C5CBB">
        <w:t xml:space="preserve"> Presumably, “the general consuming public” does not refer to the narrow segment of the population </w:t>
      </w:r>
      <w:r w:rsidRPr="003C5CBB">
        <w:lastRenderedPageBreak/>
        <w:t>knowledgeable about expensive bicycles,</w:t>
      </w:r>
      <w:r w:rsidR="003C5CBB" w:rsidRPr="003C5CBB">
        <w:rPr>
          <w:vertAlign w:val="superscript"/>
        </w:rPr>
        <w:footnoteReference w:id="475"/>
      </w:r>
      <w:r w:rsidRPr="003C5CBB">
        <w:t xml:space="preserve"> narrowly focused charitable organizations,</w:t>
      </w:r>
      <w:r w:rsidR="003C5CBB" w:rsidRPr="003C5CBB">
        <w:rPr>
          <w:vertAlign w:val="superscript"/>
        </w:rPr>
        <w:footnoteReference w:id="476"/>
      </w:r>
      <w:r w:rsidRPr="003C5CBB">
        <w:t xml:space="preserve"> or plastic containers for flowers used at funerals.</w:t>
      </w:r>
      <w:r w:rsidR="003C5CBB" w:rsidRPr="003C5CBB">
        <w:rPr>
          <w:vertAlign w:val="superscript"/>
        </w:rPr>
        <w:footnoteReference w:id="477"/>
      </w:r>
    </w:p>
    <w:p w14:paraId="4DA21CBA" w14:textId="49CE1A73" w:rsidR="003C5CBB" w:rsidRPr="003C5CBB" w:rsidRDefault="00634BAE" w:rsidP="003C5CBB">
      <w:pPr>
        <w:pStyle w:val="BNormal"/>
      </w:pPr>
      <w:r w:rsidRPr="003C5CBB">
        <w:t>The nearly unanimous judicial conclusion is that, after the TDRA, niche fame no longer will satisfy the requirement that a mark be famous.</w:t>
      </w:r>
      <w:r w:rsidR="003C5CBB" w:rsidRPr="003C5CBB">
        <w:rPr>
          <w:vertAlign w:val="superscript"/>
        </w:rPr>
        <w:footnoteReference w:id="478"/>
      </w:r>
      <w:r w:rsidRPr="003C5CBB">
        <w:t xml:space="preserve"> Indeed, one court even found that the University of Texas’s longhorn logo was not famous, because it would be known only to sports fans, not to the “general consuming public.”</w:t>
      </w:r>
      <w:r w:rsidR="003C5CBB" w:rsidRPr="003C5CBB">
        <w:rPr>
          <w:vertAlign w:val="superscript"/>
        </w:rPr>
        <w:footnoteReference w:id="479"/>
      </w:r>
      <w:r w:rsidRPr="003C5CBB">
        <w:t xml:space="preserve"> Another court rejected a claim that the dripped wax seal on Maker’s Mark bourbon was famous, finding only niche fame.</w:t>
      </w:r>
      <w:r w:rsidR="003C5CBB" w:rsidRPr="003C5CBB">
        <w:rPr>
          <w:vertAlign w:val="superscript"/>
        </w:rPr>
        <w:footnoteReference w:id="480"/>
      </w:r>
    </w:p>
    <w:p w14:paraId="0A8FA73B" w14:textId="6B080A28" w:rsidR="003C5CBB" w:rsidRPr="003C5CBB" w:rsidRDefault="008B3068" w:rsidP="008B3068">
      <w:pPr>
        <w:pStyle w:val="BHead2"/>
      </w:pPr>
      <w:r>
        <w:t>8.V.</w:t>
      </w:r>
      <w:r w:rsidR="003C5CBB" w:rsidRPr="008B3068">
        <w:rPr>
          <w:rStyle w:val="BBNAidChar"/>
          <w:rFonts w:eastAsiaTheme="majorEastAsia"/>
        </w:rPr>
        <w:t>B</w:t>
      </w:r>
      <w:r w:rsidR="003C5CBB" w:rsidRPr="003C5CBB">
        <w:t>.</w:t>
      </w:r>
      <w:r>
        <w:t> </w:t>
      </w:r>
      <w:r w:rsidR="003C5CBB" w:rsidRPr="003C5CBB">
        <w:tab/>
        <w:t>Fame in a Limited Geographic Market Not Sufficient Before or After the TDRA</w:t>
      </w:r>
    </w:p>
    <w:p w14:paraId="4F5E6A73" w14:textId="3776E5C1" w:rsidR="003C5CBB" w:rsidRPr="003C5CBB" w:rsidRDefault="00634BAE" w:rsidP="003C5CBB">
      <w:pPr>
        <w:pStyle w:val="BNormal"/>
      </w:pPr>
      <w:proofErr w:type="gramStart"/>
      <w:r w:rsidRPr="003C5CBB">
        <w:t>It is clear that marks</w:t>
      </w:r>
      <w:proofErr w:type="gramEnd"/>
      <w:r w:rsidRPr="003C5CBB">
        <w:t xml:space="preserve"> that are famous only in a limited </w:t>
      </w:r>
      <w:r w:rsidR="003C5CBB" w:rsidRPr="003C5CBB">
        <w:rPr>
          <w:i/>
        </w:rPr>
        <w:t>geographic</w:t>
      </w:r>
      <w:r w:rsidRPr="003C5CBB">
        <w:t xml:space="preserve"> market should not be protected under the FTDA</w:t>
      </w:r>
      <w:r w:rsidR="003C5CBB" w:rsidRPr="003C5CBB">
        <w:t>. S</w:t>
      </w:r>
      <w:r w:rsidRPr="003C5CBB">
        <w:t>everal factors support this conclusion</w:t>
      </w:r>
      <w:r w:rsidR="003C5CBB" w:rsidRPr="003C5CBB">
        <w:t>. B</w:t>
      </w:r>
      <w:r w:rsidRPr="003C5CBB">
        <w:t xml:space="preserve">oth the 1987 USTA Review Commission proposal and the </w:t>
      </w:r>
      <w:r w:rsidRPr="003C5CBB">
        <w:lastRenderedPageBreak/>
        <w:t>House Report on the FTDA bill state that the mark must be well known in a substantial part of the United States to be considered famous.</w:t>
      </w:r>
      <w:r w:rsidR="003C5CBB" w:rsidRPr="003C5CBB">
        <w:rPr>
          <w:vertAlign w:val="superscript"/>
        </w:rPr>
        <w:footnoteReference w:id="481"/>
      </w:r>
      <w:r w:rsidRPr="003C5CBB">
        <w:t xml:space="preserve"> Moreover, when discussing the reasons that the FTDA did not preempt state dilution laws, the House Report specifically notes that “locally famous or distinctive marks” would be dealt with under state law.</w:t>
      </w:r>
      <w:r w:rsidR="003C5CBB" w:rsidRPr="003C5CBB">
        <w:rPr>
          <w:vertAlign w:val="superscript"/>
        </w:rPr>
        <w:footnoteReference w:id="482"/>
      </w:r>
      <w:r w:rsidRPr="003C5CBB">
        <w:t xml:space="preserve"> The original version of the statute itself was not clear on this question</w:t>
      </w:r>
      <w:r w:rsidR="003C5CBB" w:rsidRPr="003C5CBB">
        <w:t>. O</w:t>
      </w:r>
      <w:r w:rsidRPr="003C5CBB">
        <w:t>ne of the original factors in determining fame was “the geographical extent of the trading area in which the mark is used.”</w:t>
      </w:r>
      <w:r w:rsidR="003C5CBB" w:rsidRPr="003C5CBB">
        <w:rPr>
          <w:vertAlign w:val="superscript"/>
        </w:rPr>
        <w:footnoteReference w:id="483"/>
      </w:r>
      <w:r w:rsidRPr="003C5CBB">
        <w:t xml:space="preserve"> Although this did not exclude locally famous marks from being “famous” under the FTDA, it did lessen the possibility</w:t>
      </w:r>
      <w:r w:rsidR="003C5CBB" w:rsidRPr="003C5CBB">
        <w:t>. T</w:t>
      </w:r>
      <w:r w:rsidRPr="003C5CBB">
        <w:t>he TDRA incorporated this factor into a larger factor</w:t>
      </w:r>
      <w:r w:rsidR="003C5CBB" w:rsidRPr="003C5CBB">
        <w:t>: “</w:t>
      </w:r>
      <w:r w:rsidRPr="003C5CBB">
        <w:t>The amount, volume, and geographic extent of sales of goods or services offered under the mark.” But it leads to the same conclusion</w:t>
      </w:r>
      <w:r w:rsidR="003C5CBB" w:rsidRPr="003C5CBB">
        <w:t>: m</w:t>
      </w:r>
      <w:r w:rsidRPr="003C5CBB">
        <w:t>arks known only locally should not be considered famous.</w:t>
      </w:r>
    </w:p>
    <w:p w14:paraId="0673E702" w14:textId="5B784B3D" w:rsidR="003C5CBB" w:rsidRPr="003C5CBB" w:rsidRDefault="00634BAE" w:rsidP="003C5CBB">
      <w:pPr>
        <w:pStyle w:val="BNormal"/>
      </w:pPr>
      <w:r w:rsidRPr="003C5CBB">
        <w:t>Another provision of the TDRA strengthens the conclusion that fame in a limited geographic market should not be sufficient to make a mark eligible for federal dilution protection</w:t>
      </w:r>
      <w:r w:rsidR="003C5CBB" w:rsidRPr="003C5CBB">
        <w:t>. T</w:t>
      </w:r>
      <w:r w:rsidRPr="003C5CBB">
        <w:t>o be famous, a mark must be recognized by the “general consuming public of the United States.” This appears to anticipate a wide geographic awareness</w:t>
      </w:r>
      <w:r w:rsidR="003C5CBB" w:rsidRPr="003C5CBB">
        <w:t>. M</w:t>
      </w:r>
      <w:r w:rsidRPr="003C5CBB">
        <w:t xml:space="preserve">oreover, eliminating niche </w:t>
      </w:r>
      <w:r w:rsidR="003C5CBB" w:rsidRPr="003C5CBB">
        <w:rPr>
          <w:i/>
        </w:rPr>
        <w:t>product</w:t>
      </w:r>
      <w:r w:rsidRPr="003C5CBB">
        <w:t xml:space="preserve"> market fame while allowing niche </w:t>
      </w:r>
      <w:r w:rsidR="003C5CBB" w:rsidRPr="003C5CBB">
        <w:rPr>
          <w:i/>
        </w:rPr>
        <w:t>geographic</w:t>
      </w:r>
      <w:r w:rsidRPr="003C5CBB">
        <w:t xml:space="preserve"> fame would make little sense.</w:t>
      </w:r>
    </w:p>
    <w:p w14:paraId="56D20D26" w14:textId="2ADC45EA" w:rsidR="003C5CBB" w:rsidRPr="003C5CBB" w:rsidRDefault="00634BAE" w:rsidP="003C5CBB">
      <w:pPr>
        <w:pStyle w:val="BNormal"/>
      </w:pPr>
      <w:r w:rsidRPr="003C5CBB">
        <w:t>Given the strong legislative history pointing away from federal protection for locally famous marks, such marks should not be deemed famous under the FTDA.</w:t>
      </w:r>
      <w:r w:rsidR="003C5CBB" w:rsidRPr="003C5CBB">
        <w:rPr>
          <w:vertAlign w:val="superscript"/>
        </w:rPr>
        <w:footnoteReference w:id="484"/>
      </w:r>
      <w:r w:rsidRPr="003C5CBB">
        <w:t xml:space="preserve"> Courts have not shown any inclination to disagree with this conclusion.</w:t>
      </w:r>
      <w:r w:rsidR="003C5CBB" w:rsidRPr="003C5CBB">
        <w:rPr>
          <w:vertAlign w:val="superscript"/>
        </w:rPr>
        <w:footnoteReference w:id="485"/>
      </w:r>
    </w:p>
    <w:p w14:paraId="095CC6F9" w14:textId="2E7A8131" w:rsidR="003C5CBB" w:rsidRPr="003C5CBB" w:rsidRDefault="008B3068" w:rsidP="008B3068">
      <w:pPr>
        <w:pStyle w:val="BHead2"/>
      </w:pPr>
      <w:r>
        <w:t>8.V.</w:t>
      </w:r>
      <w:r w:rsidR="003C5CBB" w:rsidRPr="008B3068">
        <w:rPr>
          <w:rStyle w:val="BBNAidChar"/>
          <w:rFonts w:eastAsiaTheme="majorEastAsia"/>
        </w:rPr>
        <w:t>C</w:t>
      </w:r>
      <w:r w:rsidR="003C5CBB" w:rsidRPr="003C5CBB">
        <w:t>.</w:t>
      </w:r>
      <w:r>
        <w:t> </w:t>
      </w:r>
      <w:r w:rsidR="003C5CBB" w:rsidRPr="003C5CBB">
        <w:tab/>
        <w:t>Before the TDRA: Courts Divided Over Niche Market Fame</w:t>
      </w:r>
    </w:p>
    <w:p w14:paraId="7110E5D5" w14:textId="682008A5" w:rsidR="003C5CBB" w:rsidRPr="003C5CBB" w:rsidRDefault="00634BAE" w:rsidP="003C5CBB">
      <w:pPr>
        <w:pStyle w:val="BNormal"/>
      </w:pPr>
      <w:r w:rsidRPr="003C5CBB">
        <w:t>Before the TDRA defined a famous mark, courts struggled with the application of the factors in the absence of any context</w:t>
      </w:r>
      <w:r w:rsidR="003C5CBB" w:rsidRPr="003C5CBB">
        <w:t xml:space="preserve">. </w:t>
      </w:r>
      <w:proofErr w:type="gramStart"/>
      <w:r w:rsidR="003C5CBB" w:rsidRPr="003C5CBB">
        <w:t>I</w:t>
      </w:r>
      <w:r w:rsidRPr="003C5CBB">
        <w:t>n particular, they</w:t>
      </w:r>
      <w:proofErr w:type="gramEnd"/>
      <w:r w:rsidRPr="003C5CBB">
        <w:t xml:space="preserve"> split over whether a mark “famous” only in a particular product market, but not famous to consumers generally, was eligible for protection under the FTDA.</w:t>
      </w:r>
      <w:r w:rsidR="003C5CBB" w:rsidRPr="003C5CBB">
        <w:rPr>
          <w:vertAlign w:val="superscript"/>
        </w:rPr>
        <w:footnoteReference w:id="486"/>
      </w:r>
    </w:p>
    <w:p w14:paraId="4B89A721" w14:textId="505E4352" w:rsidR="003C5CBB" w:rsidRPr="003C5CBB" w:rsidRDefault="00634BAE" w:rsidP="003C5CBB">
      <w:pPr>
        <w:pStyle w:val="BNormal"/>
      </w:pPr>
      <w:r w:rsidRPr="003C5CBB">
        <w:lastRenderedPageBreak/>
        <w:t>Courts favoring niche fame cited a portion of the original USTA proposal in 1987 for a federal dilution statute,</w:t>
      </w:r>
      <w:r w:rsidR="003C5CBB" w:rsidRPr="003C5CBB">
        <w:rPr>
          <w:vertAlign w:val="superscript"/>
        </w:rPr>
        <w:footnoteReference w:id="487"/>
      </w:r>
      <w:r w:rsidRPr="003C5CBB">
        <w:t xml:space="preserve"> as well as language from the dilution section of the </w:t>
      </w:r>
      <w:r w:rsidR="003C5CBB" w:rsidRPr="003C5CBB">
        <w:rPr>
          <w:i/>
        </w:rPr>
        <w:t>Restatement (Third) of Unfair Competition</w:t>
      </w:r>
      <w:r w:rsidRPr="003C5CBB">
        <w:t>.</w:t>
      </w:r>
      <w:r w:rsidR="003C5CBB" w:rsidRPr="003C5CBB">
        <w:rPr>
          <w:vertAlign w:val="superscript"/>
        </w:rPr>
        <w:footnoteReference w:id="488"/>
      </w:r>
      <w:r w:rsidRPr="003C5CBB">
        <w:t xml:space="preserve"> But the USTA proposal was altered somewhat before its adoption (it assumed, for example, that only registered marks would be eligible), and the </w:t>
      </w:r>
      <w:r w:rsidR="003C5CBB" w:rsidRPr="003C5CBB">
        <w:rPr>
          <w:i/>
        </w:rPr>
        <w:t>Restatement</w:t>
      </w:r>
      <w:r w:rsidRPr="003C5CBB">
        <w:t xml:space="preserve"> was adopted before the FTDA was enacted and does not require a famous mark</w:t>
      </w:r>
      <w:r w:rsidR="003C5CBB" w:rsidRPr="003C5CBB">
        <w:t>. E</w:t>
      </w:r>
      <w:r w:rsidRPr="003C5CBB">
        <w:t>ven those courts favoring niche fame limited its application</w:t>
      </w:r>
      <w:r w:rsidR="003C5CBB" w:rsidRPr="003C5CBB">
        <w:t>. I</w:t>
      </w:r>
      <w:r w:rsidRPr="003C5CBB">
        <w:t>t only applied where the parties were competitors</w:t>
      </w:r>
      <w:r w:rsidR="003C5CBB" w:rsidRPr="003C5CBB">
        <w:rPr>
          <w:vertAlign w:val="superscript"/>
        </w:rPr>
        <w:footnoteReference w:id="489"/>
      </w:r>
      <w:r w:rsidRPr="003C5CBB">
        <w:t>—not the archetypical dilution case, and one court of appeals required a “high degree of fame” (whatever that might mean) for niche market fame to exist.</w:t>
      </w:r>
      <w:r w:rsidR="003C5CBB" w:rsidRPr="003C5CBB">
        <w:rPr>
          <w:vertAlign w:val="superscript"/>
        </w:rPr>
        <w:footnoteReference w:id="490"/>
      </w:r>
      <w:r w:rsidRPr="003C5CBB">
        <w:t xml:space="preserve"> Niche market fame led to some far less-than-household names being found famous.</w:t>
      </w:r>
      <w:r w:rsidR="003C5CBB" w:rsidRPr="003C5CBB">
        <w:rPr>
          <w:vertAlign w:val="superscript"/>
        </w:rPr>
        <w:footnoteReference w:id="491"/>
      </w:r>
    </w:p>
    <w:p w14:paraId="1DDC6C6A" w14:textId="4B497B14" w:rsidR="003C5CBB" w:rsidRPr="003C5CBB" w:rsidRDefault="00634BAE" w:rsidP="003C5CBB">
      <w:pPr>
        <w:pStyle w:val="BNormal"/>
      </w:pPr>
      <w:r w:rsidRPr="003C5CBB">
        <w:lastRenderedPageBreak/>
        <w:t xml:space="preserve">Courts that rejected niche fame could reasonably be said to have argued that “fame means </w:t>
      </w:r>
      <w:r w:rsidR="003C5CBB" w:rsidRPr="003C5CBB">
        <w:rPr>
          <w:i/>
        </w:rPr>
        <w:t>fame</w:t>
      </w:r>
      <w:r w:rsidRPr="003C5CBB">
        <w:t>.”</w:t>
      </w:r>
      <w:r w:rsidR="003C5CBB" w:rsidRPr="003C5CBB">
        <w:rPr>
          <w:vertAlign w:val="superscript"/>
        </w:rPr>
        <w:footnoteReference w:id="492"/>
      </w:r>
      <w:r w:rsidRPr="003C5CBB">
        <w:t xml:space="preserve"> These courts were reluctant to assume that Congress intended to allow the greater protection afforded by dilution to be conferred on </w:t>
      </w:r>
      <w:proofErr w:type="gramStart"/>
      <w:r w:rsidRPr="003C5CBB">
        <w:t>lesser known</w:t>
      </w:r>
      <w:proofErr w:type="gramEnd"/>
      <w:r w:rsidRPr="003C5CBB">
        <w:t xml:space="preserve"> marks.</w:t>
      </w:r>
      <w:r w:rsidR="003C5CBB" w:rsidRPr="003C5CBB">
        <w:rPr>
          <w:vertAlign w:val="superscript"/>
        </w:rPr>
        <w:footnoteReference w:id="493"/>
      </w:r>
    </w:p>
    <w:p w14:paraId="752BFA75" w14:textId="46C49AD4" w:rsidR="003C5CBB" w:rsidRPr="003C5CBB" w:rsidRDefault="00634BAE" w:rsidP="003C5CBB">
      <w:pPr>
        <w:pStyle w:val="BNormal"/>
      </w:pPr>
      <w:r w:rsidRPr="003C5CBB">
        <w:t>Now that the TDRA has rejected the concept of niche fame, the issue should disappear from claims under federal law</w:t>
      </w:r>
      <w:r w:rsidR="003C5CBB" w:rsidRPr="003C5CBB">
        <w:t>. H</w:t>
      </w:r>
      <w:r w:rsidRPr="003C5CBB">
        <w:t>owever, the issue may continue to arise under some state laws, especially those which mirror the original language of the FTDA.</w:t>
      </w:r>
      <w:r w:rsidR="003C5CBB" w:rsidRPr="003C5CBB">
        <w:rPr>
          <w:vertAlign w:val="superscript"/>
        </w:rPr>
        <w:footnoteReference w:id="494"/>
      </w:r>
    </w:p>
    <w:p w14:paraId="70165C92" w14:textId="2CBAF491" w:rsidR="003C5CBB" w:rsidRPr="003C5CBB" w:rsidRDefault="008B3068" w:rsidP="008B3068">
      <w:pPr>
        <w:pStyle w:val="BHead1"/>
      </w:pPr>
      <w:r>
        <w:t>8.</w:t>
      </w:r>
      <w:r w:rsidR="003C5CBB" w:rsidRPr="008B3068">
        <w:rPr>
          <w:rStyle w:val="BBNAidChar"/>
          <w:rFonts w:eastAsiaTheme="majorEastAsia"/>
        </w:rPr>
        <w:t>VI</w:t>
      </w:r>
      <w:r w:rsidR="003C5CBB" w:rsidRPr="003C5CBB">
        <w:t>.</w:t>
      </w:r>
      <w:r>
        <w:t xml:space="preserve">  </w:t>
      </w:r>
      <w:r w:rsidR="003C5CBB" w:rsidRPr="003C5CBB">
        <w:t>Famous People as “Famous Marks” Under the FTDA</w:t>
      </w:r>
    </w:p>
    <w:p w14:paraId="66C48394" w14:textId="60680829" w:rsidR="003C5CBB" w:rsidRPr="003C5CBB" w:rsidRDefault="00634BAE" w:rsidP="003C5CBB">
      <w:pPr>
        <w:pStyle w:val="BNormal"/>
      </w:pPr>
      <w:r w:rsidRPr="003C5CBB">
        <w:t>It is now commonplace for celebrities</w:t>
      </w:r>
      <w:proofErr w:type="gramStart"/>
      <w:r w:rsidRPr="003C5CBB">
        <w:t>—“</w:t>
      </w:r>
      <w:proofErr w:type="gramEnd"/>
      <w:r w:rsidRPr="003C5CBB">
        <w:t>famous” people—to use their celebrity status to generate income, by endorsements and other similar means</w:t>
      </w:r>
      <w:r w:rsidR="003C5CBB" w:rsidRPr="003C5CBB">
        <w:t>. F</w:t>
      </w:r>
      <w:r w:rsidRPr="003C5CBB">
        <w:t>or almost 50 years, courts have held that celebrities have the right to prevent others from using their names, likenesses, and even “personas” commercially, under the rubric of the right of publicity.</w:t>
      </w:r>
      <w:r w:rsidR="003C5CBB" w:rsidRPr="003C5CBB">
        <w:rPr>
          <w:vertAlign w:val="superscript"/>
        </w:rPr>
        <w:footnoteReference w:id="495"/>
      </w:r>
      <w:r w:rsidRPr="003C5CBB">
        <w:t xml:space="preserve"> State statutes protect these rights as well.</w:t>
      </w:r>
      <w:r w:rsidR="003C5CBB" w:rsidRPr="003C5CBB">
        <w:rPr>
          <w:vertAlign w:val="superscript"/>
        </w:rPr>
        <w:footnoteReference w:id="496"/>
      </w:r>
      <w:r w:rsidRPr="003C5CBB">
        <w:t xml:space="preserve"> More recently, celebrities have been permitted to sue under Section 43(a) of the Lanham Act by alleging that an unauthorized commercial use of their name, likeness, or even voice causes consumers to assume, falsely, that the celebrity is an endorser of a particular product.</w:t>
      </w:r>
      <w:r w:rsidR="003C5CBB" w:rsidRPr="003C5CBB">
        <w:rPr>
          <w:vertAlign w:val="superscript"/>
        </w:rPr>
        <w:footnoteReference w:id="497"/>
      </w:r>
      <w:r w:rsidRPr="003C5CBB">
        <w:t xml:space="preserve"> It is not surprising, then, that celebrities might seek to use Section 43(c) as another means to prevent unauthorized uses of their names.</w:t>
      </w:r>
      <w:r w:rsidR="003C5CBB" w:rsidRPr="003C5CBB">
        <w:rPr>
          <w:vertAlign w:val="superscript"/>
        </w:rPr>
        <w:footnoteReference w:id="498"/>
      </w:r>
      <w:r w:rsidRPr="003C5CBB">
        <w:t xml:space="preserve"> Unlike a claim under Section 43(a), no confusion need be shown under Section 43(c)</w:t>
      </w:r>
      <w:r w:rsidR="003C5CBB" w:rsidRPr="003C5CBB">
        <w:t>. A</w:t>
      </w:r>
      <w:r w:rsidRPr="003C5CBB">
        <w:t xml:space="preserve">nd </w:t>
      </w:r>
      <w:proofErr w:type="gramStart"/>
      <w:r w:rsidRPr="003C5CBB">
        <w:t>it would appear that celebrities</w:t>
      </w:r>
      <w:proofErr w:type="gramEnd"/>
      <w:r w:rsidRPr="003C5CBB">
        <w:t xml:space="preserve"> pass the threshold test—they are by definition “famous.” </w:t>
      </w:r>
      <w:r w:rsidR="003C5CBB" w:rsidRPr="003C5CBB">
        <w:rPr>
          <w:vertAlign w:val="superscript"/>
        </w:rPr>
        <w:footnoteReference w:id="499"/>
      </w:r>
      <w:r w:rsidRPr="003C5CBB">
        <w:t xml:space="preserve"> </w:t>
      </w:r>
      <w:r w:rsidRPr="003C5CBB">
        <w:lastRenderedPageBreak/>
        <w:t>However, things are not always as they seem</w:t>
      </w:r>
      <w:r w:rsidR="003C5CBB" w:rsidRPr="003C5CBB">
        <w:t>. T</w:t>
      </w:r>
      <w:r w:rsidRPr="003C5CBB">
        <w:t>he use of Section 43(c) by a celebrity is not, and should not be, automatically valid.</w:t>
      </w:r>
    </w:p>
    <w:p w14:paraId="2C9E89D6" w14:textId="5D038362" w:rsidR="003C5CBB" w:rsidRPr="003C5CBB" w:rsidRDefault="00634BAE" w:rsidP="003C5CBB">
      <w:pPr>
        <w:pStyle w:val="BNormal"/>
      </w:pPr>
      <w:r w:rsidRPr="003C5CBB">
        <w:t>The first sentence of Section 43(c) defines who may use that section</w:t>
      </w:r>
      <w:r w:rsidR="003C5CBB" w:rsidRPr="003C5CBB">
        <w:t>: “</w:t>
      </w:r>
      <w:r w:rsidRPr="003C5CBB">
        <w:t xml:space="preserve">[t]he owner of a famous </w:t>
      </w:r>
      <w:r w:rsidR="003C5CBB" w:rsidRPr="003C5CBB">
        <w:rPr>
          <w:i/>
        </w:rPr>
        <w:t>mark</w:t>
      </w:r>
      <w:r w:rsidRPr="003C5CBB">
        <w:t>” (emphasis added)</w:t>
      </w:r>
      <w:r w:rsidR="003C5CBB" w:rsidRPr="003C5CBB">
        <w:t>. A</w:t>
      </w:r>
      <w:r w:rsidRPr="003C5CBB">
        <w:t xml:space="preserve"> “trademark” (one may assume that Congress intended “mark” to include both “trademark” and “service mark”) is defined as a “word, name, symbol, or device</w:t>
      </w:r>
      <w:r w:rsidR="003C5CBB" w:rsidRPr="003C5CBB">
        <w:t xml:space="preserve"> </w:t>
      </w:r>
      <w:r w:rsidRPr="003C5CBB">
        <w:t>…</w:t>
      </w:r>
      <w:r w:rsidR="003C5CBB" w:rsidRPr="003C5CBB">
        <w:t xml:space="preserve"> </w:t>
      </w:r>
      <w:r w:rsidRPr="003C5CBB">
        <w:t>” used “to identify and distinguish [its owner’s] goods</w:t>
      </w:r>
      <w:r w:rsidR="003C5CBB" w:rsidRPr="003C5CBB">
        <w:t xml:space="preserve"> </w:t>
      </w:r>
      <w:r w:rsidRPr="003C5CBB">
        <w:t>…</w:t>
      </w:r>
      <w:r w:rsidR="003C5CBB" w:rsidRPr="003C5CBB">
        <w:t xml:space="preserve"> </w:t>
      </w:r>
      <w:r w:rsidRPr="003C5CBB">
        <w:t>from those manufactured or sold by others, and to indicate the source of the goods, even if the source is unknown.”</w:t>
      </w:r>
      <w:r w:rsidR="003C5CBB" w:rsidRPr="003C5CBB">
        <w:rPr>
          <w:vertAlign w:val="superscript"/>
        </w:rPr>
        <w:footnoteReference w:id="500"/>
      </w:r>
      <w:r w:rsidRPr="003C5CBB">
        <w:t xml:space="preserve"> Although celebrities often endorse goods, ordinarily a celebrity’s function is not to indicate the source of the goods</w:t>
      </w:r>
      <w:r w:rsidR="003C5CBB" w:rsidRPr="003C5CBB">
        <w:t>; t</w:t>
      </w:r>
      <w:r w:rsidRPr="003C5CBB">
        <w:t>hat function is performed by a trademark for the goods</w:t>
      </w:r>
      <w:r w:rsidR="003C5CBB" w:rsidRPr="003C5CBB">
        <w:t>. T</w:t>
      </w:r>
      <w:r w:rsidRPr="003C5CBB">
        <w:t>he celebrity functions as an attention getter and a glamour enhancer, but not a source identifier</w:t>
      </w:r>
      <w:r w:rsidR="003C5CBB" w:rsidRPr="003C5CBB">
        <w:t>. T</w:t>
      </w:r>
      <w:r w:rsidRPr="003C5CBB">
        <w:t>hus, in that context, a celebrity does not function as a “mark” and should not be protected by Section 43(c).</w:t>
      </w:r>
      <w:r w:rsidR="003C5CBB" w:rsidRPr="003C5CBB">
        <w:rPr>
          <w:vertAlign w:val="superscript"/>
        </w:rPr>
        <w:footnoteReference w:id="501"/>
      </w:r>
      <w:r w:rsidRPr="003C5CBB">
        <w:t xml:space="preserve"> Furthermore, names traditionally have not been protected as marks, absent a showing of secondary meaning.</w:t>
      </w:r>
      <w:r w:rsidR="003C5CBB" w:rsidRPr="003C5CBB">
        <w:rPr>
          <w:vertAlign w:val="superscript"/>
        </w:rPr>
        <w:footnoteReference w:id="502"/>
      </w:r>
      <w:r w:rsidRPr="003C5CBB">
        <w:t xml:space="preserve"> Thus, even in other circumstances, names are not ordinarily regarded as source identifiers.</w:t>
      </w:r>
    </w:p>
    <w:p w14:paraId="6B7A2966" w14:textId="0FE8340D" w:rsidR="003C5CBB" w:rsidRPr="003C5CBB" w:rsidRDefault="00634BAE" w:rsidP="003C5CBB">
      <w:pPr>
        <w:pStyle w:val="BNormal"/>
      </w:pPr>
      <w:r w:rsidRPr="003C5CBB">
        <w:t>This analysis is confirmed by the amendments added in 2006</w:t>
      </w:r>
      <w:r w:rsidR="003C5CBB" w:rsidRPr="003C5CBB">
        <w:t>. T</w:t>
      </w:r>
      <w:r w:rsidRPr="003C5CBB">
        <w:t>he TDRA deems a mark to be famous if it is widely recognized “as a designation of source of the goods or services of the mark’s owner.”</w:t>
      </w:r>
      <w:r w:rsidR="003C5CBB" w:rsidRPr="003C5CBB">
        <w:rPr>
          <w:vertAlign w:val="superscript"/>
        </w:rPr>
        <w:footnoteReference w:id="503"/>
      </w:r>
      <w:r w:rsidRPr="003C5CBB">
        <w:t xml:space="preserve"> Thus, </w:t>
      </w:r>
      <w:proofErr w:type="gramStart"/>
      <w:r w:rsidRPr="003C5CBB">
        <w:t>it is clear that a</w:t>
      </w:r>
      <w:proofErr w:type="gramEnd"/>
      <w:r w:rsidRPr="003C5CBB">
        <w:t xml:space="preserve"> famous mark must be just that—a mark.</w:t>
      </w:r>
    </w:p>
    <w:p w14:paraId="508515C1" w14:textId="62901042" w:rsidR="003C5CBB" w:rsidRPr="003C5CBB" w:rsidRDefault="00634BAE" w:rsidP="003C5CBB">
      <w:pPr>
        <w:pStyle w:val="BNormal"/>
      </w:pPr>
      <w:r w:rsidRPr="003C5CBB">
        <w:t>It is important to understand that neither state right-of-publicity laws nor Section 43(a) are as limited as Section 43(c) in terms of who has standing to sue and what rights are protected</w:t>
      </w:r>
      <w:r w:rsidR="003C5CBB" w:rsidRPr="003C5CBB">
        <w:t>. S</w:t>
      </w:r>
      <w:r w:rsidRPr="003C5CBB">
        <w:t>tate right-of-publicity statutes tend to treat the celebrity’s interest as a property right that is infringed by almost any commercial use.</w:t>
      </w:r>
      <w:r w:rsidR="003C5CBB" w:rsidRPr="003C5CBB">
        <w:rPr>
          <w:vertAlign w:val="superscript"/>
        </w:rPr>
        <w:footnoteReference w:id="504"/>
      </w:r>
      <w:r w:rsidRPr="003C5CBB">
        <w:t xml:space="preserve"> Section 43(a) does not even contain the word “mark,” although it does speak of using a “word, term, name, symbol, or device”—the terms used to define trademark in the statute.</w:t>
      </w:r>
      <w:r w:rsidR="003C5CBB" w:rsidRPr="003C5CBB">
        <w:rPr>
          <w:vertAlign w:val="superscript"/>
        </w:rPr>
        <w:footnoteReference w:id="505"/>
      </w:r>
      <w:r w:rsidRPr="003C5CBB">
        <w:t xml:space="preserve"> But it also includes “any false designation of origin, false or misleading description of fact, or false or misleading representation of fact.”</w:t>
      </w:r>
      <w:r w:rsidR="003C5CBB" w:rsidRPr="003C5CBB">
        <w:rPr>
          <w:vertAlign w:val="superscript"/>
        </w:rPr>
        <w:footnoteReference w:id="506"/>
      </w:r>
      <w:r w:rsidRPr="003C5CBB">
        <w:t xml:space="preserve"> Thus, Section 43(a) covers a broader range of misdeeds than simple trademark infringement.</w:t>
      </w:r>
      <w:r w:rsidR="003C5CBB" w:rsidRPr="003C5CBB">
        <w:rPr>
          <w:vertAlign w:val="superscript"/>
        </w:rPr>
        <w:footnoteReference w:id="507"/>
      </w:r>
      <w:r w:rsidRPr="003C5CBB">
        <w:t xml:space="preserve"> And Section 43(a), unlike Section 43(c), requires either confusion or misrepresentation.</w:t>
      </w:r>
    </w:p>
    <w:p w14:paraId="542F670E" w14:textId="0C0D3F82" w:rsidR="003C5CBB" w:rsidRPr="003C5CBB" w:rsidRDefault="00634BAE" w:rsidP="003C5CBB">
      <w:pPr>
        <w:pStyle w:val="BNormal"/>
      </w:pPr>
      <w:r w:rsidRPr="003C5CBB">
        <w:lastRenderedPageBreak/>
        <w:t xml:space="preserve">In </w:t>
      </w:r>
      <w:r w:rsidR="003C5CBB" w:rsidRPr="003C5CBB">
        <w:rPr>
          <w:i/>
        </w:rPr>
        <w:t>Wendt v</w:t>
      </w:r>
      <w:r w:rsidR="003C5CBB" w:rsidRPr="003C5CBB">
        <w:t xml:space="preserve">. </w:t>
      </w:r>
      <w:r w:rsidR="003C5CBB" w:rsidRPr="003C5CBB">
        <w:rPr>
          <w:i/>
        </w:rPr>
        <w:t>Host International, Inc</w:t>
      </w:r>
      <w:r w:rsidRPr="003C5CBB">
        <w:t>.,</w:t>
      </w:r>
      <w:r w:rsidR="003C5CBB" w:rsidRPr="003C5CBB">
        <w:rPr>
          <w:vertAlign w:val="superscript"/>
        </w:rPr>
        <w:footnoteReference w:id="508"/>
      </w:r>
      <w:r w:rsidRPr="003C5CBB">
        <w:t xml:space="preserve"> the Ninth Circuit, discussing a </w:t>
      </w:r>
      <w:proofErr w:type="gramStart"/>
      <w:r w:rsidRPr="003C5CBB">
        <w:t>false-endorsement</w:t>
      </w:r>
      <w:proofErr w:type="gramEnd"/>
      <w:r w:rsidRPr="003C5CBB">
        <w:t xml:space="preserve"> claim under Section 43(a), used the term “mark” to describe the right that was being protected</w:t>
      </w:r>
      <w:r w:rsidR="003C5CBB" w:rsidRPr="003C5CBB">
        <w:t>. H</w:t>
      </w:r>
      <w:r w:rsidRPr="003C5CBB">
        <w:t>owever, it was evident that this reference was simply shorthand for “the celebrity’s persona,” and was not intended to imply that a celebrity’s persona actually operates automatically as a trademark.</w:t>
      </w:r>
      <w:r w:rsidR="003C5CBB" w:rsidRPr="003C5CBB">
        <w:rPr>
          <w:vertAlign w:val="superscript"/>
        </w:rPr>
        <w:footnoteReference w:id="509"/>
      </w:r>
      <w:r w:rsidRPr="003C5CBB">
        <w:t xml:space="preserve"> In </w:t>
      </w:r>
      <w:r w:rsidR="003C5CBB" w:rsidRPr="003C5CBB">
        <w:rPr>
          <w:i/>
        </w:rPr>
        <w:t>Wendt</w:t>
      </w:r>
      <w:r w:rsidRPr="003C5CBB">
        <w:t>, the court also held that the multifactor test for confusion used in trademark-infringement cases would be used in celebrity-endorsement cases.</w:t>
      </w:r>
      <w:r w:rsidR="003C5CBB" w:rsidRPr="003C5CBB">
        <w:rPr>
          <w:vertAlign w:val="superscript"/>
        </w:rPr>
        <w:footnoteReference w:id="510"/>
      </w:r>
      <w:r w:rsidRPr="003C5CBB">
        <w:t xml:space="preserve"> However, one need not equate celebrities with source identifiers to recognize the similarity between confusion about endorsement and confusion of source, and the usefulness of several of the traditional confusion factors in the analysis of both.</w:t>
      </w:r>
    </w:p>
    <w:p w14:paraId="1CF1CF0D" w14:textId="734A093C" w:rsidR="003C5CBB" w:rsidRPr="003C5CBB" w:rsidRDefault="00634BAE" w:rsidP="003C5CBB">
      <w:pPr>
        <w:pStyle w:val="BNormal"/>
      </w:pPr>
      <w:r w:rsidRPr="003C5CBB">
        <w:t>There is no evidence in the legislative history of the FTDA that Congress intended dilution to become a federal right-of-publicity statute</w:t>
      </w:r>
      <w:r w:rsidR="003C5CBB" w:rsidRPr="003C5CBB">
        <w:t>. T</w:t>
      </w:r>
      <w:r w:rsidRPr="003C5CBB">
        <w:t xml:space="preserve">he examples cited by Congress were </w:t>
      </w:r>
      <w:proofErr w:type="gramStart"/>
      <w:r w:rsidRPr="003C5CBB">
        <w:t>all of</w:t>
      </w:r>
      <w:proofErr w:type="gramEnd"/>
      <w:r w:rsidRPr="003C5CBB">
        <w:t xml:space="preserve"> famous marks, not people</w:t>
      </w:r>
      <w:r w:rsidR="003C5CBB" w:rsidRPr="003C5CBB">
        <w:t>. M</w:t>
      </w:r>
      <w:r w:rsidRPr="003C5CBB">
        <w:t>oreover, neither the Paris Convention nor the TRIPS Agreement (Congress’s other rationales for passing the FTDA) indicates any obligation to protect publicity rights.</w:t>
      </w:r>
      <w:r w:rsidR="003C5CBB" w:rsidRPr="003C5CBB">
        <w:rPr>
          <w:vertAlign w:val="superscript"/>
        </w:rPr>
        <w:footnoteReference w:id="511"/>
      </w:r>
      <w:r w:rsidRPr="003C5CBB">
        <w:t xml:space="preserve"> This is not to say that the dilution statute can never be used by a celebrity</w:t>
      </w:r>
      <w:r w:rsidR="003C5CBB" w:rsidRPr="003C5CBB">
        <w:t>. M</w:t>
      </w:r>
      <w:r w:rsidRPr="003C5CBB">
        <w:t>any celebrities’ names have become trademarks (Calvin Klein, Bill Blass, Liz Claiborne) and can be treated as such under Section 43(c).</w:t>
      </w:r>
      <w:r w:rsidR="003C5CBB" w:rsidRPr="003C5CBB">
        <w:rPr>
          <w:vertAlign w:val="superscript"/>
        </w:rPr>
        <w:footnoteReference w:id="512"/>
      </w:r>
      <w:r w:rsidRPr="003C5CBB">
        <w:t xml:space="preserve"> But where the celebrity claims trademark rights, a court should require the celebrity to show not just that his or her name is famous, but that it is famous </w:t>
      </w:r>
      <w:r w:rsidR="003C5CBB" w:rsidRPr="003C5CBB">
        <w:rPr>
          <w:i/>
        </w:rPr>
        <w:t>as a trademark</w:t>
      </w:r>
      <w:r w:rsidRPr="003C5CBB">
        <w:t xml:space="preserve"> as required by the definition of a famous mark.</w:t>
      </w:r>
      <w:r w:rsidR="003C5CBB" w:rsidRPr="003C5CBB">
        <w:rPr>
          <w:vertAlign w:val="superscript"/>
        </w:rPr>
        <w:footnoteReference w:id="513"/>
      </w:r>
      <w:r w:rsidRPr="003C5CBB">
        <w:t xml:space="preserve"> Even if there is some indication of trademark use, there must be evidence that the public recognizes that the celebrity name is being used as a mark, not just as a glamour enhancer or endorsement.</w:t>
      </w:r>
      <w:r w:rsidR="003C5CBB" w:rsidRPr="003C5CBB">
        <w:rPr>
          <w:vertAlign w:val="superscript"/>
        </w:rPr>
        <w:footnoteReference w:id="514"/>
      </w:r>
      <w:r w:rsidRPr="003C5CBB">
        <w:t xml:space="preserve"> The spokesperson is not necessarily a trademark.</w:t>
      </w:r>
    </w:p>
    <w:p w14:paraId="4EBBD40D" w14:textId="3D0F4DE4" w:rsidR="003C5CBB" w:rsidRPr="003C5CBB" w:rsidRDefault="00634BAE" w:rsidP="003C5CBB">
      <w:pPr>
        <w:pStyle w:val="BNormal"/>
      </w:pPr>
      <w:r w:rsidRPr="003C5CBB">
        <w:t>In short, just as a dilution claim should not be used as a substitute for a weak trademark-infringement claim, neither should it be used to obtain a federal right of publicity.</w:t>
      </w:r>
      <w:r w:rsidR="003C5CBB" w:rsidRPr="003C5CBB">
        <w:rPr>
          <w:vertAlign w:val="superscript"/>
        </w:rPr>
        <w:footnoteReference w:id="515"/>
      </w:r>
    </w:p>
    <w:p w14:paraId="1138EE1A" w14:textId="1B452842" w:rsidR="003C5CBB" w:rsidRPr="003C5CBB" w:rsidRDefault="008B3068" w:rsidP="008B3068">
      <w:pPr>
        <w:pStyle w:val="BHead1"/>
      </w:pPr>
      <w:r>
        <w:lastRenderedPageBreak/>
        <w:t>8.</w:t>
      </w:r>
      <w:r w:rsidR="003C5CBB" w:rsidRPr="008B3068">
        <w:rPr>
          <w:rStyle w:val="BBNAidChar"/>
          <w:rFonts w:eastAsiaTheme="majorEastAsia"/>
        </w:rPr>
        <w:t>VII</w:t>
      </w:r>
      <w:r w:rsidR="003C5CBB" w:rsidRPr="003C5CBB">
        <w:t>.</w:t>
      </w:r>
      <w:r>
        <w:t xml:space="preserve">  </w:t>
      </w:r>
      <w:r w:rsidR="003C5CBB" w:rsidRPr="003C5CBB">
        <w:t>Fame and Secondary Marks</w:t>
      </w:r>
    </w:p>
    <w:p w14:paraId="0BF1457A" w14:textId="16CF9740" w:rsidR="003C5CBB" w:rsidRPr="003C5CBB" w:rsidRDefault="00634BAE" w:rsidP="003C5CBB">
      <w:pPr>
        <w:pStyle w:val="BNormal"/>
      </w:pPr>
      <w:r w:rsidRPr="003C5CBB">
        <w:t>Many owners of well-known marks use secondary marks to identify specific products</w:t>
      </w:r>
      <w:r w:rsidR="003C5CBB" w:rsidRPr="003C5CBB">
        <w:t>. F</w:t>
      </w:r>
      <w:r w:rsidRPr="003C5CBB">
        <w:t>or example, the Levi’s mark is widely used on clothing</w:t>
      </w:r>
      <w:r w:rsidR="003C5CBB" w:rsidRPr="003C5CBB">
        <w:t>. H</w:t>
      </w:r>
      <w:r w:rsidRPr="003C5CBB">
        <w:t>owever, a second mark is used on some of its products, in addition to Levi’s</w:t>
      </w:r>
      <w:proofErr w:type="gramStart"/>
      <w:r w:rsidRPr="003C5CBB">
        <w:t>—“</w:t>
      </w:r>
      <w:proofErr w:type="gramEnd"/>
      <w:r w:rsidRPr="003C5CBB">
        <w:t>501” is one such secondary mark</w:t>
      </w:r>
      <w:r w:rsidR="003C5CBB" w:rsidRPr="003C5CBB">
        <w:t>. A</w:t>
      </w:r>
      <w:r w:rsidRPr="003C5CBB">
        <w:t>lthough the Levi’s mark may be famous, that would not, by itself, make the secondary mark a famous one.</w:t>
      </w:r>
    </w:p>
    <w:p w14:paraId="09A184B3" w14:textId="0723AD27" w:rsidR="003C5CBB" w:rsidRPr="003C5CBB" w:rsidRDefault="00634BAE" w:rsidP="003C5CBB">
      <w:pPr>
        <w:pStyle w:val="BNormal"/>
      </w:pPr>
      <w:r w:rsidRPr="003C5CBB">
        <w:t xml:space="preserve">This problem is highlighted in </w:t>
      </w:r>
      <w:r w:rsidR="003C5CBB" w:rsidRPr="003C5CBB">
        <w:rPr>
          <w:i/>
        </w:rPr>
        <w:t>Carnival Corp</w:t>
      </w:r>
      <w:r w:rsidR="003C5CBB" w:rsidRPr="003C5CBB">
        <w:t xml:space="preserve">. </w:t>
      </w:r>
      <w:r w:rsidR="003C5CBB" w:rsidRPr="003C5CBB">
        <w:rPr>
          <w:i/>
        </w:rPr>
        <w:t>v</w:t>
      </w:r>
      <w:r w:rsidR="003C5CBB" w:rsidRPr="003C5CBB">
        <w:t xml:space="preserve">. </w:t>
      </w:r>
      <w:r w:rsidR="003C5CBB" w:rsidRPr="003C5CBB">
        <w:rPr>
          <w:i/>
        </w:rPr>
        <w:t>SeaEscape Casino Cruises, Inc</w:t>
      </w:r>
      <w:r w:rsidRPr="003C5CBB">
        <w:t>.</w:t>
      </w:r>
      <w:r w:rsidR="003C5CBB" w:rsidRPr="003C5CBB">
        <w:rPr>
          <w:vertAlign w:val="superscript"/>
        </w:rPr>
        <w:footnoteReference w:id="516"/>
      </w:r>
      <w:r w:rsidRPr="003C5CBB">
        <w:t xml:space="preserve"> Although the court indicated that the plaintiff’s Carnival mark might well be famous, the case involved its second mark, Fun Ship</w:t>
      </w:r>
      <w:r w:rsidR="003C5CBB" w:rsidRPr="003C5CBB">
        <w:t>. T</w:t>
      </w:r>
      <w:r w:rsidRPr="003C5CBB">
        <w:t>hat mark was nearly always used together with the Carnival mark.</w:t>
      </w:r>
      <w:r w:rsidR="003C5CBB" w:rsidRPr="003C5CBB">
        <w:rPr>
          <w:vertAlign w:val="superscript"/>
        </w:rPr>
        <w:footnoteReference w:id="517"/>
      </w:r>
      <w:r w:rsidRPr="003C5CBB">
        <w:t xml:space="preserve"> Thus, the court was unconvinced that consumers would regard the Fun Ship mark, by itself, as famous.</w:t>
      </w:r>
      <w:r w:rsidR="003C5CBB" w:rsidRPr="003C5CBB">
        <w:rPr>
          <w:vertAlign w:val="superscript"/>
        </w:rPr>
        <w:footnoteReference w:id="518"/>
      </w:r>
      <w:r w:rsidRPr="003C5CBB">
        <w:t xml:space="preserve"> Owners of such secondary marks should take note of the importance of establishing a separate identity for those marks if they are to be deemed famous.</w:t>
      </w:r>
    </w:p>
    <w:p w14:paraId="1E425AC8" w14:textId="47262DB0" w:rsidR="003C5CBB" w:rsidRPr="003C5CBB" w:rsidRDefault="008B3068" w:rsidP="008B3068">
      <w:pPr>
        <w:pStyle w:val="BHead1"/>
      </w:pPr>
      <w:r>
        <w:t>8.</w:t>
      </w:r>
      <w:r w:rsidR="003C5CBB" w:rsidRPr="008B3068">
        <w:rPr>
          <w:rStyle w:val="BBNAidChar"/>
          <w:rFonts w:eastAsiaTheme="majorEastAsia"/>
        </w:rPr>
        <w:t>VIII</w:t>
      </w:r>
      <w:r w:rsidR="003C5CBB" w:rsidRPr="003C5CBB">
        <w:t>.</w:t>
      </w:r>
      <w:r>
        <w:t xml:space="preserve">  </w:t>
      </w:r>
      <w:r w:rsidR="003C5CBB" w:rsidRPr="003C5CBB">
        <w:t>Relationship of Distinctiveness to Fame</w:t>
      </w:r>
    </w:p>
    <w:p w14:paraId="2B835220" w14:textId="1EB39E3E" w:rsidR="003C5CBB" w:rsidRPr="003C5CBB" w:rsidRDefault="008B3068" w:rsidP="008B3068">
      <w:pPr>
        <w:pStyle w:val="BHead2"/>
      </w:pPr>
      <w:r>
        <w:t>8.VIII.</w:t>
      </w:r>
      <w:r w:rsidR="003C5CBB" w:rsidRPr="008B3068">
        <w:rPr>
          <w:rStyle w:val="BBNAidChar"/>
          <w:rFonts w:eastAsiaTheme="majorEastAsia"/>
        </w:rPr>
        <w:t>A</w:t>
      </w:r>
      <w:r w:rsidR="003C5CBB" w:rsidRPr="003C5CBB">
        <w:t>.</w:t>
      </w:r>
      <w:r>
        <w:t> </w:t>
      </w:r>
      <w:r w:rsidR="003C5CBB" w:rsidRPr="003C5CBB">
        <w:tab/>
        <w:t>“Famous,” “Famous and Distinctive,” and “Distinctive and Famous”: Before and After the TDRA</w:t>
      </w:r>
    </w:p>
    <w:p w14:paraId="22CF8324" w14:textId="7EB667B6" w:rsidR="003C5CBB" w:rsidRPr="003C5CBB" w:rsidRDefault="00634BAE" w:rsidP="003C5CBB">
      <w:pPr>
        <w:pStyle w:val="BNormal"/>
      </w:pPr>
      <w:r w:rsidRPr="003C5CBB">
        <w:t>The TDRA begins by conferring rights on the “owner of a famous mark.” Fame, after all, is the primary gatekeeper for dilution protection</w:t>
      </w:r>
      <w:r w:rsidR="003C5CBB" w:rsidRPr="003C5CBB">
        <w:t>. B</w:t>
      </w:r>
      <w:r w:rsidRPr="003C5CBB">
        <w:t>ut what of distinctiveness, the traditional minimum threshold for all trademark rights</w:t>
      </w:r>
      <w:r w:rsidR="003C5CBB" w:rsidRPr="003C5CBB">
        <w:t>? T</w:t>
      </w:r>
      <w:r w:rsidRPr="003C5CBB">
        <w:t>he dilution cause of action is intended primarily to protect the distinctive quality of a mark</w:t>
      </w:r>
      <w:r w:rsidR="003C5CBB" w:rsidRPr="003C5CBB">
        <w:t>. A</w:t>
      </w:r>
      <w:r w:rsidRPr="003C5CBB">
        <w:t xml:space="preserve">nd a trademark with </w:t>
      </w:r>
      <w:r w:rsidR="003C5CBB" w:rsidRPr="003C5CBB">
        <w:rPr>
          <w:i/>
        </w:rPr>
        <w:t>no</w:t>
      </w:r>
      <w:r w:rsidRPr="003C5CBB">
        <w:t xml:space="preserve"> distinctiveness is normally unprotectable as a trademark, regardless of public recognition</w:t>
      </w:r>
      <w:r w:rsidR="003C5CBB" w:rsidRPr="003C5CBB">
        <w:t>. P</w:t>
      </w:r>
      <w:r w:rsidRPr="003C5CBB">
        <w:t>rior to the TDRA, when listing factors to guide the courts in determining fame, the FTDA called them factors for determining whether a mark was “distinctive and famous.”</w:t>
      </w:r>
      <w:r w:rsidR="003C5CBB" w:rsidRPr="003C5CBB">
        <w:rPr>
          <w:vertAlign w:val="superscript"/>
        </w:rPr>
        <w:footnoteReference w:id="519"/>
      </w:r>
      <w:r w:rsidRPr="003C5CBB">
        <w:t xml:space="preserve"> This raised the following question</w:t>
      </w:r>
      <w:r w:rsidR="003C5CBB" w:rsidRPr="003C5CBB">
        <w:t>: W</w:t>
      </w:r>
      <w:r w:rsidRPr="003C5CBB">
        <w:t>hat was intended by the addition of the word “distinctive”</w:t>
      </w:r>
      <w:r w:rsidR="003C5CBB" w:rsidRPr="003C5CBB">
        <w:t>? S</w:t>
      </w:r>
      <w:r w:rsidRPr="003C5CBB">
        <w:t>pecifically, was it intended as an added element of the dilution claim</w:t>
      </w:r>
      <w:r w:rsidR="003C5CBB" w:rsidRPr="003C5CBB">
        <w:t>? A</w:t>
      </w:r>
      <w:r w:rsidRPr="003C5CBB">
        <w:t>nd if so, what sort of distinctiveness was required</w:t>
      </w:r>
      <w:r w:rsidR="003C5CBB" w:rsidRPr="003C5CBB">
        <w:t>? T</w:t>
      </w:r>
      <w:r w:rsidRPr="003C5CBB">
        <w:t>his is an issue that divided the courts.</w:t>
      </w:r>
      <w:r w:rsidR="003C5CBB" w:rsidRPr="003C5CBB">
        <w:rPr>
          <w:vertAlign w:val="superscript"/>
        </w:rPr>
        <w:footnoteReference w:id="520"/>
      </w:r>
      <w:r w:rsidRPr="003C5CBB">
        <w:t xml:space="preserve"> The Second Circuit was the leading proponent of the view that distinctiveness was a separate element, and that inherent distinctiveness was required to satisfy this element.</w:t>
      </w:r>
      <w:r w:rsidR="003C5CBB" w:rsidRPr="003C5CBB">
        <w:rPr>
          <w:vertAlign w:val="superscript"/>
        </w:rPr>
        <w:footnoteReference w:id="521"/>
      </w:r>
    </w:p>
    <w:p w14:paraId="669EC41C" w14:textId="36B5BA50" w:rsidR="003C5CBB" w:rsidRPr="003C5CBB" w:rsidRDefault="00634BAE" w:rsidP="003C5CBB">
      <w:pPr>
        <w:pStyle w:val="BNormal"/>
      </w:pPr>
      <w:r w:rsidRPr="003C5CBB">
        <w:lastRenderedPageBreak/>
        <w:t>The drafters of the TDRA took note of this issue and revised the pertinent language</w:t>
      </w:r>
      <w:r w:rsidR="003C5CBB" w:rsidRPr="003C5CBB">
        <w:t>. L</w:t>
      </w:r>
      <w:r w:rsidRPr="003C5CBB">
        <w:t>ike the original FTDA, the TDRA begins by conferring rights on the “owner of a famous mark,” but immediately after “famous mark” there is now additional language</w:t>
      </w:r>
      <w:r w:rsidR="003C5CBB" w:rsidRPr="003C5CBB">
        <w:t>: “</w:t>
      </w:r>
      <w:r w:rsidRPr="003C5CBB">
        <w:t>that is distinctive, inherently or through acquired distinctiveness.”</w:t>
      </w:r>
      <w:r w:rsidR="003C5CBB" w:rsidRPr="003C5CBB">
        <w:rPr>
          <w:vertAlign w:val="superscript"/>
        </w:rPr>
        <w:footnoteReference w:id="522"/>
      </w:r>
      <w:r w:rsidRPr="003C5CBB">
        <w:t xml:space="preserve"> Further, when listing factors to guide the determination of what constitutes a “famous” mark, the statute no longer refers to determining whether a mark is “distinctive and famous,” instead referring only to what constitutes a “famous” mark.</w:t>
      </w:r>
      <w:r w:rsidR="003C5CBB" w:rsidRPr="003C5CBB">
        <w:rPr>
          <w:vertAlign w:val="superscript"/>
        </w:rPr>
        <w:footnoteReference w:id="523"/>
      </w:r>
      <w:r w:rsidRPr="003C5CBB">
        <w:t xml:space="preserve"> The intent of these amendments is clear</w:t>
      </w:r>
      <w:r w:rsidR="003C5CBB" w:rsidRPr="003C5CBB">
        <w:t>. F</w:t>
      </w:r>
      <w:r w:rsidRPr="003C5CBB">
        <w:t>irst, distinctiveness is a separate requirement for dilution eligibility, regardless of fame</w:t>
      </w:r>
      <w:r w:rsidR="003C5CBB" w:rsidRPr="003C5CBB">
        <w:t>. S</w:t>
      </w:r>
      <w:r w:rsidRPr="003C5CBB">
        <w:t xml:space="preserve">econd, although the drafters recognized that a mark must be distinctive as well as famous to merit dilution protection, they decided that a mark need not be </w:t>
      </w:r>
      <w:r w:rsidR="003C5CBB" w:rsidRPr="003C5CBB">
        <w:rPr>
          <w:i/>
        </w:rPr>
        <w:t>inherently</w:t>
      </w:r>
      <w:r w:rsidRPr="003C5CBB">
        <w:t xml:space="preserve"> distinctive to be eligible for protection.</w:t>
      </w:r>
    </w:p>
    <w:p w14:paraId="59A70DCD" w14:textId="76EE8C05" w:rsidR="003C5CBB" w:rsidRPr="003C5CBB" w:rsidRDefault="00634BAE" w:rsidP="003C5CBB">
      <w:pPr>
        <w:pStyle w:val="BNormal"/>
      </w:pPr>
      <w:r w:rsidRPr="003C5CBB">
        <w:t>This is not to say that inherent distinctiveness is necessarily irrelevant</w:t>
      </w:r>
      <w:r w:rsidR="003C5CBB" w:rsidRPr="003C5CBB">
        <w:t>. A</w:t>
      </w:r>
      <w:r w:rsidRPr="003C5CBB">
        <w:t>lthough it is no longer a listed factor in the analysis of fame, the listed factors are not exclusive</w:t>
      </w:r>
      <w:r w:rsidR="003C5CBB" w:rsidRPr="003C5CBB">
        <w:t>. A</w:t>
      </w:r>
      <w:r w:rsidRPr="003C5CBB">
        <w:t xml:space="preserve"> court still could consider inherent distinctiveness in the analysis, although it would be improper to disqualify a mark merely for a lack of inherent distinctiveness.</w:t>
      </w:r>
      <w:r w:rsidR="003C5CBB" w:rsidRPr="003C5CBB">
        <w:rPr>
          <w:vertAlign w:val="superscript"/>
        </w:rPr>
        <w:footnoteReference w:id="524"/>
      </w:r>
    </w:p>
    <w:p w14:paraId="409A46FD" w14:textId="6BCA7A2D" w:rsidR="003C5CBB" w:rsidRPr="003C5CBB" w:rsidRDefault="008B3068" w:rsidP="008B3068">
      <w:pPr>
        <w:pStyle w:val="BHead2"/>
      </w:pPr>
      <w:r>
        <w:t>8.VIII.</w:t>
      </w:r>
      <w:r w:rsidR="003C5CBB" w:rsidRPr="008B3068">
        <w:rPr>
          <w:rStyle w:val="BBNAidChar"/>
          <w:rFonts w:eastAsiaTheme="majorEastAsia"/>
        </w:rPr>
        <w:t>B</w:t>
      </w:r>
      <w:r w:rsidR="003C5CBB" w:rsidRPr="003C5CBB">
        <w:t>.</w:t>
      </w:r>
      <w:r>
        <w:t> </w:t>
      </w:r>
      <w:r w:rsidR="003C5CBB" w:rsidRPr="003C5CBB">
        <w:tab/>
        <w:t>The History of Distinctiveness as an Element</w:t>
      </w:r>
    </w:p>
    <w:p w14:paraId="1D7A8E2D" w14:textId="74B95904" w:rsidR="003C5CBB" w:rsidRPr="003C5CBB" w:rsidRDefault="00634BAE" w:rsidP="003C5CBB">
      <w:pPr>
        <w:pStyle w:val="BNormal"/>
      </w:pPr>
      <w:r w:rsidRPr="003C5CBB">
        <w:t>The “distinctive and famous” language is contained in the original 1987 dilution proposal of the USTA</w:t>
      </w:r>
      <w:r w:rsidR="003C5CBB" w:rsidRPr="003C5CBB">
        <w:t>. H</w:t>
      </w:r>
      <w:r w:rsidRPr="003C5CBB">
        <w:t>owever, its exact purpose was unclear</w:t>
      </w:r>
      <w:r w:rsidR="003C5CBB" w:rsidRPr="003C5CBB">
        <w:t>. T</w:t>
      </w:r>
      <w:r w:rsidRPr="003C5CBB">
        <w:t xml:space="preserve">he USTA Review Commission Report says that “[t]he requirement of fame reflects the view of the Commission that dilution protection should be confined to marks which are both distinctive, as established by federal registration at a minimum, and famous, </w:t>
      </w:r>
      <w:r w:rsidR="003C5CBB" w:rsidRPr="003C5CBB">
        <w:rPr>
          <w:i/>
        </w:rPr>
        <w:t>as established by separate evidence</w:t>
      </w:r>
      <w:r w:rsidRPr="003C5CBB">
        <w:t>.”</w:t>
      </w:r>
      <w:r w:rsidR="003C5CBB" w:rsidRPr="003C5CBB">
        <w:rPr>
          <w:vertAlign w:val="superscript"/>
        </w:rPr>
        <w:footnoteReference w:id="525"/>
      </w:r>
    </w:p>
    <w:p w14:paraId="69031970" w14:textId="01C98925" w:rsidR="003C5CBB" w:rsidRPr="003C5CBB" w:rsidRDefault="00634BAE" w:rsidP="003C5CBB">
      <w:pPr>
        <w:pStyle w:val="BNormal"/>
      </w:pPr>
      <w:r w:rsidRPr="003C5CBB">
        <w:t>This language certainly can be read as supporting a separate requirement of distinctiveness</w:t>
      </w:r>
      <w:r w:rsidR="003C5CBB" w:rsidRPr="003C5CBB">
        <w:t>. B</w:t>
      </w:r>
      <w:r w:rsidRPr="003C5CBB">
        <w:t>ut this does not fully explain the need to put “distinctive” in the dilution section, since the proposal was limited to registered marks and the Commission apparently regarded registration as sufficient evidence of distinctiveness.</w:t>
      </w:r>
      <w:r w:rsidR="003C5CBB" w:rsidRPr="003C5CBB">
        <w:rPr>
          <w:vertAlign w:val="superscript"/>
        </w:rPr>
        <w:footnoteReference w:id="526"/>
      </w:r>
    </w:p>
    <w:p w14:paraId="43AE66D9" w14:textId="0598D303" w:rsidR="003C5CBB" w:rsidRPr="003C5CBB" w:rsidRDefault="00634BAE" w:rsidP="003C5CBB">
      <w:pPr>
        <w:pStyle w:val="BNormal"/>
      </w:pPr>
      <w:r w:rsidRPr="003C5CBB">
        <w:t>In a statement made by the USTA in 1988 to the Senate Subcommittee on Patents, Copyrights, and Trademarks during its hearings on S</w:t>
      </w:r>
      <w:r w:rsidR="003C5CBB" w:rsidRPr="003C5CBB">
        <w:t>. 1</w:t>
      </w:r>
      <w:r w:rsidRPr="003C5CBB">
        <w:t>883, which became the Trademark Law Revision Act of 1988, the subcommittee asked whether dilution should be limited to “coined or fanciful” marks</w:t>
      </w:r>
      <w:r w:rsidR="003C5CBB" w:rsidRPr="003C5CBB">
        <w:t>. T</w:t>
      </w:r>
      <w:r w:rsidRPr="003C5CBB">
        <w:t xml:space="preserve">he USTA replied that “dilution [protection] should extend to </w:t>
      </w:r>
      <w:r w:rsidR="003C5CBB" w:rsidRPr="003C5CBB">
        <w:rPr>
          <w:i/>
        </w:rPr>
        <w:t>any</w:t>
      </w:r>
      <w:r w:rsidRPr="003C5CBB">
        <w:t xml:space="preserve"> mark which has been registered on the Principal Register</w:t>
      </w:r>
      <w:r w:rsidR="003C5CBB" w:rsidRPr="003C5CBB">
        <w:t xml:space="preserve"> </w:t>
      </w:r>
      <w:r w:rsidRPr="003C5CBB">
        <w:t>…</w:t>
      </w:r>
      <w:r w:rsidR="003C5CBB" w:rsidRPr="003C5CBB">
        <w:t xml:space="preserve"> </w:t>
      </w:r>
      <w:r w:rsidRPr="003C5CBB">
        <w:t>which is famous throughout a substantial portion of the U.S.”</w:t>
      </w:r>
      <w:r w:rsidR="003C5CBB" w:rsidRPr="003C5CBB">
        <w:rPr>
          <w:vertAlign w:val="superscript"/>
        </w:rPr>
        <w:footnoteReference w:id="527"/>
      </w:r>
      <w:r w:rsidRPr="003C5CBB">
        <w:t xml:space="preserve"> Registration would be considered at least prima facie evidence of distinctiveness.</w:t>
      </w:r>
    </w:p>
    <w:p w14:paraId="37CE9D44" w14:textId="1CA25DD8" w:rsidR="003C5CBB" w:rsidRPr="003C5CBB" w:rsidRDefault="00634BAE" w:rsidP="003C5CBB">
      <w:pPr>
        <w:pStyle w:val="BNormal"/>
      </w:pPr>
      <w:r w:rsidRPr="003C5CBB">
        <w:lastRenderedPageBreak/>
        <w:t>The 1988 dilution provision passed by the Senate had somewhat different language</w:t>
      </w:r>
      <w:r w:rsidR="003C5CBB" w:rsidRPr="003C5CBB">
        <w:t>. I</w:t>
      </w:r>
      <w:r w:rsidRPr="003C5CBB">
        <w:t>t prefaced the fame factors by stating that they were to be used to determine “whether a mark is famous and has distinctive quality.”</w:t>
      </w:r>
      <w:r w:rsidR="003C5CBB" w:rsidRPr="003C5CBB">
        <w:rPr>
          <w:vertAlign w:val="superscript"/>
        </w:rPr>
        <w:footnoteReference w:id="528"/>
      </w:r>
      <w:r w:rsidRPr="003C5CBB">
        <w:t xml:space="preserve"> Moreover, the Senate committee report on the bill indicated that the intent was to protect only those marks that are “truly distinctive and famous.”</w:t>
      </w:r>
      <w:r w:rsidR="003C5CBB" w:rsidRPr="003C5CBB">
        <w:rPr>
          <w:vertAlign w:val="superscript"/>
        </w:rPr>
        <w:footnoteReference w:id="529"/>
      </w:r>
      <w:r w:rsidRPr="003C5CBB">
        <w:t xml:space="preserve"> The Senate Report’s language would support the Second Circuit’s assertion in </w:t>
      </w:r>
      <w:r w:rsidR="003C5CBB" w:rsidRPr="003C5CBB">
        <w:rPr>
          <w:i/>
        </w:rPr>
        <w:t>TCPIP Holding Co</w:t>
      </w:r>
      <w:r w:rsidR="003C5CBB" w:rsidRPr="003C5CBB">
        <w:t xml:space="preserve">. </w:t>
      </w:r>
      <w:r w:rsidR="003C5CBB" w:rsidRPr="003C5CBB">
        <w:rPr>
          <w:i/>
        </w:rPr>
        <w:t>v</w:t>
      </w:r>
      <w:r w:rsidR="003C5CBB" w:rsidRPr="003C5CBB">
        <w:t xml:space="preserve">. </w:t>
      </w:r>
      <w:r w:rsidR="003C5CBB" w:rsidRPr="003C5CBB">
        <w:rPr>
          <w:i/>
        </w:rPr>
        <w:t>Haar Communications, Inc</w:t>
      </w:r>
      <w:r w:rsidRPr="003C5CBB">
        <w:t>.</w:t>
      </w:r>
      <w:r w:rsidR="003C5CBB" w:rsidRPr="003C5CBB">
        <w:rPr>
          <w:vertAlign w:val="superscript"/>
        </w:rPr>
        <w:footnoteReference w:id="530"/>
      </w:r>
      <w:r w:rsidRPr="003C5CBB">
        <w:t xml:space="preserve"> that the intent of this language was to insure that only those marks that are inherently distinctive, that is, truly capable of dilution, can be protected under the FTDA.</w:t>
      </w:r>
      <w:r w:rsidR="003C5CBB" w:rsidRPr="003C5CBB">
        <w:rPr>
          <w:vertAlign w:val="superscript"/>
        </w:rPr>
        <w:footnoteReference w:id="531"/>
      </w:r>
      <w:r w:rsidRPr="003C5CBB">
        <w:t xml:space="preserve"> However, the 1995 bill that became the FTDA reverted to the language of the 1987 USTA Review Commission Report and did not attempt to reconcile the difference with the 1988 bill.</w:t>
      </w:r>
    </w:p>
    <w:p w14:paraId="5BF92ED9" w14:textId="26F45FA2" w:rsidR="003C5CBB" w:rsidRPr="003C5CBB" w:rsidRDefault="00634BAE" w:rsidP="003C5CBB">
      <w:pPr>
        <w:pStyle w:val="BNormal"/>
      </w:pPr>
      <w:r w:rsidRPr="003C5CBB">
        <w:t>Professor McCarthy explained the addition of “distinctive” “as hyperbole to emphasize that the mark [must] be registered.”</w:t>
      </w:r>
      <w:r w:rsidR="003C5CBB" w:rsidRPr="003C5CBB">
        <w:rPr>
          <w:vertAlign w:val="superscript"/>
        </w:rPr>
        <w:footnoteReference w:id="532"/>
      </w:r>
      <w:r w:rsidRPr="003C5CBB">
        <w:t xml:space="preserve"> He then posited that when Congress amended the original bill in 1995 to eliminate the registration requirement, it neglected to change the language of this first paragraph to conform to the amendment</w:t>
      </w:r>
      <w:r w:rsidR="003C5CBB" w:rsidRPr="003C5CBB">
        <w:t>. I</w:t>
      </w:r>
      <w:r w:rsidRPr="003C5CBB">
        <w:t>n short, he (as well as the Third Circuit) concluded that it was a drafting omission that served no further useful purpose.</w:t>
      </w:r>
    </w:p>
    <w:p w14:paraId="386722AE" w14:textId="7289F041" w:rsidR="003C5CBB" w:rsidRPr="003C5CBB" w:rsidRDefault="00634BAE" w:rsidP="003C5CBB">
      <w:pPr>
        <w:pStyle w:val="BNormal"/>
      </w:pPr>
      <w:r w:rsidRPr="003C5CBB">
        <w:t>While certainly plausible, this explanation is not entirely satisfying</w:t>
      </w:r>
      <w:r w:rsidR="003C5CBB" w:rsidRPr="003C5CBB">
        <w:t>. F</w:t>
      </w:r>
      <w:r w:rsidRPr="003C5CBB">
        <w:t>irst, this explanation does not reconcile the 1995 bill with the language of the 1988 bill</w:t>
      </w:r>
      <w:r w:rsidR="003C5CBB" w:rsidRPr="003C5CBB">
        <w:t>. N</w:t>
      </w:r>
      <w:r w:rsidRPr="003C5CBB">
        <w:t>or does it explain why, in 1996, the International Trademark Association changed the language of the dilution section of its Model State Trademark Bill from “famous” to “distinctive and famous.” It seems clear that the 1996 Model Bill was intended to conform to the newly enacted FTDA</w:t>
      </w:r>
      <w:r w:rsidR="003C5CBB" w:rsidRPr="003C5CBB">
        <w:t>. B</w:t>
      </w:r>
      <w:r w:rsidRPr="003C5CBB">
        <w:t>ut if the “distinctive and famous” language was a drafting error, one would have expected its drafters (the USTA, which became the INTA) not to have compounded the error</w:t>
      </w:r>
      <w:r w:rsidR="003C5CBB" w:rsidRPr="003C5CBB">
        <w:t>. S</w:t>
      </w:r>
      <w:r w:rsidRPr="003C5CBB">
        <w:t>econd, the elimination of the registration requirement did not necessarily alter the putative original purpose of the language</w:t>
      </w:r>
      <w:r w:rsidR="003C5CBB" w:rsidRPr="003C5CBB">
        <w:t>: t</w:t>
      </w:r>
      <w:r w:rsidRPr="003C5CBB">
        <w:t>o remind courts that marks must be distinctive to merit any protection at all</w:t>
      </w:r>
      <w:r w:rsidR="003C5CBB" w:rsidRPr="003C5CBB">
        <w:t>. T</w:t>
      </w:r>
      <w:r w:rsidRPr="003C5CBB">
        <w:t xml:space="preserve">his is, after all, a requirement in any trademark-infringement case, </w:t>
      </w:r>
      <w:proofErr w:type="gramStart"/>
      <w:r w:rsidRPr="003C5CBB">
        <w:t>whether or not</w:t>
      </w:r>
      <w:proofErr w:type="gramEnd"/>
      <w:r w:rsidRPr="003C5CBB">
        <w:t xml:space="preserve"> the mark is registered.</w:t>
      </w:r>
      <w:r w:rsidR="003C5CBB" w:rsidRPr="003C5CBB">
        <w:rPr>
          <w:vertAlign w:val="superscript"/>
        </w:rPr>
        <w:footnoteReference w:id="533"/>
      </w:r>
      <w:r w:rsidRPr="003C5CBB">
        <w:t xml:space="preserve"> Third, there is a possible useful purpose to be served by the language, though not the one </w:t>
      </w:r>
      <w:proofErr w:type="gramStart"/>
      <w:r w:rsidRPr="003C5CBB">
        <w:t>posited</w:t>
      </w:r>
      <w:proofErr w:type="gramEnd"/>
      <w:r w:rsidRPr="003C5CBB">
        <w:t xml:space="preserve"> by the Second Circuit, discussed in the next section.</w:t>
      </w:r>
    </w:p>
    <w:p w14:paraId="498BD4D1" w14:textId="51BDFF64" w:rsidR="003C5CBB" w:rsidRPr="003C5CBB" w:rsidRDefault="008B3068" w:rsidP="008B3068">
      <w:pPr>
        <w:pStyle w:val="BHead2"/>
      </w:pPr>
      <w:r>
        <w:t>8.VIII.</w:t>
      </w:r>
      <w:r w:rsidR="003C5CBB" w:rsidRPr="008B3068">
        <w:rPr>
          <w:rStyle w:val="BBNAidChar"/>
          <w:rFonts w:eastAsiaTheme="majorEastAsia"/>
        </w:rPr>
        <w:t>C</w:t>
      </w:r>
      <w:r w:rsidR="003C5CBB" w:rsidRPr="003C5CBB">
        <w:t>.</w:t>
      </w:r>
      <w:r>
        <w:t> </w:t>
      </w:r>
      <w:r w:rsidR="003C5CBB" w:rsidRPr="003C5CBB">
        <w:tab/>
        <w:t>Some Useful Purposes for a Separate Distinctiveness Analysis</w:t>
      </w:r>
    </w:p>
    <w:p w14:paraId="0A2F8563" w14:textId="00FB80AA" w:rsidR="003C5CBB" w:rsidRPr="003C5CBB" w:rsidRDefault="008B3068" w:rsidP="008B3068">
      <w:pPr>
        <w:pStyle w:val="BHead3"/>
      </w:pPr>
      <w:r>
        <w:t>8.VIII.C.</w:t>
      </w:r>
      <w:r w:rsidR="003C5CBB" w:rsidRPr="008B3068">
        <w:rPr>
          <w:rStyle w:val="BBNAidChar"/>
          <w:rFonts w:eastAsiaTheme="majorEastAsia"/>
        </w:rPr>
        <w:t>1</w:t>
      </w:r>
      <w:r w:rsidR="003C5CBB" w:rsidRPr="003C5CBB">
        <w:t>.</w:t>
      </w:r>
      <w:r>
        <w:t> </w:t>
      </w:r>
      <w:r w:rsidR="003C5CBB" w:rsidRPr="003C5CBB">
        <w:tab/>
        <w:t>Incontestable Descriptive Marks</w:t>
      </w:r>
    </w:p>
    <w:p w14:paraId="4496BCD3" w14:textId="01B2D906" w:rsidR="003C5CBB" w:rsidRPr="003C5CBB" w:rsidRDefault="00634BAE" w:rsidP="003C5CBB">
      <w:pPr>
        <w:pStyle w:val="BNormal"/>
      </w:pPr>
      <w:r w:rsidRPr="003C5CBB">
        <w:t>There are a few instances in which the requirement that a mark be both “famous and distinctive” serves a purpose</w:t>
      </w:r>
      <w:r w:rsidR="003C5CBB" w:rsidRPr="003C5CBB">
        <w:t>. O</w:t>
      </w:r>
      <w:r w:rsidRPr="003C5CBB">
        <w:t xml:space="preserve">ne situation </w:t>
      </w:r>
      <w:proofErr w:type="gramStart"/>
      <w:r w:rsidRPr="003C5CBB">
        <w:t>actually justifies</w:t>
      </w:r>
      <w:proofErr w:type="gramEnd"/>
      <w:r w:rsidRPr="003C5CBB">
        <w:t>, in theory, a separate analysis of distinctiveness</w:t>
      </w:r>
      <w:r w:rsidR="003C5CBB" w:rsidRPr="003C5CBB">
        <w:t>. S</w:t>
      </w:r>
      <w:r w:rsidRPr="003C5CBB">
        <w:t>uppose that one has a registered mark that has become incontestable.</w:t>
      </w:r>
      <w:r w:rsidR="003C5CBB" w:rsidRPr="003C5CBB">
        <w:rPr>
          <w:vertAlign w:val="superscript"/>
        </w:rPr>
        <w:footnoteReference w:id="534"/>
      </w:r>
      <w:r w:rsidRPr="003C5CBB">
        <w:t xml:space="preserve"> Suppose further that, but for its incontestability, the mark could be challenged as being “merely descriptive,”</w:t>
      </w:r>
      <w:r w:rsidR="003C5CBB" w:rsidRPr="003C5CBB">
        <w:rPr>
          <w:vertAlign w:val="superscript"/>
        </w:rPr>
        <w:footnoteReference w:id="535"/>
      </w:r>
      <w:r w:rsidRPr="003C5CBB">
        <w:t xml:space="preserve"> meaning it is not distinctive (assuming no secondary meaning exists)</w:t>
      </w:r>
      <w:r w:rsidR="003C5CBB" w:rsidRPr="003C5CBB">
        <w:t>. A</w:t>
      </w:r>
      <w:r w:rsidRPr="003C5CBB">
        <w:t xml:space="preserve">fter the Supreme Court’s decision in </w:t>
      </w:r>
      <w:r w:rsidR="003C5CBB" w:rsidRPr="003C5CBB">
        <w:rPr>
          <w:i/>
        </w:rPr>
        <w:t>Park ‘N Fly</w:t>
      </w:r>
      <w:r w:rsidRPr="003C5CBB">
        <w:t>,</w:t>
      </w:r>
      <w:r w:rsidR="003C5CBB" w:rsidRPr="003C5CBB">
        <w:rPr>
          <w:vertAlign w:val="superscript"/>
        </w:rPr>
        <w:footnoteReference w:id="536"/>
      </w:r>
      <w:r w:rsidRPr="003C5CBB">
        <w:t xml:space="preserve"> an incontestable mark cannot be challenged as merely descriptive, since that is not one of the statutory defenses to an incontestable mark</w:t>
      </w:r>
      <w:r w:rsidR="003C5CBB" w:rsidRPr="003C5CBB">
        <w:t>. I</w:t>
      </w:r>
      <w:r w:rsidRPr="003C5CBB">
        <w:t xml:space="preserve">n that </w:t>
      </w:r>
      <w:r w:rsidRPr="003C5CBB">
        <w:lastRenderedPageBreak/>
        <w:t>circumstance, it would be possible for a registered mark not to be distinctive</w:t>
      </w:r>
      <w:r w:rsidR="003C5CBB" w:rsidRPr="003C5CBB">
        <w:t>. W</w:t>
      </w:r>
      <w:r w:rsidRPr="003C5CBB">
        <w:t xml:space="preserve">hile it is very unlikely that such a mark could be deemed famous, a separate requirement of distinctiveness </w:t>
      </w:r>
      <w:r w:rsidR="003C5CBB" w:rsidRPr="003C5CBB">
        <w:rPr>
          <w:i/>
        </w:rPr>
        <w:t>in fact</w:t>
      </w:r>
      <w:r w:rsidRPr="003C5CBB">
        <w:t xml:space="preserve"> (as opposed to </w:t>
      </w:r>
      <w:r w:rsidR="003C5CBB" w:rsidRPr="003C5CBB">
        <w:rPr>
          <w:i/>
        </w:rPr>
        <w:t>de jure</w:t>
      </w:r>
      <w:r w:rsidRPr="003C5CBB">
        <w:t>, which would be provided by registration) would prevent the nondistinctive mark from being deemed famous.</w:t>
      </w:r>
    </w:p>
    <w:p w14:paraId="7948BDF2" w14:textId="5A3A14BA" w:rsidR="003C5CBB" w:rsidRPr="003C5CBB" w:rsidRDefault="00634BAE" w:rsidP="003C5CBB">
      <w:pPr>
        <w:pStyle w:val="BNormal"/>
      </w:pPr>
      <w:r w:rsidRPr="003C5CBB">
        <w:t>How should the TDRA apply to this circumstance</w:t>
      </w:r>
      <w:r w:rsidR="003C5CBB" w:rsidRPr="003C5CBB">
        <w:t>? T</w:t>
      </w:r>
      <w:r w:rsidRPr="003C5CBB">
        <w:t xml:space="preserve">he statutory language requires a “famous mark that </w:t>
      </w:r>
      <w:r w:rsidR="003C5CBB" w:rsidRPr="003C5CBB">
        <w:rPr>
          <w:i/>
        </w:rPr>
        <w:t>is</w:t>
      </w:r>
      <w:r w:rsidRPr="003C5CBB">
        <w:t xml:space="preserve"> distinctive.”</w:t>
      </w:r>
      <w:r w:rsidR="003C5CBB" w:rsidRPr="003C5CBB">
        <w:rPr>
          <w:vertAlign w:val="superscript"/>
        </w:rPr>
        <w:footnoteReference w:id="537"/>
      </w:r>
      <w:r w:rsidRPr="003C5CBB">
        <w:t xml:space="preserve"> Taken literally, a mark that was distinctive at one time but no longer is (even if it is constructively deemed distinctive by statute) should not be eligible</w:t>
      </w:r>
      <w:r w:rsidR="003C5CBB" w:rsidRPr="003C5CBB">
        <w:t>. T</w:t>
      </w:r>
      <w:r w:rsidRPr="003C5CBB">
        <w:t>his is also a perfectly reasonable result</w:t>
      </w:r>
      <w:r w:rsidR="003C5CBB" w:rsidRPr="003C5CBB">
        <w:t>. A</w:t>
      </w:r>
      <w:r w:rsidRPr="003C5CBB">
        <w:t>side from the fact that such a mark is unlikely to be famous, doubts about eligibility ought to be resolved against it</w:t>
      </w:r>
      <w:r w:rsidR="003C5CBB" w:rsidRPr="003C5CBB">
        <w:t>. T</w:t>
      </w:r>
      <w:r w:rsidRPr="003C5CBB">
        <w:t>he TDRA intended to narrow the scope of eligibility, and this interpretation is consistent with that purpose</w:t>
      </w:r>
      <w:r w:rsidR="003C5CBB" w:rsidRPr="003C5CBB">
        <w:t>. M</w:t>
      </w:r>
      <w:r w:rsidRPr="003C5CBB">
        <w:t xml:space="preserve">oreover, this interpretation does not affect the presumption of </w:t>
      </w:r>
      <w:r w:rsidR="003C5CBB" w:rsidRPr="003C5CBB">
        <w:rPr>
          <w:i/>
        </w:rPr>
        <w:t>validity</w:t>
      </w:r>
      <w:r w:rsidRPr="003C5CBB">
        <w:t xml:space="preserve"> of the </w:t>
      </w:r>
      <w:r w:rsidR="003C5CBB" w:rsidRPr="003C5CBB">
        <w:rPr>
          <w:i/>
        </w:rPr>
        <w:t>registration</w:t>
      </w:r>
      <w:r w:rsidRPr="003C5CBB">
        <w:t xml:space="preserve"> created by incontestability</w:t>
      </w:r>
      <w:r w:rsidR="003C5CBB" w:rsidRPr="003C5CBB">
        <w:t>. I</w:t>
      </w:r>
      <w:r w:rsidRPr="003C5CBB">
        <w:t>ncontestable marks are not, per se, more likely to be famous than other marks and lack of eligibility for dilution does not preclude protection under infringement causes of action.</w:t>
      </w:r>
    </w:p>
    <w:p w14:paraId="3420D320" w14:textId="4B83AB5C" w:rsidR="003C5CBB" w:rsidRPr="003C5CBB" w:rsidRDefault="008B3068" w:rsidP="008B3068">
      <w:pPr>
        <w:pStyle w:val="BHead3"/>
      </w:pPr>
      <w:r>
        <w:t>8.VIII.C.</w:t>
      </w:r>
      <w:r w:rsidR="003C5CBB" w:rsidRPr="008B3068">
        <w:rPr>
          <w:rStyle w:val="BBNAidChar"/>
          <w:rFonts w:eastAsiaTheme="majorEastAsia"/>
        </w:rPr>
        <w:t>2</w:t>
      </w:r>
      <w:r w:rsidR="003C5CBB" w:rsidRPr="003C5CBB">
        <w:t>.</w:t>
      </w:r>
      <w:r>
        <w:t> </w:t>
      </w:r>
      <w:r w:rsidR="003C5CBB" w:rsidRPr="003C5CBB">
        <w:tab/>
        <w:t>Generic Marks</w:t>
      </w:r>
    </w:p>
    <w:p w14:paraId="21E835B2" w14:textId="1E4D8566" w:rsidR="003C5CBB" w:rsidRPr="003C5CBB" w:rsidRDefault="00634BAE" w:rsidP="003C5CBB">
      <w:pPr>
        <w:pStyle w:val="BNormal"/>
      </w:pPr>
      <w:r w:rsidRPr="003C5CBB">
        <w:t>A related situation in which distinctiveness would be a useful element would involve a well-known mark that became generic</w:t>
      </w:r>
      <w:r w:rsidR="003C5CBB" w:rsidRPr="003C5CBB">
        <w:t>. S</w:t>
      </w:r>
      <w:r w:rsidRPr="003C5CBB">
        <w:t>uch a mark would also no longer be “distinctive,” at least in the sense of pointing to a specific source (Yo-Yo, for example)</w:t>
      </w:r>
      <w:r w:rsidR="003C5CBB" w:rsidRPr="003C5CBB">
        <w:t>. I</w:t>
      </w:r>
      <w:r w:rsidRPr="003C5CBB">
        <w:t>t is true that a mark’s registration can be canceled if it becomes generic,</w:t>
      </w:r>
      <w:r w:rsidR="003C5CBB" w:rsidRPr="003C5CBB">
        <w:rPr>
          <w:vertAlign w:val="superscript"/>
        </w:rPr>
        <w:footnoteReference w:id="538"/>
      </w:r>
      <w:r w:rsidRPr="003C5CBB">
        <w:t xml:space="preserve"> and a generic mark will not be protected by common law (except where unfair competition exists), but a distinctiveness requirement would preclude the slight possibility of a court using dilution to protect a very well-known generic term that once was a trademark.</w:t>
      </w:r>
    </w:p>
    <w:p w14:paraId="6D76CCB1" w14:textId="0D3E0630" w:rsidR="003C5CBB" w:rsidRPr="003C5CBB" w:rsidRDefault="00634BAE" w:rsidP="003C5CBB">
      <w:pPr>
        <w:pStyle w:val="BNormal"/>
      </w:pPr>
      <w:r w:rsidRPr="003C5CBB">
        <w:t>A mark that is functional cannot be protected under the TDRA even if it is famous.</w:t>
      </w:r>
      <w:r w:rsidR="003C5CBB" w:rsidRPr="003C5CBB">
        <w:rPr>
          <w:vertAlign w:val="superscript"/>
        </w:rPr>
        <w:footnoteReference w:id="539"/>
      </w:r>
    </w:p>
    <w:p w14:paraId="38F81185" w14:textId="1551CBB5" w:rsidR="003C5CBB" w:rsidRPr="003C5CBB" w:rsidRDefault="008B3068" w:rsidP="008B3068">
      <w:pPr>
        <w:pStyle w:val="BHead3"/>
      </w:pPr>
      <w:r>
        <w:t>8.VIII.C.</w:t>
      </w:r>
      <w:r w:rsidR="003C5CBB" w:rsidRPr="008B3068">
        <w:rPr>
          <w:rStyle w:val="BBNAidChar"/>
          <w:rFonts w:eastAsiaTheme="majorEastAsia"/>
        </w:rPr>
        <w:t>3</w:t>
      </w:r>
      <w:r w:rsidR="003C5CBB" w:rsidRPr="003C5CBB">
        <w:t>.</w:t>
      </w:r>
      <w:r>
        <w:t> </w:t>
      </w:r>
      <w:r w:rsidR="003C5CBB" w:rsidRPr="003C5CBB">
        <w:tab/>
        <w:t>Product Configurations</w:t>
      </w:r>
    </w:p>
    <w:p w14:paraId="4288F678" w14:textId="6667F884" w:rsidR="003C5CBB" w:rsidRPr="003C5CBB" w:rsidRDefault="00634BAE" w:rsidP="003C5CBB">
      <w:pPr>
        <w:pStyle w:val="BNormal"/>
      </w:pPr>
      <w:r w:rsidRPr="003C5CBB">
        <w:t xml:space="preserve">Product configurations raise </w:t>
      </w:r>
      <w:proofErr w:type="gramStart"/>
      <w:r w:rsidRPr="003C5CBB">
        <w:t>a number of</w:t>
      </w:r>
      <w:proofErr w:type="gramEnd"/>
      <w:r w:rsidRPr="003C5CBB">
        <w:t xml:space="preserve"> issues for dilution, most notably the possible conflict between trademark protection without confusion and patent protection.</w:t>
      </w:r>
      <w:r w:rsidR="003C5CBB" w:rsidRPr="003C5CBB">
        <w:rPr>
          <w:vertAlign w:val="superscript"/>
        </w:rPr>
        <w:footnoteReference w:id="540"/>
      </w:r>
      <w:r w:rsidRPr="003C5CBB">
        <w:t xml:space="preserve"> Distinctiveness is also treated differently for product configurations</w:t>
      </w:r>
      <w:r w:rsidR="003C5CBB" w:rsidRPr="003C5CBB">
        <w:t>. I</w:t>
      </w:r>
      <w:r w:rsidRPr="003C5CBB">
        <w:t xml:space="preserve">n </w:t>
      </w:r>
      <w:r w:rsidR="003C5CBB" w:rsidRPr="003C5CBB">
        <w:rPr>
          <w:i/>
        </w:rPr>
        <w:t>Wal-Mart Stores, Inc</w:t>
      </w:r>
      <w:r w:rsidR="003C5CBB" w:rsidRPr="003C5CBB">
        <w:t xml:space="preserve">. </w:t>
      </w:r>
      <w:r w:rsidR="003C5CBB" w:rsidRPr="003C5CBB">
        <w:rPr>
          <w:i/>
        </w:rPr>
        <w:t>v</w:t>
      </w:r>
      <w:r w:rsidR="003C5CBB" w:rsidRPr="003C5CBB">
        <w:t xml:space="preserve">. </w:t>
      </w:r>
      <w:r w:rsidR="003C5CBB" w:rsidRPr="003C5CBB">
        <w:rPr>
          <w:i/>
        </w:rPr>
        <w:t>Samara Bros</w:t>
      </w:r>
      <w:r w:rsidRPr="003C5CBB">
        <w:t>.</w:t>
      </w:r>
      <w:r w:rsidR="003C5CBB" w:rsidRPr="003C5CBB">
        <w:rPr>
          <w:i/>
        </w:rPr>
        <w:t>, Inc</w:t>
      </w:r>
      <w:r w:rsidRPr="003C5CBB">
        <w:t>.,</w:t>
      </w:r>
      <w:r w:rsidR="003C5CBB" w:rsidRPr="003C5CBB">
        <w:rPr>
          <w:vertAlign w:val="superscript"/>
        </w:rPr>
        <w:footnoteReference w:id="541"/>
      </w:r>
      <w:r w:rsidRPr="003C5CBB">
        <w:t xml:space="preserve"> the Supreme Court held that product configurations are not protectable under Section 43(a) of the Lanham Act without a showing of secondary meaning.</w:t>
      </w:r>
      <w:r w:rsidR="003C5CBB" w:rsidRPr="003C5CBB">
        <w:rPr>
          <w:vertAlign w:val="superscript"/>
        </w:rPr>
        <w:footnoteReference w:id="542"/>
      </w:r>
      <w:r w:rsidRPr="003C5CBB">
        <w:t xml:space="preserve"> The Court reasoned that consumers ordinarily do not view product configurations as trademarks</w:t>
      </w:r>
      <w:r w:rsidR="003C5CBB" w:rsidRPr="003C5CBB">
        <w:t>; t</w:t>
      </w:r>
      <w:r w:rsidRPr="003C5CBB">
        <w:t>hus, they cannot be deemed “inherently” distinctive, as word marks often can.</w:t>
      </w:r>
      <w:r w:rsidR="003C5CBB" w:rsidRPr="003C5CBB">
        <w:rPr>
          <w:vertAlign w:val="superscript"/>
        </w:rPr>
        <w:footnoteReference w:id="543"/>
      </w:r>
      <w:r w:rsidRPr="003C5CBB">
        <w:t xml:space="preserve"> The TDRA requires a mark to be distinctive “either inherently or through acquired distinctiveness [i.e., secondary meaning].” Although one might argue that an “inherently” distinctive product configuration should be eligible for protection, that would be an inapt construction of the statute</w:t>
      </w:r>
      <w:r w:rsidR="003C5CBB" w:rsidRPr="003C5CBB">
        <w:t>. T</w:t>
      </w:r>
      <w:r w:rsidRPr="003C5CBB">
        <w:t xml:space="preserve">he Supreme Court’s holding in </w:t>
      </w:r>
      <w:r w:rsidR="003C5CBB" w:rsidRPr="003C5CBB">
        <w:rPr>
          <w:i/>
        </w:rPr>
        <w:t>Wal-Mart</w:t>
      </w:r>
      <w:r w:rsidRPr="003C5CBB">
        <w:t xml:space="preserve"> means that product configurations are incapable of being deemed inherently distinctive for trademark purposes, and they should be treated like descriptive word marks—ineligible for dilution protection unless they have secondary meaning</w:t>
      </w:r>
      <w:r w:rsidR="003C5CBB" w:rsidRPr="003C5CBB">
        <w:t xml:space="preserve">. </w:t>
      </w:r>
      <w:r w:rsidR="003C5CBB" w:rsidRPr="003C5CBB">
        <w:lastRenderedPageBreak/>
        <w:t>A</w:t>
      </w:r>
      <w:r w:rsidRPr="003C5CBB">
        <w:t>fter the TDRA, this issue is less likely to arise because the definition of “famous” now requires one to show widespread recognition of the configuration as a trademark.</w:t>
      </w:r>
    </w:p>
    <w:p w14:paraId="6FF045A8" w14:textId="39256CF0" w:rsidR="003C5CBB" w:rsidRPr="003C5CBB" w:rsidRDefault="00634BAE" w:rsidP="003C5CBB">
      <w:pPr>
        <w:pStyle w:val="BNormal"/>
      </w:pPr>
      <w:r w:rsidRPr="003C5CBB">
        <w:t xml:space="preserve">That analysis was the basis for the district court’s ultimate ruling in </w:t>
      </w:r>
      <w:r w:rsidR="003C5CBB" w:rsidRPr="003C5CBB">
        <w:rPr>
          <w:i/>
        </w:rPr>
        <w:t>I</w:t>
      </w:r>
      <w:r w:rsidRPr="003C5CBB">
        <w:t>.</w:t>
      </w:r>
      <w:r w:rsidR="003C5CBB" w:rsidRPr="003C5CBB">
        <w:rPr>
          <w:i/>
        </w:rPr>
        <w:t>P</w:t>
      </w:r>
      <w:r w:rsidR="003C5CBB" w:rsidRPr="003C5CBB">
        <w:t xml:space="preserve">. </w:t>
      </w:r>
      <w:r w:rsidR="003C5CBB" w:rsidRPr="003C5CBB">
        <w:rPr>
          <w:i/>
        </w:rPr>
        <w:t>Lund Trading ApS v</w:t>
      </w:r>
      <w:r w:rsidR="003C5CBB" w:rsidRPr="003C5CBB">
        <w:t xml:space="preserve">. </w:t>
      </w:r>
      <w:r w:rsidR="003C5CBB" w:rsidRPr="003C5CBB">
        <w:rPr>
          <w:i/>
        </w:rPr>
        <w:t>Kohler Co</w:t>
      </w:r>
      <w:r w:rsidRPr="003C5CBB">
        <w:t>.</w:t>
      </w:r>
      <w:r w:rsidR="003C5CBB" w:rsidRPr="003C5CBB">
        <w:rPr>
          <w:vertAlign w:val="superscript"/>
        </w:rPr>
        <w:footnoteReference w:id="544"/>
      </w:r>
      <w:r w:rsidRPr="003C5CBB">
        <w:t xml:space="preserve"> Following </w:t>
      </w:r>
      <w:r w:rsidR="003C5CBB" w:rsidRPr="003C5CBB">
        <w:rPr>
          <w:i/>
        </w:rPr>
        <w:t>Wal-Mart</w:t>
      </w:r>
      <w:r w:rsidRPr="003C5CBB">
        <w:t xml:space="preserve">, the district court in </w:t>
      </w:r>
      <w:r w:rsidR="003C5CBB" w:rsidRPr="003C5CBB">
        <w:rPr>
          <w:i/>
        </w:rPr>
        <w:t>Lund</w:t>
      </w:r>
      <w:r w:rsidRPr="003C5CBB">
        <w:t xml:space="preserve"> engaged in a lengthy analysis of the distinctiveness of the plaintiff’s faucet design.</w:t>
      </w:r>
      <w:r w:rsidR="003C5CBB" w:rsidRPr="003C5CBB">
        <w:rPr>
          <w:vertAlign w:val="superscript"/>
        </w:rPr>
        <w:footnoteReference w:id="545"/>
      </w:r>
      <w:r w:rsidRPr="003C5CBB">
        <w:t xml:space="preserve"> It viewed </w:t>
      </w:r>
      <w:r w:rsidR="003C5CBB" w:rsidRPr="003C5CBB">
        <w:rPr>
          <w:i/>
        </w:rPr>
        <w:t>Wal-Mart</w:t>
      </w:r>
      <w:r w:rsidRPr="003C5CBB">
        <w:t xml:space="preserve"> as requiring that “a substantial portion of the consuming public” recognize the faucet design in question as identifying a unique source for that faucet.</w:t>
      </w:r>
      <w:r w:rsidR="003C5CBB" w:rsidRPr="003C5CBB">
        <w:rPr>
          <w:vertAlign w:val="superscript"/>
        </w:rPr>
        <w:footnoteReference w:id="546"/>
      </w:r>
      <w:r w:rsidRPr="003C5CBB">
        <w:t xml:space="preserve"> Plaintiff Lund introduced two surveys, both of which were found insufficient in methodology</w:t>
      </w:r>
      <w:r w:rsidR="003C5CBB" w:rsidRPr="003C5CBB">
        <w:t>. H</w:t>
      </w:r>
      <w:r w:rsidRPr="003C5CBB">
        <w:t xml:space="preserve">owever, the court found that neither survey showed that consumers identified the design </w:t>
      </w:r>
      <w:r w:rsidR="003C5CBB" w:rsidRPr="003C5CBB">
        <w:rPr>
          <w:i/>
        </w:rPr>
        <w:t>uniquely</w:t>
      </w:r>
      <w:r w:rsidRPr="003C5CBB">
        <w:t xml:space="preserve"> with </w:t>
      </w:r>
      <w:r w:rsidR="003C5CBB" w:rsidRPr="003C5CBB">
        <w:rPr>
          <w:i/>
        </w:rPr>
        <w:t>one</w:t>
      </w:r>
      <w:r w:rsidRPr="003C5CBB">
        <w:t xml:space="preserve"> source (even if anonymous).</w:t>
      </w:r>
      <w:r w:rsidR="003C5CBB" w:rsidRPr="003C5CBB">
        <w:rPr>
          <w:vertAlign w:val="superscript"/>
        </w:rPr>
        <w:footnoteReference w:id="547"/>
      </w:r>
      <w:r w:rsidRPr="003C5CBB">
        <w:t xml:space="preserve"> Additionally, the court found that the surveys did not adequately demonstrate that the designs were viewed more as source identifiers than as aesthetically pleasing designs.</w:t>
      </w:r>
      <w:r w:rsidR="003C5CBB" w:rsidRPr="003C5CBB">
        <w:rPr>
          <w:vertAlign w:val="superscript"/>
        </w:rPr>
        <w:footnoteReference w:id="548"/>
      </w:r>
      <w:r w:rsidRPr="003C5CBB">
        <w:t xml:space="preserve"> The court also examined “circumstantial evidence” of acquired distinctiveness.</w:t>
      </w:r>
      <w:r w:rsidR="003C5CBB" w:rsidRPr="003C5CBB">
        <w:rPr>
          <w:vertAlign w:val="superscript"/>
        </w:rPr>
        <w:footnoteReference w:id="549"/>
      </w:r>
      <w:r w:rsidRPr="003C5CBB">
        <w:t xml:space="preserve"> However, it found that most of this evidence did not favor secondary meaning.</w:t>
      </w:r>
      <w:r w:rsidR="003C5CBB" w:rsidRPr="003C5CBB">
        <w:rPr>
          <w:vertAlign w:val="superscript"/>
        </w:rPr>
        <w:footnoteReference w:id="550"/>
      </w:r>
      <w:r w:rsidRPr="003C5CBB">
        <w:t xml:space="preserve"> Thus, it concluded that the faucet design was not sufficiently distinctive to obtain protection under the FTDA.</w:t>
      </w:r>
      <w:r w:rsidR="003C5CBB" w:rsidRPr="003C5CBB">
        <w:rPr>
          <w:vertAlign w:val="superscript"/>
        </w:rPr>
        <w:footnoteReference w:id="551"/>
      </w:r>
    </w:p>
    <w:p w14:paraId="5FFDA65F" w14:textId="584D3567" w:rsidR="003C5CBB" w:rsidRPr="003C5CBB" w:rsidRDefault="00634BAE" w:rsidP="003C5CBB">
      <w:pPr>
        <w:pStyle w:val="BNormal"/>
      </w:pPr>
      <w:r w:rsidRPr="003C5CBB">
        <w:t>In a case involving the shape of a Cobra automobile as a trademark (or trade dress), the court dismissed a dilution claim in which the plaintiff failed to show that the shape of the car was distinctive, in the sense that the public recognized it as pointing to the plaintiff as the single producer of the Cobra.</w:t>
      </w:r>
      <w:r w:rsidR="003C5CBB" w:rsidRPr="003C5CBB">
        <w:rPr>
          <w:vertAlign w:val="superscript"/>
        </w:rPr>
        <w:footnoteReference w:id="552"/>
      </w:r>
    </w:p>
    <w:p w14:paraId="79CFE9FA" w14:textId="620B035F" w:rsidR="003C5CBB" w:rsidRPr="003C5CBB" w:rsidRDefault="00634BAE" w:rsidP="003C5CBB">
      <w:pPr>
        <w:pStyle w:val="BNormal"/>
      </w:pPr>
      <w:r w:rsidRPr="003C5CBB">
        <w:t>Because product configurations raise serious concerns about conflicts with patent law, courts should be wary about permitting such claims</w:t>
      </w:r>
      <w:r w:rsidR="003C5CBB" w:rsidRPr="003C5CBB">
        <w:t xml:space="preserve">. </w:t>
      </w:r>
      <w:proofErr w:type="gramStart"/>
      <w:r w:rsidR="003C5CBB" w:rsidRPr="003C5CBB">
        <w:t>T</w:t>
      </w:r>
      <w:r w:rsidRPr="003C5CBB">
        <w:t>he TDRA</w:t>
      </w:r>
      <w:proofErr w:type="gramEnd"/>
      <w:r w:rsidRPr="003C5CBB">
        <w:t xml:space="preserve"> has not written them entirely out of the statute, although §43(c)(7) of </w:t>
      </w:r>
      <w:r w:rsidRPr="003C5CBB">
        <w:lastRenderedPageBreak/>
        <w:t>the Lanham Act does anticipate this problem.</w:t>
      </w:r>
      <w:r w:rsidR="003C5CBB" w:rsidRPr="003C5CBB">
        <w:rPr>
          <w:vertAlign w:val="superscript"/>
        </w:rPr>
        <w:footnoteReference w:id="553"/>
      </w:r>
      <w:r w:rsidRPr="003C5CBB">
        <w:t xml:space="preserve"> The TDRA also complicates the analysis of trade dress, because it attempts to deal with some specific issues raised by trade-dress dilution cases</w:t>
      </w:r>
      <w:r w:rsidR="003C5CBB" w:rsidRPr="003C5CBB">
        <w:t>. T</w:t>
      </w:r>
      <w:r w:rsidRPr="003C5CBB">
        <w:t>hose issues are discussed in more detail in Section IX, below.</w:t>
      </w:r>
    </w:p>
    <w:p w14:paraId="6BA4145E" w14:textId="7E00912D" w:rsidR="003C5CBB" w:rsidRPr="003C5CBB" w:rsidRDefault="008B3068" w:rsidP="008B3068">
      <w:pPr>
        <w:pStyle w:val="BHead2"/>
      </w:pPr>
      <w:r>
        <w:t>8.VIII.</w:t>
      </w:r>
      <w:r w:rsidR="003C5CBB" w:rsidRPr="008B3068">
        <w:rPr>
          <w:rStyle w:val="BBNAidChar"/>
          <w:rFonts w:eastAsiaTheme="majorEastAsia"/>
        </w:rPr>
        <w:t>D</w:t>
      </w:r>
      <w:r w:rsidR="003C5CBB" w:rsidRPr="003C5CBB">
        <w:t>.</w:t>
      </w:r>
      <w:r>
        <w:t> </w:t>
      </w:r>
      <w:r w:rsidR="003C5CBB" w:rsidRPr="003C5CBB">
        <w:tab/>
        <w:t>Limited Use for a Separate Distinctiveness Analysis</w:t>
      </w:r>
    </w:p>
    <w:p w14:paraId="561B516C" w14:textId="733A4477" w:rsidR="003C5CBB" w:rsidRPr="003C5CBB" w:rsidRDefault="00634BAE" w:rsidP="003C5CBB">
      <w:pPr>
        <w:pStyle w:val="BNormal"/>
      </w:pPr>
      <w:r w:rsidRPr="003C5CBB">
        <w:t>Apart from the few situations discussed above, the requirement of distinctiveness will not be a significant independent barrier to dilution protection</w:t>
      </w:r>
      <w:r w:rsidR="003C5CBB" w:rsidRPr="003C5CBB">
        <w:t>. O</w:t>
      </w:r>
      <w:r w:rsidRPr="003C5CBB">
        <w:t>f course, distinctiveness still plays a role in the process of analyzing dilution, even apart from fame</w:t>
      </w:r>
      <w:r w:rsidR="003C5CBB" w:rsidRPr="003C5CBB">
        <w:t>. T</w:t>
      </w:r>
      <w:r w:rsidRPr="003C5CBB">
        <w:t>hat aspect of distinctiveness is discussed further in Chapter 9.</w:t>
      </w:r>
    </w:p>
    <w:p w14:paraId="2894D59D" w14:textId="76CE74EA" w:rsidR="003C5CBB" w:rsidRPr="003C5CBB" w:rsidRDefault="008B3068" w:rsidP="008B3068">
      <w:pPr>
        <w:pStyle w:val="BHead1"/>
      </w:pPr>
      <w:r>
        <w:t>8.</w:t>
      </w:r>
      <w:r w:rsidR="003C5CBB" w:rsidRPr="008B3068">
        <w:rPr>
          <w:rStyle w:val="BBNAidChar"/>
          <w:rFonts w:eastAsiaTheme="majorEastAsia"/>
        </w:rPr>
        <w:t>IX</w:t>
      </w:r>
      <w:r w:rsidR="003C5CBB" w:rsidRPr="003C5CBB">
        <w:t>.</w:t>
      </w:r>
      <w:r>
        <w:t xml:space="preserve">  </w:t>
      </w:r>
      <w:r w:rsidR="003C5CBB" w:rsidRPr="003C5CBB">
        <w:t>The TDRA and Trade Dress as a “Famous Mark”</w:t>
      </w:r>
    </w:p>
    <w:p w14:paraId="0406A401" w14:textId="406C89E2" w:rsidR="003C5CBB" w:rsidRPr="003C5CBB" w:rsidRDefault="00634BAE" w:rsidP="003C5CBB">
      <w:pPr>
        <w:pStyle w:val="BNormal"/>
      </w:pPr>
      <w:r w:rsidRPr="003C5CBB">
        <w:t>The original version of the FTDA made no mention of trade dress being eligible for dilution protection</w:t>
      </w:r>
      <w:r w:rsidR="003C5CBB" w:rsidRPr="003C5CBB">
        <w:t>. N</w:t>
      </w:r>
      <w:r w:rsidRPr="003C5CBB">
        <w:t>evertheless, nothing in the statute precluded trade dress from being considered a famous mark and thus eligible for protection</w:t>
      </w:r>
      <w:r w:rsidR="003C5CBB" w:rsidRPr="003C5CBB">
        <w:t>. A</w:t>
      </w:r>
      <w:r w:rsidRPr="003C5CBB">
        <w:t>nd, as discussed elsewhere in this text, courts assumed that trade dress was included in the FTDA.</w:t>
      </w:r>
      <w:r w:rsidR="003C5CBB" w:rsidRPr="003C5CBB">
        <w:rPr>
          <w:vertAlign w:val="superscript"/>
        </w:rPr>
        <w:footnoteReference w:id="554"/>
      </w:r>
    </w:p>
    <w:p w14:paraId="43898094" w14:textId="00C68DB0" w:rsidR="003C5CBB" w:rsidRPr="003C5CBB" w:rsidRDefault="00634BAE" w:rsidP="003C5CBB">
      <w:pPr>
        <w:pStyle w:val="BNormal"/>
      </w:pPr>
      <w:r w:rsidRPr="003C5CBB">
        <w:t>Clearly, trade dress falls within the definition of a “mark” under the Lanham Act, and numerous courts, including the U.S</w:t>
      </w:r>
      <w:r w:rsidR="003C5CBB" w:rsidRPr="003C5CBB">
        <w:t>. S</w:t>
      </w:r>
      <w:r w:rsidRPr="003C5CBB">
        <w:t>upreme Court, have so held.</w:t>
      </w:r>
      <w:r w:rsidR="003C5CBB" w:rsidRPr="003C5CBB">
        <w:rPr>
          <w:vertAlign w:val="superscript"/>
        </w:rPr>
        <w:footnoteReference w:id="555"/>
      </w:r>
      <w:r w:rsidRPr="003C5CBB">
        <w:t xml:space="preserve"> However, dilution protection for trade dress is not without its theoretical and practical problems.</w:t>
      </w:r>
      <w:r w:rsidR="003C5CBB" w:rsidRPr="003C5CBB">
        <w:rPr>
          <w:vertAlign w:val="superscript"/>
        </w:rPr>
        <w:footnoteReference w:id="556"/>
      </w:r>
      <w:r w:rsidRPr="003C5CBB">
        <w:t xml:space="preserve"> Some of those problems relate to the interaction of product configuration protection and the patent and copyright laws and are discussed elsewhere in this text.</w:t>
      </w:r>
      <w:r w:rsidR="003C5CBB" w:rsidRPr="003C5CBB">
        <w:rPr>
          <w:vertAlign w:val="superscript"/>
        </w:rPr>
        <w:footnoteReference w:id="557"/>
      </w:r>
      <w:r w:rsidRPr="003C5CBB">
        <w:t xml:space="preserve"> In this section, we will be concerned with problems relating to whether trade dress should be considered famous for purposes of the TDRA.</w:t>
      </w:r>
    </w:p>
    <w:p w14:paraId="354BAC3F" w14:textId="6BD10E13" w:rsidR="003C5CBB" w:rsidRPr="003C5CBB" w:rsidRDefault="00634BAE" w:rsidP="003C5CBB">
      <w:pPr>
        <w:pStyle w:val="BNormal"/>
      </w:pPr>
      <w:r w:rsidRPr="003C5CBB">
        <w:t>Preliminarily, it is worth discussing a problem that arose under the original FTDA</w:t>
      </w:r>
      <w:r w:rsidR="003C5CBB" w:rsidRPr="003C5CBB">
        <w:t>: w</w:t>
      </w:r>
      <w:r w:rsidRPr="003C5CBB">
        <w:t>hether a mark that is not inherently distinctive—such as a product configuration</w:t>
      </w:r>
      <w:r w:rsidR="003C5CBB" w:rsidRPr="003C5CBB">
        <w:rPr>
          <w:vertAlign w:val="superscript"/>
        </w:rPr>
        <w:footnoteReference w:id="558"/>
      </w:r>
      <w:r w:rsidRPr="003C5CBB">
        <w:t>—is eligible for dilution protection</w:t>
      </w:r>
      <w:r w:rsidR="003C5CBB" w:rsidRPr="003C5CBB">
        <w:t>. U</w:t>
      </w:r>
      <w:r w:rsidRPr="003C5CBB">
        <w:t>nlike the original FTDA, which contained an awkward reference to marks that are “distinctive and famous,” the TDRA inserted language protecting “a famous mark that is distinctive, inherently or through acquired distinctiveness.”</w:t>
      </w:r>
      <w:r w:rsidR="003C5CBB" w:rsidRPr="003C5CBB">
        <w:rPr>
          <w:vertAlign w:val="superscript"/>
        </w:rPr>
        <w:footnoteReference w:id="559"/>
      </w:r>
      <w:r w:rsidRPr="003C5CBB">
        <w:t xml:space="preserve"> This language makes it clear that, although marks must be both famous and distinctive to be eligible for dilution protection, the distinctiveness portion may be the result of acquired distinctiveness</w:t>
      </w:r>
      <w:r w:rsidR="003C5CBB" w:rsidRPr="003C5CBB">
        <w:t>; i</w:t>
      </w:r>
      <w:r w:rsidRPr="003C5CBB">
        <w:t>nherent distinctiveness is not essential</w:t>
      </w:r>
      <w:r w:rsidR="003C5CBB" w:rsidRPr="003C5CBB">
        <w:t>. W</w:t>
      </w:r>
      <w:r w:rsidRPr="003C5CBB">
        <w:t xml:space="preserve">hen combined with the specific references to trade dress in the TDRA, </w:t>
      </w:r>
      <w:r w:rsidRPr="003C5CBB">
        <w:lastRenderedPageBreak/>
        <w:t xml:space="preserve">discussed below (which do not differentiate between product configurations and other trade dress), it is hard to escape the conclusion that a </w:t>
      </w:r>
      <w:r w:rsidR="003C5CBB" w:rsidRPr="003C5CBB">
        <w:rPr>
          <w:i/>
        </w:rPr>
        <w:t>famous</w:t>
      </w:r>
      <w:r w:rsidRPr="003C5CBB">
        <w:t xml:space="preserve"> trade dress, whether a product design or not, is eligible for protection.</w:t>
      </w:r>
      <w:r w:rsidR="003C5CBB" w:rsidRPr="003C5CBB">
        <w:rPr>
          <w:vertAlign w:val="superscript"/>
        </w:rPr>
        <w:footnoteReference w:id="560"/>
      </w:r>
    </w:p>
    <w:p w14:paraId="4C0DFA75" w14:textId="5083D621" w:rsidR="003C5CBB" w:rsidRPr="003C5CBB" w:rsidRDefault="00634BAE" w:rsidP="003C5CBB">
      <w:pPr>
        <w:pStyle w:val="BNormal"/>
      </w:pPr>
      <w:r w:rsidRPr="003C5CBB">
        <w:t xml:space="preserve">The TDRA added a provision specifically relating to the problem of demonstrating that </w:t>
      </w:r>
      <w:proofErr w:type="gramStart"/>
      <w:r w:rsidRPr="003C5CBB">
        <w:t>a trade</w:t>
      </w:r>
      <w:proofErr w:type="gramEnd"/>
      <w:r w:rsidRPr="003C5CBB">
        <w:t xml:space="preserve"> dress is famous</w:t>
      </w:r>
      <w:r w:rsidR="003C5CBB" w:rsidRPr="003C5CBB">
        <w:t>. S</w:t>
      </w:r>
      <w:r w:rsidRPr="003C5CBB">
        <w:t>ection 43(c)(4) of the Lanham Act, as amended, provides as follows:</w:t>
      </w:r>
    </w:p>
    <w:p w14:paraId="064F04BD" w14:textId="368824D2" w:rsidR="003C5CBB" w:rsidRPr="003C5CBB" w:rsidRDefault="00634BAE" w:rsidP="003C5CBB">
      <w:pPr>
        <w:pStyle w:val="BQuotelong"/>
      </w:pPr>
      <w:r w:rsidRPr="003C5CBB">
        <w:t>(4) Burden of proof</w:t>
      </w:r>
    </w:p>
    <w:p w14:paraId="573732BD" w14:textId="1FF94A8F" w:rsidR="003C5CBB" w:rsidRPr="003C5CBB" w:rsidRDefault="00634BAE" w:rsidP="003C5CBB">
      <w:pPr>
        <w:pStyle w:val="BQuotelong"/>
      </w:pPr>
      <w:r w:rsidRPr="003C5CBB">
        <w:t>In a civil action for trade dress dilution under this chapter for trade dress not registered on the principal register, the person who asserts trade dress protection has the burden of proving that—</w:t>
      </w:r>
    </w:p>
    <w:p w14:paraId="1DCEDED2" w14:textId="39AE0141" w:rsidR="003C5CBB" w:rsidRPr="003C5CBB" w:rsidRDefault="00634BAE" w:rsidP="008B3068">
      <w:pPr>
        <w:pStyle w:val="BQuotelong"/>
        <w:ind w:left="1440"/>
      </w:pPr>
      <w:r w:rsidRPr="003C5CBB">
        <w:t>(A) the claimed trade dress, taken as a whole, is not functional and is famous</w:t>
      </w:r>
      <w:r w:rsidR="003C5CBB" w:rsidRPr="003C5CBB">
        <w:t>; a</w:t>
      </w:r>
      <w:r w:rsidRPr="003C5CBB">
        <w:t>nd</w:t>
      </w:r>
    </w:p>
    <w:p w14:paraId="4EF23AF5" w14:textId="6372E205" w:rsidR="003C5CBB" w:rsidRPr="003C5CBB" w:rsidRDefault="00634BAE" w:rsidP="008B3068">
      <w:pPr>
        <w:pStyle w:val="BQuotelong"/>
        <w:ind w:left="1440"/>
      </w:pPr>
      <w:r w:rsidRPr="003C5CBB">
        <w:t>(B) if the claimed trade dress includes any mark or marks registered on the principal register, the unregistered matter, taken as a whole, is famous separate and apart from any fame of such registered marks.</w:t>
      </w:r>
      <w:r w:rsidR="003C5CBB" w:rsidRPr="003C5CBB">
        <w:rPr>
          <w:vertAlign w:val="superscript"/>
        </w:rPr>
        <w:footnoteReference w:id="561"/>
      </w:r>
    </w:p>
    <w:p w14:paraId="6E790B2C" w14:textId="4E15D567" w:rsidR="003C5CBB" w:rsidRPr="003C5CBB" w:rsidRDefault="00634BAE" w:rsidP="003C5CBB">
      <w:pPr>
        <w:pStyle w:val="BNormal"/>
      </w:pPr>
      <w:r w:rsidRPr="003C5CBB">
        <w:t xml:space="preserve">This section applies to trade </w:t>
      </w:r>
      <w:proofErr w:type="gramStart"/>
      <w:r w:rsidRPr="003C5CBB">
        <w:t>dress dilution</w:t>
      </w:r>
      <w:proofErr w:type="gramEnd"/>
      <w:r w:rsidRPr="003C5CBB">
        <w:t xml:space="preserve"> claims only where the trade dress is </w:t>
      </w:r>
      <w:r w:rsidR="003C5CBB" w:rsidRPr="003C5CBB">
        <w:rPr>
          <w:i/>
        </w:rPr>
        <w:t>not</w:t>
      </w:r>
      <w:r w:rsidRPr="003C5CBB">
        <w:t xml:space="preserve"> registered on the principal register.</w:t>
      </w:r>
      <w:r w:rsidR="003C5CBB" w:rsidRPr="003C5CBB">
        <w:rPr>
          <w:vertAlign w:val="superscript"/>
        </w:rPr>
        <w:footnoteReference w:id="562"/>
      </w:r>
      <w:r w:rsidRPr="003C5CBB">
        <w:t xml:space="preserve"> That, however, includes many, if not most, trade dress situations</w:t>
      </w:r>
      <w:r w:rsidR="003C5CBB" w:rsidRPr="003C5CBB">
        <w:t>. M</w:t>
      </w:r>
      <w:r w:rsidRPr="003C5CBB">
        <w:t>oreover, this section only allocates the burden of proof</w:t>
      </w:r>
      <w:r w:rsidR="003C5CBB" w:rsidRPr="003C5CBB">
        <w:t>; i</w:t>
      </w:r>
      <w:r w:rsidRPr="003C5CBB">
        <w:t>t does not establish a particular standard for what constitutes a “famous” trade dress.</w:t>
      </w:r>
    </w:p>
    <w:p w14:paraId="280AA846" w14:textId="27F17641" w:rsidR="003C5CBB" w:rsidRPr="003C5CBB" w:rsidRDefault="00634BAE" w:rsidP="003C5CBB">
      <w:pPr>
        <w:pStyle w:val="BNormal"/>
      </w:pPr>
      <w:r w:rsidRPr="003C5CBB">
        <w:t>Subsection (4)(A) makes it clear that, for unregistered trade dress (which includes unregistered product configurations), the burden will be on the owner of the purportedly famous trade dress to demonstrate that the trade dress is both nonfunctional and famous</w:t>
      </w:r>
      <w:r w:rsidR="003C5CBB" w:rsidRPr="003C5CBB">
        <w:t>. T</w:t>
      </w:r>
      <w:r w:rsidRPr="003C5CBB">
        <w:t>he statute incorporates the idea that the trade dress must be considered “as a whole,” which is consistent with the general treatment of trade dress.</w:t>
      </w:r>
      <w:r w:rsidR="003C5CBB" w:rsidRPr="003C5CBB">
        <w:rPr>
          <w:vertAlign w:val="superscript"/>
        </w:rPr>
        <w:footnoteReference w:id="563"/>
      </w:r>
    </w:p>
    <w:p w14:paraId="0D49A99E" w14:textId="36A8BCD7" w:rsidR="003C5CBB" w:rsidRPr="003C5CBB" w:rsidRDefault="00634BAE" w:rsidP="003C5CBB">
      <w:pPr>
        <w:pStyle w:val="BNormal"/>
      </w:pPr>
      <w:r w:rsidRPr="003C5CBB">
        <w:t>Subsection (4)(B) deals with a subtler problem</w:t>
      </w:r>
      <w:r w:rsidR="003C5CBB" w:rsidRPr="003C5CBB">
        <w:t>. T</w:t>
      </w:r>
      <w:r w:rsidRPr="003C5CBB">
        <w:t>he trade dress of a product, particularly if it consists of product packaging, may include word or logo marks that are separately registered</w:t>
      </w:r>
      <w:r w:rsidR="003C5CBB" w:rsidRPr="003C5CBB">
        <w:t>. S</w:t>
      </w:r>
      <w:r w:rsidRPr="003C5CBB">
        <w:t>ome of those registered marks may even be famous on their own</w:t>
      </w:r>
      <w:r w:rsidR="003C5CBB" w:rsidRPr="003C5CBB">
        <w:t>. T</w:t>
      </w:r>
      <w:r w:rsidRPr="003C5CBB">
        <w:t xml:space="preserve">his subsection states that the fame of any (unregistered) trade dress that includes such registered marks must be demonstrated </w:t>
      </w:r>
      <w:proofErr w:type="gramStart"/>
      <w:r w:rsidR="003C5CBB" w:rsidRPr="003C5CBB">
        <w:rPr>
          <w:i/>
        </w:rPr>
        <w:t>separate</w:t>
      </w:r>
      <w:proofErr w:type="gramEnd"/>
      <w:r w:rsidR="003C5CBB" w:rsidRPr="003C5CBB">
        <w:rPr>
          <w:i/>
        </w:rPr>
        <w:t xml:space="preserve"> and apart</w:t>
      </w:r>
      <w:r w:rsidRPr="003C5CBB">
        <w:t xml:space="preserve"> from the fame of the registered mark</w:t>
      </w:r>
      <w:r w:rsidR="003C5CBB" w:rsidRPr="003C5CBB">
        <w:t>. A</w:t>
      </w:r>
      <w:r w:rsidRPr="003C5CBB">
        <w:t>n example would be as follows</w:t>
      </w:r>
      <w:r w:rsidR="003C5CBB" w:rsidRPr="003C5CBB">
        <w:t>: A</w:t>
      </w:r>
      <w:r w:rsidRPr="003C5CBB">
        <w:t xml:space="preserve"> Reese’s Peanut Butter Cup comes wrapped in a square orange wrapper, with </w:t>
      </w:r>
      <w:proofErr w:type="gramStart"/>
      <w:r w:rsidRPr="003C5CBB">
        <w:t>the Reese’s</w:t>
      </w:r>
      <w:proofErr w:type="gramEnd"/>
      <w:r w:rsidRPr="003C5CBB">
        <w:t xml:space="preserve"> name imprinted on the wrapper</w:t>
      </w:r>
      <w:r w:rsidR="003C5CBB" w:rsidRPr="003C5CBB">
        <w:t>. T</w:t>
      </w:r>
      <w:r w:rsidRPr="003C5CBB">
        <w:t>he Reese’s name is a registered trademark (and might even be famous on its own)</w:t>
      </w:r>
      <w:r w:rsidR="003C5CBB" w:rsidRPr="003C5CBB">
        <w:t>. I</w:t>
      </w:r>
      <w:r w:rsidRPr="003C5CBB">
        <w:t>f the company wants to assert that the color and configuration of the wrapper is famous (if, for example, a competing company wants to wrap its candy in an orange wrapper), then the company must demonstrate that the orange wrapper is famous even in the absence of the imprinted Reese’s mark.</w:t>
      </w:r>
      <w:r w:rsidR="003C5CBB" w:rsidRPr="003C5CBB">
        <w:rPr>
          <w:vertAlign w:val="superscript"/>
        </w:rPr>
        <w:footnoteReference w:id="564"/>
      </w:r>
      <w:r w:rsidRPr="003C5CBB">
        <w:t xml:space="preserve"> In other </w:t>
      </w:r>
      <w:r w:rsidRPr="003C5CBB">
        <w:lastRenderedPageBreak/>
        <w:t>words, the general consuming public must associate an orange wrapper with Reese’s, even if there is no name imprinted on the wrapper.</w:t>
      </w:r>
      <w:r w:rsidR="003C5CBB" w:rsidRPr="003C5CBB">
        <w:rPr>
          <w:vertAlign w:val="superscript"/>
        </w:rPr>
        <w:footnoteReference w:id="565"/>
      </w:r>
    </w:p>
    <w:p w14:paraId="441DA11C" w14:textId="50B0F6F7" w:rsidR="003C5CBB" w:rsidRPr="003C5CBB" w:rsidRDefault="00634BAE" w:rsidP="003C5CBB">
      <w:pPr>
        <w:pStyle w:val="BNormal"/>
      </w:pPr>
      <w:r w:rsidRPr="003C5CBB">
        <w:t>While this limitation makes perfect sense, the provision creates a potential problem</w:t>
      </w:r>
      <w:r w:rsidR="003C5CBB" w:rsidRPr="003C5CBB">
        <w:t>. S</w:t>
      </w:r>
      <w:r w:rsidRPr="003C5CBB">
        <w:t>uppose that the orange wrapper in the example above was a registered trademark, apart from the Reese’s name</w:t>
      </w:r>
      <w:r w:rsidR="003C5CBB" w:rsidRPr="003C5CBB">
        <w:t>. H</w:t>
      </w:r>
      <w:r w:rsidRPr="003C5CBB">
        <w:t>ow would that affect the analysis of whether the wrapper was famous</w:t>
      </w:r>
      <w:r w:rsidR="003C5CBB" w:rsidRPr="003C5CBB">
        <w:t>? O</w:t>
      </w:r>
      <w:r w:rsidRPr="003C5CBB">
        <w:t>ne possible implication of this section is that the trade dress’s owner would not have to demonstrate that the wrapper was famous even when the Reese’s name was not imprinted on it</w:t>
      </w:r>
      <w:r w:rsidR="003C5CBB" w:rsidRPr="003C5CBB">
        <w:t>. B</w:t>
      </w:r>
      <w:r w:rsidRPr="003C5CBB">
        <w:t>ut that makes little sense</w:t>
      </w:r>
      <w:r w:rsidR="003C5CBB" w:rsidRPr="003C5CBB">
        <w:t>. T</w:t>
      </w:r>
      <w:r w:rsidRPr="003C5CBB">
        <w:t>he mere act of registration tells us only that the trade dress is sufficiently distinctive to act as a source identifier</w:t>
      </w:r>
      <w:r w:rsidR="003C5CBB" w:rsidRPr="003C5CBB">
        <w:t>. I</w:t>
      </w:r>
      <w:r w:rsidRPr="003C5CBB">
        <w:t xml:space="preserve">t does not tell us </w:t>
      </w:r>
      <w:proofErr w:type="gramStart"/>
      <w:r w:rsidRPr="003C5CBB">
        <w:t>whether,</w:t>
      </w:r>
      <w:proofErr w:type="gramEnd"/>
      <w:r w:rsidRPr="003C5CBB">
        <w:t xml:space="preserve"> standing </w:t>
      </w:r>
      <w:proofErr w:type="gramStart"/>
      <w:r w:rsidRPr="003C5CBB">
        <w:t>alone, it</w:t>
      </w:r>
      <w:proofErr w:type="gramEnd"/>
      <w:r w:rsidRPr="003C5CBB">
        <w:t xml:space="preserve"> is famous</w:t>
      </w:r>
      <w:r w:rsidR="003C5CBB" w:rsidRPr="003C5CBB">
        <w:t>. B</w:t>
      </w:r>
      <w:r w:rsidRPr="003C5CBB">
        <w:t>ecause the statute deals only with the burden of proof, the alleged diluter could, presumably, raise the issue and introduce evidence to demonstrate that the wrapper was not independently famous</w:t>
      </w:r>
      <w:r w:rsidR="003C5CBB" w:rsidRPr="003C5CBB">
        <w:t>. T</w:t>
      </w:r>
      <w:r w:rsidRPr="003C5CBB">
        <w:t>hat, however, creates an awkward procedural issue</w:t>
      </w:r>
      <w:r w:rsidR="003C5CBB" w:rsidRPr="003C5CBB">
        <w:t>. O</w:t>
      </w:r>
      <w:r w:rsidRPr="003C5CBB">
        <w:t>ne assumes that the claimant has the overall burden of demonstrating that the asserted mark is famous</w:t>
      </w:r>
      <w:r w:rsidR="003C5CBB" w:rsidRPr="003C5CBB">
        <w:t>. O</w:t>
      </w:r>
      <w:r w:rsidRPr="003C5CBB">
        <w:t>therwise, this provision enormously advantages owners of registered trade dress marks by making the registration not only presumptive evidence of validity, but presumptive evidence of fame</w:t>
      </w:r>
      <w:r w:rsidR="003C5CBB" w:rsidRPr="003C5CBB">
        <w:t>. T</w:t>
      </w:r>
      <w:r w:rsidRPr="003C5CBB">
        <w:t>here is no basis for such a presumption in the mere act of registration</w:t>
      </w:r>
      <w:r w:rsidR="003C5CBB" w:rsidRPr="003C5CBB">
        <w:t>. T</w:t>
      </w:r>
      <w:r w:rsidRPr="003C5CBB">
        <w:t>hus, the burden would be on the owner of the purportedly famous mark to make that showing initially</w:t>
      </w:r>
      <w:r w:rsidR="003C5CBB" w:rsidRPr="003C5CBB">
        <w:t>. T</w:t>
      </w:r>
      <w:r w:rsidRPr="003C5CBB">
        <w:t>he implication of this section is that the trade dress owner could introduce proof of fame that did not separate the trade dress from an included word or logo mark.</w:t>
      </w:r>
      <w:r w:rsidR="003C5CBB" w:rsidRPr="003C5CBB">
        <w:rPr>
          <w:vertAlign w:val="superscript"/>
        </w:rPr>
        <w:footnoteReference w:id="566"/>
      </w:r>
      <w:r w:rsidRPr="003C5CBB">
        <w:t xml:space="preserve"> It would then be for the opponent to raise (and, apparently, demonstrate) whether the trade dress was famous (or not famous) apart from the included word or logo mark.</w:t>
      </w:r>
    </w:p>
    <w:p w14:paraId="7138747E" w14:textId="6B698994" w:rsidR="003C5CBB" w:rsidRPr="003C5CBB" w:rsidRDefault="00634BAE" w:rsidP="003C5CBB">
      <w:pPr>
        <w:pStyle w:val="BNormal"/>
      </w:pPr>
      <w:r w:rsidRPr="003C5CBB">
        <w:t xml:space="preserve">The difficulty of applying this section together with the definition of a famous mark is illustrated by </w:t>
      </w:r>
      <w:r w:rsidR="003C5CBB" w:rsidRPr="003C5CBB">
        <w:rPr>
          <w:rStyle w:val="BCasenamefull"/>
        </w:rPr>
        <w:t>Apple, Inc. v. Samsung Electronics Co.</w:t>
      </w:r>
      <w:r w:rsidR="003C5CBB" w:rsidRPr="003C5CBB">
        <w:rPr>
          <w:vertAlign w:val="superscript"/>
        </w:rPr>
        <w:footnoteReference w:id="567"/>
      </w:r>
      <w:r w:rsidRPr="003C5CBB">
        <w:t xml:space="preserve"> Apple claimed dilution of the shape of its iPhone (and iPhone 3G) and its iPad</w:t>
      </w:r>
      <w:r w:rsidR="003C5CBB" w:rsidRPr="003C5CBB">
        <w:t>. T</w:t>
      </w:r>
      <w:r w:rsidRPr="003C5CBB">
        <w:t>he court denied Samsung’s motion for summary judgment, citing various pieces of evidence</w:t>
      </w:r>
      <w:r w:rsidR="003C5CBB" w:rsidRPr="003C5CBB">
        <w:t>: a</w:t>
      </w:r>
      <w:r w:rsidRPr="003C5CBB">
        <w:t>dvertisements that featured pictures of the products and alluded to their beauty, and strong sales of the products, in particular.</w:t>
      </w:r>
      <w:r w:rsidR="003C5CBB" w:rsidRPr="003C5CBB">
        <w:rPr>
          <w:vertAlign w:val="superscript"/>
        </w:rPr>
        <w:footnoteReference w:id="568"/>
      </w:r>
      <w:r w:rsidRPr="003C5CBB">
        <w:t xml:space="preserve"> There was also a survey taken by Apple, but it showed less than 60 percent recognition.</w:t>
      </w:r>
      <w:r w:rsidR="003C5CBB" w:rsidRPr="003C5CBB">
        <w:rPr>
          <w:vertAlign w:val="superscript"/>
        </w:rPr>
        <w:footnoteReference w:id="569"/>
      </w:r>
      <w:r w:rsidRPr="003C5CBB">
        <w:t xml:space="preserve"> But the advertisements did not just feature pictures of the product</w:t>
      </w:r>
      <w:r w:rsidR="003C5CBB" w:rsidRPr="003C5CBB">
        <w:t>; t</w:t>
      </w:r>
      <w:r w:rsidRPr="003C5CBB">
        <w:t>hey contained the Apple logo and word mark, making the separation required by Section 43(c)(4) more difficult</w:t>
      </w:r>
      <w:r w:rsidR="003C5CBB" w:rsidRPr="003C5CBB">
        <w:t>. M</w:t>
      </w:r>
      <w:r w:rsidRPr="003C5CBB">
        <w:t>oreover, although there was evidence of secondary meaning (which is necessary to protect product design), it was not clear that the evidence was sufficient to show that the design was “</w:t>
      </w:r>
      <w:r w:rsidR="003C5CBB" w:rsidRPr="003C5CBB">
        <w:rPr>
          <w:i/>
        </w:rPr>
        <w:t>widely</w:t>
      </w:r>
      <w:r w:rsidRPr="003C5CBB">
        <w:t xml:space="preserve"> recognized </w:t>
      </w:r>
      <w:r w:rsidR="003C5CBB" w:rsidRPr="003C5CBB">
        <w:t>...</w:t>
      </w:r>
      <w:r w:rsidRPr="003C5CBB">
        <w:t> </w:t>
      </w:r>
      <w:r w:rsidR="003C5CBB" w:rsidRPr="003C5CBB">
        <w:rPr>
          <w:i/>
        </w:rPr>
        <w:t>as a designation of source</w:t>
      </w:r>
      <w:r w:rsidRPr="003C5CBB">
        <w:t>”—i.e., as an Apple trademark</w:t>
      </w:r>
      <w:r w:rsidR="003C5CBB" w:rsidRPr="003C5CBB">
        <w:t>. W</w:t>
      </w:r>
      <w:r w:rsidRPr="003C5CBB">
        <w:t>ithout clear jury instructions, the jury could easily have misapplied the definition and the requirements of Section 43(c)(4).</w:t>
      </w:r>
      <w:r w:rsidR="003C5CBB" w:rsidRPr="003C5CBB">
        <w:rPr>
          <w:vertAlign w:val="superscript"/>
        </w:rPr>
        <w:footnoteReference w:id="570"/>
      </w:r>
    </w:p>
    <w:p w14:paraId="4F973FFA" w14:textId="58D1D683" w:rsidR="003C5CBB" w:rsidRPr="003C5CBB" w:rsidRDefault="00634BAE" w:rsidP="003C5CBB">
      <w:pPr>
        <w:pStyle w:val="BNormal"/>
      </w:pPr>
      <w:r w:rsidRPr="003C5CBB">
        <w:lastRenderedPageBreak/>
        <w:t xml:space="preserve">Despite the difficulty, there are some cases, other than </w:t>
      </w:r>
      <w:r w:rsidR="003C5CBB" w:rsidRPr="003C5CBB">
        <w:rPr>
          <w:rStyle w:val="BCasenamefull"/>
        </w:rPr>
        <w:t>Apple v. Samsung</w:t>
      </w:r>
      <w:r w:rsidRPr="003C5CBB">
        <w:t>, in which a trade dress has been held to be famous</w:t>
      </w:r>
      <w:r w:rsidR="003C5CBB" w:rsidRPr="003C5CBB">
        <w:t>. T</w:t>
      </w:r>
      <w:r w:rsidRPr="003C5CBB">
        <w:t>wo examples are the green and yellow colors of John Deere farm equipment,</w:t>
      </w:r>
      <w:r w:rsidR="003C5CBB" w:rsidRPr="003C5CBB">
        <w:rPr>
          <w:vertAlign w:val="superscript"/>
        </w:rPr>
        <w:footnoteReference w:id="571"/>
      </w:r>
      <w:r w:rsidRPr="003C5CBB">
        <w:t xml:space="preserve"> and a Jack Daniels whiskey bottle.</w:t>
      </w:r>
      <w:r w:rsidR="003C5CBB" w:rsidRPr="003C5CBB">
        <w:rPr>
          <w:vertAlign w:val="superscript"/>
        </w:rPr>
        <w:footnoteReference w:id="572"/>
      </w:r>
      <w:r w:rsidRPr="003C5CBB">
        <w:t xml:space="preserve"> On the other hand, the Ninth Circuit reversed a jury verdict and held that the Eames chair design failed to demonstrate fame as a matter of law</w:t>
      </w:r>
      <w:r w:rsidR="003C5CBB" w:rsidRPr="003C5CBB">
        <w:t>; i</w:t>
      </w:r>
      <w:r w:rsidRPr="003C5CBB">
        <w:t>t was not a “household name.”</w:t>
      </w:r>
      <w:r w:rsidR="003C5CBB" w:rsidRPr="003C5CBB">
        <w:rPr>
          <w:vertAlign w:val="superscript"/>
        </w:rPr>
        <w:footnoteReference w:id="573"/>
      </w:r>
    </w:p>
    <w:p w14:paraId="16F16987" w14:textId="696821BA" w:rsidR="003C5CBB" w:rsidRPr="003C5CBB" w:rsidRDefault="008B3068" w:rsidP="008B3068">
      <w:pPr>
        <w:pStyle w:val="BHead1"/>
      </w:pPr>
      <w:r>
        <w:t>8.</w:t>
      </w:r>
      <w:r w:rsidR="003C5CBB" w:rsidRPr="008B3068">
        <w:rPr>
          <w:rStyle w:val="BBNAidChar"/>
          <w:rFonts w:eastAsiaTheme="majorEastAsia"/>
        </w:rPr>
        <w:t>X</w:t>
      </w:r>
      <w:r w:rsidR="003C5CBB" w:rsidRPr="003C5CBB">
        <w:t>.</w:t>
      </w:r>
      <w:r>
        <w:t xml:space="preserve">  </w:t>
      </w:r>
      <w:r w:rsidR="003C5CBB" w:rsidRPr="003C5CBB">
        <w:t>A Guide to Fame: Examples of Marks Found to</w:t>
      </w:r>
      <w:r>
        <w:t xml:space="preserve"> </w:t>
      </w:r>
      <w:r w:rsidR="003C5CBB" w:rsidRPr="003C5CBB">
        <w:t>Be Famous and Not Famous</w:t>
      </w:r>
    </w:p>
    <w:p w14:paraId="37208832" w14:textId="1C1009EF" w:rsidR="003C5CBB" w:rsidRPr="003C5CBB" w:rsidRDefault="00634BAE" w:rsidP="003C5CBB">
      <w:pPr>
        <w:pStyle w:val="BNormal"/>
      </w:pPr>
      <w:r w:rsidRPr="003C5CBB">
        <w:t>As any reader of this text has seen, there have been scores of cases brought under the FTDA since it became effective in 1996</w:t>
      </w:r>
      <w:r w:rsidR="003C5CBB" w:rsidRPr="003C5CBB">
        <w:t>. B</w:t>
      </w:r>
      <w:r w:rsidRPr="003C5CBB">
        <w:t>ecause fame is the gatekeeper to a dilution claim, readers may find it convenient to have some examples of marks found famous and not famous</w:t>
      </w:r>
      <w:r w:rsidR="003C5CBB" w:rsidRPr="003C5CBB">
        <w:t>. T</w:t>
      </w:r>
      <w:r w:rsidRPr="003C5CBB">
        <w:t>he examples in the next two sections are illustrative, not exhaustive</w:t>
      </w:r>
      <w:r w:rsidR="003C5CBB" w:rsidRPr="003C5CBB">
        <w:t>. I</w:t>
      </w:r>
      <w:r w:rsidRPr="003C5CBB">
        <w:t xml:space="preserve">t should also be noted that in many cases the courts have not </w:t>
      </w:r>
      <w:proofErr w:type="gramStart"/>
      <w:r w:rsidRPr="003C5CBB">
        <w:t>decided</w:t>
      </w:r>
      <w:proofErr w:type="gramEnd"/>
      <w:r w:rsidRPr="003C5CBB">
        <w:t xml:space="preserve"> the issue of fame</w:t>
      </w:r>
      <w:r w:rsidR="003C5CBB" w:rsidRPr="003C5CBB">
        <w:t>. I</w:t>
      </w:r>
      <w:r w:rsidRPr="003C5CBB">
        <w:t>n some cases, the parties have stipulated (either for all purposes or for purposes of a preliminary motion) that the mark in question is famous</w:t>
      </w:r>
      <w:r w:rsidR="003C5CBB" w:rsidRPr="003C5CBB">
        <w:t>. I</w:t>
      </w:r>
      <w:r w:rsidRPr="003C5CBB">
        <w:t>n other cases, the court may not have been forced to decide the issue because some other element of a dilution claim was clearly lacking</w:t>
      </w:r>
      <w:r w:rsidR="003C5CBB" w:rsidRPr="003C5CBB">
        <w:t>. A</w:t>
      </w:r>
      <w:r w:rsidRPr="003C5CBB">
        <w:t>lternatively, if a court was deciding a summary judgment motion, it may have been sufficient to find a question of fact for trial rather than decide the issue definitively</w:t>
      </w:r>
      <w:r w:rsidR="003C5CBB" w:rsidRPr="003C5CBB">
        <w:t>. F</w:t>
      </w:r>
      <w:r w:rsidRPr="003C5CBB">
        <w:t>inally, it should be noted that, prior to the TDRA, many courts allowed marks to be considered “famous” even if they were famous only in a niche market</w:t>
      </w:r>
      <w:r w:rsidR="003C5CBB" w:rsidRPr="003C5CBB">
        <w:t>. S</w:t>
      </w:r>
      <w:r w:rsidRPr="003C5CBB">
        <w:t>uch niche fame was eliminated by the TDRA.</w:t>
      </w:r>
      <w:r w:rsidR="003C5CBB" w:rsidRPr="003C5CBB">
        <w:rPr>
          <w:vertAlign w:val="superscript"/>
        </w:rPr>
        <w:footnoteReference w:id="574"/>
      </w:r>
    </w:p>
    <w:p w14:paraId="0F61B048" w14:textId="5AE2CBFD" w:rsidR="003C5CBB" w:rsidRPr="003C5CBB" w:rsidRDefault="008B3068" w:rsidP="008B3068">
      <w:pPr>
        <w:pStyle w:val="BHead2"/>
      </w:pPr>
      <w:r>
        <w:t>8.X.</w:t>
      </w:r>
      <w:r w:rsidR="003C5CBB" w:rsidRPr="008B3068">
        <w:rPr>
          <w:rStyle w:val="BBNAidChar"/>
          <w:rFonts w:eastAsiaTheme="majorEastAsia"/>
        </w:rPr>
        <w:t>A</w:t>
      </w:r>
      <w:r w:rsidR="003C5CBB" w:rsidRPr="003C5CBB">
        <w:t>.</w:t>
      </w:r>
      <w:r>
        <w:t> </w:t>
      </w:r>
      <w:r w:rsidR="003C5CBB" w:rsidRPr="003C5CBB">
        <w:tab/>
        <w:t>Examples of Marks Found to Be Famous</w:t>
      </w:r>
    </w:p>
    <w:p w14:paraId="7B8F8D04" w14:textId="2E59DB5C" w:rsidR="003C5CBB" w:rsidRPr="003C5CBB" w:rsidRDefault="00634BAE" w:rsidP="008B3068">
      <w:pPr>
        <w:pStyle w:val="BListitemorig"/>
      </w:pPr>
      <w:r w:rsidRPr="003C5CBB">
        <w:t>American Express</w:t>
      </w:r>
      <w:r w:rsidR="003C5CBB" w:rsidRPr="003C5CBB">
        <w:rPr>
          <w:vertAlign w:val="superscript"/>
        </w:rPr>
        <w:footnoteReference w:id="575"/>
      </w:r>
    </w:p>
    <w:p w14:paraId="25BDC73A" w14:textId="3CBE8D9D" w:rsidR="003C5CBB" w:rsidRPr="003C5CBB" w:rsidRDefault="00634BAE" w:rsidP="008B3068">
      <w:pPr>
        <w:pStyle w:val="BListitemorig"/>
      </w:pPr>
      <w:r w:rsidRPr="003C5CBB">
        <w:t>Barbie dolls</w:t>
      </w:r>
      <w:r w:rsidR="003C5CBB" w:rsidRPr="003C5CBB">
        <w:rPr>
          <w:vertAlign w:val="superscript"/>
        </w:rPr>
        <w:footnoteReference w:id="576"/>
      </w:r>
    </w:p>
    <w:p w14:paraId="5ABBC534" w14:textId="549036FB" w:rsidR="003C5CBB" w:rsidRPr="003C5CBB" w:rsidRDefault="00634BAE" w:rsidP="008B3068">
      <w:pPr>
        <w:pStyle w:val="BListitemorig"/>
      </w:pPr>
      <w:r w:rsidRPr="003C5CBB">
        <w:t>Bentley (cars and “B” in wings mark)</w:t>
      </w:r>
      <w:r w:rsidR="003C5CBB" w:rsidRPr="003C5CBB">
        <w:rPr>
          <w:vertAlign w:val="superscript"/>
        </w:rPr>
        <w:footnoteReference w:id="577"/>
      </w:r>
    </w:p>
    <w:p w14:paraId="5DFE34A7" w14:textId="42C91331" w:rsidR="003C5CBB" w:rsidRPr="003C5CBB" w:rsidRDefault="00634BAE" w:rsidP="008B3068">
      <w:pPr>
        <w:pStyle w:val="BListitemorig"/>
      </w:pPr>
      <w:r w:rsidRPr="003C5CBB">
        <w:t>Big Boy restaurants</w:t>
      </w:r>
      <w:r w:rsidR="003C5CBB" w:rsidRPr="003C5CBB">
        <w:rPr>
          <w:vertAlign w:val="superscript"/>
        </w:rPr>
        <w:footnoteReference w:id="578"/>
      </w:r>
    </w:p>
    <w:p w14:paraId="5CD5789F" w14:textId="62A4E76D" w:rsidR="003C5CBB" w:rsidRPr="003C5CBB" w:rsidRDefault="00634BAE" w:rsidP="008B3068">
      <w:pPr>
        <w:pStyle w:val="BListitemorig"/>
      </w:pPr>
      <w:r w:rsidRPr="003C5CBB">
        <w:t>Chanel</w:t>
      </w:r>
      <w:r w:rsidR="003C5CBB" w:rsidRPr="003C5CBB">
        <w:rPr>
          <w:vertAlign w:val="superscript"/>
        </w:rPr>
        <w:footnoteReference w:id="579"/>
      </w:r>
    </w:p>
    <w:p w14:paraId="6F046EDB" w14:textId="4C7CC97C" w:rsidR="003C5CBB" w:rsidRPr="003C5CBB" w:rsidRDefault="00634BAE" w:rsidP="008B3068">
      <w:pPr>
        <w:pStyle w:val="BListitemorig"/>
      </w:pPr>
      <w:r w:rsidRPr="003C5CBB">
        <w:lastRenderedPageBreak/>
        <w:t>Chevrolet</w:t>
      </w:r>
      <w:r w:rsidR="003C5CBB" w:rsidRPr="003C5CBB">
        <w:rPr>
          <w:vertAlign w:val="superscript"/>
        </w:rPr>
        <w:footnoteReference w:id="580"/>
      </w:r>
    </w:p>
    <w:p w14:paraId="46E4B3D9" w14:textId="117A6E2D" w:rsidR="003C5CBB" w:rsidRPr="003C5CBB" w:rsidRDefault="00634BAE" w:rsidP="008B3068">
      <w:pPr>
        <w:pStyle w:val="BListitemorig"/>
      </w:pPr>
      <w:r w:rsidRPr="003C5CBB">
        <w:t>Dairy Queen</w:t>
      </w:r>
      <w:r w:rsidR="003C5CBB" w:rsidRPr="003C5CBB">
        <w:rPr>
          <w:vertAlign w:val="superscript"/>
        </w:rPr>
        <w:footnoteReference w:id="581"/>
      </w:r>
    </w:p>
    <w:p w14:paraId="471094DA" w14:textId="321F6680" w:rsidR="003C5CBB" w:rsidRPr="003C5CBB" w:rsidRDefault="00634BAE" w:rsidP="008B3068">
      <w:pPr>
        <w:pStyle w:val="BListitemorig"/>
      </w:pPr>
      <w:r w:rsidRPr="003C5CBB">
        <w:t>Disneyland</w:t>
      </w:r>
      <w:r w:rsidR="003C5CBB" w:rsidRPr="003C5CBB">
        <w:rPr>
          <w:vertAlign w:val="superscript"/>
        </w:rPr>
        <w:footnoteReference w:id="582"/>
      </w:r>
    </w:p>
    <w:p w14:paraId="3252C7CC" w14:textId="6260B242" w:rsidR="003C5CBB" w:rsidRPr="003C5CBB" w:rsidRDefault="00634BAE" w:rsidP="008B3068">
      <w:pPr>
        <w:pStyle w:val="BListitemorig"/>
      </w:pPr>
      <w:r w:rsidRPr="003C5CBB">
        <w:t>Don’t Leave Home Without It for financial services</w:t>
      </w:r>
      <w:r w:rsidR="003C5CBB" w:rsidRPr="003C5CBB">
        <w:rPr>
          <w:vertAlign w:val="superscript"/>
        </w:rPr>
        <w:footnoteReference w:id="583"/>
      </w:r>
    </w:p>
    <w:p w14:paraId="00476D8E" w14:textId="054AE254" w:rsidR="003C5CBB" w:rsidRPr="003C5CBB" w:rsidRDefault="00634BAE" w:rsidP="008B3068">
      <w:pPr>
        <w:pStyle w:val="BListitemorig"/>
      </w:pPr>
      <w:r w:rsidRPr="003C5CBB">
        <w:t>Empire State Building design</w:t>
      </w:r>
      <w:r w:rsidR="003C5CBB" w:rsidRPr="003C5CBB">
        <w:rPr>
          <w:vertAlign w:val="superscript"/>
        </w:rPr>
        <w:footnoteReference w:id="584"/>
      </w:r>
    </w:p>
    <w:p w14:paraId="4759A572" w14:textId="757D5CEC" w:rsidR="003C5CBB" w:rsidRPr="003C5CBB" w:rsidRDefault="00634BAE" w:rsidP="008B3068">
      <w:pPr>
        <w:pStyle w:val="BListitemorig"/>
      </w:pPr>
      <w:r w:rsidRPr="003C5CBB">
        <w:t>Gideons bible distribution</w:t>
      </w:r>
      <w:r w:rsidR="003C5CBB" w:rsidRPr="003C5CBB">
        <w:rPr>
          <w:vertAlign w:val="superscript"/>
        </w:rPr>
        <w:footnoteReference w:id="585"/>
      </w:r>
    </w:p>
    <w:p w14:paraId="338A6778" w14:textId="2FBF3150" w:rsidR="003C5CBB" w:rsidRPr="003C5CBB" w:rsidRDefault="00634BAE" w:rsidP="008B3068">
      <w:pPr>
        <w:pStyle w:val="BListitemorig"/>
      </w:pPr>
      <w:r w:rsidRPr="003C5CBB">
        <w:t>Shape of Goldfish crackers</w:t>
      </w:r>
      <w:r w:rsidR="003C5CBB" w:rsidRPr="003C5CBB">
        <w:rPr>
          <w:vertAlign w:val="superscript"/>
        </w:rPr>
        <w:footnoteReference w:id="586"/>
      </w:r>
    </w:p>
    <w:p w14:paraId="0814CEF5" w14:textId="365B3CB7" w:rsidR="003C5CBB" w:rsidRPr="003C5CBB" w:rsidRDefault="00634BAE" w:rsidP="008B3068">
      <w:pPr>
        <w:pStyle w:val="BListitemorig"/>
      </w:pPr>
      <w:r w:rsidRPr="003C5CBB">
        <w:t>Hershey Bar wrapper</w:t>
      </w:r>
      <w:r w:rsidR="003C5CBB" w:rsidRPr="003C5CBB">
        <w:rPr>
          <w:vertAlign w:val="superscript"/>
        </w:rPr>
        <w:footnoteReference w:id="587"/>
      </w:r>
    </w:p>
    <w:p w14:paraId="37126DAD" w14:textId="7F8C6E8B" w:rsidR="003C5CBB" w:rsidRPr="003C5CBB" w:rsidRDefault="00634BAE" w:rsidP="008B3068">
      <w:pPr>
        <w:pStyle w:val="BListitemorig"/>
      </w:pPr>
      <w:r w:rsidRPr="003C5CBB">
        <w:t>The House That Ruth Built (for New York Yankees)</w:t>
      </w:r>
      <w:r w:rsidR="003C5CBB" w:rsidRPr="003C5CBB">
        <w:rPr>
          <w:vertAlign w:val="superscript"/>
        </w:rPr>
        <w:footnoteReference w:id="588"/>
      </w:r>
    </w:p>
    <w:p w14:paraId="64DF511E" w14:textId="764CFA11" w:rsidR="003C5CBB" w:rsidRPr="003C5CBB" w:rsidRDefault="00634BAE" w:rsidP="008B3068">
      <w:pPr>
        <w:pStyle w:val="BListitemorig"/>
      </w:pPr>
      <w:r w:rsidRPr="003C5CBB">
        <w:t>Hotmail</w:t>
      </w:r>
      <w:r w:rsidR="003C5CBB" w:rsidRPr="003C5CBB">
        <w:rPr>
          <w:vertAlign w:val="superscript"/>
        </w:rPr>
        <w:footnoteReference w:id="589"/>
      </w:r>
    </w:p>
    <w:p w14:paraId="052B0F84" w14:textId="250028D6" w:rsidR="003C5CBB" w:rsidRPr="003C5CBB" w:rsidRDefault="00634BAE" w:rsidP="008B3068">
      <w:pPr>
        <w:pStyle w:val="BListitemorig"/>
      </w:pPr>
      <w:r w:rsidRPr="003C5CBB">
        <w:t>Intermatic electrical products</w:t>
      </w:r>
      <w:r w:rsidR="003C5CBB" w:rsidRPr="003C5CBB">
        <w:rPr>
          <w:vertAlign w:val="superscript"/>
        </w:rPr>
        <w:footnoteReference w:id="590"/>
      </w:r>
    </w:p>
    <w:p w14:paraId="52F0D96A" w14:textId="77B259F9" w:rsidR="003C5CBB" w:rsidRPr="003C5CBB" w:rsidRDefault="00634BAE" w:rsidP="008B3068">
      <w:pPr>
        <w:pStyle w:val="BListitemorig"/>
      </w:pPr>
      <w:r w:rsidRPr="003C5CBB">
        <w:t>iPhone 3G trade dress</w:t>
      </w:r>
      <w:r w:rsidR="003C5CBB" w:rsidRPr="003C5CBB">
        <w:rPr>
          <w:vertAlign w:val="superscript"/>
        </w:rPr>
        <w:footnoteReference w:id="591"/>
      </w:r>
    </w:p>
    <w:p w14:paraId="11A493C5" w14:textId="71AEF094" w:rsidR="003C5CBB" w:rsidRPr="003C5CBB" w:rsidRDefault="00634BAE" w:rsidP="008B3068">
      <w:pPr>
        <w:pStyle w:val="BListitemorig"/>
      </w:pPr>
      <w:r w:rsidRPr="003C5CBB">
        <w:t>Jayhawks (University of Kansas mascot)</w:t>
      </w:r>
      <w:r w:rsidR="003C5CBB" w:rsidRPr="003C5CBB">
        <w:rPr>
          <w:vertAlign w:val="superscript"/>
        </w:rPr>
        <w:footnoteReference w:id="592"/>
      </w:r>
    </w:p>
    <w:p w14:paraId="47CCFE52" w14:textId="743B8BD0" w:rsidR="003C5CBB" w:rsidRPr="003C5CBB" w:rsidRDefault="00634BAE" w:rsidP="008B3068">
      <w:pPr>
        <w:pStyle w:val="BListitemorig"/>
      </w:pPr>
      <w:r w:rsidRPr="003C5CBB">
        <w:t>Jews for Jesus</w:t>
      </w:r>
      <w:r w:rsidR="003C5CBB" w:rsidRPr="003C5CBB">
        <w:rPr>
          <w:vertAlign w:val="superscript"/>
        </w:rPr>
        <w:footnoteReference w:id="593"/>
      </w:r>
    </w:p>
    <w:p w14:paraId="67961B4C" w14:textId="62531CA4" w:rsidR="003C5CBB" w:rsidRPr="003C5CBB" w:rsidRDefault="00634BAE" w:rsidP="008B3068">
      <w:pPr>
        <w:pStyle w:val="BListitemorig"/>
      </w:pPr>
      <w:r w:rsidRPr="003C5CBB">
        <w:t>Just Do It</w:t>
      </w:r>
      <w:r w:rsidR="003C5CBB" w:rsidRPr="003C5CBB">
        <w:rPr>
          <w:vertAlign w:val="superscript"/>
        </w:rPr>
        <w:footnoteReference w:id="594"/>
      </w:r>
    </w:p>
    <w:p w14:paraId="5A370D41" w14:textId="0101F507" w:rsidR="003C5CBB" w:rsidRPr="003C5CBB" w:rsidRDefault="00634BAE" w:rsidP="008B3068">
      <w:pPr>
        <w:pStyle w:val="BListitemorig"/>
      </w:pPr>
      <w:r w:rsidRPr="003C5CBB">
        <w:lastRenderedPageBreak/>
        <w:t>Keracare hair care products</w:t>
      </w:r>
      <w:r w:rsidR="003C5CBB" w:rsidRPr="003C5CBB">
        <w:rPr>
          <w:vertAlign w:val="superscript"/>
        </w:rPr>
        <w:footnoteReference w:id="595"/>
      </w:r>
    </w:p>
    <w:p w14:paraId="7CD69E0C" w14:textId="335718F5" w:rsidR="003C5CBB" w:rsidRPr="003C5CBB" w:rsidRDefault="00634BAE" w:rsidP="008B3068">
      <w:pPr>
        <w:pStyle w:val="BListitemorig"/>
      </w:pPr>
      <w:r w:rsidRPr="003C5CBB">
        <w:t>“Mc” family of marks (“Mc” followed by a generic or descriptive term)</w:t>
      </w:r>
      <w:r w:rsidR="003C5CBB" w:rsidRPr="003C5CBB">
        <w:rPr>
          <w:vertAlign w:val="superscript"/>
        </w:rPr>
        <w:footnoteReference w:id="596"/>
      </w:r>
    </w:p>
    <w:p w14:paraId="78C4E925" w14:textId="196B911A" w:rsidR="003C5CBB" w:rsidRPr="003C5CBB" w:rsidRDefault="00634BAE" w:rsidP="008B3068">
      <w:pPr>
        <w:pStyle w:val="BListitemorig"/>
      </w:pPr>
      <w:r w:rsidRPr="003C5CBB">
        <w:t>Motown</w:t>
      </w:r>
      <w:r w:rsidR="003C5CBB" w:rsidRPr="003C5CBB">
        <w:rPr>
          <w:vertAlign w:val="superscript"/>
        </w:rPr>
        <w:footnoteReference w:id="597"/>
      </w:r>
    </w:p>
    <w:p w14:paraId="3B325AF8" w14:textId="0C8676D1" w:rsidR="003C5CBB" w:rsidRPr="003C5CBB" w:rsidRDefault="00634BAE" w:rsidP="008B3068">
      <w:pPr>
        <w:pStyle w:val="BListitemorig"/>
      </w:pPr>
      <w:r w:rsidRPr="003C5CBB">
        <w:t>NASDAQ stock market</w:t>
      </w:r>
      <w:r w:rsidR="003C5CBB" w:rsidRPr="003C5CBB">
        <w:rPr>
          <w:vertAlign w:val="superscript"/>
        </w:rPr>
        <w:footnoteReference w:id="598"/>
      </w:r>
    </w:p>
    <w:p w14:paraId="32A0A7D6" w14:textId="4CBF0857" w:rsidR="003C5CBB" w:rsidRPr="003C5CBB" w:rsidRDefault="00634BAE" w:rsidP="008B3068">
      <w:pPr>
        <w:pStyle w:val="BListitemorig"/>
      </w:pPr>
      <w:r w:rsidRPr="003C5CBB">
        <w:t>NBBJ (architecture services)</w:t>
      </w:r>
      <w:r w:rsidR="003C5CBB" w:rsidRPr="003C5CBB">
        <w:rPr>
          <w:vertAlign w:val="superscript"/>
        </w:rPr>
        <w:footnoteReference w:id="599"/>
      </w:r>
    </w:p>
    <w:p w14:paraId="1AC4784B" w14:textId="337567C8" w:rsidR="003C5CBB" w:rsidRPr="003C5CBB" w:rsidRDefault="00634BAE" w:rsidP="008B3068">
      <w:pPr>
        <w:pStyle w:val="BListitemorig"/>
      </w:pPr>
      <w:r w:rsidRPr="003C5CBB">
        <w:t>New York City Triathlon</w:t>
      </w:r>
      <w:r w:rsidR="003C5CBB" w:rsidRPr="003C5CBB">
        <w:rPr>
          <w:vertAlign w:val="superscript"/>
        </w:rPr>
        <w:footnoteReference w:id="600"/>
      </w:r>
    </w:p>
    <w:p w14:paraId="1BCA768F" w14:textId="343F18E7" w:rsidR="003C5CBB" w:rsidRPr="003C5CBB" w:rsidRDefault="00634BAE" w:rsidP="008B3068">
      <w:pPr>
        <w:pStyle w:val="BListitemorig"/>
      </w:pPr>
      <w:r w:rsidRPr="003C5CBB">
        <w:t>Newport cigarettes</w:t>
      </w:r>
      <w:r w:rsidR="003C5CBB" w:rsidRPr="003C5CBB">
        <w:rPr>
          <w:vertAlign w:val="superscript"/>
        </w:rPr>
        <w:footnoteReference w:id="601"/>
      </w:r>
    </w:p>
    <w:p w14:paraId="5F29EB7D" w14:textId="5AA6F6B0" w:rsidR="003C5CBB" w:rsidRPr="003C5CBB" w:rsidRDefault="00634BAE" w:rsidP="008B3068">
      <w:pPr>
        <w:pStyle w:val="BListitemorig"/>
      </w:pPr>
      <w:r w:rsidRPr="003C5CBB">
        <w:t>Nike</w:t>
      </w:r>
      <w:r w:rsidR="003C5CBB" w:rsidRPr="003C5CBB">
        <w:rPr>
          <w:vertAlign w:val="superscript"/>
        </w:rPr>
        <w:footnoteReference w:id="602"/>
      </w:r>
    </w:p>
    <w:p w14:paraId="2782F0FD" w14:textId="2B746D58" w:rsidR="003C5CBB" w:rsidRPr="003C5CBB" w:rsidRDefault="00634BAE" w:rsidP="008B3068">
      <w:pPr>
        <w:pStyle w:val="BListitemorig"/>
      </w:pPr>
      <w:r w:rsidRPr="003C5CBB">
        <w:t>Nissan (automobiles)</w:t>
      </w:r>
      <w:r w:rsidR="003C5CBB" w:rsidRPr="003C5CBB">
        <w:rPr>
          <w:vertAlign w:val="superscript"/>
        </w:rPr>
        <w:footnoteReference w:id="603"/>
      </w:r>
    </w:p>
    <w:p w14:paraId="454EACA6" w14:textId="35228AE7" w:rsidR="003C5CBB" w:rsidRPr="003C5CBB" w:rsidRDefault="00634BAE" w:rsidP="008B3068">
      <w:pPr>
        <w:pStyle w:val="BListitemorig"/>
      </w:pPr>
      <w:r w:rsidRPr="003C5CBB">
        <w:t>NYSSCPA (accountant group)</w:t>
      </w:r>
      <w:r w:rsidR="003C5CBB" w:rsidRPr="003C5CBB">
        <w:rPr>
          <w:vertAlign w:val="superscript"/>
        </w:rPr>
        <w:footnoteReference w:id="604"/>
      </w:r>
    </w:p>
    <w:p w14:paraId="6404880B" w14:textId="6C577A9F" w:rsidR="003C5CBB" w:rsidRPr="003C5CBB" w:rsidRDefault="00634BAE" w:rsidP="008B3068">
      <w:pPr>
        <w:pStyle w:val="BListitemorig"/>
      </w:pPr>
      <w:r w:rsidRPr="003C5CBB">
        <w:t>Panavision</w:t>
      </w:r>
      <w:r w:rsidR="003C5CBB" w:rsidRPr="003C5CBB">
        <w:rPr>
          <w:vertAlign w:val="superscript"/>
        </w:rPr>
        <w:footnoteReference w:id="605"/>
      </w:r>
    </w:p>
    <w:p w14:paraId="727A9DC9" w14:textId="7D38D5E9" w:rsidR="003C5CBB" w:rsidRPr="003C5CBB" w:rsidRDefault="00634BAE" w:rsidP="008B3068">
      <w:pPr>
        <w:pStyle w:val="BListitemorig"/>
      </w:pPr>
      <w:r w:rsidRPr="003C5CBB">
        <w:t>Pinehurst golf club</w:t>
      </w:r>
      <w:r w:rsidR="003C5CBB" w:rsidRPr="003C5CBB">
        <w:rPr>
          <w:vertAlign w:val="superscript"/>
        </w:rPr>
        <w:footnoteReference w:id="606"/>
      </w:r>
    </w:p>
    <w:p w14:paraId="6937BF18" w14:textId="0A8F8362" w:rsidR="003C5CBB" w:rsidRPr="003C5CBB" w:rsidRDefault="00634BAE" w:rsidP="008B3068">
      <w:pPr>
        <w:pStyle w:val="BListitemorig"/>
      </w:pPr>
      <w:r w:rsidRPr="003C5CBB">
        <w:t>Porsche cars</w:t>
      </w:r>
      <w:r w:rsidR="003C5CBB" w:rsidRPr="003C5CBB">
        <w:rPr>
          <w:vertAlign w:val="superscript"/>
        </w:rPr>
        <w:footnoteReference w:id="607"/>
      </w:r>
    </w:p>
    <w:p w14:paraId="28876CD6" w14:textId="5A56899B" w:rsidR="003C5CBB" w:rsidRPr="003C5CBB" w:rsidRDefault="00634BAE" w:rsidP="008B3068">
      <w:pPr>
        <w:pStyle w:val="BListitemorig"/>
      </w:pPr>
      <w:r w:rsidRPr="003C5CBB">
        <w:t>Post-It</w:t>
      </w:r>
      <w:r w:rsidR="003C5CBB" w:rsidRPr="003C5CBB">
        <w:rPr>
          <w:vertAlign w:val="superscript"/>
        </w:rPr>
        <w:footnoteReference w:id="608"/>
      </w:r>
    </w:p>
    <w:p w14:paraId="03D40E6C" w14:textId="489C7B7E" w:rsidR="003C5CBB" w:rsidRPr="003C5CBB" w:rsidRDefault="00634BAE" w:rsidP="008B3068">
      <w:pPr>
        <w:pStyle w:val="BListitemorig"/>
      </w:pPr>
      <w:r w:rsidRPr="003C5CBB">
        <w:t>Prozac antidepressant</w:t>
      </w:r>
      <w:r w:rsidR="003C5CBB" w:rsidRPr="003C5CBB">
        <w:rPr>
          <w:vertAlign w:val="superscript"/>
        </w:rPr>
        <w:footnoteReference w:id="609"/>
      </w:r>
    </w:p>
    <w:p w14:paraId="3DAB8AF3" w14:textId="0AE7A520" w:rsidR="003C5CBB" w:rsidRPr="003C5CBB" w:rsidRDefault="00634BAE" w:rsidP="008B3068">
      <w:pPr>
        <w:pStyle w:val="BListitemorig"/>
      </w:pPr>
      <w:r w:rsidRPr="003C5CBB">
        <w:t>Qwest</w:t>
      </w:r>
      <w:r w:rsidR="003C5CBB" w:rsidRPr="003C5CBB">
        <w:rPr>
          <w:vertAlign w:val="superscript"/>
        </w:rPr>
        <w:footnoteReference w:id="610"/>
      </w:r>
    </w:p>
    <w:p w14:paraId="50057C93" w14:textId="70EC1ADC" w:rsidR="003C5CBB" w:rsidRPr="003C5CBB" w:rsidRDefault="00634BAE" w:rsidP="008B3068">
      <w:pPr>
        <w:pStyle w:val="BListitemorig"/>
      </w:pPr>
      <w:r w:rsidRPr="003C5CBB">
        <w:lastRenderedPageBreak/>
        <w:t>Rain Bird</w:t>
      </w:r>
      <w:r w:rsidR="003C5CBB" w:rsidRPr="003C5CBB">
        <w:rPr>
          <w:vertAlign w:val="superscript"/>
        </w:rPr>
        <w:footnoteReference w:id="611"/>
      </w:r>
    </w:p>
    <w:p w14:paraId="0883BAE4" w14:textId="41C41620" w:rsidR="003C5CBB" w:rsidRPr="003C5CBB" w:rsidRDefault="00634BAE" w:rsidP="008B3068">
      <w:pPr>
        <w:pStyle w:val="BListitemorig"/>
      </w:pPr>
      <w:r w:rsidRPr="003C5CBB">
        <w:t>RE/MAX</w:t>
      </w:r>
      <w:r w:rsidR="003C5CBB" w:rsidRPr="003C5CBB">
        <w:rPr>
          <w:vertAlign w:val="superscript"/>
        </w:rPr>
        <w:footnoteReference w:id="612"/>
      </w:r>
    </w:p>
    <w:p w14:paraId="243444A2" w14:textId="5F2482CA" w:rsidR="003C5CBB" w:rsidRPr="003C5CBB" w:rsidRDefault="00634BAE" w:rsidP="008B3068">
      <w:pPr>
        <w:pStyle w:val="BListitemorig"/>
      </w:pPr>
      <w:r w:rsidRPr="003C5CBB">
        <w:t>Rolex</w:t>
      </w:r>
      <w:r w:rsidR="003C5CBB" w:rsidRPr="003C5CBB">
        <w:rPr>
          <w:vertAlign w:val="superscript"/>
        </w:rPr>
        <w:footnoteReference w:id="613"/>
      </w:r>
    </w:p>
    <w:p w14:paraId="36823FED" w14:textId="548FB586" w:rsidR="003C5CBB" w:rsidRPr="003C5CBB" w:rsidRDefault="00634BAE" w:rsidP="008B3068">
      <w:pPr>
        <w:pStyle w:val="BListitemorig"/>
      </w:pPr>
      <w:r w:rsidRPr="003C5CBB">
        <w:t>SLEEP NUMBER</w:t>
      </w:r>
      <w:r w:rsidR="003C5CBB" w:rsidRPr="003C5CBB">
        <w:rPr>
          <w:vertAlign w:val="superscript"/>
        </w:rPr>
        <w:footnoteReference w:id="614"/>
      </w:r>
    </w:p>
    <w:p w14:paraId="1E7C92B1" w14:textId="602AFB8E" w:rsidR="003C5CBB" w:rsidRPr="003C5CBB" w:rsidRDefault="00634BAE" w:rsidP="008B3068">
      <w:pPr>
        <w:pStyle w:val="BListitemorig"/>
      </w:pPr>
      <w:r w:rsidRPr="003C5CBB">
        <w:t>Spotify</w:t>
      </w:r>
      <w:r w:rsidR="003C5CBB" w:rsidRPr="003C5CBB">
        <w:rPr>
          <w:vertAlign w:val="superscript"/>
        </w:rPr>
        <w:footnoteReference w:id="615"/>
      </w:r>
    </w:p>
    <w:p w14:paraId="215930E1" w14:textId="73FBF2BE" w:rsidR="003C5CBB" w:rsidRPr="003C5CBB" w:rsidRDefault="00634BAE" w:rsidP="008B3068">
      <w:pPr>
        <w:pStyle w:val="BListitemorig"/>
      </w:pPr>
      <w:r w:rsidRPr="003C5CBB">
        <w:t>Terrible Towel</w:t>
      </w:r>
      <w:r w:rsidR="003C5CBB" w:rsidRPr="003C5CBB">
        <w:rPr>
          <w:vertAlign w:val="superscript"/>
        </w:rPr>
        <w:footnoteReference w:id="616"/>
      </w:r>
    </w:p>
    <w:p w14:paraId="39CB764E" w14:textId="31DA3661" w:rsidR="003C5CBB" w:rsidRPr="003C5CBB" w:rsidRDefault="00634BAE" w:rsidP="008B3068">
      <w:pPr>
        <w:pStyle w:val="BListitemorig"/>
      </w:pPr>
      <w:r w:rsidRPr="003C5CBB">
        <w:t>The Gap</w:t>
      </w:r>
      <w:r w:rsidR="003C5CBB" w:rsidRPr="003C5CBB">
        <w:rPr>
          <w:vertAlign w:val="superscript"/>
        </w:rPr>
        <w:footnoteReference w:id="617"/>
      </w:r>
    </w:p>
    <w:p w14:paraId="3554FAAE" w14:textId="17A81CCB" w:rsidR="003C5CBB" w:rsidRPr="003C5CBB" w:rsidRDefault="00634BAE" w:rsidP="008B3068">
      <w:pPr>
        <w:pStyle w:val="BListitemorig"/>
      </w:pPr>
      <w:r w:rsidRPr="003C5CBB">
        <w:t>The Other White Meat</w:t>
      </w:r>
      <w:r w:rsidR="003C5CBB" w:rsidRPr="003C5CBB">
        <w:rPr>
          <w:vertAlign w:val="superscript"/>
        </w:rPr>
        <w:footnoteReference w:id="618"/>
      </w:r>
    </w:p>
    <w:p w14:paraId="60637623" w14:textId="5060E36D" w:rsidR="003C5CBB" w:rsidRPr="003C5CBB" w:rsidRDefault="00634BAE" w:rsidP="008B3068">
      <w:pPr>
        <w:pStyle w:val="BListitemorig"/>
      </w:pPr>
      <w:r w:rsidRPr="003C5CBB">
        <w:t>TIVO</w:t>
      </w:r>
      <w:r w:rsidR="003C5CBB" w:rsidRPr="003C5CBB">
        <w:rPr>
          <w:vertAlign w:val="superscript"/>
        </w:rPr>
        <w:footnoteReference w:id="619"/>
      </w:r>
    </w:p>
    <w:p w14:paraId="47D367BD" w14:textId="5D772FA8" w:rsidR="003C5CBB" w:rsidRPr="003C5CBB" w:rsidRDefault="00634BAE" w:rsidP="008B3068">
      <w:pPr>
        <w:pStyle w:val="BListitemorig"/>
      </w:pPr>
      <w:r w:rsidRPr="003C5CBB">
        <w:t>Tylenol pain reliever</w:t>
      </w:r>
      <w:r w:rsidR="003C5CBB" w:rsidRPr="003C5CBB">
        <w:rPr>
          <w:vertAlign w:val="superscript"/>
        </w:rPr>
        <w:footnoteReference w:id="620"/>
      </w:r>
    </w:p>
    <w:p w14:paraId="673394B4" w14:textId="40614854" w:rsidR="003C5CBB" w:rsidRPr="003C5CBB" w:rsidRDefault="00634BAE" w:rsidP="008B3068">
      <w:pPr>
        <w:pStyle w:val="BListitemorig"/>
      </w:pPr>
      <w:r w:rsidRPr="003C5CBB">
        <w:t>Velveeta cheese</w:t>
      </w:r>
      <w:r w:rsidR="003C5CBB" w:rsidRPr="003C5CBB">
        <w:rPr>
          <w:vertAlign w:val="superscript"/>
        </w:rPr>
        <w:footnoteReference w:id="621"/>
      </w:r>
    </w:p>
    <w:p w14:paraId="05733894" w14:textId="49B88692" w:rsidR="003C5CBB" w:rsidRPr="003C5CBB" w:rsidRDefault="008B3068" w:rsidP="008B3068">
      <w:pPr>
        <w:pStyle w:val="BHead2"/>
      </w:pPr>
      <w:r>
        <w:t>8.X.</w:t>
      </w:r>
      <w:r w:rsidR="003C5CBB" w:rsidRPr="008B3068">
        <w:rPr>
          <w:rStyle w:val="BBNAidChar"/>
          <w:rFonts w:eastAsiaTheme="majorEastAsia"/>
        </w:rPr>
        <w:t>B</w:t>
      </w:r>
      <w:r w:rsidR="003C5CBB" w:rsidRPr="003C5CBB">
        <w:t>.</w:t>
      </w:r>
      <w:r>
        <w:t> </w:t>
      </w:r>
      <w:r w:rsidR="003C5CBB" w:rsidRPr="003C5CBB">
        <w:tab/>
        <w:t>Examples of Marks Found Not Famous</w:t>
      </w:r>
    </w:p>
    <w:p w14:paraId="6C7647E6" w14:textId="4841217A" w:rsidR="003C5CBB" w:rsidRPr="003C5CBB" w:rsidRDefault="00634BAE" w:rsidP="008B3068">
      <w:pPr>
        <w:pStyle w:val="BListitemorig"/>
      </w:pPr>
      <w:r w:rsidRPr="003C5CBB">
        <w:t>ABC and ABC Carpet</w:t>
      </w:r>
      <w:r w:rsidR="003C5CBB" w:rsidRPr="003C5CBB">
        <w:rPr>
          <w:vertAlign w:val="superscript"/>
        </w:rPr>
        <w:footnoteReference w:id="622"/>
      </w:r>
    </w:p>
    <w:p w14:paraId="7A3E4AF3" w14:textId="58DA6E89" w:rsidR="003C5CBB" w:rsidRPr="003C5CBB" w:rsidRDefault="00634BAE" w:rsidP="008B3068">
      <w:pPr>
        <w:pStyle w:val="BListitemorig"/>
      </w:pPr>
      <w:r w:rsidRPr="003C5CBB">
        <w:t>Alltel telecommunications services</w:t>
      </w:r>
      <w:r w:rsidR="003C5CBB" w:rsidRPr="003C5CBB">
        <w:rPr>
          <w:vertAlign w:val="superscript"/>
        </w:rPr>
        <w:footnoteReference w:id="623"/>
      </w:r>
    </w:p>
    <w:p w14:paraId="7D2E1576" w14:textId="2B99D465" w:rsidR="003C5CBB" w:rsidRPr="003C5CBB" w:rsidRDefault="00634BAE" w:rsidP="008B3068">
      <w:pPr>
        <w:pStyle w:val="BListitemorig"/>
      </w:pPr>
      <w:r w:rsidRPr="003C5CBB">
        <w:t>Appleseed foundation</w:t>
      </w:r>
      <w:r w:rsidR="003C5CBB" w:rsidRPr="003C5CBB">
        <w:rPr>
          <w:vertAlign w:val="superscript"/>
        </w:rPr>
        <w:footnoteReference w:id="624"/>
      </w:r>
    </w:p>
    <w:p w14:paraId="7D5A2ECC" w14:textId="4DC47690" w:rsidR="003C5CBB" w:rsidRPr="003C5CBB" w:rsidRDefault="00634BAE" w:rsidP="008B3068">
      <w:pPr>
        <w:pStyle w:val="BListitemorig"/>
      </w:pPr>
      <w:r w:rsidRPr="003C5CBB">
        <w:t>Charlotte</w:t>
      </w:r>
      <w:r w:rsidR="003C5CBB" w:rsidRPr="003C5CBB">
        <w:rPr>
          <w:vertAlign w:val="superscript"/>
        </w:rPr>
        <w:footnoteReference w:id="625"/>
      </w:r>
    </w:p>
    <w:p w14:paraId="41D60866" w14:textId="4B34EABE" w:rsidR="003C5CBB" w:rsidRPr="003C5CBB" w:rsidRDefault="00634BAE" w:rsidP="008B3068">
      <w:pPr>
        <w:pStyle w:val="BListitemorig"/>
      </w:pPr>
      <w:r w:rsidRPr="003C5CBB">
        <w:t>Coach</w:t>
      </w:r>
      <w:r w:rsidR="003C5CBB" w:rsidRPr="003C5CBB">
        <w:rPr>
          <w:vertAlign w:val="superscript"/>
        </w:rPr>
        <w:footnoteReference w:id="626"/>
      </w:r>
    </w:p>
    <w:p w14:paraId="4D22F37A" w14:textId="6DDAD4EA" w:rsidR="003C5CBB" w:rsidRPr="003C5CBB" w:rsidRDefault="00634BAE" w:rsidP="008B3068">
      <w:pPr>
        <w:pStyle w:val="BListitemorig"/>
      </w:pPr>
      <w:r w:rsidRPr="003C5CBB">
        <w:t>Eames chair design</w:t>
      </w:r>
      <w:r w:rsidR="003C5CBB" w:rsidRPr="003C5CBB">
        <w:rPr>
          <w:vertAlign w:val="superscript"/>
        </w:rPr>
        <w:footnoteReference w:id="627"/>
      </w:r>
    </w:p>
    <w:p w14:paraId="4000F329" w14:textId="4C28BAC6" w:rsidR="003C5CBB" w:rsidRPr="003C5CBB" w:rsidRDefault="00634BAE" w:rsidP="008B3068">
      <w:pPr>
        <w:pStyle w:val="BListitemorig"/>
      </w:pPr>
      <w:r w:rsidRPr="003C5CBB">
        <w:lastRenderedPageBreak/>
        <w:t>Everlina Laurice and Laurice</w:t>
      </w:r>
      <w:r w:rsidR="003C5CBB" w:rsidRPr="003C5CBB">
        <w:rPr>
          <w:vertAlign w:val="superscript"/>
        </w:rPr>
        <w:footnoteReference w:id="628"/>
      </w:r>
    </w:p>
    <w:p w14:paraId="03F1AE96" w14:textId="2E6F0E94" w:rsidR="003C5CBB" w:rsidRPr="003C5CBB" w:rsidRDefault="00634BAE" w:rsidP="008B3068">
      <w:pPr>
        <w:pStyle w:val="BListitemorig"/>
      </w:pPr>
      <w:r w:rsidRPr="003C5CBB">
        <w:t>In-N-Out (for fast food)</w:t>
      </w:r>
      <w:r w:rsidR="003C5CBB" w:rsidRPr="003C5CBB">
        <w:rPr>
          <w:vertAlign w:val="superscript"/>
        </w:rPr>
        <w:footnoteReference w:id="629"/>
      </w:r>
    </w:p>
    <w:p w14:paraId="05F648C1" w14:textId="071B8793" w:rsidR="003C5CBB" w:rsidRPr="003C5CBB" w:rsidRDefault="00634BAE" w:rsidP="008B3068">
      <w:pPr>
        <w:pStyle w:val="BListitemorig"/>
      </w:pPr>
      <w:r w:rsidRPr="003C5CBB">
        <w:t>Jose Cuervo</w:t>
      </w:r>
      <w:r w:rsidR="003C5CBB" w:rsidRPr="003C5CBB">
        <w:rPr>
          <w:vertAlign w:val="superscript"/>
        </w:rPr>
        <w:footnoteReference w:id="630"/>
      </w:r>
    </w:p>
    <w:p w14:paraId="61D2ACF9" w14:textId="066E832A" w:rsidR="003C5CBB" w:rsidRPr="003C5CBB" w:rsidRDefault="00634BAE" w:rsidP="008B3068">
      <w:pPr>
        <w:pStyle w:val="BListitemorig"/>
      </w:pPr>
      <w:r w:rsidRPr="003C5CBB">
        <w:t>Lokar</w:t>
      </w:r>
      <w:r w:rsidR="003C5CBB" w:rsidRPr="003C5CBB">
        <w:rPr>
          <w:vertAlign w:val="superscript"/>
        </w:rPr>
        <w:footnoteReference w:id="631"/>
      </w:r>
    </w:p>
    <w:p w14:paraId="1B513382" w14:textId="01810187" w:rsidR="003C5CBB" w:rsidRPr="003C5CBB" w:rsidRDefault="00634BAE" w:rsidP="008B3068">
      <w:pPr>
        <w:pStyle w:val="BListitemorig"/>
      </w:pPr>
      <w:r w:rsidRPr="003C5CBB">
        <w:t>Dripping wax seal on Maker’s Mark bourbon</w:t>
      </w:r>
      <w:r w:rsidR="003C5CBB" w:rsidRPr="003C5CBB">
        <w:rPr>
          <w:vertAlign w:val="superscript"/>
        </w:rPr>
        <w:footnoteReference w:id="632"/>
      </w:r>
    </w:p>
    <w:p w14:paraId="2E6813D3" w14:textId="6046BBBC" w:rsidR="003C5CBB" w:rsidRPr="003C5CBB" w:rsidRDefault="00634BAE" w:rsidP="008B3068">
      <w:pPr>
        <w:pStyle w:val="BListitemorig"/>
      </w:pPr>
      <w:r w:rsidRPr="003C5CBB">
        <w:t>La Flor De Michoacan (for Mexican-style ice cream)</w:t>
      </w:r>
      <w:r w:rsidR="003C5CBB" w:rsidRPr="003C5CBB">
        <w:rPr>
          <w:vertAlign w:val="superscript"/>
        </w:rPr>
        <w:footnoteReference w:id="633"/>
      </w:r>
    </w:p>
    <w:p w14:paraId="03939BF4" w14:textId="4625AE7A" w:rsidR="003C5CBB" w:rsidRPr="003C5CBB" w:rsidRDefault="00634BAE" w:rsidP="008B3068">
      <w:pPr>
        <w:pStyle w:val="BListitemorig"/>
      </w:pPr>
      <w:r w:rsidRPr="003C5CBB">
        <w:t>Mensa</w:t>
      </w:r>
      <w:r w:rsidR="003C5CBB" w:rsidRPr="003C5CBB">
        <w:rPr>
          <w:vertAlign w:val="superscript"/>
        </w:rPr>
        <w:footnoteReference w:id="634"/>
      </w:r>
    </w:p>
    <w:p w14:paraId="3A31AE42" w14:textId="4E1722A7" w:rsidR="003C5CBB" w:rsidRPr="003C5CBB" w:rsidRDefault="00634BAE" w:rsidP="008B3068">
      <w:pPr>
        <w:pStyle w:val="BListitemorig"/>
      </w:pPr>
      <w:r w:rsidRPr="003C5CBB">
        <w:t>05 for clothing</w:t>
      </w:r>
      <w:r w:rsidR="003C5CBB" w:rsidRPr="003C5CBB">
        <w:rPr>
          <w:vertAlign w:val="superscript"/>
        </w:rPr>
        <w:footnoteReference w:id="635"/>
      </w:r>
    </w:p>
    <w:p w14:paraId="046A19CA" w14:textId="721E1750" w:rsidR="003C5CBB" w:rsidRPr="003C5CBB" w:rsidRDefault="00634BAE" w:rsidP="008B3068">
      <w:pPr>
        <w:pStyle w:val="BListitemorig"/>
      </w:pPr>
      <w:r w:rsidRPr="003C5CBB">
        <w:t>Playmakers sports agency services</w:t>
      </w:r>
      <w:r w:rsidR="003C5CBB" w:rsidRPr="003C5CBB">
        <w:rPr>
          <w:vertAlign w:val="superscript"/>
        </w:rPr>
        <w:footnoteReference w:id="636"/>
      </w:r>
    </w:p>
    <w:p w14:paraId="4D7F010B" w14:textId="628D8650" w:rsidR="003C5CBB" w:rsidRPr="003C5CBB" w:rsidRDefault="00634BAE" w:rsidP="008B3068">
      <w:pPr>
        <w:pStyle w:val="BListitemorig"/>
      </w:pPr>
      <w:r w:rsidRPr="003C5CBB">
        <w:t>Private Selection</w:t>
      </w:r>
      <w:r w:rsidR="003C5CBB" w:rsidRPr="003C5CBB">
        <w:rPr>
          <w:vertAlign w:val="superscript"/>
        </w:rPr>
        <w:footnoteReference w:id="637"/>
      </w:r>
    </w:p>
    <w:p w14:paraId="700AE312" w14:textId="4EA266B1" w:rsidR="003C5CBB" w:rsidRPr="003C5CBB" w:rsidRDefault="00634BAE" w:rsidP="008B3068">
      <w:pPr>
        <w:pStyle w:val="BListitemorig"/>
      </w:pPr>
      <w:r w:rsidRPr="003C5CBB">
        <w:t>Soul Man</w:t>
      </w:r>
      <w:r w:rsidR="003C5CBB" w:rsidRPr="003C5CBB">
        <w:rPr>
          <w:vertAlign w:val="superscript"/>
        </w:rPr>
        <w:footnoteReference w:id="638"/>
      </w:r>
      <w:r w:rsidRPr="003C5CBB">
        <w:t>Swix ski wax</w:t>
      </w:r>
      <w:r w:rsidR="003C5CBB" w:rsidRPr="003C5CBB">
        <w:rPr>
          <w:vertAlign w:val="superscript"/>
        </w:rPr>
        <w:footnoteReference w:id="639"/>
      </w:r>
    </w:p>
    <w:p w14:paraId="1F7E1D09" w14:textId="40505CCD" w:rsidR="003C5CBB" w:rsidRPr="003C5CBB" w:rsidRDefault="00634BAE" w:rsidP="008B3068">
      <w:pPr>
        <w:pStyle w:val="BListitemorig"/>
      </w:pPr>
      <w:r w:rsidRPr="003C5CBB">
        <w:t>Taxi Wallet</w:t>
      </w:r>
      <w:r w:rsidR="003C5CBB" w:rsidRPr="003C5CBB">
        <w:rPr>
          <w:vertAlign w:val="superscript"/>
        </w:rPr>
        <w:footnoteReference w:id="640"/>
      </w:r>
    </w:p>
    <w:p w14:paraId="01E61F1C" w14:textId="5207C887" w:rsidR="003C5CBB" w:rsidRPr="003C5CBB" w:rsidRDefault="00634BAE" w:rsidP="008B3068">
      <w:pPr>
        <w:pStyle w:val="BListitemorig"/>
      </w:pPr>
      <w:r w:rsidRPr="003C5CBB">
        <w:t>Teton Glacier vodka</w:t>
      </w:r>
      <w:r w:rsidR="003C5CBB" w:rsidRPr="003C5CBB">
        <w:rPr>
          <w:vertAlign w:val="superscript"/>
        </w:rPr>
        <w:footnoteReference w:id="641"/>
      </w:r>
    </w:p>
    <w:p w14:paraId="73E9D038" w14:textId="1D94F8BD" w:rsidR="003C5CBB" w:rsidRPr="003C5CBB" w:rsidRDefault="00634BAE" w:rsidP="008B3068">
      <w:pPr>
        <w:pStyle w:val="BListitemorig"/>
      </w:pPr>
      <w:r w:rsidRPr="003C5CBB">
        <w:t>Texas Longhorn logo</w:t>
      </w:r>
      <w:r w:rsidR="003C5CBB" w:rsidRPr="003C5CBB">
        <w:rPr>
          <w:vertAlign w:val="superscript"/>
        </w:rPr>
        <w:footnoteReference w:id="642"/>
      </w:r>
    </w:p>
    <w:p w14:paraId="70452C35" w14:textId="5F7DDB2A" w:rsidR="003C5CBB" w:rsidRPr="003C5CBB" w:rsidRDefault="00634BAE" w:rsidP="008B3068">
      <w:pPr>
        <w:pStyle w:val="BListitemorig"/>
      </w:pPr>
      <w:r w:rsidRPr="003C5CBB">
        <w:lastRenderedPageBreak/>
        <w:t>Texas Trophy Hunters Association</w:t>
      </w:r>
      <w:r w:rsidR="003C5CBB" w:rsidRPr="003C5CBB">
        <w:rPr>
          <w:vertAlign w:val="superscript"/>
        </w:rPr>
        <w:footnoteReference w:id="643"/>
      </w:r>
    </w:p>
    <w:p w14:paraId="16885311" w14:textId="584F700E" w:rsidR="003C5CBB" w:rsidRPr="003C5CBB" w:rsidRDefault="00634BAE" w:rsidP="008B3068">
      <w:pPr>
        <w:pStyle w:val="BListitemorig"/>
      </w:pPr>
      <w:r w:rsidRPr="003C5CBB">
        <w:t>Top tobacco</w:t>
      </w:r>
      <w:r w:rsidR="003C5CBB" w:rsidRPr="003C5CBB">
        <w:rPr>
          <w:vertAlign w:val="superscript"/>
        </w:rPr>
        <w:footnoteReference w:id="644"/>
      </w:r>
    </w:p>
    <w:p w14:paraId="79C69EE4" w14:textId="432AEAD8" w:rsidR="003C5CBB" w:rsidRPr="003C5CBB" w:rsidRDefault="00634BAE" w:rsidP="008B3068">
      <w:pPr>
        <w:pStyle w:val="BListitemorig"/>
      </w:pPr>
      <w:r w:rsidRPr="003C5CBB">
        <w:t>Toro lawn equipment</w:t>
      </w:r>
      <w:r w:rsidR="003C5CBB" w:rsidRPr="003C5CBB">
        <w:rPr>
          <w:vertAlign w:val="superscript"/>
        </w:rPr>
        <w:footnoteReference w:id="645"/>
      </w:r>
    </w:p>
    <w:p w14:paraId="1E7542DC" w14:textId="42B7682A" w:rsidR="003C5CBB" w:rsidRPr="003C5CBB" w:rsidRDefault="00634BAE" w:rsidP="008B3068">
      <w:pPr>
        <w:pStyle w:val="BListitemorig"/>
      </w:pPr>
      <w:r w:rsidRPr="003C5CBB">
        <w:t>Tycos medical products</w:t>
      </w:r>
      <w:r w:rsidR="003C5CBB" w:rsidRPr="003C5CBB">
        <w:rPr>
          <w:vertAlign w:val="superscript"/>
        </w:rPr>
        <w:footnoteReference w:id="646"/>
      </w:r>
    </w:p>
    <w:p w14:paraId="7BDD2BDA" w14:textId="5EF521FA" w:rsidR="003C5CBB" w:rsidRPr="003C5CBB" w:rsidRDefault="00634BAE" w:rsidP="008B3068">
      <w:pPr>
        <w:pStyle w:val="BListitemorig"/>
      </w:pPr>
      <w:r w:rsidRPr="003C5CBB">
        <w:t>The Village</w:t>
      </w:r>
      <w:r w:rsidR="003C5CBB" w:rsidRPr="003C5CBB">
        <w:rPr>
          <w:vertAlign w:val="superscript"/>
        </w:rPr>
        <w:footnoteReference w:id="647"/>
      </w:r>
    </w:p>
    <w:p w14:paraId="6107D663" w14:textId="129E027F" w:rsidR="003C5CBB" w:rsidRPr="003C5CBB" w:rsidRDefault="00634BAE" w:rsidP="008B3068">
      <w:pPr>
        <w:pStyle w:val="BListitemorig"/>
      </w:pPr>
      <w:r w:rsidRPr="003C5CBB">
        <w:t>We and We Media</w:t>
      </w:r>
      <w:r w:rsidR="003C5CBB" w:rsidRPr="003C5CBB">
        <w:rPr>
          <w:vertAlign w:val="superscript"/>
        </w:rPr>
        <w:footnoteReference w:id="648"/>
      </w:r>
    </w:p>
    <w:p w14:paraId="36869966" w14:textId="24CBF40E" w:rsidR="003C5CBB" w:rsidRPr="003C5CBB" w:rsidRDefault="00634BAE" w:rsidP="008B3068">
      <w:pPr>
        <w:pStyle w:val="BListitemorig"/>
      </w:pPr>
      <w:r w:rsidRPr="003C5CBB">
        <w:t xml:space="preserve">We’ll Pick You Up </w:t>
      </w:r>
      <w:proofErr w:type="gramStart"/>
      <w:r w:rsidRPr="003C5CBB">
        <w:t>rental car</w:t>
      </w:r>
      <w:proofErr w:type="gramEnd"/>
      <w:r w:rsidRPr="003C5CBB">
        <w:t xml:space="preserve"> services</w:t>
      </w:r>
      <w:r w:rsidR="003C5CBB" w:rsidRPr="003C5CBB">
        <w:rPr>
          <w:vertAlign w:val="superscript"/>
        </w:rPr>
        <w:footnoteReference w:id="649"/>
      </w:r>
    </w:p>
    <w:p w14:paraId="773EDC0D" w14:textId="36D8538A" w:rsidR="003C5CBB" w:rsidRPr="003C5CBB" w:rsidRDefault="00634BAE" w:rsidP="008B3068">
      <w:pPr>
        <w:pStyle w:val="BListitemorig"/>
      </w:pPr>
      <w:r w:rsidRPr="003C5CBB">
        <w:t>Zerorez (for carpet cleaning services)</w:t>
      </w:r>
      <w:r w:rsidR="003C5CBB" w:rsidRPr="003C5CBB">
        <w:rPr>
          <w:vertAlign w:val="superscript"/>
        </w:rPr>
        <w:footnoteReference w:id="650"/>
      </w:r>
    </w:p>
    <w:p w14:paraId="1A1788E0" w14:textId="64B7B8F1" w:rsidR="00494245" w:rsidRPr="003C5CBB" w:rsidRDefault="00494245" w:rsidP="003C5CBB">
      <w:pPr>
        <w:pStyle w:val="BNormal"/>
      </w:pPr>
    </w:p>
    <w:sectPr w:rsidR="00494245" w:rsidRPr="003C5CBB"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8F9C" w14:textId="77777777" w:rsidR="009332C5" w:rsidRDefault="009332C5" w:rsidP="002A47A4">
      <w:r>
        <w:separator/>
      </w:r>
    </w:p>
    <w:p w14:paraId="7CEC23C4" w14:textId="77777777" w:rsidR="009332C5" w:rsidRDefault="009332C5"/>
    <w:p w14:paraId="0A251D14" w14:textId="77777777" w:rsidR="009332C5" w:rsidRDefault="009332C5"/>
  </w:endnote>
  <w:endnote w:type="continuationSeparator" w:id="0">
    <w:p w14:paraId="4490BCCD" w14:textId="77777777" w:rsidR="009332C5" w:rsidRDefault="009332C5" w:rsidP="002A47A4">
      <w:r>
        <w:continuationSeparator/>
      </w:r>
    </w:p>
    <w:p w14:paraId="7FA7CDAD" w14:textId="77777777" w:rsidR="009332C5" w:rsidRDefault="009332C5"/>
    <w:p w14:paraId="638A5171" w14:textId="77777777" w:rsidR="009332C5" w:rsidRDefault="00933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auto"/>
    <w:pitch w:val="variable"/>
    <w:sig w:usb0="E00002FF" w:usb1="5000205A" w:usb2="0000000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B974" w14:textId="77777777" w:rsidR="009332C5" w:rsidRDefault="009332C5" w:rsidP="002A47A4">
      <w:r>
        <w:separator/>
      </w:r>
    </w:p>
    <w:p w14:paraId="263662BF" w14:textId="77777777" w:rsidR="009332C5" w:rsidRDefault="009332C5"/>
    <w:p w14:paraId="0F76F76E" w14:textId="77777777" w:rsidR="009332C5" w:rsidRDefault="009332C5"/>
  </w:footnote>
  <w:footnote w:type="continuationSeparator" w:id="0">
    <w:p w14:paraId="0DBF01FB" w14:textId="77777777" w:rsidR="009332C5" w:rsidRDefault="009332C5" w:rsidP="002A47A4">
      <w:r>
        <w:continuationSeparator/>
      </w:r>
    </w:p>
    <w:p w14:paraId="73BBB081" w14:textId="77777777" w:rsidR="009332C5" w:rsidRDefault="009332C5"/>
    <w:p w14:paraId="026F3928" w14:textId="77777777" w:rsidR="009332C5" w:rsidRDefault="009332C5"/>
  </w:footnote>
  <w:footnote w:id="1">
    <w:p w14:paraId="06AA3BCF" w14:textId="3593B0B5" w:rsidR="003C5CBB" w:rsidRPr="003C5CBB" w:rsidRDefault="003C5CBB" w:rsidP="003C5CBB">
      <w:pPr>
        <w:pStyle w:val="FootnoteText"/>
      </w:pPr>
      <w:r w:rsidRPr="003C5CBB">
        <w:rPr>
          <w:rStyle w:val="FootnoteReference"/>
        </w:rPr>
        <w:footnoteRef/>
      </w:r>
      <w:r w:rsidRPr="003C5CBB">
        <w:t>David Welkowitz is a Professor of Law Emeritus at Whittier Law School in Costa Mesa, California. He has taught trademark law, international intellectual property law courses, and civil procedure, among other subjects. He was a member of the Whittier faculty from 1983 to 2018. From 2019 to 2024 he was an attorney at the U.S. Copyright Office. Prior to 1983, he practiced law in New York City.</w:t>
      </w:r>
    </w:p>
    <w:p w14:paraId="4BC53A42" w14:textId="77777777" w:rsidR="003C5CBB" w:rsidRDefault="003C5CBB" w:rsidP="003C5CBB">
      <w:pPr>
        <w:pStyle w:val="FootnoteText"/>
      </w:pPr>
      <w:r w:rsidRPr="003C5CBB">
        <w:t>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bars, and is admitted to practice before the federal courts in the Southern and Eastern Districts of New York and the Court of Appeals for the Second Circuit.</w:t>
      </w:r>
    </w:p>
  </w:footnote>
  <w:footnote w:id="2">
    <w:p w14:paraId="774B9E71" w14:textId="3B73D92B" w:rsidR="003C5CBB" w:rsidRPr="00517775" w:rsidRDefault="003C5CBB" w:rsidP="003C5CBB">
      <w:pPr>
        <w:pStyle w:val="FootnoteText"/>
      </w:pPr>
      <w:r w:rsidRPr="003C5CBB">
        <w:rPr>
          <w:vertAlign w:val="superscript"/>
        </w:rPr>
        <w:footnoteRef/>
      </w:r>
      <w:r w:rsidRPr="003C5CBB">
        <w:t xml:space="preserve">Frank I. Schechter, </w:t>
      </w:r>
      <w:r w:rsidRPr="003C5CBB">
        <w:rPr>
          <w:i/>
        </w:rPr>
        <w:t>The Rational Basis of Trademark Protection</w:t>
      </w:r>
      <w:r w:rsidRPr="003C5CBB">
        <w:t xml:space="preserve">, 40 </w:t>
      </w:r>
      <w:r w:rsidRPr="003C5CBB">
        <w:rPr>
          <w:smallCaps/>
        </w:rPr>
        <w:t>Harv. L. Rev</w:t>
      </w:r>
      <w:r w:rsidRPr="003C5CBB">
        <w:t>. 813, 828 (1927).</w:t>
      </w:r>
    </w:p>
  </w:footnote>
  <w:footnote w:id="3">
    <w:p w14:paraId="0E83EF77" w14:textId="7DE8C724" w:rsidR="003C5CBB" w:rsidRPr="00517775" w:rsidRDefault="003C5CBB" w:rsidP="003C5CBB">
      <w:pPr>
        <w:pStyle w:val="FootnoteText"/>
      </w:pPr>
      <w:r w:rsidRPr="003C5CBB">
        <w:rPr>
          <w:vertAlign w:val="superscript"/>
        </w:rPr>
        <w:footnoteRef/>
      </w:r>
      <w:r w:rsidRPr="003C5CBB">
        <w:t>See Chapter 2, §</w:t>
      </w:r>
      <w:r w:rsidRPr="003C5CBB">
        <w:t>I.A, for a discussion of these statutes.</w:t>
      </w:r>
    </w:p>
  </w:footnote>
  <w:footnote w:id="4">
    <w:p w14:paraId="43DBB43F" w14:textId="7EB6A983" w:rsidR="003C5CBB" w:rsidRPr="003C5CBB" w:rsidRDefault="003C5CBB" w:rsidP="003C5CBB">
      <w:pPr>
        <w:pStyle w:val="FootnoteText"/>
      </w:pPr>
      <w:r w:rsidRPr="003C5CBB">
        <w:rPr>
          <w:vertAlign w:val="superscript"/>
        </w:rPr>
        <w:footnoteRef/>
      </w:r>
      <w:r w:rsidRPr="003C5CBB">
        <w:t>Lanham Act §43(c)(1), 15 U.S.C. §1125(c)(1) (emphasis added). Given that an injunction is an equitable remedy, the introductory language, which was added by the Trademark Dilution Revision Act of 2006 (TDRA), seems redundant. See Chapter 11 for a discussion of remedies.</w:t>
      </w:r>
    </w:p>
    <w:p w14:paraId="5E9EA7C2" w14:textId="77777777" w:rsidR="003C5CBB" w:rsidRPr="00517775" w:rsidRDefault="003C5CBB" w:rsidP="00AF29FC">
      <w:pPr>
        <w:pStyle w:val="footnote"/>
      </w:pPr>
    </w:p>
  </w:footnote>
  <w:footnote w:id="5">
    <w:p w14:paraId="069AAE31" w14:textId="2F97DA53" w:rsidR="003C5CBB" w:rsidRPr="003C5CBB" w:rsidRDefault="003C5CBB" w:rsidP="003C5CBB">
      <w:pPr>
        <w:pStyle w:val="FootnoteText"/>
      </w:pPr>
      <w:r w:rsidRPr="003C5CBB">
        <w:rPr>
          <w:vertAlign w:val="superscript"/>
        </w:rPr>
        <w:footnoteRef/>
      </w:r>
      <w:r w:rsidRPr="003C5CBB">
        <w:t>Pub. L. No. 104-98, 109 Stat. 985 (1995).</w:t>
      </w:r>
    </w:p>
    <w:p w14:paraId="77194937" w14:textId="77777777" w:rsidR="003C5CBB" w:rsidRPr="00517775" w:rsidRDefault="003C5CBB" w:rsidP="00AF29FC">
      <w:pPr>
        <w:pStyle w:val="footnote"/>
      </w:pPr>
    </w:p>
  </w:footnote>
  <w:footnote w:id="6">
    <w:p w14:paraId="46CEA88D" w14:textId="665F1F1C" w:rsidR="003C5CBB" w:rsidRPr="00517775"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 xml:space="preserve">., H.R. </w:t>
      </w:r>
      <w:r w:rsidRPr="003C5CBB">
        <w:rPr>
          <w:smallCaps/>
        </w:rPr>
        <w:t>Rep</w:t>
      </w:r>
      <w:r w:rsidRPr="003C5CBB">
        <w:t>. No. 104-374, at 3 (Nov. 30, 1995) (citing DuPont shoes, Kodak pianos, and Buick aspirin).</w:t>
      </w:r>
    </w:p>
  </w:footnote>
  <w:footnote w:id="7">
    <w:p w14:paraId="186CF88A" w14:textId="35496A42" w:rsidR="003C5CBB" w:rsidRPr="003C5CBB" w:rsidRDefault="003C5CBB" w:rsidP="003C5CBB">
      <w:pPr>
        <w:pStyle w:val="FootnoteText"/>
      </w:pPr>
      <w:r w:rsidRPr="003C5CBB">
        <w:rPr>
          <w:vertAlign w:val="superscript"/>
        </w:rPr>
        <w:footnoteRef/>
      </w:r>
      <w:r w:rsidRPr="003C5CBB">
        <w:t xml:space="preserve">United States Trademark Association Trademark Review Commission, </w:t>
      </w:r>
      <w:r w:rsidRPr="003C5CBB">
        <w:rPr>
          <w:i/>
        </w:rPr>
        <w:t xml:space="preserve">Report and Recommendations to USTA President and Board of Directors </w:t>
      </w:r>
      <w:r w:rsidRPr="003C5CBB">
        <w:t xml:space="preserve">[hereinafter </w:t>
      </w:r>
      <w:r w:rsidRPr="003C5CBB">
        <w:rPr>
          <w:i/>
        </w:rPr>
        <w:t>USTA Report</w:t>
      </w:r>
      <w:r w:rsidRPr="003C5CBB">
        <w:t xml:space="preserve">], 77 </w:t>
      </w:r>
      <w:r w:rsidRPr="003C5CBB">
        <w:rPr>
          <w:smallCaps/>
        </w:rPr>
        <w:t>Trademark Rep</w:t>
      </w:r>
      <w:r w:rsidRPr="003C5CBB">
        <w:t xml:space="preserve">. 375, 456 (1987). The requirement of registration was deleted from the final version of the statute in 1995 by a late amendment. </w:t>
      </w:r>
      <w:r w:rsidRPr="003C5CBB">
        <w:rPr>
          <w:smallCaps/>
        </w:rPr>
        <w:t xml:space="preserve">H.R. Rep. No. </w:t>
      </w:r>
      <w:r w:rsidRPr="003C5CBB">
        <w:t xml:space="preserve">104-374, at 4. There is no indication that this amendment was intended to lessen the level of strength of a mark needed to be considered “famous.” The applicable </w:t>
      </w:r>
      <w:r w:rsidRPr="003C5CBB">
        <w:rPr>
          <w:i/>
        </w:rPr>
        <w:t>Restatement</w:t>
      </w:r>
      <w:r w:rsidRPr="003C5CBB">
        <w:t xml:space="preserve"> section requires a mark to be “highly distinctive” unless the claim is for tarnishment. </w:t>
      </w:r>
      <w:r w:rsidRPr="003C5CBB">
        <w:rPr>
          <w:smallCaps/>
        </w:rPr>
        <w:t xml:space="preserve">Restatement (Third) of Unfair Competition </w:t>
      </w:r>
      <w:r w:rsidRPr="003C5CBB">
        <w:t>§25(1)(a), (b) &amp; cmts. (1995).</w:t>
      </w:r>
    </w:p>
    <w:p w14:paraId="2787933C" w14:textId="77777777" w:rsidR="003C5CBB" w:rsidRPr="00517775" w:rsidRDefault="003C5CBB" w:rsidP="00AF29FC">
      <w:pPr>
        <w:pStyle w:val="footnote"/>
      </w:pPr>
    </w:p>
  </w:footnote>
  <w:footnote w:id="8">
    <w:p w14:paraId="632E3115" w14:textId="6E46F5EE" w:rsidR="003C5CBB" w:rsidRPr="00517775" w:rsidRDefault="003C5CBB" w:rsidP="003C5CBB">
      <w:pPr>
        <w:pStyle w:val="FootnoteText"/>
      </w:pPr>
      <w:r w:rsidRPr="003C5CBB">
        <w:rPr>
          <w:vertAlign w:val="superscript"/>
        </w:rPr>
        <w:footnoteRef/>
      </w:r>
      <w:r w:rsidRPr="003C5CBB">
        <w:rPr>
          <w:i/>
        </w:rPr>
        <w:t>USTA Report</w:t>
      </w:r>
      <w:r w:rsidRPr="003C5CBB">
        <w:t xml:space="preserve">, 77 </w:t>
      </w:r>
      <w:r w:rsidRPr="003C5CBB">
        <w:rPr>
          <w:smallCaps/>
        </w:rPr>
        <w:t>Trademark Rep</w:t>
      </w:r>
      <w:r w:rsidRPr="003C5CBB">
        <w:t>. at 459. It is not entirely clear why the USTA Review Commission chose the term “famous” to denominate the category of eligible marks. In international trademark treaties, marks that are “well known” are given additional protection. Paris Convention for the Protection of Industrial Property (as revised at Stockholm July 14, 1967), art. 6</w:t>
      </w:r>
      <w:r w:rsidRPr="003C5CBB">
        <w:rPr>
          <w:i/>
        </w:rPr>
        <w:t>bis</w:t>
      </w:r>
      <w:r w:rsidRPr="003C5CBB">
        <w:t xml:space="preserve">, 21 U.S.T. 1583 (1970); Agreement on Trade Related Aspects of Intellectual Property Rights (TRIPS), art. 16(2) (1994). The European Union gives additional protection to marks “with a reputation,” but that is not as high a barrier as fame. </w:t>
      </w:r>
      <w:r w:rsidRPr="003C5CBB">
        <w:rPr>
          <w:i/>
        </w:rPr>
        <w:t xml:space="preserve">See </w:t>
      </w:r>
      <w:r w:rsidRPr="003C5CBB">
        <w:t xml:space="preserve">Chapter 15, §III.A. The term “famous” is not generally used internationally as the criterion for eligibility for dilution or other enhanced protection. </w:t>
      </w:r>
      <w:r w:rsidRPr="003C5CBB">
        <w:rPr>
          <w:i/>
        </w:rPr>
        <w:t>See</w:t>
      </w:r>
      <w:r w:rsidRPr="003C5CBB">
        <w:t xml:space="preserve"> David S. Welkowitz, </w:t>
      </w:r>
      <w:r w:rsidRPr="003C5CBB">
        <w:rPr>
          <w:i/>
        </w:rPr>
        <w:t>Famous Marks Under the TDRA</w:t>
      </w:r>
      <w:r w:rsidRPr="003C5CBB">
        <w:t xml:space="preserve">, 99 </w:t>
      </w:r>
      <w:r w:rsidRPr="003C5CBB">
        <w:rPr>
          <w:smallCaps/>
        </w:rPr>
        <w:t>Trademark Rep</w:t>
      </w:r>
      <w:r w:rsidRPr="003C5CBB">
        <w:t>. 983, 985 (2009).</w:t>
      </w:r>
    </w:p>
  </w:footnote>
  <w:footnote w:id="9">
    <w:p w14:paraId="75881BB8" w14:textId="6B4AA54B" w:rsidR="003C5CBB" w:rsidRPr="003C5CBB" w:rsidRDefault="003C5CBB" w:rsidP="003C5CBB">
      <w:pPr>
        <w:pStyle w:val="FootnoteText"/>
      </w:pPr>
      <w:r w:rsidRPr="003C5CBB">
        <w:rPr>
          <w:vertAlign w:val="superscript"/>
        </w:rPr>
        <w:footnoteRef/>
      </w:r>
      <w:r w:rsidRPr="003C5CBB">
        <w:t>Pub. L. No. 109-312, 120 Stat. 1730 (2006).</w:t>
      </w:r>
    </w:p>
    <w:p w14:paraId="019C61D3" w14:textId="77777777" w:rsidR="003C5CBB" w:rsidRPr="00517775" w:rsidRDefault="003C5CBB" w:rsidP="00AF29FC">
      <w:pPr>
        <w:pStyle w:val="footnote"/>
      </w:pPr>
    </w:p>
  </w:footnote>
  <w:footnote w:id="10">
    <w:p w14:paraId="6B5C09FA" w14:textId="4BE9C72F" w:rsidR="003C5CBB" w:rsidRPr="00517775" w:rsidRDefault="003C5CBB" w:rsidP="003C5CBB">
      <w:pPr>
        <w:pStyle w:val="FootnoteText"/>
      </w:pPr>
      <w:r w:rsidRPr="003C5CBB">
        <w:rPr>
          <w:vertAlign w:val="superscript"/>
        </w:rPr>
        <w:footnoteRef/>
      </w:r>
      <w:r w:rsidRPr="003C5CBB">
        <w:t>Lanham Act §43(c)(2)(A), 15 U.S.C. §1125(c)(2)(A).</w:t>
      </w:r>
    </w:p>
  </w:footnote>
  <w:footnote w:id="11">
    <w:p w14:paraId="78EA9879" w14:textId="3A1F9DF6" w:rsidR="003C5CBB" w:rsidRPr="00517775" w:rsidRDefault="003C5CBB" w:rsidP="003C5CBB">
      <w:pPr>
        <w:pStyle w:val="FootnoteText"/>
      </w:pPr>
      <w:r w:rsidRPr="003C5CBB">
        <w:rPr>
          <w:vertAlign w:val="superscript"/>
        </w:rPr>
        <w:footnoteRef/>
      </w:r>
      <w:r w:rsidRPr="003C5CBB">
        <w:t>Section 43(c)(2)(A) specifically states that the court may “consider all relevant factors,” including the ones set forth in the statute.</w:t>
      </w:r>
    </w:p>
  </w:footnote>
  <w:footnote w:id="12">
    <w:p w14:paraId="3E885240" w14:textId="677A6B32" w:rsidR="003C5CBB" w:rsidRPr="00517775" w:rsidRDefault="003C5CBB" w:rsidP="003C5CBB">
      <w:pPr>
        <w:pStyle w:val="FootnoteText"/>
      </w:pPr>
      <w:r w:rsidRPr="003C5CBB">
        <w:rPr>
          <w:vertAlign w:val="superscript"/>
        </w:rPr>
        <w:footnoteRef/>
      </w:r>
      <w:r w:rsidRPr="003C5CBB">
        <w:t>Lanham Act §43(c)(2)(A), 15 U.S.C. §1125(c)(2)(A).</w:t>
      </w:r>
    </w:p>
  </w:footnote>
  <w:footnote w:id="13">
    <w:p w14:paraId="5E53AA3E" w14:textId="362693F0" w:rsidR="003C5CBB" w:rsidRPr="00517775" w:rsidRDefault="003C5CBB" w:rsidP="003C5CBB">
      <w:pPr>
        <w:pStyle w:val="FootnoteText"/>
      </w:pPr>
      <w:r w:rsidRPr="003C5CBB">
        <w:rPr>
          <w:vertAlign w:val="superscript"/>
        </w:rPr>
        <w:footnoteRef/>
      </w:r>
      <w:r w:rsidRPr="003C5CBB">
        <w:rPr>
          <w:i/>
        </w:rPr>
        <w:t>See</w:t>
      </w:r>
      <w:r w:rsidRPr="003C5CBB">
        <w:t xml:space="preserve"> §§II.A, V.A, below.</w:t>
      </w:r>
    </w:p>
  </w:footnote>
  <w:footnote w:id="14">
    <w:p w14:paraId="6FB99AEE" w14:textId="4848F8B3" w:rsidR="003C5CBB" w:rsidRPr="003C5CBB" w:rsidRDefault="003C5CBB" w:rsidP="003C5CBB">
      <w:pPr>
        <w:pStyle w:val="FootnoteText"/>
      </w:pPr>
      <w:r w:rsidRPr="003C5CBB">
        <w:rPr>
          <w:vertAlign w:val="superscript"/>
        </w:rPr>
        <w:footnoteRef/>
      </w:r>
      <w:r w:rsidRPr="003C5CBB">
        <w:t>The FTDA listed the following factors, deleted by the TDRA:</w:t>
      </w:r>
    </w:p>
    <w:p w14:paraId="3E79A1AF" w14:textId="17625E20" w:rsidR="003C5CBB" w:rsidRPr="003C5CBB" w:rsidRDefault="003C5CBB" w:rsidP="003C5CBB">
      <w:pPr>
        <w:pStyle w:val="BQuotelong"/>
      </w:pPr>
      <w:r w:rsidRPr="003C5CBB">
        <w:t xml:space="preserve">(A) the degree of inherent or acquired distinctiveness of the </w:t>
      </w:r>
      <w:r w:rsidRPr="003C5CBB">
        <w:t>mark;</w:t>
      </w:r>
    </w:p>
    <w:p w14:paraId="5B3C8EEA" w14:textId="33C19CC9" w:rsidR="003C5CBB" w:rsidRPr="003C5CBB" w:rsidRDefault="003C5CBB" w:rsidP="003C5CBB">
      <w:pPr>
        <w:pStyle w:val="BQuotelong"/>
      </w:pPr>
      <w:r w:rsidRPr="003C5CBB">
        <w:t>(B) the duration and extent of use of the mark in connection with the goods or services with which the mark is used;</w:t>
      </w:r>
    </w:p>
    <w:p w14:paraId="3D4386C4" w14:textId="25A89679" w:rsidR="003C5CBB" w:rsidRPr="003C5CBB" w:rsidRDefault="003C5CBB" w:rsidP="003C5CBB">
      <w:pPr>
        <w:pStyle w:val="BQuotelong"/>
      </w:pPr>
      <w:r w:rsidRPr="003C5CBB">
        <w:t>(C) the duration and extent of advertising and publicity of the mark;</w:t>
      </w:r>
    </w:p>
    <w:p w14:paraId="6295EC49" w14:textId="4FA1766C" w:rsidR="003C5CBB" w:rsidRPr="003C5CBB" w:rsidRDefault="003C5CBB" w:rsidP="003C5CBB">
      <w:pPr>
        <w:pStyle w:val="BQuotelong"/>
      </w:pPr>
      <w:r w:rsidRPr="003C5CBB">
        <w:t>(D) the geographical extent of the trading area in which the mark is used;</w:t>
      </w:r>
    </w:p>
    <w:p w14:paraId="2C96999E" w14:textId="0048FE9B" w:rsidR="003C5CBB" w:rsidRPr="003C5CBB" w:rsidRDefault="003C5CBB" w:rsidP="003C5CBB">
      <w:pPr>
        <w:pStyle w:val="BQuotelong"/>
      </w:pPr>
      <w:r w:rsidRPr="003C5CBB">
        <w:t>(E) the channels of trade for the goods or services with which the mark is used;</w:t>
      </w:r>
    </w:p>
    <w:p w14:paraId="289007DC" w14:textId="0B5C2CF8" w:rsidR="003C5CBB" w:rsidRPr="003C5CBB" w:rsidRDefault="003C5CBB" w:rsidP="003C5CBB">
      <w:pPr>
        <w:pStyle w:val="BQuotelong"/>
      </w:pPr>
      <w:r w:rsidRPr="003C5CBB">
        <w:t>(F) the degree of recognition of the mark in the trading areas and channels of trade used by the mark’s owner and the person against whom the injunction is sought;</w:t>
      </w:r>
    </w:p>
    <w:p w14:paraId="388A4502" w14:textId="6A35E376" w:rsidR="003C5CBB" w:rsidRPr="003C5CBB" w:rsidRDefault="003C5CBB" w:rsidP="003C5CBB">
      <w:pPr>
        <w:pStyle w:val="BQuotelong"/>
      </w:pPr>
      <w:r w:rsidRPr="003C5CBB">
        <w:t>(G) the nature and extent of use of the same or similar marks by third parties; and</w:t>
      </w:r>
    </w:p>
    <w:p w14:paraId="2B863F82" w14:textId="30640505" w:rsidR="003C5CBB" w:rsidRPr="003C5CBB" w:rsidRDefault="003C5CBB" w:rsidP="003C5CBB">
      <w:pPr>
        <w:pStyle w:val="BQuotelong"/>
      </w:pPr>
      <w:r w:rsidRPr="003C5CBB">
        <w:t>(H) whether the mark was registered under the Act of March 3, 1881, or the Act of February 20, 1905, or on the principal register.</w:t>
      </w:r>
    </w:p>
    <w:p w14:paraId="583F39A3" w14:textId="77777777" w:rsidR="003C5CBB" w:rsidRPr="00517775" w:rsidRDefault="003C5CBB" w:rsidP="003C5CBB">
      <w:pPr>
        <w:pStyle w:val="FootnoteText"/>
      </w:pPr>
      <w:r w:rsidRPr="003C5CBB">
        <w:t>Lanham Act §43(c)(1), 15 U.S.C. §1125(c)(1) (deleted by the Trademark Dilution Revision Act of 2006).</w:t>
      </w:r>
    </w:p>
  </w:footnote>
  <w:footnote w:id="15">
    <w:p w14:paraId="6ECDE15C" w14:textId="6D831F6E" w:rsidR="003C5CBB" w:rsidRPr="00517775" w:rsidRDefault="003C5CBB" w:rsidP="003C5CBB">
      <w:pPr>
        <w:pStyle w:val="FootnoteText"/>
      </w:pPr>
      <w:r w:rsidRPr="003C5CBB">
        <w:rPr>
          <w:vertAlign w:val="superscript"/>
        </w:rPr>
        <w:footnoteRef/>
      </w:r>
      <w:r w:rsidRPr="003C5CBB">
        <w:t xml:space="preserve">Ironically, in 1988 the view was expressed that the fame factors would not be a source of substantial litigation. </w:t>
      </w:r>
      <w:r w:rsidRPr="003C5CBB">
        <w:rPr>
          <w:i/>
        </w:rPr>
        <w:t>Hearing on S</w:t>
      </w:r>
      <w:r w:rsidRPr="003C5CBB">
        <w:t xml:space="preserve">. </w:t>
      </w:r>
      <w:r w:rsidRPr="003C5CBB">
        <w:rPr>
          <w:i/>
        </w:rPr>
        <w:t>1883 Before the Subcomm</w:t>
      </w:r>
      <w:r w:rsidRPr="003C5CBB">
        <w:t xml:space="preserve">. </w:t>
      </w:r>
      <w:r w:rsidRPr="003C5CBB">
        <w:rPr>
          <w:i/>
        </w:rPr>
        <w:t>on Patents, Copyrights and Trademarks of the Senate Comm</w:t>
      </w:r>
      <w:r w:rsidRPr="003C5CBB">
        <w:t xml:space="preserve">. </w:t>
      </w:r>
      <w:r w:rsidRPr="003C5CBB">
        <w:rPr>
          <w:i/>
        </w:rPr>
        <w:t>on the Judiciary</w:t>
      </w:r>
      <w:r w:rsidRPr="003C5CBB">
        <w:t xml:space="preserve">, 100th Cong., 2d Sess., 332 (1988); </w:t>
      </w:r>
      <w:r w:rsidRPr="003C5CBB">
        <w:rPr>
          <w:i/>
        </w:rPr>
        <w:t>id</w:t>
      </w:r>
      <w:r w:rsidRPr="003C5CBB">
        <w:t>. at 201 (statement of the United States Trademark Association).</w:t>
      </w:r>
    </w:p>
  </w:footnote>
  <w:footnote w:id="16">
    <w:p w14:paraId="06EE5903" w14:textId="5A59B7E5" w:rsidR="003C5CBB" w:rsidRPr="00517775" w:rsidRDefault="003C5CBB" w:rsidP="003C5CBB">
      <w:pPr>
        <w:pStyle w:val="FootnoteText"/>
      </w:pPr>
      <w:r w:rsidRPr="003C5CBB">
        <w:rPr>
          <w:vertAlign w:val="superscript"/>
        </w:rPr>
        <w:footnoteRef/>
      </w:r>
      <w:r w:rsidRPr="003C5CBB">
        <w:t xml:space="preserve">In unusual cases, it may be appropriate to consider both the TDRA and the FTDA when analyzing fame. If a suit alleges conduct that began before the TDRA and requests both damages and injunctive relief, the claim for damages will use the original FTDA standard, while the claim for injunctive relief will use the TDRA standard. </w:t>
      </w:r>
      <w:r w:rsidRPr="003C5CBB">
        <w:rPr>
          <w:i/>
        </w:rPr>
        <w:t>See</w:t>
      </w:r>
      <w:r w:rsidRPr="003C5CBB">
        <w:t xml:space="preserve"> adidas Am., Inc. v. Payless Shoesource, Inc., 546 F. Supp. 2d 1029, 1061–62 (D. Or. 2008). In a perfect world, the court would use the same standard for fame in both situations (i.e., the TDRA standard), because the alternative could produce bizarre results—damages for activity that is no longer subject to dilution because the injured mark is not famous under the TDRA, but was (say, through the not universally accepted and now rejected niche fame concept, discussed in §V, below) famous under some circuits’ interpretation of the original FTDA.</w:t>
      </w:r>
    </w:p>
  </w:footnote>
  <w:footnote w:id="17">
    <w:p w14:paraId="5C7C9F71" w14:textId="3EF0ACA0" w:rsidR="003C5CBB" w:rsidRPr="00517775" w:rsidRDefault="003C5CBB" w:rsidP="003C5CBB">
      <w:pPr>
        <w:pStyle w:val="FootnoteText"/>
      </w:pPr>
      <w:r w:rsidRPr="003C5CBB">
        <w:rPr>
          <w:vertAlign w:val="superscript"/>
        </w:rPr>
        <w:footnoteRef/>
      </w:r>
      <w:r w:rsidRPr="003C5CBB">
        <w:t xml:space="preserve">Avery Dennison Corp. v. Sumpton, 189 F.3d 868, 876, 51 USPQ2d 1801 (9th Cir. 1999); Hasbro, Inc. v. Clue Computing, Inc., 66 F. Supp. 2d 117, 131, 52 USPQ2d 1402 (D. Mass. 1999) (analysis is “similar to” analysis of strength of mark), </w:t>
      </w:r>
      <w:r w:rsidRPr="003C5CBB">
        <w:rPr>
          <w:i/>
        </w:rPr>
        <w:t>aff’d</w:t>
      </w:r>
      <w:r w:rsidRPr="003C5CBB">
        <w:t>, 232 F.3d 1, 56 USPQ2d 1766 (1st Cir. 2000); Trustees of Columbia Univ. v. Columbia/HCA Healthcare Corp., 964 F. Supp. 733, 749, 43 USPQ2d 1083 (S.D.N.Y. 1997) (same).</w:t>
      </w:r>
    </w:p>
  </w:footnote>
  <w:footnote w:id="18">
    <w:p w14:paraId="2E39C9BF" w14:textId="4E941F2F" w:rsidR="003C5CBB" w:rsidRPr="003C5CBB" w:rsidRDefault="003C5CBB" w:rsidP="003C5CBB">
      <w:pPr>
        <w:pStyle w:val="FootnoteText"/>
      </w:pPr>
      <w:r w:rsidRPr="003C5CBB">
        <w:rPr>
          <w:vertAlign w:val="superscript"/>
        </w:rPr>
        <w:footnoteRef/>
      </w:r>
      <w:r w:rsidRPr="003C5CBB">
        <w:rPr>
          <w:i/>
        </w:rPr>
        <w:t>Compare</w:t>
      </w:r>
      <w:r w:rsidRPr="003C5CBB">
        <w:t xml:space="preserve"> Nabisco, Inc. v. PF Brands, Inc., 191 F.3d 208, 215–16, 51 USPQ2d 1882 (2d Cir. 1999) (distinctiveness is a separate element of a dilution claim), </w:t>
      </w:r>
      <w:r w:rsidRPr="003C5CBB">
        <w:rPr>
          <w:i/>
        </w:rPr>
        <w:t>and</w:t>
      </w:r>
      <w:r w:rsidRPr="003C5CBB">
        <w:t xml:space="preserve"> V Secret Catalogue, Inc. v. Moseley, 259 F.3d 464, 469–70, 59 USPQ2d 1650 (6th Cir. 2001), </w:t>
      </w:r>
      <w:r w:rsidRPr="003C5CBB">
        <w:rPr>
          <w:i/>
        </w:rPr>
        <w:t>rev’d on other grounds</w:t>
      </w:r>
      <w:r w:rsidRPr="003C5CBB">
        <w:t xml:space="preserve">, 537 U.S. 418, 65 USPQ2d 1801 (2003), </w:t>
      </w:r>
      <w:r w:rsidRPr="003C5CBB">
        <w:rPr>
          <w:i/>
        </w:rPr>
        <w:t>with</w:t>
      </w:r>
      <w:r w:rsidRPr="003C5CBB">
        <w:t xml:space="preserve"> Times Mirror Magazines, Inc. v. Las Vegas Sports News, LLC, 212 F.3d 157, 167, 54 USPQ2d 1577 (3d Cir. 2000) (distinctiveness not a separate element), </w:t>
      </w:r>
      <w:r w:rsidRPr="003C5CBB">
        <w:rPr>
          <w:i/>
        </w:rPr>
        <w:t>cert</w:t>
      </w:r>
      <w:r w:rsidRPr="003C5CBB">
        <w:t xml:space="preserve">. </w:t>
      </w:r>
      <w:r w:rsidRPr="003C5CBB">
        <w:rPr>
          <w:i/>
        </w:rPr>
        <w:t>denied</w:t>
      </w:r>
      <w:r w:rsidRPr="003C5CBB">
        <w:t xml:space="preserve">, 531 U.S. 1071 (2001). </w:t>
      </w:r>
      <w:r w:rsidRPr="003C5CBB">
        <w:rPr>
          <w:i/>
        </w:rPr>
        <w:t>See</w:t>
      </w:r>
      <w:r w:rsidRPr="003C5CBB">
        <w:t xml:space="preserve"> INTA, A Proposed Revision to the Federal Trademark Dilution Act, at 2 (discussing the issue of distinctiveness) (on file with author). This issue is discussed in §VIII, below.</w:t>
      </w:r>
    </w:p>
    <w:p w14:paraId="79FD6F3D" w14:textId="77777777" w:rsidR="003C5CBB" w:rsidRPr="00517775" w:rsidRDefault="003C5CBB" w:rsidP="00AF29FC">
      <w:pPr>
        <w:pStyle w:val="footnote"/>
      </w:pPr>
    </w:p>
  </w:footnote>
  <w:footnote w:id="19">
    <w:p w14:paraId="4A3732B9" w14:textId="35F37072" w:rsidR="003C5CBB" w:rsidRPr="003C5CBB" w:rsidRDefault="003C5CBB" w:rsidP="003C5CBB">
      <w:pPr>
        <w:pStyle w:val="FootnoteText"/>
      </w:pPr>
      <w:r w:rsidRPr="003C5CBB">
        <w:rPr>
          <w:vertAlign w:val="superscript"/>
        </w:rPr>
        <w:footnoteRef/>
      </w:r>
      <w:r w:rsidRPr="003C5CBB">
        <w:t xml:space="preserve">Rep. Howard Berman placed a statement in the record before the House Judiciary Committee asserting the </w:t>
      </w:r>
      <w:r w:rsidRPr="003C5CBB">
        <w:t>narrow intended reach of the TDRA:</w:t>
      </w:r>
    </w:p>
    <w:p w14:paraId="42A1C4B0" w14:textId="08214F3C" w:rsidR="003C5CBB" w:rsidRPr="003C5CBB" w:rsidRDefault="003C5CBB" w:rsidP="003C5CBB">
      <w:pPr>
        <w:pStyle w:val="BQuotelong"/>
      </w:pPr>
      <w:r w:rsidRPr="003C5CBB">
        <w:t>Dilution should once again be used sparingly as an “extraordinary” remedy, one that requires a significant showing of fame.</w:t>
      </w:r>
    </w:p>
    <w:p w14:paraId="530379D7" w14:textId="00E9700A" w:rsidR="003C5CBB" w:rsidRPr="003C5CBB" w:rsidRDefault="003C5CBB" w:rsidP="003C5CBB">
      <w:pPr>
        <w:pStyle w:val="BQuotelong"/>
      </w:pPr>
      <w:r w:rsidRPr="003C5CBB">
        <w:t>This bill narrows the application of dilution by tightening the definition of what is necessary to be considered a famous mark. The bill eliminates fame for a niche market ….</w:t>
      </w:r>
    </w:p>
    <w:p w14:paraId="47660825" w14:textId="335590FD" w:rsidR="003C5CBB" w:rsidRPr="00517775" w:rsidRDefault="003C5CBB" w:rsidP="003C5CBB">
      <w:pPr>
        <w:pStyle w:val="FootnoteText"/>
      </w:pPr>
      <w:r w:rsidRPr="003C5CBB">
        <w:rPr>
          <w:smallCaps/>
        </w:rPr>
        <w:t xml:space="preserve">H.R. Rep. No. </w:t>
      </w:r>
      <w:r w:rsidRPr="003C5CBB">
        <w:t xml:space="preserve">109-23, at 25 (Mar. 17, 2005). </w:t>
      </w:r>
      <w:r w:rsidRPr="003C5CBB">
        <w:rPr>
          <w:i/>
        </w:rPr>
        <w:t>E.g.</w:t>
      </w:r>
      <w:r w:rsidRPr="003C5CBB">
        <w:t>, New World Sols., Inc. v. NameMedia, Inc., 150 F. Supp. 3d 287, 319 (S.D.N.Y. 2015).</w:t>
      </w:r>
    </w:p>
  </w:footnote>
  <w:footnote w:id="20">
    <w:p w14:paraId="1D6E3C08" w14:textId="16BB47CA" w:rsidR="003C5CBB" w:rsidRPr="003C5CBB" w:rsidRDefault="003C5CBB" w:rsidP="003C5CBB">
      <w:pPr>
        <w:pStyle w:val="FootnoteText"/>
      </w:pPr>
      <w:r w:rsidRPr="003C5CBB">
        <w:rPr>
          <w:vertAlign w:val="superscript"/>
        </w:rPr>
        <w:footnoteRef/>
      </w:r>
      <w:r w:rsidRPr="003C5CBB">
        <w:rPr>
          <w:i/>
        </w:rPr>
        <w:t>E.g.</w:t>
      </w:r>
      <w:r w:rsidRPr="003C5CBB">
        <w:t>, JTH Tax, Inc. v. Freedom Tax, Inc., 2019 BL 168603, at *12, 2019 BL 168603 (W.D. Ky. May 9, 2019) (denying preliminary injunction—no evidence that Liberty (JTH) is a “household name”); Superior Consulting Servs., Inc. v. Shaklee Corp., 2019 BL 61291, at *7 (M.D. Fla. Feb. 25, 2019) (dismissing counterclaim after trial on grounds that the Shaklee mark was not a “household name”); Kroger Co. v. Lidl US LLC, 2017 WL 3262253, at *6, 2017 BL 265099 (E.D. Va. July 31, 2017) (plaintiff failed to demonstrate that its mark is a “household name”); Arcsoft, Inc. v. Cyberlink Corp., 153 F. Supp. 3d 1057, 1065 (N.D. Cal. 2015); Paleteria La Michoacana, Inc. v. Productos Lacteos Tocumbo, S.A. de C.V., 69 F. Supp. 3d 175. 220 (D.D.C. 2014); Chanel, Inc. v. Makarczyk, 110 USPQ2d 2013, 2019 (T.T.A.B. 2014) (quoting Coach Servs., Inc. v. Triumph Learning, LLC, 668 F.3d 1356, 101 USPQ2d 1713, 1725 (Fed. Cir. 2012)); Crazy Horse Memorial Found. v. Spencer, 2014 TTAB LEXIS 83, at *63 (T.T.A.B. Feb. 26, 2014) (non-precedential); It’s a 10, Inc. v. Beauty Elite Grp., Inc., 110 USPQ2d 1116, 1125 (S.D. Fla. Dec. 23, 2013); Plumeus, Inc. v. Intersog LLC, 2013 WL 5609331, at *2, 2013 BL 282809 (N.D. Ill. Oct. 11, 2013) (pleadings did not show that the mark was a household word).</w:t>
      </w:r>
    </w:p>
    <w:p w14:paraId="2901AF63" w14:textId="77777777" w:rsidR="003C5CBB" w:rsidRDefault="003C5CBB" w:rsidP="00AA2FE1">
      <w:pPr>
        <w:pStyle w:val="footnote"/>
      </w:pPr>
    </w:p>
  </w:footnote>
  <w:footnote w:id="21">
    <w:p w14:paraId="17990DCA" w14:textId="29BDD791" w:rsidR="003C5CBB" w:rsidRPr="00517775" w:rsidRDefault="003C5CBB" w:rsidP="003C5CBB">
      <w:pPr>
        <w:pStyle w:val="FootnoteText"/>
      </w:pPr>
      <w:r w:rsidRPr="003C5CBB">
        <w:rPr>
          <w:vertAlign w:val="superscript"/>
        </w:rPr>
        <w:footnoteRef/>
      </w:r>
      <w:r w:rsidRPr="003C5CBB">
        <w:t xml:space="preserve">The Lanham Act does not preempt most state dilution claims. </w:t>
      </w:r>
      <w:r w:rsidRPr="003C5CBB">
        <w:rPr>
          <w:i/>
        </w:rPr>
        <w:t>See</w:t>
      </w:r>
      <w:r w:rsidRPr="003C5CBB">
        <w:t xml:space="preserve"> 15 U.S.C. §1125(c)(6). For a discussion of preemption of dilution claims by the patent and copyright laws, see Chapter 4, §III.C.2, and Chapter 10, §VI.</w:t>
      </w:r>
    </w:p>
  </w:footnote>
  <w:footnote w:id="22">
    <w:p w14:paraId="0D6052B5" w14:textId="4FFE7F03" w:rsidR="003C5CBB" w:rsidRDefault="003C5CBB" w:rsidP="003C5CBB">
      <w:pPr>
        <w:pStyle w:val="FootnoteText"/>
      </w:pPr>
      <w:r w:rsidRPr="003C5CBB">
        <w:rPr>
          <w:rStyle w:val="FootnoteReference"/>
          <w:rFonts w:eastAsiaTheme="majorEastAsia"/>
        </w:rPr>
        <w:footnoteRef/>
      </w:r>
      <w:r w:rsidRPr="003C5CBB">
        <w:t>H-D USA LLC v. Affliction Holdings LLC, 2020 WL 5913850, at *5, 2020 BL 392131 (C.D. Cal. June 8, 2020).</w:t>
      </w:r>
    </w:p>
  </w:footnote>
  <w:footnote w:id="23">
    <w:p w14:paraId="1424D604" w14:textId="6CE789DA" w:rsidR="003C5CBB" w:rsidRPr="00517775" w:rsidRDefault="003C5CBB" w:rsidP="003C5CBB">
      <w:pPr>
        <w:pStyle w:val="FootnoteText"/>
      </w:pPr>
      <w:r w:rsidRPr="003C5CBB">
        <w:rPr>
          <w:vertAlign w:val="superscript"/>
        </w:rPr>
        <w:footnoteRef/>
      </w:r>
      <w:r w:rsidRPr="003C5CBB">
        <w:rPr>
          <w:i/>
        </w:rPr>
        <w:t>Avery Dennison Corp</w:t>
      </w:r>
      <w:r w:rsidRPr="003C5CBB">
        <w:t xml:space="preserve">., 189 F.3d at 875; </w:t>
      </w:r>
      <w:r w:rsidRPr="003C5CBB">
        <w:rPr>
          <w:i/>
        </w:rPr>
        <w:t>see also</w:t>
      </w:r>
      <w:r w:rsidRPr="003C5CBB">
        <w:t xml:space="preserve"> Toho Co. v. Sears, Roebuck &amp; Co., 645 F.2d 788, 793, 210 USPQ 547 (9th Cir. 1981) (quoting Coffee Dan’s, Inc. v. Coffee Don’s Charcoal Broiler, 305 F. Supp. 1210, 1217 n.18, 163 USPQ 602 (N.D. Cal. 1969) (the court has “regarded the antidilution doctrine with some concern ‘lest it swallow up all competition in the claim of protection against trade name infringement’”)). “Rights in gross” signifies a property interest in a trademark. It would mean that the trademark owner’s protection extends, beyond and apart from the identification of a mark as a source for </w:t>
      </w:r>
      <w:r w:rsidRPr="003C5CBB">
        <w:t>particular goods, to protection against any other use of the mark, regardless of confusion.</w:t>
      </w:r>
    </w:p>
  </w:footnote>
  <w:footnote w:id="24">
    <w:p w14:paraId="40123BA9" w14:textId="74A8188B" w:rsidR="003C5CBB" w:rsidRPr="00517775" w:rsidRDefault="003C5CBB" w:rsidP="003C5CBB">
      <w:pPr>
        <w:pStyle w:val="FootnoteText"/>
      </w:pPr>
      <w:r w:rsidRPr="003C5CBB">
        <w:rPr>
          <w:vertAlign w:val="superscript"/>
        </w:rPr>
        <w:footnoteRef/>
      </w:r>
      <w:r w:rsidRPr="003C5CBB">
        <w:rPr>
          <w:i/>
        </w:rPr>
        <w:t>See</w:t>
      </w:r>
      <w:r w:rsidRPr="003C5CBB">
        <w:t xml:space="preserve"> New World Sols., Inc. v. NameMedia, Inc., 150 F. Supp. 3d 287, 319 (S.D.N.Y. 2015) (“fame is the key ingredient” in a dilution claim) (quoting Savin Corp. v. Savin Grp., 391 F.3d 439, 449 (2d Cir. 2004)); Board of Regents, the Univ. of Texas Sys. v. KST Elec., Ltd., 550 F. Supp. 2d 657, 678 (W.D. Tex. 2008) (“One of the central revisions of the TDRA was to make it more difficult to get the ‘rights in gross’ that a famous mark is entitled to.”); </w:t>
      </w:r>
      <w:r w:rsidRPr="003C5CBB">
        <w:rPr>
          <w:i/>
        </w:rPr>
        <w:t>Toho</w:t>
      </w:r>
      <w:r w:rsidRPr="003C5CBB">
        <w:t xml:space="preserve">, 645 F.2d at 793. </w:t>
      </w:r>
      <w:r w:rsidRPr="003C5CBB">
        <w:rPr>
          <w:i/>
        </w:rPr>
        <w:t>See also</w:t>
      </w:r>
      <w:r w:rsidRPr="003C5CBB">
        <w:t xml:space="preserve"> </w:t>
      </w:r>
      <w:r w:rsidRPr="003C5CBB">
        <w:rPr>
          <w:smallCaps/>
        </w:rPr>
        <w:t>H.R. Rep. No</w:t>
      </w:r>
      <w:r w:rsidRPr="003C5CBB">
        <w:t>. 109-23, at 25 (statement of Rep. Howard Berman) (“Legislation should refrain from expanding the potential of creating rights in perpetuity for trademarks. With these changes [narrowing fame and defining dilution differently] it is our hope that the dilution remedy will be used in the rare circumstance and not as the alternative pleading.”).</w:t>
      </w:r>
    </w:p>
  </w:footnote>
  <w:footnote w:id="25">
    <w:p w14:paraId="536B2F28" w14:textId="6061BB3E" w:rsidR="003C5CBB" w:rsidRPr="00517775" w:rsidRDefault="003C5CBB" w:rsidP="003C5CBB">
      <w:pPr>
        <w:pStyle w:val="FootnoteText"/>
      </w:pPr>
      <w:r w:rsidRPr="003C5CBB">
        <w:rPr>
          <w:vertAlign w:val="superscript"/>
        </w:rPr>
        <w:footnoteRef/>
      </w:r>
      <w:r w:rsidRPr="003C5CBB">
        <w:rPr>
          <w:i/>
        </w:rPr>
        <w:t xml:space="preserve">See </w:t>
      </w:r>
      <w:r w:rsidRPr="003C5CBB">
        <w:t>I.P. Lund Trading ApS v. Kohler Co., 163 F.3d 27, 46, 49 USPQ2d 1225 (1st Cir. 1998) (“[C]ourts should be discriminating and selective in categorizing marks as famous.”).</w:t>
      </w:r>
    </w:p>
  </w:footnote>
  <w:footnote w:id="26">
    <w:p w14:paraId="597170A7" w14:textId="15317DFC"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Green v. Fornario, 486 F.3d 100, 105, 82 USPQ2d 1681 (3d Cir. 2007) (describing fame as “a rigorous standard, as it extends protection only to highly distinctive marks that are well-known throughout the country”); Lewis &amp; Clark Outdoors, Inc. v. L.C. Ind., Inc., 2009 U.S. Dist. LEXIS 130621, at *19 (W.D. Ark. July 22, 2009); adidas Am., Inc. v. Payless Shoesource, Inc., 546 F. Supp. 2d 1029, 1062–63 (D. Or. 2008); Vista India v. Raaga, LLC, 501 F. Supp. 2d 605, 623–24 (D.N.J. 2007).</w:t>
      </w:r>
    </w:p>
  </w:footnote>
  <w:footnote w:id="27">
    <w:p w14:paraId="1A26B63F" w14:textId="6FC27624" w:rsidR="003C5CBB" w:rsidRPr="00517775" w:rsidRDefault="003C5CBB" w:rsidP="003C5CBB">
      <w:pPr>
        <w:pStyle w:val="FootnoteText"/>
      </w:pPr>
      <w:r w:rsidRPr="003C5CBB">
        <w:rPr>
          <w:vertAlign w:val="superscript"/>
        </w:rPr>
        <w:footnoteRef/>
      </w:r>
      <w:r w:rsidRPr="003C5CBB">
        <w:t xml:space="preserve">Ringling Bros.-Barnum &amp; Bailey Combined Shows, Inc. v. Utah Div. of Travel Dev., 170 F.3d 449, 451, 50 USPQ2d 1065 (4th Cir.), </w:t>
      </w:r>
      <w:r w:rsidRPr="003C5CBB">
        <w:rPr>
          <w:i/>
        </w:rPr>
        <w:t>cert</w:t>
      </w:r>
      <w:r w:rsidRPr="003C5CBB">
        <w:t xml:space="preserve">. </w:t>
      </w:r>
      <w:r w:rsidRPr="003C5CBB">
        <w:rPr>
          <w:i/>
        </w:rPr>
        <w:t>denied</w:t>
      </w:r>
      <w:r w:rsidRPr="003C5CBB">
        <w:t xml:space="preserve">, 528 U.S. 923 (1999); Hasbro, Inc. v. Clue Computing, Inc., 66 F. Supp. 2d 117, 130, 52 USPQ2d 1402 (D. Mass. 1999), </w:t>
      </w:r>
      <w:r w:rsidRPr="003C5CBB">
        <w:rPr>
          <w:i/>
        </w:rPr>
        <w:t>aff’d</w:t>
      </w:r>
      <w:r w:rsidRPr="003C5CBB">
        <w:t xml:space="preserve">, 232 F.3d 1, 56 USPQ2d 1766 (1st Cir. 2000); </w:t>
      </w:r>
      <w:r w:rsidRPr="003C5CBB">
        <w:rPr>
          <w:i/>
        </w:rPr>
        <w:t>see</w:t>
      </w:r>
      <w:r w:rsidRPr="003C5CBB">
        <w:t xml:space="preserve"> David S. Welkowitz, </w:t>
      </w:r>
      <w:r w:rsidRPr="003C5CBB">
        <w:rPr>
          <w:i/>
        </w:rPr>
        <w:t>Famous Marks Under the TDRA</w:t>
      </w:r>
      <w:r w:rsidRPr="003C5CBB">
        <w:t xml:space="preserve">, 99 </w:t>
      </w:r>
      <w:r w:rsidRPr="003C5CBB">
        <w:rPr>
          <w:smallCaps/>
        </w:rPr>
        <w:t>Trademark Rep</w:t>
      </w:r>
      <w:r w:rsidRPr="003C5CBB">
        <w:t xml:space="preserve">. 983, 1001–02 (2009). The TDRA attempted to regularize the analysis of blurring by adding six factors to guide the analysis. Lanham Act §43(c)(2)(B)(i)–(vi), 15 U.S.C. §1125(c)(2)(B)(i)–(vi). However, it is not clear whether this will alleviate disparities. </w:t>
      </w:r>
      <w:r w:rsidRPr="003C5CBB">
        <w:rPr>
          <w:i/>
        </w:rPr>
        <w:t>See</w:t>
      </w:r>
      <w:r w:rsidRPr="003C5CBB">
        <w:t xml:space="preserve"> Chapter 9.</w:t>
      </w:r>
    </w:p>
  </w:footnote>
  <w:footnote w:id="28">
    <w:p w14:paraId="24F7B070" w14:textId="22201F8A" w:rsidR="003C5CBB" w:rsidRPr="00517775" w:rsidRDefault="003C5CBB" w:rsidP="003C5CBB">
      <w:pPr>
        <w:pStyle w:val="FootnoteText"/>
      </w:pPr>
      <w:r w:rsidRPr="003C5CBB">
        <w:rPr>
          <w:vertAlign w:val="superscript"/>
        </w:rPr>
        <w:footnoteRef/>
      </w:r>
      <w:r w:rsidRPr="003C5CBB">
        <w:t xml:space="preserve">Prior to the TDRA, courts varied significantly in their approaches to dilution. </w:t>
      </w:r>
      <w:r w:rsidRPr="003C5CBB">
        <w:rPr>
          <w:i/>
        </w:rPr>
        <w:t>See</w:t>
      </w:r>
      <w:r w:rsidRPr="003C5CBB">
        <w:t xml:space="preserve"> Chapter 9, §II.D.3. Even after the TDRA, the blurring factors are so context driven that one would expect a fair degree of disparity, just as there is with infringement analysis.</w:t>
      </w:r>
    </w:p>
  </w:footnote>
  <w:footnote w:id="29">
    <w:p w14:paraId="6076DF6B" w14:textId="1004AC7B" w:rsidR="003C5CBB" w:rsidRPr="003C5CBB" w:rsidRDefault="003C5CBB" w:rsidP="003C5CBB">
      <w:pPr>
        <w:pStyle w:val="FootnoteText"/>
      </w:pPr>
      <w:r w:rsidRPr="003C5CBB">
        <w:rPr>
          <w:vertAlign w:val="superscript"/>
        </w:rPr>
        <w:footnoteRef/>
      </w:r>
      <w:r w:rsidRPr="003C5CBB">
        <w:rPr>
          <w:i/>
        </w:rPr>
        <w:t>See</w:t>
      </w:r>
      <w:r w:rsidRPr="003C5CBB">
        <w:t xml:space="preserve"> Chapter 2, §I.A. The precise contours of eligibility vary from state to state. </w:t>
      </w:r>
      <w:r w:rsidRPr="003C5CBB">
        <w:rPr>
          <w:i/>
        </w:rPr>
        <w:t>Id</w:t>
      </w:r>
      <w:r w:rsidRPr="003C5CBB">
        <w:t>.</w:t>
      </w:r>
    </w:p>
    <w:p w14:paraId="4B65FB37" w14:textId="77777777" w:rsidR="003C5CBB" w:rsidRPr="00517775" w:rsidRDefault="003C5CBB" w:rsidP="00AF29FC">
      <w:pPr>
        <w:pStyle w:val="footnote"/>
      </w:pPr>
    </w:p>
  </w:footnote>
  <w:footnote w:id="30">
    <w:p w14:paraId="2F418317" w14:textId="735F8905" w:rsidR="003C5CBB" w:rsidRPr="00517775" w:rsidRDefault="003C5CBB" w:rsidP="003C5CBB">
      <w:pPr>
        <w:pStyle w:val="FootnoteText"/>
      </w:pPr>
      <w:r w:rsidRPr="003C5CBB">
        <w:rPr>
          <w:vertAlign w:val="superscript"/>
        </w:rPr>
        <w:footnoteRef/>
      </w:r>
      <w:r w:rsidRPr="003C5CBB">
        <w:t>Lanham Act §43(c)(1), 15 U.S.C. §1125(c)(1). This was not the original language of the FTDA. Prior to the TDRA, the statute’s operative language limited its protection to the owner of a “famous” mark. Later in the same paragraph, the statute listed eight factors relevant to determining whether the mark is “distinctive and famous.” The TDRA eliminated the “distinctive and famous” language (changing it to a “famous mark that is distinctive”</w:t>
      </w:r>
      <w:r w:rsidRPr="003C5CBB">
        <w:t>), and replaced the eight factors with four factors.</w:t>
      </w:r>
    </w:p>
  </w:footnote>
  <w:footnote w:id="31">
    <w:p w14:paraId="5BA65E73" w14:textId="14AD54B8" w:rsidR="003C5CBB" w:rsidRPr="00517775" w:rsidRDefault="003C5CBB" w:rsidP="003C5CBB">
      <w:pPr>
        <w:pStyle w:val="FootnoteText"/>
      </w:pPr>
      <w:r w:rsidRPr="003C5CBB">
        <w:rPr>
          <w:vertAlign w:val="superscript"/>
        </w:rPr>
        <w:footnoteRef/>
      </w:r>
      <w:r w:rsidRPr="003C5CBB">
        <w:t xml:space="preserve">Avery Dennison Corp. v. Sumpton, 189 F.3d 868, 875, 51 USPQ2d 1801 (9th Cir. 1999); Nabisco, Inc. v. PF Brands, Inc., 191 F.3d 208, 216, 51 USPQ2d 1882 (2d Cir. 1999); I.P. Lund Trading ApS v. Kohler Co., 163 F.3d 27, 47, 49 USPQ2d 1225 (1st Cir. 1998); Vista India v. Raaga, LLC, 501 F. Supp. 2d 605, 623–24 (D.N.J. 2007); Carnival Corp. v. SeaEscape Casino Cruises, Inc., 74 F. Supp. 2d 1261, 1269, 52 USPQ2d 1920 (S.D. Fla. 1999); </w:t>
      </w:r>
      <w:r w:rsidRPr="003C5CBB">
        <w:rPr>
          <w:i/>
        </w:rPr>
        <w:t>Hasbro</w:t>
      </w:r>
      <w:r w:rsidRPr="003C5CBB">
        <w:t>,</w:t>
      </w:r>
      <w:r w:rsidRPr="003C5CBB">
        <w:rPr>
          <w:i/>
        </w:rPr>
        <w:t xml:space="preserve"> Inc</w:t>
      </w:r>
      <w:r w:rsidRPr="003C5CBB">
        <w:t xml:space="preserve">., 66 F. Supp. 2d at 131 (citing </w:t>
      </w:r>
      <w:r w:rsidRPr="003C5CBB">
        <w:rPr>
          <w:i/>
        </w:rPr>
        <w:t>Lund</w:t>
      </w:r>
      <w:r w:rsidRPr="003C5CBB">
        <w:t xml:space="preserve">); Michael Caruso &amp; Co. v. Estefan Enters., 994 F. Supp. 1454, 1463 (S.D. Fla.), </w:t>
      </w:r>
      <w:r w:rsidRPr="003C5CBB">
        <w:rPr>
          <w:i/>
        </w:rPr>
        <w:t>aff’d mem</w:t>
      </w:r>
      <w:r w:rsidRPr="003C5CBB">
        <w:t xml:space="preserve">., 166 F.3d 353 (11th Cir. 1998); Toro Co. v. ToroHead, Inc., 61 USPQ2d 1164, 1176 (T.T.A.B. 2001); </w:t>
      </w:r>
      <w:r w:rsidRPr="003C5CBB">
        <w:rPr>
          <w:i/>
        </w:rPr>
        <w:t>see</w:t>
      </w:r>
      <w:r w:rsidRPr="003C5CBB">
        <w:t xml:space="preserve"> TCPIP Holding Co. v. Haar Commc’ns, Inc., 244 F.3d 88, 99, 57 USPQ2d 1969 (2d Cir. 2001) (requiring a “high degree of fame”). </w:t>
      </w:r>
      <w:r w:rsidRPr="003C5CBB">
        <w:rPr>
          <w:i/>
        </w:rPr>
        <w:t>See also</w:t>
      </w:r>
      <w:r w:rsidRPr="003C5CBB">
        <w:t xml:space="preserve"> Bern Unlimited, Inc. v. Burton Corp., 95 F. Supp. 3d 184, 211 (D. Mass. 2015) (noting that distinctiveness is necessary but not sufficient).</w:t>
      </w:r>
    </w:p>
  </w:footnote>
  <w:footnote w:id="32">
    <w:p w14:paraId="37844B76" w14:textId="6B20AEF4" w:rsidR="003C5CBB" w:rsidRPr="00517775" w:rsidRDefault="003C5CBB" w:rsidP="003C5CBB">
      <w:pPr>
        <w:pStyle w:val="FootnoteText"/>
      </w:pPr>
      <w:r w:rsidRPr="003C5CBB">
        <w:rPr>
          <w:vertAlign w:val="superscript"/>
        </w:rPr>
        <w:footnoteRef/>
      </w:r>
      <w:r w:rsidRPr="003C5CBB">
        <w:t xml:space="preserve">In </w:t>
      </w:r>
      <w:r w:rsidRPr="003C5CBB">
        <w:rPr>
          <w:i/>
        </w:rPr>
        <w:t>TCPIP Holding Co</w:t>
      </w:r>
      <w:r w:rsidRPr="003C5CBB">
        <w:t xml:space="preserve">., 244 F.3d at 96–97, the Second Circuit held that a mark must be both inherently distinctive </w:t>
      </w:r>
      <w:r w:rsidRPr="003C5CBB">
        <w:rPr>
          <w:i/>
        </w:rPr>
        <w:t>and</w:t>
      </w:r>
      <w:r w:rsidRPr="003C5CBB">
        <w:t xml:space="preserve"> have substantial acquired distinctiveness to be eligible for dilution. However, the TDRA, which was enacted in 2006, changed the original language of the FTDA, making it clear that inherent distinctiveness is not a prerequisite for eligibility. On the other hand, inherent distinctiveness, or conceptual strength, may enhance the likelihood of dilution of a famous mark by a similar mark. </w:t>
      </w:r>
      <w:r w:rsidRPr="003C5CBB">
        <w:rPr>
          <w:i/>
        </w:rPr>
        <w:t>See</w:t>
      </w:r>
      <w:r w:rsidRPr="003C5CBB">
        <w:t xml:space="preserve"> National Pork Board v. Supreme Lobster and Seafood Co., 96 USPQ2d 1479, 1497 (T.T.A.B. 2010).</w:t>
      </w:r>
    </w:p>
  </w:footnote>
  <w:footnote w:id="33">
    <w:p w14:paraId="236EFE67" w14:textId="64AD753C" w:rsidR="003C5CBB" w:rsidRPr="00517775" w:rsidRDefault="003C5CBB" w:rsidP="003C5CBB">
      <w:pPr>
        <w:pStyle w:val="FootnoteText"/>
      </w:pPr>
      <w:r w:rsidRPr="003C5CBB">
        <w:rPr>
          <w:vertAlign w:val="superscript"/>
        </w:rPr>
        <w:footnoteRef/>
      </w:r>
      <w:r w:rsidRPr="003C5CBB">
        <w:rPr>
          <w:i/>
        </w:rPr>
        <w:t>See</w:t>
      </w:r>
      <w:r w:rsidRPr="003C5CBB">
        <w:t xml:space="preserve"> </w:t>
      </w:r>
      <w:r w:rsidRPr="003C5CBB">
        <w:rPr>
          <w:i/>
        </w:rPr>
        <w:t>TCPIP Holding Co</w:t>
      </w:r>
      <w:r w:rsidRPr="003C5CBB">
        <w:t>., 244 F.3d at 97. Indeed, “[t]he extent of actual recognition of the mark” is a separate factor in determining fame. Lanham Act §43(c)(2)(A)(iii), 15 U.S.C. §1125(c)(2)(A)(iii).</w:t>
      </w:r>
    </w:p>
  </w:footnote>
  <w:footnote w:id="34">
    <w:p w14:paraId="1E054E2D" w14:textId="05D3F741" w:rsidR="003C5CBB" w:rsidRPr="00517775" w:rsidRDefault="003C5CBB" w:rsidP="003C5CBB">
      <w:pPr>
        <w:pStyle w:val="FootnoteText"/>
      </w:pPr>
      <w:r w:rsidRPr="003C5CBB">
        <w:rPr>
          <w:vertAlign w:val="superscript"/>
        </w:rPr>
        <w:footnoteRef/>
      </w:r>
      <w:r w:rsidRPr="003C5CBB">
        <w:rPr>
          <w:i/>
        </w:rPr>
        <w:t>I</w:t>
      </w:r>
      <w:r w:rsidRPr="003C5CBB">
        <w:t>.</w:t>
      </w:r>
      <w:r w:rsidRPr="003C5CBB">
        <w:rPr>
          <w:i/>
        </w:rPr>
        <w:t>P</w:t>
      </w:r>
      <w:r w:rsidRPr="003C5CBB">
        <w:t xml:space="preserve">. </w:t>
      </w:r>
      <w:r w:rsidRPr="003C5CBB">
        <w:rPr>
          <w:i/>
        </w:rPr>
        <w:t>Lund</w:t>
      </w:r>
      <w:r w:rsidRPr="003C5CBB">
        <w:t xml:space="preserve">, 163 F.3d at 46; </w:t>
      </w:r>
      <w:r w:rsidRPr="003C5CBB">
        <w:rPr>
          <w:i/>
        </w:rPr>
        <w:t>Hasbro</w:t>
      </w:r>
      <w:r w:rsidRPr="003C5CBB">
        <w:t>,</w:t>
      </w:r>
      <w:r w:rsidRPr="003C5CBB">
        <w:rPr>
          <w:i/>
        </w:rPr>
        <w:t xml:space="preserve"> Inc</w:t>
      </w:r>
      <w:r w:rsidRPr="003C5CBB">
        <w:t xml:space="preserve">., 66 F. Supp. 2d at 131; </w:t>
      </w:r>
      <w:r w:rsidRPr="003C5CBB">
        <w:rPr>
          <w:i/>
        </w:rPr>
        <w:t>Vista India</w:t>
      </w:r>
      <w:r w:rsidRPr="003C5CBB">
        <w:t>, 501 F. Supp. 2d at 623–24; Syndicate Sales, Inc. v. Hampshire Paper Corp., 2000 WL 1428665, at *15 (S.D. Ind. Aug. 30,</w:t>
      </w:r>
      <w:r w:rsidRPr="003C5CBB">
        <w:rPr>
          <w:b/>
        </w:rPr>
        <w:t xml:space="preserve"> </w:t>
      </w:r>
      <w:r w:rsidRPr="003C5CBB">
        <w:t xml:space="preserve">2000) (citing “heightened fame standard”); </w:t>
      </w:r>
      <w:r w:rsidRPr="003C5CBB">
        <w:rPr>
          <w:i/>
        </w:rPr>
        <w:t>see TCPIP Holding Co</w:t>
      </w:r>
      <w:r w:rsidRPr="003C5CBB">
        <w:t>., 244 F.3d at 99.</w:t>
      </w:r>
    </w:p>
  </w:footnote>
  <w:footnote w:id="35">
    <w:p w14:paraId="676DC162" w14:textId="139774FD" w:rsidR="003C5CBB" w:rsidRPr="00366F48" w:rsidRDefault="003C5CBB" w:rsidP="003C5CBB">
      <w:pPr>
        <w:pStyle w:val="FootnoteText"/>
        <w:rPr>
          <w:lang w:val="pt-BR"/>
        </w:rPr>
      </w:pPr>
      <w:r w:rsidRPr="003C5CBB">
        <w:rPr>
          <w:vertAlign w:val="superscript"/>
        </w:rPr>
        <w:footnoteRef/>
      </w:r>
      <w:r w:rsidRPr="003C5CBB">
        <w:t>Lanham Act §43(c)(2)(A), 15 U.S.C. §1125(c)(2)(A).</w:t>
      </w:r>
    </w:p>
  </w:footnote>
  <w:footnote w:id="36">
    <w:p w14:paraId="0F3493DE" w14:textId="0E1AA83B" w:rsidR="003C5CBB" w:rsidRPr="00366F48" w:rsidRDefault="003C5CBB" w:rsidP="003C5CBB">
      <w:pPr>
        <w:pStyle w:val="FootnoteText"/>
        <w:rPr>
          <w:lang w:val="pt-BR"/>
        </w:rPr>
      </w:pPr>
      <w:r w:rsidRPr="003C5CBB">
        <w:rPr>
          <w:vertAlign w:val="superscript"/>
        </w:rPr>
        <w:footnoteRef/>
      </w:r>
      <w:r w:rsidRPr="003C5CBB">
        <w:rPr>
          <w:i/>
        </w:rPr>
        <w:t>Vista India</w:t>
      </w:r>
      <w:r w:rsidRPr="003C5CBB">
        <w:t>, 501 F. Supp. 2d at 623–24.</w:t>
      </w:r>
    </w:p>
  </w:footnote>
  <w:footnote w:id="37">
    <w:p w14:paraId="7EF8F938" w14:textId="123B47C7" w:rsidR="003C5CBB" w:rsidRPr="00366F48" w:rsidRDefault="003C5CBB" w:rsidP="003C5CBB">
      <w:pPr>
        <w:pStyle w:val="FootnoteText"/>
        <w:rPr>
          <w:lang w:val="pt-BR"/>
        </w:rPr>
      </w:pPr>
      <w:r w:rsidRPr="003C5CBB">
        <w:rPr>
          <w:vertAlign w:val="superscript"/>
        </w:rPr>
        <w:footnoteRef/>
      </w:r>
      <w:r w:rsidRPr="003C5CBB">
        <w:rPr>
          <w:i/>
        </w:rPr>
        <w:t>USTA Report</w:t>
      </w:r>
      <w:r w:rsidRPr="003C5CBB">
        <w:t xml:space="preserve">, 77 </w:t>
      </w:r>
      <w:r w:rsidRPr="003C5CBB">
        <w:rPr>
          <w:smallCaps/>
        </w:rPr>
        <w:t xml:space="preserve">Trademark Rep. </w:t>
      </w:r>
      <w:r w:rsidRPr="003C5CBB">
        <w:t>375, 461 (1987).</w:t>
      </w:r>
    </w:p>
  </w:footnote>
  <w:footnote w:id="38">
    <w:p w14:paraId="276CB2A8" w14:textId="6D44626B"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Clinique Labs., Inc. v. Dep Corp., 945 F. Supp. 547, 561 (S.D.N.Y. 1996); Panavision Int’l v. Toeppen, 945 F. Supp. 1296, 1301, 46 USPQ2d 1511 (C.D. Cal. 1996) (stating dilution covers “distinctive” </w:t>
      </w:r>
      <w:r w:rsidRPr="003C5CBB">
        <w:rPr>
          <w:i/>
        </w:rPr>
        <w:t>or</w:t>
      </w:r>
      <w:r w:rsidRPr="003C5CBB">
        <w:t xml:space="preserve"> “famous” marks), </w:t>
      </w:r>
      <w:r w:rsidRPr="003C5CBB">
        <w:rPr>
          <w:i/>
        </w:rPr>
        <w:t>aff’d</w:t>
      </w:r>
      <w:r w:rsidRPr="003C5CBB">
        <w:t xml:space="preserve">, 141 F.3d 1316, 46 USPQ2d 1511 (9th Cir. 1998); </w:t>
      </w:r>
      <w:r w:rsidRPr="003C5CBB">
        <w:rPr>
          <w:i/>
        </w:rPr>
        <w:t>see</w:t>
      </w:r>
      <w:r w:rsidRPr="003C5CBB">
        <w:t xml:space="preserve"> Brown v. It’s Entm’t, Inc., 34 F. Supp. 2d 854, 859, 49 USPQ2d 1939 (E.D.N.Y. 1999) (same, although not clear whether discussing state or federal law); </w:t>
      </w:r>
      <w:r w:rsidRPr="003C5CBB">
        <w:rPr>
          <w:i/>
        </w:rPr>
        <w:t>see</w:t>
      </w:r>
      <w:r w:rsidRPr="003C5CBB">
        <w:t xml:space="preserve"> </w:t>
      </w:r>
      <w:r w:rsidRPr="003C5CBB">
        <w:rPr>
          <w:i/>
        </w:rPr>
        <w:t xml:space="preserve">also </w:t>
      </w:r>
      <w:r w:rsidRPr="003C5CBB">
        <w:t xml:space="preserve">Nissan Motor Co., Ltd. v. Nissan Computer Corp., 2007 U.S. Dist. LEXIS 90487, at *10–11, 22 (C.D. Cal. Sept. 20, 2007) (noting that the Nissan mark largely, though not exclusively, points to autos); </w:t>
      </w:r>
      <w:r w:rsidRPr="003C5CBB">
        <w:rPr>
          <w:i/>
        </w:rPr>
        <w:t>cf</w:t>
      </w:r>
      <w:r w:rsidRPr="003C5CBB">
        <w:t>. Top Tobacco, LP v. North Atl. Operating Co., 509 F.3d 380, 383, 85 USPQ2d 1251 (7th Cir. 2007) (the word Top is used on so many products that it would hardly be famous for this one).</w:t>
      </w:r>
    </w:p>
  </w:footnote>
  <w:footnote w:id="39">
    <w:p w14:paraId="12018FB7" w14:textId="2484D51F" w:rsidR="003C5CBB" w:rsidRPr="00517775" w:rsidRDefault="003C5CBB" w:rsidP="003C5CBB">
      <w:pPr>
        <w:pStyle w:val="FootnoteText"/>
      </w:pPr>
      <w:r w:rsidRPr="003C5CBB">
        <w:rPr>
          <w:vertAlign w:val="superscript"/>
        </w:rPr>
        <w:footnoteRef/>
      </w:r>
      <w:r w:rsidRPr="003C5CBB">
        <w:rPr>
          <w:i/>
        </w:rPr>
        <w:t>Clinique Labs</w:t>
      </w:r>
      <w:r w:rsidRPr="003C5CBB">
        <w:t xml:space="preserve">., 945 F. Supp. at 561 (stating that one element of a claim of dilution is “ownership of a </w:t>
      </w:r>
      <w:r w:rsidRPr="003C5CBB">
        <w:rPr>
          <w:i/>
        </w:rPr>
        <w:t>distinctive</w:t>
      </w:r>
      <w:r w:rsidRPr="003C5CBB">
        <w:t xml:space="preserve"> mark”) (emphasis added).</w:t>
      </w:r>
    </w:p>
  </w:footnote>
  <w:footnote w:id="40">
    <w:p w14:paraId="04147BC0" w14:textId="073D6B26" w:rsidR="003C5CBB" w:rsidRPr="00517775" w:rsidRDefault="003C5CBB" w:rsidP="003C5CBB">
      <w:pPr>
        <w:pStyle w:val="FootnoteText"/>
      </w:pPr>
      <w:r w:rsidRPr="003C5CBB">
        <w:rPr>
          <w:vertAlign w:val="superscript"/>
        </w:rPr>
        <w:footnoteRef/>
      </w:r>
      <w:r w:rsidRPr="003C5CBB">
        <w:t xml:space="preserve">The Ninth Circuit held that California’s original dilution statute, which was patterned after the 1964 Model State Trademark Bill, protected only famous marks. Avery Dennison Corp. v. Sumpton, 189 F.3d 868, 875–76, 51 USPQ2d 1801 (9th Cir. 1999). (That statute has since been replaced with one expressly requiring a famous mark.) The original Minnesota statute, also since replaced, required a mark to be “well known or famous.” </w:t>
      </w:r>
      <w:r w:rsidRPr="003C5CBB">
        <w:rPr>
          <w:smallCaps/>
        </w:rPr>
        <w:t xml:space="preserve">Minn. Stat. Ann. </w:t>
      </w:r>
      <w:r w:rsidRPr="003C5CBB">
        <w:t xml:space="preserve">§325D.165(2) (West 1995) (repealed 1998). After the passage of the FTDA, </w:t>
      </w:r>
      <w:r w:rsidRPr="003C5CBB">
        <w:t xml:space="preserve">a number of states enacted dilution laws patterned after the FTDA. </w:t>
      </w:r>
      <w:r w:rsidRPr="003C5CBB">
        <w:rPr>
          <w:i/>
        </w:rPr>
        <w:t>See</w:t>
      </w:r>
      <w:r w:rsidRPr="003C5CBB">
        <w:t xml:space="preserve"> Chapter 1, §II.A. Those statutes generally require a mark to be “famous in [the] state.” </w:t>
      </w:r>
      <w:r w:rsidRPr="003C5CBB">
        <w:rPr>
          <w:i/>
        </w:rPr>
        <w:t xml:space="preserve">See </w:t>
      </w:r>
      <w:r w:rsidRPr="003C5CBB">
        <w:t>Chapter 2.</w:t>
      </w:r>
    </w:p>
  </w:footnote>
  <w:footnote w:id="41">
    <w:p w14:paraId="769B624C" w14:textId="4985C1E7"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Sally Gee, Inc. v. Myra Hogan, Inc., 699 F.2d 621, 625, 217 USPQ 658 (2d Cir. 1983) (New York law); Sunmark, Inc. v. Ocean Spray Cranberries, Inc., 64 F.3d 1055, 1061, 36 USPQ2d 1046 (7th Cir. 1995) (Illinois law requires “strong distinctive marks with widespread recognition”); Greenpoint Fin. Corp. v. Sperry &amp; Hutchinson Co., 116 F. Supp. 2d 405, 413 (S.D.N.Y. 2000) (New York law); Great S. Bank v. First S. Bank, 625 So.2d 463, 470, 30 USPQ2d 1522 (Fla. 1993) (“highly distinctive”); Allied Maint. Corp. v. Allied Mech. Trades, Inc., 42 N.Y.2d 538, 369 N.E.2d 1162, 1166, 198 USPQ 418 (1977). (</w:t>
      </w:r>
      <w:r w:rsidRPr="003C5CBB">
        <w:rPr>
          <w:i/>
        </w:rPr>
        <w:t>Note</w:t>
      </w:r>
      <w:r w:rsidRPr="003C5CBB">
        <w:t>: both Florida and Illinois have since replaced their statutes with ones requiring a famous mark.)</w:t>
      </w:r>
    </w:p>
  </w:footnote>
  <w:footnote w:id="42">
    <w:p w14:paraId="7367C5C2" w14:textId="15930263" w:rsidR="003C5CBB" w:rsidRPr="00517775" w:rsidRDefault="003C5CBB" w:rsidP="003C5CBB">
      <w:pPr>
        <w:pStyle w:val="FootnoteText"/>
      </w:pPr>
      <w:r w:rsidRPr="003C5CBB">
        <w:rPr>
          <w:vertAlign w:val="superscript"/>
        </w:rPr>
        <w:footnoteRef/>
      </w:r>
      <w:r w:rsidRPr="003C5CBB">
        <w:t>State law standards are discussed in Chapter 2, §I.</w:t>
      </w:r>
    </w:p>
  </w:footnote>
  <w:footnote w:id="43">
    <w:p w14:paraId="364C7C74" w14:textId="2B6C96A2" w:rsidR="003C5CBB" w:rsidRPr="00517775" w:rsidRDefault="003C5CBB" w:rsidP="003C5CBB">
      <w:pPr>
        <w:pStyle w:val="FootnoteText"/>
      </w:pPr>
      <w:r w:rsidRPr="003C5CBB">
        <w:rPr>
          <w:vertAlign w:val="superscript"/>
        </w:rPr>
        <w:footnoteRef/>
      </w:r>
      <w:r w:rsidRPr="003C5CBB">
        <w:rPr>
          <w:i/>
        </w:rPr>
        <w:t>See</w:t>
      </w:r>
      <w:r w:rsidRPr="003C5CBB">
        <w:t xml:space="preserve"> National Baseball Hall of Fame &amp; Museum, Inc. v. All Sports Promotions Grp., Inc., 58 USPQ2d 1114, 1124 (S.D.N.Y. 2001) (asserting a need only for “a distinctive mark” and regarding strength for infringement purposes as sufficient for dilution eligibility); Jeri-Jo Knitwear, Inc. v. Club Italia, Inc., 1999 WL 500146, at *5 (S.D.N.Y. July 15, 1999) (although finding insufficient evidence of fame, the court cited a case decided under New York law as defining fame under the FTDA). There is very little case law interpreting the “famous in this state” language in the newer state statutes.</w:t>
      </w:r>
    </w:p>
  </w:footnote>
  <w:footnote w:id="44">
    <w:p w14:paraId="6F772F83" w14:textId="4089D123" w:rsidR="003C5CBB" w:rsidRPr="00517775" w:rsidRDefault="003C5CBB" w:rsidP="003C5CBB">
      <w:pPr>
        <w:pStyle w:val="FootnoteText"/>
      </w:pPr>
      <w:r w:rsidRPr="003C5CBB">
        <w:rPr>
          <w:vertAlign w:val="superscript"/>
        </w:rPr>
        <w:footnoteRef/>
      </w:r>
      <w:r w:rsidRPr="003C5CBB">
        <w:rPr>
          <w:i/>
        </w:rPr>
        <w:t>See</w:t>
      </w:r>
      <w:r w:rsidRPr="003C5CBB">
        <w:t xml:space="preserve"> </w:t>
      </w:r>
      <w:r w:rsidRPr="003C5CBB">
        <w:rPr>
          <w:i/>
        </w:rPr>
        <w:t>Avery Dennison Corp</w:t>
      </w:r>
      <w:r w:rsidRPr="003C5CBB">
        <w:t xml:space="preserve">., 189 F.3d at 875; Nabisco, Inc. v. PF Brands, Inc., 191 F.3d 208, 216, 51 USPQ2d 1882 (2d Cir. 1999); I.P. Lund Trading ApS v. Kohler Co., 163 F.3d 27, 47, 49 USPQ2d 1225 (1st Cir. 1998); Vista India v. Raaga, LLC, 501 F. Supp. 2d 605, 623–24 (D.N.J. 2007); Carnival Corp. v. SeaEscape Casino Cruises, Inc., 74 F. Supp. 2d 1261, 1269, 52 USPQ2d 1920 (S.D. Fla. 1999); </w:t>
      </w:r>
      <w:r w:rsidRPr="003C5CBB">
        <w:rPr>
          <w:i/>
        </w:rPr>
        <w:t>Hasbro</w:t>
      </w:r>
      <w:r w:rsidRPr="003C5CBB">
        <w:t>,</w:t>
      </w:r>
      <w:r w:rsidRPr="003C5CBB">
        <w:rPr>
          <w:i/>
        </w:rPr>
        <w:t xml:space="preserve"> Inc</w:t>
      </w:r>
      <w:r w:rsidRPr="003C5CBB">
        <w:t xml:space="preserve">., 66 F. Supp. 2d at 131 (citing </w:t>
      </w:r>
      <w:r w:rsidRPr="003C5CBB">
        <w:rPr>
          <w:i/>
        </w:rPr>
        <w:t>Lund</w:t>
      </w:r>
      <w:r w:rsidRPr="003C5CBB">
        <w:t xml:space="preserve">); Michael Caruso &amp; Co. v. Estefan Enters., 994 F. Supp. 1454, 1463 (S.D. Fla.), </w:t>
      </w:r>
      <w:r w:rsidRPr="003C5CBB">
        <w:rPr>
          <w:i/>
        </w:rPr>
        <w:t>aff’d mem</w:t>
      </w:r>
      <w:r w:rsidRPr="003C5CBB">
        <w:t xml:space="preserve">., 166 F.3d 353 (11th Cir. 1998); Toro Co. v. ToroHead, Inc., 61 USPQ2d 1164, 1176 (T.T.A.B. 2001); </w:t>
      </w:r>
      <w:r w:rsidRPr="003C5CBB">
        <w:rPr>
          <w:i/>
        </w:rPr>
        <w:t>see</w:t>
      </w:r>
      <w:r w:rsidRPr="003C5CBB">
        <w:t xml:space="preserve"> TCPIP Holding Co. v. Haar Commc’ns, Inc., 244 F.3d 88, 99, 57 USPQ2d 1969 (2d Cir. 2001) (requiring a “high degree of fame”). See discussion in §II, below.</w:t>
      </w:r>
    </w:p>
  </w:footnote>
  <w:footnote w:id="45">
    <w:p w14:paraId="504377C3" w14:textId="28B37F69" w:rsidR="003C5CBB" w:rsidRPr="00517775" w:rsidRDefault="003C5CBB" w:rsidP="003C5CBB">
      <w:pPr>
        <w:pStyle w:val="FootnoteText"/>
      </w:pPr>
      <w:r w:rsidRPr="003C5CBB">
        <w:rPr>
          <w:vertAlign w:val="superscript"/>
        </w:rPr>
        <w:footnoteRef/>
      </w:r>
      <w:r w:rsidRPr="003C5CBB">
        <w:rPr>
          <w:i/>
        </w:rPr>
        <w:t>See</w:t>
      </w:r>
      <w:r w:rsidRPr="003C5CBB">
        <w:t xml:space="preserve"> Vaudable v. Montmartre, Inc., 20 Misc.2d 757, 193 N.Y.S.2d 332, 123 USPQ 357 (N.Y. Sup. Ct. 1959). Whether such a doctrine exists under the Lanham Act (as opposed to state law) is an issue that has divided the courts. </w:t>
      </w:r>
      <w:r w:rsidRPr="003C5CBB">
        <w:rPr>
          <w:i/>
        </w:rPr>
        <w:t>Compare</w:t>
      </w:r>
      <w:r w:rsidRPr="003C5CBB">
        <w:t xml:space="preserve"> Grupo Gigante S.A. de C.V. v. Dallo &amp; Co., 391 F.3d 1088, 1094, 73 USPQ2d 1258 (9th Cir. 2004) (applying famous marks doctrine), </w:t>
      </w:r>
      <w:r w:rsidRPr="003C5CBB">
        <w:rPr>
          <w:i/>
        </w:rPr>
        <w:t>with</w:t>
      </w:r>
      <w:r w:rsidRPr="003C5CBB">
        <w:t xml:space="preserve"> ITC Ltd. v. Punchgini, Inc., 482 F.3d 135, 156–65, 82 USPQ2d 1414 (2d Cir. 2007) (no famous marks doctrine under Lanham Act; certifies question to state court as to existence of doctrine under New York law). The New York Court of Appeals responded at 9 N.Y.3d 467, 880 N.E.2d 852 (N.Y. 2007) (relief may be available under New York law as misappropriation/unfair competition).</w:t>
      </w:r>
    </w:p>
  </w:footnote>
  <w:footnote w:id="46">
    <w:p w14:paraId="616E4C3B" w14:textId="54BCA83A" w:rsidR="003C5CBB" w:rsidRPr="00517775" w:rsidRDefault="003C5CBB" w:rsidP="003C5CBB">
      <w:pPr>
        <w:pStyle w:val="FootnoteText"/>
      </w:pPr>
      <w:r w:rsidRPr="003C5CBB">
        <w:rPr>
          <w:vertAlign w:val="superscript"/>
        </w:rPr>
        <w:footnoteRef/>
      </w:r>
      <w:r w:rsidRPr="003C5CBB">
        <w:t xml:space="preserve">Empresa Cubana del Tabaco v. Culbro Corp., 70 USPQ2d 1650, 1676–78, 1692 (S.D.N.Y. 2004) (Cohiba found famous under “famous marks” doctrine, but not famous under FTDA), </w:t>
      </w:r>
      <w:r w:rsidRPr="003C5CBB">
        <w:rPr>
          <w:i/>
        </w:rPr>
        <w:t>aff’d in part, rev’d in part on other grounds</w:t>
      </w:r>
      <w:r w:rsidRPr="003C5CBB">
        <w:t xml:space="preserve">, 399 F.3d 462, 73 USPQ2d 1936 (2d Cir. 2005) (court of appeals did not rule on famous marks issue), </w:t>
      </w:r>
      <w:r w:rsidRPr="003C5CBB">
        <w:rPr>
          <w:i/>
        </w:rPr>
        <w:t>cert</w:t>
      </w:r>
      <w:r w:rsidRPr="003C5CBB">
        <w:t xml:space="preserve">. </w:t>
      </w:r>
      <w:r w:rsidRPr="003C5CBB">
        <w:rPr>
          <w:i/>
        </w:rPr>
        <w:t>denied</w:t>
      </w:r>
      <w:r w:rsidRPr="003C5CBB">
        <w:t>, 547 U.S. 1205 (2006).</w:t>
      </w:r>
    </w:p>
  </w:footnote>
  <w:footnote w:id="47">
    <w:p w14:paraId="0976D02D" w14:textId="648E9827" w:rsidR="003C5CBB" w:rsidRPr="003C5CBB" w:rsidRDefault="003C5CBB" w:rsidP="003C5CBB">
      <w:pPr>
        <w:pStyle w:val="FootnoteText"/>
      </w:pPr>
      <w:r w:rsidRPr="003C5CBB">
        <w:rPr>
          <w:vertAlign w:val="superscript"/>
        </w:rPr>
        <w:footnoteRef/>
      </w:r>
      <w:r w:rsidRPr="003C5CBB">
        <w:rPr>
          <w:i/>
        </w:rPr>
        <w:t>Id</w:t>
      </w:r>
      <w:r w:rsidRPr="003C5CBB">
        <w:t>.</w:t>
      </w:r>
    </w:p>
    <w:p w14:paraId="2E1CF65C" w14:textId="77777777" w:rsidR="003C5CBB" w:rsidRPr="00517775" w:rsidRDefault="003C5CBB" w:rsidP="00AF29FC">
      <w:pPr>
        <w:pStyle w:val="footnote"/>
      </w:pPr>
    </w:p>
  </w:footnote>
  <w:footnote w:id="48">
    <w:p w14:paraId="455BCE38" w14:textId="0225E428" w:rsidR="003C5CBB" w:rsidRPr="00517775" w:rsidRDefault="003C5CBB" w:rsidP="003C5CBB">
      <w:pPr>
        <w:pStyle w:val="FootnoteText"/>
      </w:pPr>
      <w:r w:rsidRPr="003C5CBB">
        <w:rPr>
          <w:vertAlign w:val="superscript"/>
        </w:rPr>
        <w:footnoteRef/>
      </w:r>
      <w:r w:rsidRPr="003C5CBB">
        <w:t>Palm Bay Imps., Inc. v. Veuve Clicquot Ponsardin Maison Fondee En 1772, 396 F.3d 1369, 1374–75, 73 USPQ2d 1689 (Fed. Cir. 2005).</w:t>
      </w:r>
    </w:p>
  </w:footnote>
  <w:footnote w:id="49">
    <w:p w14:paraId="182648CF" w14:textId="5C53DF29"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Green v. Fornario, 486 F.3d 100, 105, 82 USPQ2d 1681 (3d Cir. 2007) (describing fame as “a rigorous standard, as it extends protection only to highly distinctive marks that are well-known throughout the country”); Vista India v. Raaga, LLC, 501 F. Supp. 2d 605, 623–24 (D.N.J. 2007); adidas Am., Inc. v. Payless Shoesource, Inc., 546 F. Supp. 2d 1029, 1062–63 (D. Or. 2008). See discussion in §§II, III.A, below.</w:t>
      </w:r>
    </w:p>
  </w:footnote>
  <w:footnote w:id="50">
    <w:p w14:paraId="6FA3DE20" w14:textId="63F4133D" w:rsidR="003C5CBB" w:rsidRPr="00517775" w:rsidRDefault="003C5CBB" w:rsidP="003C5CBB">
      <w:pPr>
        <w:pStyle w:val="FootnoteText"/>
      </w:pPr>
      <w:r w:rsidRPr="003C5CBB">
        <w:rPr>
          <w:vertAlign w:val="superscript"/>
        </w:rPr>
        <w:footnoteRef/>
      </w:r>
      <w:r w:rsidRPr="003C5CBB">
        <w:t>Lanham Act §43(c)(2)(A), 15 U.S.C. §1125(c)(2)(A).</w:t>
      </w:r>
    </w:p>
  </w:footnote>
  <w:footnote w:id="51">
    <w:p w14:paraId="5625F64D" w14:textId="52473720" w:rsidR="003C5CBB" w:rsidRDefault="003C5CBB" w:rsidP="003C5CBB">
      <w:pPr>
        <w:pStyle w:val="FootnoteText"/>
      </w:pPr>
      <w:r w:rsidRPr="003C5CBB">
        <w:rPr>
          <w:rStyle w:val="FootnoteReference"/>
          <w:rFonts w:eastAsiaTheme="majorEastAsia"/>
        </w:rPr>
        <w:footnoteRef/>
      </w:r>
      <w:r w:rsidRPr="003C5CBB">
        <w:t>TiVo Brands LLC v. Tivoli, LLC, 2018 WL 6921323, at *13 (T.T.A.B. Dec. 31, 2018).</w:t>
      </w:r>
    </w:p>
  </w:footnote>
  <w:footnote w:id="52">
    <w:p w14:paraId="73CCBEC5" w14:textId="5A4439B7" w:rsidR="003C5CBB" w:rsidRPr="00517775" w:rsidRDefault="003C5CBB" w:rsidP="003C5CBB">
      <w:pPr>
        <w:pStyle w:val="FootnoteText"/>
      </w:pPr>
      <w:r w:rsidRPr="003C5CBB">
        <w:rPr>
          <w:vertAlign w:val="superscript"/>
        </w:rPr>
        <w:footnoteRef/>
      </w:r>
      <w:r w:rsidRPr="003C5CBB">
        <w:rPr>
          <w:i/>
        </w:rPr>
        <w:t>USTA Report</w:t>
      </w:r>
      <w:r w:rsidRPr="003C5CBB">
        <w:t xml:space="preserve">, 77 </w:t>
      </w:r>
      <w:r w:rsidRPr="003C5CBB">
        <w:rPr>
          <w:smallCaps/>
        </w:rPr>
        <w:t>Trademark Rep</w:t>
      </w:r>
      <w:r w:rsidRPr="003C5CBB">
        <w:t>. 375, 460 (1987).</w:t>
      </w:r>
    </w:p>
  </w:footnote>
  <w:footnote w:id="53">
    <w:p w14:paraId="7E9E836A" w14:textId="4FB6A167" w:rsidR="003C5CBB" w:rsidRPr="00366F48" w:rsidRDefault="003C5CBB" w:rsidP="003C5CBB">
      <w:pPr>
        <w:pStyle w:val="FootnoteText"/>
        <w:rPr>
          <w:lang w:val="pt-BR"/>
        </w:rPr>
      </w:pPr>
      <w:r w:rsidRPr="003C5CBB">
        <w:rPr>
          <w:vertAlign w:val="superscript"/>
        </w:rPr>
        <w:footnoteRef/>
      </w:r>
      <w:r w:rsidRPr="003C5CBB">
        <w:t>The first two guiding factors under the TDRA tell the court to take the geographic extent of advertising and sales into account, but do not say how wide the dissemination of the mark must be to be sufficient. Lanham Act §43(c)(2)(A)(i)–(ii), 15 U.S.C.</w:t>
      </w:r>
      <w:r w:rsidRPr="003C5CBB">
        <w:br/>
        <w:t>§1125(c)(2)(A)(i)–(ii).</w:t>
      </w:r>
    </w:p>
  </w:footnote>
  <w:footnote w:id="54">
    <w:p w14:paraId="5EC2C401" w14:textId="0E1EE1F9" w:rsidR="003C5CBB" w:rsidRPr="00517775" w:rsidRDefault="003C5CBB" w:rsidP="003C5CBB">
      <w:pPr>
        <w:pStyle w:val="FootnoteText"/>
      </w:pPr>
      <w:r w:rsidRPr="003C5CBB">
        <w:rPr>
          <w:vertAlign w:val="superscript"/>
        </w:rPr>
        <w:footnoteRef/>
      </w:r>
      <w:r w:rsidRPr="003C5CBB">
        <w:t>See §V, below.</w:t>
      </w:r>
    </w:p>
  </w:footnote>
  <w:footnote w:id="55">
    <w:p w14:paraId="53C2176A" w14:textId="06670211" w:rsidR="003C5CBB" w:rsidRPr="00517775" w:rsidRDefault="003C5CBB" w:rsidP="003C5CBB">
      <w:pPr>
        <w:pStyle w:val="FootnoteText"/>
      </w:pPr>
      <w:r w:rsidRPr="003C5CBB">
        <w:rPr>
          <w:vertAlign w:val="superscript"/>
        </w:rPr>
        <w:footnoteRef/>
      </w:r>
      <w:r w:rsidRPr="003C5CBB">
        <w:rPr>
          <w:i/>
        </w:rPr>
        <w:t>See</w:t>
      </w:r>
      <w:r w:rsidRPr="003C5CBB">
        <w:t xml:space="preserve"> </w:t>
      </w:r>
      <w:r w:rsidRPr="003C5CBB">
        <w:rPr>
          <w:smallCaps/>
        </w:rPr>
        <w:t xml:space="preserve">H.R. Rep. No. </w:t>
      </w:r>
      <w:r w:rsidRPr="003C5CBB">
        <w:t>109-23, at 25 (Mar. 17, 2005) (statement of Rep. Howard Berman). It should go without saying that this definition also limits the relevant group to people in the United States. That a mark is famous outside of the United States is not sufficient to make it eligible for dilution protection in this country.</w:t>
      </w:r>
    </w:p>
  </w:footnote>
  <w:footnote w:id="56">
    <w:p w14:paraId="424EEFA8" w14:textId="28BB4702" w:rsidR="003C5CBB" w:rsidRPr="00517775" w:rsidRDefault="003C5CBB" w:rsidP="003C5CBB">
      <w:pPr>
        <w:pStyle w:val="FootnoteText"/>
      </w:pPr>
      <w:r w:rsidRPr="003C5CBB">
        <w:rPr>
          <w:vertAlign w:val="superscript"/>
        </w:rPr>
        <w:footnoteRef/>
      </w:r>
      <w:r w:rsidRPr="003C5CBB">
        <w:t>Thane Int’l, Inc. v. Trek Bicycle Corp., 305 F.3d 894, 64 USPQ2d 1564 (9th Cir. 2002).</w:t>
      </w:r>
    </w:p>
  </w:footnote>
  <w:footnote w:id="57">
    <w:p w14:paraId="0F27B498" w14:textId="78915E29" w:rsidR="003C5CBB" w:rsidRPr="00517775" w:rsidRDefault="003C5CBB" w:rsidP="003C5CBB">
      <w:pPr>
        <w:pStyle w:val="FootnoteText"/>
      </w:pPr>
      <w:r w:rsidRPr="003C5CBB">
        <w:rPr>
          <w:vertAlign w:val="superscript"/>
        </w:rPr>
        <w:footnoteRef/>
      </w:r>
      <w:r w:rsidRPr="003C5CBB">
        <w:rPr>
          <w:i/>
        </w:rPr>
        <w:t>See</w:t>
      </w:r>
      <w:r w:rsidRPr="003C5CBB">
        <w:t xml:space="preserve"> Deborah Heart &amp; Lung Ctr. v. Children of the World Found., 99 F. Supp. 2d 481, 492, 55 USPQ2d 1088 (D.N.J. 2000) (Children of the World found to be famous </w:t>
      </w:r>
      <w:r w:rsidRPr="003C5CBB">
        <w:t>in the area of charitable foundations).</w:t>
      </w:r>
    </w:p>
  </w:footnote>
  <w:footnote w:id="58">
    <w:p w14:paraId="424E8C58" w14:textId="67CC7C3B" w:rsidR="003C5CBB" w:rsidRPr="00517775" w:rsidRDefault="003C5CBB" w:rsidP="003C5CBB">
      <w:pPr>
        <w:pStyle w:val="FootnoteText"/>
      </w:pPr>
      <w:r w:rsidRPr="003C5CBB">
        <w:rPr>
          <w:vertAlign w:val="superscript"/>
        </w:rPr>
        <w:footnoteRef/>
      </w:r>
      <w:r w:rsidRPr="003C5CBB">
        <w:t xml:space="preserve">In </w:t>
      </w:r>
      <w:r w:rsidRPr="003C5CBB">
        <w:rPr>
          <w:i/>
        </w:rPr>
        <w:t>Board of Regents, University of Texas System v</w:t>
      </w:r>
      <w:r w:rsidRPr="003C5CBB">
        <w:t xml:space="preserve">. </w:t>
      </w:r>
      <w:r w:rsidRPr="003C5CBB">
        <w:rPr>
          <w:i/>
        </w:rPr>
        <w:t>KST Electric, Ltd</w:t>
      </w:r>
      <w:r w:rsidRPr="003C5CBB">
        <w:t xml:space="preserve">., 550 F. Supp. 2d 657, 679 (W.D. Tex. 2008), the court held that the University of Texas’s “longhorn” logo was not famous because it would be known only to sports fans. In </w:t>
      </w:r>
      <w:r w:rsidRPr="003C5CBB">
        <w:rPr>
          <w:i/>
        </w:rPr>
        <w:t>Coach Servs</w:t>
      </w:r>
      <w:r w:rsidRPr="003C5CBB">
        <w:t>.</w:t>
      </w:r>
      <w:r w:rsidRPr="003C5CBB">
        <w:rPr>
          <w:i/>
        </w:rPr>
        <w:t>, Inc</w:t>
      </w:r>
      <w:r w:rsidRPr="003C5CBB">
        <w:t xml:space="preserve">. </w:t>
      </w:r>
      <w:r w:rsidRPr="003C5CBB">
        <w:rPr>
          <w:i/>
        </w:rPr>
        <w:t>v</w:t>
      </w:r>
      <w:r w:rsidRPr="003C5CBB">
        <w:t xml:space="preserve">. </w:t>
      </w:r>
      <w:r w:rsidRPr="003C5CBB">
        <w:rPr>
          <w:i/>
        </w:rPr>
        <w:t>Triumph Learning, LLC</w:t>
      </w:r>
      <w:r w:rsidRPr="003C5CBB">
        <w:t xml:space="preserve">, 96 USPQ2d 1600, 1611 (T.T.A.B. 2010), </w:t>
      </w:r>
      <w:r w:rsidRPr="003C5CBB">
        <w:rPr>
          <w:i/>
        </w:rPr>
        <w:t>aff’d</w:t>
      </w:r>
      <w:r w:rsidRPr="003C5CBB">
        <w:t>, 668 F.3d 1356, 101 USPQ2d 1713 (Fed. Cir. 2012), the Trademark Trial and Appeal Board (TTAB), in a decision upheld by the Federal Circuit, held that where the record only showed evidence of recognition among a subset of women, the mark was not famous.</w:t>
      </w:r>
    </w:p>
  </w:footnote>
  <w:footnote w:id="59">
    <w:p w14:paraId="6CB5508A" w14:textId="2AC6E49D" w:rsidR="003C5CBB" w:rsidRPr="001F02AB" w:rsidRDefault="003C5CBB" w:rsidP="003C5CBB">
      <w:pPr>
        <w:pStyle w:val="FootnoteText"/>
      </w:pPr>
      <w:r w:rsidRPr="003C5CBB">
        <w:rPr>
          <w:rStyle w:val="FootnoteReference"/>
          <w:rFonts w:eastAsiaTheme="majorEastAsia"/>
        </w:rPr>
        <w:footnoteRef/>
      </w:r>
      <w:r w:rsidRPr="003C5CBB">
        <w:rPr>
          <w:i/>
        </w:rPr>
        <w:t>See</w:t>
      </w:r>
      <w:r w:rsidRPr="003C5CBB">
        <w:t xml:space="preserve"> Easter Unlimited, Inc. v. Rozier, 2021 WL 4409729, at *27, 2021 BL 366138 (E.D.N.Y. Sept. 27, 2021).</w:t>
      </w:r>
    </w:p>
  </w:footnote>
  <w:footnote w:id="60">
    <w:p w14:paraId="23CAC37E" w14:textId="452AA46B" w:rsidR="003C5CBB" w:rsidRPr="00517775" w:rsidRDefault="003C5CBB" w:rsidP="003C5CBB">
      <w:pPr>
        <w:pStyle w:val="FootnoteText"/>
      </w:pPr>
      <w:r w:rsidRPr="003C5CBB">
        <w:rPr>
          <w:vertAlign w:val="superscript"/>
        </w:rPr>
        <w:footnoteRef/>
      </w:r>
      <w:r w:rsidRPr="003C5CBB">
        <w:t>See §II.A, above</w:t>
      </w:r>
      <w:r w:rsidRPr="003C5CBB">
        <w:rPr>
          <w:smallCaps/>
        </w:rPr>
        <w:t xml:space="preserve">. </w:t>
      </w:r>
      <w:r w:rsidRPr="003C5CBB">
        <w:t xml:space="preserve">See Coach Servs., Inc. v. Triumph Learning, LLC, 96 USPQ2d 1600, 1611 (T.T.A.B. 2010), </w:t>
      </w:r>
      <w:r w:rsidRPr="003C5CBB">
        <w:rPr>
          <w:i/>
        </w:rPr>
        <w:t>aff’d</w:t>
      </w:r>
      <w:r w:rsidRPr="003C5CBB">
        <w:t>, 668 F.3d 1356, 102 USPQ2d 1723 (Fed. Cir. 2012) (Coach found not famous; evidence of fame related only to certain groups of women).</w:t>
      </w:r>
    </w:p>
  </w:footnote>
  <w:footnote w:id="61">
    <w:p w14:paraId="12615BC9" w14:textId="6F338A1E" w:rsidR="003C5CBB" w:rsidRPr="00517775" w:rsidRDefault="003C5CBB" w:rsidP="003C5CBB">
      <w:pPr>
        <w:pStyle w:val="FootnoteText"/>
      </w:pPr>
      <w:r w:rsidRPr="003C5CBB">
        <w:rPr>
          <w:vertAlign w:val="superscript"/>
        </w:rPr>
        <w:footnoteRef/>
      </w:r>
      <w:r w:rsidRPr="003C5CBB">
        <w:t>The degree of actual recognition is more direct evidence, provided one measures an appropriate cross-section of the population.</w:t>
      </w:r>
    </w:p>
  </w:footnote>
  <w:footnote w:id="62">
    <w:p w14:paraId="5568B7F9" w14:textId="615131DA" w:rsidR="003C5CBB" w:rsidRPr="00517775" w:rsidRDefault="003C5CBB" w:rsidP="003C5CBB">
      <w:pPr>
        <w:pStyle w:val="FootnoteText"/>
      </w:pPr>
      <w:r w:rsidRPr="003C5CBB">
        <w:rPr>
          <w:vertAlign w:val="superscript"/>
        </w:rPr>
        <w:footnoteRef/>
      </w:r>
      <w:r w:rsidRPr="003C5CBB">
        <w:rPr>
          <w:i/>
        </w:rPr>
        <w:t>See</w:t>
      </w:r>
      <w:r w:rsidRPr="003C5CBB">
        <w:t xml:space="preserve"> Vincent N. Palladino, </w:t>
      </w:r>
      <w:r w:rsidRPr="003C5CBB">
        <w:rPr>
          <w:i/>
        </w:rPr>
        <w:t>Surveying Secondary Meaning</w:t>
      </w:r>
      <w:r w:rsidRPr="003C5CBB">
        <w:t xml:space="preserve">, 84 </w:t>
      </w:r>
      <w:r w:rsidRPr="003C5CBB">
        <w:rPr>
          <w:smallCaps/>
        </w:rPr>
        <w:t xml:space="preserve">Trademark Rep. </w:t>
      </w:r>
      <w:r w:rsidRPr="003C5CBB">
        <w:t xml:space="preserve">155 (1984); </w:t>
      </w:r>
      <w:r w:rsidRPr="003C5CBB">
        <w:rPr>
          <w:i/>
        </w:rPr>
        <w:t>see also</w:t>
      </w:r>
      <w:r w:rsidRPr="003C5CBB">
        <w:t xml:space="preserve"> Adam Omar Shanti, </w:t>
      </w:r>
      <w:r w:rsidRPr="003C5CBB">
        <w:rPr>
          <w:i/>
        </w:rPr>
        <w:t>Measuring Fame: The Use of Empirical Evidence in Dilution Actions</w:t>
      </w:r>
      <w:r w:rsidRPr="003C5CBB">
        <w:t xml:space="preserve">, 5 </w:t>
      </w:r>
      <w:r w:rsidRPr="003C5CBB">
        <w:rPr>
          <w:smallCaps/>
        </w:rPr>
        <w:t xml:space="preserve">Marq. Intell. Prop. L. Rev. </w:t>
      </w:r>
      <w:r w:rsidRPr="003C5CBB">
        <w:t>177 (2001).</w:t>
      </w:r>
    </w:p>
  </w:footnote>
  <w:footnote w:id="63">
    <w:p w14:paraId="19A03227" w14:textId="4B1AF5B9" w:rsidR="003C5CBB" w:rsidRPr="00517775"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 xml:space="preserve">., Avery Dennison Corp. v. Sumpton, 189 F.3d 868, 879, 51 USPQ2d 1801 (9th Cir. 1999); Carnival Corp. v. SeaEscape Casino Cruises, Inc., 74 F. Supp. 2d 1261, 1270, 52 USPQ2d 1920 (S.D. Fla. 1999) (plaintiff’s survey did not “represent the general public”); </w:t>
      </w:r>
      <w:r w:rsidRPr="003C5CBB">
        <w:rPr>
          <w:i/>
        </w:rPr>
        <w:t>see also</w:t>
      </w:r>
      <w:r w:rsidRPr="003C5CBB">
        <w:t xml:space="preserve"> Syndicate Sales, Inc. v. Hampshire Paper Corp., 2000 WL 1428665, at *13 (S.D. Ind. Aug. 30, 2000) (criticizing affidavit evidence).</w:t>
      </w:r>
    </w:p>
  </w:footnote>
  <w:footnote w:id="64">
    <w:p w14:paraId="315BDC55" w14:textId="64519E02" w:rsidR="003C5CBB" w:rsidRPr="00517775" w:rsidRDefault="003C5CBB" w:rsidP="003C5CBB">
      <w:pPr>
        <w:pStyle w:val="FootnoteText"/>
      </w:pPr>
      <w:r w:rsidRPr="003C5CBB">
        <w:rPr>
          <w:vertAlign w:val="superscript"/>
        </w:rPr>
        <w:footnoteRef/>
      </w:r>
      <w:r w:rsidRPr="003C5CBB">
        <w:rPr>
          <w:i/>
        </w:rPr>
        <w:t>See</w:t>
      </w:r>
      <w:r w:rsidRPr="003C5CBB">
        <w:t xml:space="preserve"> Ford Motor Co. v. Lloyd Design Corp., 184 F. Supp. 2d 665, 678, 62 USPQ2d 1109 (E.D. Mich. 2002) (using intentional copying as a factor).</w:t>
      </w:r>
    </w:p>
  </w:footnote>
  <w:footnote w:id="65">
    <w:p w14:paraId="47B84F82" w14:textId="2A27B0D5" w:rsidR="003C5CBB" w:rsidRPr="00F46080" w:rsidRDefault="003C5CBB" w:rsidP="003C5CBB">
      <w:pPr>
        <w:pStyle w:val="FootnoteText"/>
      </w:pPr>
      <w:r w:rsidRPr="003C5CBB">
        <w:rPr>
          <w:rStyle w:val="FootnoteReference"/>
          <w:rFonts w:eastAsiaTheme="majorEastAsia"/>
        </w:rPr>
        <w:footnoteRef/>
      </w:r>
      <w:r w:rsidRPr="003C5CBB">
        <w:rPr>
          <w:i/>
        </w:rPr>
        <w:t>See</w:t>
      </w:r>
      <w:r w:rsidRPr="003C5CBB">
        <w:t xml:space="preserve"> Herman Miller, Inc. v. Belnick, LLC, 2021 WL 2582563, 2021 BL 74443 (N.D. Ga. Jan. 4, 2021) (denying plaintiff’s motion to preclude evidence of third-party use, finding it relevant to the determination of fame of plaintiff’s trade dress).</w:t>
      </w:r>
    </w:p>
  </w:footnote>
  <w:footnote w:id="66">
    <w:p w14:paraId="38088C1B" w14:textId="4FB7A9C1" w:rsidR="003C5CBB" w:rsidRPr="004B0468" w:rsidRDefault="003C5CBB" w:rsidP="003C5CBB">
      <w:pPr>
        <w:pStyle w:val="FootnoteText"/>
      </w:pPr>
      <w:r w:rsidRPr="003C5CBB">
        <w:rPr>
          <w:rStyle w:val="FootnoteReference"/>
          <w:rFonts w:eastAsiaTheme="majorEastAsia"/>
        </w:rPr>
        <w:footnoteRef/>
      </w:r>
      <w:r w:rsidRPr="003C5CBB">
        <w:rPr>
          <w:i/>
        </w:rPr>
        <w:t>See, e.g.</w:t>
      </w:r>
      <w:r w:rsidRPr="003C5CBB">
        <w:t>, Fossil Grp., Inc. v. Angel Seller LLC, 2025 WL 1031062, at *7, 2025 BL 117060 (E.D.N.Y. Apr. 7, 2025) (finding “MK” mark (for Michael Kors) famous on summary judgment motion citing “hundreds of millions of dollars” spent on advertising); Abbott Labs. v. Revitalyte LLC, 744 F. Supp. 3d 894, 902 (D. Minn. 2024) (denying motion for judgment on the pleadings, noting use for several decades and advertising specifically of the trade dress of Pedialyte).</w:t>
      </w:r>
    </w:p>
  </w:footnote>
  <w:footnote w:id="67">
    <w:p w14:paraId="7098A0A5" w14:textId="364B4353" w:rsidR="003C5CBB" w:rsidRPr="003C5CBB" w:rsidRDefault="003C5CBB" w:rsidP="003C5CBB">
      <w:pPr>
        <w:pStyle w:val="FootnoteText"/>
      </w:pPr>
      <w:r w:rsidRPr="003C5CBB">
        <w:rPr>
          <w:vertAlign w:val="superscript"/>
        </w:rPr>
        <w:footnoteRef/>
      </w:r>
      <w:r w:rsidRPr="003C5CBB">
        <w:t>Knaack Mfg. Co. v. Rally Accessories, Inc., 955 F. Supp. 991, 1002, 42 USPQ2d 1649 (N.D. Ill. 1997).</w:t>
      </w:r>
    </w:p>
    <w:p w14:paraId="2A57D653" w14:textId="77777777" w:rsidR="003C5CBB" w:rsidRPr="00517775" w:rsidRDefault="003C5CBB" w:rsidP="00AF29FC">
      <w:pPr>
        <w:pStyle w:val="footnote"/>
      </w:pPr>
    </w:p>
  </w:footnote>
  <w:footnote w:id="68">
    <w:p w14:paraId="6A0287DF" w14:textId="531A5C7F" w:rsidR="003C5CBB" w:rsidRPr="00517775" w:rsidRDefault="003C5CBB" w:rsidP="003C5CBB">
      <w:pPr>
        <w:pStyle w:val="FootnoteText"/>
      </w:pPr>
      <w:r w:rsidRPr="003C5CBB">
        <w:rPr>
          <w:vertAlign w:val="superscript"/>
        </w:rPr>
        <w:footnoteRef/>
      </w:r>
      <w:r w:rsidRPr="003C5CBB">
        <w:t>Periodicals aimed at a specialized niche of consumers would not be as relevant, because the statute requires that the mark be known by the “general consuming public.” Moreover, periodicals aimed only at a small geographic segment should not be as relevant because fame should require renown in a substantial part of the United States—most of it, not just one or a few large states. This is not to say that such uses would be irrelevant, just that they should not be dispositive unless collectively they encompass the statutory standard of the “general consuming public of the United States.”</w:t>
      </w:r>
    </w:p>
  </w:footnote>
  <w:footnote w:id="69">
    <w:p w14:paraId="2748A9A7" w14:textId="53F82ACD" w:rsidR="003C5CBB" w:rsidRPr="00517775" w:rsidRDefault="003C5CBB" w:rsidP="003C5CBB">
      <w:pPr>
        <w:pStyle w:val="FootnoteText"/>
      </w:pPr>
      <w:r w:rsidRPr="003C5CBB">
        <w:rPr>
          <w:vertAlign w:val="superscript"/>
        </w:rPr>
        <w:footnoteRef/>
      </w:r>
      <w:r w:rsidRPr="003C5CBB">
        <w:rPr>
          <w:i/>
        </w:rPr>
        <w:t>See</w:t>
      </w:r>
      <w:r w:rsidRPr="003C5CBB">
        <w:t xml:space="preserve"> Hanover Star Milling Co. v. Metcalf, 240 U.S. 403, 416 (1916).</w:t>
      </w:r>
    </w:p>
  </w:footnote>
  <w:footnote w:id="70">
    <w:p w14:paraId="09B8E4C8" w14:textId="728EE491" w:rsidR="003C5CBB" w:rsidRPr="00E354D2" w:rsidRDefault="003C5CBB" w:rsidP="003C5CBB">
      <w:pPr>
        <w:pStyle w:val="FootnoteText"/>
      </w:pPr>
      <w:r w:rsidRPr="003C5CBB">
        <w:rPr>
          <w:rStyle w:val="FootnoteReference"/>
          <w:rFonts w:eastAsiaTheme="majorEastAsia"/>
        </w:rPr>
        <w:footnoteRef/>
      </w:r>
      <w:r w:rsidRPr="003C5CBB">
        <w:rPr>
          <w:i/>
        </w:rPr>
        <w:t>See, e.g.</w:t>
      </w:r>
      <w:r w:rsidRPr="003C5CBB">
        <w:t>, Fossil Group, Inc. v. Angel Seller LLC, 2025 WL 1031062, at *7, 2025 BL 117060 (E.D.N.Y. Apr. 7, 2025) (citing large sales revenue in support of a finding of fame).</w:t>
      </w:r>
    </w:p>
  </w:footnote>
  <w:footnote w:id="71">
    <w:p w14:paraId="10D6F4DC" w14:textId="6EE396AB" w:rsidR="003C5CBB" w:rsidRDefault="003C5CBB" w:rsidP="003C5CBB">
      <w:pPr>
        <w:pStyle w:val="FootnoteText"/>
      </w:pPr>
      <w:r w:rsidRPr="003C5CBB">
        <w:rPr>
          <w:rStyle w:val="FootnoteReference"/>
          <w:rFonts w:eastAsiaTheme="majorEastAsia"/>
        </w:rPr>
        <w:footnoteRef/>
      </w:r>
      <w:r w:rsidRPr="003C5CBB">
        <w:rPr>
          <w:i/>
        </w:rPr>
        <w:t xml:space="preserve">See </w:t>
      </w:r>
      <w:r w:rsidRPr="003C5CBB">
        <w:t>STX Fin., LLC v. Terrazas, 2021 WL 4352188, at *15–17 (T.T.A.B. Sept. 22, 2021) (noting that Opposer’s advertising and audience was skewed to women) (non-precedential).</w:t>
      </w:r>
    </w:p>
  </w:footnote>
  <w:footnote w:id="72">
    <w:p w14:paraId="478A931A" w14:textId="73A9514E" w:rsidR="003C5CBB" w:rsidRPr="00517775" w:rsidRDefault="003C5CBB" w:rsidP="003C5CBB">
      <w:pPr>
        <w:pStyle w:val="FootnoteText"/>
      </w:pPr>
      <w:r w:rsidRPr="003C5CBB">
        <w:rPr>
          <w:vertAlign w:val="superscript"/>
        </w:rPr>
        <w:footnoteRef/>
      </w:r>
      <w:r w:rsidRPr="003C5CBB">
        <w:t>This is not to say that inherent distinctiveness is irrelevant. A mark that is arbitrary or fanciful, for example, may be more memorable to consumers, and more unique in the marketplace, than a descriptive or suggestive mark. Thus, such a mark may be more likely to capture the attention of the “general consuming public.”</w:t>
      </w:r>
    </w:p>
  </w:footnote>
  <w:footnote w:id="73">
    <w:p w14:paraId="49A1C8ED" w14:textId="12819FCA" w:rsidR="003C5CBB" w:rsidRPr="00483B1C" w:rsidRDefault="003C5CBB" w:rsidP="003C5CBB">
      <w:pPr>
        <w:pStyle w:val="FootnoteText"/>
      </w:pPr>
      <w:r w:rsidRPr="003C5CBB">
        <w:rPr>
          <w:rStyle w:val="FootnoteReference"/>
          <w:rFonts w:eastAsiaTheme="majorEastAsia"/>
        </w:rPr>
        <w:footnoteRef/>
      </w:r>
      <w:r w:rsidRPr="003C5CBB">
        <w:t>Pumpernickel Assocs.s LLC v. Ningbo Panera Lighting Co., Ltd., 2025 WL 985438, at *21, *22 (T.T.A.B. Mar. 18, 2025); Texas Dept. of Transp. v. El. T. Mexican Restaurants, Inc., 2025 WL 914456, at *8 (T.T.A.B. Mar. 7, 2025).</w:t>
      </w:r>
    </w:p>
  </w:footnote>
  <w:footnote w:id="74">
    <w:p w14:paraId="6373F4CA" w14:textId="2A2F69B8" w:rsidR="003C5CBB" w:rsidRPr="00517775" w:rsidRDefault="003C5CBB" w:rsidP="003C5CBB">
      <w:pPr>
        <w:pStyle w:val="FootnoteText"/>
      </w:pPr>
      <w:r w:rsidRPr="003C5CBB">
        <w:rPr>
          <w:vertAlign w:val="superscript"/>
        </w:rPr>
        <w:footnoteRef/>
      </w:r>
      <w:r w:rsidRPr="003C5CBB">
        <w:t>This means that registration on the Supplemental Register would not be relevant. This is logical, since such registrations would lack the necessary distinctiveness, required by the very first sentence of the FTDA. Registrations under federal trademark statutes preceding the Lanham Act are also considered relevant to the determination of fame under this factor.</w:t>
      </w:r>
    </w:p>
  </w:footnote>
  <w:footnote w:id="75">
    <w:p w14:paraId="0B6E2A94" w14:textId="26F9C128" w:rsidR="003C5CBB" w:rsidRPr="00517775" w:rsidRDefault="003C5CBB" w:rsidP="003C5CBB">
      <w:pPr>
        <w:pStyle w:val="FootnoteText"/>
      </w:pPr>
      <w:r w:rsidRPr="003C5CBB">
        <w:rPr>
          <w:vertAlign w:val="superscript"/>
        </w:rPr>
        <w:footnoteRef/>
      </w:r>
      <w:r w:rsidRPr="003C5CBB">
        <w:rPr>
          <w:i/>
        </w:rPr>
        <w:t>See</w:t>
      </w:r>
      <w:r w:rsidRPr="003C5CBB">
        <w:t xml:space="preserve"> </w:t>
      </w:r>
      <w:r w:rsidRPr="003C5CBB">
        <w:rPr>
          <w:smallCaps/>
        </w:rPr>
        <w:t xml:space="preserve">H.R. Rep. No. </w:t>
      </w:r>
      <w:r w:rsidRPr="003C5CBB">
        <w:t>104-374, at 4 (Nov. 30, 1995) (noting that the PTO “made a compelling case” for adding nonregistered marks</w:t>
      </w:r>
      <w:r w:rsidRPr="003C5CBB">
        <w:t xml:space="preserve">); </w:t>
      </w:r>
      <w:r w:rsidRPr="003C5CBB">
        <w:rPr>
          <w:i/>
        </w:rPr>
        <w:t>id</w:t>
      </w:r>
      <w:r w:rsidRPr="003C5CBB">
        <w:t xml:space="preserve">. at 7 (discussing reasons for adding registration as a factor); 141 </w:t>
      </w:r>
      <w:r w:rsidRPr="003C5CBB">
        <w:rPr>
          <w:smallCaps/>
        </w:rPr>
        <w:t xml:space="preserve">Cong. Rec. </w:t>
      </w:r>
      <w:r w:rsidRPr="003C5CBB">
        <w:t>H14,318-02, H14,319 (remarks of Rep. Schroeder).</w:t>
      </w:r>
    </w:p>
  </w:footnote>
  <w:footnote w:id="76">
    <w:p w14:paraId="2D2433D5" w14:textId="3706E3CE" w:rsidR="003C5CBB" w:rsidRPr="00517775" w:rsidRDefault="003C5CBB" w:rsidP="003C5CBB">
      <w:pPr>
        <w:pStyle w:val="FootnoteText"/>
      </w:pPr>
      <w:r w:rsidRPr="003C5CBB">
        <w:rPr>
          <w:vertAlign w:val="superscript"/>
        </w:rPr>
        <w:footnoteRef/>
      </w:r>
      <w:r w:rsidRPr="003C5CBB">
        <w:rPr>
          <w:i/>
        </w:rPr>
        <w:t>See</w:t>
      </w:r>
      <w:r w:rsidRPr="003C5CBB">
        <w:t xml:space="preserve"> 4 J. Thomas McCarthy, </w:t>
      </w:r>
      <w:r w:rsidRPr="003C5CBB">
        <w:rPr>
          <w:smallCaps/>
        </w:rPr>
        <w:t>McCarthy on Trademarks and Unfair Competition</w:t>
      </w:r>
      <w:r w:rsidRPr="003C5CBB">
        <w:t xml:space="preserve"> §24:106, at 24–310 (4th ed. 2009) [hereinafter McCarthy on Trademarks]; 2 Jerome Gilson, </w:t>
      </w:r>
      <w:r w:rsidRPr="003C5CBB">
        <w:rPr>
          <w:smallCaps/>
        </w:rPr>
        <w:t>Gilson on Trademarks</w:t>
      </w:r>
      <w:r w:rsidRPr="003C5CBB">
        <w:t>, §5A.01[4][c][iv] (2008) [hereinafter Gilson on Trademarks].</w:t>
      </w:r>
    </w:p>
  </w:footnote>
  <w:footnote w:id="77">
    <w:p w14:paraId="5C2BDC99" w14:textId="545ACD25" w:rsidR="003C5CBB" w:rsidRDefault="003C5CBB" w:rsidP="003C5CBB">
      <w:pPr>
        <w:pStyle w:val="FootnoteText"/>
      </w:pPr>
      <w:r w:rsidRPr="003C5CBB">
        <w:rPr>
          <w:rStyle w:val="FootnoteReference"/>
          <w:rFonts w:eastAsiaTheme="majorEastAsia"/>
        </w:rPr>
        <w:footnoteRef/>
      </w:r>
      <w:r w:rsidRPr="003C5CBB">
        <w:rPr>
          <w:i/>
        </w:rPr>
        <w:t>See</w:t>
      </w:r>
      <w:r w:rsidRPr="003C5CBB">
        <w:t>,</w:t>
      </w:r>
      <w:r w:rsidRPr="003C5CBB">
        <w:rPr>
          <w:i/>
        </w:rPr>
        <w:t xml:space="preserve"> e.g.</w:t>
      </w:r>
      <w:r w:rsidRPr="003C5CBB">
        <w:t>, United Tactical Sys., LLC v. Real Action Paintball, Inc., 2014 U.S. Dist. LEXIS 166982, at *63–64 (N.D. Cal. Dec. 2, 2014) (lack of evidence as to where advertising was aimed).</w:t>
      </w:r>
    </w:p>
  </w:footnote>
  <w:footnote w:id="78">
    <w:p w14:paraId="63292001" w14:textId="1E5E16CD" w:rsidR="003C5CBB" w:rsidRPr="00517775" w:rsidRDefault="003C5CBB" w:rsidP="003C5CBB">
      <w:pPr>
        <w:pStyle w:val="FootnoteText"/>
      </w:pPr>
      <w:r w:rsidRPr="003C5CBB">
        <w:rPr>
          <w:vertAlign w:val="superscript"/>
        </w:rPr>
        <w:footnoteRef/>
      </w:r>
      <w:r w:rsidRPr="003C5CBB">
        <w:t xml:space="preserve">Rep. Schroeder, who introduced the amendment to the original FTDA extending protection to unregistered marks, stated that she wanted unregistered marks to be able to take full advantage of the protection of the FTDA. 141 </w:t>
      </w:r>
      <w:r w:rsidRPr="003C5CBB">
        <w:rPr>
          <w:smallCaps/>
        </w:rPr>
        <w:t xml:space="preserve">Cong. Rec. </w:t>
      </w:r>
      <w:r w:rsidRPr="003C5CBB">
        <w:t>at H14,319 (remarks of Rep. Schroeder).</w:t>
      </w:r>
    </w:p>
  </w:footnote>
  <w:footnote w:id="79">
    <w:p w14:paraId="035516E1" w14:textId="3F8480B0" w:rsidR="003C5CBB" w:rsidRPr="00517775" w:rsidRDefault="003C5CBB" w:rsidP="003C5CBB">
      <w:pPr>
        <w:pStyle w:val="FootnoteText"/>
      </w:pPr>
      <w:r w:rsidRPr="003C5CBB">
        <w:rPr>
          <w:vertAlign w:val="superscript"/>
        </w:rPr>
        <w:footnoteRef/>
      </w:r>
      <w:r w:rsidRPr="003C5CBB">
        <w:t>Lanham Act §43(c)(1), 15 U.S.C. §1125(c)(1) (deleted by the Trademark Dilution Revision Act of 2006).</w:t>
      </w:r>
    </w:p>
  </w:footnote>
  <w:footnote w:id="80">
    <w:p w14:paraId="2F8F1408" w14:textId="4A3354B4" w:rsidR="003C5CBB" w:rsidRPr="003C5CBB"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Top Tobacco, L.P. v. North Atl. Operating Co., 2007 U.S. Dist. LEXIS 2838, at *22–23 (N.D. Ill. Jan. 4, 2007) (post-TDRA; under FTDA, “mark must be truly prominent and renowned” to be eligible), </w:t>
      </w:r>
      <w:r w:rsidRPr="003C5CBB">
        <w:rPr>
          <w:i/>
        </w:rPr>
        <w:t>aff’d</w:t>
      </w:r>
      <w:r w:rsidRPr="003C5CBB">
        <w:t xml:space="preserve">, 509 F.3d 380, 85 USPQ2d 1251 (7th Cir. 2007). In another case decided after the TDRA, a district court continued to cite the pre-TDRA factors, though it did not discuss any of </w:t>
      </w:r>
      <w:r w:rsidRPr="003C5CBB">
        <w:t xml:space="preserve">them in particular, finding a lack of fame and noting that fame is subject to a “rigorous standard.” Arkansas Trophy Hunters Ass’n, Inc. v. Texas Trophy Hunters Ass’n, Ltd., 506 F. Supp. 2d 277, 284 (W.D. Ark. 2007). In a third case, involving the mark Chem-Dry, the court found the mark famous but conducted a rather cursory inquiry, citing primarily the number of franchises licensed by the plaintiff (over 4,000) and length of time of use (30 years). Harris Research, Inc. v. Lydon, 2007 U.S. Dist. LEXIS 25650, at *7–8 (D. Utah Apr. 5, 2007). The court cited some brand research done six years earlier that showed 100 percent recognition among “current customers” of the company. </w:t>
      </w:r>
      <w:r w:rsidRPr="003C5CBB">
        <w:rPr>
          <w:i/>
        </w:rPr>
        <w:t>Id</w:t>
      </w:r>
      <w:r w:rsidRPr="003C5CBB">
        <w:t>. at *3. Those current customers did not necessarily represent the “general consuming public.” However, the court’s willingness to conduct a rigorous inquiry probably was affected by the fact that the defendant filed neither an answer nor a response to plaintiff’s motion for a preliminary injunction.</w:t>
      </w:r>
    </w:p>
    <w:p w14:paraId="1F00497B" w14:textId="77777777" w:rsidR="003C5CBB" w:rsidRPr="00517775" w:rsidRDefault="003C5CBB" w:rsidP="00AF29FC">
      <w:pPr>
        <w:pStyle w:val="footnote"/>
      </w:pPr>
    </w:p>
  </w:footnote>
  <w:footnote w:id="81">
    <w:p w14:paraId="6000EC2F" w14:textId="5A9D7C65" w:rsidR="003C5CBB" w:rsidRPr="003C5CBB"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 xml:space="preserve">., Green v. Fornario, 486 F.3d 100, 105, 82 USPQ2d 1681 (3d Cir. 2007) (describing fame as “a rigorous standard, as it extends protection only to highly distinctive marks that are well-known throughout the country”); Provide Commerce, Inc. v. Preferred Commerce, Inc., 2008 U.S. Dist. LEXIS 27697, at *12–13 (S.D. Fla. Apr. 3, 2008) (“rigorous” standard for determining fame); Board of Regents, Univ. of Texas Sys. v. KST Elec., Ltd., 550 F. Supp. 2d 657, 679 (W.D. Tex. 2008) (“One of the major purposes of the TDRA was to restrict dilution causes of action to those few truly famous marks.”); Nissan Motor Co., Ltd. v. Nissan Computer Corp., 2007 U.S. Dist. LEXIS 90487 (C.D. Cal. Sept. 20, 2007) (conducting factual and legal analysis of Nissan mark); Vista India v. Raaga, LLC, 501 F. Supp. 2d 605, 623–24 (D.N.J. 2007); Nike, Inc. v. Nikepal Int’l, Inc., 84 USPQ2d 1820, 1824–26 (E.D. Cal. 2007) (assessing all factors, including acquired distinctiveness); Embotelladora Aga del Pacifico, SA de CV v. Gonzalez, 2008 TTAB LEXIS 492, at *21 (T.T.A.B. Dec. 3, 2008) (not citable as precedent) (“Fame for dilution purposes is difficult to prove … .” (quoting Toro Co. v. ToroHead Inc., 61 USPQ2d 1164, 1180 (T.T.A.B. 2001))). </w:t>
      </w:r>
      <w:r w:rsidRPr="003C5CBB">
        <w:rPr>
          <w:i/>
        </w:rPr>
        <w:t>See</w:t>
      </w:r>
      <w:r w:rsidRPr="003C5CBB">
        <w:t xml:space="preserve"> National Pork Bd. v. Supreme Lobster &amp; Seafood Co., 96 USPQ2d 1479, 1495–96 (T.T.A.B. 2010) (carefully analyzing the factors and concluding the mark in question was famous); </w:t>
      </w:r>
      <w:r w:rsidRPr="003C5CBB">
        <w:rPr>
          <w:i/>
        </w:rPr>
        <w:t>see also</w:t>
      </w:r>
      <w:r w:rsidRPr="003C5CBB">
        <w:t xml:space="preserve"> Network Automation, Inc. v. Hewlett-Packard Co., 2009 U.S. Dist. LEXIS 125835, at *33–34 (C.D. Cal. Sept. 14, 2009) (using complete analysis of factors despite obvious weakness of marks in question).</w:t>
      </w:r>
    </w:p>
    <w:p w14:paraId="1E71AC9B" w14:textId="77777777" w:rsidR="003C5CBB" w:rsidRPr="00517775" w:rsidRDefault="003C5CBB" w:rsidP="00AF29FC">
      <w:pPr>
        <w:pStyle w:val="footnote"/>
      </w:pPr>
    </w:p>
  </w:footnote>
  <w:footnote w:id="82">
    <w:p w14:paraId="09E0F732" w14:textId="2D7123DA" w:rsidR="003C5CBB" w:rsidRPr="00117CCB"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Georg Neumann GMBH v. GoToToolz, Ltd., 2024 WL 5381425, at *7, 2024 BL 433694 (E.D.N.Y. Nov. 25, 2024) (magistrate judge opinion) (granting default judgment with conclusory statement that “Plaintiff has sufficiently pled that its mark is famous and has acquired significant distinctiveness in the recording industry,” which should not be sufficient as it shows only niche fame); FenF LLC v. Welnove, Inc., 2024 WL 3588451, at *1, 2024 BL 266322 (E.D. Mich June 3, 2024) (granting default judgment with conclusory finding that the complaint sufficiently pleaded the fame of plaintiff’s gemstone handle); Jeunesse Global Holdings, LLC v. Vivante, Inc., 2019 WL 1521707, at *4 (M.D. Fla. Jan. 23, 2019) (granting default judgment on the basis of counterfeiting without expressly finding the mark to be famous); Caracol Television, S.A. v. TVmia Int’l Corp., 2017 WL 6389719, at *3, 2017 BL 445105 (S.D. Fla. Dec. 13, 2017) (The court found dilution with no discussion of fame: “In this case, the Court need not engage in a lengthy consideration of these factors [including fame], since it is undisputed that the exact Caracol logos and marks were used on the infringing Web sites controlled by Bucci to indicate access to unauthorized streams of Caracol content.”); Rain Bird Corp. v. Taylor, 665 F. Supp. 2d 1258, 1269 (N.D. Fla. 2009) (stating that “it is undisputed that the Rain Bird Marks are famous </w:t>
      </w:r>
      <w:r w:rsidRPr="003C5CBB">
        <w:rPr>
          <w:i/>
        </w:rPr>
        <w:t>in the State of Florida</w:t>
      </w:r>
      <w:r w:rsidRPr="003C5CBB">
        <w:t xml:space="preserve">,” a standard that would satisfy the Florida statute, but not the TDRA) (emphasis added); Zinn v. Seruga, 2009 WL 3128353, at *29, 30, 2009 BL 206312 (D.N.J. Sept. 28, 2009) (citing the “eight factors” of the FTDA—obviously ignoring the amended statute with four factors—and citing the mark’s recognition only within the “baking equipment industry,” which might satisfy New Jersey law, which was also at issue, but not the TDRA). </w:t>
      </w:r>
      <w:r w:rsidRPr="003C5CBB">
        <w:rPr>
          <w:i/>
        </w:rPr>
        <w:t>See</w:t>
      </w:r>
      <w:r w:rsidRPr="003C5CBB">
        <w:t xml:space="preserve"> Green v. ABC Companies, 702 F. Supp. 3d 418, 422 (W.D.N.C. 2023) (allowing </w:t>
      </w:r>
      <w:r w:rsidRPr="003C5CBB">
        <w:rPr>
          <w:i/>
        </w:rPr>
        <w:t>ex parte</w:t>
      </w:r>
      <w:r w:rsidRPr="003C5CBB">
        <w:t xml:space="preserve"> seizure of allegedly unauthorized goods, finding plaintiff’s stage name “Rod Wave” to be famous based on testimony of his manager and sales of his albums and merchandise, as well as a Billboard award).</w:t>
      </w:r>
    </w:p>
  </w:footnote>
  <w:footnote w:id="83">
    <w:p w14:paraId="54C33B63" w14:textId="0137910E"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Coach Servs., Inc. v. Triumph Learning LLC, 668 F.3d 1356, 1375, 101 USPQ2d 1713 (Fed. Cir. 2012) (upholding TTAB finding that record did not support fame of Coach mark because evidence limited to subset of women; court noted that TDRA eliminated niche fame); International Info. Sys. Sec. Certification Consortium, Inc. v. Security Univ. LLC, 2014 WL 3891287, at *10, 2014 BL 451944 (D. Conn. Aug. 7, 2014) (niche fame insufficient), </w:t>
      </w:r>
      <w:r w:rsidRPr="003C5CBB">
        <w:rPr>
          <w:i/>
        </w:rPr>
        <w:t>aff’d in part, vacated in part on other grounds</w:t>
      </w:r>
      <w:r w:rsidRPr="003C5CBB">
        <w:t xml:space="preserve">, 823 F.3d 153, 169, 120 USPQ2d 1388 (2d Cir. 2016) (affirming the dilution ruling); Leapers, Inc. v. SMTC, LCC, 2014 WL 4964376, at *5, 2014 BL 282516 (E.D. Mich. Oct. 3, 2014); Paleteria La Michoacana, Inc. v. Productos Lacteos Tocumbo, S.A. de C.V., 69 F. Supp. 3d 175, 220–221 (D.D.C. 2014) (niche fame insufficient); Quicken Loans, Inc. v. National Biweekly Admin., Inc., 2014 U.S. Dist. LEXIS 15298, at *16–17 (E.D. Mich. Feb. 7, 2014) (local or niche fame insufficient under TDRA); Helios Int’l S.A.R.L. v. Cantamessa USA, Inc., 2013 U.S. Dist. LEXIS 107552, at *28 (S.D.N.Y. July 31, 2013) (calling the allegations of the complaint conclusory and noting that at most they supported niche fame); Xen, Inc. v. Citrix Sys., Inc., 2012 U.S. Dist. LEXIS 153787, at *16 (C.D. Cal. Oct. 25, 2012) (niche fame insufficient; defendant’s statement that its Xen mark is “well recognized in the trade” shows only niche fame); Perfect Pearl Co. v. Majestic Pearl &amp; Stone, Inc., 887 F. Supp. 2d 519, 540–41 (S.D.N.Y. 2012) (Majestic marks only known, at most, to “pearl bead buyers” and therefore not famous); Water Pik, Inc. v. Med-Systems, Inc. 848 F. Supp. 2d 1262, 1282–83 (D. Colo. 2012), </w:t>
      </w:r>
      <w:r w:rsidRPr="003C5CBB">
        <w:rPr>
          <w:i/>
        </w:rPr>
        <w:t>aff’d</w:t>
      </w:r>
      <w:r w:rsidRPr="003C5CBB">
        <w:t xml:space="preserve">, 726 F.3d 1136, 107 USPQ2d 2095 (10th Cir. 2013) (no discussion of dilution in 10th Circuit); Champagne Louis Roderer v. J. Garcia Carrion S.A., 732 F. Supp. 2d 836, 879 (D. Minn. 2010) (finding Cristal not famous to the general consuming public before defendant first used it); Maker’s Mark Distillery, Inc. v. Diageo N. Am., Inc., 703 F. Supp. 2d 671, 697, 699, 97 USPQ2d 1780 (W.D. Ky. 2010) (renown of dripping wax seal limited to bourbon drinkers), </w:t>
      </w:r>
      <w:r w:rsidRPr="003C5CBB">
        <w:rPr>
          <w:i/>
        </w:rPr>
        <w:t>aff’d on other grounds</w:t>
      </w:r>
      <w:r w:rsidRPr="003C5CBB">
        <w:t xml:space="preserve">, 679 F.3d 410, 102 USPQ2d 1693 (6th Cir. 2012) (no discussion of dilution by court of appeals); Oriental Fin. Grp., Inc. v. Oriental Bank &amp; Trust, 750 F. Supp. 2d 396, 404 (D.P.R. 2010) (niche fame not permitted); Haynes Int’l, Inc. v. Electralloy, 2009 WL 789918, at *18, 2009 BL 61306 (W.D. Pa. Mar. 23, 2009); Board of Regents, The Univ. of Texas Sys. v. KST Elec., Ltd., 550 F. Supp. 2d 657, 678 (W.D. Tex. 2008) (University of Texas longhorn logo known primarily to sports fans) (magistrate judge opinion adopted by the district court). </w:t>
      </w:r>
      <w:r w:rsidRPr="003C5CBB">
        <w:rPr>
          <w:i/>
        </w:rPr>
        <w:t>But cf</w:t>
      </w:r>
      <w:r w:rsidRPr="003C5CBB">
        <w:t>. Galvotec Alloys, Inc. v. Gaus Anodes Int’l, LLC, 2014 U.S. Dist. LEXIS 166602, at *23–24 (S.D. Tex. Dec. 2, 2014) (erroneously citing pre-TDRA case for the proposition that only niche fame is required); World Market Ctr. Venture LLC v. Strickland, 2011 U.S. Dist. LEXIS 15479, at *19 (D. Nev. Feb. 14, 2011) (finding mark not famous but assuming the continued viability of niche fame).</w:t>
      </w:r>
    </w:p>
  </w:footnote>
  <w:footnote w:id="84">
    <w:p w14:paraId="1020B529" w14:textId="4745CA9E" w:rsidR="003C5CBB" w:rsidRPr="00517775" w:rsidRDefault="003C5CBB" w:rsidP="003C5CBB">
      <w:pPr>
        <w:pStyle w:val="FootnoteText"/>
      </w:pPr>
      <w:r w:rsidRPr="003C5CBB">
        <w:rPr>
          <w:vertAlign w:val="superscript"/>
        </w:rPr>
        <w:footnoteRef/>
      </w:r>
      <w:r w:rsidRPr="003C5CBB">
        <w:t>At least one court felt it necessary, however, to explain its finding of fame despite the absence of a survey. adidas Am., Inc. v. Payless Shoesource, Inc., 546 F. Supp. 2d 1029, 1063 n.12 (D. Or. 2008).</w:t>
      </w:r>
    </w:p>
  </w:footnote>
  <w:footnote w:id="85">
    <w:p w14:paraId="6DAAA04B" w14:textId="208C216A" w:rsidR="003C5CBB" w:rsidRPr="003C5CBB" w:rsidRDefault="003C5CBB" w:rsidP="003C5CBB">
      <w:pPr>
        <w:pStyle w:val="FootnoteText"/>
      </w:pPr>
      <w:r w:rsidRPr="003C5CBB">
        <w:rPr>
          <w:vertAlign w:val="superscript"/>
        </w:rPr>
        <w:footnoteRef/>
      </w:r>
      <w:r w:rsidRPr="003C5CBB">
        <w:rPr>
          <w:i/>
        </w:rPr>
        <w:t>See</w:t>
      </w:r>
      <w:r w:rsidRPr="003C5CBB">
        <w:t xml:space="preserve"> New York City Triathlon, LLC v. NYC Triathlon Club, Inc., 704 F. Supp. 2d 305, 321–22, 95 USPQ2d 1451 (S.D.N.Y. 2010). </w:t>
      </w:r>
      <w:r w:rsidRPr="003C5CBB">
        <w:rPr>
          <w:i/>
        </w:rPr>
        <w:t>But see</w:t>
      </w:r>
      <w:r w:rsidRPr="003C5CBB">
        <w:t xml:space="preserve"> Maker’s Mark Distillery, Inc. v. Diageo N. Am., Inc., 703 F. Supp. 2d 671, 697, 699, 97 USPQ2d 1780 (W.D. Ky. 2010), </w:t>
      </w:r>
      <w:r w:rsidRPr="003C5CBB">
        <w:rPr>
          <w:i/>
        </w:rPr>
        <w:t>aff’d on other grounds</w:t>
      </w:r>
      <w:r w:rsidRPr="003C5CBB">
        <w:t>, 679 F.3d 410, 102 USPQ2d 1693 (6th Cir. 2012) (no discussion of dilution by court of appeals).</w:t>
      </w:r>
    </w:p>
    <w:p w14:paraId="45D4482B" w14:textId="77777777" w:rsidR="003C5CBB" w:rsidRPr="00517775" w:rsidRDefault="003C5CBB" w:rsidP="00AF29FC">
      <w:pPr>
        <w:pStyle w:val="footnote"/>
      </w:pPr>
    </w:p>
  </w:footnote>
  <w:footnote w:id="86">
    <w:p w14:paraId="7E364FFE" w14:textId="598D3D27" w:rsidR="003C5CBB" w:rsidRPr="00517775" w:rsidRDefault="003C5CBB" w:rsidP="003C5CBB">
      <w:pPr>
        <w:pStyle w:val="FootnoteText"/>
      </w:pPr>
      <w:r w:rsidRPr="003C5CBB">
        <w:rPr>
          <w:vertAlign w:val="superscript"/>
        </w:rPr>
        <w:footnoteRef/>
      </w:r>
      <w:r w:rsidRPr="003C5CBB">
        <w:t>Pepsico, Inc. v. #1 Wholesale, LLC, 84 USPQ2d 1040, 1044 (N.D. Ga. 2007).</w:t>
      </w:r>
    </w:p>
  </w:footnote>
  <w:footnote w:id="87">
    <w:p w14:paraId="54464781" w14:textId="61AA91EB" w:rsidR="003C5CBB" w:rsidRPr="00517775" w:rsidRDefault="003C5CBB" w:rsidP="003C5CBB">
      <w:pPr>
        <w:pStyle w:val="FootnoteText"/>
      </w:pPr>
      <w:r w:rsidRPr="003C5CBB">
        <w:rPr>
          <w:vertAlign w:val="superscript"/>
        </w:rPr>
        <w:footnoteRef/>
      </w:r>
      <w:r w:rsidRPr="003C5CBB">
        <w:t>Jada Toys, Inc. v. Mattel, Inc., 518 F.3d 628, 635 (9th Cir. 2008) (citing 37 years of use, over $350 million in advertising, and three billion units sold, but no direct evidence of acquired distinctiveness).</w:t>
      </w:r>
    </w:p>
  </w:footnote>
  <w:footnote w:id="88">
    <w:p w14:paraId="315B4416" w14:textId="55F5A99F" w:rsidR="003C5CBB" w:rsidRPr="00517775" w:rsidRDefault="003C5CBB" w:rsidP="003C5CBB">
      <w:pPr>
        <w:pStyle w:val="FootnoteText"/>
      </w:pPr>
      <w:r w:rsidRPr="003C5CBB">
        <w:rPr>
          <w:vertAlign w:val="superscript"/>
        </w:rPr>
        <w:footnoteRef/>
      </w:r>
      <w:r w:rsidRPr="003C5CBB">
        <w:t xml:space="preserve">Viña Undurraga, S.A. v. Serine-Cannonau Vineyard, Inc., 2017 BL 554280, at *10 (C.D. Cal. May 17, 2017) (citing lack of evidence); Jurin v. Google, Inc., 104 USPQ2d 1480, 1484 (E.D. Cal. 2012) (citing lack of evidence of any fame factors); Biosafe-One, Inc. v. Hawks, 524 F. Supp. 2d 452, 466–67 (S.D.N.Y. 2007); Verilux, Inc. v. Hahn, 2007 U.S. Dist. LEXIS 58507, at *37 (D. Conn. Aug. 7, 2007); Vista India v. Raaga, LLC, 501 F. Supp. 2d 605, 623–24 (D.N.J. 2007); </w:t>
      </w:r>
      <w:r w:rsidRPr="003C5CBB">
        <w:rPr>
          <w:i/>
        </w:rPr>
        <w:t>see</w:t>
      </w:r>
      <w:r w:rsidRPr="003C5CBB">
        <w:t xml:space="preserve"> Jimdi, Inc. v. Twin Bay Docks &amp; Prods., Inc., 501 F. Supp. 2d 993, 1009 (W.D. Mich. 2007) (mark was not inherently distinctive and lacked secondary meaning); Provide Commerce, Inc. v. Preferred Commerce, Inc., 2008 U.S. Dist. LEXIS 27697, at *12–13 (S.D. Fla. Apr. 3, 2008) (Provide Commerce mark “clearly” does not meet the “rigorous” standard for fame); </w:t>
      </w:r>
      <w:r w:rsidRPr="003C5CBB">
        <w:rPr>
          <w:i/>
        </w:rPr>
        <w:t>see also</w:t>
      </w:r>
      <w:r w:rsidRPr="003C5CBB">
        <w:t xml:space="preserve"> Top Tobacco LP v. North Atl. Operating Co., 509 F.3d 380, 383 (7th Cir. 2007) (the court noted that the word Top was used on so many other products that it could hardly be famous for this one). In one of the more extensive discussions resulting in finding that a mark was not famous under the TDRA, the court cited a lack of advertising expenditures, lack of evidence of actual recognition, and numerous registrations of marks that included the word Charlotte, which was plaintiff’s mark. GMA Accessories, Inc. v. Crosscill, Inc., 2008 U.S. Dist. LEXIS 16052, at *35 (S.D.N.Y. Mar. 3, 2008).</w:t>
      </w:r>
    </w:p>
  </w:footnote>
  <w:footnote w:id="89">
    <w:p w14:paraId="54005084" w14:textId="21E1D33A"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Louis Vuitton Malletier, S.A. v. Haute Diggity Dog, LLC, 507 F.3d 252, 265, 84 USPQ2d 1969 (4th Cir. 2007) (fame “not at issue in this case”); Holding Co. of the Vills. v. Villages Roofing &amp; Constr., Inc., 2017 U.S. Dist. LEXIS 57040, at *5 (M.D. Fla. Apr. 13, 2017) (“For the purposes of this action, Defendants concede that the success of The Villages® Community, together with the heavy investing in advertising and promotion of Plaintiff’s mark, are sufficient to support a finding that THE VILLAGES mark is famous within the meaning of the Lanham Act and the Florida anti-dilution statutes”); Bentley Motor Corp. v. McEntegart, 976 F. Supp. 2d 1297, 1313 (M.D. Fla. 2013) (“no party disputes” that Bentley marks are famous); Fendi Adele S.r.l. v. Ashley Reed Trading, Inc., 696 F. Supp. 2d 368, 390 (S.D.N.Y. 2010) (fame of Fendi mark not disputed). </w:t>
      </w:r>
      <w:r w:rsidRPr="003C5CBB">
        <w:rPr>
          <w:i/>
        </w:rPr>
        <w:t xml:space="preserve">See </w:t>
      </w:r>
      <w:r w:rsidRPr="003C5CBB">
        <w:t>Perfumebay.com, Inc. v. eBay, Inc., 506 F.3d 1165, 1180 n.7,</w:t>
      </w:r>
      <w:r w:rsidRPr="003C5CBB">
        <w:rPr>
          <w:b/>
        </w:rPr>
        <w:t xml:space="preserve"> </w:t>
      </w:r>
      <w:r w:rsidRPr="003C5CBB">
        <w:t>84 USPQ2d 1865</w:t>
      </w:r>
      <w:r w:rsidRPr="003C5CBB">
        <w:rPr>
          <w:b/>
        </w:rPr>
        <w:t xml:space="preserve"> </w:t>
      </w:r>
      <w:r w:rsidRPr="003C5CBB">
        <w:t>(9th Cir. 2007) (parties did not appeal district court finding that eBay mark was famous); Nordstrom, Inc. v. Nomorerack Retail Grp., Inc., 2013 U.S. Dist. LEXIS 41810, at *28 (W.D. Wash. Mar. 25, 2013) (conceding that Nordstrom Rack is famous, though not conceding fame of Rack alone).</w:t>
      </w:r>
    </w:p>
  </w:footnote>
  <w:footnote w:id="90">
    <w:p w14:paraId="13B13E8A" w14:textId="7B9D7CB9"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24 Hour Fitness USA, Inc. v. 24/7 Tribeca Fitness, LLC, 247 Fed. Appx. 232 (2d Cir. 2007) (unpublished opinion); Wine &amp; Canvas Dev., LLC v. Weisser, 2014 U.S. Dist. LEXIS 113448, at *29–31 (S.D. Ind. Aug. 15, 2014) (granting summary judgment).</w:t>
      </w:r>
    </w:p>
  </w:footnote>
  <w:footnote w:id="91">
    <w:p w14:paraId="7C42E597" w14:textId="4B706D52" w:rsidR="003C5CBB" w:rsidRPr="00517775" w:rsidRDefault="003C5CBB" w:rsidP="003C5CBB">
      <w:pPr>
        <w:pStyle w:val="FootnoteText"/>
      </w:pPr>
      <w:r w:rsidRPr="003C5CBB">
        <w:rPr>
          <w:vertAlign w:val="superscript"/>
        </w:rPr>
        <w:footnoteRef/>
      </w:r>
      <w:r w:rsidRPr="003C5CBB">
        <w:t xml:space="preserve">That seems to best explain a case like </w:t>
      </w:r>
      <w:r w:rsidRPr="003C5CBB">
        <w:rPr>
          <w:rStyle w:val="BCasenamefull"/>
        </w:rPr>
        <w:t>Zinn v. Seruga</w:t>
      </w:r>
      <w:r w:rsidRPr="003C5CBB">
        <w:t xml:space="preserve">, 2008 U.S. Dist. LEXIS 11903, at *42–43 (D.N.J. Feb. 19, 2008), in which the court found issues of fact relating to fame (and other issues on other causes of action) relating to the mark Artoflex. </w:t>
      </w:r>
      <w:r w:rsidRPr="003C5CBB">
        <w:rPr>
          <w:i/>
        </w:rPr>
        <w:t>See</w:t>
      </w:r>
      <w:r w:rsidRPr="003C5CBB">
        <w:t xml:space="preserve"> Argus Research Grp., Inc. v. Argus Media, Inc., 562 F. Supp. 2d 260, 282–83 (D. Conn. 2008). In the latter case, the court clearly harbored significant doubts about whether the proof was </w:t>
      </w:r>
      <w:r w:rsidRPr="003C5CBB">
        <w:t xml:space="preserve">sufficient, but stated that Second Circuit precedent required denial of the motion if there was more than a “scintilla” of proof. </w:t>
      </w:r>
      <w:r w:rsidRPr="003C5CBB">
        <w:rPr>
          <w:i/>
        </w:rPr>
        <w:t>Id</w:t>
      </w:r>
      <w:r w:rsidRPr="003C5CBB">
        <w:t xml:space="preserve">. at 283 (citing Savin Corp. v. Savin Grp., 391 F.3d 439, 449 (2d Cir. 2004)). In the area of fame, particularly post-TDRA, such a standard may be too low. Moreover, when the issue arises on a motion to dismiss, courts will usually accept the complaint’s assertion that the mark is famous, see, e.g., Chrome Hearts, LLC v. Alma Shop, 2009 U.S. Dist. LEXIS 26144, at *8–9 (D. Guam Mar. 23, 2009), although the Supreme Court’s admonishment that allegations must plausibly state a claim might warrant something more than a bare allegation of fame. </w:t>
      </w:r>
      <w:r w:rsidRPr="003C5CBB">
        <w:rPr>
          <w:i/>
        </w:rPr>
        <w:t>See</w:t>
      </w:r>
      <w:r w:rsidRPr="003C5CBB">
        <w:t xml:space="preserve"> Ashcroft v. Iqbal, 556 U.S. 662, 678–680 (2009); Bell Atl. Corp. v. Twombly, 550 U.S. 544, 556 (2007). This issue is discussed further in Chapter 12, §IV.</w:t>
      </w:r>
    </w:p>
  </w:footnote>
  <w:footnote w:id="92">
    <w:p w14:paraId="67B6E894" w14:textId="331EAF97" w:rsidR="003C5CBB" w:rsidRPr="00517775" w:rsidRDefault="003C5CBB" w:rsidP="003C5CBB">
      <w:pPr>
        <w:pStyle w:val="FootnoteText"/>
      </w:pPr>
      <w:r w:rsidRPr="003C5CBB">
        <w:rPr>
          <w:vertAlign w:val="superscript"/>
        </w:rPr>
        <w:footnoteRef/>
      </w:r>
      <w:r w:rsidRPr="003C5CBB">
        <w:t xml:space="preserve">The Federal Express mark is a good example. Federal Express Corp. v. Federal Espresso, Inc., 201 F.3d 168, 53 USPQ2d 1345 (2d Cir. 2000); </w:t>
      </w:r>
      <w:r w:rsidRPr="003C5CBB">
        <w:rPr>
          <w:i/>
        </w:rPr>
        <w:t>see</w:t>
      </w:r>
      <w:r w:rsidRPr="003C5CBB">
        <w:t xml:space="preserve"> Ford Motor Co. v. Lloyd Design Corp., 184 F. Supp. 2d 665, 678–79, 62 USPQ2d 1109 (E.D. Mich. 2002) (Ford marks for cars); McNeil Consumer Brands, Inc. v. U.S. Dentek Corp., 116 F. Supp. 2d 604, 56 USPQ2d 1758 (E.D. Pa. 2000) (Tylenol).</w:t>
      </w:r>
    </w:p>
  </w:footnote>
  <w:footnote w:id="93">
    <w:p w14:paraId="61851EC4" w14:textId="0DB55A44" w:rsidR="003C5CBB" w:rsidRDefault="003C5CBB" w:rsidP="003C5CBB">
      <w:pPr>
        <w:pStyle w:val="FootnoteText"/>
      </w:pPr>
      <w:r w:rsidRPr="003C5CBB">
        <w:rPr>
          <w:rStyle w:val="FootnoteReference"/>
          <w:rFonts w:eastAsiaTheme="majorEastAsia"/>
        </w:rPr>
        <w:footnoteRef/>
      </w:r>
      <w:r w:rsidRPr="003C5CBB">
        <w:t xml:space="preserve">A clear example of this problem is </w:t>
      </w:r>
      <w:r w:rsidRPr="003C5CBB">
        <w:rPr>
          <w:rStyle w:val="BCasenamefull"/>
        </w:rPr>
        <w:t>Gathering Spot LLC v. Gathering Spot at Burlington Village, LLC</w:t>
      </w:r>
      <w:r w:rsidRPr="003C5CBB">
        <w:t>, 2023 WL 11897502, at *5, 2023 BL 504197 (E.D. Tenn. Aug. 29, 2023), where, in granting summary judgment to plaintiff, the court noted that plaintiff’s mark was unlikely to be famous in more than a niche market, but felt obliged to find in plaintiff’s favor because the defendant failed to contest the issue.</w:t>
      </w:r>
    </w:p>
  </w:footnote>
  <w:footnote w:id="94">
    <w:p w14:paraId="660C12E5" w14:textId="1A9D7C75" w:rsidR="003C5CBB" w:rsidRPr="00517775" w:rsidRDefault="003C5CBB" w:rsidP="003C5CBB">
      <w:pPr>
        <w:pStyle w:val="FootnoteText"/>
      </w:pPr>
      <w:r w:rsidRPr="003C5CBB">
        <w:rPr>
          <w:vertAlign w:val="superscript"/>
        </w:rPr>
        <w:footnoteRef/>
      </w:r>
      <w:r w:rsidRPr="003C5CBB">
        <w:rPr>
          <w:smallCaps/>
        </w:rPr>
        <w:t>Gilson on Trademarks,</w:t>
      </w:r>
      <w:r w:rsidRPr="003C5CBB">
        <w:t xml:space="preserve"> §5A.01[4][d], at 5A-24; I.P. Lund Trading ApS v. Kohler Co., 163 F.3d 27, 47, 49 USPQ2d 1225 (1st Cir. 1998) (citing Coca-Cola as a possible candidate for judicial notice of fame); </w:t>
      </w:r>
      <w:r w:rsidRPr="003C5CBB">
        <w:rPr>
          <w:i/>
        </w:rPr>
        <w:t>see also</w:t>
      </w:r>
      <w:r w:rsidRPr="003C5CBB">
        <w:t xml:space="preserve"> AVS Found. v. Eugene Berry Enter., LLC, 101 USPQ2d 1256, 1261 (W.D. Pa. 2011) (in an infringement-by-confusion case, taking judicial notice of the notoriety of the mark).</w:t>
      </w:r>
    </w:p>
  </w:footnote>
  <w:footnote w:id="95">
    <w:p w14:paraId="1B015D9F" w14:textId="26BC6102" w:rsidR="003C5CBB" w:rsidRPr="00517775" w:rsidRDefault="003C5CBB" w:rsidP="003C5CBB">
      <w:pPr>
        <w:pStyle w:val="FootnoteText"/>
      </w:pPr>
      <w:r w:rsidRPr="003C5CBB">
        <w:rPr>
          <w:vertAlign w:val="superscript"/>
        </w:rPr>
        <w:footnoteRef/>
      </w:r>
      <w:r w:rsidRPr="003C5CBB">
        <w:rPr>
          <w:smallCaps/>
        </w:rPr>
        <w:t xml:space="preserve">Fed. R. Evid. </w:t>
      </w:r>
      <w:r w:rsidRPr="003C5CBB">
        <w:t xml:space="preserve">201(b); </w:t>
      </w:r>
      <w:r w:rsidRPr="003C5CBB">
        <w:rPr>
          <w:i/>
        </w:rPr>
        <w:t>see</w:t>
      </w:r>
      <w:r w:rsidRPr="003C5CBB">
        <w:t xml:space="preserve"> B.V.D. Licensing Corp. v. Bosideng Co., Ltd., 2012 TTAB LEXIS 14, at *28–29 (T.T.A.B. Jan. 10, 2012) (refusing to take judicial notice of the fame of the BVD mark) (not precedential).</w:t>
      </w:r>
    </w:p>
  </w:footnote>
  <w:footnote w:id="96">
    <w:p w14:paraId="4813AB35" w14:textId="359EB2EF"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Gathering Spot LLC v. Gathering Spot at Burlington Village, LLC, 2023 WL 11897502, at *5, 2023 BL 504197 (E.D. Tenn. Aug. 29, 2023); Trans Union LLC v. Credit Research, Inc., 142 F. Supp. 2d 1029, 1045 (N.D. Ill. 2001); OBH Inc. v. Spotlight Magazine, Inc., 86 F. Supp. 2d 176, 192, 54 USPQ2d 1383 (W.D.N.Y. 2000).</w:t>
      </w:r>
    </w:p>
  </w:footnote>
  <w:footnote w:id="97">
    <w:p w14:paraId="21AF8706" w14:textId="23E24EAA" w:rsidR="003C5CBB" w:rsidRPr="00517775" w:rsidRDefault="003C5CBB" w:rsidP="003C5CBB">
      <w:pPr>
        <w:pStyle w:val="FootnoteText"/>
      </w:pPr>
      <w:r w:rsidRPr="003C5CBB">
        <w:rPr>
          <w:vertAlign w:val="superscript"/>
        </w:rPr>
        <w:footnoteRef/>
      </w:r>
      <w:r w:rsidRPr="003C5CBB">
        <w:t xml:space="preserve">See David S. Welkowitz, Who Should Decide? Judges and Juries in Trademark Dilution Cases, 63 </w:t>
      </w:r>
      <w:r w:rsidRPr="003C5CBB">
        <w:rPr>
          <w:smallCaps/>
        </w:rPr>
        <w:t>Mercer L. Rev</w:t>
      </w:r>
      <w:r w:rsidRPr="003C5CBB">
        <w:t>. 429, 465–73 (2012).</w:t>
      </w:r>
    </w:p>
  </w:footnote>
  <w:footnote w:id="98">
    <w:p w14:paraId="5FB76722" w14:textId="075C0CDC" w:rsidR="003C5CBB" w:rsidRPr="003C5CBB" w:rsidRDefault="003C5CBB" w:rsidP="003C5CBB">
      <w:pPr>
        <w:pStyle w:val="FootnoteText"/>
      </w:pPr>
      <w:r w:rsidRPr="003C5CBB">
        <w:rPr>
          <w:vertAlign w:val="superscript"/>
        </w:rPr>
        <w:footnoteRef/>
      </w:r>
      <w:r w:rsidRPr="003C5CBB">
        <w:rPr>
          <w:i/>
        </w:rPr>
        <w:t>See</w:t>
      </w:r>
      <w:r w:rsidRPr="003C5CBB">
        <w:t xml:space="preserve"> Carter v. Helmsley-Spear, Inc., 71 F.3d 77, 84, 37 USPQ2d 1020 (2d Cir. 1995), </w:t>
      </w:r>
      <w:r w:rsidRPr="003C5CBB">
        <w:rPr>
          <w:i/>
        </w:rPr>
        <w:t>cert</w:t>
      </w:r>
      <w:r w:rsidRPr="003C5CBB">
        <w:t xml:space="preserve">. </w:t>
      </w:r>
      <w:r w:rsidRPr="003C5CBB">
        <w:rPr>
          <w:i/>
        </w:rPr>
        <w:t>denied</w:t>
      </w:r>
      <w:r w:rsidRPr="003C5CBB">
        <w:t xml:space="preserve">, 517 U.S. 1208 (1996); Spangler v. Pasadena City Bd. of Educ., 519 F.2d 430, 435 n.4 (9th Cir. 1975), </w:t>
      </w:r>
      <w:r w:rsidRPr="003C5CBB">
        <w:rPr>
          <w:i/>
        </w:rPr>
        <w:t>rev’d on other grounds</w:t>
      </w:r>
      <w:r w:rsidRPr="003C5CBB">
        <w:t>, 427 U.S. 424 (1976); Howard v. Ward Cnty., 418 F. Supp. 494, 500 (D.N.D. 1976).</w:t>
      </w:r>
    </w:p>
    <w:p w14:paraId="19FC5E2B" w14:textId="77777777" w:rsidR="003C5CBB" w:rsidRPr="00517775" w:rsidRDefault="003C5CBB" w:rsidP="00AF29FC">
      <w:pPr>
        <w:pStyle w:val="footnote"/>
      </w:pPr>
    </w:p>
  </w:footnote>
  <w:footnote w:id="99">
    <w:p w14:paraId="3623B079" w14:textId="72FCFCCD"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American Registry of Radiologic Technologists v. Garza, 2006 U.S. Dist. LEXIS 29826, at *7, 14–16 (S.D. Tex. May 12, 2006) (court accepts plaintiff’s allegation that acronym ARRT is famous).</w:t>
      </w:r>
    </w:p>
  </w:footnote>
  <w:footnote w:id="100">
    <w:p w14:paraId="623386AC" w14:textId="28B958F2" w:rsidR="003C5CBB" w:rsidRPr="003C5CBB" w:rsidRDefault="003C5CBB" w:rsidP="003C5CBB">
      <w:pPr>
        <w:pStyle w:val="FootnoteText"/>
      </w:pPr>
      <w:r w:rsidRPr="003C5CBB">
        <w:rPr>
          <w:vertAlign w:val="superscript"/>
        </w:rPr>
        <w:footnoteRef/>
      </w:r>
      <w:r w:rsidRPr="003C5CBB">
        <w:rPr>
          <w:i/>
        </w:rPr>
        <w:t>See</w:t>
      </w:r>
      <w:r w:rsidRPr="003C5CBB">
        <w:t xml:space="preserve">, </w:t>
      </w:r>
      <w:r w:rsidRPr="003C5CBB">
        <w:rPr>
          <w:i/>
        </w:rPr>
        <w:t>e.g.</w:t>
      </w:r>
      <w:r w:rsidRPr="003C5CBB">
        <w:t>, American Farm Bureau Fed. v. Virginia Farm Bureau Mutual, 2024 WL 3838424, at *7, 2024 BL 284936 (E.D. Va. July 9, 2024) (granting default judgment on dilution claim relating to mark FARM Bureau); Celgene Corp. v. Centralux Ltd, No. 17-6775, 2020 WL 1234556, at *4, 2020 BL 94691 (D.N.J. March 12, 2020); National Collegiate Athletic Ass’n v. Kizzang, LLC, 304 F. Supp. 3d 800, 807–08 (S.D. Ind. 2018); Anthem Ind., LLC v. Dawson, 2017 WL 6996371, at *3, 2017 BL 475274 (N.D. Ga. Oct. 31, 2017) (finding GRIVITZ to be a famous mark); Diesel S.P.A. v. Doe</w:t>
      </w:r>
      <w:r w:rsidRPr="003C5CBB">
        <w:rPr>
          <w:i/>
        </w:rPr>
        <w:t xml:space="preserve">, </w:t>
      </w:r>
      <w:r w:rsidRPr="003C5CBB">
        <w:t xml:space="preserve">2016 U.S. Dist. LEXIS 2720, at *15–16 (S.D.N.Y. Jan. 8, 2016). </w:t>
      </w:r>
      <w:r w:rsidRPr="003C5CBB">
        <w:rPr>
          <w:i/>
        </w:rPr>
        <w:t>But see</w:t>
      </w:r>
      <w:r w:rsidRPr="003C5CBB">
        <w:t xml:space="preserve"> E.A. Sween Co. v. A &amp; M Deli Express, Inc., 2018 WL 1283682, at *7–8, 2018 BL 84023 (E.D.N.Y. Mar. 9, 2018) (refusing to find fame in default judgment situation, citing overly conclusory allegations in the complaint and a lack of record evidence).</w:t>
      </w:r>
    </w:p>
    <w:p w14:paraId="6DC2525E" w14:textId="77777777" w:rsidR="003C5CBB" w:rsidRPr="0040679C" w:rsidRDefault="003C5CBB" w:rsidP="00AA2FE1">
      <w:pPr>
        <w:pStyle w:val="footnote"/>
        <w:rPr>
          <w:rFonts w:ascii="Georgia" w:hAnsi="Georgia" w:cs="Georgia"/>
          <w:szCs w:val="20"/>
        </w:rPr>
      </w:pPr>
    </w:p>
  </w:footnote>
  <w:footnote w:id="101">
    <w:p w14:paraId="0EF28691" w14:textId="4B4DBB49" w:rsidR="003C5CBB" w:rsidRPr="00517775" w:rsidRDefault="003C5CBB" w:rsidP="003C5CBB">
      <w:pPr>
        <w:pStyle w:val="FootnoteText"/>
      </w:pPr>
      <w:r w:rsidRPr="003C5CBB">
        <w:rPr>
          <w:vertAlign w:val="superscript"/>
        </w:rPr>
        <w:footnoteRef/>
      </w:r>
      <w:r w:rsidRPr="003C5CBB">
        <w:t>2007 U.S. Dist. LEXIS 90487 (C.D. Cal. Sept. 20, 2007).</w:t>
      </w:r>
    </w:p>
  </w:footnote>
  <w:footnote w:id="102">
    <w:p w14:paraId="79E57594" w14:textId="6995FD53" w:rsidR="003C5CBB" w:rsidRPr="003C5CBB" w:rsidRDefault="003C5CBB" w:rsidP="003C5CBB">
      <w:pPr>
        <w:pStyle w:val="FootnoteText"/>
      </w:pPr>
      <w:r w:rsidRPr="003C5CBB">
        <w:rPr>
          <w:vertAlign w:val="superscript"/>
        </w:rPr>
        <w:footnoteRef/>
      </w:r>
      <w:r w:rsidRPr="003C5CBB">
        <w:rPr>
          <w:i/>
        </w:rPr>
        <w:t>See</w:t>
      </w:r>
      <w:r w:rsidRPr="003C5CBB">
        <w:t xml:space="preserve"> Moseley v. V Secret Catalogue, Inc., 537 U.S. 418 (2003) (holding that actual dilution, not likelihood of dilution, was the required showing under the FTDA).</w:t>
      </w:r>
    </w:p>
    <w:p w14:paraId="72DCB6D5" w14:textId="77777777" w:rsidR="003C5CBB" w:rsidRPr="00517775" w:rsidRDefault="003C5CBB" w:rsidP="00AF29FC">
      <w:pPr>
        <w:pStyle w:val="footnote"/>
      </w:pPr>
    </w:p>
  </w:footnote>
  <w:footnote w:id="103">
    <w:p w14:paraId="3A85460D" w14:textId="3A2448F2" w:rsidR="003C5CBB" w:rsidRPr="00517775" w:rsidRDefault="003C5CBB" w:rsidP="003C5CBB">
      <w:pPr>
        <w:pStyle w:val="FootnoteText"/>
      </w:pPr>
      <w:r w:rsidRPr="003C5CBB">
        <w:rPr>
          <w:vertAlign w:val="superscript"/>
        </w:rPr>
        <w:footnoteRef/>
      </w:r>
      <w:r w:rsidRPr="003C5CBB">
        <w:t xml:space="preserve">Since the defendant started using the mark in 1991, a key issue was </w:t>
      </w:r>
      <w:r w:rsidRPr="003C5CBB">
        <w:rPr>
          <w:i/>
        </w:rPr>
        <w:t>when</w:t>
      </w:r>
      <w:r w:rsidRPr="003C5CBB">
        <w:t xml:space="preserve"> the Nissan mark became famous.</w:t>
      </w:r>
    </w:p>
  </w:footnote>
  <w:footnote w:id="104">
    <w:p w14:paraId="32D06F0D" w14:textId="3461FD5D" w:rsidR="003C5CBB" w:rsidRPr="00517775" w:rsidRDefault="003C5CBB" w:rsidP="003C5CBB">
      <w:pPr>
        <w:pStyle w:val="FootnoteText"/>
      </w:pPr>
      <w:r w:rsidRPr="003C5CBB">
        <w:rPr>
          <w:vertAlign w:val="superscript"/>
        </w:rPr>
        <w:footnoteRef/>
      </w:r>
      <w:r w:rsidRPr="003C5CBB">
        <w:t>2007 U.S. Dist. LEXIS 90487, at *32–35.</w:t>
      </w:r>
    </w:p>
  </w:footnote>
  <w:footnote w:id="105">
    <w:p w14:paraId="5E564BB1" w14:textId="1D0F460E" w:rsidR="003C5CBB" w:rsidRPr="00366F48" w:rsidRDefault="003C5CBB" w:rsidP="003C5CBB">
      <w:pPr>
        <w:pStyle w:val="FootnoteText"/>
        <w:rPr>
          <w:lang w:val="da-DK"/>
        </w:rPr>
      </w:pPr>
      <w:r w:rsidRPr="003C5CBB">
        <w:rPr>
          <w:vertAlign w:val="superscript"/>
        </w:rPr>
        <w:footnoteRef/>
      </w:r>
      <w:r w:rsidRPr="003C5CBB">
        <w:rPr>
          <w:i/>
        </w:rPr>
        <w:t>Id</w:t>
      </w:r>
      <w:r w:rsidRPr="003C5CBB">
        <w:t>. at *35.</w:t>
      </w:r>
    </w:p>
  </w:footnote>
  <w:footnote w:id="106">
    <w:p w14:paraId="1D6F0AB7" w14:textId="6DFF4E44" w:rsidR="003C5CBB" w:rsidRPr="00366F48" w:rsidRDefault="003C5CBB" w:rsidP="003C5CBB">
      <w:pPr>
        <w:pStyle w:val="FootnoteText"/>
        <w:rPr>
          <w:lang w:val="da-DK"/>
        </w:rPr>
      </w:pPr>
      <w:r w:rsidRPr="003C5CBB">
        <w:rPr>
          <w:vertAlign w:val="superscript"/>
        </w:rPr>
        <w:footnoteRef/>
      </w:r>
      <w:r w:rsidRPr="003C5CBB">
        <w:rPr>
          <w:i/>
        </w:rPr>
        <w:t>Id</w:t>
      </w:r>
      <w:r w:rsidRPr="003C5CBB">
        <w:t>. at *36.</w:t>
      </w:r>
    </w:p>
  </w:footnote>
  <w:footnote w:id="107">
    <w:p w14:paraId="408F1E5F" w14:textId="3C52F7B9" w:rsidR="003C5CBB" w:rsidRPr="00366F48" w:rsidRDefault="003C5CBB" w:rsidP="003C5CBB">
      <w:pPr>
        <w:pStyle w:val="FootnoteText"/>
        <w:rPr>
          <w:lang w:val="da-DK"/>
        </w:rPr>
      </w:pPr>
      <w:r w:rsidRPr="003C5CBB">
        <w:rPr>
          <w:vertAlign w:val="superscript"/>
        </w:rPr>
        <w:footnoteRef/>
      </w:r>
      <w:r w:rsidRPr="003C5CBB">
        <w:t>84 USPQ2d 1820 (E.D. Cal. 2007).</w:t>
      </w:r>
    </w:p>
  </w:footnote>
  <w:footnote w:id="108">
    <w:p w14:paraId="1BC803A3" w14:textId="766A75F8" w:rsidR="003C5CBB" w:rsidRPr="00366F48" w:rsidRDefault="003C5CBB" w:rsidP="003C5CBB">
      <w:pPr>
        <w:pStyle w:val="FootnoteText"/>
        <w:rPr>
          <w:lang w:val="da-DK"/>
        </w:rPr>
      </w:pPr>
      <w:r w:rsidRPr="003C5CBB">
        <w:rPr>
          <w:vertAlign w:val="superscript"/>
        </w:rPr>
        <w:footnoteRef/>
      </w:r>
      <w:r w:rsidRPr="003C5CBB">
        <w:rPr>
          <w:i/>
        </w:rPr>
        <w:t>Id</w:t>
      </w:r>
      <w:r w:rsidRPr="003C5CBB">
        <w:t xml:space="preserve">. </w:t>
      </w:r>
      <w:r w:rsidRPr="003C5CBB">
        <w:t>at 1826.</w:t>
      </w:r>
    </w:p>
  </w:footnote>
  <w:footnote w:id="109">
    <w:p w14:paraId="1A4667FF" w14:textId="42DBBCD7" w:rsidR="003C5CBB" w:rsidRPr="00366F48" w:rsidRDefault="003C5CBB" w:rsidP="003C5CBB">
      <w:pPr>
        <w:pStyle w:val="FootnoteText"/>
        <w:rPr>
          <w:lang w:val="da-DK"/>
        </w:rPr>
      </w:pPr>
      <w:r w:rsidRPr="003C5CBB">
        <w:rPr>
          <w:vertAlign w:val="superscript"/>
        </w:rPr>
        <w:footnoteRef/>
      </w:r>
      <w:r w:rsidRPr="003C5CBB">
        <w:t>100 USPQ2d 1417 (S.D.N.Y. 2011).</w:t>
      </w:r>
    </w:p>
  </w:footnote>
  <w:footnote w:id="110">
    <w:p w14:paraId="3022044F" w14:textId="6D3CA141" w:rsidR="003C5CBB" w:rsidRPr="00366F48" w:rsidRDefault="003C5CBB" w:rsidP="003C5CBB">
      <w:pPr>
        <w:pStyle w:val="FootnoteText"/>
        <w:rPr>
          <w:lang w:val="da-DK"/>
        </w:rPr>
      </w:pPr>
      <w:r w:rsidRPr="003C5CBB">
        <w:rPr>
          <w:vertAlign w:val="superscript"/>
        </w:rPr>
        <w:footnoteRef/>
      </w:r>
      <w:r w:rsidRPr="003C5CBB">
        <w:rPr>
          <w:i/>
        </w:rPr>
        <w:t>Id</w:t>
      </w:r>
      <w:r w:rsidRPr="003C5CBB">
        <w:t>. at 1419, 1429, 1431.</w:t>
      </w:r>
    </w:p>
  </w:footnote>
  <w:footnote w:id="111">
    <w:p w14:paraId="05D52070" w14:textId="77B2452D" w:rsidR="003C5CBB" w:rsidRPr="00517775" w:rsidRDefault="003C5CBB" w:rsidP="003C5CBB">
      <w:pPr>
        <w:pStyle w:val="FootnoteText"/>
      </w:pPr>
      <w:r w:rsidRPr="003C5CBB">
        <w:rPr>
          <w:vertAlign w:val="superscript"/>
        </w:rPr>
        <w:footnoteRef/>
      </w:r>
      <w:r w:rsidRPr="003C5CBB">
        <w:t>Audi, AG v. Shokan Coachworks, Inc., 592 F. Supp. 2d 246, 280 (N.D.N.Y. 2008). The court also noted that another court had previously found the marks to be famous.</w:t>
      </w:r>
    </w:p>
  </w:footnote>
  <w:footnote w:id="112">
    <w:p w14:paraId="48B085E7" w14:textId="77D734EE" w:rsidR="003C5CBB" w:rsidRPr="003C5CBB" w:rsidRDefault="003C5CBB" w:rsidP="003C5CBB">
      <w:pPr>
        <w:pStyle w:val="FootnoteText"/>
      </w:pPr>
      <w:r w:rsidRPr="003C5CBB">
        <w:rPr>
          <w:vertAlign w:val="superscript"/>
        </w:rPr>
        <w:footnoteRef/>
      </w:r>
      <w:r w:rsidRPr="003C5CBB">
        <w:t>Lorillard Tobacco Co. v. California Imports, LLC, 886 F. Supp. 2d 529, 536, 105 USPQ2d 1230 (E.D. Va. 2012).</w:t>
      </w:r>
    </w:p>
    <w:p w14:paraId="370DD126" w14:textId="77777777" w:rsidR="003C5CBB" w:rsidRDefault="003C5CBB" w:rsidP="00AF29FC">
      <w:pPr>
        <w:pStyle w:val="footnote"/>
      </w:pPr>
    </w:p>
  </w:footnote>
  <w:footnote w:id="113">
    <w:p w14:paraId="7D27547D" w14:textId="4A0325AF" w:rsidR="003C5CBB" w:rsidRPr="00602473" w:rsidRDefault="003C5CBB" w:rsidP="003C5CBB">
      <w:pPr>
        <w:pStyle w:val="FootnoteText"/>
      </w:pPr>
      <w:r w:rsidRPr="003C5CBB">
        <w:rPr>
          <w:rStyle w:val="FootnoteReference"/>
          <w:rFonts w:eastAsiaTheme="majorEastAsia"/>
        </w:rPr>
        <w:footnoteRef/>
      </w:r>
      <w:r w:rsidRPr="003C5CBB">
        <w:t xml:space="preserve">RE/MAX, LLC v. Shenzhen Remax Co., 2019 WL 1081039, at * 6, 2019 BL 83986 (D. Colo. Jan. 18, 2019) (magistrate judge opinion). The magistrate judge also cited the registration of the mark, to demonstrate that the mark was distinctive. </w:t>
      </w:r>
      <w:r w:rsidRPr="003C5CBB">
        <w:rPr>
          <w:i/>
        </w:rPr>
        <w:t>Id</w:t>
      </w:r>
      <w:r w:rsidRPr="003C5CBB">
        <w:t>. This case involved a default judgment, so plaintiff’s evidence was not challenged.</w:t>
      </w:r>
    </w:p>
  </w:footnote>
  <w:footnote w:id="114">
    <w:p w14:paraId="12DE3A75" w14:textId="43F10C58" w:rsidR="003C5CBB" w:rsidRDefault="003C5CBB" w:rsidP="003C5CBB">
      <w:pPr>
        <w:pStyle w:val="FootnoteText"/>
      </w:pPr>
      <w:r w:rsidRPr="003C5CBB">
        <w:rPr>
          <w:rStyle w:val="FootnoteReference"/>
          <w:rFonts w:eastAsiaTheme="majorEastAsia"/>
        </w:rPr>
        <w:footnoteRef/>
      </w:r>
      <w:r w:rsidRPr="003C5CBB">
        <w:t>Museum of Modern Art v. MOMACHA IP LLC, 339 F. Supp. 3d 361, 381 (S.D.N.Y. 2018).</w:t>
      </w:r>
    </w:p>
  </w:footnote>
  <w:footnote w:id="115">
    <w:p w14:paraId="62C4CCCD" w14:textId="4B2C66DF" w:rsidR="003C5CBB" w:rsidRPr="00517775" w:rsidRDefault="003C5CBB" w:rsidP="003C5CBB">
      <w:pPr>
        <w:pStyle w:val="FootnoteText"/>
      </w:pPr>
      <w:r w:rsidRPr="003C5CBB">
        <w:rPr>
          <w:vertAlign w:val="superscript"/>
        </w:rPr>
        <w:footnoteRef/>
      </w:r>
      <w:r w:rsidRPr="003C5CBB">
        <w:t>See Chapter 13 for a detailed discussion of TTAB and Federal Circuit cases.</w:t>
      </w:r>
    </w:p>
  </w:footnote>
  <w:footnote w:id="116">
    <w:p w14:paraId="60358076" w14:textId="134DEE1A" w:rsidR="003C5CBB" w:rsidRPr="00517775" w:rsidRDefault="003C5CBB" w:rsidP="003C5CBB">
      <w:pPr>
        <w:pStyle w:val="FootnoteText"/>
      </w:pPr>
      <w:r w:rsidRPr="003C5CBB">
        <w:rPr>
          <w:vertAlign w:val="superscript"/>
        </w:rPr>
        <w:footnoteRef/>
      </w:r>
      <w:r w:rsidRPr="003C5CBB">
        <w:t>Nike, Inc. v. Maher, 100 USPQ2d 1018, 1024 (T.T.A.B. 2011).</w:t>
      </w:r>
    </w:p>
  </w:footnote>
  <w:footnote w:id="117">
    <w:p w14:paraId="2F814298" w14:textId="753D1936" w:rsidR="003C5CBB" w:rsidRPr="003C5CBB" w:rsidRDefault="003C5CBB" w:rsidP="003C5CBB">
      <w:pPr>
        <w:pStyle w:val="FootnoteText"/>
      </w:pPr>
      <w:r w:rsidRPr="003C5CBB">
        <w:rPr>
          <w:vertAlign w:val="superscript"/>
        </w:rPr>
        <w:footnoteRef/>
      </w:r>
      <w:r w:rsidRPr="003C5CBB">
        <w:t>110 USPQ2d 2013 (T.T.A.B. 2014).</w:t>
      </w:r>
    </w:p>
    <w:p w14:paraId="0CE49CA2" w14:textId="77777777" w:rsidR="003C5CBB" w:rsidRDefault="003C5CBB" w:rsidP="00AF29FC">
      <w:pPr>
        <w:pStyle w:val="footnote"/>
      </w:pPr>
    </w:p>
  </w:footnote>
  <w:footnote w:id="118">
    <w:p w14:paraId="0B5695E5" w14:textId="75C99A24" w:rsidR="003C5CBB" w:rsidRPr="003C5CBB" w:rsidRDefault="003C5CBB" w:rsidP="003C5CBB">
      <w:pPr>
        <w:pStyle w:val="FootnoteText"/>
      </w:pPr>
      <w:r w:rsidRPr="003C5CBB">
        <w:rPr>
          <w:vertAlign w:val="superscript"/>
        </w:rPr>
        <w:footnoteRef/>
      </w:r>
      <w:r w:rsidRPr="003C5CBB">
        <w:rPr>
          <w:i/>
        </w:rPr>
        <w:t xml:space="preserve">Id. </w:t>
      </w:r>
      <w:r w:rsidRPr="003C5CBB">
        <w:t>at 2019–20.</w:t>
      </w:r>
    </w:p>
    <w:p w14:paraId="13C13482" w14:textId="77777777" w:rsidR="003C5CBB" w:rsidRPr="00366F48" w:rsidRDefault="003C5CBB" w:rsidP="00AF29FC">
      <w:pPr>
        <w:pStyle w:val="footnote"/>
        <w:rPr>
          <w:lang w:val="da-DK"/>
        </w:rPr>
      </w:pPr>
    </w:p>
  </w:footnote>
  <w:footnote w:id="119">
    <w:p w14:paraId="60A89F93" w14:textId="522B42AD" w:rsidR="003C5CBB" w:rsidRPr="003C5CBB" w:rsidRDefault="003C5CBB" w:rsidP="003C5CBB">
      <w:pPr>
        <w:pStyle w:val="FootnoteText"/>
      </w:pPr>
      <w:r w:rsidRPr="003C5CBB">
        <w:rPr>
          <w:vertAlign w:val="superscript"/>
        </w:rPr>
        <w:footnoteRef/>
      </w:r>
      <w:r w:rsidRPr="003C5CBB">
        <w:rPr>
          <w:i/>
        </w:rPr>
        <w:t>Id</w:t>
      </w:r>
      <w:r w:rsidRPr="003C5CBB">
        <w:t xml:space="preserve">. </w:t>
      </w:r>
      <w:r w:rsidRPr="003C5CBB">
        <w:t>at 2020.</w:t>
      </w:r>
    </w:p>
    <w:p w14:paraId="3FFEBBD8" w14:textId="77777777" w:rsidR="003C5CBB" w:rsidRPr="00366F48" w:rsidRDefault="003C5CBB" w:rsidP="00AF29FC">
      <w:pPr>
        <w:pStyle w:val="footnote"/>
        <w:rPr>
          <w:lang w:val="da-DK"/>
        </w:rPr>
      </w:pPr>
    </w:p>
  </w:footnote>
  <w:footnote w:id="120">
    <w:p w14:paraId="17CF6F25" w14:textId="60A9BA64" w:rsidR="003C5CBB" w:rsidRPr="003C5CBB" w:rsidRDefault="003C5CBB" w:rsidP="003C5CBB">
      <w:pPr>
        <w:pStyle w:val="FootnoteText"/>
      </w:pPr>
      <w:r w:rsidRPr="003C5CBB">
        <w:rPr>
          <w:vertAlign w:val="superscript"/>
        </w:rPr>
        <w:footnoteRef/>
      </w:r>
      <w:r w:rsidRPr="003C5CBB">
        <w:rPr>
          <w:i/>
        </w:rPr>
        <w:t>Id</w:t>
      </w:r>
      <w:r w:rsidRPr="003C5CBB">
        <w:t>.</w:t>
      </w:r>
    </w:p>
    <w:p w14:paraId="0BE78BA0" w14:textId="77777777" w:rsidR="003C5CBB" w:rsidRPr="00366F48" w:rsidRDefault="003C5CBB" w:rsidP="00AF29FC">
      <w:pPr>
        <w:pStyle w:val="footnote"/>
        <w:rPr>
          <w:lang w:val="da-DK"/>
        </w:rPr>
      </w:pPr>
    </w:p>
  </w:footnote>
  <w:footnote w:id="121">
    <w:p w14:paraId="4151ED25" w14:textId="12940840" w:rsidR="003C5CBB" w:rsidRPr="003C5CBB" w:rsidRDefault="003C5CBB" w:rsidP="003C5CBB">
      <w:pPr>
        <w:pStyle w:val="FootnoteText"/>
      </w:pPr>
      <w:r w:rsidRPr="003C5CBB">
        <w:rPr>
          <w:vertAlign w:val="superscript"/>
        </w:rPr>
        <w:footnoteRef/>
      </w:r>
      <w:r w:rsidRPr="003C5CBB">
        <w:rPr>
          <w:i/>
        </w:rPr>
        <w:t>Id</w:t>
      </w:r>
      <w:r w:rsidRPr="003C5CBB">
        <w:t xml:space="preserve">. </w:t>
      </w:r>
      <w:r w:rsidRPr="003C5CBB">
        <w:t xml:space="preserve">at 2020–21. It further noted that Chanel has been featured in fiction and non-fiction books. </w:t>
      </w:r>
      <w:r w:rsidRPr="003C5CBB">
        <w:rPr>
          <w:i/>
        </w:rPr>
        <w:t xml:space="preserve">Id. </w:t>
      </w:r>
      <w:r w:rsidRPr="003C5CBB">
        <w:t>at 2021.</w:t>
      </w:r>
    </w:p>
    <w:p w14:paraId="7F036A32" w14:textId="77777777" w:rsidR="003C5CBB" w:rsidRDefault="003C5CBB" w:rsidP="00AF29FC">
      <w:pPr>
        <w:pStyle w:val="footnote"/>
      </w:pPr>
    </w:p>
  </w:footnote>
  <w:footnote w:id="122">
    <w:p w14:paraId="01953FBD" w14:textId="540D2E01" w:rsidR="003C5CBB" w:rsidRPr="003C5CBB" w:rsidRDefault="003C5CBB" w:rsidP="003C5CBB">
      <w:pPr>
        <w:pStyle w:val="FootnoteText"/>
      </w:pPr>
      <w:r w:rsidRPr="003C5CBB">
        <w:rPr>
          <w:vertAlign w:val="superscript"/>
        </w:rPr>
        <w:footnoteRef/>
      </w:r>
      <w:r w:rsidRPr="003C5CBB">
        <w:rPr>
          <w:i/>
        </w:rPr>
        <w:t>Id</w:t>
      </w:r>
      <w:r w:rsidRPr="003C5CBB">
        <w:t xml:space="preserve">. </w:t>
      </w:r>
      <w:r w:rsidRPr="003C5CBB">
        <w:t>at 2022.</w:t>
      </w:r>
    </w:p>
    <w:p w14:paraId="55BADE32" w14:textId="77777777" w:rsidR="003C5CBB" w:rsidRDefault="003C5CBB" w:rsidP="00AF29FC">
      <w:pPr>
        <w:pStyle w:val="footnote"/>
      </w:pPr>
    </w:p>
  </w:footnote>
  <w:footnote w:id="123">
    <w:p w14:paraId="0F742BD8" w14:textId="18AAC364" w:rsidR="003C5CBB" w:rsidRPr="003C5CBB" w:rsidRDefault="003C5CBB" w:rsidP="003C5CBB">
      <w:pPr>
        <w:pStyle w:val="FootnoteText"/>
      </w:pPr>
      <w:r w:rsidRPr="003C5CBB">
        <w:rPr>
          <w:vertAlign w:val="superscript"/>
        </w:rPr>
        <w:footnoteRef/>
      </w:r>
      <w:r w:rsidRPr="003C5CBB">
        <w:rPr>
          <w:i/>
        </w:rPr>
        <w:t xml:space="preserve">Id. </w:t>
      </w:r>
      <w:r w:rsidRPr="003C5CBB">
        <w:t>at 2021.</w:t>
      </w:r>
    </w:p>
    <w:p w14:paraId="76C2BEE1" w14:textId="77777777" w:rsidR="003C5CBB" w:rsidRDefault="003C5CBB" w:rsidP="00AF29FC">
      <w:pPr>
        <w:pStyle w:val="footnote"/>
      </w:pPr>
    </w:p>
  </w:footnote>
  <w:footnote w:id="124">
    <w:p w14:paraId="70E719F4" w14:textId="6A16A3CD" w:rsidR="003C5CBB" w:rsidRPr="003C5CBB" w:rsidRDefault="003C5CBB" w:rsidP="003C5CBB">
      <w:pPr>
        <w:pStyle w:val="FootnoteText"/>
      </w:pPr>
      <w:r w:rsidRPr="003C5CBB">
        <w:rPr>
          <w:vertAlign w:val="superscript"/>
        </w:rPr>
        <w:footnoteRef/>
      </w:r>
      <w:r w:rsidRPr="003C5CBB">
        <w:rPr>
          <w:i/>
        </w:rPr>
        <w:t xml:space="preserve">Id. </w:t>
      </w:r>
      <w:r w:rsidRPr="003C5CBB">
        <w:t>at 2022.</w:t>
      </w:r>
    </w:p>
    <w:p w14:paraId="6CDBAB4F" w14:textId="77777777" w:rsidR="003C5CBB" w:rsidRDefault="003C5CBB" w:rsidP="00AF29FC">
      <w:pPr>
        <w:pStyle w:val="footnote"/>
      </w:pPr>
    </w:p>
  </w:footnote>
  <w:footnote w:id="125">
    <w:p w14:paraId="4401026B" w14:textId="112E8E4E" w:rsidR="003C5CBB" w:rsidRPr="003C5CBB" w:rsidRDefault="003C5CBB" w:rsidP="003C5CBB">
      <w:pPr>
        <w:pStyle w:val="FootnoteText"/>
      </w:pPr>
      <w:r w:rsidRPr="003C5CBB">
        <w:rPr>
          <w:vertAlign w:val="superscript"/>
        </w:rPr>
        <w:footnoteRef/>
      </w:r>
      <w:r w:rsidRPr="003C5CBB">
        <w:rPr>
          <w:i/>
        </w:rPr>
        <w:t xml:space="preserve">Id. </w:t>
      </w:r>
      <w:r w:rsidRPr="003C5CBB">
        <w:t xml:space="preserve">Unfortunately, the exact numbers were probably deemed a trade secret by Chanel and submitted under an order of confidentiality. </w:t>
      </w:r>
      <w:r w:rsidRPr="003C5CBB">
        <w:rPr>
          <w:i/>
        </w:rPr>
        <w:t xml:space="preserve">See id. </w:t>
      </w:r>
      <w:r w:rsidRPr="003C5CBB">
        <w:t>at 2016 (the parties stipulated that evidence could be marked “confidential”).</w:t>
      </w:r>
    </w:p>
    <w:p w14:paraId="75C698A9" w14:textId="77777777" w:rsidR="003C5CBB" w:rsidRDefault="003C5CBB" w:rsidP="00AF29FC">
      <w:pPr>
        <w:pStyle w:val="footnote"/>
      </w:pPr>
    </w:p>
  </w:footnote>
  <w:footnote w:id="126">
    <w:p w14:paraId="7948B87C" w14:textId="62DADE2E" w:rsidR="003C5CBB" w:rsidRPr="003C5CBB" w:rsidRDefault="003C5CBB" w:rsidP="003C5CBB">
      <w:pPr>
        <w:pStyle w:val="FootnoteText"/>
      </w:pPr>
      <w:r w:rsidRPr="003C5CBB">
        <w:rPr>
          <w:vertAlign w:val="superscript"/>
        </w:rPr>
        <w:footnoteRef/>
      </w:r>
      <w:r w:rsidRPr="003C5CBB">
        <w:rPr>
          <w:i/>
        </w:rPr>
        <w:t xml:space="preserve">Id. </w:t>
      </w:r>
      <w:r w:rsidRPr="003C5CBB">
        <w:t xml:space="preserve">at 2022. The Board also found Chanel to be a “distinctive” mark within the meaning of the TDRA. </w:t>
      </w:r>
      <w:r w:rsidRPr="003C5CBB">
        <w:rPr>
          <w:i/>
        </w:rPr>
        <w:t>Id</w:t>
      </w:r>
      <w:r w:rsidRPr="003C5CBB">
        <w:t>.</w:t>
      </w:r>
    </w:p>
    <w:p w14:paraId="75DA69CD" w14:textId="77777777" w:rsidR="003C5CBB" w:rsidRDefault="003C5CBB" w:rsidP="00AF29FC">
      <w:pPr>
        <w:pStyle w:val="footnote"/>
      </w:pPr>
    </w:p>
  </w:footnote>
  <w:footnote w:id="127">
    <w:p w14:paraId="1A7846AB" w14:textId="4136833A" w:rsidR="003C5CBB" w:rsidRPr="00366F48" w:rsidRDefault="003C5CBB" w:rsidP="003C5CBB">
      <w:pPr>
        <w:pStyle w:val="FootnoteText"/>
        <w:rPr>
          <w:lang w:val="da-DK"/>
        </w:rPr>
      </w:pPr>
      <w:r w:rsidRPr="003C5CBB">
        <w:rPr>
          <w:vertAlign w:val="superscript"/>
        </w:rPr>
        <w:footnoteRef/>
      </w:r>
      <w:r w:rsidRPr="003C5CBB">
        <w:t>102 USPQ2d 1187 (T.T.A.B. 2012).</w:t>
      </w:r>
    </w:p>
  </w:footnote>
  <w:footnote w:id="128">
    <w:p w14:paraId="44DC7322" w14:textId="018A6AA0" w:rsidR="003C5CBB" w:rsidRPr="00366F48" w:rsidRDefault="003C5CBB" w:rsidP="003C5CBB">
      <w:pPr>
        <w:pStyle w:val="FootnoteText"/>
        <w:rPr>
          <w:lang w:val="da-DK"/>
        </w:rPr>
      </w:pPr>
      <w:r w:rsidRPr="003C5CBB">
        <w:rPr>
          <w:vertAlign w:val="superscript"/>
        </w:rPr>
        <w:footnoteRef/>
      </w:r>
      <w:r w:rsidRPr="003C5CBB">
        <w:rPr>
          <w:i/>
        </w:rPr>
        <w:t>Id</w:t>
      </w:r>
      <w:r w:rsidRPr="003C5CBB">
        <w:t>. at 1192–93, 1197.</w:t>
      </w:r>
    </w:p>
  </w:footnote>
  <w:footnote w:id="129">
    <w:p w14:paraId="6461CA9B" w14:textId="04AE31FA" w:rsidR="003C5CBB" w:rsidRPr="003C5CBB" w:rsidRDefault="003C5CBB" w:rsidP="003C5CBB">
      <w:pPr>
        <w:pStyle w:val="FootnoteText"/>
      </w:pPr>
      <w:r w:rsidRPr="003C5CBB">
        <w:rPr>
          <w:vertAlign w:val="superscript"/>
        </w:rPr>
        <w:footnoteRef/>
      </w:r>
      <w:r w:rsidRPr="003C5CBB">
        <w:t>National Pork Bd. v. Supreme Lobster &amp; Seafood Co., 96 USPQ2d 1479 (T.T.A.B. 2010).</w:t>
      </w:r>
    </w:p>
    <w:p w14:paraId="16A68B35" w14:textId="77777777" w:rsidR="003C5CBB" w:rsidRPr="00517775" w:rsidRDefault="003C5CBB" w:rsidP="00AF29FC">
      <w:pPr>
        <w:pStyle w:val="footnote"/>
      </w:pPr>
    </w:p>
  </w:footnote>
  <w:footnote w:id="130">
    <w:p w14:paraId="53DEC740" w14:textId="36291C6C" w:rsidR="003C5CBB" w:rsidRPr="00366F48" w:rsidRDefault="003C5CBB" w:rsidP="003C5CBB">
      <w:pPr>
        <w:pStyle w:val="FootnoteText"/>
        <w:rPr>
          <w:lang w:val="da-DK"/>
        </w:rPr>
      </w:pPr>
      <w:r w:rsidRPr="003C5CBB">
        <w:rPr>
          <w:vertAlign w:val="superscript"/>
        </w:rPr>
        <w:footnoteRef/>
      </w:r>
      <w:r w:rsidRPr="003C5CBB">
        <w:rPr>
          <w:i/>
        </w:rPr>
        <w:t>Id</w:t>
      </w:r>
      <w:r w:rsidRPr="003C5CBB">
        <w:t>. at 1495-96.</w:t>
      </w:r>
    </w:p>
  </w:footnote>
  <w:footnote w:id="131">
    <w:p w14:paraId="31B8A71B" w14:textId="1DE0AA07" w:rsidR="003C5CBB" w:rsidRPr="00366F48" w:rsidRDefault="003C5CBB" w:rsidP="003C5CBB">
      <w:pPr>
        <w:pStyle w:val="FootnoteText"/>
        <w:rPr>
          <w:lang w:val="da-DK"/>
        </w:rPr>
      </w:pPr>
      <w:r w:rsidRPr="003C5CBB">
        <w:rPr>
          <w:vertAlign w:val="superscript"/>
        </w:rPr>
        <w:footnoteRef/>
      </w:r>
      <w:r w:rsidRPr="003C5CBB">
        <w:t>100 USPQ2d 1868, 1887 (T.T.A.B. 2011).</w:t>
      </w:r>
    </w:p>
  </w:footnote>
  <w:footnote w:id="132">
    <w:p w14:paraId="67059E99" w14:textId="623419B9" w:rsidR="003C5CBB" w:rsidRPr="003C5CBB" w:rsidRDefault="003C5CBB" w:rsidP="003C5CBB">
      <w:pPr>
        <w:pStyle w:val="FootnoteText"/>
      </w:pPr>
      <w:r w:rsidRPr="003C5CBB">
        <w:rPr>
          <w:vertAlign w:val="superscript"/>
        </w:rPr>
        <w:footnoteRef/>
      </w:r>
      <w:r w:rsidRPr="003C5CBB">
        <w:rPr>
          <w:i/>
        </w:rPr>
        <w:t>Id</w:t>
      </w:r>
      <w:r w:rsidRPr="003C5CBB">
        <w:t>.</w:t>
      </w:r>
    </w:p>
    <w:p w14:paraId="5DA236DC" w14:textId="77777777" w:rsidR="003C5CBB" w:rsidRPr="00517775" w:rsidRDefault="003C5CBB" w:rsidP="00AF29FC">
      <w:pPr>
        <w:pStyle w:val="footnote"/>
      </w:pPr>
    </w:p>
  </w:footnote>
  <w:footnote w:id="133">
    <w:p w14:paraId="763FC177" w14:textId="03CBC63F" w:rsidR="003C5CBB" w:rsidRPr="003C5CBB" w:rsidRDefault="003C5CBB" w:rsidP="003C5CBB">
      <w:pPr>
        <w:pStyle w:val="FootnoteText"/>
      </w:pPr>
      <w:r w:rsidRPr="003C5CBB">
        <w:rPr>
          <w:vertAlign w:val="superscript"/>
        </w:rPr>
        <w:footnoteRef/>
      </w:r>
      <w:r w:rsidRPr="003C5CBB">
        <w:rPr>
          <w:i/>
        </w:rPr>
        <w:t>Id</w:t>
      </w:r>
      <w:r w:rsidRPr="003C5CBB">
        <w:t>.</w:t>
      </w:r>
    </w:p>
    <w:p w14:paraId="06EDE014" w14:textId="77777777" w:rsidR="003C5CBB" w:rsidRPr="00517775" w:rsidRDefault="003C5CBB" w:rsidP="00AF29FC">
      <w:pPr>
        <w:pStyle w:val="footnote"/>
      </w:pPr>
    </w:p>
  </w:footnote>
  <w:footnote w:id="134">
    <w:p w14:paraId="50848F5A" w14:textId="3B8111EA" w:rsidR="003C5CBB" w:rsidRPr="00517775" w:rsidRDefault="003C5CBB" w:rsidP="003C5CBB">
      <w:pPr>
        <w:pStyle w:val="FootnoteText"/>
      </w:pPr>
      <w:r w:rsidRPr="003C5CBB">
        <w:rPr>
          <w:vertAlign w:val="superscript"/>
        </w:rPr>
        <w:footnoteRef/>
      </w:r>
      <w:r w:rsidRPr="003C5CBB">
        <w:t xml:space="preserve">101 USPQ2d 1188 (T.T.A.B. 2011), </w:t>
      </w:r>
      <w:r w:rsidRPr="003C5CBB">
        <w:rPr>
          <w:i/>
        </w:rPr>
        <w:t>vacated</w:t>
      </w:r>
      <w:r w:rsidRPr="003C5CBB">
        <w:t>, 2013 TTAB LEXIS 46 (T.T.A.B. Jan. 29, 2013) (applicant abandoned the application) (decision designated precedential July 17, 2013).</w:t>
      </w:r>
    </w:p>
  </w:footnote>
  <w:footnote w:id="135">
    <w:p w14:paraId="7AE32462" w14:textId="6153547F" w:rsidR="003C5CBB" w:rsidRPr="00517775" w:rsidRDefault="003C5CBB" w:rsidP="003C5CBB">
      <w:pPr>
        <w:pStyle w:val="FootnoteText"/>
      </w:pPr>
      <w:r w:rsidRPr="003C5CBB">
        <w:rPr>
          <w:vertAlign w:val="superscript"/>
        </w:rPr>
        <w:footnoteRef/>
      </w:r>
      <w:r w:rsidRPr="003C5CBB">
        <w:rPr>
          <w:i/>
        </w:rPr>
        <w:t>Id</w:t>
      </w:r>
      <w:r w:rsidRPr="003C5CBB">
        <w:t xml:space="preserve">. at 1192–93. The TTAB also distinguished its decision in </w:t>
      </w:r>
      <w:r w:rsidRPr="003C5CBB">
        <w:rPr>
          <w:i/>
        </w:rPr>
        <w:t>Coach Services, Inc</w:t>
      </w:r>
      <w:r w:rsidRPr="003C5CBB">
        <w:t xml:space="preserve">. </w:t>
      </w:r>
      <w:r w:rsidRPr="003C5CBB">
        <w:rPr>
          <w:i/>
        </w:rPr>
        <w:t>v</w:t>
      </w:r>
      <w:r w:rsidRPr="003C5CBB">
        <w:t xml:space="preserve">. </w:t>
      </w:r>
      <w:r w:rsidRPr="003C5CBB">
        <w:rPr>
          <w:i/>
        </w:rPr>
        <w:t>Triumph Learning, LLC</w:t>
      </w:r>
      <w:r w:rsidRPr="003C5CBB">
        <w:t xml:space="preserve">, 96 USPQ2d 1600 (T.T.A.B. 2010), </w:t>
      </w:r>
      <w:r w:rsidRPr="003C5CBB">
        <w:rPr>
          <w:i/>
        </w:rPr>
        <w:t>aff’d</w:t>
      </w:r>
      <w:r w:rsidRPr="003C5CBB">
        <w:t xml:space="preserve">, 668 F.3d 1356, 101 USPQ2d 1713 (Fed. Cir. 2012), regarding the lack of fame of the Coach mark, noting the much more limited record in the </w:t>
      </w:r>
      <w:r w:rsidRPr="003C5CBB">
        <w:rPr>
          <w:i/>
        </w:rPr>
        <w:t>Coach Services</w:t>
      </w:r>
      <w:r w:rsidRPr="003C5CBB">
        <w:t xml:space="preserve"> case. 101 USPQ2d at 1193. The </w:t>
      </w:r>
      <w:r w:rsidRPr="003C5CBB">
        <w:rPr>
          <w:i/>
        </w:rPr>
        <w:t>Coach Services</w:t>
      </w:r>
      <w:r w:rsidRPr="003C5CBB">
        <w:t xml:space="preserve"> case is discussed in §III.A.2, below, and in Chapter 13, §VI.</w:t>
      </w:r>
    </w:p>
  </w:footnote>
  <w:footnote w:id="136">
    <w:p w14:paraId="7183A066" w14:textId="068FE72D" w:rsidR="003C5CBB" w:rsidRPr="003C5CBB" w:rsidRDefault="003C5CBB" w:rsidP="003C5CBB">
      <w:pPr>
        <w:pStyle w:val="FootnoteText"/>
      </w:pPr>
      <w:r w:rsidRPr="003C5CBB">
        <w:rPr>
          <w:vertAlign w:val="superscript"/>
        </w:rPr>
        <w:footnoteRef/>
      </w:r>
      <w:r w:rsidRPr="003C5CBB">
        <w:t>112 USPQ2d 1268 (T.T.A.B. 2014).</w:t>
      </w:r>
    </w:p>
    <w:p w14:paraId="61AD6AFB" w14:textId="77777777" w:rsidR="003C5CBB" w:rsidRPr="00366F48" w:rsidRDefault="003C5CBB" w:rsidP="00AF29FC">
      <w:pPr>
        <w:pStyle w:val="footnote"/>
        <w:rPr>
          <w:lang w:val="da-DK"/>
        </w:rPr>
      </w:pPr>
    </w:p>
  </w:footnote>
  <w:footnote w:id="137">
    <w:p w14:paraId="48373783" w14:textId="54DD6620" w:rsidR="003C5CBB" w:rsidRPr="003C5CBB" w:rsidRDefault="003C5CBB" w:rsidP="003C5CBB">
      <w:pPr>
        <w:pStyle w:val="FootnoteText"/>
      </w:pPr>
      <w:r w:rsidRPr="003C5CBB">
        <w:rPr>
          <w:vertAlign w:val="superscript"/>
        </w:rPr>
        <w:footnoteRef/>
      </w:r>
      <w:r w:rsidRPr="003C5CBB">
        <w:rPr>
          <w:i/>
        </w:rPr>
        <w:t>Id</w:t>
      </w:r>
      <w:r w:rsidRPr="003C5CBB">
        <w:t>. at 1288–89.</w:t>
      </w:r>
    </w:p>
    <w:p w14:paraId="095965E0" w14:textId="77777777" w:rsidR="003C5CBB" w:rsidRPr="00366F48" w:rsidRDefault="003C5CBB" w:rsidP="00AF29FC">
      <w:pPr>
        <w:pStyle w:val="footnote"/>
        <w:rPr>
          <w:lang w:val="da-DK"/>
        </w:rPr>
      </w:pPr>
    </w:p>
  </w:footnote>
  <w:footnote w:id="138">
    <w:p w14:paraId="5C2CFDD7" w14:textId="4CA3B93C" w:rsidR="003C5CBB" w:rsidRPr="003C5CBB" w:rsidRDefault="003C5CBB" w:rsidP="003C5CBB">
      <w:pPr>
        <w:pStyle w:val="FootnoteText"/>
      </w:pPr>
      <w:r w:rsidRPr="003C5CBB">
        <w:rPr>
          <w:vertAlign w:val="superscript"/>
        </w:rPr>
        <w:footnoteRef/>
      </w:r>
      <w:r w:rsidRPr="003C5CBB">
        <w:rPr>
          <w:i/>
        </w:rPr>
        <w:t>Id</w:t>
      </w:r>
      <w:r w:rsidRPr="003C5CBB">
        <w:t>. at 1286–88.</w:t>
      </w:r>
    </w:p>
    <w:p w14:paraId="45130DAD" w14:textId="77777777" w:rsidR="003C5CBB" w:rsidRDefault="003C5CBB" w:rsidP="00AF29FC">
      <w:pPr>
        <w:pStyle w:val="footnote"/>
      </w:pPr>
    </w:p>
  </w:footnote>
  <w:footnote w:id="139">
    <w:p w14:paraId="683E501B" w14:textId="400603F2" w:rsidR="003C5CBB" w:rsidRPr="003C5CBB" w:rsidRDefault="003C5CBB" w:rsidP="003C5CBB">
      <w:pPr>
        <w:pStyle w:val="FootnoteText"/>
      </w:pPr>
      <w:r w:rsidRPr="003C5CBB">
        <w:rPr>
          <w:vertAlign w:val="superscript"/>
        </w:rPr>
        <w:footnoteRef/>
      </w:r>
      <w:r w:rsidRPr="003C5CBB">
        <w:rPr>
          <w:i/>
        </w:rPr>
        <w:t>Id</w:t>
      </w:r>
      <w:r w:rsidRPr="003C5CBB">
        <w:t>. at 1278–79.</w:t>
      </w:r>
    </w:p>
    <w:p w14:paraId="39940FF3" w14:textId="77777777" w:rsidR="003C5CBB" w:rsidRDefault="003C5CBB" w:rsidP="00AF29FC">
      <w:pPr>
        <w:pStyle w:val="footnote"/>
      </w:pPr>
    </w:p>
  </w:footnote>
  <w:footnote w:id="140">
    <w:p w14:paraId="0BE81D2B" w14:textId="41D229E4" w:rsidR="003C5CBB" w:rsidRPr="003C5CBB" w:rsidRDefault="003C5CBB" w:rsidP="003C5CBB">
      <w:pPr>
        <w:pStyle w:val="FootnoteText"/>
      </w:pPr>
      <w:r w:rsidRPr="003C5CBB">
        <w:rPr>
          <w:vertAlign w:val="superscript"/>
        </w:rPr>
        <w:footnoteRef/>
      </w:r>
      <w:r w:rsidRPr="003C5CBB">
        <w:t xml:space="preserve">In many cases, courts find that “Mc___” marks are likely to be confused with McDonald’s marks, and this case was no exception. </w:t>
      </w:r>
      <w:r w:rsidRPr="003C5CBB">
        <w:rPr>
          <w:i/>
        </w:rPr>
        <w:t>Id</w:t>
      </w:r>
      <w:r w:rsidRPr="003C5CBB">
        <w:t>. at 1285.</w:t>
      </w:r>
    </w:p>
    <w:p w14:paraId="62B3C313" w14:textId="77777777" w:rsidR="003C5CBB" w:rsidRDefault="003C5CBB" w:rsidP="00AF29FC">
      <w:pPr>
        <w:pStyle w:val="footnote"/>
      </w:pPr>
    </w:p>
  </w:footnote>
  <w:footnote w:id="141">
    <w:p w14:paraId="0C0C4EEE" w14:textId="67DB0421" w:rsidR="003C5CBB" w:rsidRPr="003C5CBB" w:rsidRDefault="003C5CBB" w:rsidP="003C5CBB">
      <w:pPr>
        <w:pStyle w:val="FootnoteText"/>
      </w:pPr>
      <w:r w:rsidRPr="003C5CBB">
        <w:rPr>
          <w:vertAlign w:val="superscript"/>
        </w:rPr>
        <w:footnoteRef/>
      </w:r>
      <w:r w:rsidRPr="003C5CBB">
        <w:t>114 USPQ2d 1497 (T.T.A.B. 2015).</w:t>
      </w:r>
    </w:p>
    <w:p w14:paraId="4F3CB18A" w14:textId="77777777" w:rsidR="003C5CBB" w:rsidRDefault="003C5CBB" w:rsidP="00AF29FC">
      <w:pPr>
        <w:pStyle w:val="footnote"/>
      </w:pPr>
    </w:p>
  </w:footnote>
  <w:footnote w:id="142">
    <w:p w14:paraId="09C2CC99" w14:textId="5FEF7B43" w:rsidR="003C5CBB" w:rsidRPr="003C5CBB" w:rsidRDefault="003C5CBB" w:rsidP="003C5CBB">
      <w:pPr>
        <w:pStyle w:val="FootnoteText"/>
      </w:pPr>
      <w:r w:rsidRPr="003C5CBB">
        <w:rPr>
          <w:vertAlign w:val="superscript"/>
        </w:rPr>
        <w:footnoteRef/>
      </w:r>
      <w:r w:rsidRPr="003C5CBB">
        <w:rPr>
          <w:i/>
        </w:rPr>
        <w:t>Id</w:t>
      </w:r>
      <w:r w:rsidRPr="003C5CBB">
        <w:t xml:space="preserve">. at 1503–04. The Board cited primarily length of use and quantity of sales and licensing over this period, but also cited the fact of registration, which the statute lists as a factor. </w:t>
      </w:r>
      <w:r w:rsidRPr="003C5CBB">
        <w:rPr>
          <w:i/>
        </w:rPr>
        <w:t>Id</w:t>
      </w:r>
      <w:r w:rsidRPr="003C5CBB">
        <w:t>.</w:t>
      </w:r>
    </w:p>
    <w:p w14:paraId="112FC4C7" w14:textId="77777777" w:rsidR="003C5CBB" w:rsidRDefault="003C5CBB" w:rsidP="00AF29FC">
      <w:pPr>
        <w:pStyle w:val="footnote"/>
      </w:pPr>
    </w:p>
  </w:footnote>
  <w:footnote w:id="143">
    <w:p w14:paraId="2000E3B8" w14:textId="01589DF9" w:rsidR="003C5CBB" w:rsidRPr="003C5CBB" w:rsidRDefault="003C5CBB" w:rsidP="003C5CBB">
      <w:pPr>
        <w:pStyle w:val="FootnoteText"/>
      </w:pPr>
      <w:r w:rsidRPr="003C5CBB">
        <w:rPr>
          <w:vertAlign w:val="superscript"/>
        </w:rPr>
        <w:footnoteRef/>
      </w:r>
      <w:r w:rsidRPr="003C5CBB">
        <w:rPr>
          <w:i/>
        </w:rPr>
        <w:t>Id</w:t>
      </w:r>
      <w:r w:rsidRPr="003C5CBB">
        <w:t>. at 1504.</w:t>
      </w:r>
    </w:p>
    <w:p w14:paraId="5D2CC808" w14:textId="77777777" w:rsidR="003C5CBB" w:rsidRDefault="003C5CBB" w:rsidP="00AF29FC">
      <w:pPr>
        <w:pStyle w:val="footnote"/>
      </w:pPr>
    </w:p>
  </w:footnote>
  <w:footnote w:id="144">
    <w:p w14:paraId="0915EB6B" w14:textId="3FB10AC3" w:rsidR="003C5CBB" w:rsidRPr="003C5CBB" w:rsidRDefault="003C5CBB" w:rsidP="003C5CBB">
      <w:pPr>
        <w:pStyle w:val="FootnoteText"/>
      </w:pPr>
      <w:r w:rsidRPr="003C5CBB">
        <w:rPr>
          <w:vertAlign w:val="superscript"/>
        </w:rPr>
        <w:footnoteRef/>
      </w:r>
      <w:r w:rsidRPr="003C5CBB">
        <w:rPr>
          <w:i/>
        </w:rPr>
        <w:t>Id</w:t>
      </w:r>
      <w:r w:rsidRPr="003C5CBB">
        <w:t>.</w:t>
      </w:r>
    </w:p>
    <w:p w14:paraId="28F51954" w14:textId="77777777" w:rsidR="003C5CBB" w:rsidRDefault="003C5CBB" w:rsidP="00AF29FC">
      <w:pPr>
        <w:pStyle w:val="footnote"/>
      </w:pPr>
    </w:p>
  </w:footnote>
  <w:footnote w:id="145">
    <w:p w14:paraId="2C8E1237" w14:textId="05F6A240" w:rsidR="003C5CBB" w:rsidRPr="003C5CBB" w:rsidRDefault="003C5CBB" w:rsidP="003C5CBB">
      <w:pPr>
        <w:pStyle w:val="FootnoteText"/>
      </w:pPr>
      <w:r w:rsidRPr="003C5CBB">
        <w:rPr>
          <w:vertAlign w:val="superscript"/>
        </w:rPr>
        <w:footnoteRef/>
      </w:r>
      <w:r w:rsidRPr="003C5CBB">
        <w:rPr>
          <w:i/>
        </w:rPr>
        <w:t>Id</w:t>
      </w:r>
      <w:r w:rsidRPr="003C5CBB">
        <w:t>.</w:t>
      </w:r>
    </w:p>
    <w:p w14:paraId="615D8FD6" w14:textId="77777777" w:rsidR="003C5CBB" w:rsidRDefault="003C5CBB" w:rsidP="00AF29FC">
      <w:pPr>
        <w:pStyle w:val="footnote"/>
      </w:pPr>
    </w:p>
  </w:footnote>
  <w:footnote w:id="146">
    <w:p w14:paraId="67DC2416" w14:textId="61BB3429" w:rsidR="003C5CBB" w:rsidRPr="003C5CBB" w:rsidRDefault="003C5CBB" w:rsidP="003C5CBB">
      <w:pPr>
        <w:pStyle w:val="FootnoteText"/>
      </w:pPr>
      <w:r w:rsidRPr="003C5CBB">
        <w:rPr>
          <w:vertAlign w:val="superscript"/>
        </w:rPr>
        <w:footnoteRef/>
      </w:r>
      <w:r w:rsidRPr="003C5CBB">
        <w:rPr>
          <w:i/>
        </w:rPr>
        <w:t>Id</w:t>
      </w:r>
      <w:r w:rsidRPr="003C5CBB">
        <w:t>. at 1505.</w:t>
      </w:r>
    </w:p>
    <w:p w14:paraId="03614A05" w14:textId="77777777" w:rsidR="003C5CBB" w:rsidRDefault="003C5CBB" w:rsidP="00AF29FC">
      <w:pPr>
        <w:pStyle w:val="footnote"/>
      </w:pPr>
    </w:p>
  </w:footnote>
  <w:footnote w:id="147">
    <w:p w14:paraId="7E7C8E44" w14:textId="65CCEA99" w:rsidR="003C5CBB" w:rsidRPr="003C5CBB" w:rsidRDefault="003C5CBB" w:rsidP="003C5CBB">
      <w:pPr>
        <w:pStyle w:val="FootnoteText"/>
      </w:pPr>
      <w:r w:rsidRPr="003C5CBB">
        <w:rPr>
          <w:vertAlign w:val="superscript"/>
        </w:rPr>
        <w:footnoteRef/>
      </w:r>
      <w:r w:rsidRPr="003C5CBB">
        <w:rPr>
          <w:i/>
        </w:rPr>
        <w:t>Id</w:t>
      </w:r>
      <w:r w:rsidRPr="003C5CBB">
        <w:t>.</w:t>
      </w:r>
    </w:p>
    <w:p w14:paraId="0B6ABFB7" w14:textId="77777777" w:rsidR="003C5CBB" w:rsidRDefault="003C5CBB" w:rsidP="00AF29FC">
      <w:pPr>
        <w:pStyle w:val="footnote"/>
      </w:pPr>
    </w:p>
  </w:footnote>
  <w:footnote w:id="148">
    <w:p w14:paraId="2E480970" w14:textId="0150EA65" w:rsidR="003C5CBB" w:rsidRPr="003C5CBB" w:rsidRDefault="003C5CBB" w:rsidP="003C5CBB">
      <w:pPr>
        <w:pStyle w:val="FootnoteText"/>
      </w:pPr>
      <w:r w:rsidRPr="003C5CBB">
        <w:rPr>
          <w:vertAlign w:val="superscript"/>
        </w:rPr>
        <w:footnoteRef/>
      </w:r>
      <w:r w:rsidRPr="003C5CBB">
        <w:rPr>
          <w:i/>
        </w:rPr>
        <w:t xml:space="preserve">See id. </w:t>
      </w:r>
      <w:r w:rsidRPr="003C5CBB">
        <w:t>(discussing registrations of the phrase as a mark).</w:t>
      </w:r>
    </w:p>
    <w:p w14:paraId="1C9EE8E1" w14:textId="77777777" w:rsidR="003C5CBB" w:rsidRDefault="003C5CBB" w:rsidP="00AF29FC">
      <w:pPr>
        <w:pStyle w:val="footnote"/>
      </w:pPr>
    </w:p>
  </w:footnote>
  <w:footnote w:id="149">
    <w:p w14:paraId="544C66FC" w14:textId="183CCD01" w:rsidR="003C5CBB" w:rsidRPr="003C5CBB" w:rsidRDefault="003C5CBB" w:rsidP="003C5CBB">
      <w:pPr>
        <w:pStyle w:val="FootnoteText"/>
      </w:pPr>
      <w:r w:rsidRPr="003C5CBB">
        <w:rPr>
          <w:vertAlign w:val="superscript"/>
        </w:rPr>
        <w:footnoteRef/>
      </w:r>
      <w:r w:rsidRPr="003C5CBB">
        <w:rPr>
          <w:i/>
        </w:rPr>
        <w:t xml:space="preserve">See id. </w:t>
      </w:r>
      <w:r w:rsidRPr="003C5CBB">
        <w:t>at 1505 (discussing article printed in a newspaper in Fort Worth, Texas).</w:t>
      </w:r>
    </w:p>
    <w:p w14:paraId="1217C0E5" w14:textId="77777777" w:rsidR="003C5CBB" w:rsidRDefault="003C5CBB" w:rsidP="00AF29FC">
      <w:pPr>
        <w:pStyle w:val="footnote"/>
      </w:pPr>
    </w:p>
  </w:footnote>
  <w:footnote w:id="150">
    <w:p w14:paraId="5A23F6A9" w14:textId="3BF0876E" w:rsidR="003C5CBB" w:rsidRPr="003C5CBB" w:rsidRDefault="003C5CBB" w:rsidP="003C5CBB">
      <w:pPr>
        <w:pStyle w:val="FootnoteText"/>
      </w:pPr>
      <w:r w:rsidRPr="003C5CBB">
        <w:rPr>
          <w:vertAlign w:val="superscript"/>
        </w:rPr>
        <w:footnoteRef/>
      </w:r>
      <w:r w:rsidRPr="003C5CBB">
        <w:t xml:space="preserve">A similar situation occurred in </w:t>
      </w:r>
      <w:r w:rsidRPr="003C5CBB">
        <w:rPr>
          <w:rStyle w:val="BCasenamefull"/>
        </w:rPr>
        <w:t>ESRT Empire State Building, L.L.C. v. Liang</w:t>
      </w:r>
      <w:r w:rsidRPr="003C5CBB">
        <w:t xml:space="preserve">, Opp. No. 91204122 (T.T.A.B. June 17, 2016) (non-precedential), where the Board, in a non-precedential opinion, found a mark consisting of the design of the Empire State Building to be famous. </w:t>
      </w:r>
      <w:r w:rsidRPr="003C5CBB">
        <w:rPr>
          <w:i/>
        </w:rPr>
        <w:t>Id</w:t>
      </w:r>
      <w:r w:rsidRPr="003C5CBB">
        <w:t xml:space="preserve">. at 14–16. Although the Board cited evidence of a considerable amount of merchandise sold with the design mark, given its connection to a famous landmark, it would have been helpful to determine whether the “general consuming public” who purchased those items </w:t>
      </w:r>
      <w:r w:rsidRPr="003C5CBB">
        <w:t xml:space="preserve">actually perceived the design as a trademark, rather than as a mere adornment. Interestingly, the Board attempted to make this connection in its discussion of the dilution-by-blurring factors, but not in its analysis of fame. </w:t>
      </w:r>
      <w:r w:rsidRPr="003C5CBB">
        <w:rPr>
          <w:i/>
        </w:rPr>
        <w:t>Id</w:t>
      </w:r>
      <w:r w:rsidRPr="003C5CBB">
        <w:t xml:space="preserve">. at 18. In the same case, the Board also cited the opposer’s licensing of the design to third parties who agreed to give attribution as evidence in support of fame. </w:t>
      </w:r>
      <w:r w:rsidRPr="003C5CBB">
        <w:rPr>
          <w:i/>
        </w:rPr>
        <w:t>Id</w:t>
      </w:r>
      <w:r w:rsidRPr="003C5CBB">
        <w:t xml:space="preserve">. at 15. Whether licensing to risk-averse parties who may believe it is cheaper to pay than fight should be evidence of fame is an interesting question, but beyond the scope of this discussion. </w:t>
      </w:r>
      <w:r w:rsidRPr="003C5CBB">
        <w:rPr>
          <w:i/>
        </w:rPr>
        <w:t>See</w:t>
      </w:r>
      <w:r w:rsidRPr="003C5CBB">
        <w:t xml:space="preserve"> James Gibson, </w:t>
      </w:r>
      <w:r w:rsidRPr="003C5CBB">
        <w:rPr>
          <w:i/>
        </w:rPr>
        <w:t>Risk Aversion and Rights Accretion in Intellectual Property Law</w:t>
      </w:r>
      <w:r w:rsidRPr="003C5CBB">
        <w:t xml:space="preserve">, 116 </w:t>
      </w:r>
      <w:r w:rsidRPr="003C5CBB">
        <w:rPr>
          <w:smallCaps/>
        </w:rPr>
        <w:t>Yale</w:t>
      </w:r>
      <w:r w:rsidRPr="003C5CBB">
        <w:t xml:space="preserve"> L.J. 882, 907–17 (2007) (discussing how trademark rights are increased by risk-averse licensees).</w:t>
      </w:r>
    </w:p>
    <w:p w14:paraId="30BA8D08" w14:textId="77777777" w:rsidR="003C5CBB" w:rsidRDefault="003C5CBB" w:rsidP="00AF29FC">
      <w:pPr>
        <w:pStyle w:val="footnote"/>
      </w:pPr>
    </w:p>
  </w:footnote>
  <w:footnote w:id="151">
    <w:p w14:paraId="3295B504" w14:textId="23C188AD" w:rsidR="003C5CBB" w:rsidRPr="00517775" w:rsidRDefault="003C5CBB" w:rsidP="003C5CBB">
      <w:pPr>
        <w:pStyle w:val="FootnoteText"/>
      </w:pPr>
      <w:r w:rsidRPr="003C5CBB">
        <w:rPr>
          <w:vertAlign w:val="superscript"/>
        </w:rPr>
        <w:footnoteRef/>
      </w:r>
      <w:r w:rsidRPr="003C5CBB">
        <w:t xml:space="preserve">2008 WL 4724756, 2008 BL 241740 (E.D. Mich. Oct. 24, 2008). The claimed trade dress included the rectangular shape, “silver stylized lettering,” “a brownish-maroon colored wrapper,” the Hershey name, and “silver foil protruding from under the wrapper.” </w:t>
      </w:r>
      <w:r w:rsidRPr="003C5CBB">
        <w:rPr>
          <w:i/>
        </w:rPr>
        <w:t>Id</w:t>
      </w:r>
      <w:r w:rsidRPr="003C5CBB">
        <w:t>. at *1.</w:t>
      </w:r>
    </w:p>
  </w:footnote>
  <w:footnote w:id="152">
    <w:p w14:paraId="2BCE844E" w14:textId="52A51237" w:rsidR="003C5CBB" w:rsidRPr="00517775" w:rsidRDefault="003C5CBB" w:rsidP="003C5CBB">
      <w:pPr>
        <w:pStyle w:val="FootnoteText"/>
      </w:pPr>
      <w:r w:rsidRPr="003C5CBB">
        <w:rPr>
          <w:vertAlign w:val="superscript"/>
        </w:rPr>
        <w:footnoteRef/>
      </w:r>
      <w:r w:rsidRPr="003C5CBB">
        <w:rPr>
          <w:i/>
        </w:rPr>
        <w:t>Id</w:t>
      </w:r>
      <w:r w:rsidRPr="003C5CBB">
        <w:t>. at *13.</w:t>
      </w:r>
    </w:p>
  </w:footnote>
  <w:footnote w:id="153">
    <w:p w14:paraId="5A1F5126" w14:textId="18A58875" w:rsidR="003C5CBB" w:rsidRPr="00517775" w:rsidRDefault="003C5CBB" w:rsidP="003C5CBB">
      <w:pPr>
        <w:pStyle w:val="FootnoteText"/>
      </w:pPr>
      <w:r w:rsidRPr="003C5CBB">
        <w:rPr>
          <w:vertAlign w:val="superscript"/>
        </w:rPr>
        <w:footnoteRef/>
      </w:r>
      <w:r w:rsidRPr="003C5CBB">
        <w:t>Lanham Act §43(c)(4), 15 U.S.C. §1125(c)(4).</w:t>
      </w:r>
    </w:p>
  </w:footnote>
  <w:footnote w:id="154">
    <w:p w14:paraId="45D9EFDE" w14:textId="2F4053BF" w:rsidR="003C5CBB" w:rsidRPr="00517775" w:rsidRDefault="003C5CBB" w:rsidP="003C5CBB">
      <w:pPr>
        <w:pStyle w:val="FootnoteText"/>
      </w:pPr>
      <w:r w:rsidRPr="003C5CBB">
        <w:rPr>
          <w:vertAlign w:val="superscript"/>
        </w:rPr>
        <w:footnoteRef/>
      </w:r>
      <w:r w:rsidRPr="003C5CBB">
        <w:t>561 F. Supp. 2d 368, 91 USPQ2d 1347 (S.D.N.Y. 2008).</w:t>
      </w:r>
    </w:p>
  </w:footnote>
  <w:footnote w:id="155">
    <w:p w14:paraId="065CF12D" w14:textId="21B898C1" w:rsidR="003C5CBB" w:rsidRPr="00517775" w:rsidRDefault="003C5CBB" w:rsidP="003C5CBB">
      <w:pPr>
        <w:pStyle w:val="FootnoteText"/>
      </w:pPr>
      <w:r w:rsidRPr="003C5CBB">
        <w:rPr>
          <w:vertAlign w:val="superscript"/>
        </w:rPr>
        <w:footnoteRef/>
      </w:r>
      <w:r w:rsidRPr="003C5CBB">
        <w:rPr>
          <w:i/>
        </w:rPr>
        <w:t>Id</w:t>
      </w:r>
      <w:r w:rsidRPr="003C5CBB">
        <w:t>. at 391.</w:t>
      </w:r>
    </w:p>
  </w:footnote>
  <w:footnote w:id="156">
    <w:p w14:paraId="45BED4BA" w14:textId="41C8F69C" w:rsidR="003C5CBB" w:rsidRPr="00517775" w:rsidRDefault="003C5CBB" w:rsidP="003C5CBB">
      <w:pPr>
        <w:pStyle w:val="FootnoteText"/>
      </w:pPr>
      <w:r w:rsidRPr="003C5CBB">
        <w:rPr>
          <w:vertAlign w:val="superscript"/>
        </w:rPr>
        <w:footnoteRef/>
      </w:r>
      <w:r w:rsidRPr="003C5CBB">
        <w:rPr>
          <w:i/>
        </w:rPr>
        <w:t>Id</w:t>
      </w:r>
      <w:r w:rsidRPr="003C5CBB">
        <w:t>.</w:t>
      </w:r>
    </w:p>
  </w:footnote>
  <w:footnote w:id="157">
    <w:p w14:paraId="2C1A16FC" w14:textId="55A997FC" w:rsidR="003C5CBB" w:rsidRPr="00517775" w:rsidRDefault="003C5CBB" w:rsidP="003C5CBB">
      <w:pPr>
        <w:pStyle w:val="FootnoteText"/>
      </w:pPr>
      <w:r w:rsidRPr="003C5CBB">
        <w:rPr>
          <w:vertAlign w:val="superscript"/>
        </w:rPr>
        <w:footnoteRef/>
      </w:r>
      <w:r w:rsidRPr="003C5CBB">
        <w:rPr>
          <w:i/>
        </w:rPr>
        <w:t>Id</w:t>
      </w:r>
      <w:r w:rsidRPr="003C5CBB">
        <w:t>.</w:t>
      </w:r>
    </w:p>
  </w:footnote>
  <w:footnote w:id="158">
    <w:p w14:paraId="5E17CB8C" w14:textId="66388C2A" w:rsidR="003C5CBB" w:rsidRPr="00517775" w:rsidRDefault="003C5CBB" w:rsidP="003C5CBB">
      <w:pPr>
        <w:pStyle w:val="FootnoteText"/>
      </w:pPr>
      <w:r w:rsidRPr="003C5CBB">
        <w:rPr>
          <w:vertAlign w:val="superscript"/>
        </w:rPr>
        <w:footnoteRef/>
      </w:r>
      <w:r w:rsidRPr="003C5CBB">
        <w:rPr>
          <w:i/>
        </w:rPr>
        <w:t>Id</w:t>
      </w:r>
      <w:r w:rsidRPr="003C5CBB">
        <w:t>.</w:t>
      </w:r>
    </w:p>
  </w:footnote>
  <w:footnote w:id="159">
    <w:p w14:paraId="7496B05E" w14:textId="0AD4D3C2" w:rsidR="003C5CBB" w:rsidRPr="00517775" w:rsidRDefault="003C5CBB" w:rsidP="003C5CBB">
      <w:pPr>
        <w:pStyle w:val="FootnoteText"/>
      </w:pPr>
      <w:r w:rsidRPr="003C5CBB">
        <w:rPr>
          <w:vertAlign w:val="superscript"/>
        </w:rPr>
        <w:footnoteRef/>
      </w:r>
      <w:r w:rsidRPr="003C5CBB">
        <w:t>adidas Am., Inc. v. Payless Shoesource, Inc., 546 F. Supp. 2d 1029, 1062–63 (D. Or. 2008).</w:t>
      </w:r>
    </w:p>
  </w:footnote>
  <w:footnote w:id="160">
    <w:p w14:paraId="36D2C306" w14:textId="22661D7F" w:rsidR="003C5CBB" w:rsidRPr="00366F48" w:rsidRDefault="003C5CBB" w:rsidP="003C5CBB">
      <w:pPr>
        <w:pStyle w:val="FootnoteText"/>
        <w:rPr>
          <w:lang w:val="da-DK"/>
        </w:rPr>
      </w:pPr>
      <w:r w:rsidRPr="003C5CBB">
        <w:rPr>
          <w:vertAlign w:val="superscript"/>
        </w:rPr>
        <w:footnoteRef/>
      </w:r>
      <w:r w:rsidRPr="003C5CBB">
        <w:rPr>
          <w:i/>
        </w:rPr>
        <w:t>Id</w:t>
      </w:r>
      <w:r w:rsidRPr="003C5CBB">
        <w:t>. at 1063.</w:t>
      </w:r>
    </w:p>
  </w:footnote>
  <w:footnote w:id="161">
    <w:p w14:paraId="310DAB77" w14:textId="42865CBD" w:rsidR="003C5CBB" w:rsidRPr="00366F48" w:rsidRDefault="003C5CBB" w:rsidP="003C5CBB">
      <w:pPr>
        <w:pStyle w:val="FootnoteText"/>
        <w:rPr>
          <w:lang w:val="da-DK"/>
        </w:rPr>
      </w:pPr>
      <w:r w:rsidRPr="003C5CBB">
        <w:rPr>
          <w:vertAlign w:val="superscript"/>
        </w:rPr>
        <w:footnoteRef/>
      </w:r>
      <w:r w:rsidRPr="003C5CBB">
        <w:rPr>
          <w:i/>
        </w:rPr>
        <w:t>Id</w:t>
      </w:r>
      <w:r w:rsidRPr="003C5CBB">
        <w:t>. at 1063 n.12.</w:t>
      </w:r>
    </w:p>
  </w:footnote>
  <w:footnote w:id="162">
    <w:p w14:paraId="1FD65AE1" w14:textId="37A0A311" w:rsidR="003C5CBB" w:rsidRPr="00366F48" w:rsidRDefault="003C5CBB" w:rsidP="003C5CBB">
      <w:pPr>
        <w:pStyle w:val="FootnoteText"/>
        <w:rPr>
          <w:lang w:val="da-DK"/>
        </w:rPr>
      </w:pPr>
      <w:r w:rsidRPr="003C5CBB">
        <w:rPr>
          <w:vertAlign w:val="superscript"/>
        </w:rPr>
        <w:footnoteRef/>
      </w:r>
      <w:r w:rsidRPr="003C5CBB">
        <w:rPr>
          <w:i/>
        </w:rPr>
        <w:t>Id</w:t>
      </w:r>
      <w:r w:rsidRPr="003C5CBB">
        <w:t>. at 1063.</w:t>
      </w:r>
    </w:p>
  </w:footnote>
  <w:footnote w:id="163">
    <w:p w14:paraId="0D12E14A" w14:textId="289C85F0" w:rsidR="003C5CBB" w:rsidRPr="00517775" w:rsidRDefault="003C5CBB" w:rsidP="003C5CBB">
      <w:pPr>
        <w:pStyle w:val="FootnoteText"/>
      </w:pPr>
      <w:r w:rsidRPr="003C5CBB">
        <w:rPr>
          <w:vertAlign w:val="superscript"/>
        </w:rPr>
        <w:footnoteRef/>
      </w:r>
      <w:r w:rsidRPr="003C5CBB">
        <w:rPr>
          <w:i/>
        </w:rPr>
        <w:t>Id</w:t>
      </w:r>
      <w:r w:rsidRPr="003C5CBB">
        <w:t>. at 1063 n.12.</w:t>
      </w:r>
    </w:p>
  </w:footnote>
  <w:footnote w:id="164">
    <w:p w14:paraId="1F684C6E" w14:textId="5459FD50" w:rsidR="003C5CBB" w:rsidRPr="00517775" w:rsidRDefault="003C5CBB" w:rsidP="003C5CBB">
      <w:pPr>
        <w:pStyle w:val="FootnoteText"/>
      </w:pPr>
      <w:r w:rsidRPr="003C5CBB">
        <w:rPr>
          <w:vertAlign w:val="superscript"/>
        </w:rPr>
        <w:footnoteRef/>
      </w:r>
      <w:r w:rsidRPr="003C5CBB">
        <w:t xml:space="preserve">Gucci Am., Inc. v. </w:t>
      </w:r>
      <w:r w:rsidRPr="003C5CBB">
        <w:t xml:space="preserve">Guess?, Inc., 868 F. Supp. 2d 207 (S.D.N.Y. 2012). The court stated that “this case involves five Gucci designs: the GRG Stripe, the Repeating GG Pattern (along with the Diamond Motif Trade Dress), the Stylized G, and the Script Gucci.” </w:t>
      </w:r>
      <w:r w:rsidRPr="003C5CBB">
        <w:rPr>
          <w:i/>
        </w:rPr>
        <w:t>Id</w:t>
      </w:r>
      <w:r w:rsidRPr="003C5CBB">
        <w:t xml:space="preserve">. at 218. The court’s decision as to the “Stylized G” mark is puzzling. On the one hand, it held that defendant began using its version of the mark before plaintiff’s mark became famous. </w:t>
      </w:r>
      <w:r w:rsidRPr="003C5CBB">
        <w:rPr>
          <w:i/>
        </w:rPr>
        <w:t>Id</w:t>
      </w:r>
      <w:r w:rsidRPr="003C5CBB">
        <w:t xml:space="preserve">. at 220. On the other hand, when discussing dilution under New York law (in the same paragraph), the court held that the mark was not a strong one. </w:t>
      </w:r>
      <w:r w:rsidRPr="003C5CBB">
        <w:rPr>
          <w:i/>
        </w:rPr>
        <w:t>Id</w:t>
      </w:r>
      <w:r w:rsidRPr="003C5CBB">
        <w:t xml:space="preserve">. at 253. If the mark was not strong to begin with, then timing should be irrelevant. The court’s brief discussion of whether this mark was famous was rather ambiguous as well. </w:t>
      </w:r>
      <w:r w:rsidRPr="003C5CBB">
        <w:rPr>
          <w:i/>
        </w:rPr>
        <w:t xml:space="preserve">See id. </w:t>
      </w:r>
      <w:r w:rsidRPr="003C5CBB">
        <w:t>at 219–20.</w:t>
      </w:r>
    </w:p>
  </w:footnote>
  <w:footnote w:id="165">
    <w:p w14:paraId="73F19218" w14:textId="1B57C287" w:rsidR="003C5CBB" w:rsidRPr="003C5CBB" w:rsidRDefault="003C5CBB" w:rsidP="003C5CBB">
      <w:pPr>
        <w:pStyle w:val="FootnoteText"/>
      </w:pPr>
      <w:r w:rsidRPr="003C5CBB">
        <w:rPr>
          <w:vertAlign w:val="superscript"/>
        </w:rPr>
        <w:footnoteRef/>
      </w:r>
      <w:r w:rsidRPr="003C5CBB">
        <w:rPr>
          <w:i/>
        </w:rPr>
        <w:t>Id</w:t>
      </w:r>
      <w:r w:rsidRPr="003C5CBB">
        <w:t>. at 217–20. The court found the GRG Stripe, Repeating GG Pattern, and Diamond Motif Trade Dress to be famous.</w:t>
      </w:r>
    </w:p>
    <w:p w14:paraId="157E9B35" w14:textId="77777777" w:rsidR="003C5CBB" w:rsidRPr="00517775" w:rsidRDefault="003C5CBB" w:rsidP="00AF29FC">
      <w:pPr>
        <w:pStyle w:val="footnote"/>
        <w:rPr>
          <w:szCs w:val="20"/>
        </w:rPr>
      </w:pPr>
    </w:p>
  </w:footnote>
  <w:footnote w:id="166">
    <w:p w14:paraId="5AFB488D" w14:textId="0AE3F7C1" w:rsidR="003C5CBB" w:rsidRPr="00517775" w:rsidRDefault="003C5CBB" w:rsidP="003C5CBB">
      <w:pPr>
        <w:pStyle w:val="FootnoteText"/>
      </w:pPr>
      <w:r w:rsidRPr="003C5CBB">
        <w:rPr>
          <w:vertAlign w:val="superscript"/>
        </w:rPr>
        <w:footnoteRef/>
      </w:r>
      <w:r w:rsidRPr="003C5CBB">
        <w:t>Section 43(c)(4)(B) of the Lanham Act states that “if the claimed trade dress includes any mark or marks registered on the principal register, the unregistered matter, taken as a whole, is famous separate and apart from any fame of such registered marks.” The court did not refer to this section in its discussion.</w:t>
      </w:r>
    </w:p>
  </w:footnote>
  <w:footnote w:id="167">
    <w:p w14:paraId="16831D47" w14:textId="5FA46A35" w:rsidR="003C5CBB" w:rsidRPr="003C5CBB" w:rsidRDefault="003C5CBB" w:rsidP="003C5CBB">
      <w:pPr>
        <w:pStyle w:val="FootnoteText"/>
      </w:pPr>
      <w:r w:rsidRPr="003C5CBB">
        <w:rPr>
          <w:vertAlign w:val="superscript"/>
        </w:rPr>
        <w:footnoteRef/>
      </w:r>
      <w:r w:rsidRPr="003C5CBB">
        <w:t xml:space="preserve">Apple, Inc. v. Samsung Elecs. Co., 920 F. Supp. 2d 1079, 1097 (N.D. Cal. 2013) (upholding jury finding), </w:t>
      </w:r>
      <w:r w:rsidRPr="003C5CBB">
        <w:rPr>
          <w:i/>
        </w:rPr>
        <w:t>aff’d in part</w:t>
      </w:r>
      <w:r w:rsidRPr="003C5CBB">
        <w:t xml:space="preserve">, </w:t>
      </w:r>
      <w:r w:rsidRPr="003C5CBB">
        <w:rPr>
          <w:i/>
        </w:rPr>
        <w:t>rev’d in part on other grounds</w:t>
      </w:r>
      <w:r w:rsidRPr="003C5CBB">
        <w:t xml:space="preserve">, 786 F.3d 983, 114 USPQ2d 1953 (Fed. Cir. 2015) (the Federal Circuit reversed the trade dress portion of the judgment on the grounds that the trade dress was functional and did not reach the dilution issues), </w:t>
      </w:r>
      <w:r w:rsidRPr="003C5CBB">
        <w:rPr>
          <w:i/>
        </w:rPr>
        <w:t>rev’d on other grounds</w:t>
      </w:r>
      <w:r w:rsidRPr="003C5CBB">
        <w:t>, 137 S. Ct. 429, 120 USPQ2d 1749 (2016). The issue of fame in this case is discussed in more detail in §IX of this chapter.</w:t>
      </w:r>
    </w:p>
    <w:p w14:paraId="3F06F792" w14:textId="77777777" w:rsidR="003C5CBB" w:rsidRDefault="003C5CBB" w:rsidP="00AF29FC">
      <w:pPr>
        <w:pStyle w:val="footnote"/>
      </w:pPr>
    </w:p>
  </w:footnote>
  <w:footnote w:id="168">
    <w:p w14:paraId="6FC56F04" w14:textId="2FFF7568" w:rsidR="003C5CBB" w:rsidRPr="00517775" w:rsidRDefault="003C5CBB" w:rsidP="003C5CBB">
      <w:pPr>
        <w:pStyle w:val="FootnoteText"/>
      </w:pPr>
      <w:r w:rsidRPr="003C5CBB">
        <w:rPr>
          <w:vertAlign w:val="superscript"/>
        </w:rPr>
        <w:footnoteRef/>
      </w:r>
      <w:r w:rsidRPr="003C5CBB">
        <w:t>616 F. Supp. 2d 622, 92 USPQ2d 1325 (N.D. Tex. 2009).</w:t>
      </w:r>
    </w:p>
  </w:footnote>
  <w:footnote w:id="169">
    <w:p w14:paraId="7C0AF24A" w14:textId="5C9EE222" w:rsidR="003C5CBB" w:rsidRPr="00517775" w:rsidRDefault="003C5CBB" w:rsidP="003C5CBB">
      <w:pPr>
        <w:pStyle w:val="FootnoteText"/>
      </w:pPr>
      <w:r w:rsidRPr="003C5CBB">
        <w:rPr>
          <w:vertAlign w:val="superscript"/>
        </w:rPr>
        <w:footnoteRef/>
      </w:r>
      <w:r w:rsidRPr="003C5CBB">
        <w:t>The length of this reach was unspecified.</w:t>
      </w:r>
    </w:p>
  </w:footnote>
  <w:footnote w:id="170">
    <w:p w14:paraId="169E61D3" w14:textId="418B5D34" w:rsidR="003C5CBB" w:rsidRPr="00517775" w:rsidRDefault="003C5CBB" w:rsidP="003C5CBB">
      <w:pPr>
        <w:pStyle w:val="FootnoteText"/>
      </w:pPr>
      <w:r w:rsidRPr="003C5CBB">
        <w:rPr>
          <w:vertAlign w:val="superscript"/>
        </w:rPr>
        <w:footnoteRef/>
      </w:r>
      <w:r w:rsidRPr="003C5CBB">
        <w:rPr>
          <w:i/>
        </w:rPr>
        <w:t>Id</w:t>
      </w:r>
      <w:r w:rsidRPr="003C5CBB">
        <w:t>. at 643.</w:t>
      </w:r>
    </w:p>
  </w:footnote>
  <w:footnote w:id="171">
    <w:p w14:paraId="6CD0A701" w14:textId="3E29BB36" w:rsidR="003C5CBB" w:rsidRPr="00517775" w:rsidRDefault="003C5CBB" w:rsidP="003C5CBB">
      <w:pPr>
        <w:pStyle w:val="FootnoteText"/>
      </w:pPr>
      <w:r w:rsidRPr="003C5CBB">
        <w:rPr>
          <w:vertAlign w:val="superscript"/>
        </w:rPr>
        <w:footnoteRef/>
      </w:r>
      <w:r w:rsidRPr="003C5CBB">
        <w:rPr>
          <w:i/>
        </w:rPr>
        <w:t>Id</w:t>
      </w:r>
      <w:r w:rsidRPr="003C5CBB">
        <w:t xml:space="preserve">. The court was concluding that the defendant essentially admitted that the mark was famous and associated with the football team. </w:t>
      </w:r>
      <w:r w:rsidRPr="003C5CBB">
        <w:rPr>
          <w:i/>
        </w:rPr>
        <w:t>Cf</w:t>
      </w:r>
      <w:r w:rsidRPr="003C5CBB">
        <w:t>. Board of Regents, Univ. of Tex. Sys. v. KST Elec., Ltd., 550 F. Supp. 2d 657, 679 (W.D. Tex. 2008) (University of Texas longhorn logo not famous because widely known only to sports fans).</w:t>
      </w:r>
    </w:p>
  </w:footnote>
  <w:footnote w:id="172">
    <w:p w14:paraId="3B82E387" w14:textId="4C771034" w:rsidR="003C5CBB" w:rsidRPr="00517775" w:rsidRDefault="003C5CBB" w:rsidP="003C5CBB">
      <w:pPr>
        <w:pStyle w:val="FootnoteText"/>
      </w:pPr>
      <w:r w:rsidRPr="003C5CBB">
        <w:rPr>
          <w:vertAlign w:val="superscript"/>
        </w:rPr>
        <w:footnoteRef/>
      </w:r>
      <w:r w:rsidRPr="003C5CBB">
        <w:t>University of Kan. v. Sinks, 644 F. Supp. 2d 1287, 1306 (D. Kan. 2008) (upholding jury finding of national fame); University of Kan. v. Sinks, 565 F. Supp. 2d 1216 (D. Kan. 2008) (denying summary judgment).</w:t>
      </w:r>
    </w:p>
  </w:footnote>
  <w:footnote w:id="173">
    <w:p w14:paraId="39B90E14" w14:textId="3D7C21B4" w:rsidR="003C5CBB" w:rsidRPr="00517775" w:rsidRDefault="003C5CBB" w:rsidP="003C5CBB">
      <w:pPr>
        <w:pStyle w:val="FootnoteText"/>
      </w:pPr>
      <w:r w:rsidRPr="003C5CBB">
        <w:rPr>
          <w:vertAlign w:val="superscript"/>
        </w:rPr>
        <w:footnoteRef/>
      </w:r>
      <w:r w:rsidRPr="003C5CBB">
        <w:t>101 USPQ2d 1256 (W.D. Pa. 2011).</w:t>
      </w:r>
    </w:p>
  </w:footnote>
  <w:footnote w:id="174">
    <w:p w14:paraId="65FC7CAD" w14:textId="61FFD8A9" w:rsidR="003C5CBB" w:rsidRPr="00517775" w:rsidRDefault="003C5CBB" w:rsidP="003C5CBB">
      <w:pPr>
        <w:pStyle w:val="FootnoteText"/>
      </w:pPr>
      <w:r w:rsidRPr="003C5CBB">
        <w:rPr>
          <w:vertAlign w:val="superscript"/>
        </w:rPr>
        <w:footnoteRef/>
      </w:r>
      <w:r w:rsidRPr="003C5CBB">
        <w:rPr>
          <w:i/>
        </w:rPr>
        <w:t>Id</w:t>
      </w:r>
      <w:r w:rsidRPr="003C5CBB">
        <w:t>. at 1261.</w:t>
      </w:r>
    </w:p>
  </w:footnote>
  <w:footnote w:id="175">
    <w:p w14:paraId="787BB070" w14:textId="2F27C7A1" w:rsidR="003C5CBB" w:rsidRPr="003C5CBB" w:rsidRDefault="003C5CBB" w:rsidP="003C5CBB">
      <w:pPr>
        <w:pStyle w:val="FootnoteText"/>
      </w:pPr>
      <w:r w:rsidRPr="003C5CBB">
        <w:rPr>
          <w:vertAlign w:val="superscript"/>
        </w:rPr>
        <w:footnoteRef/>
      </w:r>
      <w:r w:rsidRPr="003C5CBB">
        <w:rPr>
          <w:i/>
        </w:rPr>
        <w:t>Id</w:t>
      </w:r>
      <w:r w:rsidRPr="003C5CBB">
        <w:t>.</w:t>
      </w:r>
    </w:p>
    <w:p w14:paraId="3C2CA363" w14:textId="77777777" w:rsidR="003C5CBB" w:rsidRPr="00517775" w:rsidRDefault="003C5CBB" w:rsidP="00AF29FC">
      <w:pPr>
        <w:pStyle w:val="footnote"/>
      </w:pPr>
    </w:p>
  </w:footnote>
  <w:footnote w:id="176">
    <w:p w14:paraId="6616D72D" w14:textId="6636E958" w:rsidR="003C5CBB" w:rsidRPr="003C5CBB" w:rsidRDefault="003C5CBB" w:rsidP="003C5CBB">
      <w:pPr>
        <w:pStyle w:val="FootnoteText"/>
      </w:pPr>
      <w:r w:rsidRPr="003C5CBB">
        <w:rPr>
          <w:vertAlign w:val="superscript"/>
        </w:rPr>
        <w:footnoteRef/>
      </w:r>
      <w:r w:rsidRPr="003C5CBB">
        <w:t>704 F. Supp. 2d 305, 95 USPQ2d 1451 (S.D.N.Y. 2010).</w:t>
      </w:r>
    </w:p>
    <w:p w14:paraId="1549CBD7" w14:textId="77777777" w:rsidR="003C5CBB" w:rsidRPr="00517775" w:rsidRDefault="003C5CBB" w:rsidP="00AF29FC">
      <w:pPr>
        <w:pStyle w:val="footnote"/>
      </w:pPr>
    </w:p>
  </w:footnote>
  <w:footnote w:id="177">
    <w:p w14:paraId="273791C1" w14:textId="2422251C" w:rsidR="003C5CBB" w:rsidRPr="00517775" w:rsidRDefault="003C5CBB" w:rsidP="003C5CBB">
      <w:pPr>
        <w:pStyle w:val="FootnoteText"/>
      </w:pPr>
      <w:r w:rsidRPr="003C5CBB">
        <w:rPr>
          <w:vertAlign w:val="superscript"/>
        </w:rPr>
        <w:footnoteRef/>
      </w:r>
      <w:r w:rsidRPr="003C5CBB">
        <w:rPr>
          <w:i/>
        </w:rPr>
        <w:t>Id</w:t>
      </w:r>
      <w:r w:rsidRPr="003C5CBB">
        <w:t>. at 321–22.</w:t>
      </w:r>
    </w:p>
  </w:footnote>
  <w:footnote w:id="178">
    <w:p w14:paraId="280123F5" w14:textId="1F72D143" w:rsidR="003C5CBB" w:rsidRPr="003C5CBB" w:rsidRDefault="003C5CBB" w:rsidP="003C5CBB">
      <w:pPr>
        <w:pStyle w:val="FootnoteText"/>
      </w:pPr>
      <w:r w:rsidRPr="003C5CBB">
        <w:rPr>
          <w:vertAlign w:val="superscript"/>
        </w:rPr>
        <w:footnoteRef/>
      </w:r>
      <w:r w:rsidRPr="003C5CBB">
        <w:t>2013 U.S. Dist. LEXIS 53676 (S.D. Cal. Apr. 12, 2013).</w:t>
      </w:r>
    </w:p>
    <w:p w14:paraId="4ECD2F6A" w14:textId="77777777" w:rsidR="003C5CBB" w:rsidRPr="00366F48" w:rsidRDefault="003C5CBB" w:rsidP="00AF29FC">
      <w:pPr>
        <w:pStyle w:val="footnote"/>
        <w:rPr>
          <w:lang w:val="da-DK"/>
        </w:rPr>
      </w:pPr>
    </w:p>
  </w:footnote>
  <w:footnote w:id="179">
    <w:p w14:paraId="17FC8532" w14:textId="4CF670CC" w:rsidR="003C5CBB" w:rsidRPr="003C5CBB" w:rsidRDefault="003C5CBB" w:rsidP="003C5CBB">
      <w:pPr>
        <w:pStyle w:val="FootnoteText"/>
      </w:pPr>
      <w:r w:rsidRPr="003C5CBB">
        <w:rPr>
          <w:vertAlign w:val="superscript"/>
        </w:rPr>
        <w:footnoteRef/>
      </w:r>
      <w:r w:rsidRPr="003C5CBB">
        <w:rPr>
          <w:i/>
        </w:rPr>
        <w:t>Id</w:t>
      </w:r>
      <w:r w:rsidRPr="003C5CBB">
        <w:t>. at *7.</w:t>
      </w:r>
    </w:p>
    <w:p w14:paraId="4D8E912D" w14:textId="77777777" w:rsidR="003C5CBB" w:rsidRPr="00366F48" w:rsidRDefault="003C5CBB" w:rsidP="00AF29FC">
      <w:pPr>
        <w:pStyle w:val="footnote"/>
        <w:rPr>
          <w:lang w:val="da-DK"/>
        </w:rPr>
      </w:pPr>
    </w:p>
  </w:footnote>
  <w:footnote w:id="180">
    <w:p w14:paraId="2F736350" w14:textId="5B0F7F0D" w:rsidR="003C5CBB" w:rsidRPr="003C5CBB" w:rsidRDefault="003C5CBB" w:rsidP="003C5CBB">
      <w:pPr>
        <w:pStyle w:val="FootnoteText"/>
      </w:pPr>
      <w:r w:rsidRPr="003C5CBB">
        <w:rPr>
          <w:vertAlign w:val="superscript"/>
        </w:rPr>
        <w:footnoteRef/>
      </w:r>
      <w:r w:rsidRPr="003C5CBB">
        <w:rPr>
          <w:i/>
        </w:rPr>
        <w:t>Id</w:t>
      </w:r>
      <w:r w:rsidRPr="003C5CBB">
        <w:t xml:space="preserve">. at *6. </w:t>
      </w:r>
      <w:r w:rsidRPr="003C5CBB">
        <w:rPr>
          <w:i/>
        </w:rPr>
        <w:t>See</w:t>
      </w:r>
      <w:r w:rsidRPr="003C5CBB">
        <w:t xml:space="preserve"> Grand v. Schwarz, 2016 U.S. Dist. LEXIS 61606, at *17 (S.D.N.Y. May 10, 2016) (denying motion to dismiss where plaintiff pleaded its Brainspotting mark was “well recognized by the relevant purchasing public”).</w:t>
      </w:r>
    </w:p>
    <w:p w14:paraId="78B5B53F" w14:textId="77777777" w:rsidR="003C5CBB" w:rsidRDefault="003C5CBB" w:rsidP="00AF29FC">
      <w:pPr>
        <w:pStyle w:val="footnote"/>
      </w:pPr>
    </w:p>
  </w:footnote>
  <w:footnote w:id="181">
    <w:p w14:paraId="16250890" w14:textId="7C89F39B" w:rsidR="003C5CBB" w:rsidRPr="003C5CBB" w:rsidRDefault="003C5CBB" w:rsidP="003C5CBB">
      <w:pPr>
        <w:pStyle w:val="FootnoteText"/>
      </w:pPr>
      <w:r>
        <w:tab/>
      </w:r>
      <w:r w:rsidRPr="003C5CBB">
        <w:footnoteRef/>
      </w:r>
      <w:r w:rsidRPr="003C5CBB">
        <w:rPr>
          <w:i/>
        </w:rPr>
        <w:t xml:space="preserve">See </w:t>
      </w:r>
      <w:r w:rsidRPr="003C5CBB">
        <w:t>ARF Dashnaktsutyun Western U.S.A. v. Armenian Revolutionary Fed’n WUSA, Inc., 2023 2023 BL 181642</w:t>
      </w:r>
      <w:r w:rsidRPr="003C5CBB" w:rsidDel="00171883">
        <w:t xml:space="preserve"> </w:t>
      </w:r>
      <w:r w:rsidRPr="003C5CBB">
        <w:t>, at *8 (C.D. Cal. May 23, 2023) (stating that “Counter-Claimants relevantly allege the ARF Marks are famous marks globally known in their relation to the Armenian Civil rights movement that have become famous and distinctive over the preceding decades after more than 130 years of use”—indicating only niche fame); Noco Co. v. Smith, 2022 BL 69725, at *4 (N.D. Ohio Feb. 25, 2022) (granting default judgment, stating that “Plaintiff’s trademarks are famous and distinctive within the battery charger and rechargeable battery industry,” indicating only niche fame); Cornette v. Graver, 2020 BL 124076, at *7 (W.D. Pa. Apr. 2, 2020) (denying motion to dismiss claim by a professional wrestling commentator, though stating that plaintiff “has alleged that his name is recognizable throughout the professional wrestling world,” indicating niche fame rather than general fame).</w:t>
      </w:r>
    </w:p>
  </w:footnote>
  <w:footnote w:id="182">
    <w:p w14:paraId="26FC2D57" w14:textId="76FA7280" w:rsidR="003C5CBB" w:rsidRPr="00FE66FF" w:rsidRDefault="003C5CBB" w:rsidP="003C5CBB">
      <w:pPr>
        <w:pStyle w:val="FootnoteText"/>
      </w:pPr>
      <w:r w:rsidRPr="003C5CBB">
        <w:rPr>
          <w:rStyle w:val="FootnoteReference"/>
          <w:rFonts w:eastAsiaTheme="majorEastAsia"/>
        </w:rPr>
        <w:footnoteRef/>
      </w:r>
      <w:r w:rsidRPr="003C5CBB">
        <w:t>2024 WL 5423045, 2024 BL 489268 (D.P.R. Jan. 25, 2024).</w:t>
      </w:r>
    </w:p>
  </w:footnote>
  <w:footnote w:id="183">
    <w:p w14:paraId="55D9B419" w14:textId="53537200" w:rsidR="003C5CBB" w:rsidRPr="00FE66FF" w:rsidRDefault="003C5CBB" w:rsidP="003C5CBB">
      <w:pPr>
        <w:pStyle w:val="FootnoteText"/>
      </w:pPr>
      <w:r w:rsidRPr="003C5CBB">
        <w:rPr>
          <w:rStyle w:val="FootnoteReference"/>
          <w:rFonts w:eastAsiaTheme="majorEastAsia"/>
        </w:rPr>
        <w:footnoteRef/>
      </w:r>
      <w:r w:rsidRPr="003C5CBB">
        <w:rPr>
          <w:i/>
        </w:rPr>
        <w:t xml:space="preserve">Id. </w:t>
      </w:r>
      <w:r w:rsidRPr="003C5CBB">
        <w:t>at *8–9.</w:t>
      </w:r>
    </w:p>
  </w:footnote>
  <w:footnote w:id="184">
    <w:p w14:paraId="440D53C5" w14:textId="2F8CA9A5" w:rsidR="003C5CBB" w:rsidRPr="0040679C" w:rsidRDefault="003C5CBB" w:rsidP="003C5CBB">
      <w:pPr>
        <w:pStyle w:val="FootnoteText"/>
      </w:pPr>
      <w:r w:rsidRPr="003C5CBB">
        <w:rPr>
          <w:rStyle w:val="FootnoteReference"/>
          <w:rFonts w:eastAsiaTheme="majorEastAsia"/>
        </w:rPr>
        <w:footnoteRef/>
      </w:r>
      <w:r w:rsidRPr="003C5CBB">
        <w:t>2024 WL 1533489, 2024 BL 120864 (D. Az. Apr. 9, 2024).</w:t>
      </w:r>
    </w:p>
  </w:footnote>
  <w:footnote w:id="185">
    <w:p w14:paraId="6771ECA6" w14:textId="43494B08"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*9.</w:t>
      </w:r>
    </w:p>
  </w:footnote>
  <w:footnote w:id="186">
    <w:p w14:paraId="78B896ED" w14:textId="6DD0545C" w:rsidR="003C5CBB" w:rsidRPr="00BB6249" w:rsidRDefault="003C5CBB" w:rsidP="003C5CBB">
      <w:pPr>
        <w:pStyle w:val="FootnoteText"/>
      </w:pPr>
      <w:r w:rsidRPr="003C5CBB">
        <w:rPr>
          <w:rStyle w:val="FootnoteReference"/>
          <w:rFonts w:eastAsiaTheme="majorEastAsia"/>
        </w:rPr>
        <w:footnoteRef/>
      </w:r>
      <w:r w:rsidRPr="003C5CBB">
        <w:rPr>
          <w:i/>
        </w:rPr>
        <w:t>See id</w:t>
      </w:r>
      <w:r w:rsidRPr="003C5CBB">
        <w:t>. at *1, stating that Whaleco was an exclusive licensee. The court did not discuss the issue of ownership. This issue is discussed at length in Chapter 7, Section II.A.</w:t>
      </w:r>
    </w:p>
  </w:footnote>
  <w:footnote w:id="187">
    <w:p w14:paraId="4A6C9F74" w14:textId="6C55E443" w:rsidR="003C5CBB" w:rsidRPr="003C5CBB" w:rsidRDefault="003C5CBB" w:rsidP="003C5CBB">
      <w:pPr>
        <w:pStyle w:val="FootnoteText"/>
      </w:pPr>
      <w:r w:rsidRPr="003C5CBB">
        <w:rPr>
          <w:vertAlign w:val="superscript"/>
        </w:rPr>
        <w:footnoteRef/>
      </w:r>
      <w:r w:rsidRPr="003C5CBB">
        <w:t>Bell v. Foster, 109 USPQ2d 1249, 1255 (N.D. Ga. Dec. 2, 2013) (granting summary judgment).</w:t>
      </w:r>
    </w:p>
    <w:p w14:paraId="442E141C" w14:textId="77777777" w:rsidR="003C5CBB" w:rsidRDefault="003C5CBB" w:rsidP="00AF29FC">
      <w:pPr>
        <w:pStyle w:val="footnote"/>
      </w:pPr>
    </w:p>
  </w:footnote>
  <w:footnote w:id="188">
    <w:p w14:paraId="09C86976" w14:textId="1E6E9A58" w:rsidR="003C5CBB" w:rsidRPr="003C5CBB" w:rsidRDefault="003C5CBB" w:rsidP="003C5CBB">
      <w:pPr>
        <w:pStyle w:val="FootnoteText"/>
      </w:pPr>
      <w:r w:rsidRPr="003C5CBB">
        <w:rPr>
          <w:vertAlign w:val="superscript"/>
        </w:rPr>
        <w:footnoteRef/>
      </w:r>
      <w:r w:rsidRPr="003C5CBB">
        <w:rPr>
          <w:i/>
        </w:rPr>
        <w:t>Id</w:t>
      </w:r>
      <w:r w:rsidRPr="003C5CBB">
        <w:t xml:space="preserve">. </w:t>
      </w:r>
      <w:r w:rsidRPr="003C5CBB">
        <w:rPr>
          <w:i/>
        </w:rPr>
        <w:t>See</w:t>
      </w:r>
      <w:r w:rsidRPr="003C5CBB">
        <w:t xml:space="preserve"> Van Praagh v. Gratton, 993 F. Supp. 2d 293, 304–05 (E.D.N.Y. 2014) (upholding pleading of fame: “[T]he Plaintiff, using the name ‘James Van Praagh,’ is recognized worldwide for the alleged psychic services he provides, which involves publishing books and appearing on widely syndicated television shows and at large conferences throughout the United States”); Canales v. ALM Media Props., LLC, 2013 U.S. Dist. LEXIS 150544, at *34 (W.D. Tex. Oct. 18, 2013) (pleadings sufficiently alleged fame; court cited only the fact that there were 43,000 subscribers to a somewhat specialized newsletter using the trademark) (magistrate judge’s opinion).</w:t>
      </w:r>
    </w:p>
    <w:p w14:paraId="68828DC9" w14:textId="77777777" w:rsidR="003C5CBB" w:rsidRDefault="003C5CBB" w:rsidP="00AF29FC">
      <w:pPr>
        <w:pStyle w:val="footnote"/>
      </w:pPr>
    </w:p>
  </w:footnote>
  <w:footnote w:id="189">
    <w:p w14:paraId="3D3FD979" w14:textId="46F13BC5" w:rsidR="003C5CBB" w:rsidRDefault="003C5CBB" w:rsidP="003C5CBB">
      <w:pPr>
        <w:pStyle w:val="FootnoteText"/>
      </w:pPr>
      <w:r w:rsidRPr="003C5CBB">
        <w:rPr>
          <w:rStyle w:val="FootnoteReference"/>
          <w:rFonts w:eastAsiaTheme="majorEastAsia"/>
        </w:rPr>
        <w:footnoteRef/>
      </w:r>
      <w:r w:rsidRPr="003C5CBB">
        <w:t>Ready for the World, Inc. v. Riley, 2019 WL 498813, at *3, 2019 BL 42649 (E.D. Mich. Feb. 8, 2019).</w:t>
      </w:r>
    </w:p>
  </w:footnote>
  <w:footnote w:id="190">
    <w:p w14:paraId="5163A763" w14:textId="1423D599" w:rsidR="003C5CBB" w:rsidRPr="00366F48" w:rsidRDefault="003C5CBB" w:rsidP="003C5CBB">
      <w:pPr>
        <w:pStyle w:val="FootnoteText"/>
        <w:rPr>
          <w:lang w:val="nb-NO"/>
        </w:rPr>
      </w:pPr>
      <w:r w:rsidRPr="003C5CBB">
        <w:rPr>
          <w:rStyle w:val="FootnoteReference"/>
          <w:rFonts w:eastAsiaTheme="majorEastAsia"/>
        </w:rPr>
        <w:footnoteRef/>
      </w:r>
      <w:r w:rsidRPr="003C5CBB">
        <w:rPr>
          <w:i/>
        </w:rPr>
        <w:t>Id</w:t>
      </w:r>
      <w:r w:rsidRPr="003C5CBB">
        <w:t>.</w:t>
      </w:r>
    </w:p>
  </w:footnote>
  <w:footnote w:id="191">
    <w:p w14:paraId="5A8D092A" w14:textId="33F0783E" w:rsidR="003C5CBB" w:rsidRPr="0040679C" w:rsidRDefault="003C5CBB" w:rsidP="003C5CBB">
      <w:pPr>
        <w:pStyle w:val="FootnoteText"/>
      </w:pPr>
      <w:r w:rsidRPr="003C5CBB">
        <w:rPr>
          <w:rStyle w:val="FootnoteReference"/>
          <w:rFonts w:eastAsiaTheme="majorEastAsia"/>
        </w:rPr>
        <w:footnoteRef/>
      </w:r>
      <w:r w:rsidRPr="003C5CBB">
        <w:t>2023 WL 5756847, 2023 BL 312118</w:t>
      </w:r>
      <w:r w:rsidRPr="003C5CBB" w:rsidDel="000C4541">
        <w:t xml:space="preserve"> </w:t>
      </w:r>
      <w:r w:rsidRPr="003C5CBB">
        <w:t>(D. Minn. Sept. 6, 2023).</w:t>
      </w:r>
    </w:p>
  </w:footnote>
  <w:footnote w:id="192">
    <w:p w14:paraId="30879B3D" w14:textId="3DC607D4" w:rsidR="003C5CBB" w:rsidRPr="00B340A6" w:rsidRDefault="003C5CBB" w:rsidP="003C5CBB">
      <w:pPr>
        <w:pStyle w:val="FootnoteText"/>
      </w:pPr>
      <w:r w:rsidRPr="003C5CBB">
        <w:rPr>
          <w:rStyle w:val="FootnoteReference"/>
          <w:rFonts w:eastAsiaTheme="majorEastAsia"/>
        </w:rPr>
        <w:footnoteRef/>
      </w:r>
      <w:r w:rsidRPr="003C5CBB">
        <w:rPr>
          <w:i/>
        </w:rPr>
        <w:t>Id</w:t>
      </w:r>
      <w:r w:rsidRPr="003C5CBB">
        <w:t>. at *11. The court cited only one case in support—a district court decision from 2014.</w:t>
      </w:r>
    </w:p>
  </w:footnote>
  <w:footnote w:id="193">
    <w:p w14:paraId="5D73C9D2" w14:textId="20F81DA8" w:rsidR="003C5CBB" w:rsidRPr="000D1EE2" w:rsidRDefault="003C5CBB" w:rsidP="003C5CBB">
      <w:pPr>
        <w:pStyle w:val="FootnoteText"/>
      </w:pPr>
      <w:r w:rsidRPr="003C5CBB">
        <w:rPr>
          <w:rStyle w:val="FootnoteReference"/>
          <w:rFonts w:eastAsiaTheme="majorEastAsia"/>
        </w:rPr>
        <w:footnoteRef/>
      </w:r>
      <w:r w:rsidRPr="003C5CBB">
        <w:rPr>
          <w:i/>
        </w:rPr>
        <w:t>Id</w:t>
      </w:r>
      <w:r w:rsidRPr="003C5CBB">
        <w:t xml:space="preserve">. The court stated that the evidence used to demonstrate strength of the mark for confusion purposes was sufficient for dilution </w:t>
      </w:r>
      <w:r w:rsidRPr="003C5CBB">
        <w:t xml:space="preserve">purposes, but did not go into detail in its dilution analysis. That evidence, at least as cited in the opinion, indicates that plaintiff did not even do business in a majority of states. </w:t>
      </w:r>
      <w:r w:rsidRPr="003C5CBB">
        <w:rPr>
          <w:i/>
        </w:rPr>
        <w:t>Id</w:t>
      </w:r>
      <w:r w:rsidRPr="003C5CBB">
        <w:t xml:space="preserve">. at *8 (stating that plaintiff did business in 23 states). </w:t>
      </w:r>
      <w:r w:rsidRPr="003C5CBB">
        <w:rPr>
          <w:i/>
        </w:rPr>
        <w:t>See</w:t>
      </w:r>
      <w:r w:rsidRPr="003C5CBB">
        <w:t xml:space="preserve"> Total Petroleum Puerto Rico Corp. v. Montañez Service Station, Inc.,  2024 BL 172359, at *10 (D.P.R. May 16, 2024) (finding dilution by tarnishment without discussing whether plaintiff’s TOTAL mark for gasoline was famous).</w:t>
      </w:r>
    </w:p>
  </w:footnote>
  <w:footnote w:id="194">
    <w:p w14:paraId="1209FFF8" w14:textId="4FAFD478" w:rsidR="003C5CBB" w:rsidRPr="00517775" w:rsidRDefault="003C5CBB" w:rsidP="003C5CBB">
      <w:pPr>
        <w:pStyle w:val="FootnoteText"/>
      </w:pPr>
      <w:r w:rsidRPr="003C5CBB">
        <w:rPr>
          <w:vertAlign w:val="superscript"/>
        </w:rPr>
        <w:footnoteRef/>
      </w:r>
      <w:r w:rsidRPr="003C5CBB">
        <w:t xml:space="preserve">Super Duper, Inc. v. Mattel, Inc., 382 Fed. Appx. 308 (4th Cir. 2010) (unpublished opinion), </w:t>
      </w:r>
      <w:r w:rsidRPr="003C5CBB">
        <w:rPr>
          <w:i/>
        </w:rPr>
        <w:t>cert</w:t>
      </w:r>
      <w:r w:rsidRPr="003C5CBB">
        <w:t xml:space="preserve">. </w:t>
      </w:r>
      <w:r w:rsidRPr="003C5CBB">
        <w:rPr>
          <w:i/>
        </w:rPr>
        <w:t>denied</w:t>
      </w:r>
      <w:r w:rsidRPr="003C5CBB">
        <w:t>, 131 S. Ct. 1003 (2011).</w:t>
      </w:r>
    </w:p>
  </w:footnote>
  <w:footnote w:id="195">
    <w:p w14:paraId="6AE11485" w14:textId="15885F3B" w:rsidR="003C5CBB" w:rsidRPr="00517775" w:rsidRDefault="003C5CBB" w:rsidP="003C5CBB">
      <w:pPr>
        <w:pStyle w:val="FootnoteText"/>
      </w:pPr>
      <w:r w:rsidRPr="003C5CBB">
        <w:rPr>
          <w:vertAlign w:val="superscript"/>
        </w:rPr>
        <w:footnoteRef/>
      </w:r>
      <w:r w:rsidRPr="003C5CBB">
        <w:rPr>
          <w:i/>
        </w:rPr>
        <w:t>Id</w:t>
      </w:r>
      <w:r w:rsidRPr="003C5CBB">
        <w:t xml:space="preserve">. at 314. The problematic jury instructions in this case are discussed in David S. Welkowitz, </w:t>
      </w:r>
      <w:r w:rsidRPr="003C5CBB">
        <w:rPr>
          <w:i/>
        </w:rPr>
        <w:t>Who Should Decide? Judges and Juries in Trademark Dilution Cases</w:t>
      </w:r>
      <w:r w:rsidRPr="003C5CBB">
        <w:t xml:space="preserve">, 63 </w:t>
      </w:r>
      <w:r w:rsidRPr="003C5CBB">
        <w:rPr>
          <w:smallCaps/>
        </w:rPr>
        <w:t>Mercer L. Rev</w:t>
      </w:r>
      <w:r w:rsidRPr="003C5CBB">
        <w:t>. 429, 484–90 (2012).</w:t>
      </w:r>
    </w:p>
  </w:footnote>
  <w:footnote w:id="196">
    <w:p w14:paraId="3D20039C" w14:textId="46435C1A" w:rsidR="003C5CBB" w:rsidRPr="000C4B96" w:rsidRDefault="003C5CBB" w:rsidP="003C5CBB">
      <w:pPr>
        <w:pStyle w:val="FootnoteText"/>
      </w:pPr>
      <w:r w:rsidRPr="003C5CBB">
        <w:rPr>
          <w:rStyle w:val="FootnoteReference"/>
          <w:rFonts w:eastAsiaTheme="majorEastAsia"/>
        </w:rPr>
        <w:footnoteRef/>
      </w:r>
      <w:r w:rsidRPr="003C5CBB">
        <w:rPr>
          <w:i/>
        </w:rPr>
        <w:t>See, e.g.</w:t>
      </w:r>
      <w:r w:rsidRPr="003C5CBB">
        <w:t xml:space="preserve">, Diageo N. Amer., Inc. v. W.J. Deutsch &amp; Sons Ltd., 2024 WL 2712636, at *2–3, 2024 BL 180425 (2d Cir. May 28, 2024) (finding evidence sufficient to uphold jury’s determination of </w:t>
      </w:r>
      <w:r w:rsidRPr="003C5CBB">
        <w:t>fame, and rejecting defendant’s assertion that jury should have been instructed that niche fame is not sufficient under federal law).</w:t>
      </w:r>
    </w:p>
  </w:footnote>
  <w:footnote w:id="197">
    <w:p w14:paraId="1EF0F4C2" w14:textId="21313EEB" w:rsidR="003C5CBB" w:rsidRPr="003C5CBB" w:rsidRDefault="003C5CBB" w:rsidP="003C5CBB">
      <w:pPr>
        <w:pStyle w:val="FootnoteText"/>
      </w:pPr>
      <w:r w:rsidRPr="003C5CBB">
        <w:rPr>
          <w:vertAlign w:val="superscript"/>
        </w:rPr>
        <w:footnoteRef/>
      </w:r>
      <w:r w:rsidRPr="003C5CBB">
        <w:t xml:space="preserve">Prince Lionheart, Inc. v. Halo Innovations, Inc., 2008 U.S. Dist. LEXIS 25147, at *26–29 (D. Colo. Mar. 28, 2008). The court’s opinion took note of the TDRA but, significantly, did not quote the “widely recognized by the general consuming public” language—it only cited the new factors. </w:t>
      </w:r>
      <w:r w:rsidRPr="003C5CBB">
        <w:rPr>
          <w:i/>
        </w:rPr>
        <w:t>Id</w:t>
      </w:r>
      <w:r w:rsidRPr="003C5CBB">
        <w:t>. at *28–29.</w:t>
      </w:r>
    </w:p>
    <w:p w14:paraId="1CEA7246" w14:textId="77777777" w:rsidR="003C5CBB" w:rsidRPr="00517775" w:rsidRDefault="003C5CBB" w:rsidP="00AF29FC">
      <w:pPr>
        <w:pStyle w:val="footnote"/>
      </w:pPr>
    </w:p>
  </w:footnote>
  <w:footnote w:id="198">
    <w:p w14:paraId="4E90F238" w14:textId="730A2FAA" w:rsidR="003C5CBB" w:rsidRPr="00517775" w:rsidRDefault="003C5CBB" w:rsidP="003C5CBB">
      <w:pPr>
        <w:pStyle w:val="FootnoteText"/>
      </w:pPr>
      <w:r w:rsidRPr="003C5CBB">
        <w:rPr>
          <w:vertAlign w:val="superscript"/>
        </w:rPr>
        <w:footnoteRef/>
      </w:r>
      <w:r w:rsidRPr="003C5CBB">
        <w:t>The issue of niche market fame is discussed in more detail in §V, below.</w:t>
      </w:r>
    </w:p>
  </w:footnote>
  <w:footnote w:id="199">
    <w:p w14:paraId="75D72CA1" w14:textId="72B5B1C2" w:rsidR="003C5CBB" w:rsidRDefault="003C5CBB" w:rsidP="003C5CBB">
      <w:pPr>
        <w:pStyle w:val="FootnoteText"/>
      </w:pPr>
      <w:r w:rsidRPr="003C5CBB">
        <w:rPr>
          <w:rStyle w:val="FootnoteReference"/>
          <w:rFonts w:eastAsiaTheme="majorEastAsia"/>
        </w:rPr>
        <w:footnoteRef/>
      </w:r>
      <w:r w:rsidRPr="003C5CBB">
        <w:t>My Goals Solutions, Inc. v. Zeus Networks, LLC, 2025 WL 951394, at *9, 2025 BL 106302 (S.D.N.Y. Mar. 28, 2025).</w:t>
      </w:r>
    </w:p>
  </w:footnote>
  <w:footnote w:id="200">
    <w:p w14:paraId="3BA00C8E" w14:textId="59B9EBA9" w:rsidR="003C5CBB" w:rsidRPr="00517775" w:rsidRDefault="003C5CBB" w:rsidP="003C5CBB">
      <w:pPr>
        <w:pStyle w:val="FootnoteText"/>
      </w:pPr>
      <w:r w:rsidRPr="003C5CBB">
        <w:rPr>
          <w:vertAlign w:val="superscript"/>
        </w:rPr>
        <w:footnoteRef/>
      </w:r>
      <w:r w:rsidRPr="003C5CBB">
        <w:t>550 F. Supp. 2d 657 (W.D. Tex. 2008).</w:t>
      </w:r>
    </w:p>
  </w:footnote>
  <w:footnote w:id="201">
    <w:p w14:paraId="2D73706F" w14:textId="35D5BFB9" w:rsidR="003C5CBB" w:rsidRPr="00517775" w:rsidRDefault="003C5CBB" w:rsidP="003C5CBB">
      <w:pPr>
        <w:pStyle w:val="FootnoteText"/>
      </w:pPr>
      <w:r w:rsidRPr="003C5CBB">
        <w:rPr>
          <w:vertAlign w:val="superscript"/>
        </w:rPr>
        <w:footnoteRef/>
      </w:r>
      <w:r w:rsidRPr="003C5CBB">
        <w:t>The University also brought infringement and unfair competition claims.</w:t>
      </w:r>
    </w:p>
  </w:footnote>
  <w:footnote w:id="202">
    <w:p w14:paraId="393E169B" w14:textId="79477F4E" w:rsidR="003C5CBB" w:rsidRPr="00517775" w:rsidRDefault="003C5CBB" w:rsidP="003C5CBB">
      <w:pPr>
        <w:pStyle w:val="FootnoteText"/>
      </w:pPr>
      <w:r w:rsidRPr="003C5CBB">
        <w:rPr>
          <w:vertAlign w:val="superscript"/>
        </w:rPr>
        <w:footnoteRef/>
      </w:r>
      <w:r w:rsidRPr="003C5CBB">
        <w:rPr>
          <w:i/>
        </w:rPr>
        <w:t>Id</w:t>
      </w:r>
      <w:r w:rsidRPr="003C5CBB">
        <w:t>. at 662, 679.</w:t>
      </w:r>
    </w:p>
  </w:footnote>
  <w:footnote w:id="203">
    <w:p w14:paraId="1D79AD12" w14:textId="5F393139" w:rsidR="003C5CBB" w:rsidRPr="003C5CBB" w:rsidRDefault="003C5CBB" w:rsidP="003C5CBB">
      <w:pPr>
        <w:pStyle w:val="FootnoteText"/>
      </w:pPr>
      <w:r w:rsidRPr="003C5CBB">
        <w:rPr>
          <w:vertAlign w:val="superscript"/>
        </w:rPr>
        <w:footnoteRef/>
      </w:r>
      <w:r w:rsidRPr="003C5CBB">
        <w:rPr>
          <w:i/>
        </w:rPr>
        <w:t>Id</w:t>
      </w:r>
      <w:r w:rsidRPr="003C5CBB">
        <w:t xml:space="preserve">. at 676–77. The court also noted that the defendant’s expert had been the subject of criticism in other court opinions. </w:t>
      </w:r>
      <w:r w:rsidRPr="003C5CBB">
        <w:rPr>
          <w:i/>
        </w:rPr>
        <w:t>Id</w:t>
      </w:r>
      <w:r w:rsidRPr="003C5CBB">
        <w:t>.</w:t>
      </w:r>
    </w:p>
    <w:p w14:paraId="5FF15232" w14:textId="77777777" w:rsidR="003C5CBB" w:rsidRPr="00517775" w:rsidRDefault="003C5CBB" w:rsidP="00AF29FC">
      <w:pPr>
        <w:pStyle w:val="footnote"/>
      </w:pPr>
    </w:p>
  </w:footnote>
  <w:footnote w:id="204">
    <w:p w14:paraId="0F69972E" w14:textId="30224ED8" w:rsidR="003C5CBB" w:rsidRPr="00517775" w:rsidRDefault="003C5CBB" w:rsidP="003C5CBB">
      <w:pPr>
        <w:pStyle w:val="FootnoteText"/>
      </w:pPr>
      <w:r w:rsidRPr="003C5CBB">
        <w:rPr>
          <w:vertAlign w:val="superscript"/>
        </w:rPr>
        <w:footnoteRef/>
      </w:r>
      <w:r w:rsidRPr="003C5CBB">
        <w:rPr>
          <w:i/>
        </w:rPr>
        <w:t>Id</w:t>
      </w:r>
      <w:r w:rsidRPr="003C5CBB">
        <w:t>. at 677.</w:t>
      </w:r>
    </w:p>
  </w:footnote>
  <w:footnote w:id="205">
    <w:p w14:paraId="03CC1202" w14:textId="2F3786F7" w:rsidR="003C5CBB" w:rsidRPr="00517775" w:rsidRDefault="003C5CBB" w:rsidP="003C5CBB">
      <w:pPr>
        <w:pStyle w:val="FootnoteText"/>
      </w:pPr>
      <w:r w:rsidRPr="003C5CBB">
        <w:rPr>
          <w:vertAlign w:val="superscript"/>
        </w:rPr>
        <w:footnoteRef/>
      </w:r>
      <w:r w:rsidRPr="003C5CBB">
        <w:rPr>
          <w:i/>
        </w:rPr>
        <w:t>Id</w:t>
      </w:r>
      <w:r w:rsidRPr="003C5CBB">
        <w:t>. at 678.</w:t>
      </w:r>
    </w:p>
  </w:footnote>
  <w:footnote w:id="206">
    <w:p w14:paraId="181623CD" w14:textId="00418B0D" w:rsidR="003C5CBB" w:rsidRPr="00517775" w:rsidRDefault="003C5CBB" w:rsidP="003C5CBB">
      <w:pPr>
        <w:pStyle w:val="FootnoteText"/>
      </w:pPr>
      <w:r w:rsidRPr="003C5CBB">
        <w:rPr>
          <w:vertAlign w:val="superscript"/>
        </w:rPr>
        <w:footnoteRef/>
      </w:r>
      <w:r w:rsidRPr="003C5CBB">
        <w:rPr>
          <w:i/>
        </w:rPr>
        <w:t>Id</w:t>
      </w:r>
      <w:r w:rsidRPr="003C5CBB">
        <w:t>. at 679 (citing Thane Int’l, Inc. v. Trek Bicycle Corp., 305 F.3d 894, 911, 64 USPQ2d 1564 (9th Cir. 2002)).</w:t>
      </w:r>
    </w:p>
  </w:footnote>
  <w:footnote w:id="207">
    <w:p w14:paraId="7BB35EB6" w14:textId="65570746" w:rsidR="003C5CBB" w:rsidRPr="00517775" w:rsidRDefault="003C5CBB" w:rsidP="003C5CBB">
      <w:pPr>
        <w:pStyle w:val="FootnoteText"/>
      </w:pPr>
      <w:r w:rsidRPr="003C5CBB">
        <w:rPr>
          <w:vertAlign w:val="superscript"/>
        </w:rPr>
        <w:footnoteRef/>
      </w:r>
      <w:r w:rsidRPr="003C5CBB">
        <w:rPr>
          <w:i/>
        </w:rPr>
        <w:t>Id</w:t>
      </w:r>
      <w:r w:rsidRPr="003C5CBB">
        <w:t xml:space="preserve">. This case may usefully be contrasted with </w:t>
      </w:r>
      <w:r w:rsidRPr="003C5CBB">
        <w:rPr>
          <w:i/>
        </w:rPr>
        <w:t>New York City Triathlon</w:t>
      </w:r>
      <w:r w:rsidRPr="003C5CBB">
        <w:t xml:space="preserve">, </w:t>
      </w:r>
      <w:r w:rsidRPr="003C5CBB">
        <w:rPr>
          <w:rStyle w:val="BCasenamefull"/>
        </w:rPr>
        <w:t>LLC v. NYC Triathlon Club, Inc</w:t>
      </w:r>
      <w:r w:rsidRPr="003C5CBB">
        <w:t>., 704 F. Supp. 2d 305, 321–22, 95 USPQ2d 1451 (S.D.N.Y. 2010), where a less-than-household name was found to be a famous mark.</w:t>
      </w:r>
    </w:p>
  </w:footnote>
  <w:footnote w:id="208">
    <w:p w14:paraId="37154CFD" w14:textId="71C594D2" w:rsidR="003C5CBB" w:rsidRPr="00517775" w:rsidRDefault="003C5CBB" w:rsidP="003C5CBB">
      <w:pPr>
        <w:pStyle w:val="FootnoteText"/>
      </w:pPr>
      <w:r w:rsidRPr="003C5CBB">
        <w:rPr>
          <w:vertAlign w:val="superscript"/>
        </w:rPr>
        <w:footnoteRef/>
      </w:r>
      <w:r w:rsidRPr="003C5CBB">
        <w:t>American Mensa, Ltd. v. Inpharmatica, Ltd., 2008 U.S. Dist. LEXIS 99394 (D. Md. Nov. 6, 2008).</w:t>
      </w:r>
    </w:p>
  </w:footnote>
  <w:footnote w:id="209">
    <w:p w14:paraId="38E8315B" w14:textId="56BEE26B" w:rsidR="003C5CBB" w:rsidRPr="00366F48" w:rsidRDefault="003C5CBB" w:rsidP="003C5CBB">
      <w:pPr>
        <w:pStyle w:val="FootnoteText"/>
        <w:rPr>
          <w:lang w:val="da-DK"/>
        </w:rPr>
      </w:pPr>
      <w:r w:rsidRPr="003C5CBB">
        <w:rPr>
          <w:vertAlign w:val="superscript"/>
        </w:rPr>
        <w:footnoteRef/>
      </w:r>
      <w:r w:rsidRPr="003C5CBB">
        <w:rPr>
          <w:i/>
        </w:rPr>
        <w:t>Id</w:t>
      </w:r>
      <w:r w:rsidRPr="003C5CBB">
        <w:t>. at *34.</w:t>
      </w:r>
    </w:p>
  </w:footnote>
  <w:footnote w:id="210">
    <w:p w14:paraId="08C886C3" w14:textId="7401027A" w:rsidR="003C5CBB" w:rsidRPr="00366F48" w:rsidRDefault="003C5CBB" w:rsidP="003C5CBB">
      <w:pPr>
        <w:pStyle w:val="FootnoteText"/>
        <w:rPr>
          <w:lang w:val="da-DK"/>
        </w:rPr>
      </w:pPr>
      <w:r w:rsidRPr="003C5CBB">
        <w:rPr>
          <w:vertAlign w:val="superscript"/>
        </w:rPr>
        <w:footnoteRef/>
      </w:r>
      <w:r w:rsidRPr="003C5CBB">
        <w:rPr>
          <w:i/>
        </w:rPr>
        <w:t>Id</w:t>
      </w:r>
      <w:r w:rsidRPr="003C5CBB">
        <w:t>. at *35–36.</w:t>
      </w:r>
    </w:p>
  </w:footnote>
  <w:footnote w:id="211">
    <w:p w14:paraId="3650AA9C" w14:textId="65C8F9D4" w:rsidR="003C5CBB" w:rsidRPr="00366F48" w:rsidRDefault="003C5CBB" w:rsidP="003C5CBB">
      <w:pPr>
        <w:pStyle w:val="FootnoteText"/>
        <w:rPr>
          <w:lang w:val="da-DK"/>
        </w:rPr>
      </w:pPr>
      <w:r w:rsidRPr="003C5CBB">
        <w:rPr>
          <w:vertAlign w:val="superscript"/>
        </w:rPr>
        <w:footnoteRef/>
      </w:r>
      <w:r w:rsidRPr="003C5CBB">
        <w:rPr>
          <w:i/>
        </w:rPr>
        <w:t>Id</w:t>
      </w:r>
      <w:r w:rsidRPr="003C5CBB">
        <w:t>. at *37–40.</w:t>
      </w:r>
    </w:p>
  </w:footnote>
  <w:footnote w:id="212">
    <w:p w14:paraId="010AE65C" w14:textId="2BBA0CDD" w:rsidR="003C5CBB" w:rsidRPr="00517775" w:rsidRDefault="003C5CBB" w:rsidP="003C5CBB">
      <w:pPr>
        <w:pStyle w:val="FootnoteText"/>
      </w:pPr>
      <w:r w:rsidRPr="003C5CBB">
        <w:rPr>
          <w:vertAlign w:val="superscript"/>
        </w:rPr>
        <w:footnoteRef/>
      </w:r>
      <w:r w:rsidRPr="003C5CBB">
        <w:rPr>
          <w:i/>
        </w:rPr>
        <w:t>Id</w:t>
      </w:r>
      <w:r w:rsidRPr="003C5CBB">
        <w:t xml:space="preserve">. at *40–42. The court noted Professor McCarthy’s opinion that famous marks should have a 75 percent recognition, calling it “persuasive” though not “binding.” </w:t>
      </w:r>
      <w:r w:rsidRPr="003C5CBB">
        <w:rPr>
          <w:i/>
        </w:rPr>
        <w:t>Id</w:t>
      </w:r>
      <w:r w:rsidRPr="003C5CBB">
        <w:t xml:space="preserve">. at *40 (citing 4 </w:t>
      </w:r>
      <w:r w:rsidRPr="003C5CBB">
        <w:rPr>
          <w:smallCaps/>
        </w:rPr>
        <w:t>McCarthy on Trademarks</w:t>
      </w:r>
      <w:r w:rsidRPr="003C5CBB">
        <w:t xml:space="preserve"> §24:106). The court also stated that a survey is not a requirement under the statute. </w:t>
      </w:r>
      <w:r w:rsidRPr="003C5CBB">
        <w:rPr>
          <w:i/>
        </w:rPr>
        <w:t>Id</w:t>
      </w:r>
      <w:r w:rsidRPr="003C5CBB">
        <w:t>. at *40–41.</w:t>
      </w:r>
    </w:p>
  </w:footnote>
  <w:footnote w:id="213">
    <w:p w14:paraId="2294D7D7" w14:textId="2DCD7AE8" w:rsidR="003C5CBB" w:rsidRPr="00517775" w:rsidRDefault="003C5CBB" w:rsidP="003C5CBB">
      <w:pPr>
        <w:pStyle w:val="FootnoteText"/>
      </w:pPr>
      <w:r w:rsidRPr="003C5CBB">
        <w:rPr>
          <w:vertAlign w:val="superscript"/>
        </w:rPr>
        <w:footnoteRef/>
      </w:r>
      <w:r w:rsidRPr="003C5CBB">
        <w:t>Order, American Mensa, Ltd. v. Inpharmatica, Ltd., Civil Action No. 07-cv-03283 (WDQ) (July 28, 2009).</w:t>
      </w:r>
    </w:p>
  </w:footnote>
  <w:footnote w:id="214">
    <w:p w14:paraId="56B6F842" w14:textId="3F9E017F" w:rsidR="003C5CBB" w:rsidRPr="003C5CBB" w:rsidRDefault="003C5CBB" w:rsidP="003C5CBB">
      <w:pPr>
        <w:pStyle w:val="FootnoteText"/>
      </w:pPr>
      <w:r w:rsidRPr="003C5CBB">
        <w:rPr>
          <w:vertAlign w:val="superscript"/>
        </w:rPr>
        <w:footnoteRef/>
      </w:r>
      <w:r w:rsidRPr="003C5CBB">
        <w:t xml:space="preserve">Maker’s Mark Distillery, Inc. v. Diageo N. Am., Inc., 703 F. Supp. 2d 671, 699–700 (W.D. Ky. 2010), </w:t>
      </w:r>
      <w:r w:rsidRPr="003C5CBB">
        <w:rPr>
          <w:i/>
        </w:rPr>
        <w:t>aff’d on other grounds</w:t>
      </w:r>
      <w:r w:rsidRPr="003C5CBB">
        <w:t>, 679 F.3d 410, 102 USPQ2d 1693 (6th Cir. 2012) (no discussion of dilution by court of appeals).</w:t>
      </w:r>
    </w:p>
    <w:p w14:paraId="445ED4D7" w14:textId="77777777" w:rsidR="003C5CBB" w:rsidRPr="00517775" w:rsidRDefault="003C5CBB" w:rsidP="00AF29FC">
      <w:pPr>
        <w:pStyle w:val="footnote"/>
      </w:pPr>
    </w:p>
  </w:footnote>
  <w:footnote w:id="215">
    <w:p w14:paraId="4856F7B9" w14:textId="2BAC3948" w:rsidR="003C5CBB" w:rsidRPr="00366F48" w:rsidRDefault="003C5CBB" w:rsidP="003C5CBB">
      <w:pPr>
        <w:pStyle w:val="FootnoteText"/>
        <w:rPr>
          <w:lang w:val="da-DK"/>
        </w:rPr>
      </w:pPr>
      <w:r w:rsidRPr="003C5CBB">
        <w:rPr>
          <w:vertAlign w:val="superscript"/>
        </w:rPr>
        <w:footnoteRef/>
      </w:r>
      <w:r w:rsidRPr="003C5CBB">
        <w:t xml:space="preserve">The court noted this as well. </w:t>
      </w:r>
      <w:r w:rsidRPr="003C5CBB">
        <w:rPr>
          <w:i/>
        </w:rPr>
        <w:t>Id</w:t>
      </w:r>
      <w:r w:rsidRPr="003C5CBB">
        <w:t>. at 698.</w:t>
      </w:r>
    </w:p>
  </w:footnote>
  <w:footnote w:id="216">
    <w:p w14:paraId="6C422830" w14:textId="091E5853" w:rsidR="003C5CBB" w:rsidRPr="003C5CBB" w:rsidRDefault="003C5CBB" w:rsidP="003C5CBB">
      <w:pPr>
        <w:pStyle w:val="FootnoteText"/>
      </w:pPr>
      <w:r w:rsidRPr="003C5CBB">
        <w:rPr>
          <w:vertAlign w:val="superscript"/>
        </w:rPr>
        <w:footnoteRef/>
      </w:r>
      <w:r w:rsidRPr="003C5CBB">
        <w:rPr>
          <w:i/>
        </w:rPr>
        <w:t>Id</w:t>
      </w:r>
      <w:r w:rsidRPr="003C5CBB">
        <w:t>. at 699.</w:t>
      </w:r>
    </w:p>
    <w:p w14:paraId="410CB764" w14:textId="77777777" w:rsidR="003C5CBB" w:rsidRPr="00366F48" w:rsidRDefault="003C5CBB" w:rsidP="00AF29FC">
      <w:pPr>
        <w:pStyle w:val="footnote"/>
        <w:rPr>
          <w:lang w:val="da-DK"/>
        </w:rPr>
      </w:pPr>
    </w:p>
  </w:footnote>
  <w:footnote w:id="217">
    <w:p w14:paraId="62866030" w14:textId="6C2F2178" w:rsidR="003C5CBB" w:rsidRPr="003C5CBB" w:rsidRDefault="003C5CBB" w:rsidP="003C5CBB">
      <w:pPr>
        <w:pStyle w:val="FootnoteText"/>
      </w:pPr>
      <w:r w:rsidRPr="003C5CBB">
        <w:rPr>
          <w:vertAlign w:val="superscript"/>
        </w:rPr>
        <w:footnoteRef/>
      </w:r>
      <w:r w:rsidRPr="003C5CBB">
        <w:rPr>
          <w:i/>
        </w:rPr>
        <w:t>Id</w:t>
      </w:r>
      <w:r w:rsidRPr="003C5CBB">
        <w:t>.</w:t>
      </w:r>
    </w:p>
    <w:p w14:paraId="58250D71" w14:textId="77777777" w:rsidR="003C5CBB" w:rsidRPr="00366F48" w:rsidRDefault="003C5CBB" w:rsidP="00AF29FC">
      <w:pPr>
        <w:pStyle w:val="footnote"/>
        <w:rPr>
          <w:lang w:val="da-DK"/>
        </w:rPr>
      </w:pPr>
    </w:p>
  </w:footnote>
  <w:footnote w:id="218">
    <w:p w14:paraId="5370F8C3" w14:textId="6723F712" w:rsidR="003C5CBB" w:rsidRPr="00517775" w:rsidRDefault="003C5CBB" w:rsidP="003C5CBB">
      <w:pPr>
        <w:pStyle w:val="FootnoteText"/>
      </w:pPr>
      <w:r w:rsidRPr="003C5CBB">
        <w:rPr>
          <w:vertAlign w:val="superscript"/>
        </w:rPr>
        <w:footnoteRef/>
      </w:r>
      <w:r w:rsidRPr="003C5CBB">
        <w:rPr>
          <w:i/>
        </w:rPr>
        <w:t>Id</w:t>
      </w:r>
      <w:r w:rsidRPr="003C5CBB">
        <w:t>.</w:t>
      </w:r>
    </w:p>
  </w:footnote>
  <w:footnote w:id="219">
    <w:p w14:paraId="6271D775" w14:textId="1250610A" w:rsidR="003C5CBB" w:rsidRPr="00517775" w:rsidRDefault="003C5CBB" w:rsidP="003C5CBB">
      <w:pPr>
        <w:pStyle w:val="FootnoteText"/>
      </w:pPr>
      <w:r w:rsidRPr="003C5CBB">
        <w:rPr>
          <w:vertAlign w:val="superscript"/>
        </w:rPr>
        <w:footnoteRef/>
      </w:r>
      <w:r w:rsidRPr="003C5CBB">
        <w:rPr>
          <w:i/>
        </w:rPr>
        <w:t>Id</w:t>
      </w:r>
      <w:r w:rsidRPr="003C5CBB">
        <w:t>. Contrast this decision with the decision finding NYC Marathon to be a famous mark. New York City Triathlon, LLC v. NYC Triathlon Club, Inc., 704 F. Supp. 2d 305, 321–22, 95 USPQ2d 1451 (S.D.N.Y. 2010). One might suspect that the New York court generalized that mark’s local renown into national renown. In</w:t>
      </w:r>
      <w:r w:rsidRPr="003C5CBB">
        <w:rPr>
          <w:vertAlign w:val="superscript"/>
        </w:rPr>
        <w:t xml:space="preserve"> </w:t>
      </w:r>
      <w:r w:rsidRPr="003C5CBB">
        <w:t xml:space="preserve">Quicken Loans, Inc. v. National Biweekly Administration, Inc., 2014 U.S. Dist. LEXIS 15298 (E.D. Mich. Feb. 7, 2014), the court found Quicken Loans not to be a famous mark for purposes of a preliminary injunction motion. The court found that the mark was nowhere near as well recognized as truly famous marks like Nike and </w:t>
      </w:r>
      <w:r w:rsidRPr="003C5CBB">
        <w:t xml:space="preserve">Pepsi, and noted a lack of evidence that people outside the state of Michigan would widely recognize the mark. </w:t>
      </w:r>
      <w:r w:rsidRPr="003C5CBB">
        <w:rPr>
          <w:i/>
        </w:rPr>
        <w:t xml:space="preserve">Id. </w:t>
      </w:r>
      <w:r w:rsidRPr="003C5CBB">
        <w:t xml:space="preserve">at *17. In </w:t>
      </w:r>
      <w:r w:rsidRPr="003C5CBB">
        <w:rPr>
          <w:rStyle w:val="BCasenamefull"/>
        </w:rPr>
        <w:t>CPL Media Group, Inc. v. Freiberg</w:t>
      </w:r>
      <w:r w:rsidRPr="003C5CBB">
        <w:t xml:space="preserve">, 2013 WL 12107620, at *3 (S.D. Fla. Feb. 7, 2013), the court also found fame to be unproven on a preliminary injunction motion. This time, the mark was “Sweeps&amp;Prizes,” and the court found that plaintiffs only used the mark for two months before filing the action. </w:t>
      </w:r>
      <w:r w:rsidRPr="003C5CBB">
        <w:rPr>
          <w:i/>
        </w:rPr>
        <w:t>Id</w:t>
      </w:r>
      <w:r w:rsidRPr="003C5CBB">
        <w:t xml:space="preserve">. And in </w:t>
      </w:r>
      <w:r w:rsidRPr="003C5CBB">
        <w:rPr>
          <w:rStyle w:val="BCasenamefull"/>
        </w:rPr>
        <w:t>Lochirco Fruit &amp; Produce Co. v. Tarukino Holdings, Inc.</w:t>
      </w:r>
      <w:r w:rsidRPr="003C5CBB">
        <w:t>, 2019 WL 157939, at *3, 2019 BL 8648 (W.D. Wash. Jan. 9, 2019), the court found little evidence that plaintiff’s Happy Apple mark was famous, noting the conclusory claims with little evidence of actual sales, geographic reach, or the like.</w:t>
      </w:r>
    </w:p>
  </w:footnote>
  <w:footnote w:id="220">
    <w:p w14:paraId="6E689913" w14:textId="26326ED3" w:rsidR="003C5CBB" w:rsidRPr="00366F48" w:rsidRDefault="003C5CBB" w:rsidP="003C5CBB">
      <w:pPr>
        <w:pStyle w:val="FootnoteText"/>
      </w:pPr>
      <w:r w:rsidRPr="003C5CBB">
        <w:rPr>
          <w:rStyle w:val="FootnoteReference"/>
          <w:rFonts w:eastAsiaTheme="majorEastAsia"/>
        </w:rPr>
        <w:footnoteRef/>
      </w:r>
      <w:r w:rsidRPr="003C5CBB">
        <w:t>963 F.3d 859 (9th Cir. 2020).</w:t>
      </w:r>
    </w:p>
  </w:footnote>
  <w:footnote w:id="221">
    <w:p w14:paraId="5ED28F9A" w14:textId="54D927C2" w:rsidR="003C5CBB" w:rsidRPr="00311B5B" w:rsidRDefault="003C5CBB" w:rsidP="003C5CBB">
      <w:pPr>
        <w:pStyle w:val="FootnoteText"/>
      </w:pPr>
      <w:r w:rsidRPr="003C5CBB">
        <w:rPr>
          <w:rStyle w:val="FootnoteReference"/>
          <w:rFonts w:eastAsiaTheme="majorEastAsia"/>
        </w:rPr>
        <w:footnoteRef/>
      </w:r>
      <w:r w:rsidRPr="003C5CBB">
        <w:rPr>
          <w:i/>
        </w:rPr>
        <w:t>Id</w:t>
      </w:r>
      <w:r w:rsidRPr="003C5CBB">
        <w:t>. at 870.</w:t>
      </w:r>
    </w:p>
  </w:footnote>
  <w:footnote w:id="222">
    <w:p w14:paraId="491D7357" w14:textId="3B9AD09E" w:rsidR="003C5CBB" w:rsidRPr="00311B5B" w:rsidRDefault="003C5CBB" w:rsidP="003C5CBB">
      <w:pPr>
        <w:pStyle w:val="FootnoteText"/>
      </w:pPr>
      <w:r w:rsidRPr="003C5CBB">
        <w:rPr>
          <w:rStyle w:val="FootnoteReference"/>
          <w:rFonts w:eastAsiaTheme="majorEastAsia"/>
        </w:rPr>
        <w:footnoteRef/>
      </w:r>
      <w:r w:rsidRPr="003C5CBB">
        <w:rPr>
          <w:i/>
        </w:rPr>
        <w:t>Id</w:t>
      </w:r>
      <w:r w:rsidRPr="003C5CBB">
        <w:t xml:space="preserve">., </w:t>
      </w:r>
      <w:r w:rsidRPr="003C5CBB">
        <w:rPr>
          <w:i/>
        </w:rPr>
        <w:t>citing</w:t>
      </w:r>
      <w:r w:rsidRPr="003C5CBB">
        <w:t xml:space="preserve"> Thane Int’l, Inc. v. Trek Bicycle Corp., 305 F.3d 894 (9th Cir. 2002).</w:t>
      </w:r>
    </w:p>
  </w:footnote>
  <w:footnote w:id="223">
    <w:p w14:paraId="11F997BD" w14:textId="3D4200E9" w:rsidR="003C5CBB" w:rsidRPr="00311B5B" w:rsidRDefault="003C5CBB" w:rsidP="003C5CBB">
      <w:pPr>
        <w:pStyle w:val="FootnoteText"/>
      </w:pPr>
      <w:r w:rsidRPr="003C5CBB">
        <w:rPr>
          <w:rStyle w:val="FootnoteReference"/>
          <w:rFonts w:eastAsiaTheme="majorEastAsia"/>
        </w:rPr>
        <w:footnoteRef/>
      </w:r>
      <w:r w:rsidRPr="003C5CBB">
        <w:rPr>
          <w:i/>
        </w:rPr>
        <w:t>Id. citing Thane</w:t>
      </w:r>
      <w:r w:rsidRPr="003C5CBB">
        <w:t>, 305 F.3d at 911.</w:t>
      </w:r>
    </w:p>
  </w:footnote>
  <w:footnote w:id="224">
    <w:p w14:paraId="29398917" w14:textId="2829B75F" w:rsidR="003C5CBB" w:rsidRPr="003B276B" w:rsidRDefault="003C5CBB" w:rsidP="003C5CBB">
      <w:pPr>
        <w:pStyle w:val="FootnoteText"/>
      </w:pPr>
      <w:r w:rsidRPr="003C5CBB">
        <w:rPr>
          <w:rStyle w:val="FootnoteReference"/>
          <w:rFonts w:eastAsiaTheme="majorEastAsia"/>
        </w:rPr>
        <w:footnoteRef/>
      </w:r>
      <w:r w:rsidRPr="003C5CBB">
        <w:rPr>
          <w:i/>
        </w:rPr>
        <w:t>Id</w:t>
      </w:r>
      <w:r w:rsidRPr="003C5CBB">
        <w:t>. at 871.</w:t>
      </w:r>
    </w:p>
  </w:footnote>
  <w:footnote w:id="225">
    <w:p w14:paraId="7BAB3335" w14:textId="636C9159" w:rsidR="003C5CBB" w:rsidRPr="00B626E5" w:rsidRDefault="003C5CBB" w:rsidP="003C5CBB">
      <w:pPr>
        <w:pStyle w:val="FootnoteText"/>
      </w:pPr>
      <w:r w:rsidRPr="003C5CBB">
        <w:rPr>
          <w:rStyle w:val="FootnoteReference"/>
          <w:rFonts w:eastAsiaTheme="majorEastAsia"/>
        </w:rPr>
        <w:footnoteRef/>
      </w:r>
      <w:r w:rsidRPr="003C5CBB">
        <w:rPr>
          <w:i/>
        </w:rPr>
        <w:t>Id</w:t>
      </w:r>
      <w:r w:rsidRPr="003C5CBB">
        <w:t>.</w:t>
      </w:r>
    </w:p>
  </w:footnote>
  <w:footnote w:id="226">
    <w:p w14:paraId="242B132D" w14:textId="41881E8A" w:rsidR="003C5CBB" w:rsidRPr="000D29F6" w:rsidRDefault="003C5CBB" w:rsidP="003C5CBB">
      <w:pPr>
        <w:pStyle w:val="FootnoteText"/>
      </w:pPr>
      <w:r w:rsidRPr="003C5CBB">
        <w:rPr>
          <w:rStyle w:val="FootnoteReference"/>
          <w:rFonts w:eastAsiaTheme="majorEastAsia"/>
        </w:rPr>
        <w:footnoteRef/>
      </w:r>
      <w:r w:rsidRPr="003C5CBB">
        <w:rPr>
          <w:i/>
        </w:rPr>
        <w:t>Id</w:t>
      </w:r>
      <w:r w:rsidRPr="003C5CBB">
        <w:t xml:space="preserve">. </w:t>
      </w:r>
      <w:r w:rsidRPr="003C5CBB">
        <w:rPr>
          <w:i/>
        </w:rPr>
        <w:t>But see</w:t>
      </w:r>
      <w:r w:rsidRPr="003C5CBB">
        <w:t xml:space="preserve"> Herman Miller, Inc. v. Belnick LLC, 510 F. Supp. 3d 1342, 1349–50 (N.D. Ga. 2021) (rejecting the Ninth Circuit’s requirement of a “household name” and finding the same trade dress to be famous).</w:t>
      </w:r>
    </w:p>
  </w:footnote>
  <w:footnote w:id="227">
    <w:p w14:paraId="6F347D43" w14:textId="5FE0E255" w:rsidR="003C5CBB" w:rsidRPr="003C5CBB" w:rsidRDefault="003C5CBB" w:rsidP="003C5CBB">
      <w:pPr>
        <w:pStyle w:val="FootnoteText"/>
      </w:pPr>
      <w:r w:rsidRPr="003C5CBB">
        <w:rPr>
          <w:rStyle w:val="FootnoteReference"/>
          <w:rFonts w:eastAsiaTheme="majorEastAsia"/>
        </w:rPr>
        <w:footnoteRef/>
      </w:r>
      <w:r w:rsidRPr="003C5CBB">
        <w:t>Bluetooth SIG, Inc. v. FCA USA LLC, 2020 WL 2794632, 2020 BL 160120 (W.D. Wash. Apr. 29, 2020).</w:t>
      </w:r>
    </w:p>
    <w:p w14:paraId="4BB677D0" w14:textId="77777777" w:rsidR="003C5CBB" w:rsidRDefault="003C5CBB" w:rsidP="00986F6A">
      <w:pPr>
        <w:pStyle w:val="FootnoteText"/>
      </w:pPr>
    </w:p>
  </w:footnote>
  <w:footnote w:id="228">
    <w:p w14:paraId="6FA17383" w14:textId="1E08625C" w:rsidR="003C5CBB" w:rsidRPr="00E939D2" w:rsidRDefault="003C5CBB" w:rsidP="003C5CBB">
      <w:pPr>
        <w:pStyle w:val="FootnoteText"/>
      </w:pPr>
      <w:r w:rsidRPr="003C5CBB">
        <w:rPr>
          <w:rStyle w:val="FootnoteReference"/>
          <w:rFonts w:eastAsiaTheme="majorEastAsia"/>
        </w:rPr>
        <w:footnoteRef/>
      </w:r>
      <w:r w:rsidRPr="003C5CBB">
        <w:rPr>
          <w:i/>
        </w:rPr>
        <w:t>Id</w:t>
      </w:r>
      <w:r w:rsidRPr="003C5CBB">
        <w:t>. at *11.</w:t>
      </w:r>
    </w:p>
  </w:footnote>
  <w:footnote w:id="229">
    <w:p w14:paraId="16FB8347" w14:textId="42B22F2D" w:rsidR="003C5CBB" w:rsidRPr="003C5CBB" w:rsidRDefault="003C5CBB" w:rsidP="003C5CBB">
      <w:pPr>
        <w:pStyle w:val="FootnoteText"/>
      </w:pPr>
      <w:r w:rsidRPr="003C5CBB">
        <w:rPr>
          <w:rStyle w:val="FootnoteReference"/>
          <w:rFonts w:eastAsiaTheme="majorEastAsia"/>
        </w:rPr>
        <w:footnoteRef/>
      </w:r>
      <w:r w:rsidRPr="003C5CBB">
        <w:rPr>
          <w:i/>
        </w:rPr>
        <w:t>Id</w:t>
      </w:r>
      <w:r w:rsidRPr="003C5CBB">
        <w:t>.</w:t>
      </w:r>
    </w:p>
    <w:p w14:paraId="49E7F490" w14:textId="77777777" w:rsidR="003C5CBB" w:rsidRPr="00E939D2" w:rsidRDefault="003C5CBB">
      <w:pPr>
        <w:pStyle w:val="FootnoteText"/>
      </w:pPr>
    </w:p>
  </w:footnote>
  <w:footnote w:id="230">
    <w:p w14:paraId="4D22C19B" w14:textId="19125933" w:rsidR="003C5CBB" w:rsidRPr="003C5CBB" w:rsidRDefault="003C5CBB" w:rsidP="003C5CBB">
      <w:pPr>
        <w:pStyle w:val="FootnoteText"/>
      </w:pPr>
      <w:r w:rsidRPr="003C5CBB">
        <w:rPr>
          <w:vertAlign w:val="superscript"/>
        </w:rPr>
        <w:footnoteRef/>
      </w:r>
      <w:r w:rsidRPr="003C5CBB">
        <w:t>140 F. Supp. 3d 997 (N.D. Cal. 2015).</w:t>
      </w:r>
    </w:p>
    <w:p w14:paraId="496A3CD6" w14:textId="77777777" w:rsidR="003C5CBB" w:rsidRDefault="003C5CBB" w:rsidP="00AF29FC">
      <w:pPr>
        <w:pStyle w:val="footnote"/>
      </w:pPr>
    </w:p>
  </w:footnote>
  <w:footnote w:id="231">
    <w:p w14:paraId="0B5E4F9B" w14:textId="53485A09" w:rsidR="003C5CBB" w:rsidRPr="003C5CBB" w:rsidRDefault="003C5CBB" w:rsidP="003C5CBB">
      <w:pPr>
        <w:pStyle w:val="FootnoteText"/>
      </w:pPr>
      <w:r w:rsidRPr="003C5CBB">
        <w:rPr>
          <w:vertAlign w:val="superscript"/>
        </w:rPr>
        <w:footnoteRef/>
      </w:r>
      <w:r w:rsidRPr="003C5CBB">
        <w:rPr>
          <w:i/>
        </w:rPr>
        <w:t>Id</w:t>
      </w:r>
      <w:r w:rsidRPr="003C5CBB">
        <w:t xml:space="preserve">. at 1032–33. </w:t>
      </w:r>
      <w:r w:rsidRPr="003C5CBB">
        <w:t xml:space="preserve">Actually, the court believed that defendant’s first use in commerce more likely dated from October, 2011 and that plaintiff had insufficient evidence of fame from that date as well. </w:t>
      </w:r>
      <w:r w:rsidRPr="003C5CBB">
        <w:rPr>
          <w:i/>
        </w:rPr>
        <w:t>Id</w:t>
      </w:r>
      <w:r w:rsidRPr="003C5CBB">
        <w:t>. at 1032. But, apparently in an excess of caution, the court analyzed the issue from the later date as well.</w:t>
      </w:r>
    </w:p>
    <w:p w14:paraId="3C20A5BB" w14:textId="77777777" w:rsidR="003C5CBB" w:rsidRDefault="003C5CBB" w:rsidP="00AF29FC">
      <w:pPr>
        <w:pStyle w:val="footnote"/>
      </w:pPr>
    </w:p>
  </w:footnote>
  <w:footnote w:id="232">
    <w:p w14:paraId="505E9A4C" w14:textId="19B2DFCB" w:rsidR="003C5CBB" w:rsidRPr="003C5CBB" w:rsidRDefault="003C5CBB" w:rsidP="003C5CBB">
      <w:pPr>
        <w:pStyle w:val="FootnoteText"/>
      </w:pPr>
      <w:r w:rsidRPr="003C5CBB">
        <w:rPr>
          <w:vertAlign w:val="superscript"/>
        </w:rPr>
        <w:footnoteRef/>
      </w:r>
      <w:r w:rsidRPr="003C5CBB">
        <w:rPr>
          <w:i/>
        </w:rPr>
        <w:t xml:space="preserve">Id. </w:t>
      </w:r>
      <w:r w:rsidRPr="003C5CBB">
        <w:t>at 1032–33.</w:t>
      </w:r>
    </w:p>
    <w:p w14:paraId="58524819" w14:textId="77777777" w:rsidR="003C5CBB" w:rsidRDefault="003C5CBB" w:rsidP="00AF29FC">
      <w:pPr>
        <w:pStyle w:val="footnote"/>
      </w:pPr>
    </w:p>
  </w:footnote>
  <w:footnote w:id="233">
    <w:p w14:paraId="146A42EA" w14:textId="7CCCBD9E" w:rsidR="003C5CBB" w:rsidRPr="003C5CBB" w:rsidRDefault="003C5CBB" w:rsidP="003C5CBB">
      <w:pPr>
        <w:pStyle w:val="FootnoteText"/>
      </w:pPr>
      <w:r w:rsidRPr="003C5CBB">
        <w:rPr>
          <w:vertAlign w:val="superscript"/>
        </w:rPr>
        <w:footnoteRef/>
      </w:r>
      <w:r w:rsidRPr="003C5CBB">
        <w:rPr>
          <w:i/>
        </w:rPr>
        <w:t>Id</w:t>
      </w:r>
      <w:r w:rsidRPr="003C5CBB">
        <w:t xml:space="preserve">. at 1034. Registration occurred a few months before November 2012, so that slightly favored plaintiff. But that clearly was not sufficient to justify a finding of fame. </w:t>
      </w:r>
      <w:r w:rsidRPr="003C5CBB">
        <w:rPr>
          <w:i/>
        </w:rPr>
        <w:t>Id</w:t>
      </w:r>
      <w:r w:rsidRPr="003C5CBB">
        <w:t>. at 1034–35.</w:t>
      </w:r>
    </w:p>
    <w:p w14:paraId="4B95D38A" w14:textId="77777777" w:rsidR="003C5CBB" w:rsidRPr="00366F48" w:rsidRDefault="003C5CBB" w:rsidP="00AF29FC">
      <w:pPr>
        <w:pStyle w:val="footnote"/>
        <w:rPr>
          <w:lang w:val="da-DK"/>
        </w:rPr>
      </w:pPr>
    </w:p>
  </w:footnote>
  <w:footnote w:id="234">
    <w:p w14:paraId="4135E0F8" w14:textId="559356E6" w:rsidR="003C5CBB" w:rsidRPr="003C5CBB" w:rsidRDefault="003C5CBB" w:rsidP="003C5CBB">
      <w:pPr>
        <w:pStyle w:val="FootnoteText"/>
      </w:pPr>
      <w:r w:rsidRPr="003C5CBB">
        <w:rPr>
          <w:vertAlign w:val="superscript"/>
        </w:rPr>
        <w:footnoteRef/>
      </w:r>
      <w:r w:rsidRPr="003C5CBB">
        <w:rPr>
          <w:i/>
        </w:rPr>
        <w:t>Id</w:t>
      </w:r>
      <w:r w:rsidRPr="003C5CBB">
        <w:t>. at 1035.</w:t>
      </w:r>
    </w:p>
    <w:p w14:paraId="4B046D99" w14:textId="77777777" w:rsidR="003C5CBB" w:rsidRPr="00366F48" w:rsidRDefault="003C5CBB" w:rsidP="00AF29FC">
      <w:pPr>
        <w:pStyle w:val="footnote"/>
        <w:rPr>
          <w:lang w:val="da-DK"/>
        </w:rPr>
      </w:pPr>
    </w:p>
  </w:footnote>
  <w:footnote w:id="235">
    <w:p w14:paraId="7512CE82" w14:textId="1E53E3C9" w:rsidR="003C5CBB" w:rsidRPr="0040679C" w:rsidRDefault="003C5CBB" w:rsidP="003C5CBB">
      <w:pPr>
        <w:pStyle w:val="FootnoteText"/>
      </w:pPr>
      <w:r w:rsidRPr="003C5CBB">
        <w:rPr>
          <w:rStyle w:val="FootnoteReference"/>
          <w:rFonts w:eastAsiaTheme="majorEastAsia"/>
        </w:rPr>
        <w:footnoteRef/>
      </w:r>
      <w:r w:rsidRPr="003C5CBB">
        <w:t>2024 WL 36864, 2024 BL 4715 (S.D.N.Y. Jan. 3, 2024).</w:t>
      </w:r>
    </w:p>
  </w:footnote>
  <w:footnote w:id="236">
    <w:p w14:paraId="16DFC212" w14:textId="1079A32E"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*3.</w:t>
      </w:r>
    </w:p>
  </w:footnote>
  <w:footnote w:id="237">
    <w:p w14:paraId="1BC3FD42" w14:textId="2575C539"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w:t>
      </w:r>
    </w:p>
  </w:footnote>
  <w:footnote w:id="238">
    <w:p w14:paraId="2EA183CC" w14:textId="321BE750"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*4.</w:t>
      </w:r>
    </w:p>
  </w:footnote>
  <w:footnote w:id="239">
    <w:p w14:paraId="7A66E92D" w14:textId="7385A61A" w:rsidR="003C5CBB" w:rsidRPr="003C5CBB" w:rsidRDefault="003C5CBB" w:rsidP="003C5CBB">
      <w:pPr>
        <w:pStyle w:val="FootnoteText"/>
      </w:pPr>
      <w:r w:rsidRPr="003C5CBB">
        <w:rPr>
          <w:rStyle w:val="FootnoteReference"/>
          <w:rFonts w:eastAsiaTheme="majorEastAsia"/>
        </w:rPr>
        <w:footnoteRef/>
      </w:r>
      <w:r w:rsidRPr="003C5CBB">
        <w:rPr>
          <w:i/>
        </w:rPr>
        <w:t>Id</w:t>
      </w:r>
      <w:r w:rsidRPr="003C5CBB">
        <w:t>.</w:t>
      </w:r>
    </w:p>
    <w:p w14:paraId="590C64F9" w14:textId="77777777" w:rsidR="003C5CBB" w:rsidRPr="00366F48" w:rsidRDefault="003C5CBB">
      <w:pPr>
        <w:pStyle w:val="FootnoteText"/>
        <w:rPr>
          <w:lang w:val="da-DK"/>
        </w:rPr>
      </w:pPr>
    </w:p>
  </w:footnote>
  <w:footnote w:id="240">
    <w:p w14:paraId="368319C3" w14:textId="69421C91"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*5.</w:t>
      </w:r>
    </w:p>
  </w:footnote>
  <w:footnote w:id="241">
    <w:p w14:paraId="0C6AC592" w14:textId="751621C1" w:rsidR="003C5CBB" w:rsidRPr="00C64FCC" w:rsidRDefault="003C5CBB" w:rsidP="003C5CBB">
      <w:pPr>
        <w:pStyle w:val="FootnoteText"/>
      </w:pPr>
      <w:r w:rsidRPr="003C5CBB">
        <w:rPr>
          <w:rStyle w:val="FootnoteReference"/>
          <w:rFonts w:eastAsiaTheme="majorEastAsia"/>
        </w:rPr>
        <w:footnoteRef/>
      </w:r>
      <w:r w:rsidRPr="003C5CBB">
        <w:rPr>
          <w:i/>
        </w:rPr>
        <w:t>Id</w:t>
      </w:r>
      <w:r w:rsidRPr="003C5CBB">
        <w:t xml:space="preserve">. Interestingly, the court also cited a case that collected and criticized various court decisions finding marks to be famous. </w:t>
      </w:r>
      <w:r w:rsidRPr="003C5CBB">
        <w:rPr>
          <w:i/>
        </w:rPr>
        <w:t>Id</w:t>
      </w:r>
      <w:r w:rsidRPr="003C5CBB">
        <w:t>.</w:t>
      </w:r>
    </w:p>
  </w:footnote>
  <w:footnote w:id="242">
    <w:p w14:paraId="70B41034" w14:textId="6D19D947" w:rsidR="003C5CBB" w:rsidRPr="00C64FCC" w:rsidRDefault="003C5CBB" w:rsidP="003C5CBB">
      <w:pPr>
        <w:pStyle w:val="FootnoteText"/>
      </w:pPr>
      <w:r w:rsidRPr="003C5CBB">
        <w:rPr>
          <w:rStyle w:val="FootnoteReference"/>
          <w:rFonts w:eastAsiaTheme="majorEastAsia"/>
        </w:rPr>
        <w:footnoteRef/>
      </w:r>
      <w:r w:rsidRPr="003C5CBB">
        <w:rPr>
          <w:i/>
        </w:rPr>
        <w:t>Id</w:t>
      </w:r>
      <w:r w:rsidRPr="003C5CBB">
        <w:t>. at *6.</w:t>
      </w:r>
    </w:p>
  </w:footnote>
  <w:footnote w:id="243">
    <w:p w14:paraId="7DEC24B3" w14:textId="3E4738D0" w:rsidR="003C5CBB" w:rsidRDefault="003C5CBB" w:rsidP="003C5CBB">
      <w:pPr>
        <w:pStyle w:val="FootnoteText"/>
      </w:pPr>
      <w:r w:rsidRPr="003C5CBB">
        <w:rPr>
          <w:rStyle w:val="FootnoteReference"/>
          <w:rFonts w:eastAsiaTheme="majorEastAsia"/>
        </w:rPr>
        <w:footnoteRef/>
      </w:r>
      <w:r w:rsidRPr="003C5CBB">
        <w:t>2020 WL 1508489, 2020 BL 116871 (S.D. Cal. March 27, 2020).</w:t>
      </w:r>
    </w:p>
  </w:footnote>
  <w:footnote w:id="244">
    <w:p w14:paraId="5D30EE21" w14:textId="13B175DA" w:rsidR="003C5CBB" w:rsidRPr="003C5CBB" w:rsidRDefault="003C5CBB" w:rsidP="003C5CBB">
      <w:pPr>
        <w:pStyle w:val="FootnoteText"/>
      </w:pPr>
      <w:r w:rsidRPr="003C5CBB">
        <w:rPr>
          <w:rStyle w:val="FootnoteReference"/>
          <w:rFonts w:eastAsiaTheme="majorEastAsia"/>
        </w:rPr>
        <w:footnoteRef/>
      </w:r>
      <w:r w:rsidRPr="003C5CBB">
        <w:rPr>
          <w:i/>
        </w:rPr>
        <w:t>Id</w:t>
      </w:r>
      <w:r w:rsidRPr="003C5CBB">
        <w:t xml:space="preserve">. at *19, quoting </w:t>
      </w:r>
      <w:r w:rsidRPr="003C5CBB">
        <w:rPr>
          <w:rStyle w:val="BCasenamefull"/>
        </w:rPr>
        <w:t>United Tactical Sys., LLC v. Real Action Paintball, Inc.</w:t>
      </w:r>
      <w:r w:rsidRPr="003C5CBB">
        <w:t>, 2014 WL 6788310, at *20, 2014 BL 338426.</w:t>
      </w:r>
    </w:p>
    <w:p w14:paraId="392C4A4C" w14:textId="77777777" w:rsidR="003C5CBB" w:rsidRPr="00D65BFE" w:rsidRDefault="003C5CBB" w:rsidP="003C5CBB">
      <w:pPr>
        <w:pStyle w:val="FootnoteText"/>
        <w:rPr>
          <w:rFonts w:ascii="TimesNewRomanPSMT" w:hAnsi="TimesNewRomanPSMT" w:cs="TimesNewRomanPSMT"/>
        </w:rPr>
      </w:pPr>
      <w:r w:rsidRPr="003C5CBB">
        <w:t xml:space="preserve"> (N.D. Cal. Dec. 2, 2014).</w:t>
      </w:r>
    </w:p>
  </w:footnote>
  <w:footnote w:id="245">
    <w:p w14:paraId="348727CF" w14:textId="1A02E5D1"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*19–20.</w:t>
      </w:r>
    </w:p>
  </w:footnote>
  <w:footnote w:id="246">
    <w:p w14:paraId="6D1A813E" w14:textId="7C37508C"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*20.</w:t>
      </w:r>
    </w:p>
  </w:footnote>
  <w:footnote w:id="247">
    <w:p w14:paraId="19469D95" w14:textId="711A11F4"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w:t>
      </w:r>
    </w:p>
  </w:footnote>
  <w:footnote w:id="248">
    <w:p w14:paraId="30C312C0" w14:textId="0FB2FA54" w:rsidR="003C5CBB" w:rsidRPr="003C5CBB" w:rsidRDefault="003C5CBB" w:rsidP="003C5CBB">
      <w:pPr>
        <w:pStyle w:val="FootnoteText"/>
      </w:pPr>
      <w:r w:rsidRPr="003C5CBB">
        <w:rPr>
          <w:vertAlign w:val="superscript"/>
        </w:rPr>
        <w:footnoteRef/>
      </w:r>
      <w:r w:rsidRPr="003C5CBB">
        <w:t xml:space="preserve">2017 WL 3531481, 2017 BL 288415 (D. Idaho Aug. 17, 2017). The court rejected a renewed motion for judgment as a matter of law (JMOL) on this issue, ruling that the original Rule 50(a) motion at the close of trial did not sufficiently identify this issue. </w:t>
      </w:r>
      <w:r w:rsidRPr="003C5CBB">
        <w:rPr>
          <w:i/>
        </w:rPr>
        <w:t>Id</w:t>
      </w:r>
      <w:r w:rsidRPr="003C5CBB">
        <w:t xml:space="preserve">. at *3–4. Had the original motion been more specific, the court would have granted JMOL. </w:t>
      </w:r>
      <w:r w:rsidRPr="003C5CBB">
        <w:rPr>
          <w:i/>
        </w:rPr>
        <w:t>Id</w:t>
      </w:r>
      <w:r w:rsidRPr="003C5CBB">
        <w:t>. at *8 n.9. However, a new trial motion under Rule 59 was not limited in the same way as a renewed JMOL motion.</w:t>
      </w:r>
    </w:p>
    <w:p w14:paraId="46B31B6D" w14:textId="77777777" w:rsidR="003C5CBB" w:rsidRDefault="003C5CBB" w:rsidP="0069082C">
      <w:pPr>
        <w:pStyle w:val="footnote"/>
      </w:pPr>
    </w:p>
  </w:footnote>
  <w:footnote w:id="249">
    <w:p w14:paraId="00658555" w14:textId="603A0F54" w:rsidR="003C5CBB" w:rsidRPr="003C5CBB" w:rsidRDefault="003C5CBB" w:rsidP="003C5CBB">
      <w:pPr>
        <w:pStyle w:val="FootnoteText"/>
      </w:pPr>
      <w:r w:rsidRPr="003C5CBB">
        <w:rPr>
          <w:vertAlign w:val="superscript"/>
        </w:rPr>
        <w:footnoteRef/>
      </w:r>
      <w:r w:rsidRPr="003C5CBB">
        <w:rPr>
          <w:i/>
        </w:rPr>
        <w:t>Id</w:t>
      </w:r>
      <w:r w:rsidRPr="003C5CBB">
        <w:t>. at *5–8.</w:t>
      </w:r>
    </w:p>
    <w:p w14:paraId="51B8AC99" w14:textId="77777777" w:rsidR="003C5CBB" w:rsidRPr="00366F48" w:rsidRDefault="003C5CBB" w:rsidP="00AF29FC">
      <w:pPr>
        <w:pStyle w:val="footnote"/>
        <w:rPr>
          <w:lang w:val="da-DK"/>
        </w:rPr>
      </w:pPr>
    </w:p>
  </w:footnote>
  <w:footnote w:id="250">
    <w:p w14:paraId="66FF3135" w14:textId="2E6AE6CE" w:rsidR="003C5CBB" w:rsidRPr="003C5CBB" w:rsidRDefault="003C5CBB" w:rsidP="003C5CBB">
      <w:pPr>
        <w:pStyle w:val="FootnoteText"/>
      </w:pPr>
      <w:r w:rsidRPr="003C5CBB">
        <w:rPr>
          <w:vertAlign w:val="superscript"/>
        </w:rPr>
        <w:footnoteRef/>
      </w:r>
      <w:r w:rsidRPr="003C5CBB">
        <w:rPr>
          <w:i/>
        </w:rPr>
        <w:t>Id</w:t>
      </w:r>
      <w:r w:rsidRPr="003C5CBB">
        <w:t>. at *7.</w:t>
      </w:r>
    </w:p>
    <w:p w14:paraId="670F9E4F" w14:textId="77777777" w:rsidR="003C5CBB" w:rsidRPr="00366F48" w:rsidRDefault="003C5CBB" w:rsidP="00AF29FC">
      <w:pPr>
        <w:pStyle w:val="footnote"/>
        <w:rPr>
          <w:lang w:val="da-DK"/>
        </w:rPr>
      </w:pPr>
    </w:p>
  </w:footnote>
  <w:footnote w:id="251">
    <w:p w14:paraId="5B8E2FEF" w14:textId="562525C8" w:rsidR="003C5CBB" w:rsidRPr="003C5CBB" w:rsidRDefault="003C5CBB" w:rsidP="003C5CBB">
      <w:pPr>
        <w:pStyle w:val="FootnoteText"/>
      </w:pPr>
      <w:r w:rsidRPr="003C5CBB">
        <w:rPr>
          <w:vertAlign w:val="superscript"/>
        </w:rPr>
        <w:footnoteRef/>
      </w:r>
      <w:r w:rsidRPr="003C5CBB">
        <w:rPr>
          <w:i/>
        </w:rPr>
        <w:t>Id</w:t>
      </w:r>
      <w:r w:rsidRPr="003C5CBB">
        <w:t>. at *6.</w:t>
      </w:r>
    </w:p>
    <w:p w14:paraId="78D1D7E3" w14:textId="77777777" w:rsidR="003C5CBB" w:rsidRPr="00366F48" w:rsidRDefault="003C5CBB" w:rsidP="00AF29FC">
      <w:pPr>
        <w:pStyle w:val="footnote"/>
        <w:rPr>
          <w:lang w:val="da-DK"/>
        </w:rPr>
      </w:pPr>
    </w:p>
  </w:footnote>
  <w:footnote w:id="252">
    <w:p w14:paraId="2B1A9D70" w14:textId="6A27454B" w:rsidR="003C5CBB" w:rsidRPr="003C5CBB" w:rsidRDefault="003C5CBB" w:rsidP="003C5CBB">
      <w:pPr>
        <w:pStyle w:val="FootnoteText"/>
      </w:pPr>
      <w:r w:rsidRPr="003C5CBB">
        <w:rPr>
          <w:vertAlign w:val="superscript"/>
        </w:rPr>
        <w:footnoteRef/>
      </w:r>
      <w:r w:rsidRPr="003C5CBB">
        <w:rPr>
          <w:i/>
        </w:rPr>
        <w:t>Id</w:t>
      </w:r>
      <w:r w:rsidRPr="003C5CBB">
        <w:t>.</w:t>
      </w:r>
    </w:p>
    <w:p w14:paraId="3716A994" w14:textId="77777777" w:rsidR="003C5CBB" w:rsidRDefault="003C5CBB" w:rsidP="00AF29FC">
      <w:pPr>
        <w:pStyle w:val="footnote"/>
      </w:pPr>
    </w:p>
  </w:footnote>
  <w:footnote w:id="253">
    <w:p w14:paraId="2CC1045C" w14:textId="063D3BBB" w:rsidR="003C5CBB" w:rsidRPr="00517775" w:rsidRDefault="003C5CBB" w:rsidP="003C5CBB">
      <w:pPr>
        <w:pStyle w:val="FootnoteText"/>
      </w:pPr>
      <w:r w:rsidRPr="003C5CBB">
        <w:rPr>
          <w:vertAlign w:val="superscript"/>
        </w:rPr>
        <w:footnoteRef/>
      </w:r>
      <w:r w:rsidRPr="003C5CBB">
        <w:t>2010 U.S. Dist. LEXIS 2176 (D. Colo. Jan. 12, 2010).</w:t>
      </w:r>
    </w:p>
  </w:footnote>
  <w:footnote w:id="254">
    <w:p w14:paraId="3DB1BE5C" w14:textId="7A814A05" w:rsidR="003C5CBB" w:rsidRPr="007A4A61" w:rsidRDefault="003C5CBB" w:rsidP="003C5CBB">
      <w:pPr>
        <w:pStyle w:val="FootnoteText"/>
      </w:pPr>
      <w:r w:rsidRPr="003C5CBB">
        <w:rPr>
          <w:vertAlign w:val="superscript"/>
        </w:rPr>
        <w:footnoteRef/>
      </w:r>
      <w:r w:rsidRPr="003C5CBB">
        <w:rPr>
          <w:i/>
        </w:rPr>
        <w:t>Id</w:t>
      </w:r>
      <w:r w:rsidRPr="003C5CBB">
        <w:t xml:space="preserve">. at *52–55. </w:t>
      </w:r>
      <w:r w:rsidRPr="003C5CBB">
        <w:rPr>
          <w:i/>
        </w:rPr>
        <w:t>Accord</w:t>
      </w:r>
      <w:r w:rsidRPr="003C5CBB">
        <w:t xml:space="preserve"> Dentsply Sirona, Inc. v. Dental Brands for Less LLC, 2020 WL 1643891, at *4, 2020 BL 124678 (S.D.N.Y. Apr. 2, 2020) (noting that fame is “difficult to prove” and that plaintiff had shown, at most, niche fame among dental professionals). </w:t>
      </w:r>
      <w:r w:rsidRPr="003C5CBB">
        <w:rPr>
          <w:i/>
        </w:rPr>
        <w:t>See</w:t>
      </w:r>
      <w:r w:rsidRPr="003C5CBB">
        <w:t xml:space="preserve"> Audemars Piguet Holding, S.A. v. Haas Outdoors, Inc., 2023 WL 4574950, at *11 n.62 (TTAB July 14, 2023) (finding that Opposer’s mark was not generally recognized by the “general consuming public”) (non-precedential).</w:t>
      </w:r>
    </w:p>
  </w:footnote>
  <w:footnote w:id="255">
    <w:p w14:paraId="1E53E85C" w14:textId="5A683EDD" w:rsidR="003C5CBB" w:rsidRPr="00366F48" w:rsidRDefault="003C5CBB" w:rsidP="003C5CBB">
      <w:pPr>
        <w:pStyle w:val="FootnoteText"/>
        <w:rPr>
          <w:lang w:val="sv-SE"/>
        </w:rPr>
      </w:pPr>
      <w:r w:rsidRPr="003C5CBB">
        <w:rPr>
          <w:rStyle w:val="FootnoteReference"/>
          <w:rFonts w:eastAsiaTheme="majorEastAsia"/>
        </w:rPr>
        <w:footnoteRef/>
      </w:r>
      <w:r w:rsidRPr="003C5CBB">
        <w:t>619 F. Supp. 3d 445 (D. Del. 2022).</w:t>
      </w:r>
    </w:p>
  </w:footnote>
  <w:footnote w:id="256">
    <w:p w14:paraId="117D7C8C" w14:textId="4D01931C" w:rsidR="003C5CBB" w:rsidRPr="0040679C" w:rsidRDefault="003C5CBB" w:rsidP="003C5CBB">
      <w:pPr>
        <w:pStyle w:val="FootnoteText"/>
        <w:rPr>
          <w:lang w:val="sv-SE"/>
        </w:rPr>
      </w:pPr>
      <w:r w:rsidRPr="003C5CBB">
        <w:rPr>
          <w:rStyle w:val="FootnoteReference"/>
          <w:rFonts w:eastAsiaTheme="majorEastAsia"/>
        </w:rPr>
        <w:footnoteRef/>
      </w:r>
      <w:r w:rsidRPr="003C5CBB">
        <w:rPr>
          <w:i/>
        </w:rPr>
        <w:t xml:space="preserve">Id. </w:t>
      </w:r>
      <w:r w:rsidRPr="003C5CBB">
        <w:t>at 466.</w:t>
      </w:r>
    </w:p>
  </w:footnote>
  <w:footnote w:id="257">
    <w:p w14:paraId="31EAE3E9" w14:textId="50756539" w:rsidR="003C5CBB" w:rsidRPr="0040679C" w:rsidRDefault="003C5CBB" w:rsidP="003C5CBB">
      <w:pPr>
        <w:pStyle w:val="FootnoteText"/>
        <w:rPr>
          <w:lang w:val="sv-SE"/>
        </w:rPr>
      </w:pPr>
      <w:r w:rsidRPr="003C5CBB">
        <w:rPr>
          <w:rStyle w:val="FootnoteReference"/>
          <w:rFonts w:eastAsiaTheme="majorEastAsia"/>
        </w:rPr>
        <w:footnoteRef/>
      </w:r>
      <w:r w:rsidRPr="003C5CBB">
        <w:rPr>
          <w:i/>
        </w:rPr>
        <w:t>Id</w:t>
      </w:r>
      <w:r w:rsidRPr="003C5CBB">
        <w:t>. at 466–67.</w:t>
      </w:r>
    </w:p>
  </w:footnote>
  <w:footnote w:id="258">
    <w:p w14:paraId="72254B3B" w14:textId="5395F559" w:rsidR="003C5CBB" w:rsidRPr="00EE72E4" w:rsidRDefault="003C5CBB" w:rsidP="003C5CBB">
      <w:pPr>
        <w:pStyle w:val="FootnoteText"/>
      </w:pPr>
      <w:r w:rsidRPr="003C5CBB">
        <w:rPr>
          <w:vertAlign w:val="superscript"/>
        </w:rPr>
        <w:footnoteRef/>
      </w:r>
      <w:r w:rsidRPr="003C5CBB">
        <w:t xml:space="preserve">Lingo v. Lingo, 785 F. Supp. 2d 443, 455–56, 100 USPQ2d 1698 (D. Del. 2011). A similar result was reached in </w:t>
      </w:r>
      <w:r w:rsidRPr="003C5CBB">
        <w:rPr>
          <w:i/>
        </w:rPr>
        <w:t>Marci’s Fun Food, LLC v</w:t>
      </w:r>
      <w:r w:rsidRPr="003C5CBB">
        <w:t xml:space="preserve">. </w:t>
      </w:r>
      <w:r w:rsidRPr="003C5CBB">
        <w:rPr>
          <w:i/>
        </w:rPr>
        <w:t>Shearer’s Foods, Inc</w:t>
      </w:r>
      <w:r w:rsidRPr="003C5CBB">
        <w:t xml:space="preserve">., 2011 U.S. Dist. LEXIS 128725, at *24 (W.D. Pa. Nov. 7, 2011) (Marci’s </w:t>
      </w:r>
      <w:r w:rsidRPr="003C5CBB">
        <w:t>Old Fashioned Kettle Corn not famous; “sales were limited to New York, Ohio, Indiana, Pennsylvania, and West Virginia”).</w:t>
      </w:r>
    </w:p>
  </w:footnote>
  <w:footnote w:id="259">
    <w:p w14:paraId="6D5BF564" w14:textId="033271D5" w:rsidR="003C5CBB" w:rsidRPr="00EE72E4" w:rsidRDefault="003C5CBB" w:rsidP="003C5CBB">
      <w:pPr>
        <w:pStyle w:val="FootnoteText"/>
      </w:pPr>
      <w:r w:rsidRPr="003C5CBB">
        <w:rPr>
          <w:rStyle w:val="FootnoteReference"/>
          <w:rFonts w:eastAsiaTheme="majorEastAsia"/>
        </w:rPr>
        <w:footnoteRef/>
      </w:r>
      <w:r w:rsidRPr="003C5CBB">
        <w:t>Industria De Diseno Textil, S.A. v. Zara Acad., LLC, 2024 WL 1516093, at *5, 2024 BL 119313 (E.D. Wash. Apr. 8, 2024) (finding ZARA mark famous for default judgment); Industria De Diseño Textil, S.A. (Inditex, S.A.) v. Zara Tours Adventures LLC, 2023 WL 6996329, at *7–9 (T.T.A.B. Oct. 23, 2023) (ZARA mark not famous).</w:t>
      </w:r>
    </w:p>
  </w:footnote>
  <w:footnote w:id="260">
    <w:p w14:paraId="01E38B2E" w14:textId="3AF22D5A" w:rsidR="003C5CBB" w:rsidRPr="00517775" w:rsidRDefault="003C5CBB" w:rsidP="003C5CBB">
      <w:pPr>
        <w:pStyle w:val="FootnoteText"/>
      </w:pPr>
      <w:r w:rsidRPr="003C5CBB">
        <w:rPr>
          <w:vertAlign w:val="superscript"/>
        </w:rPr>
        <w:footnoteRef/>
      </w:r>
      <w:r w:rsidRPr="003C5CBB">
        <w:t xml:space="preserve">2012 U.S. Dist. LEXIS 72929 (M.D. Tenn. May 23, 2012), </w:t>
      </w:r>
      <w:r w:rsidRPr="003C5CBB">
        <w:rPr>
          <w:i/>
        </w:rPr>
        <w:t>aff’d</w:t>
      </w:r>
      <w:r w:rsidRPr="003C5CBB">
        <w:t>, 545 F. App’x 405, 109 USPQ2d 1126 (6th Cir. 2013) (the Sixth Circuit discussed only state dilution law).</w:t>
      </w:r>
    </w:p>
  </w:footnote>
  <w:footnote w:id="261">
    <w:p w14:paraId="7DCE6C5C" w14:textId="77C29D40" w:rsidR="003C5CBB" w:rsidRPr="00517775" w:rsidRDefault="003C5CBB" w:rsidP="003C5CBB">
      <w:pPr>
        <w:pStyle w:val="FootnoteText"/>
      </w:pPr>
      <w:r w:rsidRPr="003C5CBB">
        <w:rPr>
          <w:vertAlign w:val="superscript"/>
        </w:rPr>
        <w:footnoteRef/>
      </w:r>
      <w:r w:rsidRPr="003C5CBB">
        <w:rPr>
          <w:i/>
        </w:rPr>
        <w:t>Id</w:t>
      </w:r>
      <w:r w:rsidRPr="003C5CBB">
        <w:t>. at *133.</w:t>
      </w:r>
    </w:p>
  </w:footnote>
  <w:footnote w:id="262">
    <w:p w14:paraId="310A662A" w14:textId="00178C00" w:rsidR="003C5CBB" w:rsidRPr="00517775" w:rsidRDefault="003C5CBB" w:rsidP="003C5CBB">
      <w:pPr>
        <w:pStyle w:val="FootnoteText"/>
      </w:pPr>
      <w:r w:rsidRPr="003C5CBB">
        <w:rPr>
          <w:vertAlign w:val="superscript"/>
        </w:rPr>
        <w:footnoteRef/>
      </w:r>
      <w:r w:rsidRPr="003C5CBB">
        <w:rPr>
          <w:i/>
        </w:rPr>
        <w:t>Id</w:t>
      </w:r>
      <w:r w:rsidRPr="003C5CBB">
        <w:t>. at *135–138.</w:t>
      </w:r>
    </w:p>
  </w:footnote>
  <w:footnote w:id="263">
    <w:p w14:paraId="486A110D" w14:textId="4173594F" w:rsidR="003C5CBB" w:rsidRPr="00517775" w:rsidRDefault="003C5CBB" w:rsidP="003C5CBB">
      <w:pPr>
        <w:pStyle w:val="FootnoteText"/>
      </w:pPr>
      <w:r w:rsidRPr="003C5CBB">
        <w:rPr>
          <w:vertAlign w:val="superscript"/>
        </w:rPr>
        <w:footnoteRef/>
      </w:r>
      <w:r w:rsidRPr="003C5CBB">
        <w:t>Vallavista Corp. v. Amazon.com, Inc., 2008 U.S. Dist. LEXIS 100058, at *12–15 (N.D. Cal. Dec. 11, 2008).</w:t>
      </w:r>
    </w:p>
  </w:footnote>
  <w:footnote w:id="264">
    <w:p w14:paraId="53E332B3" w14:textId="0202B3FB" w:rsidR="003C5CBB" w:rsidRPr="003C5CBB" w:rsidRDefault="003C5CBB" w:rsidP="003C5CBB">
      <w:pPr>
        <w:pStyle w:val="FootnoteText"/>
      </w:pPr>
      <w:r w:rsidRPr="003C5CBB">
        <w:rPr>
          <w:vertAlign w:val="superscript"/>
        </w:rPr>
        <w:footnoteRef/>
      </w:r>
      <w:r w:rsidRPr="003C5CBB">
        <w:t>Theta Chi Fraternity, Inc. v. Leland Stanford Junior Univ., 212 F. Supp. 3d 816, 827–28 (N.D. Cal. 2016).</w:t>
      </w:r>
    </w:p>
    <w:p w14:paraId="4E1CE52D" w14:textId="77777777" w:rsidR="003C5CBB" w:rsidRDefault="003C5CBB" w:rsidP="00AF29FC">
      <w:pPr>
        <w:pStyle w:val="footnote"/>
      </w:pPr>
    </w:p>
  </w:footnote>
  <w:footnote w:id="265">
    <w:p w14:paraId="264E53EE" w14:textId="22629745" w:rsidR="003C5CBB" w:rsidRPr="003C5CBB" w:rsidRDefault="003C5CBB" w:rsidP="003C5CBB">
      <w:pPr>
        <w:pStyle w:val="FootnoteText"/>
      </w:pPr>
      <w:r w:rsidRPr="003C5CBB">
        <w:rPr>
          <w:vertAlign w:val="superscript"/>
        </w:rPr>
        <w:footnoteRef/>
      </w:r>
      <w:r w:rsidRPr="003C5CBB">
        <w:rPr>
          <w:i/>
        </w:rPr>
        <w:t xml:space="preserve">Id. </w:t>
      </w:r>
      <w:r w:rsidRPr="003C5CBB">
        <w:t>at 828. It also alleged registration of the mark.</w:t>
      </w:r>
    </w:p>
    <w:p w14:paraId="25F6A96E" w14:textId="77777777" w:rsidR="003C5CBB" w:rsidRDefault="003C5CBB" w:rsidP="00AF29FC">
      <w:pPr>
        <w:pStyle w:val="footnote"/>
      </w:pPr>
    </w:p>
  </w:footnote>
  <w:footnote w:id="266">
    <w:p w14:paraId="3185568D" w14:textId="408DC364" w:rsidR="003C5CBB" w:rsidRPr="003C5CBB" w:rsidRDefault="003C5CBB" w:rsidP="003C5CBB">
      <w:pPr>
        <w:pStyle w:val="FootnoteText"/>
      </w:pPr>
      <w:r w:rsidRPr="003C5CBB">
        <w:rPr>
          <w:vertAlign w:val="superscript"/>
        </w:rPr>
        <w:footnoteRef/>
      </w:r>
      <w:r w:rsidRPr="003C5CBB">
        <w:t>Arcsoft, Inc. v. Cyberlink Corp., 153 F. Supp. 3d 1057, 1064–67 (N.D. Cal. 2015).</w:t>
      </w:r>
    </w:p>
    <w:p w14:paraId="63562D99" w14:textId="77777777" w:rsidR="003C5CBB" w:rsidRDefault="003C5CBB" w:rsidP="00AF29FC">
      <w:pPr>
        <w:pStyle w:val="footnote"/>
      </w:pPr>
    </w:p>
  </w:footnote>
  <w:footnote w:id="267">
    <w:p w14:paraId="48D32C94" w14:textId="53C557EE" w:rsidR="003C5CBB" w:rsidRPr="003C5CBB" w:rsidRDefault="003C5CBB" w:rsidP="003C5CBB">
      <w:pPr>
        <w:pStyle w:val="FootnoteText"/>
      </w:pPr>
      <w:r w:rsidRPr="003C5CBB">
        <w:rPr>
          <w:vertAlign w:val="superscript"/>
        </w:rPr>
        <w:footnoteRef/>
      </w:r>
      <w:r w:rsidRPr="003C5CBB">
        <w:rPr>
          <w:i/>
        </w:rPr>
        <w:t>Id</w:t>
      </w:r>
      <w:r w:rsidRPr="003C5CBB">
        <w:t xml:space="preserve">. The court also questioned whether plaintiff had properly alleged that its mark was famous before defendant began using it. </w:t>
      </w:r>
      <w:r w:rsidRPr="003C5CBB">
        <w:rPr>
          <w:i/>
        </w:rPr>
        <w:t>Id</w:t>
      </w:r>
      <w:r w:rsidRPr="003C5CBB">
        <w:t>. at 1066.</w:t>
      </w:r>
    </w:p>
    <w:p w14:paraId="6861F7FD" w14:textId="77777777" w:rsidR="003C5CBB" w:rsidRPr="0040679C" w:rsidRDefault="003C5CBB" w:rsidP="00AF29FC">
      <w:pPr>
        <w:pStyle w:val="footnote"/>
        <w:rPr>
          <w:lang w:val="da-DK"/>
        </w:rPr>
      </w:pPr>
    </w:p>
  </w:footnote>
  <w:footnote w:id="268">
    <w:p w14:paraId="5E49FA71" w14:textId="31F6F476" w:rsidR="003C5CBB" w:rsidRPr="000C2FA1" w:rsidRDefault="003C5CBB" w:rsidP="003C5CBB">
      <w:pPr>
        <w:pStyle w:val="FootnoteText"/>
      </w:pPr>
      <w:r w:rsidRPr="003C5CBB">
        <w:rPr>
          <w:rStyle w:val="FootnoteReference"/>
          <w:rFonts w:eastAsiaTheme="majorEastAsia"/>
        </w:rPr>
        <w:footnoteRef/>
      </w:r>
      <w:r w:rsidRPr="003C5CBB">
        <w:t>2020 WL 5913850, 2020 BL 392131 (C.D. Cal. June 8, 2020).</w:t>
      </w:r>
    </w:p>
  </w:footnote>
  <w:footnote w:id="269">
    <w:p w14:paraId="1A60D5C9" w14:textId="54CB1688" w:rsidR="003C5CBB" w:rsidRPr="0040679C" w:rsidRDefault="003C5CBB" w:rsidP="003C5CBB">
      <w:pPr>
        <w:pStyle w:val="FootnoteText"/>
        <w:rPr>
          <w:lang w:val="da-DK"/>
        </w:rPr>
      </w:pPr>
      <w:r w:rsidRPr="003C5CBB">
        <w:rPr>
          <w:rStyle w:val="FootnoteReference"/>
          <w:rFonts w:eastAsiaTheme="majorEastAsia"/>
        </w:rPr>
        <w:footnoteRef/>
      </w:r>
      <w:r w:rsidRPr="003C5CBB">
        <w:rPr>
          <w:i/>
        </w:rPr>
        <w:t xml:space="preserve">Id. </w:t>
      </w:r>
      <w:r w:rsidRPr="003C5CBB">
        <w:t>at *5.</w:t>
      </w:r>
    </w:p>
  </w:footnote>
  <w:footnote w:id="270">
    <w:p w14:paraId="35F3ABFA" w14:textId="6FE293DC" w:rsidR="003C5CBB" w:rsidRPr="003C5CBB" w:rsidRDefault="003C5CBB" w:rsidP="003C5CBB">
      <w:pPr>
        <w:pStyle w:val="FootnoteText"/>
      </w:pPr>
      <w:r w:rsidRPr="003C5CBB">
        <w:rPr>
          <w:vertAlign w:val="superscript"/>
        </w:rPr>
        <w:footnoteRef/>
      </w:r>
      <w:r w:rsidRPr="003C5CBB">
        <w:t>2018 WL 1806500, 2018 BL 134303 (N.D. Tex. Apr. 17, 2018).</w:t>
      </w:r>
    </w:p>
    <w:p w14:paraId="601974C1" w14:textId="77777777" w:rsidR="003C5CBB" w:rsidRPr="0040679C" w:rsidRDefault="003C5CBB" w:rsidP="000C2FA1">
      <w:pPr>
        <w:pStyle w:val="footnote"/>
      </w:pPr>
    </w:p>
  </w:footnote>
  <w:footnote w:id="271">
    <w:p w14:paraId="6B256C0A" w14:textId="0E2C4DC7" w:rsidR="003C5CBB" w:rsidRPr="003C5CBB" w:rsidRDefault="003C5CBB" w:rsidP="003C5CBB">
      <w:pPr>
        <w:pStyle w:val="FootnoteText"/>
      </w:pPr>
      <w:r w:rsidRPr="003C5CBB">
        <w:rPr>
          <w:vertAlign w:val="superscript"/>
        </w:rPr>
        <w:footnoteRef/>
      </w:r>
      <w:r w:rsidRPr="003C5CBB">
        <w:rPr>
          <w:i/>
        </w:rPr>
        <w:t>Id</w:t>
      </w:r>
      <w:r w:rsidRPr="003C5CBB">
        <w:t>. at *4–5.</w:t>
      </w:r>
    </w:p>
    <w:p w14:paraId="15AE9FF7" w14:textId="77777777" w:rsidR="003C5CBB" w:rsidRPr="00366F48" w:rsidRDefault="003C5CBB" w:rsidP="00AF29FC">
      <w:pPr>
        <w:pStyle w:val="footnote"/>
        <w:rPr>
          <w:lang w:val="da-DK"/>
        </w:rPr>
      </w:pPr>
    </w:p>
  </w:footnote>
  <w:footnote w:id="272">
    <w:p w14:paraId="29D668ED" w14:textId="54B0941F" w:rsidR="003C5CBB" w:rsidRPr="003C5CBB" w:rsidRDefault="003C5CBB" w:rsidP="003C5CBB">
      <w:pPr>
        <w:pStyle w:val="FootnoteText"/>
      </w:pPr>
      <w:r w:rsidRPr="003C5CBB">
        <w:rPr>
          <w:vertAlign w:val="superscript"/>
        </w:rPr>
        <w:footnoteRef/>
      </w:r>
      <w:r w:rsidRPr="003C5CBB">
        <w:rPr>
          <w:i/>
        </w:rPr>
        <w:t>Id</w:t>
      </w:r>
      <w:r w:rsidRPr="003C5CBB">
        <w:t>. at *4.</w:t>
      </w:r>
    </w:p>
    <w:p w14:paraId="21840D83" w14:textId="77777777" w:rsidR="003C5CBB" w:rsidRPr="00366F48" w:rsidRDefault="003C5CBB" w:rsidP="00AF29FC">
      <w:pPr>
        <w:pStyle w:val="footnote"/>
        <w:rPr>
          <w:lang w:val="da-DK"/>
        </w:rPr>
      </w:pPr>
    </w:p>
  </w:footnote>
  <w:footnote w:id="273">
    <w:p w14:paraId="3386253D" w14:textId="152F5862" w:rsidR="003C5CBB" w:rsidRPr="003C5CBB" w:rsidRDefault="003C5CBB" w:rsidP="003C5CBB">
      <w:pPr>
        <w:pStyle w:val="FootnoteText"/>
      </w:pPr>
      <w:r w:rsidRPr="003C5CBB">
        <w:rPr>
          <w:vertAlign w:val="superscript"/>
        </w:rPr>
        <w:footnoteRef/>
      </w:r>
      <w:r w:rsidRPr="003C5CBB">
        <w:rPr>
          <w:i/>
        </w:rPr>
        <w:t>Id</w:t>
      </w:r>
      <w:r w:rsidRPr="003C5CBB">
        <w:t>. at *5.</w:t>
      </w:r>
    </w:p>
    <w:p w14:paraId="3C4F5E24" w14:textId="77777777" w:rsidR="003C5CBB" w:rsidRPr="0040679C" w:rsidRDefault="003C5CBB" w:rsidP="00AF29FC">
      <w:pPr>
        <w:pStyle w:val="footnote"/>
        <w:rPr>
          <w:lang w:val="da-DK"/>
        </w:rPr>
      </w:pPr>
    </w:p>
  </w:footnote>
  <w:footnote w:id="274">
    <w:p w14:paraId="1787FC7F" w14:textId="44FDE73C" w:rsidR="003C5CBB" w:rsidRPr="0040679C" w:rsidRDefault="003C5CBB" w:rsidP="003C5CBB">
      <w:pPr>
        <w:pStyle w:val="FootnoteText"/>
      </w:pPr>
      <w:r w:rsidRPr="003C5CBB">
        <w:rPr>
          <w:vertAlign w:val="superscript"/>
        </w:rPr>
        <w:footnoteRef/>
      </w:r>
      <w:r w:rsidRPr="003C5CBB">
        <w:rPr>
          <w:i/>
        </w:rPr>
        <w:t>Id</w:t>
      </w:r>
      <w:r w:rsidRPr="003C5CBB">
        <w:t xml:space="preserve">. </w:t>
      </w:r>
      <w:r w:rsidRPr="003C5CBB">
        <w:rPr>
          <w:i/>
        </w:rPr>
        <w:t>See</w:t>
      </w:r>
      <w:r w:rsidRPr="003C5CBB">
        <w:t xml:space="preserve"> Calvert Health LLC v. Four Leaf Liquidators LLC, 2024 WL 69953, at *6, 2024 BL 4568 (M.D. Tenn. Jan. 5, 2024) (allegations “that it has put a significant amount of money into its branding, that Plaintiff’s goods and services are associated with high quality and sophistication, that Plaintiff has received unsolicited media coverage, and that two of Plaintiff’s Marks were registered (at least at the time the violations began)” held insufficient to plead fame under federal and Tennessee law); Deep Foods v. Deep Foods, Inc., 419 F. Supp. 3d 569, 584-85 (W.D.N.Y. 2019) (denying motion for default judgment, finding insufficient allegations that the mark DEEP was famous).</w:t>
      </w:r>
    </w:p>
  </w:footnote>
  <w:footnote w:id="275">
    <w:p w14:paraId="196B5311" w14:textId="53B252C6" w:rsidR="003C5CBB" w:rsidRPr="00517775" w:rsidRDefault="003C5CBB" w:rsidP="003C5CBB">
      <w:pPr>
        <w:pStyle w:val="FootnoteText"/>
      </w:pPr>
      <w:r w:rsidRPr="003C5CBB">
        <w:rPr>
          <w:vertAlign w:val="superscript"/>
        </w:rPr>
        <w:footnoteRef/>
      </w:r>
      <w:r w:rsidRPr="003C5CBB">
        <w:t>Network Automation, Inc. v. Hewlett-Packard Co., 2009 U.S. Dist. LEXIS 125835 (C.D. Cal. Sept. 14, 2009).</w:t>
      </w:r>
    </w:p>
  </w:footnote>
  <w:footnote w:id="276">
    <w:p w14:paraId="4FA934C5" w14:textId="5B9CD4B1" w:rsidR="003C5CBB" w:rsidRPr="003C5CBB" w:rsidRDefault="003C5CBB" w:rsidP="003C5CBB">
      <w:pPr>
        <w:pStyle w:val="FootnoteText"/>
      </w:pPr>
      <w:r w:rsidRPr="003C5CBB">
        <w:rPr>
          <w:vertAlign w:val="superscript"/>
        </w:rPr>
        <w:footnoteRef/>
      </w:r>
      <w:r w:rsidRPr="003C5CBB">
        <w:rPr>
          <w:i/>
        </w:rPr>
        <w:t>Id</w:t>
      </w:r>
      <w:r w:rsidRPr="003C5CBB">
        <w:t>. at *33.</w:t>
      </w:r>
    </w:p>
    <w:p w14:paraId="295A3A1E" w14:textId="77777777" w:rsidR="003C5CBB" w:rsidRPr="00517775" w:rsidRDefault="003C5CBB" w:rsidP="00AF29FC">
      <w:pPr>
        <w:pStyle w:val="footnote"/>
      </w:pPr>
    </w:p>
  </w:footnote>
  <w:footnote w:id="277">
    <w:p w14:paraId="5365EA1E" w14:textId="2A9879B9" w:rsidR="003C5CBB" w:rsidRPr="00517775" w:rsidRDefault="003C5CBB" w:rsidP="003C5CBB">
      <w:pPr>
        <w:pStyle w:val="FootnoteText"/>
      </w:pPr>
      <w:r w:rsidRPr="003C5CBB">
        <w:rPr>
          <w:vertAlign w:val="superscript"/>
        </w:rPr>
        <w:footnoteRef/>
      </w:r>
      <w:r w:rsidRPr="003C5CBB">
        <w:t xml:space="preserve">Coach Servs., Inc. v. Triumph Learning, LLC, 96 USPQ2d 1600, 1611 (T.T.A.B. 2010), </w:t>
      </w:r>
      <w:r w:rsidRPr="003C5CBB">
        <w:rPr>
          <w:i/>
        </w:rPr>
        <w:t>aff’d</w:t>
      </w:r>
      <w:r w:rsidRPr="003C5CBB">
        <w:t>, 668 F.3d 1356, 101 USPQ2d 1713 (Fed. Cir. 2012).</w:t>
      </w:r>
    </w:p>
  </w:footnote>
  <w:footnote w:id="278">
    <w:p w14:paraId="34BD23FB" w14:textId="26FA0A37" w:rsidR="003C5CBB" w:rsidRPr="00517775" w:rsidRDefault="003C5CBB" w:rsidP="003C5CBB">
      <w:pPr>
        <w:pStyle w:val="FootnoteText"/>
      </w:pPr>
      <w:r w:rsidRPr="003C5CBB">
        <w:rPr>
          <w:vertAlign w:val="superscript"/>
        </w:rPr>
        <w:footnoteRef/>
      </w:r>
      <w:r w:rsidRPr="003C5CBB">
        <w:rPr>
          <w:i/>
        </w:rPr>
        <w:t>Id</w:t>
      </w:r>
      <w:r w:rsidRPr="003C5CBB">
        <w:t xml:space="preserve">. In several nonprecedential decisions, the TTAB also has found insufficient evidence that some relatively well-known marks were famous. </w:t>
      </w:r>
      <w:r w:rsidRPr="003C5CBB">
        <w:rPr>
          <w:i/>
        </w:rPr>
        <w:t>E</w:t>
      </w:r>
      <w:r w:rsidRPr="003C5CBB">
        <w:t>.</w:t>
      </w:r>
      <w:r w:rsidRPr="003C5CBB">
        <w:rPr>
          <w:i/>
        </w:rPr>
        <w:t>g</w:t>
      </w:r>
      <w:r w:rsidRPr="003C5CBB">
        <w:t xml:space="preserve">., Nautica Apparel, Inc. v. Palmerton, 2015 WL 7273031, at *17 (T.T.A.B. Oct. 21, 2015) (Nautica not famous) (non-precedential); Bridgestone Corp. v. Zhanjiang Deni Carburetor Co., Ltd., 2015 WL 5118057, at *16 (T.T.A.B. Aug. 7, 2015) (Bridgestone and stylized B marks not famous) (non-precedential); Tequila Cuervo La Rojena, S.A. de C.V. v. Cuervo Media LLC, 2013 TTAB LEXIS 191, at *17–18 (T.T.A.B. Apr. 19, 2013) (Jose Cuervo not famous) (non-precedential); Virgin Enterprises, Ltd. v. Moore, 2012 TTAB LEXIS 334, at *48-50 (T.T.A.B. Aug. 31, 2012) (Virgin not famous for dilution) (nonprecedential); B.V.D. Licensing Corp. v. Bosideng Co., Ltd., 2012 TTAB LEXIS 14, at *26–28 (T.T.A.B. Jan. 10, 2012) (BVD not famous for dilution, despite finding it “famous” for confusion analysis purposes) (nonprecedential); Dreamwell, Ltd. v. Kittrich Corp. 2011 TTAB LEXIS 123, at *35–36 (T.T.A.B. Mar. 29, 2011) (Beautyrest not famous for dilution) (nonprecedential); Phillips-Van Heusen Corp. v. Luo, 2011 TTAB LEXIS 135, at *19 (T.T.A.B. Apr. 15, 2011) (Arrow not famous) (nonprecedential); Swatch AG v. Bernard, 2011 TTAB LEXIS 49, at *31 (T.T.A.B. Feb. 23, 2011) (SWATCH not famous on the admissible record before the TTAB) (non-precedential), </w:t>
      </w:r>
      <w:r w:rsidRPr="003C5CBB">
        <w:rPr>
          <w:i/>
        </w:rPr>
        <w:t xml:space="preserve">aff’d on other grounds sub nom. </w:t>
      </w:r>
      <w:r w:rsidRPr="003C5CBB">
        <w:t xml:space="preserve">Swatch, S.A. v. Beehive Wholesale, LLC, 888 F. Supp. 2d 738 (E.D. Va. 2012) (finding no likelihood of dilution without addressing the issue of fame), </w:t>
      </w:r>
      <w:r w:rsidRPr="003C5CBB">
        <w:rPr>
          <w:i/>
        </w:rPr>
        <w:t>aff’d</w:t>
      </w:r>
      <w:r w:rsidRPr="003C5CBB">
        <w:t xml:space="preserve">, 739 F.3d 150, 109 USPQ2d 1291 (4th Cir. 2014); Autobytel Inc. v. Auto By Rent, Inc., 2011 TTAB LEXIS 225, at *22 (T.T.A.B. July 28, 2011) (citing a long lapse of time between the evidence and the case, as well as sales under more than one mark that made it difficult to attribute reputation to any single mark) (nonprecedential). </w:t>
      </w:r>
      <w:r w:rsidRPr="003C5CBB">
        <w:rPr>
          <w:i/>
        </w:rPr>
        <w:t>Accord</w:t>
      </w:r>
      <w:r w:rsidRPr="003C5CBB">
        <w:t xml:space="preserve"> Aventis Pharmaceuticals, Inc. v. Heal the World, Inc., 2011 TTAB LEXIS 352, at *29 (T.T.A.B. Oct. 24, 2011) (Nasacort not famous) (nonprecedential). </w:t>
      </w:r>
      <w:r w:rsidRPr="003C5CBB">
        <w:rPr>
          <w:i/>
        </w:rPr>
        <w:t>See also</w:t>
      </w:r>
      <w:r w:rsidRPr="003C5CBB">
        <w:t xml:space="preserve"> Inter IKEA Sys. B.V. v. Akea, LLC, 110 USPQ2d 1734, 1745–46 (T.T.A.B. 2014) (Ikea mark not shown to be famous at a time prior to the filing of the opposed application for registration).</w:t>
      </w:r>
    </w:p>
  </w:footnote>
  <w:footnote w:id="279">
    <w:p w14:paraId="4B0A3D6F" w14:textId="0A8821FD" w:rsidR="003C5CBB" w:rsidRPr="003C5CBB" w:rsidRDefault="003C5CBB" w:rsidP="003C5CBB">
      <w:pPr>
        <w:pStyle w:val="FootnoteText"/>
      </w:pPr>
      <w:r w:rsidRPr="003C5CBB">
        <w:rPr>
          <w:vertAlign w:val="superscript"/>
        </w:rPr>
        <w:footnoteRef/>
      </w:r>
      <w:r w:rsidRPr="003C5CBB">
        <w:t>Coach Servs., Inc. v. Triumph Learning, LLC, 668 F.3d 1356, 1375–76, 101 USPQ2d 1713 (Fed. Cir. 2012).</w:t>
      </w:r>
    </w:p>
    <w:p w14:paraId="62E3B067" w14:textId="77777777" w:rsidR="003C5CBB" w:rsidRPr="00517775" w:rsidRDefault="003C5CBB" w:rsidP="00AF29FC">
      <w:pPr>
        <w:pStyle w:val="footnote"/>
      </w:pPr>
    </w:p>
  </w:footnote>
  <w:footnote w:id="280">
    <w:p w14:paraId="00C410C8" w14:textId="018C1B93" w:rsidR="003C5CBB" w:rsidRPr="003C5CBB" w:rsidRDefault="003C5CBB" w:rsidP="003C5CBB">
      <w:pPr>
        <w:pStyle w:val="FootnoteText"/>
      </w:pPr>
      <w:r w:rsidRPr="003C5CBB">
        <w:rPr>
          <w:vertAlign w:val="superscript"/>
        </w:rPr>
        <w:footnoteRef/>
      </w:r>
      <w:r w:rsidRPr="003C5CBB">
        <w:t>2015 WL 5118057 (T.T.A.B. Aug. 7, 2015) (non-precedential).</w:t>
      </w:r>
    </w:p>
    <w:p w14:paraId="7CC4808D" w14:textId="77777777" w:rsidR="003C5CBB" w:rsidRDefault="003C5CBB" w:rsidP="00AF29FC">
      <w:pPr>
        <w:pStyle w:val="footnote"/>
      </w:pPr>
    </w:p>
  </w:footnote>
  <w:footnote w:id="281">
    <w:p w14:paraId="4C2AA10C" w14:textId="6166A4D6" w:rsidR="003C5CBB" w:rsidRPr="003C5CBB" w:rsidRDefault="003C5CBB" w:rsidP="003C5CBB">
      <w:pPr>
        <w:pStyle w:val="FootnoteText"/>
      </w:pPr>
      <w:r w:rsidRPr="003C5CBB">
        <w:rPr>
          <w:vertAlign w:val="superscript"/>
        </w:rPr>
        <w:footnoteRef/>
      </w:r>
      <w:r w:rsidRPr="003C5CBB">
        <w:rPr>
          <w:i/>
        </w:rPr>
        <w:t>Id</w:t>
      </w:r>
      <w:r w:rsidRPr="003C5CBB">
        <w:t>. at *16 (quoting Toro Co. v. ToroHead, Inc., 61 USPQ2d 1164, 1177 (T.T.A.B. 2001)).</w:t>
      </w:r>
    </w:p>
    <w:p w14:paraId="1A71241A" w14:textId="77777777" w:rsidR="003C5CBB" w:rsidRDefault="003C5CBB" w:rsidP="00AF29FC">
      <w:pPr>
        <w:pStyle w:val="footnote"/>
      </w:pPr>
    </w:p>
  </w:footnote>
  <w:footnote w:id="282">
    <w:p w14:paraId="29B634BD" w14:textId="39CEA32C" w:rsidR="003C5CBB" w:rsidRPr="003C5CBB" w:rsidRDefault="003C5CBB" w:rsidP="003C5CBB">
      <w:pPr>
        <w:pStyle w:val="FootnoteText"/>
      </w:pPr>
      <w:r w:rsidRPr="003C5CBB">
        <w:rPr>
          <w:vertAlign w:val="superscript"/>
        </w:rPr>
        <w:footnoteRef/>
      </w:r>
      <w:r w:rsidRPr="003C5CBB">
        <w:rPr>
          <w:i/>
        </w:rPr>
        <w:t>Id</w:t>
      </w:r>
      <w:r w:rsidRPr="003C5CBB">
        <w:t>. at *17.</w:t>
      </w:r>
    </w:p>
    <w:p w14:paraId="4E120050" w14:textId="77777777" w:rsidR="003C5CBB" w:rsidRDefault="003C5CBB" w:rsidP="00AF29FC">
      <w:pPr>
        <w:pStyle w:val="footnote"/>
      </w:pPr>
    </w:p>
  </w:footnote>
  <w:footnote w:id="283">
    <w:p w14:paraId="3F492084" w14:textId="4756AB5F" w:rsidR="003C5CBB" w:rsidRPr="003C5CBB" w:rsidRDefault="003C5CBB" w:rsidP="003C5CBB">
      <w:pPr>
        <w:pStyle w:val="FootnoteText"/>
      </w:pPr>
      <w:r w:rsidRPr="003C5CBB">
        <w:rPr>
          <w:vertAlign w:val="superscript"/>
        </w:rPr>
        <w:footnoteRef/>
      </w:r>
      <w:r w:rsidRPr="003C5CBB">
        <w:rPr>
          <w:i/>
        </w:rPr>
        <w:t>Id</w:t>
      </w:r>
      <w:r w:rsidRPr="003C5CBB">
        <w:t>.</w:t>
      </w:r>
    </w:p>
    <w:p w14:paraId="73714097" w14:textId="77777777" w:rsidR="003C5CBB" w:rsidRDefault="003C5CBB" w:rsidP="00AF29FC">
      <w:pPr>
        <w:pStyle w:val="footnote"/>
      </w:pPr>
    </w:p>
  </w:footnote>
  <w:footnote w:id="284">
    <w:p w14:paraId="0DD9EF1B" w14:textId="62F933ED" w:rsidR="003C5CBB" w:rsidRPr="003C5CBB" w:rsidRDefault="003C5CBB" w:rsidP="003C5CBB">
      <w:pPr>
        <w:pStyle w:val="FootnoteText"/>
      </w:pPr>
      <w:r w:rsidRPr="003C5CBB">
        <w:rPr>
          <w:vertAlign w:val="superscript"/>
        </w:rPr>
        <w:footnoteRef/>
      </w:r>
      <w:r w:rsidRPr="003C5CBB">
        <w:rPr>
          <w:i/>
        </w:rPr>
        <w:t>Id</w:t>
      </w:r>
      <w:r w:rsidRPr="003C5CBB">
        <w:t>.</w:t>
      </w:r>
    </w:p>
    <w:p w14:paraId="7CB690A2" w14:textId="77777777" w:rsidR="003C5CBB" w:rsidRDefault="003C5CBB" w:rsidP="00AF29FC">
      <w:pPr>
        <w:pStyle w:val="footnote"/>
      </w:pPr>
    </w:p>
  </w:footnote>
  <w:footnote w:id="285">
    <w:p w14:paraId="07181A6A" w14:textId="6A11A1C4" w:rsidR="003C5CBB" w:rsidRDefault="003C5CBB" w:rsidP="003C5CBB">
      <w:pPr>
        <w:pStyle w:val="FootnoteText"/>
      </w:pPr>
      <w:r w:rsidRPr="003C5CBB">
        <w:rPr>
          <w:rStyle w:val="FootnoteReference"/>
          <w:rFonts w:eastAsiaTheme="majorEastAsia"/>
        </w:rPr>
        <w:footnoteRef/>
      </w:r>
      <w:r w:rsidRPr="003C5CBB">
        <w:t>2020 WL 2063510 (T.T.A.B. Apr. 10, 2020) (non-precedential).</w:t>
      </w:r>
    </w:p>
  </w:footnote>
  <w:footnote w:id="286">
    <w:p w14:paraId="6039F31F" w14:textId="0D49F1D4" w:rsidR="003C5CBB" w:rsidRPr="00E03770" w:rsidRDefault="003C5CBB" w:rsidP="003C5CBB">
      <w:pPr>
        <w:pStyle w:val="FootnoteText"/>
      </w:pPr>
      <w:r w:rsidRPr="003C5CBB">
        <w:rPr>
          <w:rStyle w:val="FootnoteReference"/>
          <w:rFonts w:eastAsiaTheme="majorEastAsia"/>
        </w:rPr>
        <w:footnoteRef/>
      </w:r>
      <w:r w:rsidRPr="003C5CBB">
        <w:rPr>
          <w:i/>
        </w:rPr>
        <w:t>Id</w:t>
      </w:r>
      <w:r w:rsidRPr="003C5CBB">
        <w:t>. at *28.</w:t>
      </w:r>
    </w:p>
  </w:footnote>
  <w:footnote w:id="287">
    <w:p w14:paraId="40DC8A54" w14:textId="00612FBD" w:rsidR="003C5CBB" w:rsidRPr="00E03770" w:rsidRDefault="003C5CBB" w:rsidP="003C5CBB">
      <w:pPr>
        <w:pStyle w:val="FootnoteText"/>
      </w:pPr>
      <w:r w:rsidRPr="003C5CBB">
        <w:rPr>
          <w:rStyle w:val="FootnoteReference"/>
          <w:rFonts w:eastAsiaTheme="majorEastAsia"/>
        </w:rPr>
        <w:footnoteRef/>
      </w:r>
      <w:r w:rsidRPr="003C5CBB">
        <w:rPr>
          <w:i/>
        </w:rPr>
        <w:t>Id</w:t>
      </w:r>
      <w:r w:rsidRPr="003C5CBB">
        <w:t>. at *30.</w:t>
      </w:r>
    </w:p>
  </w:footnote>
  <w:footnote w:id="288">
    <w:p w14:paraId="1A20B78A" w14:textId="55684FE6" w:rsidR="003C5CBB" w:rsidRPr="00E03770" w:rsidRDefault="003C5CBB" w:rsidP="003C5CBB">
      <w:pPr>
        <w:pStyle w:val="FootnoteText"/>
      </w:pPr>
      <w:r w:rsidRPr="003C5CBB">
        <w:rPr>
          <w:rStyle w:val="FootnoteReference"/>
          <w:rFonts w:eastAsiaTheme="majorEastAsia"/>
        </w:rPr>
        <w:footnoteRef/>
      </w:r>
      <w:r w:rsidRPr="003C5CBB">
        <w:rPr>
          <w:i/>
        </w:rPr>
        <w:t>Id</w:t>
      </w:r>
      <w:r w:rsidRPr="003C5CBB">
        <w:t>. at *31 (noting the generally religious audience that would watch the shows). The Board also noted the lack of any direct evidence, such as a survey, to show brand awareness.</w:t>
      </w:r>
    </w:p>
  </w:footnote>
  <w:footnote w:id="289">
    <w:p w14:paraId="23678257" w14:textId="7C901729" w:rsidR="003C5CBB" w:rsidRPr="00366F48" w:rsidRDefault="003C5CBB" w:rsidP="003C5CBB">
      <w:pPr>
        <w:pStyle w:val="FootnoteText"/>
        <w:rPr>
          <w:lang w:val="da-DK"/>
        </w:rPr>
      </w:pPr>
      <w:r w:rsidRPr="003C5CBB">
        <w:rPr>
          <w:rStyle w:val="FootnoteReference"/>
          <w:rFonts w:eastAsiaTheme="majorEastAsia"/>
        </w:rPr>
        <w:footnoteRef/>
      </w:r>
      <w:r w:rsidRPr="003C5CBB">
        <w:rPr>
          <w:i/>
        </w:rPr>
        <w:t>Id</w:t>
      </w:r>
      <w:r w:rsidRPr="003C5CBB">
        <w:t>. at *32.</w:t>
      </w:r>
    </w:p>
  </w:footnote>
  <w:footnote w:id="290">
    <w:p w14:paraId="618050CD" w14:textId="3ED57A1A" w:rsidR="003C5CBB" w:rsidRPr="003C5CBB" w:rsidRDefault="003C5CBB" w:rsidP="003C5CBB">
      <w:pPr>
        <w:pStyle w:val="FootnoteText"/>
        <w:rPr>
          <w:iCs/>
          <w:lang w:val="da-DK"/>
        </w:rPr>
      </w:pPr>
      <w:r w:rsidRPr="003C5CBB">
        <w:rPr>
          <w:rStyle w:val="FootnoteReference"/>
          <w:rFonts w:eastAsiaTheme="majorEastAsia"/>
        </w:rPr>
        <w:footnoteRef/>
      </w:r>
      <w:r w:rsidRPr="003C5CBB">
        <w:rPr>
          <w:i/>
        </w:rPr>
        <w:t>Id</w:t>
      </w:r>
      <w:r w:rsidRPr="003C5CBB">
        <w:t>. at *33.</w:t>
      </w:r>
    </w:p>
  </w:footnote>
  <w:footnote w:id="291">
    <w:p w14:paraId="42F1EFF9" w14:textId="1F78DDB2" w:rsidR="003C5CBB" w:rsidRPr="00517775" w:rsidRDefault="003C5CBB" w:rsidP="003C5CBB">
      <w:pPr>
        <w:pStyle w:val="FootnoteText"/>
      </w:pPr>
      <w:r w:rsidRPr="003C5CBB">
        <w:rPr>
          <w:vertAlign w:val="superscript"/>
        </w:rPr>
        <w:footnoteRef/>
      </w:r>
      <w:r w:rsidRPr="003C5CBB">
        <w:t>Fiat Grp. Autos. S.p.A. v. ISM Inc., 94 USPQ2d 1111, 1114 (T.T.A.B. 2010). The case is also notable because it is precedential and the TTAB had issued few precedential dilution opinions until 2010. This case is discussed in more detail below in §III.C.</w:t>
      </w:r>
    </w:p>
  </w:footnote>
  <w:footnote w:id="292">
    <w:p w14:paraId="1A506A18" w14:textId="0512F8C1" w:rsidR="003C5CBB" w:rsidRPr="00517775" w:rsidRDefault="003C5CBB" w:rsidP="003C5CBB">
      <w:pPr>
        <w:pStyle w:val="FootnoteText"/>
      </w:pPr>
      <w:r w:rsidRPr="003C5CBB">
        <w:rPr>
          <w:vertAlign w:val="superscript"/>
        </w:rPr>
        <w:footnoteRef/>
      </w:r>
      <w:r w:rsidRPr="003C5CBB">
        <w:t>94 USPQ2d at 1115.</w:t>
      </w:r>
    </w:p>
  </w:footnote>
  <w:footnote w:id="293">
    <w:p w14:paraId="27F4E518" w14:textId="47A5395D" w:rsidR="003C5CBB" w:rsidRDefault="003C5CBB" w:rsidP="003C5CBB">
      <w:pPr>
        <w:pStyle w:val="FootnoteText"/>
      </w:pPr>
      <w:r w:rsidRPr="003C5CBB">
        <w:rPr>
          <w:rStyle w:val="FootnoteReference"/>
          <w:rFonts w:eastAsiaTheme="majorEastAsia"/>
        </w:rPr>
        <w:footnoteRef/>
      </w:r>
      <w:r w:rsidRPr="003C5CBB">
        <w:t>The TTAB subsequently reiterated the view that fame could be founded on activity outside the U.S., again in a case in which no fame was found. Cristiano Di Thiene, S.p.A. v. Panagiotis, 2013 TTAB LEXIS 385, at *18 n.21 (T.T.A.B. July 8, 2013) (non-precedential).</w:t>
      </w:r>
    </w:p>
  </w:footnote>
  <w:footnote w:id="294">
    <w:p w14:paraId="1D4076A6" w14:textId="1EBA1B2D" w:rsidR="003C5CBB" w:rsidRPr="00090B02" w:rsidRDefault="003C5CBB" w:rsidP="003C5CBB">
      <w:pPr>
        <w:pStyle w:val="FootnoteText"/>
      </w:pPr>
      <w:r w:rsidRPr="003C5CBB">
        <w:rPr>
          <w:rStyle w:val="FootnoteReference"/>
          <w:rFonts w:eastAsiaTheme="majorEastAsia"/>
        </w:rPr>
        <w:footnoteRef/>
      </w:r>
      <w:r w:rsidRPr="003C5CBB">
        <w:rPr>
          <w:i/>
        </w:rPr>
        <w:t>See, e.g.</w:t>
      </w:r>
      <w:r w:rsidRPr="003C5CBB">
        <w:t>, Alfwear Inc. v. Ibkul Corp., 2025 WL 1370694, at *23, 2025 BL 161314 (D. Utah May 12, 2025) (discussing the issues).</w:t>
      </w:r>
    </w:p>
  </w:footnote>
  <w:footnote w:id="295">
    <w:p w14:paraId="2724FC7D" w14:textId="64B15E1E" w:rsidR="003C5CBB" w:rsidRPr="0027049C" w:rsidRDefault="003C5CBB" w:rsidP="003C5CBB">
      <w:pPr>
        <w:pStyle w:val="FootnoteText"/>
      </w:pPr>
      <w:r w:rsidRPr="003C5CBB">
        <w:rPr>
          <w:rStyle w:val="FootnoteReference"/>
          <w:rFonts w:eastAsiaTheme="majorEastAsia"/>
        </w:rPr>
        <w:footnoteRef/>
      </w:r>
      <w:r w:rsidRPr="003C5CBB">
        <w:rPr>
          <w:i/>
        </w:rPr>
        <w:t>See id.</w:t>
      </w:r>
    </w:p>
  </w:footnote>
  <w:footnote w:id="296">
    <w:p w14:paraId="72478135" w14:textId="03749DC3" w:rsidR="003C5CBB" w:rsidRPr="00915320" w:rsidRDefault="003C5CBB" w:rsidP="003C5CBB">
      <w:pPr>
        <w:pStyle w:val="FootnoteText"/>
      </w:pPr>
      <w:r w:rsidRPr="003C5CBB">
        <w:rPr>
          <w:rStyle w:val="FootnoteReference"/>
          <w:rFonts w:eastAsiaTheme="majorEastAsia"/>
        </w:rPr>
        <w:footnoteRef/>
      </w:r>
      <w:r w:rsidRPr="003C5CBB">
        <w:rPr>
          <w:i/>
        </w:rPr>
        <w:t>See, e.g.</w:t>
      </w:r>
      <w:r w:rsidRPr="003C5CBB">
        <w:t>, Fossil Grp., Inc. v. Angel Seller LLC, 2025 WL 1031062, at *7, 2025 BL 117060 (E.D.N.Y. Apr. 7, 2025) (“well-known celebrities and dignitaries have been pictured in MK products, and MK Watches have appeared in popular magazines”)</w:t>
      </w:r>
    </w:p>
  </w:footnote>
  <w:footnote w:id="297">
    <w:p w14:paraId="7A78D804" w14:textId="2BD4F4CB" w:rsidR="003C5CBB" w:rsidRDefault="003C5CBB" w:rsidP="003C5CBB">
      <w:pPr>
        <w:pStyle w:val="FootnoteText"/>
      </w:pPr>
      <w:r w:rsidRPr="003C5CBB">
        <w:rPr>
          <w:rStyle w:val="FootnoteReference"/>
        </w:rPr>
        <w:footnoteRef/>
      </w:r>
      <w:r w:rsidRPr="003C5CBB">
        <w:rPr>
          <w:i/>
        </w:rPr>
        <w:t>See</w:t>
      </w:r>
      <w:r w:rsidRPr="003C5CBB">
        <w:t xml:space="preserve"> Midas Int’l Corp. v. Advanced Muffler of AV, Inc., 2012 WL 13419322, at *3 (C.D. Cal. Aug. 21, 2012) (denying default judgment on dilution claim “although Plaintiff alleges that it has spent millions advertising the Midas brand of automotive repair throughout the United States over the past several decades, and this brand has undoubtedly attained commercial success and favorable recognition”—finding this does not satisfy the standard of fame).</w:t>
      </w:r>
    </w:p>
  </w:footnote>
  <w:footnote w:id="298">
    <w:p w14:paraId="7B3827F9" w14:textId="23BFD701" w:rsidR="003C5CBB" w:rsidRPr="00915320" w:rsidRDefault="003C5CBB" w:rsidP="003C5CBB">
      <w:pPr>
        <w:pStyle w:val="FootnoteText"/>
      </w:pPr>
      <w:r w:rsidRPr="003C5CBB">
        <w:rPr>
          <w:rStyle w:val="FootnoteReference"/>
          <w:rFonts w:eastAsiaTheme="majorEastAsia"/>
        </w:rPr>
        <w:footnoteRef/>
      </w:r>
      <w:r w:rsidRPr="003C5CBB">
        <w:rPr>
          <w:i/>
        </w:rPr>
        <w:t>See, e.g.</w:t>
      </w:r>
      <w:r w:rsidRPr="003C5CBB">
        <w:t>, Fossil Grp., Inc. v. Angel Seller LLC, 2025 WL 1031062, at *7, 2025 BL 117060 (E.D.N.Y. Apr. 7, 2025) (citing large social media following).</w:t>
      </w:r>
    </w:p>
  </w:footnote>
  <w:footnote w:id="299">
    <w:p w14:paraId="2F2AC383" w14:textId="11A8113D" w:rsidR="003C5CBB" w:rsidRPr="00517775" w:rsidRDefault="003C5CBB" w:rsidP="003C5CBB">
      <w:pPr>
        <w:pStyle w:val="FootnoteText"/>
      </w:pPr>
      <w:r w:rsidRPr="003C5CBB">
        <w:rPr>
          <w:vertAlign w:val="superscript"/>
        </w:rPr>
        <w:footnoteRef/>
      </w:r>
      <w:r w:rsidRPr="003C5CBB">
        <w:t xml:space="preserve">For an example of an appellate reversal after trial, in which the court of appeals found that the mark was not valid, see </w:t>
      </w:r>
      <w:r w:rsidRPr="003C5CBB">
        <w:rPr>
          <w:rStyle w:val="BCasenamefull"/>
        </w:rPr>
        <w:t>Sturgis Motorcycle Rally, Inc. v. Rushmore Photo &amp; Gifts, Inc.</w:t>
      </w:r>
      <w:r w:rsidRPr="003C5CBB">
        <w:t xml:space="preserve">, 908 F.3d 313, 333 (8th Cir. 2018). This case involved more than dilution claims, so the extra expense of defending these claims at trial is hard to quantify. If the plaintiff seeks a preliminary injunction, the court will be forced to at least </w:t>
      </w:r>
      <w:r w:rsidRPr="003C5CBB">
        <w:t xml:space="preserve">make a determination of whether the claim is likely to succeed. </w:t>
      </w:r>
      <w:r w:rsidRPr="003C5CBB">
        <w:rPr>
          <w:i/>
        </w:rPr>
        <w:t xml:space="preserve">See </w:t>
      </w:r>
      <w:r w:rsidRPr="003C5CBB">
        <w:t>Chapter 11, §I.B.</w:t>
      </w:r>
    </w:p>
  </w:footnote>
  <w:footnote w:id="300">
    <w:p w14:paraId="603CEDBE" w14:textId="541E493E" w:rsidR="003C5CBB" w:rsidRPr="00301119" w:rsidRDefault="003C5CBB" w:rsidP="003C5CBB">
      <w:pPr>
        <w:pStyle w:val="FootnoteText"/>
      </w:pPr>
      <w:r w:rsidRPr="003C5CBB">
        <w:rPr>
          <w:vertAlign w:val="superscript"/>
        </w:rPr>
        <w:footnoteRef/>
      </w:r>
      <w:r w:rsidRPr="003C5CBB">
        <w:rPr>
          <w:i/>
        </w:rPr>
        <w:t>See</w:t>
      </w:r>
      <w:r w:rsidRPr="003C5CBB">
        <w:t xml:space="preserve"> Ashcroft v. Iqbal, 556 U.S. 662, 679 (2009) (courts need not accept “legal conclusions” as true, but “[w]hen there are well-pleaded factual allegations, a court should assume their veracity”); Bureau National Interprofessional du Cognac v. Cologne &amp; Cognac Entmt., 110 F.4th 1356, 1373–74 (4th Cir. 2024) (finding dilution claim sufficiently pleaded). </w:t>
      </w:r>
      <w:r w:rsidRPr="003C5CBB">
        <w:rPr>
          <w:i/>
        </w:rPr>
        <w:t xml:space="preserve">But cf. </w:t>
      </w:r>
      <w:r w:rsidRPr="003C5CBB">
        <w:t>Calvert Health LLC v. Four Leaf Liquidators LLC, 2024 WL 69953, at *6 (M.D. Tenn. Jan. 5, 2024) (“in [the] context [of dilution] ‘famous’ is a legal conclusion rather than a factual allegation that the Court necessarily must accept as true”).</w:t>
      </w:r>
    </w:p>
  </w:footnote>
  <w:footnote w:id="301">
    <w:p w14:paraId="63CB49D7" w14:textId="1BFA9DE7"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New York Times Co. v. Microsoft Corp., 2025 WL 1009179, at *24–25, 2025 BL 114980 (S.D.N.Y. Apr. 4, 2025) (finding newspapers’ allegations of fame sufficient stating that they “include detailed, factual descriptions of the nature and scope of the Diluted Trademarks’ widespread circulation, recognition, achievements, and consumer subscriptions”—the plaintiffs included both nationally recognized newspapers, such as the New York Times, and more local newspaper, such as the San Jose Mercury News); CrossFit LLC v. Romero, 2024 WL 5320445, at *4, 2024 BL 480729 (D. Haw. Dec. 27, 2024) (saying court could draw reasonable inferences from facts alleged in the complaint); American Automobile Assn., Inc. v. AAA Auto Care LLC, 2024 WL 5150637, at *4, 2024 BL 460753 (N.D. Miss. Dec. 17, 2024) (finding allegations of fame of AAA mark sufficient for default judgment); NRRM, LLC v. MVF US LLC, 2024 WL 3924589, at *6, 2024 BL 295229 (E.D. Mo. Aug. 23, 2024); Yelp, Inc. v. ReviewVio, Inc., 2024 WL 2883668, at *8, 2024 BL 195163 (N.D. Cal. June 6, 2024) (finding allegations regarding use on social media and websites and media coverage sufficient); Scotts Co. LLC v. SBM Life Science Corp., 749 F. Supp. 3d 865, 874–75 (S.D. Ohio 2024) (finding allegations sufficient, considering allegations relating to each factor in determining fame); OSF Int’l, Inc. v. Spellicy, 2023 WL 6599087, at *6, 2023 BL 359747 (N.D.N.Y. Oct. 10, 2023); Weinacker v. Petfriendly, Inc., 2023 WL 3979507, at *4, 2023 BL 207855 (S.D. Ala. May2, 2023) (allowing </w:t>
      </w:r>
      <w:r w:rsidRPr="003C5CBB">
        <w:rPr>
          <w:i/>
        </w:rPr>
        <w:t xml:space="preserve">pro </w:t>
      </w:r>
      <w:r w:rsidRPr="003C5CBB">
        <w:t xml:space="preserve">se plaintiff to proceed, though cautioning about the need to show facts supporting allegations of fame); Bradford v. Compile, Inc., 2023 WL 6470914, at *8–9, 2023 BL 356052 (N.D. Ga. Apr. 27, 2023); Annie Oakley Ent., Inc. v. Rise ‘N Shine LLC, 2021 WL 11963067, at *2, 2021 BL 264652 (S.D. Ind. Mar. 23, 2021) (stating that defendant’s challenge to the fame of Plaintiff’s RISE ‘N SHINE mark was more appropriately raised on summary judgment); New Prime, Inc. v. Amazon Techs., Inc., 2020 WL 9218533, at *1, 2020 BL 533637 (W.D. Mo. Aug. 13, 2020) (finding it inappropriate to decide on motion to dismiss); Patagonia, Inc. v. Anheuser-Busch, LLC, No. 2:19-CV-02702-VAP-JEMx, 2019 WL 8754735, at *4, 2019 BL 517809 (C.D. Cal. Sept. 3, 2019) (citing specific allegations in the complaint, finding allegations of fame sufficient); National Hockey League v. Hockey Cup LLC, 129 USPQ2d 1354, 1361 (S.D.N.Y. 2019) (upholding allegations that the Stanley Cup trade dress is famous and nonfunctional); Shenzhen Riitek Tech. Co. v. AERB, Inc., 2018 WL 5264077, at *5, 2018 BL 509930 (C.D. Cal. July 18, 2018) (allowing allegations of fame to go forward where they alleged “substantial time, money and effort” to develop recognition, despite indications that fame may be limited to “the industry”); Nerium Int’l, Inc. v. Aloeveritas Ams., LLC, 2018 WL 1940106, at *3, 2018 BL 144078 (N.D. Tex. Apr. 24, 2018) (upholding allegations of large expenditures and claims of consumer recognition as making fame plausible); Icon Fitness &amp; Health, Inc. v. Kelley, 2017 WL 6610085, at *3, 2017 BL 463846 (W.D. Tex. Dec. 29, 2017) (while acknowledging that fame is difficult to prove, upholding allegations of fame as sufficient at the pleading stage); In-N-Out Burgers v. Smashburger IP Holder LLC, 2017 WL 10402610, at *3, 2017 BL 533492 (C.D. Cal. Dec. 21, 2017) (Plaintiff adequately pled fame of Double Double mark, court noting specific allegations of national recognition, length of use, and registration—noting difference between pleading stage and proof); American Family Life Assurance Co. v. ooShirts, Inc., 2017 WL 6210316, at *2, 2017 BL 471587 (N.D. Ga. May 17, 2017) (finding allegations of fame of Aflac mark, including amount of advertising, sponsorships, and allegations of specific levels of recognition sufficient); YETI Coolers, LLC v. Imagen Brands, LLC, 2017 WL 2199012, at *8, 2017 BL 166928 (W.D. Tex. May 18, 2017) (complaint sufficiently pled that plaintiff’s trade dress was famous); Treasury Mgmt. Servs., Inc. v. Wall Street Sys. Del., Inc., 2017 WL 1821114, at *4, 2017 BL 150614, 123 USPQ2d 1357 (D. Del. May 5, 2017) (declining to dismiss complaint alleging that plaintiff’s “TMS marks” are famous); Waiter.com, Inc. v. Waitr, Inc., 2016 WL 7443656, 2016 BL 427500 (W.D. La. Dec. 22, 2016) (complaint sufficiently alleged that plaintiff’s Waiter.com mark was famous because “it was featured in several national publications ... , it extensively promoted its services ... , its mark is registered, and ... its mark is distinctive to consumers”); A.C.T. 898 Prods., Inc. v. Door to Door Nail Supply, 2015 WL 12791424, at *4 (C.D. Cal. Nov. 13, 2015) (declining to dismiss complaint alleging ACT mark famous for “nail art brushes”); Zimmerli Textil AG v. Kabbaz, 2015 WL 5821523, at *5, 2015 BL 328955 (E.D.N.Y. Sept. 30, 2015) (upholding complaint alleging dilution of Zimmerli mark without discussing whether complaint adequately alleged fame); MJC Am., Ltd. v. Gree Elec. Appliances, Inc. of Zhuhai, 2015 WL 12777382, at *5 (C.D. Cal. Feb. 2, 2015) (citing allegations of “significant nationwide sales” with specific figures, the court allowed the complaint alleging fame of Soleus Air mark); A.V.E.L.A., Inc. v. Estate of Marilyn Monroe, 131 F. Supp. 3d 196, 215–16 (S.D.N.Y. 2015) (fame of Marilyn Monroe sufficiently pled); Romeo &amp; Juliet Laser Hair Removal, Inc. v. Assara I LLC, 2014 U.S. Dist. LEXIS 133839, at *8–10 (S.D.N.Y. Sept. 23, 2014) (fame of Romeo &amp; Juliet Laser sufficiently pled); Blue Sphere, Inc. v. Swift, 2014 WL 12575768, at *2, 2014 BL 498621 (C.D. Cal. Sept. 17, 2014) (fame of LUCKY 13 mark sufficiently pled); Valley Forge Military Acad. Found. v. Valley Forge Old Guard, Inc., 24 F. Supp. 3d 451, 458–59 (E.D. Pa. 2014) (Valley Forge Military Academy fame pleaded sufficiently; “Plaintiffs claim the marks have been continuously used since 1928, have continuously been used to advertise and promote for Plaintiffs, have been used extensively by the press in connection with Plaintiffs, and are known throughout the nation and world as identifying Plaintiffs”); Roger Cleveland Golf Co. v. Callaway Golf Co., 2014 WL 12567782, at *4 (C.D. Cal. Mar. 11, 2014) (plaintiff’s complaint sufficiently pled fame of “Roger Cleveland” mark); 1st Source Bank v. Firstsource Sols. Ltd., 2013 U.S. Dist. LEXIS 59209, at *17 (N.D. Ind. Apr. 24, 2013) (upholding pleading of dilution of First Source mark under federal and Indiana law, though without indicating the grounds for plausibly believing the mark to be famous); Ritual Coffee Roasters, Inc. v. ATA Grp. LLC, 2013 WL 12129873, at *1 (C.D. Cal. Apr. 9, 2013); Desmond </w:t>
      </w:r>
      <w:r w:rsidRPr="003C5CBB">
        <w:rPr>
          <w:i/>
        </w:rPr>
        <w:t xml:space="preserve">ex rel. </w:t>
      </w:r>
      <w:r w:rsidRPr="003C5CBB">
        <w:t xml:space="preserve">Moo &amp; Oink, Inc. v. Chicago Boxed Beef Distribs., Inc., 921 F. Supp. 2d 872, 883–84 (N.D. Ill. 2013) (complaint sufficiently pled that Moo &amp; Oink was famous); A’Lor Int’l, Ltd. v. Tappers Fine Jewelry, Inc., 2012 WL 12921035, at *7, 2012 BL 412859 (C.D. Cal. Aug. 8, 2012) (finding complaint sufficiently pled fame and distinctiveness of trade dress, but based on a discussion that only dealt with distinctiveness); Travelpro Int’l, Inc. v. Luggage Express, Inc., 2010 WL 11626611, at *2 (M.D. Fla. Sept. 13, 2010) (in a counterfeiting case, allowing complaint including dilution by tarnishment claims to go forward, but without even mentioning requirement of fame); Denimxworks Inc. v. J.L.J. Inc., 2010 WL 11596164, at *3 (;C.D. Cal. Mar. 4, 2010) (allowing seemingly conclusory allegations of fame and dilution to withstand motion to dismiss); Arcadia Grp. Brands Ltd. v. Studio Moderna SA, 2011 U.S. Dist. LEXIS 90554, at *10 (N.D. Ill. Aug. 15, 2011) (complaint sufficiently pled fame of Topshop mark). </w:t>
      </w:r>
      <w:r w:rsidRPr="003C5CBB">
        <w:rPr>
          <w:i/>
        </w:rPr>
        <w:t>See also</w:t>
      </w:r>
      <w:r w:rsidRPr="003C5CBB">
        <w:t xml:space="preserve"> Bureau National Interprofessional du Cognac v. Cologne &amp; Cognac Entmt., 110 F.4th 1356, 1374 (4th Cir. 2024) (finding complaint, “although not a model of clarity,” to sufficiently plead that Opposer’s mark was famous before trademark applicant’s constructive use date). The issues surrounding motions to dismiss are discussed in detail in Chapter 12, §IV.</w:t>
      </w:r>
    </w:p>
  </w:footnote>
  <w:footnote w:id="302">
    <w:p w14:paraId="43F21033" w14:textId="5056EFE4" w:rsidR="003C5CBB" w:rsidRPr="003C5CBB" w:rsidRDefault="003C5CBB" w:rsidP="003C5CBB">
      <w:pPr>
        <w:pStyle w:val="FootnoteText"/>
      </w:pPr>
      <w:r w:rsidRPr="003C5CBB">
        <w:rPr>
          <w:vertAlign w:val="superscript"/>
        </w:rPr>
        <w:footnoteRef/>
      </w:r>
      <w:r w:rsidRPr="003C5CBB">
        <w:t>Blockchange Ventures I GP, LLC v. Blockchange, Inc., 2021 WL4340648, at *8, 2021 BL 359377 (S.D.N.Y. Sept. 22, 2021) (stating that the Second Circuit encourages courts to decide fame on a motion to dismiss if possible); Kason Indus., Inc. v. Allpoints Foodservice Parts &amp; Supplies, LLC, 2018 WL 1980370, at *3, 2018 BL 370481 (N.D. Ga. Mar. 6, 2018) (rejecting argument that fame cannot be determined on motion to dismiss).</w:t>
      </w:r>
    </w:p>
    <w:p w14:paraId="38645230" w14:textId="77777777" w:rsidR="003C5CBB" w:rsidRDefault="003C5CBB" w:rsidP="008E3B2F">
      <w:pPr>
        <w:pStyle w:val="footnote"/>
      </w:pPr>
    </w:p>
  </w:footnote>
  <w:footnote w:id="303">
    <w:p w14:paraId="0C5C4CCE" w14:textId="78885D03" w:rsidR="003C5CBB" w:rsidRPr="003C5CBB" w:rsidRDefault="003C5CBB" w:rsidP="003C5CBB">
      <w:pPr>
        <w:pStyle w:val="FootnoteText"/>
      </w:pPr>
      <w:r w:rsidRPr="003C5CBB">
        <w:rPr>
          <w:vertAlign w:val="superscript"/>
        </w:rPr>
        <w:footnoteRef/>
      </w:r>
      <w:r w:rsidRPr="003C5CBB">
        <w:t xml:space="preserve">Ketab Corp. v. Mesriani &amp; Assocs., 734 F. App’x 401, 407 (9th Cir. 2018) (upholding dismissal for failure to allege that the mark was “widely recognized”; products were aimed at the Iranian community in California); Hyphy Music Inc. v. Cruz, 2025 WL 1580909, at *14, 2025 BL 192919 (E.D. Cal. June 4, 2025); My Goals Solutions, Inc. v. Zeus Networks LLC, 2025 WL 951394, at *9, 2025 BL 106302 (S.D.N.Y. Mar. 28, 2025) (finding allegations at most pointed to niche fame, both in product and geography); Windmar PV Energy, Inc. v. Solar Now Puerto Rico, LLC, 2025 WL 725078, at *10, 2025 BL 72958 (D.P.R. Mar. 6, 2025) (finding allegations of fame conclusory); Yuyos Towing, Inc. v. Best Towing, Inc., 2024 WL 5111693, at *3, 2024 BL 456155 (M.D. Fla. Dec. 13, 2024) (finding allegations of fame inadequate); BRABUS GmbH v. Kubay Carbon Co. LLC, 2024 WL 5433112, at *4, 2024 BL 412743 (S.D. Fla. Nov. 15, 2024) (denying motion for default on dilution claim, finding allegations conclusory and at most pointing to niche fame); National Debt Relief LLC v. Season 4 LLC, 2024 WL 2941397, at *4, 2024 BL 172848 (S.D.N.Y. May 20, 2024) (calling allegations of fame “conclusory”); JC Hospitality v. Hochberg, 703 F. Supp. 3d 448, 464 n.10 (S.D.N.Y. 2023) (dismissing complaint, stating that “The Surf Lodge was an exclusive getaway for high-end clientele, physically operating in a small, set location, though also publicized online; the exclusivity of The Surf Lodge cuts against the amount, volume, and geographic extent of services offered under the mark.”); Motul S.A. v. USA Wholesale Lubricant, Inc., 686 F. Supp. 3d 900, 916 (N.D. Cal. 2023) (citing plaintiff’s conclusory allegations); Rogozinski v. Reddit, Inc., 2023 WL 4475581, at *6, 2023 BL 235617 (N.D. Cal. July 11, 2023) (allegations that a subreddit reached one million people insufficient); Weinacker v. Wahl Clipper Corp., 2023 WL 4983282, at *6, 2023 BL 145483  (S.D. Ala. Apr. 28, 2023) (general allegations about global advertising insufficient); Kastanis v. Yellow Yolk Pompano, LLC, 2023 WL 11799703, at *4, 2023 BL 495732 (S.D. Fla. Jan. 6, 2023) (citing conclusory allegations of fame); Melwani v. Amazon.com, Inc., 2022 WL 670919, at *5 (W.D. Wash. Mar. 7, 2022) (dismissing complaint due to “conclusory” allegations of fame, but allowing leave to amend); JFeld LLC v. Blanket Lovers, 2021 WL 2302447, at *4, 2021 BL 213398 (C.D. Cal. Apr. 29, 2021) (“JFeld does not plead or attach any documents showing the amount it advertised the Mark, the sales from the Mark, or general recognition of the Mark.”); Intercollegiate Women’s Lacrosse Coaches Assn. v. Corrigan Sports Ents., Inc, 505 F. Supp 3d 570, 588 (M.D.N.C. 2020) (dismissing dilution claim); Dentsply Sirona, Inc. v. Net32, Inc., 2020 WL 1082593, at *6–7, 2020 BL 80570 (M.D. Pa. Mar. 4, 2020) (conclusory allegations of fame; complaint dismissed); Platinum Props. Investor Network v. Sells, 2019 U.S. Dist. LEXIS 63476, at *21–25 (S.D. Fla. Apr. 11, 2019) (dilution claims under federal and Florida law based on conclusory allegations of fame dismissed; plaintiff essentially admitted its fame was no better than niche fame); Sapieyevski v. Live Nation Worldwide, Inc., 129 USPQ2d 1822, 1825–26 (D.D.C. 2019) (length of time does not create presumption of fame; dilution claim dismissed); Most Worshipful Nat’l Grand Lodge v. United Grand Lodge GA AF &amp; AYM, Inc., 2018 WL 4828398, at *4, 2018 BL 366589  (N.D. Ga. Oct. 4, 2018); MZ Wallace Inc. v. Fuller, 2018 WL 4007645, at *3, 2018 BL 302250 (S.D.N.Y. Aug. 22, 2018) (allegations of fame as to plaintiff’s trade dress found insufficient); Total Compliance Network, Inc. v. Total Compliance Servs., LLC, 2018 WL 4426065, at *4, 2018 BL 206137 (S.D. Fla. June 8, 2018) (refusing to enter default judgment on state law dilution claim on grounds that it was a conclusory recitation of the elements of fame without factual bases); International Leisure Prods., Inc. v. Funboy LLC, 2017 WL 6623887, at *9, 2017 BL 546355 (E.D.N.Y. Nov. 9, 2017) (complaint failed to show trade dress had secondary meaning; therefore, federal and state dilution claims fail), </w:t>
      </w:r>
      <w:r w:rsidRPr="003C5CBB">
        <w:rPr>
          <w:i/>
        </w:rPr>
        <w:t>aff’d</w:t>
      </w:r>
      <w:r w:rsidRPr="003C5CBB">
        <w:t>, 747 F. App’x 23 (2d Cir. 2018); Springboards to Educ., Inc. v. Scholastic Book Fairs, Inc., 2018 WL 1806500, at *4–5 (N.D. Tex. Apr. 17, 2018); Kason Indus., Inc. v. Allpoints Foodservice Parts &amp; Supplies, LLC, 2018 WL 1980370, at *2–3, 2018 BL 370481 (N.D. Ga. Mar. 6, 2018) (at best, complaint showed niche fame; court specifically rejects argument that fame cannot be determined on motion to dismiss); DigitAlb, Sh.a v. Setplex, LLC, 284 F. Supp. 3d 547, 557–58 (S.D.N.Y. 2018) (dismissing complaint which showed no more than niche fame); Global Brand Holdings, LLC v. Church &amp; Dwight Co., 2017 WL 6515419, at *4–6, 2017 BL 454444 (S.D.N.Y. Dec. 19, 2017) (conclusory allegations of fame not sufficient; niche fame not sufficient; money alone, even for internet ads, not sufficient); Holding Co. of the Vills., Inc. v. Little John’s Movers &amp; Storage, Inc., 2017 WL 6319549, at *4–5, 2017 BL 441565 (M.D. Fla. Dec. 11, 2017) (dismissing complaint, citing conclusory allegations of fame that, at most, showed niche fame); Joint Stock Co. Channel One Russ. Worldwide v. Infomir LLC, 2017 U.S. Dist. LEXIS 22548, at *62–65 (S.D.N.Y. Feb. 15, 2017) (dismissing complaint, finding at best niche fame alleged); Theta Chi Fraternity, Inc. v. Leland Stanford Junior Univ., 212 F. Supp. 3d 816, 828 (N.D. Cal. 2016) (allegations that fraternity’s marks were famous held conclusory and insufficient); E.A. Sween Co. v. Big City Deli Express Corp., 2016 WL 11396817, at *5, 2016 BL 300587</w:t>
      </w:r>
    </w:p>
    <w:p w14:paraId="4BFB3F18" w14:textId="316899F6" w:rsidR="003C5CBB" w:rsidRPr="003C5CBB" w:rsidRDefault="003C5CBB" w:rsidP="003C5CBB">
      <w:pPr>
        <w:pStyle w:val="FootnoteText"/>
      </w:pPr>
      <w:r w:rsidRPr="003C5CBB">
        <w:t xml:space="preserve"> (E.D.N.Y. Sept. 12, 2016) (refusing default judgment on grounds that plaintiff failed to plead fame—at most pleadings show niche fame); Arcsoft, Inc. v. Cyberlink Corp., 153 F. Supp. 3d 1057, 1064–67 (N.D. Cal. 2015); Kassa v. Detroit Metro Convention &amp; Visitors Bureau, 150 F. Supp. 3d 831, 841, 117 USPQ2d 1317 (E.D. Mich. 2015), </w:t>
      </w:r>
      <w:r w:rsidRPr="003C5CBB">
        <w:rPr>
          <w:i/>
        </w:rPr>
        <w:t>aff’d</w:t>
      </w:r>
      <w:r w:rsidRPr="003C5CBB">
        <w:t xml:space="preserve">, 672 F. App’x 575 (6th Cir. 2017); Brookwood Funding, LLC v. Avant Credit Corp., 2015 WL 11504556, at *4, 2015 BL 504739 (N.D. Ga. July 28, 2015) (noting that, under </w:t>
      </w:r>
      <w:r w:rsidRPr="003C5CBB">
        <w:rPr>
          <w:i/>
        </w:rPr>
        <w:t>Iqbal</w:t>
      </w:r>
      <w:r w:rsidRPr="003C5CBB">
        <w:t xml:space="preserve">, court is not required to accept conclusory allegations of fame); The Eclipse Grp. LLP v. Eclipse IP LLC, 2015 WL 11251757, at *6, 2015 BL 48076 (S.D. Cal. Mar. 30, 2015) (“conclusory allegations” of fame insufficient); Lyden v. adidas Am., Inc., 2015 U.S. Dist. LEXIS 15867, at *11–12 (D. Ore. Feb. 10, 2015); Small Bus. Bodyguard, Inc. v. House of Moxie, Inc., 2014 WL 5585339, at *7, 2014 BL 315885 (S.D.N.Y. Oct. 31, 2014); Leapers, Inc. v. SMTC, LCC, 2014 WL 4964376, at *5 2014 BL 282516,  (E.D. Mich. Oct. 3, 2014); Mike Vaughn Custom Sports, Inc. v. Piku, 15 F. Supp. 3d 735, 748–49 (E.D. Mich. 2014) (dismissing trade dress claim); Celebrity Chefs Tour, LLC v. Macy’s, Inc., 16 F. Supp. 3d 1123, 1137–38 (S.D. Cal. 2014) (dismissing complaint that inadequately pleaded facts supporting claim of a famous mark); Asset Mktg. Servs., Inc. v. Regal Assets, LLC, 2014 WL 12586123, at *14 (C.D. Cal. Feb. 26, 2014) (allegations do not support the “entirely conclusory allegation” of fame); Plumeus, Inc. v. Intersog LLC, 2013 WL 5609331, at *2, 2013 BL 282809 (N.D. Ill. Oct. 11, 2013) (pleadings did not show that the mark was a household word); Helios Int’l S.A.R.L. v. Cantamessa USA, Inc., 2013 U.S. Dist. LEXIS 107552, at *28 (S.D.N.Y. July 31, 2013) (calling the allegations of the complaint conclusory and noting that at most they supported niche fame); Boarding Sch. Review LLC v. Delta Career Educ. Corp., 108 USPQ2d 1785, 1793 (S.D.N.Y. 2013) (calling counterclaim allegations of fame and renown merely “labels and conclusions”); Urban Grp. Exercise Consultants, Ltd. v. Dick’s Sporting Goods, Inc., 108 USPQ2d 1636, 1641–42 (S.D.N.Y. 2013) (“allegations of extensive overall sales and advertising for a product line are insufficient to unilaterally support an assertion that the trade dress of those products has achieved the widespread renown necessary to establish fame”); Xtreme Caged Combat v. ECC Fitness, 2012 U.S. Dist. LEXIS 166863, at *19 (E.D. Pa. Nov. 20, 2012) (finding insufficient allegations of fame, but granting leave to amend to add sufficient allegations); Aevoe Corp. v. Tan, 2012 WL 12929903, at *5 (C.D. Cal. Sept. 14, 2012) (pleadings did not meet “the Lanham Act’s exacting standards”); Spearmint Rhino Cos. Worldwide v. Chiappa Firearms, 2012 U.S. Dist. LEXIS 189112, at *5–6 (C.D. Cal. Jan. 20, 2012) (pleadings failed to allege facts showing Rhino mark was truly prominent). </w:t>
      </w:r>
      <w:r w:rsidRPr="003C5CBB">
        <w:rPr>
          <w:i/>
        </w:rPr>
        <w:t>See</w:t>
      </w:r>
      <w:r w:rsidRPr="003C5CBB">
        <w:t xml:space="preserve"> Hillstone Rest. Grp., Inc. v. Hillstone Mgmt., LLC, 2017 WL 495869, at *2–3 (N.D. Tex. Feb. 7, 2017) (finding allegations of fame inadequate for purposes of Texas law). </w:t>
      </w:r>
      <w:r w:rsidRPr="003C5CBB">
        <w:rPr>
          <w:i/>
        </w:rPr>
        <w:t xml:space="preserve">See </w:t>
      </w:r>
      <w:r w:rsidRPr="003C5CBB">
        <w:t xml:space="preserve">Bob and Me Productions, Inc. v. Lemon Leaf Café, LLC, 2020 WL 6468406, at *4–5, 2020 BL 431053 (C.D. Cal. Aug. 26, 2020) (denying a motion for default judgment on grounds that plaintiff failed to plead fame sufficiently). In </w:t>
      </w:r>
      <w:r w:rsidRPr="003C5CBB">
        <w:rPr>
          <w:rStyle w:val="BCasenamefull"/>
        </w:rPr>
        <w:t>Parts.com, LLC v. Yahoo!, Inc.</w:t>
      </w:r>
      <w:r w:rsidRPr="003C5CBB">
        <w:t>, 996 F. Supp. 2d 933, 940–41,109 USPQ2d 1410, 1416–17 (S.D. Cal. 2013), the court initially dismissed the complaint, after analyzing each fame factor, citing a lack of pleaded facts to support allegations of fame. However, after the plaintiff amended its complaint, adding more specific allegations relating to each of the factors, the court upheld the amended complaint against a motion to dismiss. Parts.com, LLC v. Yahoo!, Inc., 2014 U.S. Dist. LEXIS 79090, at *9–12 (S.D. Cal. June 9, 2014).</w:t>
      </w:r>
    </w:p>
    <w:p w14:paraId="00B067C5" w14:textId="77777777" w:rsidR="003C5CBB" w:rsidRPr="00071325" w:rsidRDefault="003C5CBB" w:rsidP="009312DA">
      <w:pPr>
        <w:pStyle w:val="footnote"/>
      </w:pPr>
    </w:p>
  </w:footnote>
  <w:footnote w:id="304">
    <w:p w14:paraId="58D39679" w14:textId="14E74671" w:rsidR="003C5CBB" w:rsidRPr="003C5CBB" w:rsidRDefault="003C5CBB" w:rsidP="003C5CBB">
      <w:pPr>
        <w:pStyle w:val="FootnoteText"/>
      </w:pPr>
      <w:r w:rsidRPr="003C5CBB">
        <w:rPr>
          <w:vertAlign w:val="superscript"/>
        </w:rPr>
        <w:footnoteRef/>
      </w:r>
      <w:r w:rsidRPr="003C5CBB">
        <w:rPr>
          <w:i/>
        </w:rPr>
        <w:t>E.g.,</w:t>
      </w:r>
      <w:r w:rsidRPr="003C5CBB">
        <w:t xml:space="preserve"> Springboards to Educ., Inc. v. Houston Indep. Sch. Dist., 912 F.3d 805, 818 (5th Cir. 2019) (upholding summary judgment on issue of fame where the mark was only known in one small geographic area of Texas); National Truck Prot. Co., Inc. v. Crown Point Truck &amp; Trailer Repair Ctr., Inc., 2025 WL 1348564, at *5, 2025 BL 158669 (N.D. Ill. May 8, 2025) (citing lack of evidence where only evidence was affidavit of company’s general counsel); Kelly v. Fashion Nova, LLC, 2024 WL 3086642, at *22, 2024 BL 224006 (C.D. Cal. Mar. 8, 2024) (plaintiff’s evidence did not demonstrate fame); PetConnect Rescue, Inc. v. Salinas, 656 F. Sup. 3d 1131, 1163–64 (S.D. Cal. 2023) (citing lack of survey evidence; news articles insufficient; other evidence insufficient to show national recognition); Rosenshine v. A Meshi Cosmetics Ind. Ltd., 2023 WL 6516994, at *6–7, 2023 BL 353421 (E.D.N.Y. Oct. 3, 2023) (citing low sales figures and “niche market”); Dentsply Sirona, Inc. v. Dental Brands for Less LLC, No. 15 Civ. 8775 (LGS), 2020 WL 1643891, at *4, 2020 BL 124678 (S.D.N.Y. Apr. 2, 2020) (noting that fame is “difficult to prove” and that plaintiff had shown, at most, niche fame among dental professionals); Eagle Forum v. Phyllis Schlafly’s Am. Eagles, 2020 WL 1550639, at *7, 2020 BL 421360 (S.D. Ill. Apr. 1, 2020) (granting summary judgment, noting that Congress meant to limit the universe of eligible marks, finding marks not famous); Govino, LLC v. Goverre, Inc., 2018 WL 7348849, at *3–4, 2018 BL 500596 (C.D. Cal. Nov. 20, 2018) (at most, plaintiff showed niche fame); ADG Concerns, Inc. v. Tsalevich LLC, 2018 WL 4241967, at *6, 2018 BL 328484 (N.D. Cal. Aug. 31, 2018) (allegations in complaint showed at most niche fame); Superior Consulting Servs., Inc. v. Shaklee Corp., 2018 WL 1791613, at *4–5, 2018 BL 133159</w:t>
      </w:r>
    </w:p>
    <w:p w14:paraId="48408675" w14:textId="3FF60106" w:rsidR="003C5CBB" w:rsidRPr="00A653C5" w:rsidRDefault="003C5CBB" w:rsidP="003C5CBB">
      <w:pPr>
        <w:pStyle w:val="FootnoteText"/>
      </w:pPr>
      <w:r w:rsidRPr="003C5CBB">
        <w:t xml:space="preserve"> (M.D. Fla. Apr. 16, 2018) (indicating need to be a household name and finding lack of fame under both federal and Florida law); Juice &amp; Java, Inc. v. Juice &amp; Java Boca, LLC, 2017 U.S. Dist. LEXIS 6913, at *11–17 (S.D. Fla. Jan. 17, 2017) (granting summary judgment to defendant, finding insufficient evidence of fame under both federal and Florida law); Kibler v. Hall, 2015 WL 6865928, at *5, 2015 BL 369043 (E.D. Mich. Nov. 9, 2015) (DJ Logic mark not famous), </w:t>
      </w:r>
      <w:r w:rsidRPr="003C5CBB">
        <w:rPr>
          <w:i/>
        </w:rPr>
        <w:t>aff’d</w:t>
      </w:r>
      <w:r w:rsidRPr="003C5CBB">
        <w:t xml:space="preserve">, 843 F.3d 1068 (6th Cir. 2016), </w:t>
      </w:r>
      <w:r w:rsidRPr="003C5CBB">
        <w:rPr>
          <w:i/>
        </w:rPr>
        <w:t>cert. denied</w:t>
      </w:r>
      <w:r w:rsidRPr="003C5CBB">
        <w:t xml:space="preserve">, 138 S. Ct. 91 (2017). </w:t>
      </w:r>
      <w:r w:rsidRPr="003C5CBB">
        <w:rPr>
          <w:i/>
        </w:rPr>
        <w:t>See also</w:t>
      </w:r>
      <w:r w:rsidRPr="003C5CBB">
        <w:t xml:space="preserve"> PC Drivers Headquarters, LP v. Malwarebytes, Inc., 2018 WL 2996897, at *5, 2018 BL 362421 (W.D. Tex. Apr. 23, 2018) (denying preliminary injunction for dilution on grounds that plaintiff had only made conclusory allegations of fame).</w:t>
      </w:r>
    </w:p>
  </w:footnote>
  <w:footnote w:id="305">
    <w:p w14:paraId="3B5C27AD" w14:textId="1B8C3721" w:rsidR="003C5CBB" w:rsidRPr="00517775" w:rsidRDefault="003C5CBB" w:rsidP="003C5CBB">
      <w:pPr>
        <w:pStyle w:val="FootnoteText"/>
      </w:pPr>
      <w:r w:rsidRPr="003C5CBB">
        <w:rPr>
          <w:vertAlign w:val="superscript"/>
        </w:rPr>
        <w:footnoteRef/>
      </w:r>
      <w:r w:rsidRPr="003C5CBB">
        <w:t xml:space="preserve">“The court shall grant summary judgment if the movant shows that there is no genuine dispute as to any material fact and the movant is entitled to judgment as a matter of law.” </w:t>
      </w:r>
      <w:r w:rsidRPr="003C5CBB">
        <w:rPr>
          <w:smallCaps/>
        </w:rPr>
        <w:t>Fed. R. Civ</w:t>
      </w:r>
      <w:r w:rsidRPr="003C5CBB">
        <w:t xml:space="preserve">. P. 56(a). </w:t>
      </w:r>
      <w:r w:rsidRPr="003C5CBB">
        <w:rPr>
          <w:i/>
        </w:rPr>
        <w:t>See</w:t>
      </w:r>
      <w:r w:rsidRPr="003C5CBB">
        <w:t xml:space="preserve"> Carhartt, Inc. v. Costa Del Mar, Inc., 2025 WL 1336549, at *9–10, 2025 BL 157138 (E.D. Mich. May 7, 2025) (denying summary judgment noting sufficient evidence of sales and advertising to prevent summary judgment); Opulent Treasures, Inc. v. Ya Ya Creations, Inc., 682 F. Supp. 3d 815, 826 (C.D. Cal. 2023) (denying motion for summary judgment); Luxottica Grp., S.p.A. v. Atlantic Sunglasses LLC, 2017 WL 6885602, at *8, 2017 BL 477100 (S.D. Tex. Mar. 24, 2017) (denying </w:t>
      </w:r>
      <w:r w:rsidRPr="003C5CBB">
        <w:rPr>
          <w:i/>
        </w:rPr>
        <w:t>plaintiff’s</w:t>
      </w:r>
      <w:r w:rsidRPr="003C5CBB">
        <w:t xml:space="preserve"> motion for summary judgment, stating that fame is an issue best suited for the factfinder to determine); Rimowa Dist., Inc. v. Travelers Club Luggage, Inc., 217 F. Supp. 3d 400, 412 (D. Mass. 2016) (denying summary judgment based on presumption of distinctiveness and sales and advertising figures); DTS, Inc. v. Nero AG, 2016 WL 6662735, at *8 (C.D. Cal. Feb. 9, 2016) (denying summary judgment based on advertising dollars, extensive licensing of the technology with notice that it is DTS technology being used, and use in major motion picture releases).</w:t>
      </w:r>
    </w:p>
  </w:footnote>
  <w:footnote w:id="306">
    <w:p w14:paraId="69200197" w14:textId="4E853B07" w:rsidR="003C5CBB" w:rsidRPr="00517775" w:rsidRDefault="003C5CBB" w:rsidP="003C5CBB">
      <w:pPr>
        <w:pStyle w:val="FootnoteText"/>
      </w:pPr>
      <w:r w:rsidRPr="003C5CBB">
        <w:rPr>
          <w:vertAlign w:val="superscript"/>
        </w:rPr>
        <w:footnoteRef/>
      </w:r>
      <w:r w:rsidRPr="003C5CBB">
        <w:t>Fortune Dynamic, Inc. v. Victoria’s Secret Stores Brand Mgmt., Inc., 618 F.3d 1025, 1031, 96 USPQ2d 1585 (9th Cir. 2010) (summary judgment is disfavored in trademark cases).</w:t>
      </w:r>
    </w:p>
  </w:footnote>
  <w:footnote w:id="307">
    <w:p w14:paraId="41F9815B" w14:textId="25EC1FB2" w:rsidR="003C5CBB" w:rsidRPr="00C65EBA" w:rsidRDefault="003C5CBB" w:rsidP="003C5CBB">
      <w:pPr>
        <w:pStyle w:val="FootnoteText"/>
      </w:pPr>
      <w:r w:rsidRPr="003C5CBB">
        <w:rPr>
          <w:rStyle w:val="FootnoteReference"/>
          <w:rFonts w:eastAsiaTheme="majorEastAsia"/>
        </w:rPr>
        <w:footnoteRef/>
      </w:r>
      <w:r w:rsidRPr="003C5CBB">
        <w:rPr>
          <w:i/>
        </w:rPr>
        <w:t>See, e.g.</w:t>
      </w:r>
      <w:r w:rsidRPr="003C5CBB">
        <w:t xml:space="preserve">, Paige, LLC v. Sage &amp; Paige Collective PTY Ltd., 2025 WL 1547258, at *4, 2025 BL 187192 (C.D. Cal. May 30, 2025) (accepting allegations of fame and dilution as true, granting default judgment); JTH Tax LLC v. Eagle One Business Solutions, LLC, 2025 WL 848291, at *4, 2025 BL 88558 (N.D. Miss. Mar. 18, 2025) (granting default judgment on trademark claims, including dilution, where court stated that the complaint pleaded that the plaintiff’s marks were “distinctive and well-known” but never indicated that they were famous within the meaning of section 43(c)); American Farm Bureau Fed. v. Virginia Farm Bureau Mutual, 2024 WL 3838424, at *7, 2024 BL 284936 (E.D. Va. July 9, 2024) (granting default judgment on dilution claim relating to mark FARM Bureau); Whaleco Inc v. Temuapp.me, 2024 WL 2804064, at *8–9, 2024 BL 186892 (D. Ariz. May 31, 2024) (finding TEMU mark famous based on allegations including a Super Bowl commercial and extent of sales from its website to the U.S.); Salt Life LLC v. Salt Life Transportation LLC, 2023 WL 11926189, at *3, 2023 BL 509636 (M.D. Fla. July 27, 2023) (finding allegations that  “Salt Life” was famous sufficient for default judgment under federal and Florida law, despite only noting possible fame in Florida). </w:t>
      </w:r>
      <w:r w:rsidRPr="003C5CBB">
        <w:rPr>
          <w:i/>
        </w:rPr>
        <w:t xml:space="preserve">But cf. </w:t>
      </w:r>
      <w:r w:rsidRPr="003C5CBB">
        <w:t xml:space="preserve">Midas Int’l Corp. v. Advanced Muffler of AV, Inc., 2012 WL 13419322, at *6 (C.D. Cal. Aug. 21, 2012) (on motion for default judgment finding that MIDAS was not a famous mark). </w:t>
      </w:r>
      <w:r w:rsidRPr="003C5CBB">
        <w:rPr>
          <w:i/>
        </w:rPr>
        <w:t>See also</w:t>
      </w:r>
      <w:r w:rsidRPr="003C5CBB">
        <w:t xml:space="preserve"> Sueros &amp; Bebidas Rehidratantes, S.A. de C.V. v. Mercado Hispano Distribs. LLC, 2025 WL 1078344, at *1–3, 2025 BL 121276 (N.D. Ga. Apr. 8, 2025) (parties stipulated to consent judgment including dilution violation, but stipulated findings of fact do not include any discussion of fame); Sueros &amp; Bebidas Rehidratantes, S.A. de C.V. v. El Texano Distribution, LLC, 2024 WL 4947286, at *1–3, 2024 BL 439194 (N.D. Ga. Dec. 3, 2024) (same).</w:t>
      </w:r>
    </w:p>
  </w:footnote>
  <w:footnote w:id="308">
    <w:p w14:paraId="6FCCB476" w14:textId="58957AAC"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Who Dat Yat Chat, LLC v. Who Dat, Inc., 2012 U.S. Dist. LEXIS 46733, at *54 (E.D. La. Apr. 3, 2012) (issues of fact regarding fame of Who Dat mark); Gerawan Farming, Inc. v. Prima Bella Produce, Inc., 2011 U.S. Dist. LEXIS 84776, at *76–77 (E.D. Cal. Aug. 2, 2011) (issues of fact concerning fame of Prima mark on produce). </w:t>
      </w:r>
      <w:r w:rsidRPr="003C5CBB">
        <w:rPr>
          <w:i/>
        </w:rPr>
        <w:t>See</w:t>
      </w:r>
      <w:r w:rsidRPr="003C5CBB">
        <w:t xml:space="preserve"> Texas Outhouse Inc. v. Fresh Can, LLC, 266 F. Supp. 3d 928, 936 (W.D. Tex. 2017) (denying summary judgment for defendant, expressing doubt about the existence of likely dilution, but without addressing the issue of fame); Select Comfort Corp. v. Baxter, 156 F. Supp. 3d 971, 993–94 (D. Minn. 2016) (denying motion for summary judgment where plaintiffs submitted evidence of large sales and advertising expenses, pop culture references, but low brand awareness in surveys for Sleep Number mark).</w:t>
      </w:r>
    </w:p>
  </w:footnote>
  <w:footnote w:id="309">
    <w:p w14:paraId="296D002B" w14:textId="408C2650" w:rsidR="003C5CBB" w:rsidRPr="00517775" w:rsidRDefault="003C5CBB" w:rsidP="003C5CBB">
      <w:pPr>
        <w:pStyle w:val="FootnoteText"/>
      </w:pPr>
      <w:r w:rsidRPr="003C5CBB">
        <w:rPr>
          <w:vertAlign w:val="superscript"/>
        </w:rPr>
        <w:footnoteRef/>
      </w:r>
      <w:r w:rsidRPr="003C5CBB">
        <w:rPr>
          <w:i/>
        </w:rPr>
        <w:t>See</w:t>
      </w:r>
      <w:r w:rsidRPr="003C5CBB">
        <w:t xml:space="preserve"> Wal-Mart Stores, Inc. v. Samara Bros., 529 U.S. 205, 213–14 (2000) (noting that competition can be stifled by lawsuits when early adjudication is difficult); William McGeveran, </w:t>
      </w:r>
      <w:r w:rsidRPr="003C5CBB">
        <w:rPr>
          <w:i/>
        </w:rPr>
        <w:t>The Trademark Fair Use Reform Act</w:t>
      </w:r>
      <w:r w:rsidRPr="003C5CBB">
        <w:t>, 90 B.U.L. R</w:t>
      </w:r>
      <w:r w:rsidRPr="003C5CBB">
        <w:rPr>
          <w:smallCaps/>
        </w:rPr>
        <w:t>ev</w:t>
      </w:r>
      <w:r w:rsidRPr="003C5CBB">
        <w:t xml:space="preserve">. 2267, 2279–86 (2010) (discussing the problems of false positives and false negatives in trademark litigation); Paul Alan Levy, </w:t>
      </w:r>
      <w:r w:rsidRPr="003C5CBB">
        <w:rPr>
          <w:i/>
        </w:rPr>
        <w:t>The Trademark Dilution Revision Act—A Consumer Perspective</w:t>
      </w:r>
      <w:r w:rsidRPr="003C5CBB">
        <w:t xml:space="preserve">, 16 </w:t>
      </w:r>
      <w:r w:rsidRPr="003C5CBB">
        <w:rPr>
          <w:smallCaps/>
        </w:rPr>
        <w:t>Fordham Intell. Prop. Media &amp; Ent. J</w:t>
      </w:r>
      <w:r w:rsidRPr="003C5CBB">
        <w:t>. 1189, 1202–03 (2006) (discussing the expense of trademark litigation).</w:t>
      </w:r>
    </w:p>
  </w:footnote>
  <w:footnote w:id="310">
    <w:p w14:paraId="4233FE7B" w14:textId="6325877A" w:rsidR="003C5CBB" w:rsidRPr="003C5CBB" w:rsidRDefault="003C5CBB" w:rsidP="003C5CBB">
      <w:pPr>
        <w:pStyle w:val="FootnoteText"/>
      </w:pPr>
      <w:r w:rsidRPr="003C5CBB">
        <w:rPr>
          <w:vertAlign w:val="superscript"/>
        </w:rPr>
        <w:footnoteRef/>
      </w:r>
      <w:r w:rsidRPr="003C5CBB">
        <w:t>Paris Convention for the Protection of Industrial Property, art. 6</w:t>
      </w:r>
      <w:r w:rsidRPr="003C5CBB">
        <w:rPr>
          <w:i/>
        </w:rPr>
        <w:t>bis</w:t>
      </w:r>
      <w:r w:rsidRPr="003C5CBB">
        <w:t>; Agreement on Trade-Related Aspects of Intellectual Property Rights (TRIPS), art. 16(2).</w:t>
      </w:r>
    </w:p>
    <w:p w14:paraId="5FB6921E" w14:textId="77777777" w:rsidR="003C5CBB" w:rsidRPr="00517775" w:rsidRDefault="003C5CBB" w:rsidP="00AF29FC">
      <w:pPr>
        <w:pStyle w:val="footnote"/>
      </w:pPr>
    </w:p>
  </w:footnote>
  <w:footnote w:id="311">
    <w:p w14:paraId="43422AF3" w14:textId="284913AC" w:rsidR="003C5CBB" w:rsidRPr="00517775" w:rsidRDefault="003C5CBB" w:rsidP="003C5CBB">
      <w:pPr>
        <w:pStyle w:val="FootnoteText"/>
      </w:pPr>
      <w:r w:rsidRPr="003C5CBB">
        <w:rPr>
          <w:vertAlign w:val="superscript"/>
        </w:rPr>
        <w:footnoteRef/>
      </w:r>
      <w:r w:rsidRPr="003C5CBB">
        <w:rPr>
          <w:i/>
        </w:rPr>
        <w:t>Compare</w:t>
      </w:r>
      <w:r w:rsidRPr="003C5CBB">
        <w:t xml:space="preserve"> Grupo Gigante SA de CV v. Dallo &amp; Co., Inc., 391 F.3d 1088, 1094, 73 USPQ2d 1258 (9th Cir. 2004) (a famous-mark exception to territoriality exists), </w:t>
      </w:r>
      <w:r w:rsidRPr="003C5CBB">
        <w:rPr>
          <w:i/>
        </w:rPr>
        <w:t>with</w:t>
      </w:r>
      <w:r w:rsidRPr="003C5CBB">
        <w:t xml:space="preserve"> ITC Ltd. v. Punchgini, Inc., 482 F.3d 135, 165, 82 USPQ2d 1414 (2d Cir.) (no famous-mark exception exists under the Lanham Act), </w:t>
      </w:r>
      <w:r w:rsidRPr="003C5CBB">
        <w:rPr>
          <w:i/>
        </w:rPr>
        <w:t>cert</w:t>
      </w:r>
      <w:r w:rsidRPr="003C5CBB">
        <w:t xml:space="preserve">. </w:t>
      </w:r>
      <w:r w:rsidRPr="003C5CBB">
        <w:rPr>
          <w:i/>
        </w:rPr>
        <w:t>denied</w:t>
      </w:r>
      <w:r w:rsidRPr="003C5CBB">
        <w:t>, 552 U.S. 827 (2007).</w:t>
      </w:r>
    </w:p>
  </w:footnote>
  <w:footnote w:id="312">
    <w:p w14:paraId="733DA733" w14:textId="75AD4529" w:rsidR="003C5CBB" w:rsidRPr="00B0538E" w:rsidRDefault="003C5CBB" w:rsidP="003C5CBB">
      <w:pPr>
        <w:pStyle w:val="FootnoteText"/>
      </w:pPr>
      <w:r w:rsidRPr="003C5CBB">
        <w:rPr>
          <w:vertAlign w:val="superscript"/>
        </w:rPr>
        <w:footnoteRef/>
      </w:r>
      <w:r w:rsidRPr="003C5CBB">
        <w:t xml:space="preserve">Empresa Cubana del Tabaco v. Culbro Corp., 70 USPQ2d 1650, 1692 (S.D.N.Y. 2004), </w:t>
      </w:r>
      <w:r w:rsidRPr="003C5CBB">
        <w:rPr>
          <w:i/>
        </w:rPr>
        <w:t>aff’d in part, rev’d on other grounds</w:t>
      </w:r>
      <w:r w:rsidRPr="003C5CBB">
        <w:t xml:space="preserve">, 399 F.3d 462, 73 USPQ2d 1936 (2d Cir. 2005), </w:t>
      </w:r>
      <w:r w:rsidRPr="003C5CBB">
        <w:rPr>
          <w:i/>
        </w:rPr>
        <w:t>cert</w:t>
      </w:r>
      <w:r w:rsidRPr="003C5CBB">
        <w:t xml:space="preserve">. </w:t>
      </w:r>
      <w:r w:rsidRPr="003C5CBB">
        <w:rPr>
          <w:i/>
        </w:rPr>
        <w:t>denied</w:t>
      </w:r>
      <w:r w:rsidRPr="003C5CBB">
        <w:t xml:space="preserve">, 547 U.S. 1205 (2006). </w:t>
      </w:r>
      <w:r w:rsidRPr="003C5CBB">
        <w:rPr>
          <w:i/>
        </w:rPr>
        <w:t>Accord</w:t>
      </w:r>
      <w:r w:rsidRPr="003C5CBB">
        <w:t xml:space="preserve"> Hyphy Music Inc. v. Cruz, 2025 WL 1580909, at *13, 2025 BL 192919 (E.D. Cal. June 4, 2025) (calling the famous marks doctrine “inapposite to trademark dilution claims”).</w:t>
      </w:r>
    </w:p>
  </w:footnote>
  <w:footnote w:id="313">
    <w:p w14:paraId="04E78111" w14:textId="7C12D27E" w:rsidR="003C5CBB" w:rsidRPr="003C5CBB" w:rsidRDefault="003C5CBB" w:rsidP="003C5CBB">
      <w:pPr>
        <w:pStyle w:val="FootnoteText"/>
      </w:pPr>
      <w:r w:rsidRPr="003C5CBB">
        <w:rPr>
          <w:vertAlign w:val="superscript"/>
        </w:rPr>
        <w:footnoteRef/>
      </w:r>
      <w:r w:rsidRPr="003C5CBB">
        <w:t>Fiat Grp. Autos. S.p.A. v. ISM Inc., 94 USPQ2d 1111 (T.T.A.B. 2010).</w:t>
      </w:r>
    </w:p>
    <w:p w14:paraId="404F1B14" w14:textId="77777777" w:rsidR="003C5CBB" w:rsidRPr="00517775" w:rsidRDefault="003C5CBB" w:rsidP="00AF29FC">
      <w:pPr>
        <w:pStyle w:val="footnote"/>
      </w:pPr>
    </w:p>
  </w:footnote>
  <w:footnote w:id="314">
    <w:p w14:paraId="747EC0AA" w14:textId="1343210C" w:rsidR="003C5CBB" w:rsidRPr="003C5CBB" w:rsidRDefault="003C5CBB" w:rsidP="003C5CBB">
      <w:pPr>
        <w:pStyle w:val="FootnoteText"/>
      </w:pPr>
      <w:r w:rsidRPr="003C5CBB">
        <w:rPr>
          <w:vertAlign w:val="superscript"/>
        </w:rPr>
        <w:footnoteRef/>
      </w:r>
      <w:r w:rsidRPr="003C5CBB">
        <w:rPr>
          <w:i/>
        </w:rPr>
        <w:t>Id</w:t>
      </w:r>
      <w:r w:rsidRPr="003C5CBB">
        <w:t>. at 1114.</w:t>
      </w:r>
    </w:p>
    <w:p w14:paraId="3DB22176" w14:textId="77777777" w:rsidR="003C5CBB" w:rsidRPr="00517775" w:rsidRDefault="003C5CBB" w:rsidP="00AF29FC">
      <w:pPr>
        <w:pStyle w:val="footnote"/>
      </w:pPr>
    </w:p>
  </w:footnote>
  <w:footnote w:id="315">
    <w:p w14:paraId="7537BF2A" w14:textId="1157733F" w:rsidR="003C5CBB" w:rsidRPr="00517775" w:rsidRDefault="003C5CBB" w:rsidP="003C5CBB">
      <w:pPr>
        <w:pStyle w:val="FootnoteText"/>
      </w:pPr>
      <w:r w:rsidRPr="003C5CBB">
        <w:rPr>
          <w:vertAlign w:val="superscript"/>
        </w:rPr>
        <w:footnoteRef/>
      </w:r>
      <w:r w:rsidRPr="003C5CBB">
        <w:rPr>
          <w:i/>
        </w:rPr>
        <w:t>Id</w:t>
      </w:r>
      <w:r w:rsidRPr="003C5CBB">
        <w:t>.</w:t>
      </w:r>
    </w:p>
  </w:footnote>
  <w:footnote w:id="316">
    <w:p w14:paraId="5ABD54EF" w14:textId="62ECFFF7" w:rsidR="003C5CBB" w:rsidRPr="00517775" w:rsidRDefault="003C5CBB" w:rsidP="003C5CBB">
      <w:pPr>
        <w:pStyle w:val="FootnoteText"/>
      </w:pPr>
      <w:r w:rsidRPr="003C5CBB">
        <w:rPr>
          <w:vertAlign w:val="superscript"/>
        </w:rPr>
        <w:footnoteRef/>
      </w:r>
      <w:r w:rsidRPr="003C5CBB">
        <w:rPr>
          <w:i/>
        </w:rPr>
        <w:t>Id</w:t>
      </w:r>
      <w:r w:rsidRPr="003C5CBB">
        <w:t>. n.5.</w:t>
      </w:r>
    </w:p>
  </w:footnote>
  <w:footnote w:id="317">
    <w:p w14:paraId="39C92D8B" w14:textId="39249CE5" w:rsidR="003C5CBB" w:rsidRPr="00517775" w:rsidRDefault="003C5CBB" w:rsidP="003C5CBB">
      <w:pPr>
        <w:pStyle w:val="FootnoteText"/>
      </w:pPr>
      <w:r w:rsidRPr="003C5CBB">
        <w:rPr>
          <w:vertAlign w:val="superscript"/>
        </w:rPr>
        <w:footnoteRef/>
      </w:r>
      <w:r w:rsidRPr="003C5CBB">
        <w:rPr>
          <w:i/>
        </w:rPr>
        <w:t>Id</w:t>
      </w:r>
      <w:r w:rsidRPr="003C5CBB">
        <w:t>. at 1115 (noting that it would be an “unusual case”).</w:t>
      </w:r>
    </w:p>
  </w:footnote>
  <w:footnote w:id="318">
    <w:p w14:paraId="430C14B6" w14:textId="275A3B19" w:rsidR="003C5CBB" w:rsidRPr="00517775" w:rsidRDefault="003C5CBB" w:rsidP="003C5CBB">
      <w:pPr>
        <w:pStyle w:val="FootnoteText"/>
      </w:pPr>
      <w:r w:rsidRPr="003C5CBB">
        <w:rPr>
          <w:vertAlign w:val="superscript"/>
        </w:rPr>
        <w:footnoteRef/>
      </w:r>
      <w:r w:rsidRPr="003C5CBB">
        <w:rPr>
          <w:i/>
        </w:rPr>
        <w:t>Id</w:t>
      </w:r>
      <w:r w:rsidRPr="003C5CBB">
        <w:t xml:space="preserve">. The TTAB left standing a claim that the applicant did not have a bona fide intent to use the mark. </w:t>
      </w:r>
      <w:r w:rsidRPr="003C5CBB">
        <w:rPr>
          <w:i/>
        </w:rPr>
        <w:t>See also</w:t>
      </w:r>
      <w:r w:rsidRPr="003C5CBB">
        <w:t xml:space="preserve"> Petroleanos Mexicanos v. Intermix S.A., 97 USPQ2d 1403, 1406 n.2 (T.T.A.B. 2010) (citing </w:t>
      </w:r>
      <w:r w:rsidRPr="003C5CBB">
        <w:rPr>
          <w:i/>
        </w:rPr>
        <w:t>Fiat</w:t>
      </w:r>
      <w:r w:rsidRPr="003C5CBB">
        <w:t>).</w:t>
      </w:r>
    </w:p>
  </w:footnote>
  <w:footnote w:id="319">
    <w:p w14:paraId="78C62F67" w14:textId="78E140A7" w:rsidR="003C5CBB" w:rsidRPr="003C5CBB" w:rsidRDefault="003C5CBB" w:rsidP="003C5CBB">
      <w:pPr>
        <w:pStyle w:val="FootnoteText"/>
      </w:pPr>
      <w:r w:rsidRPr="003C5CBB">
        <w:rPr>
          <w:vertAlign w:val="superscript"/>
        </w:rPr>
        <w:footnoteRef/>
      </w:r>
      <w:r w:rsidRPr="003C5CBB">
        <w:t>Cristiano Di Thiene S.p.A. v. Panagiotis, 2013 TTAB LEXIS 385, at *18 n.21 (T.T.A.B. July 8, 2013) (non-precedential).</w:t>
      </w:r>
    </w:p>
    <w:p w14:paraId="6615786E" w14:textId="77777777" w:rsidR="003C5CBB" w:rsidRDefault="003C5CBB" w:rsidP="00AF29FC">
      <w:pPr>
        <w:pStyle w:val="footnote"/>
      </w:pPr>
    </w:p>
  </w:footnote>
  <w:footnote w:id="320">
    <w:p w14:paraId="140927AD" w14:textId="0BCEDF1A" w:rsidR="003C5CBB" w:rsidRDefault="003C5CBB" w:rsidP="003C5CBB">
      <w:pPr>
        <w:pStyle w:val="FootnoteText"/>
      </w:pPr>
      <w:r w:rsidRPr="003C5CBB">
        <w:rPr>
          <w:rStyle w:val="FootnoteReference"/>
          <w:rFonts w:eastAsiaTheme="majorEastAsia"/>
        </w:rPr>
        <w:footnoteRef/>
      </w:r>
      <w:r w:rsidRPr="003C5CBB">
        <w:t>Hyphy Music Inc. v. Cruz, 2025 WL 1580909, at *13, 2025 BL 192919 (E.D. Cal. June 4, 2025).</w:t>
      </w:r>
    </w:p>
  </w:footnote>
  <w:footnote w:id="321">
    <w:p w14:paraId="578BED9C" w14:textId="120B0D4C" w:rsidR="003C5CBB" w:rsidRPr="003C5CBB" w:rsidRDefault="003C5CBB" w:rsidP="003C5CBB">
      <w:pPr>
        <w:pStyle w:val="FootnoteText"/>
      </w:pPr>
      <w:r w:rsidRPr="003C5CBB">
        <w:rPr>
          <w:vertAlign w:val="superscript"/>
        </w:rPr>
        <w:footnoteRef/>
      </w:r>
      <w:r w:rsidRPr="003C5CBB">
        <w:t>2008 WL 11388659 (D. Nev. June 30, 2008).</w:t>
      </w:r>
    </w:p>
    <w:p w14:paraId="2E274D25" w14:textId="77777777" w:rsidR="003C5CBB" w:rsidRDefault="003C5CBB" w:rsidP="00AF29FC">
      <w:pPr>
        <w:pStyle w:val="footnote"/>
      </w:pPr>
    </w:p>
  </w:footnote>
  <w:footnote w:id="322">
    <w:p w14:paraId="163B09B1" w14:textId="4B9A0560" w:rsidR="003C5CBB" w:rsidRPr="003C5CBB" w:rsidRDefault="003C5CBB" w:rsidP="003C5CBB">
      <w:pPr>
        <w:pStyle w:val="FootnoteText"/>
      </w:pPr>
      <w:r w:rsidRPr="003C5CBB">
        <w:rPr>
          <w:vertAlign w:val="superscript"/>
        </w:rPr>
        <w:footnoteRef/>
      </w:r>
      <w:r w:rsidRPr="003C5CBB">
        <w:rPr>
          <w:i/>
        </w:rPr>
        <w:t>Id</w:t>
      </w:r>
      <w:r w:rsidRPr="003C5CBB">
        <w:t>. at *1.</w:t>
      </w:r>
    </w:p>
    <w:p w14:paraId="71EF84FE" w14:textId="77777777" w:rsidR="003C5CBB" w:rsidRPr="0040679C" w:rsidRDefault="003C5CBB" w:rsidP="00AF29FC">
      <w:pPr>
        <w:pStyle w:val="footnote"/>
        <w:rPr>
          <w:lang w:val="da-DK"/>
        </w:rPr>
      </w:pPr>
    </w:p>
  </w:footnote>
  <w:footnote w:id="323">
    <w:p w14:paraId="7BB60FFE" w14:textId="6ECCFECD" w:rsidR="003C5CBB" w:rsidRPr="003C5CBB" w:rsidRDefault="003C5CBB" w:rsidP="003C5CBB">
      <w:pPr>
        <w:pStyle w:val="FootnoteText"/>
      </w:pPr>
      <w:r w:rsidRPr="003C5CBB">
        <w:rPr>
          <w:vertAlign w:val="superscript"/>
        </w:rPr>
        <w:footnoteRef/>
      </w:r>
      <w:r w:rsidRPr="003C5CBB">
        <w:rPr>
          <w:i/>
        </w:rPr>
        <w:t>Id</w:t>
      </w:r>
      <w:r w:rsidRPr="003C5CBB">
        <w:t>.</w:t>
      </w:r>
    </w:p>
    <w:p w14:paraId="12907CBC" w14:textId="77777777" w:rsidR="003C5CBB" w:rsidRPr="0040679C" w:rsidRDefault="003C5CBB" w:rsidP="00AF29FC">
      <w:pPr>
        <w:pStyle w:val="footnote"/>
        <w:rPr>
          <w:lang w:val="da-DK"/>
        </w:rPr>
      </w:pPr>
    </w:p>
  </w:footnote>
  <w:footnote w:id="324">
    <w:p w14:paraId="337C6545" w14:textId="4957F0E3" w:rsidR="003C5CBB" w:rsidRPr="003C5CBB" w:rsidRDefault="003C5CBB" w:rsidP="003C5CBB">
      <w:pPr>
        <w:pStyle w:val="FootnoteText"/>
      </w:pPr>
      <w:r w:rsidRPr="003C5CBB">
        <w:rPr>
          <w:vertAlign w:val="superscript"/>
        </w:rPr>
        <w:footnoteRef/>
      </w:r>
      <w:r w:rsidRPr="003C5CBB">
        <w:rPr>
          <w:i/>
        </w:rPr>
        <w:t>Id</w:t>
      </w:r>
      <w:r w:rsidRPr="003C5CBB">
        <w:t>. at *5–6.</w:t>
      </w:r>
    </w:p>
    <w:p w14:paraId="4645E7C0" w14:textId="77777777" w:rsidR="003C5CBB" w:rsidRPr="0040679C" w:rsidRDefault="003C5CBB" w:rsidP="00AF29FC">
      <w:pPr>
        <w:pStyle w:val="footnote"/>
        <w:rPr>
          <w:lang w:val="da-DK"/>
        </w:rPr>
      </w:pPr>
    </w:p>
  </w:footnote>
  <w:footnote w:id="325">
    <w:p w14:paraId="1DAD2BB1" w14:textId="4DC11C64" w:rsidR="003C5CBB" w:rsidRPr="003C5CBB" w:rsidRDefault="003C5CBB" w:rsidP="003C5CBB">
      <w:pPr>
        <w:pStyle w:val="FootnoteText"/>
      </w:pPr>
      <w:r w:rsidRPr="003C5CBB">
        <w:rPr>
          <w:vertAlign w:val="superscript"/>
        </w:rPr>
        <w:footnoteRef/>
      </w:r>
      <w:r w:rsidRPr="003C5CBB">
        <w:rPr>
          <w:i/>
        </w:rPr>
        <w:t>Id</w:t>
      </w:r>
      <w:r w:rsidRPr="003C5CBB">
        <w:t>. at *6.</w:t>
      </w:r>
    </w:p>
    <w:p w14:paraId="1771E1D8" w14:textId="77777777" w:rsidR="003C5CBB" w:rsidRPr="0040679C" w:rsidRDefault="003C5CBB" w:rsidP="00AF29FC">
      <w:pPr>
        <w:pStyle w:val="footnote"/>
        <w:rPr>
          <w:lang w:val="da-DK"/>
        </w:rPr>
      </w:pPr>
    </w:p>
  </w:footnote>
  <w:footnote w:id="326">
    <w:p w14:paraId="5644B65E" w14:textId="190FEAE7" w:rsidR="003C5CBB" w:rsidRPr="0040679C" w:rsidRDefault="003C5CBB" w:rsidP="003C5CBB">
      <w:pPr>
        <w:pStyle w:val="FootnoteText"/>
        <w:rPr>
          <w:lang w:val="da-DK"/>
        </w:rPr>
      </w:pPr>
      <w:r w:rsidRPr="003C5CBB">
        <w:rPr>
          <w:vertAlign w:val="superscript"/>
        </w:rPr>
        <w:footnoteRef/>
      </w:r>
      <w:r w:rsidRPr="003C5CBB">
        <w:rPr>
          <w:i/>
        </w:rPr>
        <w:t>E</w:t>
      </w:r>
      <w:r w:rsidRPr="003C5CBB">
        <w:t>.</w:t>
      </w:r>
      <w:r w:rsidRPr="003C5CBB">
        <w:rPr>
          <w:i/>
        </w:rPr>
        <w:t>g</w:t>
      </w:r>
      <w:r w:rsidRPr="003C5CBB">
        <w:t xml:space="preserve">., Luigino’s, Inc. v. Stouffer Corp., 170 F.3d 827, 832, 50 USPQ2d 1047 (8th Cir. 1999) (Lean Cuisine); Victoria’s Cyber Secret Ltd. P’ship v. V Secret Catalogue, Inc., 161 F. Supp. 2d 1339, 1344 (S.D. Fla. 2001) (court later goes through analysis anyway); Pebble Beach Co. v. Tour 18 I, Ltd., 155 F.3d 526, 547 n.15, 48 USPQ2d 1065 (5th Cir. 1988) (Pebble Beach); Trans Union, LLC v. Credit Research, Inc., 142 F. Supp. 2d 1029, 1045 (N.D. Ill. 2001) (Trans Union); OBH, Inc. v. Spotlight Magazine, Inc., 86 F. Supp. 2d 176, 192, 54 USPQ2d 1383 (W.D.N.Y. 2000) (Buffalo News); Sony Computer Entm’t Inc. v. Connectix Corp., 48 F. Supp. 2d 1212, 1222, 50 USPQ2d 1920 (N.D. Cal. 1999) (Play Station), </w:t>
      </w:r>
      <w:r w:rsidRPr="003C5CBB">
        <w:rPr>
          <w:i/>
        </w:rPr>
        <w:t>rev’d on other grounds</w:t>
      </w:r>
      <w:r w:rsidRPr="003C5CBB">
        <w:t xml:space="preserve">, 203 F.3d 596, 53 USPQ2d 1705 (9th Cir.), </w:t>
      </w:r>
      <w:r w:rsidRPr="003C5CBB">
        <w:rPr>
          <w:i/>
        </w:rPr>
        <w:t>cert</w:t>
      </w:r>
      <w:r w:rsidRPr="003C5CBB">
        <w:t xml:space="preserve">. </w:t>
      </w:r>
      <w:r w:rsidRPr="003C5CBB">
        <w:rPr>
          <w:i/>
        </w:rPr>
        <w:t>denied</w:t>
      </w:r>
      <w:r w:rsidRPr="003C5CBB">
        <w:t xml:space="preserve">, 531 U.S. 871 (2000); Guess?, Inc. v. Tres Hermanos, 993 F. Supp. 1277, 1284, 45 USPQ2d 1179 (C.D. Cal. 1997); Dr. Seuss Enters., LP v. Penguin Books USA Inc., 924 F. Supp. 1559, 1573 (S.D. Cal. 1996) (Cat in the Hat), </w:t>
      </w:r>
      <w:r w:rsidRPr="003C5CBB">
        <w:rPr>
          <w:i/>
        </w:rPr>
        <w:t>aff’d</w:t>
      </w:r>
      <w:r w:rsidRPr="003C5CBB">
        <w:t>, 109 F.3d 1394, 42 USPQ2d 1184 (9th Cir. 1997).</w:t>
      </w:r>
    </w:p>
  </w:footnote>
  <w:footnote w:id="327">
    <w:p w14:paraId="596516B2" w14:textId="61512A5D"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Advantage Rent-A-Car, Inc. v. Enterprise Rent-A-Car Co., 238 F.3d 378, 381, 57 USPQ2d 1561 (5th Cir. 2001); NBBJ E. Ltd. P’ship v. NBBJ Training Acad., Inc., 201 F. Supp. 2d 800, 805 (S.D. Ohio 2001) (NBBJ mark held famous); Origins Natural Res., Inc. v. Kotler, 2001 WL 492429, at *4 (S.D.N.Y. May 7, 2001) (Origins held famous, despite earlier statement that it was only “a relatively strong mark”); New York Stock Exch., Inc. v. New York, NY Hotel, LLC, 69 F. Supp. 2d 479, 489–90, 52 USPQ2d 1884 (S.D.N.Y. 1999), </w:t>
      </w:r>
      <w:r w:rsidRPr="003C5CBB">
        <w:rPr>
          <w:i/>
        </w:rPr>
        <w:t>aff’d in part and rev’d in part</w:t>
      </w:r>
      <w:r w:rsidRPr="003C5CBB">
        <w:t xml:space="preserve">, 293 F.3d 550, 62 USPQ2d 1260 (2d Cir. 2002); USX Corp. v. U.S. Steel Inc., 52 USPQ2d 1532, 1534 (D. Kan. 1999) (U.S. Steel); Playboy Enters., Inc. v. Asiafocus Int’l, Inc., 1998 WL 724000 (E.D. Va. Feb. 2, 1998) (Playboy and Playmate); Wilcom PTY, Ltd. v. Endless Visions, 128 F. Supp. 2d 1027, 1033 (E.D. Mich. 1998) (Wilcom found famous), </w:t>
      </w:r>
      <w:r w:rsidRPr="003C5CBB">
        <w:rPr>
          <w:i/>
        </w:rPr>
        <w:t>aff’d</w:t>
      </w:r>
      <w:r w:rsidRPr="003C5CBB">
        <w:t xml:space="preserve">, 229 F.3d 1155 (6th Cir. 2000); Teletech Customer Care Mgmt. (Cal.), Inc. v. Tele-Tech Co., 977 F. Supp. 1407, 1411, 42 USPQ2d 1913 (C.D. Cal. 1997) (Teletech held famous); Ringling Bros.-Barnum &amp; Bailey Combined Shows, Inc. v. B.E. Windows Corp., 937 F. Supp. 204, 210, 40 USPQ2d 1010 (S.D.N.Y. 1996) (Greatest Show on Earth); Intermatic, Inc. v. Toeppen, 947 F. Supp. 1227, 1238, 40 USPQ2d 1412 (N.D. Ill. 1996) (Intermatic held famous); </w:t>
      </w:r>
      <w:r w:rsidRPr="003C5CBB">
        <w:rPr>
          <w:i/>
        </w:rPr>
        <w:t>see</w:t>
      </w:r>
      <w:r w:rsidRPr="003C5CBB">
        <w:t xml:space="preserve"> Momentum Luggage &amp; Leisure Bags v. Jansport, Inc., 2001 WL 830667, at *11 (S.D.N.Y. July 23, 2001) (referring to analysis of confusion, which found plaintiff’s mark to be “weak”), </w:t>
      </w:r>
      <w:r w:rsidRPr="003C5CBB">
        <w:rPr>
          <w:i/>
        </w:rPr>
        <w:t>aff’d</w:t>
      </w:r>
      <w:r w:rsidRPr="003C5CBB">
        <w:t xml:space="preserve">, 45 Fed. Appx. 42, 64 USPQ2d 1795 (2d Cir. 2002) (unpublished opinion); </w:t>
      </w:r>
      <w:r w:rsidRPr="003C5CBB">
        <w:rPr>
          <w:i/>
        </w:rPr>
        <w:t>see also</w:t>
      </w:r>
      <w:r w:rsidRPr="003C5CBB">
        <w:t xml:space="preserve"> Gazette Newspapers, Inc. v. New Paper, Inc., 934 F. Supp. 688, 696, 40 USPQ2d 1900 (D. Md. 1996) (finding dilution of mark Gazette under §43(c) without any discussion of whether the mark was famous).</w:t>
      </w:r>
    </w:p>
  </w:footnote>
  <w:footnote w:id="328">
    <w:p w14:paraId="5A460AA8" w14:textId="71DA0C49"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Avery Dennison Corp. v. Sumpton, 189 F.3d 868, 874–77, 51 USPQ2d 1801 (9th Cir. 1999); I.P. Lund Trading ApS v. Kohler Co., 163 F.3d 27, 46–47, 49 USPQ2d 1225 (1st Cir. 1998); Binney &amp; Smith v. Rose Art Indus., 60 USPQ2d 2000, 2003 (E.D. Pa. 2001); Eli Lilly &amp; Co. v. Natural Answers, Inc., 86 F. Supp. 2d 834 (S.D. Ind.), </w:t>
      </w:r>
      <w:r w:rsidRPr="003C5CBB">
        <w:rPr>
          <w:i/>
        </w:rPr>
        <w:t>aff’d</w:t>
      </w:r>
      <w:r w:rsidRPr="003C5CBB">
        <w:t>, 233 F.3d 456, 56 USPQ2d 1942 (7th Cir. 2000).</w:t>
      </w:r>
    </w:p>
  </w:footnote>
  <w:footnote w:id="329">
    <w:p w14:paraId="53311FFA" w14:textId="0D6527C1" w:rsidR="003C5CBB" w:rsidRPr="00517775" w:rsidRDefault="003C5CBB" w:rsidP="003C5CBB">
      <w:pPr>
        <w:pStyle w:val="FootnoteText"/>
      </w:pPr>
      <w:r w:rsidRPr="003C5CBB">
        <w:rPr>
          <w:vertAlign w:val="superscript"/>
        </w:rPr>
        <w:footnoteRef/>
      </w:r>
      <w:r w:rsidRPr="003C5CBB">
        <w:t>Self-Insurance Inst. of Am., Inc. v. Software &amp; Info. Indus. Ass’n, 208 F. Supp. 2d 1058, 1077 (C.D. Cal. 2000) (footnote omitted) (finding mark SIIA not famous).</w:t>
      </w:r>
    </w:p>
  </w:footnote>
  <w:footnote w:id="330">
    <w:p w14:paraId="44760A73" w14:textId="55165410" w:rsidR="003C5CBB" w:rsidRPr="00517775" w:rsidRDefault="003C5CBB" w:rsidP="003C5CBB">
      <w:pPr>
        <w:pStyle w:val="FootnoteText"/>
      </w:pPr>
      <w:r w:rsidRPr="003C5CBB">
        <w:rPr>
          <w:vertAlign w:val="superscript"/>
        </w:rPr>
        <w:footnoteRef/>
      </w:r>
      <w:r w:rsidRPr="003C5CBB">
        <w:rPr>
          <w:i/>
        </w:rPr>
        <w:t>Id</w:t>
      </w:r>
      <w:r w:rsidRPr="003C5CBB">
        <w:t>.</w:t>
      </w:r>
    </w:p>
  </w:footnote>
  <w:footnote w:id="331">
    <w:p w14:paraId="251CD179" w14:textId="54A3DA47" w:rsidR="003C5CBB" w:rsidRPr="00517775" w:rsidRDefault="003C5CBB" w:rsidP="003C5CBB">
      <w:pPr>
        <w:pStyle w:val="FootnoteText"/>
      </w:pPr>
      <w:r w:rsidRPr="003C5CBB">
        <w:rPr>
          <w:vertAlign w:val="superscript"/>
        </w:rPr>
        <w:footnoteRef/>
      </w:r>
      <w:r w:rsidRPr="003C5CBB">
        <w:rPr>
          <w:i/>
        </w:rPr>
        <w:t>Id</w:t>
      </w:r>
      <w:r w:rsidRPr="003C5CBB">
        <w:t>.</w:t>
      </w:r>
    </w:p>
  </w:footnote>
  <w:footnote w:id="332">
    <w:p w14:paraId="61563EB4" w14:textId="73BDC1E1" w:rsidR="003C5CBB" w:rsidRPr="00517775" w:rsidRDefault="003C5CBB" w:rsidP="003C5CBB">
      <w:pPr>
        <w:pStyle w:val="FootnoteText"/>
      </w:pPr>
      <w:r w:rsidRPr="003C5CBB">
        <w:rPr>
          <w:vertAlign w:val="superscript"/>
        </w:rPr>
        <w:footnoteRef/>
      </w:r>
      <w:r w:rsidRPr="003C5CBB">
        <w:t xml:space="preserve">Hotmail Corp. v. Van$ Money Pie, Inc., 47 USPQ2d 1020, 1024 (N.D. Cal. 1998); Teletech Customer Care Mgmt., Inc. v. Tele-Tech Co., 977 F. Supp. 1407, 1413, 42 USPQ2d 1913 (C.D. Cal. 1997); Nailtiques Cosmetic Corp. v. Salon Scis. Corp., 41 USPQ2d 1995, 1997 (S.D. Fla. 1997); Intermatic, Inc. v. Toeppen, 947 F. Supp. 1227, 1239 (N.D. Ill. 1996); Wawa, Inc. v. Haaf, 40 USPQ2d 1629, 1631 (E.D. Pa. 1996), </w:t>
      </w:r>
      <w:r w:rsidRPr="003C5CBB">
        <w:rPr>
          <w:i/>
        </w:rPr>
        <w:t>aff’d</w:t>
      </w:r>
      <w:r w:rsidRPr="003C5CBB">
        <w:t xml:space="preserve">, 116 F.3d 471 (3d Cir. 1997); Panavision Int’l, L.P. v. Toeppen, 945 F. Supp. 1296, 1303 (C.D. Cal. 1996), </w:t>
      </w:r>
      <w:r w:rsidRPr="003C5CBB">
        <w:rPr>
          <w:i/>
        </w:rPr>
        <w:t>aff’d</w:t>
      </w:r>
      <w:r w:rsidRPr="003C5CBB">
        <w:t xml:space="preserve">, 141 F.3d 1316, 46 USPQ2d 1511 (9th Cir. 1998); </w:t>
      </w:r>
      <w:r w:rsidRPr="003C5CBB">
        <w:rPr>
          <w:i/>
        </w:rPr>
        <w:t>see</w:t>
      </w:r>
      <w:r w:rsidRPr="003C5CBB">
        <w:t xml:space="preserve"> </w:t>
      </w:r>
      <w:r w:rsidRPr="003C5CBB">
        <w:rPr>
          <w:i/>
        </w:rPr>
        <w:t>In re</w:t>
      </w:r>
      <w:r w:rsidRPr="003C5CBB">
        <w:t xml:space="preserve"> Leslie Fay Cos. (Nipon), 216 B.R. 117, 133 (Bankr. S.D.N.Y. 1997) (equating analysis of strength with fame); Gazette Newspapers, Inc. v. New Paper, Inc., 934 F. Supp. 688, 696, 40 USPQ2d 1900 (D. Md. 1996) (finding dilution of the mark Gazette without discussing whether the mark was famous); </w:t>
      </w:r>
      <w:r w:rsidRPr="003C5CBB">
        <w:rPr>
          <w:i/>
        </w:rPr>
        <w:t>see also NBBJ E</w:t>
      </w:r>
      <w:r w:rsidRPr="003C5CBB">
        <w:t xml:space="preserve">. </w:t>
      </w:r>
      <w:r w:rsidRPr="003C5CBB">
        <w:rPr>
          <w:i/>
        </w:rPr>
        <w:t>Ltd</w:t>
      </w:r>
      <w:r w:rsidRPr="003C5CBB">
        <w:t xml:space="preserve">. </w:t>
      </w:r>
      <w:r w:rsidRPr="003C5CBB">
        <w:rPr>
          <w:i/>
        </w:rPr>
        <w:t>P’ship</w:t>
      </w:r>
      <w:r w:rsidRPr="003C5CBB">
        <w:t>, 201 F. Supp. 2d at 805 (NBBJ mark held famous in 2001).</w:t>
      </w:r>
    </w:p>
  </w:footnote>
  <w:footnote w:id="333">
    <w:p w14:paraId="37F0AFBA" w14:textId="5FFDFC9B" w:rsidR="003C5CBB" w:rsidRPr="00517775" w:rsidRDefault="003C5CBB" w:rsidP="003C5CBB">
      <w:pPr>
        <w:pStyle w:val="FootnoteText"/>
      </w:pPr>
      <w:r w:rsidRPr="003C5CBB">
        <w:rPr>
          <w:vertAlign w:val="superscript"/>
        </w:rPr>
        <w:footnoteRef/>
      </w:r>
      <w:r w:rsidRPr="003C5CBB">
        <w:t xml:space="preserve">Lexington Mgmt. Corp. v. Lexington Capital Partners, 10 F. Supp. 2d 271, 47 USPQ2d 1558 (S.D.N.Y. 1998); </w:t>
      </w:r>
      <w:r w:rsidRPr="003C5CBB">
        <w:rPr>
          <w:i/>
        </w:rPr>
        <w:t>Nailtiques Cosmetic Corp</w:t>
      </w:r>
      <w:r w:rsidRPr="003C5CBB">
        <w:t xml:space="preserve">., 31 USPQ2d </w:t>
      </w:r>
      <w:r w:rsidRPr="003C5CBB">
        <w:t xml:space="preserve">at 1997; </w:t>
      </w:r>
      <w:r w:rsidRPr="003C5CBB">
        <w:rPr>
          <w:i/>
        </w:rPr>
        <w:t>Intermatic, Inc</w:t>
      </w:r>
      <w:r w:rsidRPr="003C5CBB">
        <w:t>., 947 F. Supp. at 1239.</w:t>
      </w:r>
    </w:p>
  </w:footnote>
  <w:footnote w:id="334">
    <w:p w14:paraId="51DE13F7" w14:textId="1CBBDB92" w:rsidR="003C5CBB" w:rsidRPr="00517775" w:rsidRDefault="003C5CBB" w:rsidP="003C5CBB">
      <w:pPr>
        <w:pStyle w:val="FootnoteText"/>
      </w:pPr>
      <w:r w:rsidRPr="003C5CBB">
        <w:rPr>
          <w:vertAlign w:val="superscript"/>
        </w:rPr>
        <w:footnoteRef/>
      </w:r>
      <w:r w:rsidRPr="003C5CBB">
        <w:rPr>
          <w:i/>
        </w:rPr>
        <w:t>Leslie Fay</w:t>
      </w:r>
      <w:r w:rsidRPr="003C5CBB">
        <w:t xml:space="preserve">, 216 B.R. at 126; </w:t>
      </w:r>
      <w:r w:rsidRPr="003C5CBB">
        <w:rPr>
          <w:i/>
        </w:rPr>
        <w:t>Wawa, Inc</w:t>
      </w:r>
      <w:r w:rsidRPr="003C5CBB">
        <w:t xml:space="preserve">., 40 USPQ2d at 1631; </w:t>
      </w:r>
      <w:r w:rsidRPr="003C5CBB">
        <w:rPr>
          <w:i/>
        </w:rPr>
        <w:t>Panavision Int’l</w:t>
      </w:r>
      <w:r w:rsidRPr="003C5CBB">
        <w:t xml:space="preserve">, 945 F. Supp. at 1303; </w:t>
      </w:r>
      <w:r w:rsidRPr="003C5CBB">
        <w:rPr>
          <w:i/>
        </w:rPr>
        <w:t>see</w:t>
      </w:r>
      <w:r w:rsidRPr="003C5CBB">
        <w:t xml:space="preserve"> Wilcom PTY, Ltd. v. Endless Visions, 128 F. Supp. 2d 1027, 1033 (E.D. Mich. 1998) (relying on advertising and length of time mark was used), </w:t>
      </w:r>
      <w:r w:rsidRPr="003C5CBB">
        <w:rPr>
          <w:i/>
        </w:rPr>
        <w:t>aff’d</w:t>
      </w:r>
      <w:r w:rsidRPr="003C5CBB">
        <w:t>, 229 F.3d 1155 (6th Cir. 2000).</w:t>
      </w:r>
    </w:p>
  </w:footnote>
  <w:footnote w:id="335">
    <w:p w14:paraId="1A4CB925" w14:textId="779B08FA" w:rsidR="003C5CBB" w:rsidRPr="00517775" w:rsidRDefault="003C5CBB" w:rsidP="003C5CBB">
      <w:pPr>
        <w:pStyle w:val="FootnoteText"/>
      </w:pPr>
      <w:r w:rsidRPr="003C5CBB">
        <w:rPr>
          <w:vertAlign w:val="superscript"/>
        </w:rPr>
        <w:footnoteRef/>
      </w:r>
      <w:r w:rsidRPr="003C5CBB">
        <w:t>189 F.3d 868, 51 USPQ2d 1801 (9th Cir. 1999).</w:t>
      </w:r>
    </w:p>
  </w:footnote>
  <w:footnote w:id="336">
    <w:p w14:paraId="63A4AC15" w14:textId="15670300" w:rsidR="003C5CBB" w:rsidRPr="00517775" w:rsidRDefault="003C5CBB" w:rsidP="003C5CBB">
      <w:pPr>
        <w:pStyle w:val="FootnoteText"/>
      </w:pPr>
      <w:r w:rsidRPr="003C5CBB">
        <w:rPr>
          <w:vertAlign w:val="superscript"/>
        </w:rPr>
        <w:footnoteRef/>
      </w:r>
      <w:r w:rsidRPr="003C5CBB">
        <w:t>163 F.3d 27, 49 USPQ2d 1225 (1st Cir. 1998).</w:t>
      </w:r>
    </w:p>
  </w:footnote>
  <w:footnote w:id="337">
    <w:p w14:paraId="63B88A7B" w14:textId="229E08C4" w:rsidR="003C5CBB" w:rsidRPr="00517775" w:rsidRDefault="003C5CBB" w:rsidP="003C5CBB">
      <w:pPr>
        <w:pStyle w:val="FootnoteText"/>
      </w:pPr>
      <w:r w:rsidRPr="003C5CBB">
        <w:rPr>
          <w:vertAlign w:val="superscript"/>
        </w:rPr>
        <w:footnoteRef/>
      </w:r>
      <w:r w:rsidRPr="003C5CBB">
        <w:rPr>
          <w:i/>
        </w:rPr>
        <w:t>Id</w:t>
      </w:r>
      <w:r w:rsidRPr="003C5CBB">
        <w:t xml:space="preserve">. at 46 (citing 3 </w:t>
      </w:r>
      <w:r w:rsidRPr="003C5CBB">
        <w:rPr>
          <w:smallCaps/>
        </w:rPr>
        <w:t>McCarthy on Trademarks</w:t>
      </w:r>
      <w:r w:rsidRPr="003C5CBB">
        <w:t xml:space="preserve"> §24.91, and </w:t>
      </w:r>
      <w:r w:rsidRPr="003C5CBB">
        <w:rPr>
          <w:i/>
        </w:rPr>
        <w:t>USTA Report</w:t>
      </w:r>
      <w:r w:rsidRPr="003C5CBB">
        <w:t xml:space="preserve">, 77 </w:t>
      </w:r>
      <w:r w:rsidRPr="003C5CBB">
        <w:rPr>
          <w:smallCaps/>
        </w:rPr>
        <w:t xml:space="preserve">Trademark Rep. </w:t>
      </w:r>
      <w:r w:rsidRPr="003C5CBB">
        <w:t>375, 459–60 (1987)).</w:t>
      </w:r>
    </w:p>
  </w:footnote>
  <w:footnote w:id="338">
    <w:p w14:paraId="0267D228" w14:textId="3E2E7D3B" w:rsidR="003C5CBB" w:rsidRPr="00366F48" w:rsidRDefault="003C5CBB" w:rsidP="003C5CBB">
      <w:pPr>
        <w:pStyle w:val="FootnoteText"/>
        <w:rPr>
          <w:lang w:val="da-DK"/>
        </w:rPr>
      </w:pPr>
      <w:r w:rsidRPr="003C5CBB">
        <w:rPr>
          <w:vertAlign w:val="superscript"/>
        </w:rPr>
        <w:footnoteRef/>
      </w:r>
      <w:r w:rsidRPr="003C5CBB">
        <w:rPr>
          <w:i/>
        </w:rPr>
        <w:t>Id</w:t>
      </w:r>
      <w:r w:rsidRPr="003C5CBB">
        <w:t>.</w:t>
      </w:r>
    </w:p>
  </w:footnote>
  <w:footnote w:id="339">
    <w:p w14:paraId="3A6142B3" w14:textId="6C1E473B" w:rsidR="003C5CBB" w:rsidRPr="00366F48" w:rsidRDefault="003C5CBB" w:rsidP="003C5CBB">
      <w:pPr>
        <w:pStyle w:val="FootnoteText"/>
        <w:rPr>
          <w:lang w:val="da-DK"/>
        </w:rPr>
      </w:pPr>
      <w:r w:rsidRPr="003C5CBB">
        <w:rPr>
          <w:vertAlign w:val="superscript"/>
        </w:rPr>
        <w:footnoteRef/>
      </w:r>
      <w:r w:rsidRPr="003C5CBB">
        <w:t>189 F.3d 868.</w:t>
      </w:r>
    </w:p>
  </w:footnote>
  <w:footnote w:id="340">
    <w:p w14:paraId="446B69D2" w14:textId="188727B0" w:rsidR="003C5CBB" w:rsidRPr="00366F48" w:rsidRDefault="003C5CBB" w:rsidP="003C5CBB">
      <w:pPr>
        <w:pStyle w:val="FootnoteText"/>
        <w:rPr>
          <w:lang w:val="da-DK"/>
        </w:rPr>
      </w:pPr>
      <w:r w:rsidRPr="003C5CBB">
        <w:rPr>
          <w:vertAlign w:val="superscript"/>
        </w:rPr>
        <w:footnoteRef/>
      </w:r>
      <w:r w:rsidRPr="003C5CBB">
        <w:rPr>
          <w:i/>
        </w:rPr>
        <w:t>Id</w:t>
      </w:r>
      <w:r w:rsidRPr="003C5CBB">
        <w:t>. at 872.</w:t>
      </w:r>
    </w:p>
  </w:footnote>
  <w:footnote w:id="341">
    <w:p w14:paraId="3F172BCB" w14:textId="140A49F5" w:rsidR="003C5CBB" w:rsidRPr="00366F48" w:rsidRDefault="003C5CBB" w:rsidP="003C5CBB">
      <w:pPr>
        <w:pStyle w:val="FootnoteText"/>
        <w:rPr>
          <w:lang w:val="da-DK"/>
        </w:rPr>
      </w:pPr>
      <w:r w:rsidRPr="003C5CBB">
        <w:rPr>
          <w:vertAlign w:val="superscript"/>
        </w:rPr>
        <w:footnoteRef/>
      </w:r>
      <w:r w:rsidRPr="003C5CBB">
        <w:rPr>
          <w:i/>
        </w:rPr>
        <w:t>Id</w:t>
      </w:r>
      <w:r w:rsidRPr="003C5CBB">
        <w:t>. at 873.</w:t>
      </w:r>
    </w:p>
  </w:footnote>
  <w:footnote w:id="342">
    <w:p w14:paraId="687C6CA0" w14:textId="6316D862" w:rsidR="003C5CBB" w:rsidRPr="00366F48" w:rsidRDefault="003C5CBB" w:rsidP="003C5CBB">
      <w:pPr>
        <w:pStyle w:val="FootnoteText"/>
        <w:rPr>
          <w:lang w:val="da-DK"/>
        </w:rPr>
      </w:pPr>
      <w:r w:rsidRPr="003C5CBB">
        <w:rPr>
          <w:vertAlign w:val="superscript"/>
        </w:rPr>
        <w:footnoteRef/>
      </w:r>
      <w:r w:rsidRPr="003C5CBB">
        <w:rPr>
          <w:i/>
        </w:rPr>
        <w:t>Id</w:t>
      </w:r>
      <w:r w:rsidRPr="003C5CBB">
        <w:t xml:space="preserve">. at 876–77. Indeed, the Ninth Circuit cited some of the language in </w:t>
      </w:r>
      <w:r w:rsidRPr="003C5CBB">
        <w:rPr>
          <w:i/>
        </w:rPr>
        <w:t>Lund</w:t>
      </w:r>
      <w:r w:rsidRPr="003C5CBB">
        <w:t xml:space="preserve"> to support its decision. </w:t>
      </w:r>
      <w:r w:rsidRPr="003C5CBB">
        <w:rPr>
          <w:i/>
        </w:rPr>
        <w:t>Id</w:t>
      </w:r>
      <w:r w:rsidRPr="003C5CBB">
        <w:t xml:space="preserve">. at 875, (citing </w:t>
      </w:r>
      <w:r w:rsidRPr="003C5CBB">
        <w:rPr>
          <w:i/>
        </w:rPr>
        <w:t>I</w:t>
      </w:r>
      <w:r w:rsidRPr="003C5CBB">
        <w:t>.</w:t>
      </w:r>
      <w:r w:rsidRPr="003C5CBB">
        <w:rPr>
          <w:i/>
        </w:rPr>
        <w:t>P</w:t>
      </w:r>
      <w:r w:rsidRPr="003C5CBB">
        <w:t xml:space="preserve">. </w:t>
      </w:r>
      <w:r w:rsidRPr="003C5CBB">
        <w:rPr>
          <w:i/>
        </w:rPr>
        <w:t>Lund</w:t>
      </w:r>
      <w:r w:rsidRPr="003C5CBB">
        <w:t>, 163 F.3d at 46).</w:t>
      </w:r>
    </w:p>
  </w:footnote>
  <w:footnote w:id="343">
    <w:p w14:paraId="1F5697C6" w14:textId="7E780841" w:rsidR="003C5CBB" w:rsidRPr="00366F48" w:rsidRDefault="003C5CBB" w:rsidP="003C5CBB">
      <w:pPr>
        <w:pStyle w:val="FootnoteText"/>
        <w:rPr>
          <w:lang w:val="da-DK"/>
        </w:rPr>
      </w:pPr>
      <w:r w:rsidRPr="003C5CBB">
        <w:rPr>
          <w:vertAlign w:val="superscript"/>
        </w:rPr>
        <w:footnoteRef/>
      </w:r>
      <w:r w:rsidRPr="003C5CBB">
        <w:rPr>
          <w:i/>
        </w:rPr>
        <w:t>Id</w:t>
      </w:r>
      <w:r w:rsidRPr="003C5CBB">
        <w:t>. at 875.</w:t>
      </w:r>
    </w:p>
  </w:footnote>
  <w:footnote w:id="344">
    <w:p w14:paraId="15A8DC57" w14:textId="5DE1B1F4" w:rsidR="003C5CBB" w:rsidRPr="00517775" w:rsidRDefault="003C5CBB" w:rsidP="003C5CBB">
      <w:pPr>
        <w:pStyle w:val="FootnoteText"/>
      </w:pPr>
      <w:r w:rsidRPr="003C5CBB">
        <w:rPr>
          <w:vertAlign w:val="superscript"/>
        </w:rPr>
        <w:footnoteRef/>
      </w:r>
      <w:r w:rsidRPr="003C5CBB">
        <w:rPr>
          <w:i/>
        </w:rPr>
        <w:t>Id</w:t>
      </w:r>
      <w:r w:rsidRPr="003C5CBB">
        <w:t>. at 876.</w:t>
      </w:r>
    </w:p>
  </w:footnote>
  <w:footnote w:id="345">
    <w:p w14:paraId="44F68F4A" w14:textId="70F4EB6B"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TCPIP Holding Co. v. Haar Commc’ns, Inc., 244 F.3d 88, 96–98, 57 USPQ2d 1969 (2d Cir. 2001) (requiring greater distinctiveness for famous marks than for other marks that are protectable). </w:t>
      </w:r>
      <w:r w:rsidRPr="003C5CBB">
        <w:rPr>
          <w:i/>
        </w:rPr>
        <w:t>But cf</w:t>
      </w:r>
      <w:r w:rsidRPr="003C5CBB">
        <w:t>. Deborah Heart &amp; Lung Ctr. v. Children of the World Found., 99 F. Supp. 2d 481, 492, 55 USPQ2d 1088 (D.N.J. 2000) (calling the mark “probably suggestive” and thus using the distinctiveness factor to favor a finding of fame).</w:t>
      </w:r>
    </w:p>
  </w:footnote>
  <w:footnote w:id="346">
    <w:p w14:paraId="6CFB6687" w14:textId="196D21DC" w:rsidR="003C5CBB" w:rsidRPr="00517775" w:rsidRDefault="003C5CBB" w:rsidP="003C5CBB">
      <w:pPr>
        <w:pStyle w:val="FootnoteText"/>
      </w:pPr>
      <w:r w:rsidRPr="003C5CBB">
        <w:rPr>
          <w:vertAlign w:val="superscript"/>
        </w:rPr>
        <w:footnoteRef/>
      </w:r>
      <w:r w:rsidRPr="003C5CBB">
        <w:rPr>
          <w:i/>
        </w:rPr>
        <w:t>See</w:t>
      </w:r>
      <w:r w:rsidRPr="003C5CBB">
        <w:t xml:space="preserve"> Hasbro, Inc. v. Clue Computing, Inc., 66 F. Supp. 2d 117, 131, 52 USPQ2d 1402 (distinctiveness and third-party use “deserve slightly more consideration” in the analysis of fame than other factors), </w:t>
      </w:r>
      <w:r w:rsidRPr="003C5CBB">
        <w:rPr>
          <w:i/>
        </w:rPr>
        <w:t>aff’d</w:t>
      </w:r>
      <w:r w:rsidRPr="003C5CBB">
        <w:t>, 232 F.3d 1, 56 USPQ2d 1766 (1st Cir. 2000).</w:t>
      </w:r>
    </w:p>
  </w:footnote>
  <w:footnote w:id="347">
    <w:p w14:paraId="45983A44" w14:textId="7C3D8754" w:rsidR="003C5CBB" w:rsidRPr="00517775" w:rsidRDefault="003C5CBB" w:rsidP="003C5CBB">
      <w:pPr>
        <w:pStyle w:val="FootnoteText"/>
      </w:pPr>
      <w:r w:rsidRPr="003C5CBB">
        <w:rPr>
          <w:vertAlign w:val="superscript"/>
        </w:rPr>
        <w:footnoteRef/>
      </w:r>
      <w:r w:rsidRPr="003C5CBB">
        <w:t xml:space="preserve">Simon Property Grp., L.P. v. MySimon, Inc., 2001 WL 66408, at *15 (S.D. Ind. Jan. 24, 2001); </w:t>
      </w:r>
      <w:r w:rsidRPr="003C5CBB">
        <w:rPr>
          <w:i/>
        </w:rPr>
        <w:t xml:space="preserve">see </w:t>
      </w:r>
      <w:r w:rsidRPr="003C5CBB">
        <w:t xml:space="preserve">TCPIP Holding Co. v. Haar Commc’ns, Inc., 244 F.3d 88, 95, 97, 57 USPQ2d 1969 (2d Cir. 2001) (famous mark must have a “high degree … of acquired distinctiveness”); Times Mirror Magazines, Inc. v. Las Vegas Sports News, LLC, 212 F.3d 157, 170, 54 USPQ2d 1577 (3d Cir. 2000) (Barry, J., dissenting) (FTDA protects only “truly famous marks”), </w:t>
      </w:r>
      <w:r w:rsidRPr="003C5CBB">
        <w:rPr>
          <w:i/>
        </w:rPr>
        <w:t>cert</w:t>
      </w:r>
      <w:r w:rsidRPr="003C5CBB">
        <w:t xml:space="preserve">. </w:t>
      </w:r>
      <w:r w:rsidRPr="003C5CBB">
        <w:rPr>
          <w:i/>
        </w:rPr>
        <w:t>denied</w:t>
      </w:r>
      <w:r w:rsidRPr="003C5CBB">
        <w:t>, 531 U.S. 1071 (2001).</w:t>
      </w:r>
    </w:p>
  </w:footnote>
  <w:footnote w:id="348">
    <w:p w14:paraId="1FA8492B" w14:textId="5F7DAD7B" w:rsidR="003C5CBB" w:rsidRPr="00517775" w:rsidRDefault="003C5CBB" w:rsidP="003C5CBB">
      <w:pPr>
        <w:pStyle w:val="FootnoteText"/>
      </w:pPr>
      <w:r w:rsidRPr="003C5CBB">
        <w:rPr>
          <w:vertAlign w:val="superscript"/>
        </w:rPr>
        <w:footnoteRef/>
      </w:r>
      <w:r w:rsidRPr="003C5CBB">
        <w:rPr>
          <w:i/>
        </w:rPr>
        <w:t>See also</w:t>
      </w:r>
      <w:r w:rsidRPr="003C5CBB">
        <w:t xml:space="preserve"> BigStar Entm’t, Inc. v. Next Big Star, Inc., 105 F. Supp. 2d 185, 218, 54 USPQ2d 1685, 1709 (S.D.N.Y. 2000) (noting “the absence in [the] record of any consumer surveys documenting the extent of actual public identification of plaintiff’s marks”).</w:t>
      </w:r>
    </w:p>
  </w:footnote>
  <w:footnote w:id="349">
    <w:p w14:paraId="3B1441A3" w14:textId="30C3B58C" w:rsidR="003C5CBB" w:rsidRPr="00517775" w:rsidRDefault="003C5CBB" w:rsidP="003C5CBB">
      <w:pPr>
        <w:pStyle w:val="FootnoteText"/>
      </w:pPr>
      <w:r w:rsidRPr="003C5CBB">
        <w:rPr>
          <w:vertAlign w:val="superscript"/>
        </w:rPr>
        <w:footnoteRef/>
      </w:r>
      <w:r w:rsidRPr="003C5CBB">
        <w:t>244 F.3d 88.</w:t>
      </w:r>
    </w:p>
  </w:footnote>
  <w:footnote w:id="350">
    <w:p w14:paraId="7213E336" w14:textId="73752D35" w:rsidR="003C5CBB" w:rsidRPr="00517775" w:rsidRDefault="003C5CBB" w:rsidP="003C5CBB">
      <w:pPr>
        <w:pStyle w:val="FootnoteText"/>
      </w:pPr>
      <w:r w:rsidRPr="003C5CBB">
        <w:rPr>
          <w:vertAlign w:val="superscript"/>
        </w:rPr>
        <w:footnoteRef/>
      </w:r>
      <w:r w:rsidRPr="003C5CBB">
        <w:rPr>
          <w:i/>
        </w:rPr>
        <w:t>Id</w:t>
      </w:r>
      <w:r w:rsidRPr="003C5CBB">
        <w:t>. at 99. The court also held that marks lacking inherent distinctiveness could not achieve the status of famous marks under the FTDA. That part of its holding was reversed by the TDRA.</w:t>
      </w:r>
    </w:p>
  </w:footnote>
  <w:footnote w:id="351">
    <w:p w14:paraId="07585F89" w14:textId="6F71191B"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Friesland Brands, B.V. v. Vietnam Nat’l Milk Co., 228 F. Supp. 2d 399, 413 (S.D.N.Y. 2002) (Longevity not famous for condensed milk); Omega S.A. v. Omega Eng’g, Inc., 228 F. Supp. 2d 112, 125 (D. Conn. 2002) (issue of fact whether Omega is famous); </w:t>
      </w:r>
      <w:r w:rsidRPr="003C5CBB">
        <w:rPr>
          <w:i/>
        </w:rPr>
        <w:t>BigStar Entm’t</w:t>
      </w:r>
      <w:r w:rsidRPr="003C5CBB">
        <w:t xml:space="preserve">, 105 F. Supp. 2d at 218 (Big Star not famous); Hasbro, Inc. v. Clue Computing, Inc., 66 F. Supp. 2d 117, 131, 52 USPQ2d 1402 (D. Mass. 1999) (Clue not famous), </w:t>
      </w:r>
      <w:r w:rsidRPr="003C5CBB">
        <w:rPr>
          <w:i/>
        </w:rPr>
        <w:t>aff’d</w:t>
      </w:r>
      <w:r w:rsidRPr="003C5CBB">
        <w:t xml:space="preserve">, 232 F.3d 1, 56 USPQ2d 1766 (1st Cir. 2000); </w:t>
      </w:r>
      <w:r w:rsidRPr="003C5CBB">
        <w:rPr>
          <w:i/>
        </w:rPr>
        <w:t>see</w:t>
      </w:r>
      <w:r w:rsidRPr="003C5CBB">
        <w:t xml:space="preserve"> Syndicate Sales, Inc. v. Hampshire Paper Corp., 2000 WL 1428665, at *15 (S.D. Ind. Aug. 30,</w:t>
      </w:r>
      <w:r w:rsidRPr="003C5CBB">
        <w:rPr>
          <w:b/>
        </w:rPr>
        <w:t xml:space="preserve"> </w:t>
      </w:r>
      <w:r w:rsidRPr="003C5CBB">
        <w:t>2000). The Trademark Trial and Appeal Board also adopted a skeptical approach. Toro Co. v. ToroHead, Inc., 61 USPQ2d 1164, 1176 (T.T.A.B. 2001) (adopting “a rigorous test”).</w:t>
      </w:r>
    </w:p>
  </w:footnote>
  <w:footnote w:id="352">
    <w:p w14:paraId="3836CA82" w14:textId="61514571" w:rsidR="003C5CBB" w:rsidRPr="00517775" w:rsidRDefault="003C5CBB" w:rsidP="003C5CBB">
      <w:pPr>
        <w:pStyle w:val="FootnoteText"/>
      </w:pPr>
      <w:r w:rsidRPr="003C5CBB">
        <w:rPr>
          <w:vertAlign w:val="superscript"/>
        </w:rPr>
        <w:footnoteRef/>
      </w:r>
      <w:r w:rsidRPr="003C5CBB">
        <w:t xml:space="preserve">66 F. Supp. 2d 117, 52 USPQ2d 1402 (D. Mass. 1999), </w:t>
      </w:r>
      <w:r w:rsidRPr="003C5CBB">
        <w:rPr>
          <w:i/>
        </w:rPr>
        <w:t>aff’d</w:t>
      </w:r>
      <w:r w:rsidRPr="003C5CBB">
        <w:t>, 232 F.3d 1, 56 USPQ2d 1766 (1st Cir. 2000).</w:t>
      </w:r>
    </w:p>
  </w:footnote>
  <w:footnote w:id="353">
    <w:p w14:paraId="79C8A9C4" w14:textId="05E1E475" w:rsidR="003C5CBB" w:rsidRPr="00517775" w:rsidRDefault="003C5CBB" w:rsidP="003C5CBB">
      <w:pPr>
        <w:pStyle w:val="FootnoteText"/>
      </w:pPr>
      <w:r w:rsidRPr="003C5CBB">
        <w:rPr>
          <w:vertAlign w:val="superscript"/>
        </w:rPr>
        <w:footnoteRef/>
      </w:r>
      <w:r w:rsidRPr="003C5CBB">
        <w:rPr>
          <w:i/>
        </w:rPr>
        <w:t>Id</w:t>
      </w:r>
      <w:r w:rsidRPr="003C5CBB">
        <w:t>. at 126 (finding Clue to be a “strong mark” for confusion analysis).</w:t>
      </w:r>
    </w:p>
  </w:footnote>
  <w:footnote w:id="354">
    <w:p w14:paraId="497D3516" w14:textId="46061F44" w:rsidR="003C5CBB" w:rsidRPr="00517775" w:rsidRDefault="003C5CBB" w:rsidP="003C5CBB">
      <w:pPr>
        <w:pStyle w:val="FootnoteText"/>
      </w:pPr>
      <w:r w:rsidRPr="003C5CBB">
        <w:rPr>
          <w:vertAlign w:val="superscript"/>
        </w:rPr>
        <w:footnoteRef/>
      </w:r>
      <w:r w:rsidRPr="003C5CBB">
        <w:rPr>
          <w:i/>
        </w:rPr>
        <w:t>Id</w:t>
      </w:r>
      <w:r w:rsidRPr="003C5CBB">
        <w:t>. at 131.</w:t>
      </w:r>
    </w:p>
  </w:footnote>
  <w:footnote w:id="355">
    <w:p w14:paraId="1942E503" w14:textId="46E96CDD" w:rsidR="003C5CBB" w:rsidRPr="00517775" w:rsidRDefault="003C5CBB" w:rsidP="003C5CBB">
      <w:pPr>
        <w:pStyle w:val="FootnoteText"/>
      </w:pPr>
      <w:r w:rsidRPr="003C5CBB">
        <w:rPr>
          <w:vertAlign w:val="superscript"/>
        </w:rPr>
        <w:footnoteRef/>
      </w:r>
      <w:r w:rsidRPr="003C5CBB">
        <w:rPr>
          <w:i/>
        </w:rPr>
        <w:t>Friesland Brands</w:t>
      </w:r>
      <w:r w:rsidRPr="003C5CBB">
        <w:t xml:space="preserve">, 228 F. Supp. 2d at 412; </w:t>
      </w:r>
      <w:r w:rsidRPr="003C5CBB">
        <w:rPr>
          <w:i/>
        </w:rPr>
        <w:t>accord</w:t>
      </w:r>
      <w:r w:rsidRPr="003C5CBB">
        <w:t xml:space="preserve"> Waddington N. Am. Bus. Trust v. EMI Plastics, Inc., 2002 WL 2031372, at *9 (E.D.N.Y. Sept. 5, 2002); A.B.C. Carpet Co. v. Naeini, 2002 WL 100604, at *5 (E.D.N.Y. Feb. 8, 2002); </w:t>
      </w:r>
      <w:r w:rsidRPr="003C5CBB">
        <w:rPr>
          <w:i/>
        </w:rPr>
        <w:t>see also</w:t>
      </w:r>
      <w:r w:rsidRPr="003C5CBB">
        <w:t xml:space="preserve"> Ty, Inc. v. Perryman, 306 F.3d 509, 511, 64 USPQ2d 1689 (7th Cir. 2002) (noting that plaintiff’s “trademarks are household words”), </w:t>
      </w:r>
      <w:r w:rsidRPr="003C5CBB">
        <w:rPr>
          <w:i/>
        </w:rPr>
        <w:t>cert</w:t>
      </w:r>
      <w:r w:rsidRPr="003C5CBB">
        <w:t xml:space="preserve">. </w:t>
      </w:r>
      <w:r w:rsidRPr="003C5CBB">
        <w:rPr>
          <w:i/>
        </w:rPr>
        <w:t>denied</w:t>
      </w:r>
      <w:r w:rsidRPr="003C5CBB">
        <w:t xml:space="preserve">, 538 U.S. 971 (2003); Best Cellars, Inc. v. Wine Made Simple, Inc., 2003 WL 1212815, at *18 (S.D.N.Y. Mar. 11, 2003) (citing </w:t>
      </w:r>
      <w:r w:rsidRPr="003C5CBB">
        <w:rPr>
          <w:i/>
        </w:rPr>
        <w:t>TCPIP</w:t>
      </w:r>
      <w:r w:rsidRPr="003C5CBB">
        <w:t>, 244 F.3d 88, 95, 97, 57 USPQ2d 1969 (2d Cir. 2001)); Oracle Corp. v. Light Reading, Inc., 233 F. Supp. 2d 1228, 1231 (N.D. Cal. 2002) (Oracle mark, though strong, “is not an arbitrary, universal household word like ‘Coca Cola’ or ‘Kodak’”).</w:t>
      </w:r>
    </w:p>
  </w:footnote>
  <w:footnote w:id="356">
    <w:p w14:paraId="378AD42F" w14:textId="1E240215" w:rsidR="003C5CBB" w:rsidRPr="00517775" w:rsidRDefault="003C5CBB" w:rsidP="003C5CBB">
      <w:pPr>
        <w:pStyle w:val="FootnoteText"/>
      </w:pPr>
      <w:r w:rsidRPr="003C5CBB">
        <w:rPr>
          <w:vertAlign w:val="superscript"/>
        </w:rPr>
        <w:footnoteRef/>
      </w:r>
      <w:r w:rsidRPr="003C5CBB">
        <w:t>74 F. Supp. 2d 1261, 52 USPQ2d 1920 (S.D. Fla. 1999).</w:t>
      </w:r>
    </w:p>
  </w:footnote>
  <w:footnote w:id="357">
    <w:p w14:paraId="4A6CA83B" w14:textId="04022212" w:rsidR="003C5CBB" w:rsidRPr="00517775" w:rsidRDefault="003C5CBB" w:rsidP="003C5CBB">
      <w:pPr>
        <w:pStyle w:val="FootnoteText"/>
      </w:pPr>
      <w:r w:rsidRPr="003C5CBB">
        <w:rPr>
          <w:vertAlign w:val="superscript"/>
        </w:rPr>
        <w:footnoteRef/>
      </w:r>
      <w:r w:rsidRPr="003C5CBB">
        <w:rPr>
          <w:i/>
        </w:rPr>
        <w:t>Id</w:t>
      </w:r>
      <w:r w:rsidRPr="003C5CBB">
        <w:t>. at 1269.</w:t>
      </w:r>
    </w:p>
  </w:footnote>
  <w:footnote w:id="358">
    <w:p w14:paraId="7B2E6D7D" w14:textId="60E1C076" w:rsidR="003C5CBB" w:rsidRPr="00517775" w:rsidRDefault="003C5CBB" w:rsidP="003C5CBB">
      <w:pPr>
        <w:pStyle w:val="FootnoteText"/>
      </w:pPr>
      <w:r w:rsidRPr="003C5CBB">
        <w:rPr>
          <w:vertAlign w:val="superscript"/>
        </w:rPr>
        <w:footnoteRef/>
      </w:r>
      <w:r w:rsidRPr="003C5CBB">
        <w:rPr>
          <w:i/>
        </w:rPr>
        <w:t>Id</w:t>
      </w:r>
      <w:r w:rsidRPr="003C5CBB">
        <w:t>. at 1270 (quoting Avery Dennison Corp. v. Sumpton, 189 F.3d 868, 875, 1999 WL 635767 (9th Cir. 1999) (quoting I.P. Lund Trading ApS v. Kohler Co., 163 F.3d 27, 46 (1st Cir. 1998))).</w:t>
      </w:r>
    </w:p>
  </w:footnote>
  <w:footnote w:id="359">
    <w:p w14:paraId="6BA4A725" w14:textId="1FAEFCE6" w:rsidR="003C5CBB" w:rsidRPr="000414E1" w:rsidRDefault="003C5CBB" w:rsidP="003C5CBB">
      <w:pPr>
        <w:pStyle w:val="FootnoteText"/>
      </w:pPr>
      <w:r w:rsidRPr="003C5CBB">
        <w:rPr>
          <w:vertAlign w:val="superscript"/>
        </w:rPr>
        <w:footnoteRef/>
      </w:r>
      <w:r w:rsidRPr="003C5CBB">
        <w:rPr>
          <w:i/>
        </w:rPr>
        <w:t>Id</w:t>
      </w:r>
      <w:r w:rsidRPr="003C5CBB">
        <w:t xml:space="preserve">. at 1270. The court also cited third-party uses of the word “Fun” in trademarks as a factor. </w:t>
      </w:r>
      <w:r w:rsidRPr="003C5CBB">
        <w:rPr>
          <w:i/>
        </w:rPr>
        <w:t>Id</w:t>
      </w:r>
      <w:r w:rsidRPr="003C5CBB">
        <w:t xml:space="preserve">. at 1271. </w:t>
      </w:r>
      <w:r w:rsidRPr="003C5CBB">
        <w:rPr>
          <w:i/>
        </w:rPr>
        <w:t>See</w:t>
      </w:r>
      <w:r w:rsidRPr="003C5CBB">
        <w:t xml:space="preserve"> Midas Int’l Corp. v. Advanced Muffler of AV, Inc., 2012 WL 13419322, at * (C.D. Cal. Aug. 21, 2012) (denying default judgment on dilution claim “although Plaintiff alleges that it has spent millions advertising the Midas brand of automotive repair throughout the United States over the past several decades, and this brand has undoubtedly attained commercial success and favorable recognition”—finding this does not satisfy the standard of fame).</w:t>
      </w:r>
    </w:p>
  </w:footnote>
  <w:footnote w:id="360">
    <w:p w14:paraId="3611B304" w14:textId="1728BA55" w:rsidR="003C5CBB" w:rsidRPr="00517775" w:rsidRDefault="003C5CBB" w:rsidP="003C5CBB">
      <w:pPr>
        <w:pStyle w:val="FootnoteText"/>
      </w:pPr>
      <w:r w:rsidRPr="003C5CBB">
        <w:rPr>
          <w:vertAlign w:val="superscript"/>
        </w:rPr>
        <w:footnoteRef/>
      </w:r>
      <w:r w:rsidRPr="003C5CBB">
        <w:rPr>
          <w:i/>
        </w:rPr>
        <w:t>See</w:t>
      </w:r>
      <w:r w:rsidRPr="003C5CBB">
        <w:t xml:space="preserve"> Vaudable v. Montmartre, Inc., 20 Misc.2d 757, 193 N.Y.S.2d 332, 123 USPQ 357 (N.Y. Sup. Ct. 1959).</w:t>
      </w:r>
    </w:p>
  </w:footnote>
  <w:footnote w:id="361">
    <w:p w14:paraId="2CDD2B26" w14:textId="65ACD7AD" w:rsidR="003C5CBB" w:rsidRPr="00517775" w:rsidRDefault="003C5CBB" w:rsidP="003C5CBB">
      <w:pPr>
        <w:pStyle w:val="FootnoteText"/>
      </w:pPr>
      <w:r w:rsidRPr="003C5CBB">
        <w:rPr>
          <w:vertAlign w:val="superscript"/>
        </w:rPr>
        <w:footnoteRef/>
      </w:r>
      <w:r w:rsidRPr="003C5CBB">
        <w:t xml:space="preserve">Empresa Cubana del Tabaco v. Culbro Corp., 70 USPQ2d 1650, 1676–78, 1692 (S.D.N.Y. 2004) (Cohiba found famous under “famous marks” doctrine, but not famous under FTDA), </w:t>
      </w:r>
      <w:r w:rsidRPr="003C5CBB">
        <w:rPr>
          <w:i/>
        </w:rPr>
        <w:t>aff’d in part, rev’d in part on other grounds</w:t>
      </w:r>
      <w:r w:rsidRPr="003C5CBB">
        <w:t xml:space="preserve">, 399 F.3d 462, 73 USPQ2d 1936 (2d Cir. 2005) (court of appeals did not rule on famous marks issue), </w:t>
      </w:r>
      <w:r w:rsidRPr="003C5CBB">
        <w:rPr>
          <w:i/>
        </w:rPr>
        <w:t>cert</w:t>
      </w:r>
      <w:r w:rsidRPr="003C5CBB">
        <w:t xml:space="preserve">. </w:t>
      </w:r>
      <w:r w:rsidRPr="003C5CBB">
        <w:rPr>
          <w:i/>
        </w:rPr>
        <w:t>denied</w:t>
      </w:r>
      <w:r w:rsidRPr="003C5CBB">
        <w:t xml:space="preserve">, 547 U.S. 1205 (2006). For a discussion of this issue </w:t>
      </w:r>
      <w:r w:rsidRPr="003C5CBB">
        <w:t>in light of later precedent, see §III.C, above.</w:t>
      </w:r>
    </w:p>
  </w:footnote>
  <w:footnote w:id="362">
    <w:p w14:paraId="1A32B42E" w14:textId="223C6ED3"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NBBJ E. Ltd. P’ship v. NBBJ Training Acad., Inc., 201 F. Supp. 2d 800 (S.D. Ohio 2001); Pocono Int’l Raceway, Inc. v. Pocono Mountain Speedway, Inc., 171 F. Supp. 2d 427, 443–44 (M.D. Pa. 2001); Origins Natural Res., Inc. v. Kotler, 2001 WL 492429, at *4 (S.D.N.Y. May 7, 2001); Wilcom PTY, Ltd. v. Endless Visions, 128 F. Supp. 2d 1027, 1033 (E.D. Mich. 1998), </w:t>
      </w:r>
      <w:r w:rsidRPr="003C5CBB">
        <w:rPr>
          <w:i/>
        </w:rPr>
        <w:t>aff’d</w:t>
      </w:r>
      <w:r w:rsidRPr="003C5CBB">
        <w:t>, 229 F.3d 1155 (6th Cir. 2000).</w:t>
      </w:r>
    </w:p>
  </w:footnote>
  <w:footnote w:id="363">
    <w:p w14:paraId="4B4338F3" w14:textId="603C9CF6" w:rsidR="003C5CBB" w:rsidRPr="00517775" w:rsidRDefault="003C5CBB" w:rsidP="003C5CBB">
      <w:pPr>
        <w:pStyle w:val="FootnoteText"/>
      </w:pPr>
      <w:r w:rsidRPr="003C5CBB">
        <w:rPr>
          <w:vertAlign w:val="superscript"/>
        </w:rPr>
        <w:footnoteRef/>
      </w:r>
      <w:r w:rsidRPr="003C5CBB">
        <w:t>99 F. Supp. 2d 481, 55 USPQ2d 1088 (D.N.J. 2000).</w:t>
      </w:r>
    </w:p>
  </w:footnote>
  <w:footnote w:id="364">
    <w:p w14:paraId="0D4D1585" w14:textId="037461AF" w:rsidR="003C5CBB" w:rsidRPr="00517775" w:rsidRDefault="003C5CBB" w:rsidP="003C5CBB">
      <w:pPr>
        <w:pStyle w:val="FootnoteText"/>
      </w:pPr>
      <w:r w:rsidRPr="003C5CBB">
        <w:rPr>
          <w:vertAlign w:val="superscript"/>
        </w:rPr>
        <w:footnoteRef/>
      </w:r>
      <w:r w:rsidRPr="003C5CBB">
        <w:rPr>
          <w:i/>
        </w:rPr>
        <w:t>Id</w:t>
      </w:r>
      <w:r w:rsidRPr="003C5CBB">
        <w:t>. at 492.</w:t>
      </w:r>
    </w:p>
  </w:footnote>
  <w:footnote w:id="365">
    <w:p w14:paraId="760D0159" w14:textId="22D41F90" w:rsidR="003C5CBB" w:rsidRPr="00517775" w:rsidRDefault="003C5CBB" w:rsidP="003C5CBB">
      <w:pPr>
        <w:pStyle w:val="FootnoteText"/>
      </w:pPr>
      <w:r w:rsidRPr="003C5CBB">
        <w:rPr>
          <w:vertAlign w:val="superscript"/>
        </w:rPr>
        <w:footnoteRef/>
      </w:r>
      <w:r w:rsidRPr="003C5CBB">
        <w:rPr>
          <w:i/>
        </w:rPr>
        <w:t>Id</w:t>
      </w:r>
      <w:r w:rsidRPr="003C5CBB">
        <w:t>.</w:t>
      </w:r>
    </w:p>
  </w:footnote>
  <w:footnote w:id="366">
    <w:p w14:paraId="5B31BAE8" w14:textId="23A64164" w:rsidR="003C5CBB" w:rsidRPr="00517775" w:rsidRDefault="003C5CBB" w:rsidP="003C5CBB">
      <w:pPr>
        <w:pStyle w:val="FootnoteText"/>
      </w:pPr>
      <w:r w:rsidRPr="003C5CBB">
        <w:rPr>
          <w:vertAlign w:val="superscript"/>
        </w:rPr>
        <w:footnoteRef/>
      </w:r>
      <w:r w:rsidRPr="003C5CBB">
        <w:t xml:space="preserve">TCPIP Holding Co. v. Haar Commc’ns, Inc., 244 F.3d 88, 93–100, 57 USPQ2d 1969 (2d Cir. 2001); Advantage Rent-A-Car, Inc. v. Enterprise Rent-A-Car Co., 238 F.3d 378, 381, 57 USPQ2d 1561 (5th Cir. 2001); Westchester Media v. PRL USA Holdings, Inc., 214 F.3d 658, 670, 55 USPQ2d 1225 (5th Cir. 2000); Avery Dennison Corp. v. Sumpton, 189 F.3d 868, 875, 51 USPQ2d 1801 (9th Cir. 1999); Ringling Bros.-Barnum &amp; Bailey Combined Shows, Inc. v. Utah Div. of Travel Dev., 170 F.3d 449, 453, 50 USPQ2d 1065 (4th Cir.), </w:t>
      </w:r>
      <w:r w:rsidRPr="003C5CBB">
        <w:rPr>
          <w:i/>
        </w:rPr>
        <w:t>cert</w:t>
      </w:r>
      <w:r w:rsidRPr="003C5CBB">
        <w:t xml:space="preserve">. </w:t>
      </w:r>
      <w:r w:rsidRPr="003C5CBB">
        <w:rPr>
          <w:i/>
        </w:rPr>
        <w:t>denied</w:t>
      </w:r>
      <w:r w:rsidRPr="003C5CBB">
        <w:t>, 528 U.S. 923 (1999); I.P. Lund Trading ApS v. Kohler Co., 163 F.3d 27, 47, 49 USPQ2d 1225 (1st Cir. 1998).</w:t>
      </w:r>
    </w:p>
  </w:footnote>
  <w:footnote w:id="367">
    <w:p w14:paraId="7BD67933" w14:textId="66D04573" w:rsidR="003C5CBB" w:rsidRPr="00517775" w:rsidRDefault="003C5CBB" w:rsidP="003C5CBB">
      <w:pPr>
        <w:pStyle w:val="FootnoteText"/>
      </w:pPr>
      <w:r w:rsidRPr="003C5CBB">
        <w:rPr>
          <w:vertAlign w:val="superscript"/>
        </w:rPr>
        <w:footnoteRef/>
      </w:r>
      <w:r w:rsidRPr="003C5CBB">
        <w:t>The first post-TDRA factor incorporates previous factor (C), the second factor incorporates previous factors (B) and (D), and the fourth factor (registration) is identical to previous factor (H). The third factor (actual recognition) at least partially incorporates previous factor (F).</w:t>
      </w:r>
    </w:p>
  </w:footnote>
  <w:footnote w:id="368">
    <w:p w14:paraId="00806839" w14:textId="11A50518" w:rsidR="003C5CBB" w:rsidRPr="00517775" w:rsidRDefault="003C5CBB" w:rsidP="003C5CBB">
      <w:pPr>
        <w:pStyle w:val="FootnoteText"/>
      </w:pPr>
      <w:r w:rsidRPr="003C5CBB">
        <w:rPr>
          <w:vertAlign w:val="superscript"/>
        </w:rPr>
        <w:footnoteRef/>
      </w:r>
      <w:r w:rsidRPr="003C5CBB">
        <w:t>See §III.D.1, above.</w:t>
      </w:r>
    </w:p>
  </w:footnote>
  <w:footnote w:id="369">
    <w:p w14:paraId="17E4F30A" w14:textId="60DD141F" w:rsidR="003C5CBB" w:rsidRPr="00517775" w:rsidRDefault="003C5CBB" w:rsidP="003C5CBB">
      <w:pPr>
        <w:pStyle w:val="FootnoteText"/>
      </w:pPr>
      <w:r w:rsidRPr="003C5CBB">
        <w:rPr>
          <w:vertAlign w:val="superscript"/>
        </w:rPr>
        <w:footnoteRef/>
      </w:r>
      <w:r w:rsidRPr="003C5CBB">
        <w:rPr>
          <w:i/>
        </w:rPr>
        <w:t>Avery Dennison</w:t>
      </w:r>
      <w:r w:rsidRPr="003C5CBB">
        <w:t>, 189 F.3d at 878; Syndicate Sales, Inc. v. Hampshire Paper Corp., 2000 WL 1428665, at *17 (S.D. Ind. Aug. 30,</w:t>
      </w:r>
      <w:r w:rsidRPr="003C5CBB">
        <w:rPr>
          <w:b/>
        </w:rPr>
        <w:t xml:space="preserve"> </w:t>
      </w:r>
      <w:r w:rsidRPr="003C5CBB">
        <w:t xml:space="preserve">2000) (citing use of some of plaintiff’s basket designs by all competitors); Bunn-O-Matic Corp. v. Bunn Coffee Serv., Inc., 88 F. Supp. 2d 914, 925, 54 USPQ2d 1012 (C.D. Ill. 2000) (citing third-party use as a factor in determining that an issue of fact existed on whether the mark was famous); Hasbro, Inc. v. Clue Computing, Inc., 66 F. Supp. 2d 117, 131, 52 USPQ2d 1402 (D. Mass. 1999) (stating that third-party use is one of the two factors entitled to added consideration), </w:t>
      </w:r>
      <w:r w:rsidRPr="003C5CBB">
        <w:rPr>
          <w:i/>
        </w:rPr>
        <w:t>aff’d</w:t>
      </w:r>
      <w:r w:rsidRPr="003C5CBB">
        <w:t xml:space="preserve">, 232 F.3d 1, 56 USPQ2d 1766 (1st Cir. 2000); Conopco, Inc. v. Cosmair, Inc., 49 F. Supp. 2d 242, 258 (S.D.N.Y. 1999) (shape of perfume bottle used by others); PostX Corp. v. docSpace Co., 80 F. Supp. 2d 1056, 1060–61 (N.D. Cal. 1999); Hershey Foods Corp. v. Mars, Inc., 998 F. Supp. 500, 517 (M.D. Pa. 1998) (colors in trade dress); Sports Auth. v. Abercrombie &amp; Fitch, Inc., 965 F. Supp. 925, 937, 42 USPQ2d 1662 (E.D. Mich. 1997); Knaack Mfg. Co. v. Rally Accessories, Inc., 955 F. Supp. 991, 1003, 42 USPQ2d 1649 (N.D. Ill. 1997); Trustees of Columbia Univ. v. Columbia/HCA Healthcare Corp., 964 F. Supp. 733, 750, 43 USPQ2d 1083 (S.D.N.Y. 1997); Star Markets, Ltd. v. Texaco, Inc., 950 F. Supp. 1030, 1035–36 (D. Haw. 1996); Golden Bear Int’l, Inc. v. Bear U.S.A., Inc., 969 F. Supp. 742, 749, 42 USPQ2d 1283 (N.D. Ga. 1996); </w:t>
      </w:r>
      <w:r w:rsidRPr="003C5CBB">
        <w:rPr>
          <w:i/>
        </w:rPr>
        <w:t>see</w:t>
      </w:r>
      <w:r w:rsidRPr="003C5CBB">
        <w:t xml:space="preserve"> Jews for Jesus v. Brodsky, 993 F. Supp. 282, 306, 46 USPQ2d 1652 (D.N.J.) (lack of third-party use supports finding a fame), </w:t>
      </w:r>
      <w:r w:rsidRPr="003C5CBB">
        <w:rPr>
          <w:i/>
        </w:rPr>
        <w:t>aff’d mem</w:t>
      </w:r>
      <w:r w:rsidRPr="003C5CBB">
        <w:t xml:space="preserve">., 159 F.3d 1351 (3d Cir. 1998); American Express Co. v. CFK, Inc., 947 F. Supp. 310, 315, 41 USPQ2d 1756 (E.D. Mich. 1996) (citing lack of third-party use). </w:t>
      </w:r>
      <w:r w:rsidRPr="003C5CBB">
        <w:rPr>
          <w:i/>
        </w:rPr>
        <w:t>But cf</w:t>
      </w:r>
      <w:r w:rsidRPr="003C5CBB">
        <w:t>. Kraft Foods Holdings, Inc. v. Helm, 205 F. Supp. 2d 942, 946–47, 63 USPQ2d 1353 (N.D. Ill. 2002) (fact that Velveeta may be used to denote spam emails on the Internet does not detract from its general fame as a mark); Navistar Int’l Transp. Corp. v. Freightliner Corp., 49 USPQ2d 1116, 1119 (N.D. Ill. 1998) (third-party use alone does not necessarily preclude a finding of fame).</w:t>
      </w:r>
    </w:p>
  </w:footnote>
  <w:footnote w:id="370">
    <w:p w14:paraId="535DA7B6" w14:textId="49C9C277" w:rsidR="003C5CBB" w:rsidRPr="00517775" w:rsidRDefault="003C5CBB" w:rsidP="003C5CBB">
      <w:pPr>
        <w:pStyle w:val="FootnoteText"/>
      </w:pPr>
      <w:r w:rsidRPr="003C5CBB">
        <w:rPr>
          <w:vertAlign w:val="superscript"/>
        </w:rPr>
        <w:footnoteRef/>
      </w:r>
      <w:r w:rsidRPr="003C5CBB">
        <w:rPr>
          <w:i/>
        </w:rPr>
        <w:t>Hasbro</w:t>
      </w:r>
      <w:r w:rsidRPr="003C5CBB">
        <w:t>,</w:t>
      </w:r>
      <w:r w:rsidRPr="003C5CBB">
        <w:rPr>
          <w:i/>
        </w:rPr>
        <w:t xml:space="preserve"> Inc</w:t>
      </w:r>
      <w:r w:rsidRPr="003C5CBB">
        <w:t>., 66 F. Supp. 2d at 131.</w:t>
      </w:r>
    </w:p>
  </w:footnote>
  <w:footnote w:id="371">
    <w:p w14:paraId="37AF3FC7" w14:textId="7AFE422B" w:rsidR="003C5CBB" w:rsidRPr="00517775"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w:t>
      </w:r>
      <w:r w:rsidRPr="003C5CBB">
        <w:rPr>
          <w:i/>
        </w:rPr>
        <w:t xml:space="preserve"> Advantage Rent-A-Car</w:t>
      </w:r>
      <w:r w:rsidRPr="003C5CBB">
        <w:t xml:space="preserve">, 238 F.3d at 381 (citing the “common descriptive words” used in the slogan); Golden W. Fin. v. WMA Mortgage Servs., 2003 WL 1343019, at *8 (N.D. Cal. Mar. 12, 2003) (World not famous, either generally or in the area of financial or mortgage services), </w:t>
      </w:r>
      <w:r w:rsidRPr="003C5CBB">
        <w:rPr>
          <w:i/>
        </w:rPr>
        <w:t>vacated</w:t>
      </w:r>
      <w:r w:rsidRPr="003C5CBB">
        <w:t xml:space="preserve">, 2003 U.S. Dist. LEXIS 25727 (June 19, 2003); Cello Holdings LLC v. Lawrence-Dahl Co., 89 F. Supp. 2d 464, 473, 54 USPQ2d 1645 (S.D.N.Y. 2000); </w:t>
      </w:r>
      <w:r w:rsidRPr="003C5CBB">
        <w:rPr>
          <w:i/>
        </w:rPr>
        <w:t>Hasbro, Inc</w:t>
      </w:r>
      <w:r w:rsidRPr="003C5CBB">
        <w:t xml:space="preserve">., 66 F. Supp. 2d at 131–32 (Clue mark); </w:t>
      </w:r>
      <w:r w:rsidRPr="003C5CBB">
        <w:rPr>
          <w:i/>
        </w:rPr>
        <w:t>Sports Auth</w:t>
      </w:r>
      <w:r w:rsidRPr="003C5CBB">
        <w:t xml:space="preserve">., 965 F. Supp. at 941 (Authority marks); </w:t>
      </w:r>
      <w:r w:rsidRPr="003C5CBB">
        <w:rPr>
          <w:i/>
        </w:rPr>
        <w:t>see also</w:t>
      </w:r>
      <w:r w:rsidRPr="003C5CBB">
        <w:t xml:space="preserve"> Duluth News-Tribune v. Mesabi Publ’g Co., 84 F.3d 1093, 1100, 38 USPQ2d 1937 (8th Cir. 1996) (Minnesota law).</w:t>
      </w:r>
    </w:p>
  </w:footnote>
  <w:footnote w:id="372">
    <w:p w14:paraId="2B74D91F" w14:textId="5A726E91" w:rsidR="003C5CBB" w:rsidRPr="00517775" w:rsidRDefault="003C5CBB" w:rsidP="003C5CBB">
      <w:pPr>
        <w:pStyle w:val="FootnoteText"/>
      </w:pPr>
      <w:r w:rsidRPr="003C5CBB">
        <w:rPr>
          <w:vertAlign w:val="superscript"/>
        </w:rPr>
        <w:footnoteRef/>
      </w:r>
      <w:r w:rsidRPr="003C5CBB">
        <w:t xml:space="preserve">Federation Internationale de Football Ass’n v. Nike, Inc., 285 F. Supp. 2d 64, 71 n.5, 68 USPQ2d 1849 (D.D.C. 2003) (use of only a few months); GTFM, Inc. v. Solid Clothing, Inc., 215 F. Supp. 2d 273, 301 (S.D.N.Y. 2002) (citing “less than a decade” of use); Lane Capital Mgmt., Inc. v. Lane Capital Mgmt., Inc., 15 F. Supp. 2d 389, 400 (S.D.N.Y. 1998), </w:t>
      </w:r>
      <w:r w:rsidRPr="003C5CBB">
        <w:rPr>
          <w:i/>
        </w:rPr>
        <w:t>aff’d</w:t>
      </w:r>
      <w:r w:rsidRPr="003C5CBB">
        <w:t xml:space="preserve">, 192 F.3d 337, 52 USPQ2d 1094 (2d Cir. 1999); S Indus., Inc. v. Diamond Multimedia Sys., Inc., 991 F. Supp. 1012, 1022, 45 USPQ2d 1705 (N.D. Ill. 1998); Appleseed Found., Inc. v. Appleseed Inst., Inc., 981 F. Supp. 672, 677, 43 USPQ2d 1767 (D.D.C. 1997); </w:t>
      </w:r>
      <w:r w:rsidRPr="003C5CBB">
        <w:rPr>
          <w:i/>
        </w:rPr>
        <w:t>cf</w:t>
      </w:r>
      <w:r w:rsidRPr="003C5CBB">
        <w:t>. Columbia Pictures Indus. v. Screen Gems Film Co., 2001 WL 1254838 (S.D.N.Y. Oct. 17, 2001) (Screen Gems not famous, though used since 1948).</w:t>
      </w:r>
    </w:p>
  </w:footnote>
  <w:footnote w:id="373">
    <w:p w14:paraId="5A1C4929" w14:textId="7308A184" w:rsidR="003C5CBB" w:rsidRPr="00364E32" w:rsidRDefault="003C5CBB" w:rsidP="003C5CBB">
      <w:pPr>
        <w:pStyle w:val="FootnoteText"/>
      </w:pPr>
      <w:r w:rsidRPr="003C5CBB">
        <w:rPr>
          <w:rStyle w:val="FootnoteReference"/>
          <w:rFonts w:eastAsiaTheme="majorEastAsia"/>
        </w:rPr>
        <w:footnoteRef/>
      </w:r>
      <w:r w:rsidRPr="003C5CBB">
        <w:rPr>
          <w:i/>
        </w:rPr>
        <w:t>E.g.</w:t>
      </w:r>
      <w:r w:rsidRPr="003C5CBB">
        <w:t>, Medical Depot, Inc. v. Med Way US, Inc., 774 F. Supp. 3d 554, 2025 WL 948334, at *13, 2025 BL 104880 (E.D.N.Y. Mar. 28, 2025) (granting summary judgment).</w:t>
      </w:r>
    </w:p>
  </w:footnote>
  <w:footnote w:id="374">
    <w:p w14:paraId="52E98DA3" w14:textId="21A3ADB1" w:rsidR="003C5CBB" w:rsidRPr="00517775" w:rsidRDefault="003C5CBB" w:rsidP="003C5CBB">
      <w:pPr>
        <w:pStyle w:val="FootnoteText"/>
      </w:pPr>
      <w:r w:rsidRPr="003C5CBB">
        <w:rPr>
          <w:vertAlign w:val="superscript"/>
        </w:rPr>
        <w:footnoteRef/>
      </w:r>
      <w:r w:rsidRPr="003C5CBB">
        <w:t xml:space="preserve">Best Cellars, Inc. v. Wine Made Simple, Inc., 2003 WL 1212815, at *18 (S.D.N.Y. Mar. 11, 2003) (market geographically limited to New York, Boston, and Seattle); Friesland Brands, B.V. v. Vietnam Nat’l Milk Co., 228 F. Supp. 2d 399, 413 (S.D.N.Y. 2002) (noting that plaintiff’s U.S. sales “never exceeded $5 million annually”); Prime Publishers, Inc. v. American Republican, 160 F. Supp. 2d 266, 277–78 (D. Conn. 2001); Best Cellars, Inc. v. Grape Finds at DuPont, Inc., 90 F. Supp. 2d 431, 459, 54 USPQ2d 1594 (S.D.N.Y. 2000); </w:t>
      </w:r>
      <w:r w:rsidRPr="003C5CBB">
        <w:rPr>
          <w:i/>
        </w:rPr>
        <w:t>Cello Holdings</w:t>
      </w:r>
      <w:r w:rsidRPr="003C5CBB">
        <w:t xml:space="preserve">, 89 F. Supp. 2d at 473; CIT Grp. v. Citicorp, 20 F. Supp. 2d 775, 794 (D.N.J. 1998); King of the Mountain Sports, Inc. v. Chrysler Corp., 968 F. Supp. 568, 578 (D. Colo. 1997), </w:t>
      </w:r>
      <w:r w:rsidRPr="003C5CBB">
        <w:rPr>
          <w:i/>
        </w:rPr>
        <w:t>aff’d</w:t>
      </w:r>
      <w:r w:rsidRPr="003C5CBB">
        <w:t xml:space="preserve">, 185 F.3d 1084, 51 USPQ2d 1349 (10th Cir. 1999); </w:t>
      </w:r>
      <w:r w:rsidRPr="003C5CBB">
        <w:rPr>
          <w:i/>
        </w:rPr>
        <w:t>Star Markets, Ltd</w:t>
      </w:r>
      <w:r w:rsidRPr="003C5CBB">
        <w:t xml:space="preserve">., 950 F. Supp. at 1034–35; </w:t>
      </w:r>
      <w:r w:rsidRPr="003C5CBB">
        <w:rPr>
          <w:i/>
        </w:rPr>
        <w:t xml:space="preserve">see </w:t>
      </w:r>
      <w:r w:rsidRPr="003C5CBB">
        <w:t xml:space="preserve">TCPIP Holding Co. v. Haar Commc’ns, Inc., 244 F.3d 88, 96, 57 USPQ2d 1969 (2d Cir. 2001) (expressing skepticism that small-market marks can be famous); </w:t>
      </w:r>
      <w:r w:rsidRPr="003C5CBB">
        <w:rPr>
          <w:i/>
        </w:rPr>
        <w:t>Conopco, Inc</w:t>
      </w:r>
      <w:r w:rsidRPr="003C5CBB">
        <w:t>., 49 F. Supp. 2d at 258 (citing small sales of perfumes in this shape of bottle); Something Old, Something New, Inc. v. QVC, Inc., 53 USPQ2d 1715, 1723 (S.D.N.Y. 1999) (citing “moderate scale of plaintiff’s operations”); Toro Co. v. ToroHead, Inc., 61 USPQ2d 1164, 1179–80 (T.T.A.B. 2001) (noting that the mark was not well known outside its product area). The issue of fame in a “niche market” produced a split in the courts prior to the TDRA. The TDRA eliminated niche fame as a possibility. See §V, below.</w:t>
      </w:r>
    </w:p>
  </w:footnote>
  <w:footnote w:id="375">
    <w:p w14:paraId="5133637B" w14:textId="1C59D815" w:rsidR="003C5CBB" w:rsidRPr="00517775" w:rsidRDefault="003C5CBB" w:rsidP="003C5CBB">
      <w:pPr>
        <w:pStyle w:val="FootnoteText"/>
      </w:pPr>
      <w:r w:rsidRPr="003C5CBB">
        <w:rPr>
          <w:vertAlign w:val="superscript"/>
        </w:rPr>
        <w:footnoteRef/>
      </w:r>
      <w:r w:rsidRPr="003C5CBB">
        <w:rPr>
          <w:i/>
        </w:rPr>
        <w:t>Avery Dennison</w:t>
      </w:r>
      <w:r w:rsidRPr="003C5CBB">
        <w:t xml:space="preserve">, 189 F.3d at 879 (criticizing plaintiff’s surveys but saying proper ones would be “highly relevant”); I.P. Lund Trading ApS v. Kohler Co., 163 F.3d 27, 47, 49 USPQ2d 1225 (1st Cir. 1998) (citing lack of consumer surveys); </w:t>
      </w:r>
      <w:r w:rsidRPr="003C5CBB">
        <w:rPr>
          <w:i/>
        </w:rPr>
        <w:t>Best Cellars</w:t>
      </w:r>
      <w:r w:rsidRPr="003C5CBB">
        <w:t xml:space="preserve">, 2003 WL 1212815, at *18 (citing lack of any evidence such as consumer studies); Omega S.A. v. Omega Eng’g, Inc., 228 F. Supp. 2d 112, 125 (D. Conn. 2002) (in a case under the Anticybersquatting Consumer Protection Act (ACPA), 15 U.S.C. §1125(d), finding issue of fact on fame, citing lack of evidence as to degree of recognition in the two parties’ channels of trade); Columbia Pictures Indus. v. Screen Gems Film Co., 2001 WL 1254838, at *8 (S.D.N.Y. Oct. 17, 2001) (citing lack of evidence that mark was “readily recognized by a typical consumer”); Trade Media Holdings, Ltd. v. Huang &amp; Assocs., 123 F. Supp. 2d 233, 243, 57 USPQ2d 1366 (D.N.J. 2000) (assertions in attorney’s brief not sufficient; actual evidence required); BigStar Entm’t, Inc. v. Next Big Star Inc., 105 F. Supp. 2d 185, 54 USPQ2d 1685, 1709 (S.D.N.Y. 2000); </w:t>
      </w:r>
      <w:r w:rsidRPr="003C5CBB">
        <w:rPr>
          <w:i/>
        </w:rPr>
        <w:t>Best Cellars</w:t>
      </w:r>
      <w:r w:rsidRPr="003C5CBB">
        <w:t xml:space="preserve">, 90 F. Supp. 2d at 459; Alltel Corp. v. Actel Integrated Commc’ns, Inc., 42 F. Supp. 2d 1265, 1273, 50 USPQ2d 1508 (S.D. Ala. 1999) (citing lack of evidence to support the fame factors, including “the degree of recognition of the mark”); </w:t>
      </w:r>
      <w:r w:rsidRPr="003C5CBB">
        <w:rPr>
          <w:i/>
        </w:rPr>
        <w:t>CIT Group</w:t>
      </w:r>
      <w:r w:rsidRPr="003C5CBB">
        <w:t xml:space="preserve">, 20 F. Supp. 2d at 794 (surveys showed little renown among consumers); </w:t>
      </w:r>
      <w:r w:rsidRPr="003C5CBB">
        <w:rPr>
          <w:i/>
        </w:rPr>
        <w:t>Lane Capital Mgmt</w:t>
      </w:r>
      <w:r w:rsidRPr="003C5CBB">
        <w:t xml:space="preserve">., 15 F. Supp. 2d at 400 (no evidence of “consumer awareness or identification of the mark” with plaintiff); </w:t>
      </w:r>
      <w:r w:rsidRPr="003C5CBB">
        <w:rPr>
          <w:i/>
        </w:rPr>
        <w:t>Knaack Mfg</w:t>
      </w:r>
      <w:r w:rsidRPr="003C5CBB">
        <w:t xml:space="preserve">. </w:t>
      </w:r>
      <w:r w:rsidRPr="003C5CBB">
        <w:rPr>
          <w:i/>
        </w:rPr>
        <w:t>Co</w:t>
      </w:r>
      <w:r w:rsidRPr="003C5CBB">
        <w:t xml:space="preserve">., 955 F. Supp. at 1002; Petro Shopping Ctr., LP v. James River Petroleum, 41 USPQ2d 1853, 1856 (E.D. Va.) (“Plaintiff has not proved that its mark is so inherently distinctive that it functions as a source indicator in the absence of secondary meaning.”), </w:t>
      </w:r>
      <w:r w:rsidRPr="003C5CBB">
        <w:rPr>
          <w:i/>
        </w:rPr>
        <w:t>aff’d</w:t>
      </w:r>
      <w:r w:rsidRPr="003C5CBB">
        <w:t xml:space="preserve">, 130 F.3d 88, 44 USPQ2d 1921 (4th Cir. 1997), </w:t>
      </w:r>
      <w:r w:rsidRPr="003C5CBB">
        <w:rPr>
          <w:i/>
        </w:rPr>
        <w:t>cert</w:t>
      </w:r>
      <w:r w:rsidRPr="003C5CBB">
        <w:t xml:space="preserve">. </w:t>
      </w:r>
      <w:r w:rsidRPr="003C5CBB">
        <w:rPr>
          <w:i/>
        </w:rPr>
        <w:t>denied</w:t>
      </w:r>
      <w:r w:rsidRPr="003C5CBB">
        <w:t xml:space="preserve">, 523 U.S. 1095 (1998); </w:t>
      </w:r>
      <w:r w:rsidRPr="003C5CBB">
        <w:rPr>
          <w:i/>
        </w:rPr>
        <w:t>see</w:t>
      </w:r>
      <w:r w:rsidRPr="003C5CBB">
        <w:t xml:space="preserve"> Maxnet Holdings, Inc. v. Maxnet, Inc., 2000 WL 714664, at *11 (E.D. Pa. May 31, 2000) (“Plaintiff puts forth no evidence that its federally registered mark is ‘famous’ … .”); Syndicate Sales, Inc. v. Hampshire Paper Corp., 2000 WL 1428665, at *13 (S.D. Ind. Aug. 30,</w:t>
      </w:r>
      <w:r w:rsidRPr="003C5CBB">
        <w:rPr>
          <w:b/>
        </w:rPr>
        <w:t xml:space="preserve"> </w:t>
      </w:r>
      <w:r w:rsidRPr="003C5CBB">
        <w:t>2000) (affidavits did not show relevant buyers uniquely identified basket design with plaintiff); Carnival Corp. v. SeaEscape Casino Cruises, Inc., 74 F. Supp. 2d 1261, 1270, 52 USPQ2d 1920 (S.D. Fla. 1999) (plaintiff’s surveys did not “represent the general public”).</w:t>
      </w:r>
    </w:p>
  </w:footnote>
  <w:footnote w:id="376">
    <w:p w14:paraId="02FDFA03" w14:textId="5AC3B49F"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Gateway, Inc. v. Companion Prods., Inc., 68 USPQ2d 1407, 1423 (D.S.D. 2003) (more than 10 years’ use and large advertising expenditures), </w:t>
      </w:r>
      <w:r w:rsidRPr="003C5CBB">
        <w:rPr>
          <w:i/>
        </w:rPr>
        <w:t>aff’d</w:t>
      </w:r>
      <w:r w:rsidRPr="003C5CBB">
        <w:t xml:space="preserve">, 384 F.3d 503, 72 USPQ2d 1591 (8th Cir. 2004); Kraft Foods Holdings, Inc. v. Helm, 205 F. Supp. 2d 942, 946, 63 USPQ2d 1353 (N.D. Ill. 2002) (citing large advertising expenditures); Big Boy Rests. v. Cadillac Coffee Co., 238 F. Supp. 2d 866, 870 (E.D. Mich. 2002) (citing large advertising expenditures and asserting, without citation of facts, that the mark was well known nationally and internationally); Pocono Int’l Raceway, Inc. v. Pocono Mountain Speedway, Inc., 171 F. Supp. 2d 427, 444 (M.D. Pa. 2001) (advertising and use for many years); Cartier, Inc. v. Deziner Wholesale, LLC, 55 USPQ2d 1131, 1136 (S.D.N.Y. 2000) (citing, inter alia, long use); Eli Lilly &amp; Co. v. Natural Answers, Inc., 86 F. Supp. 2d 834, 837–38 (S.D. Ind.), </w:t>
      </w:r>
      <w:r w:rsidRPr="003C5CBB">
        <w:rPr>
          <w:i/>
        </w:rPr>
        <w:t>aff’d</w:t>
      </w:r>
      <w:r w:rsidRPr="003C5CBB">
        <w:t xml:space="preserve">, 233 F.3d 456, 56 USPQ2d 1942 (7th Cir. 2000); Deborah Heart &amp; Lung Ctr. v. Children of the World Found., Ltd., 99 F. Supp. 2d 481, 492, 55 USPQ2d 1088 (D.N.J. 2000) (long use cited as positive factor); McNeil Consumer Brands, Inc. v. U.S. Dentek Corp., 116 F. Supp. 2d 604, 607, 56 USPQ2d 1758 (E.D. Pa. 2000) (long use, large volume of advertising); New York State Soc’y of Certified Pub. Accountants v. Eric Louis Assocs., Inc., 79 F. Supp. 2d 331, 344 (S.D.N.Y. 1999) (advertising); NBA Properties v. Untertainment Records LLC, 1999 WL 335147, at *7 (S.D.N.Y. May 26, 1999); Times Mirror Magazines, Inc. v. Las Vegas Sports News, LLC, 50 USPQ2d 1454, 1458 (E.D. Pa. 1999), </w:t>
      </w:r>
      <w:r w:rsidRPr="003C5CBB">
        <w:rPr>
          <w:i/>
        </w:rPr>
        <w:t>aff’d</w:t>
      </w:r>
      <w:r w:rsidRPr="003C5CBB">
        <w:t xml:space="preserve">, 212 F.3d 157, 54 USPQ2d 1577 (3d Cir. 2000), </w:t>
      </w:r>
      <w:r w:rsidRPr="003C5CBB">
        <w:rPr>
          <w:i/>
        </w:rPr>
        <w:t>cert</w:t>
      </w:r>
      <w:r w:rsidRPr="003C5CBB">
        <w:t xml:space="preserve">. </w:t>
      </w:r>
      <w:r w:rsidRPr="003C5CBB">
        <w:rPr>
          <w:i/>
        </w:rPr>
        <w:t>denied</w:t>
      </w:r>
      <w:r w:rsidRPr="003C5CBB">
        <w:t xml:space="preserve">, 531 U.S. 1071 (2001); Nabisco, Inc. v. PF Brands, Inc., 50 F. Supp. 2d 188, 204 (S.D.N.Y.) (court conducted a thorough analysis), </w:t>
      </w:r>
      <w:r w:rsidRPr="003C5CBB">
        <w:rPr>
          <w:i/>
        </w:rPr>
        <w:t>aff’d</w:t>
      </w:r>
      <w:r w:rsidRPr="003C5CBB">
        <w:t xml:space="preserve">, 191 F.3d 208, 51 USPQ2d 1882 (2d Cir. 1999); USX Corp. v. U.S. Steel, Inc., 52 USPQ2d 1532, 1533 (D. Kan. 1999); Hotmail Corp. v. Van$Money Pie, Inc., 47 USPQ2d 1020, 1024 (N.D. Cal. 1998) (advertising); Wilcom PTY, Ltd. v. Endless Visions, 128 F. Supp. 2d 1027, 1033 (E.D. Mich. 1998) (advertising and duration of use), </w:t>
      </w:r>
      <w:r w:rsidRPr="003C5CBB">
        <w:rPr>
          <w:i/>
        </w:rPr>
        <w:t>aff’d</w:t>
      </w:r>
      <w:r w:rsidRPr="003C5CBB">
        <w:t xml:space="preserve">, 229 F.3d 1155 (6th Cir. 2000); </w:t>
      </w:r>
      <w:r w:rsidRPr="003C5CBB">
        <w:rPr>
          <w:i/>
        </w:rPr>
        <w:t>Avery Dennison</w:t>
      </w:r>
      <w:r w:rsidRPr="003C5CBB">
        <w:t xml:space="preserve">, 999 F. Supp. at 1339 (C.D. Cal. 1998), </w:t>
      </w:r>
      <w:r w:rsidRPr="003C5CBB">
        <w:rPr>
          <w:i/>
        </w:rPr>
        <w:t>rev’d</w:t>
      </w:r>
      <w:r w:rsidRPr="003C5CBB">
        <w:t xml:space="preserve">, 189 F.3d 868, 876, 51 USPQ2d 1801 (9th Cir. 1999); Playboy Enters., Inc. v. Universal Tel-A-Talk, Inc., 1998 WL 767440, at *2 (E.D. Pa. Nov. 2, 1998); Johnson Publ’g Co., Inc. v. Willitts Designs Int’l, Inc., 1998 WL 341618 (N.D. Ill. June 19, 1998); Jews for Jesus v. Brodsky, 993 F. Supp. 282, 306, 46 USPQ2d 1652 (D.N.J.), </w:t>
      </w:r>
      <w:r w:rsidRPr="003C5CBB">
        <w:rPr>
          <w:i/>
        </w:rPr>
        <w:t>aff’d mem</w:t>
      </w:r>
      <w:r w:rsidRPr="003C5CBB">
        <w:t xml:space="preserve">. 159 F.3d 1351 (3d Cir. 1998); Ringling Bros.-Barnum &amp; Bailey Combined Shows, Inc. v. Utah Div. of Travel Dev., 955 F. Supp. 605, 610 (E.D. Va. 1997), </w:t>
      </w:r>
      <w:r w:rsidRPr="003C5CBB">
        <w:rPr>
          <w:i/>
        </w:rPr>
        <w:t>aff’d</w:t>
      </w:r>
      <w:r w:rsidRPr="003C5CBB">
        <w:t xml:space="preserve">, 170 F.3d 449, 50 USPQ2d 1065 (4th Cir.), </w:t>
      </w:r>
      <w:r w:rsidRPr="003C5CBB">
        <w:rPr>
          <w:i/>
        </w:rPr>
        <w:t>cert</w:t>
      </w:r>
      <w:r w:rsidRPr="003C5CBB">
        <w:t xml:space="preserve">. </w:t>
      </w:r>
      <w:r w:rsidRPr="003C5CBB">
        <w:rPr>
          <w:i/>
        </w:rPr>
        <w:t>denied</w:t>
      </w:r>
      <w:r w:rsidRPr="003C5CBB">
        <w:t xml:space="preserve">, 528 U.S. 923 (1999); Toys “R” Us, Inc. v. Abir, 45 USPQ2d 1944, 1945, 1948 (S.D.N.Y. 1997); Lozano Enters. v. La Opinion Publ’g Co., 44 USPQ2d 1764, 1768 (C.D. Cal. 1997); TeleTech Customer Care Mgmt. (Cal.), Inc. v. Tele-Tech Co., 977 F. Supp. 1407, 1411, 42 USPQ2d 1913 (C.D. Cal. 1997) (advertising); Augusta Nat’l Inc. v. Sir Christopher Hatton, Inc., 41 USPQ2d 1846 (N.D. Ga. 1996); Levi Strauss &amp; Co. v. San Francisco 415 Co., 1996 WL 724786, at *1 (N.D. Cal. Dec. 6, 1996); Toys “R” Us, Inc. v. Akkaoui, 40 USPQ2d 1836, 1838 (N.D. Cal. 1996); American Express Co. v. CFK, Inc., 947 F. Supp. 310, 315, 41 USPQ2d 1756 (E.D. Mich. 1996); Wawa, Inc. v. Haaf, 40 USPQ2d 1629, 1631 (E.D. Pa. 1996); Panavision Int’l v. Toeppen, 945 F. Supp. 1296, 1303, 46 USPQ2d 1511 (C.D. Cal. 1996) (citing advertising as factor), </w:t>
      </w:r>
      <w:r w:rsidRPr="003C5CBB">
        <w:rPr>
          <w:i/>
        </w:rPr>
        <w:t>aff’d</w:t>
      </w:r>
      <w:r w:rsidRPr="003C5CBB">
        <w:t xml:space="preserve">, 141 F.3d 1316 (9th Cir. 1998). </w:t>
      </w:r>
      <w:r w:rsidRPr="003C5CBB">
        <w:rPr>
          <w:i/>
        </w:rPr>
        <w:t>But see</w:t>
      </w:r>
      <w:r w:rsidRPr="003C5CBB">
        <w:t xml:space="preserve"> Columbia Pictures Indus. v. Screen Gems Film Co., 2001 WL 1254838 (S.D.N.Y. Oct. 17, 2001) (Screen Gems not famous despite use since 1948); Toro Co. v. ToroHead, Inc., 61 USPQ2d 1164, 1179–80 (T.T.A.B. 2001) (Toro mark not famous despite extensive advertising).</w:t>
      </w:r>
    </w:p>
  </w:footnote>
  <w:footnote w:id="377">
    <w:p w14:paraId="2F9B7A5B" w14:textId="6815C6B9" w:rsidR="003C5CBB" w:rsidRPr="00517775" w:rsidRDefault="003C5CBB" w:rsidP="003C5CBB">
      <w:pPr>
        <w:pStyle w:val="FootnoteText"/>
      </w:pPr>
      <w:r w:rsidRPr="003C5CBB">
        <w:rPr>
          <w:vertAlign w:val="superscript"/>
        </w:rPr>
        <w:footnoteRef/>
      </w:r>
      <w:r w:rsidRPr="003C5CBB">
        <w:t xml:space="preserve">Kraft Foods Holdings, Inc. v. Helm, 205 F. Supp. 2d 942, 946, 63 USPQ2d 1353 (N.D. Ill. 2002); McNeil Consumer Brands, Inc. v. U.S. Dentek Corp., 116 F. Supp. 2d 604, 607, 56 USPQ2d 1758 (E.D. Pa. 2000) (sales “exceeding $1 billion”); Shields v. Zuccarini, 89 F. Supp. 2d 634, 639, 54 USPQ2d 1166 (E.D. Pa. 2000), </w:t>
      </w:r>
      <w:r w:rsidRPr="003C5CBB">
        <w:rPr>
          <w:i/>
        </w:rPr>
        <w:t>aff’d</w:t>
      </w:r>
      <w:r w:rsidRPr="003C5CBB">
        <w:t xml:space="preserve">, 254 F.3d 476, 59 USPQ2d 1207 (3d Cir. 2001); </w:t>
      </w:r>
      <w:r w:rsidRPr="003C5CBB">
        <w:rPr>
          <w:i/>
        </w:rPr>
        <w:t>Eli Lilly</w:t>
      </w:r>
      <w:r w:rsidRPr="003C5CBB">
        <w:t xml:space="preserve">, 86 F. Supp. 2d at 837–38; </w:t>
      </w:r>
      <w:r w:rsidRPr="003C5CBB">
        <w:rPr>
          <w:i/>
        </w:rPr>
        <w:t>Nabisco</w:t>
      </w:r>
      <w:r w:rsidRPr="003C5CBB">
        <w:t xml:space="preserve">, 50 F. Supp. 2d at 204; </w:t>
      </w:r>
      <w:r w:rsidRPr="003C5CBB">
        <w:rPr>
          <w:i/>
        </w:rPr>
        <w:t>New York State Soc’y of Certified Pub</w:t>
      </w:r>
      <w:r w:rsidRPr="003C5CBB">
        <w:t xml:space="preserve">. </w:t>
      </w:r>
      <w:r w:rsidRPr="003C5CBB">
        <w:rPr>
          <w:i/>
        </w:rPr>
        <w:t>Accountants</w:t>
      </w:r>
      <w:r w:rsidRPr="003C5CBB">
        <w:t xml:space="preserve">, 79 F. Supp. 2d at 344 (society has over 30,000 members); USX Corp. v. U.S. Steel Inc., 52 USPQ2d 1532, 1533 (D. Kan. 1999); Gideons Int’l, Inc. v. Gideons 300 Ministries, Inc., 94 F. Supp. 2d 566, 573 (E.D. Pa. 1999); Johnson Publ’g Co., Inc. v. Willitts Designs Int’l, Inc., 1998 WL 341618, at *7 (N.D. Ill. June 19, 1998); </w:t>
      </w:r>
      <w:r w:rsidRPr="003C5CBB">
        <w:rPr>
          <w:i/>
        </w:rPr>
        <w:t>Playboy Enters</w:t>
      </w:r>
      <w:r w:rsidRPr="003C5CBB">
        <w:t xml:space="preserve">., 1998 WL 767440; Nailtiques Cosmetic Corp. v. Salon Scis. Corp., 41 USPQ2d 1995, 1998 (S.D. Fla. 1997); </w:t>
      </w:r>
      <w:r w:rsidRPr="003C5CBB">
        <w:rPr>
          <w:i/>
        </w:rPr>
        <w:t>Lozano Enters</w:t>
      </w:r>
      <w:r w:rsidRPr="003C5CBB">
        <w:t xml:space="preserve">., 44 USPQ2d </w:t>
      </w:r>
      <w:r w:rsidRPr="003C5CBB">
        <w:t xml:space="preserve">at 1768; </w:t>
      </w:r>
      <w:r w:rsidRPr="003C5CBB">
        <w:rPr>
          <w:i/>
        </w:rPr>
        <w:t>TeleTech Customer Care</w:t>
      </w:r>
      <w:r w:rsidRPr="003C5CBB">
        <w:t xml:space="preserve">, 977 F. Supp. at 1413; </w:t>
      </w:r>
      <w:r w:rsidRPr="003C5CBB">
        <w:rPr>
          <w:i/>
        </w:rPr>
        <w:t>Levi Strauss</w:t>
      </w:r>
      <w:r w:rsidRPr="003C5CBB">
        <w:t xml:space="preserve">, 1996 WL 724786, at *1; </w:t>
      </w:r>
      <w:r w:rsidRPr="003C5CBB">
        <w:rPr>
          <w:i/>
        </w:rPr>
        <w:t>Panavision Int’l</w:t>
      </w:r>
      <w:r w:rsidRPr="003C5CBB">
        <w:t xml:space="preserve">, 945 F. Supp. at 1303. </w:t>
      </w:r>
      <w:r w:rsidRPr="003C5CBB">
        <w:rPr>
          <w:i/>
        </w:rPr>
        <w:t>Avlon Indus</w:t>
      </w:r>
      <w:r w:rsidRPr="003C5CBB">
        <w:t xml:space="preserve">. </w:t>
      </w:r>
      <w:r w:rsidRPr="003C5CBB">
        <w:rPr>
          <w:i/>
        </w:rPr>
        <w:t>v</w:t>
      </w:r>
      <w:r w:rsidRPr="003C5CBB">
        <w:t xml:space="preserve">. </w:t>
      </w:r>
      <w:r w:rsidRPr="003C5CBB">
        <w:rPr>
          <w:i/>
        </w:rPr>
        <w:t>Robinson</w:t>
      </w:r>
      <w:r w:rsidRPr="003C5CBB">
        <w:t xml:space="preserve">, 2005 WL 331561 (N.D. Ill. Feb. 8, 2005), was unusual in that the court looked at the volume of sales of both the plaintiff </w:t>
      </w:r>
      <w:r w:rsidRPr="003C5CBB">
        <w:rPr>
          <w:i/>
        </w:rPr>
        <w:t>and</w:t>
      </w:r>
      <w:r w:rsidRPr="003C5CBB">
        <w:t xml:space="preserve"> the defendant. This was because, in </w:t>
      </w:r>
      <w:r w:rsidRPr="003C5CBB">
        <w:rPr>
          <w:i/>
        </w:rPr>
        <w:t>Avlon</w:t>
      </w:r>
      <w:r w:rsidRPr="003C5CBB">
        <w:t xml:space="preserve">, the defendant sold the plaintiff’s Keracare line of goods over the Internet, using domain names including www.keracare.com and various permutations of that name. </w:t>
      </w:r>
      <w:r w:rsidRPr="003C5CBB">
        <w:rPr>
          <w:i/>
        </w:rPr>
        <w:t>Id</w:t>
      </w:r>
      <w:r w:rsidRPr="003C5CBB">
        <w:t xml:space="preserve">. at *1–3. The court also rejected the defendant’s contention that the plaintiff’s mark was known only to a limited market, noting that the defendant had registered numerous variants of the plaintiff’s mark as domain names and that this indicated widespread knowledge of the plaintiff’s mark. </w:t>
      </w:r>
      <w:r w:rsidRPr="003C5CBB">
        <w:rPr>
          <w:i/>
        </w:rPr>
        <w:t>Id</w:t>
      </w:r>
      <w:r w:rsidRPr="003C5CBB">
        <w:t>. at *2.</w:t>
      </w:r>
    </w:p>
  </w:footnote>
  <w:footnote w:id="378">
    <w:p w14:paraId="7B71AC44" w14:textId="6CC3464B"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w:t>
      </w:r>
      <w:r w:rsidRPr="003C5CBB">
        <w:rPr>
          <w:i/>
        </w:rPr>
        <w:t>Gateway</w:t>
      </w:r>
      <w:r w:rsidRPr="003C5CBB">
        <w:t xml:space="preserve">, 68 USPQ2d at 1423; </w:t>
      </w:r>
      <w:r w:rsidRPr="003C5CBB">
        <w:rPr>
          <w:i/>
        </w:rPr>
        <w:t>McNeil Consumer Brands</w:t>
      </w:r>
      <w:r w:rsidRPr="003C5CBB">
        <w:t xml:space="preserve">, 116 F. Supp. 2d at 607 (mark described as “highly distinctive,” “arbitrary and fanciful”); NBBJ E. Ltd. P’ship v. NBBJ Training Acad., Inc., 201 F. Supp. 2d 800, 806 (S.D. Ohio 2001) (finding NBBJ mark inherently distinctive because “arbitrary or fanciful”); Lexington Mgmt. Corp. v. Lexington Capital Partners, 10 F. Supp. 2d 271, 281–82, 47 USPQ2d 1558 (S.D.N.Y. 1998) (arbitrary mark and advertising); </w:t>
      </w:r>
      <w:r w:rsidRPr="003C5CBB">
        <w:rPr>
          <w:i/>
        </w:rPr>
        <w:t>Nailtiques</w:t>
      </w:r>
      <w:r w:rsidRPr="003C5CBB">
        <w:t xml:space="preserve">, 41 USPQ2d at 1997 (inherent distinctiveness, along with sales success); Intermatic, Inc. v. Toeppen, 947 F. Supp. 1227, 40 USPQ2d 1412 (N.D. Ill. 1996) (coined word); </w:t>
      </w:r>
      <w:r w:rsidRPr="003C5CBB">
        <w:rPr>
          <w:i/>
        </w:rPr>
        <w:t>Toys “R” Us</w:t>
      </w:r>
      <w:r w:rsidRPr="003C5CBB">
        <w:t xml:space="preserve">, 40 USPQ2d at 1838 (citing “inherent peculiarity” of the mark). The Second Circuit held that </w:t>
      </w:r>
      <w:r w:rsidRPr="003C5CBB">
        <w:rPr>
          <w:i/>
        </w:rPr>
        <w:t>only</w:t>
      </w:r>
      <w:r w:rsidRPr="003C5CBB">
        <w:t xml:space="preserve"> marks with “inherent distinctiveness” (that is, suggestive, arbitrary, or fanciful marks) could be famous under the original FTDA. </w:t>
      </w:r>
      <w:r w:rsidRPr="003C5CBB">
        <w:rPr>
          <w:i/>
        </w:rPr>
        <w:t>TCPIP Holding</w:t>
      </w:r>
      <w:r w:rsidRPr="003C5CBB">
        <w:t>, 244 F.3d at 96. However, that position was rejected by the TDRA.</w:t>
      </w:r>
    </w:p>
  </w:footnote>
  <w:footnote w:id="379">
    <w:p w14:paraId="2BC7F6BB" w14:textId="690D4515" w:rsidR="003C5CBB" w:rsidRPr="00517775" w:rsidRDefault="003C5CBB" w:rsidP="003C5CBB">
      <w:pPr>
        <w:pStyle w:val="FootnoteText"/>
      </w:pPr>
      <w:r w:rsidRPr="003C5CBB">
        <w:rPr>
          <w:vertAlign w:val="superscript"/>
        </w:rPr>
        <w:footnoteRef/>
      </w:r>
      <w:r w:rsidRPr="003C5CBB">
        <w:rPr>
          <w:i/>
        </w:rPr>
        <w:t>See Carnival Corp</w:t>
      </w:r>
      <w:r w:rsidRPr="003C5CBB">
        <w:t xml:space="preserve">., 74 F. Supp. 2d at 1270 (concluding that “plaintiff’s extensive advertising and sales are not sufficient to establish fame”); </w:t>
      </w:r>
      <w:r w:rsidRPr="003C5CBB">
        <w:rPr>
          <w:i/>
        </w:rPr>
        <w:t>Knaack Mfg</w:t>
      </w:r>
      <w:r w:rsidRPr="003C5CBB">
        <w:t xml:space="preserve">., 955 F. Supp. at 1002 (“The fact that Knaack has spent money on advertising does not answer the question of whether the advertising was successful in building a brand-name.”); </w:t>
      </w:r>
      <w:r w:rsidRPr="003C5CBB">
        <w:rPr>
          <w:i/>
        </w:rPr>
        <w:t>cf</w:t>
      </w:r>
      <w:r w:rsidRPr="003C5CBB">
        <w:t xml:space="preserve">. </w:t>
      </w:r>
      <w:r w:rsidRPr="003C5CBB">
        <w:rPr>
          <w:i/>
        </w:rPr>
        <w:t>Deborah Heart &amp; Lung Ctr</w:t>
      </w:r>
      <w:r w:rsidRPr="003C5CBB">
        <w:t>., 99 F. Supp. 2d 481 (finding mark locally famous, but conceding that “[t]he degrees of recognition of [plaintiff’s and defendant’s] marks is not known with precision because they have not been measured”).</w:t>
      </w:r>
    </w:p>
  </w:footnote>
  <w:footnote w:id="380">
    <w:p w14:paraId="447E8577" w14:textId="3D20321C" w:rsidR="003C5CBB" w:rsidRPr="00366F48" w:rsidRDefault="003C5CBB" w:rsidP="003C5CBB">
      <w:pPr>
        <w:pStyle w:val="FootnoteText"/>
        <w:rPr>
          <w:lang w:val="nb-NO"/>
        </w:rPr>
      </w:pPr>
      <w:r w:rsidRPr="003C5CBB">
        <w:rPr>
          <w:vertAlign w:val="superscript"/>
        </w:rPr>
        <w:footnoteRef/>
      </w:r>
      <w:r w:rsidRPr="003C5CBB">
        <w:rPr>
          <w:i/>
        </w:rPr>
        <w:t>TCPIP Holding</w:t>
      </w:r>
      <w:r w:rsidRPr="003C5CBB">
        <w:t>, 244 F.3d at 99.</w:t>
      </w:r>
    </w:p>
  </w:footnote>
  <w:footnote w:id="381">
    <w:p w14:paraId="7BF4E03F" w14:textId="7861EE1E" w:rsidR="003C5CBB" w:rsidRPr="00366F48" w:rsidRDefault="003C5CBB" w:rsidP="003C5CBB">
      <w:pPr>
        <w:pStyle w:val="FootnoteText"/>
        <w:rPr>
          <w:lang w:val="nb-NO"/>
        </w:rPr>
      </w:pPr>
      <w:r w:rsidRPr="003C5CBB">
        <w:rPr>
          <w:vertAlign w:val="superscript"/>
        </w:rPr>
        <w:footnoteRef/>
      </w:r>
      <w:r w:rsidRPr="003C5CBB">
        <w:t>Omega S.A. v. Omega Eng’g, Inc., 228 F. Supp. 2d 112, 125 (D. Conn. 2002).</w:t>
      </w:r>
    </w:p>
  </w:footnote>
  <w:footnote w:id="382">
    <w:p w14:paraId="39971FB6" w14:textId="3F132951" w:rsidR="003C5CBB" w:rsidRPr="003C5CBB"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w:t>
      </w:r>
      <w:r w:rsidRPr="003C5CBB">
        <w:rPr>
          <w:i/>
        </w:rPr>
        <w:t xml:space="preserve"> Avery Dennison</w:t>
      </w:r>
      <w:r w:rsidRPr="003C5CBB">
        <w:t xml:space="preserve">, 189 F.3d at 879; </w:t>
      </w:r>
      <w:r w:rsidRPr="003C5CBB">
        <w:rPr>
          <w:i/>
        </w:rPr>
        <w:t>Carnival Corp</w:t>
      </w:r>
      <w:r w:rsidRPr="003C5CBB">
        <w:t xml:space="preserve">., 74 F. Supp. 2d at 1270; Hershey Foods Corp. v. Mars, Inc., 998 F. Supp. 500, 517 (M.D. Pa. 1998); Star Markets, Ltd. v. Texaco, Inc., 950 F. Supp. 1030, 1033 (D. Haw. 1996); </w:t>
      </w:r>
      <w:r w:rsidRPr="003C5CBB">
        <w:rPr>
          <w:i/>
        </w:rPr>
        <w:t>see</w:t>
      </w:r>
      <w:r w:rsidRPr="003C5CBB">
        <w:t xml:space="preserve"> I.P. Lund Trading ApS v. Kohler Co., 118 F. Supp. 2d 92, 107–09, 56 USPQ2d 1776 (D. Mass. 2000) (criticizing surveys used to show faucet design had secondary meaning); </w:t>
      </w:r>
      <w:r w:rsidRPr="003C5CBB">
        <w:rPr>
          <w:i/>
        </w:rPr>
        <w:t>Syndicate Sales</w:t>
      </w:r>
      <w:r w:rsidRPr="003C5CBB">
        <w:t>, 2000 WL 1428665, at *13 (criticizing affidavit evidence of secondary meaning).</w:t>
      </w:r>
    </w:p>
    <w:p w14:paraId="75A84FC6" w14:textId="77777777" w:rsidR="003C5CBB" w:rsidRPr="00366F48" w:rsidRDefault="003C5CBB" w:rsidP="00AF29FC">
      <w:pPr>
        <w:pStyle w:val="footnote"/>
        <w:rPr>
          <w:lang w:val="nb-NO"/>
        </w:rPr>
      </w:pPr>
    </w:p>
  </w:footnote>
  <w:footnote w:id="383">
    <w:p w14:paraId="17792951" w14:textId="5B7A2A67"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Binney &amp; Smith v. Rose Art Indus., 60 USPQ2d 2000, 2003 (E.D. Pa. 2001) (use on postage stamp); Eli Lilly &amp; Co. v. Natural Answers, Inc., 86 F. Supp. 2d 834, 836–37 (S.D. Ind.) (references in books, articles, and television broadcasts), </w:t>
      </w:r>
      <w:r w:rsidRPr="003C5CBB">
        <w:rPr>
          <w:i/>
        </w:rPr>
        <w:t>aff’d</w:t>
      </w:r>
      <w:r w:rsidRPr="003C5CBB">
        <w:t xml:space="preserve">, 233 F.3d 456, 56 USPQ2d 1942 (7th Cir. 2000); Online Partners.com, Inc. v. Atlanticnet Media Corp., 2000 WL 101242, at *3 (N.D. Cal. Jan. 20, 2000) (articles in </w:t>
      </w:r>
      <w:r w:rsidRPr="003C5CBB">
        <w:rPr>
          <w:i/>
        </w:rPr>
        <w:t>Newsweek</w:t>
      </w:r>
      <w:r w:rsidRPr="003C5CBB">
        <w:t>,</w:t>
      </w:r>
      <w:r w:rsidRPr="003C5CBB">
        <w:rPr>
          <w:i/>
        </w:rPr>
        <w:t xml:space="preserve"> Miami Herald</w:t>
      </w:r>
      <w:r w:rsidRPr="003C5CBB">
        <w:t>,</w:t>
      </w:r>
      <w:r w:rsidRPr="003C5CBB">
        <w:rPr>
          <w:i/>
        </w:rPr>
        <w:t xml:space="preserve"> Washington Post</w:t>
      </w:r>
      <w:r w:rsidRPr="003C5CBB">
        <w:t xml:space="preserve">); Shields v. Zuccarini, 89 F. Supp. 2d 634, 639, 54 USPQ2d 1166 (E.D. Pa. 2000) (citing article in </w:t>
      </w:r>
      <w:r w:rsidRPr="003C5CBB">
        <w:rPr>
          <w:i/>
        </w:rPr>
        <w:t>New York Times</w:t>
      </w:r>
      <w:r w:rsidRPr="003C5CBB">
        <w:t xml:space="preserve">), </w:t>
      </w:r>
      <w:r w:rsidRPr="003C5CBB">
        <w:rPr>
          <w:i/>
        </w:rPr>
        <w:t>aff’d</w:t>
      </w:r>
      <w:r w:rsidRPr="003C5CBB">
        <w:t xml:space="preserve">, 254 F.3d 476, 59 USPQ2d 1207 (3d Cir. 2001); USX Corp. v. U.S. Steel Inc., 52 USPQ2d 1532, 1533 (D. Kan. 1999) (references in news media); Gideons Int’l, Inc. v. Gideons 300 Ministries, Inc., 94 F. Supp. 2d 566, 573 (E.D. Pa. 1999) (citing use in dictionaries); Brown v. It’s Entm’t, Inc., 34 F. Supp. 2d 854, 856, 49 USPQ2d 1939 (E.D.N.Y. 1999) (balloon in Macy’s parade, use on </w:t>
      </w:r>
      <w:r w:rsidRPr="003C5CBB">
        <w:rPr>
          <w:i/>
        </w:rPr>
        <w:t>TV Guide</w:t>
      </w:r>
      <w:r w:rsidRPr="003C5CBB">
        <w:t xml:space="preserve"> cover, appearance on FAO Schwartz toy store catalog); Nabisco, Inc. v. PF Brands, Inc., 50 F. Supp. 2d 188, 204 (S.D.N.Y.) (articles in trade press), </w:t>
      </w:r>
      <w:r w:rsidRPr="003C5CBB">
        <w:rPr>
          <w:i/>
        </w:rPr>
        <w:t>aff’d</w:t>
      </w:r>
      <w:r w:rsidRPr="003C5CBB">
        <w:t xml:space="preserve">, 191 F.3d 208, 51 USPQ2d 1882 (2d Cir. 1999); </w:t>
      </w:r>
      <w:r w:rsidRPr="003C5CBB">
        <w:rPr>
          <w:i/>
        </w:rPr>
        <w:t>Lexington Mgmt</w:t>
      </w:r>
      <w:r w:rsidRPr="003C5CBB">
        <w:t xml:space="preserve">., 10 F. Supp. 2d at 281–82 (plaintiff’s services touted in the financial media). The Trademark Trial and Appeal Board has stated that this would be a persuasive factor in its decisions. Toro Co. v. Torohead, Inc., 61 USPQ2d 1164, 1181 (T.T.A.B. 2001). </w:t>
      </w:r>
      <w:r w:rsidRPr="003C5CBB">
        <w:rPr>
          <w:i/>
        </w:rPr>
        <w:t>See</w:t>
      </w:r>
      <w:r w:rsidRPr="003C5CBB">
        <w:t xml:space="preserve"> Lee Middleton Original Dolls, Inc. v. Seymour Mann, Inc., 299 F. Supp. 2d 892, 901, 70 USPQ2d 1115 (E.D. Wis. 2004) (citing an industry award for plaintiff’s doll designs as a factor; in a cursory analysis, the court found a triable issue on the existence of fame). </w:t>
      </w:r>
      <w:r w:rsidRPr="003C5CBB">
        <w:rPr>
          <w:i/>
        </w:rPr>
        <w:t>But see</w:t>
      </w:r>
      <w:r w:rsidRPr="003C5CBB">
        <w:t xml:space="preserve"> Thane Int’l, Inc. v. Trek Bicycle Corp., 305 F.3d 894, 912, 64 USPQ2d 1564 (9th Cir. 2002) (picture of Lance Armstrong on Wheaties box with plaintiff’s bicycle dismissed as “incidental” coverage that did not demonstrate fame).</w:t>
      </w:r>
    </w:p>
  </w:footnote>
  <w:footnote w:id="384">
    <w:p w14:paraId="4439E78D" w14:textId="31F53E47" w:rsidR="003C5CBB" w:rsidRPr="00517775" w:rsidRDefault="003C5CBB" w:rsidP="003C5CBB">
      <w:pPr>
        <w:pStyle w:val="FootnoteText"/>
      </w:pPr>
      <w:r w:rsidRPr="003C5CBB">
        <w:rPr>
          <w:vertAlign w:val="superscript"/>
        </w:rPr>
        <w:footnoteRef/>
      </w:r>
      <w:r w:rsidRPr="003C5CBB">
        <w:t>34 F. Supp. 2d 854, 49 USPQ2d 1939 (E.D.N.Y. 1999).</w:t>
      </w:r>
    </w:p>
  </w:footnote>
  <w:footnote w:id="385">
    <w:p w14:paraId="450C04A3" w14:textId="78B9A5A1" w:rsidR="003C5CBB" w:rsidRPr="00517775" w:rsidRDefault="003C5CBB" w:rsidP="003C5CBB">
      <w:pPr>
        <w:pStyle w:val="FootnoteText"/>
      </w:pPr>
      <w:r w:rsidRPr="003C5CBB">
        <w:rPr>
          <w:vertAlign w:val="superscript"/>
        </w:rPr>
        <w:footnoteRef/>
      </w:r>
      <w:r w:rsidRPr="003C5CBB">
        <w:rPr>
          <w:i/>
        </w:rPr>
        <w:t>Id</w:t>
      </w:r>
      <w:r w:rsidRPr="003C5CBB">
        <w:t>. at 856.</w:t>
      </w:r>
    </w:p>
  </w:footnote>
  <w:footnote w:id="386">
    <w:p w14:paraId="1A20125C" w14:textId="05140721" w:rsidR="003C5CBB" w:rsidRPr="00517775" w:rsidRDefault="003C5CBB" w:rsidP="003C5CBB">
      <w:pPr>
        <w:pStyle w:val="FootnoteText"/>
      </w:pPr>
      <w:r w:rsidRPr="003C5CBB">
        <w:rPr>
          <w:vertAlign w:val="superscript"/>
        </w:rPr>
        <w:footnoteRef/>
      </w:r>
      <w:r w:rsidRPr="003C5CBB">
        <w:rPr>
          <w:i/>
        </w:rPr>
        <w:t>Id</w:t>
      </w:r>
      <w:r w:rsidRPr="003C5CBB">
        <w:t>.</w:t>
      </w:r>
    </w:p>
  </w:footnote>
  <w:footnote w:id="387">
    <w:p w14:paraId="1CCC9828" w14:textId="2C92A90B" w:rsidR="003C5CBB" w:rsidRPr="00517775" w:rsidRDefault="003C5CBB" w:rsidP="003C5CBB">
      <w:pPr>
        <w:pStyle w:val="FootnoteText"/>
      </w:pPr>
      <w:r w:rsidRPr="003C5CBB">
        <w:rPr>
          <w:vertAlign w:val="superscript"/>
        </w:rPr>
        <w:footnoteRef/>
      </w:r>
      <w:r w:rsidRPr="003C5CBB">
        <w:t>94 F. Supp. 2d 566 (E.D. Pa. 1999).</w:t>
      </w:r>
    </w:p>
  </w:footnote>
  <w:footnote w:id="388">
    <w:p w14:paraId="590A8709" w14:textId="6C62375B" w:rsidR="003C5CBB" w:rsidRPr="00517775" w:rsidRDefault="003C5CBB" w:rsidP="003C5CBB">
      <w:pPr>
        <w:pStyle w:val="FootnoteText"/>
      </w:pPr>
      <w:r w:rsidRPr="003C5CBB">
        <w:rPr>
          <w:vertAlign w:val="superscript"/>
        </w:rPr>
        <w:footnoteRef/>
      </w:r>
      <w:r w:rsidRPr="003C5CBB">
        <w:rPr>
          <w:i/>
        </w:rPr>
        <w:t>Id</w:t>
      </w:r>
      <w:r w:rsidRPr="003C5CBB">
        <w:t>. at 573.</w:t>
      </w:r>
    </w:p>
  </w:footnote>
  <w:footnote w:id="389">
    <w:p w14:paraId="4DC19CDA" w14:textId="7E85E1F4" w:rsidR="003C5CBB" w:rsidRPr="00517775" w:rsidRDefault="003C5CBB" w:rsidP="003C5CBB">
      <w:pPr>
        <w:pStyle w:val="FootnoteText"/>
      </w:pPr>
      <w:r w:rsidRPr="003C5CBB">
        <w:rPr>
          <w:vertAlign w:val="superscript"/>
        </w:rPr>
        <w:footnoteRef/>
      </w:r>
      <w:r w:rsidRPr="003C5CBB">
        <w:t>60 USPQ2d 2000 (E.D. Pa. 2001).</w:t>
      </w:r>
    </w:p>
  </w:footnote>
  <w:footnote w:id="390">
    <w:p w14:paraId="6839E3FB" w14:textId="0EF28B02" w:rsidR="003C5CBB" w:rsidRPr="00517775" w:rsidRDefault="003C5CBB" w:rsidP="003C5CBB">
      <w:pPr>
        <w:pStyle w:val="FootnoteText"/>
      </w:pPr>
      <w:r w:rsidRPr="003C5CBB">
        <w:rPr>
          <w:vertAlign w:val="superscript"/>
        </w:rPr>
        <w:footnoteRef/>
      </w:r>
      <w:r w:rsidRPr="003C5CBB">
        <w:rPr>
          <w:i/>
        </w:rPr>
        <w:t>Id</w:t>
      </w:r>
      <w:r w:rsidRPr="003C5CBB">
        <w:t xml:space="preserve">. </w:t>
      </w:r>
      <w:r w:rsidRPr="003C5CBB">
        <w:t>at 2003.</w:t>
      </w:r>
    </w:p>
  </w:footnote>
  <w:footnote w:id="391">
    <w:p w14:paraId="75F9E0E6" w14:textId="3852FEF3" w:rsidR="003C5CBB" w:rsidRPr="00517775" w:rsidRDefault="003C5CBB" w:rsidP="003C5CBB">
      <w:pPr>
        <w:pStyle w:val="FootnoteText"/>
      </w:pPr>
      <w:r w:rsidRPr="003C5CBB">
        <w:rPr>
          <w:vertAlign w:val="superscript"/>
        </w:rPr>
        <w:footnoteRef/>
      </w:r>
      <w:r w:rsidRPr="003C5CBB">
        <w:t>See §III.A, above.</w:t>
      </w:r>
    </w:p>
  </w:footnote>
  <w:footnote w:id="392">
    <w:p w14:paraId="718803E8" w14:textId="3DC369E8"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Gateway, Inc. v. Companion Prods., Inc., 68 USPQ2d 1407, 1423 (D.S.D. 2003), </w:t>
      </w:r>
      <w:r w:rsidRPr="003C5CBB">
        <w:rPr>
          <w:i/>
        </w:rPr>
        <w:t>aff’d</w:t>
      </w:r>
      <w:r w:rsidRPr="003C5CBB">
        <w:t xml:space="preserve">, 384 F.3d 503, 72 USPQ2d 1591 (8th Cir. 2004); Big Boy Rests. v. Cadillac Coffee Co., 238 F. Supp. 2d 866, 870 (E.D. Mich. 2002); </w:t>
      </w:r>
      <w:r w:rsidRPr="003C5CBB">
        <w:rPr>
          <w:i/>
        </w:rPr>
        <w:t>Binney &amp; Smith</w:t>
      </w:r>
      <w:r w:rsidRPr="003C5CBB">
        <w:t>, 60 USPQ2d at 2004 (registration of trade dress cited in favor of fame); Pocono Int’l Raceway, Inc. v. Pocono Mountain Speedway, Inc., 171 F. Supp. 2d 427, 444 (M.D. Pa. 2001) (citing registration); Syndicate Sales, Inc. v. Hampshire Paper Corp., 2000 WL 1428665, at *17 (S.D. Ind. Aug. 30,</w:t>
      </w:r>
      <w:r w:rsidRPr="003C5CBB">
        <w:rPr>
          <w:b/>
        </w:rPr>
        <w:t xml:space="preserve"> </w:t>
      </w:r>
      <w:r w:rsidRPr="003C5CBB">
        <w:t xml:space="preserve">2000) (lack of registration “weighs against finding famousness [sic], although it alone is not dispositive”); Washington Speakers Bureau, Inc. v. Leading Auths., Inc., 33 F. Supp. 2d 488, 504, 49 USPQ2d 1893 (E.D. Va. 1999) (“The conclusion that ‘Washington Speakers Bureau’ is not famous is bolstered by WSB’s failure to register … .”), </w:t>
      </w:r>
      <w:r w:rsidRPr="003C5CBB">
        <w:rPr>
          <w:i/>
        </w:rPr>
        <w:t>aff’d on other grounds</w:t>
      </w:r>
      <w:r w:rsidRPr="003C5CBB">
        <w:t xml:space="preserve">, 217 F.3d 843, 2000 WL 82581 (4th Cir. 2000) (unreported opinion); Times Mirror Magazines, Inc. v. Las Vegas Sports News, LLC, 50 USPQ2d 1454, 1458 (E.D. Pa. 1999) (federal registration cited in support of fame), </w:t>
      </w:r>
      <w:r w:rsidRPr="003C5CBB">
        <w:rPr>
          <w:i/>
        </w:rPr>
        <w:t>aff’d</w:t>
      </w:r>
      <w:r w:rsidRPr="003C5CBB">
        <w:t xml:space="preserve">, 212 F.3d 157, 54 USPQ2d 1577 (3d Cir. 2000), </w:t>
      </w:r>
      <w:r w:rsidRPr="003C5CBB">
        <w:rPr>
          <w:i/>
        </w:rPr>
        <w:t>cert</w:t>
      </w:r>
      <w:r w:rsidRPr="003C5CBB">
        <w:t xml:space="preserve">. </w:t>
      </w:r>
      <w:r w:rsidRPr="003C5CBB">
        <w:rPr>
          <w:i/>
        </w:rPr>
        <w:t>denied</w:t>
      </w:r>
      <w:r w:rsidRPr="003C5CBB">
        <w:t xml:space="preserve">, 531 U.S. 1071 (2001); Hershey Foods Corp. v. Mars, Inc., 998 F. Supp. 500, 517 (M.D. Pa. 1998) (failure to register weighing against fame); Lozano Enters. v. La Opinion Publ’g Co., 44 USPQ2d 1764, 1768 (C.D. Cal. 1997) (federal registration cited in support of fame); Star Markets, Ltd. v. Texaco, Inc., 950 F. Supp. 1030, 1036 (D. Haw. 1996); </w:t>
      </w:r>
      <w:r w:rsidRPr="003C5CBB">
        <w:rPr>
          <w:i/>
        </w:rPr>
        <w:t>see</w:t>
      </w:r>
      <w:r w:rsidRPr="003C5CBB">
        <w:t xml:space="preserve"> Avlon Indus. v. Robinson, 2005 WL 331561, at *2 (N.D. Ill. Feb. 8, 2005) (where the court not only noted the existence of a federal </w:t>
      </w:r>
      <w:r w:rsidRPr="003C5CBB">
        <w:t>registration, but also noted that the registration was incontestable).</w:t>
      </w:r>
    </w:p>
  </w:footnote>
  <w:footnote w:id="393">
    <w:p w14:paraId="6EF0428F" w14:textId="08D739F1" w:rsidR="003C5CBB" w:rsidRPr="00517775" w:rsidRDefault="003C5CBB" w:rsidP="003C5CBB">
      <w:pPr>
        <w:pStyle w:val="FootnoteText"/>
      </w:pPr>
      <w:r w:rsidRPr="003C5CBB">
        <w:rPr>
          <w:vertAlign w:val="superscript"/>
        </w:rPr>
        <w:footnoteRef/>
      </w:r>
      <w:r w:rsidRPr="003C5CBB">
        <w:t xml:space="preserve">The Second Circuit has held that </w:t>
      </w:r>
      <w:r w:rsidRPr="003C5CBB">
        <w:rPr>
          <w:i/>
        </w:rPr>
        <w:t>only</w:t>
      </w:r>
      <w:r w:rsidRPr="003C5CBB">
        <w:t xml:space="preserve"> inherently distinctive marks may be protected under the FTDA. TCPIP Holding Co. v. Haar Commc’ns, Inc., 244 F.3d 88, 96, 57 USPQ2d 1969 (2d Cir. 2001).</w:t>
      </w:r>
    </w:p>
  </w:footnote>
  <w:footnote w:id="394">
    <w:p w14:paraId="010891F3" w14:textId="43D691CA" w:rsidR="003C5CBB" w:rsidRPr="00517775" w:rsidRDefault="003C5CBB" w:rsidP="003C5CBB">
      <w:pPr>
        <w:pStyle w:val="FootnoteText"/>
      </w:pPr>
      <w:r w:rsidRPr="003C5CBB">
        <w:rPr>
          <w:vertAlign w:val="superscript"/>
        </w:rPr>
        <w:footnoteRef/>
      </w:r>
      <w:r w:rsidRPr="003C5CBB">
        <w:t xml:space="preserve">86 F. Supp. 2d 834 (S.D. Ind.), </w:t>
      </w:r>
      <w:r w:rsidRPr="003C5CBB">
        <w:rPr>
          <w:i/>
        </w:rPr>
        <w:t>aff’d</w:t>
      </w:r>
      <w:r w:rsidRPr="003C5CBB">
        <w:t>, 233 F.3d 456, 56 USPQ2d 1942 (7th Cir. 2000).</w:t>
      </w:r>
    </w:p>
  </w:footnote>
  <w:footnote w:id="395">
    <w:p w14:paraId="2785FA8C" w14:textId="19A3D7EA" w:rsidR="003C5CBB" w:rsidRPr="00366F48" w:rsidRDefault="003C5CBB" w:rsidP="003C5CBB">
      <w:pPr>
        <w:pStyle w:val="FootnoteText"/>
        <w:rPr>
          <w:lang w:val="da-DK"/>
        </w:rPr>
      </w:pPr>
      <w:r w:rsidRPr="003C5CBB">
        <w:rPr>
          <w:vertAlign w:val="superscript"/>
        </w:rPr>
        <w:footnoteRef/>
      </w:r>
      <w:r w:rsidRPr="003C5CBB">
        <w:rPr>
          <w:i/>
        </w:rPr>
        <w:t>Id</w:t>
      </w:r>
      <w:r w:rsidRPr="003C5CBB">
        <w:t>. at 835–36.</w:t>
      </w:r>
    </w:p>
  </w:footnote>
  <w:footnote w:id="396">
    <w:p w14:paraId="5285C6F7" w14:textId="3D9EE434" w:rsidR="003C5CBB" w:rsidRPr="00366F48" w:rsidRDefault="003C5CBB" w:rsidP="003C5CBB">
      <w:pPr>
        <w:pStyle w:val="FootnoteText"/>
        <w:rPr>
          <w:lang w:val="da-DK"/>
        </w:rPr>
      </w:pPr>
      <w:r w:rsidRPr="003C5CBB">
        <w:rPr>
          <w:vertAlign w:val="superscript"/>
        </w:rPr>
        <w:footnoteRef/>
      </w:r>
      <w:r w:rsidRPr="003C5CBB">
        <w:rPr>
          <w:i/>
        </w:rPr>
        <w:t>Id</w:t>
      </w:r>
      <w:r w:rsidRPr="003C5CBB">
        <w:t>. at 848.</w:t>
      </w:r>
    </w:p>
  </w:footnote>
  <w:footnote w:id="397">
    <w:p w14:paraId="7A2E3C70" w14:textId="13A58193" w:rsidR="003C5CBB" w:rsidRPr="00366F48" w:rsidRDefault="003C5CBB" w:rsidP="003C5CBB">
      <w:pPr>
        <w:pStyle w:val="FootnoteText"/>
        <w:rPr>
          <w:lang w:val="da-DK"/>
        </w:rPr>
      </w:pPr>
      <w:r w:rsidRPr="003C5CBB">
        <w:rPr>
          <w:vertAlign w:val="superscript"/>
        </w:rPr>
        <w:footnoteRef/>
      </w:r>
      <w:r w:rsidRPr="003C5CBB">
        <w:rPr>
          <w:i/>
        </w:rPr>
        <w:t>Id</w:t>
      </w:r>
      <w:r w:rsidRPr="003C5CBB">
        <w:t>. at 849.</w:t>
      </w:r>
    </w:p>
  </w:footnote>
  <w:footnote w:id="398">
    <w:p w14:paraId="7DFB5F5E" w14:textId="4F68A058" w:rsidR="003C5CBB" w:rsidRPr="00517775" w:rsidRDefault="003C5CBB" w:rsidP="003C5CBB">
      <w:pPr>
        <w:pStyle w:val="FootnoteText"/>
      </w:pPr>
      <w:r w:rsidRPr="003C5CBB">
        <w:rPr>
          <w:vertAlign w:val="superscript"/>
        </w:rPr>
        <w:footnoteRef/>
      </w:r>
      <w:r w:rsidRPr="003C5CBB">
        <w:rPr>
          <w:i/>
        </w:rPr>
        <w:t>Id</w:t>
      </w:r>
      <w:r w:rsidRPr="003C5CBB">
        <w:t>.</w:t>
      </w:r>
    </w:p>
  </w:footnote>
  <w:footnote w:id="399">
    <w:p w14:paraId="2684118D" w14:textId="7BDC35CB" w:rsidR="003C5CBB" w:rsidRPr="00517775" w:rsidRDefault="003C5CBB" w:rsidP="003C5CBB">
      <w:pPr>
        <w:pStyle w:val="FootnoteText"/>
      </w:pPr>
      <w:r w:rsidRPr="003C5CBB">
        <w:rPr>
          <w:vertAlign w:val="superscript"/>
        </w:rPr>
        <w:footnoteRef/>
      </w:r>
      <w:r w:rsidRPr="003C5CBB">
        <w:rPr>
          <w:i/>
        </w:rPr>
        <w:t>Id</w:t>
      </w:r>
      <w:r w:rsidRPr="003C5CBB">
        <w:t>.</w:t>
      </w:r>
    </w:p>
  </w:footnote>
  <w:footnote w:id="400">
    <w:p w14:paraId="59184D31" w14:textId="4A08A72E" w:rsidR="003C5CBB" w:rsidRPr="00517775" w:rsidRDefault="003C5CBB" w:rsidP="003C5CBB">
      <w:pPr>
        <w:pStyle w:val="FootnoteText"/>
      </w:pPr>
      <w:r w:rsidRPr="003C5CBB">
        <w:rPr>
          <w:vertAlign w:val="superscript"/>
        </w:rPr>
        <w:footnoteRef/>
      </w:r>
      <w:r w:rsidRPr="003C5CBB">
        <w:t xml:space="preserve">Indeed, as the court pointed out, the name Herbrozac appeared designed to capitalize on that knowledge. </w:t>
      </w:r>
      <w:r w:rsidRPr="003C5CBB">
        <w:rPr>
          <w:i/>
        </w:rPr>
        <w:t>Id</w:t>
      </w:r>
      <w:r w:rsidRPr="003C5CBB">
        <w:t>. at 850.</w:t>
      </w:r>
    </w:p>
  </w:footnote>
  <w:footnote w:id="401">
    <w:p w14:paraId="73088CFC" w14:textId="4902620F" w:rsidR="003C5CBB" w:rsidRPr="00517775" w:rsidRDefault="003C5CBB" w:rsidP="003C5CBB">
      <w:pPr>
        <w:pStyle w:val="FootnoteText"/>
      </w:pPr>
      <w:r w:rsidRPr="003C5CBB">
        <w:rPr>
          <w:vertAlign w:val="superscript"/>
        </w:rPr>
        <w:footnoteRef/>
      </w:r>
      <w:r w:rsidRPr="003C5CBB">
        <w:rPr>
          <w:i/>
        </w:rPr>
        <w:t>Id</w:t>
      </w:r>
      <w:r w:rsidRPr="003C5CBB">
        <w:t>.</w:t>
      </w:r>
    </w:p>
  </w:footnote>
  <w:footnote w:id="402">
    <w:p w14:paraId="272FC361" w14:textId="7B78A4D3" w:rsidR="003C5CBB" w:rsidRPr="00517775" w:rsidRDefault="003C5CBB" w:rsidP="003C5CBB">
      <w:pPr>
        <w:pStyle w:val="FootnoteText"/>
      </w:pPr>
      <w:r w:rsidRPr="003C5CBB">
        <w:rPr>
          <w:vertAlign w:val="superscript"/>
        </w:rPr>
        <w:footnoteRef/>
      </w:r>
      <w:r w:rsidRPr="003C5CBB">
        <w:rPr>
          <w:i/>
        </w:rPr>
        <w:t>Id</w:t>
      </w:r>
      <w:r w:rsidRPr="003C5CBB">
        <w:t>. The registration factor seems to have played little actual role in the decision, consistent with other cases.</w:t>
      </w:r>
    </w:p>
  </w:footnote>
  <w:footnote w:id="403">
    <w:p w14:paraId="061E253D" w14:textId="0CC2BFAD" w:rsidR="003C5CBB" w:rsidRPr="00366F48" w:rsidRDefault="003C5CBB" w:rsidP="003C5CBB">
      <w:pPr>
        <w:pStyle w:val="FootnoteText"/>
        <w:rPr>
          <w:lang w:val="da-DK"/>
        </w:rPr>
      </w:pPr>
      <w:r w:rsidRPr="003C5CBB">
        <w:rPr>
          <w:vertAlign w:val="superscript"/>
        </w:rPr>
        <w:footnoteRef/>
      </w:r>
      <w:r w:rsidRPr="003C5CBB">
        <w:t>2000 WL 1428665 (S.D. Ind. Aug. 30,</w:t>
      </w:r>
      <w:r w:rsidRPr="003C5CBB">
        <w:rPr>
          <w:b/>
        </w:rPr>
        <w:t xml:space="preserve"> </w:t>
      </w:r>
      <w:r w:rsidRPr="003C5CBB">
        <w:t>2000).</w:t>
      </w:r>
    </w:p>
  </w:footnote>
  <w:footnote w:id="404">
    <w:p w14:paraId="3DD3A762" w14:textId="5E582883" w:rsidR="003C5CBB" w:rsidRPr="00517775" w:rsidRDefault="003C5CBB" w:rsidP="003C5CBB">
      <w:pPr>
        <w:pStyle w:val="FootnoteText"/>
      </w:pPr>
      <w:r w:rsidRPr="003C5CBB">
        <w:rPr>
          <w:vertAlign w:val="superscript"/>
        </w:rPr>
        <w:footnoteRef/>
      </w:r>
      <w:r w:rsidRPr="003C5CBB">
        <w:rPr>
          <w:i/>
        </w:rPr>
        <w:t>See id</w:t>
      </w:r>
      <w:r w:rsidRPr="003C5CBB">
        <w:t>. at *12.</w:t>
      </w:r>
    </w:p>
  </w:footnote>
  <w:footnote w:id="405">
    <w:p w14:paraId="0575AB2E" w14:textId="4D12F4C8" w:rsidR="003C5CBB" w:rsidRPr="00517775" w:rsidRDefault="003C5CBB" w:rsidP="003C5CBB">
      <w:pPr>
        <w:pStyle w:val="FootnoteText"/>
      </w:pPr>
      <w:r w:rsidRPr="003C5CBB">
        <w:rPr>
          <w:vertAlign w:val="superscript"/>
        </w:rPr>
        <w:footnoteRef/>
      </w:r>
      <w:r w:rsidRPr="003C5CBB">
        <w:rPr>
          <w:i/>
        </w:rPr>
        <w:t>Id</w:t>
      </w:r>
      <w:r w:rsidRPr="003C5CBB">
        <w:t xml:space="preserve">. at *13–14. The court also noted that, for some designs, only a single affidavit supported secondary meaning. </w:t>
      </w:r>
      <w:r w:rsidRPr="003C5CBB">
        <w:rPr>
          <w:i/>
        </w:rPr>
        <w:t>Id</w:t>
      </w:r>
      <w:r w:rsidRPr="003C5CBB">
        <w:t>. at *14.</w:t>
      </w:r>
    </w:p>
  </w:footnote>
  <w:footnote w:id="406">
    <w:p w14:paraId="00387581" w14:textId="2E4A5A99" w:rsidR="003C5CBB" w:rsidRPr="00517775" w:rsidRDefault="003C5CBB" w:rsidP="003C5CBB">
      <w:pPr>
        <w:pStyle w:val="FootnoteText"/>
      </w:pPr>
      <w:r w:rsidRPr="003C5CBB">
        <w:rPr>
          <w:vertAlign w:val="superscript"/>
        </w:rPr>
        <w:footnoteRef/>
      </w:r>
      <w:r w:rsidRPr="003C5CBB">
        <w:t>The Seventh Circuit had directed the district court to consider niche market fame.</w:t>
      </w:r>
    </w:p>
  </w:footnote>
  <w:footnote w:id="407">
    <w:p w14:paraId="38BA897E" w14:textId="6B457FC9" w:rsidR="003C5CBB" w:rsidRPr="00517775" w:rsidRDefault="003C5CBB" w:rsidP="003C5CBB">
      <w:pPr>
        <w:pStyle w:val="FootnoteText"/>
      </w:pPr>
      <w:r w:rsidRPr="003C5CBB">
        <w:rPr>
          <w:vertAlign w:val="superscript"/>
        </w:rPr>
        <w:footnoteRef/>
      </w:r>
      <w:r w:rsidRPr="003C5CBB">
        <w:rPr>
          <w:i/>
        </w:rPr>
        <w:t>Id</w:t>
      </w:r>
      <w:r w:rsidRPr="003C5CBB">
        <w:t>. at *15–16.</w:t>
      </w:r>
    </w:p>
  </w:footnote>
  <w:footnote w:id="408">
    <w:p w14:paraId="7651DECB" w14:textId="6AC55CF6" w:rsidR="003C5CBB" w:rsidRPr="00366F48" w:rsidRDefault="003C5CBB" w:rsidP="003C5CBB">
      <w:pPr>
        <w:pStyle w:val="FootnoteText"/>
        <w:rPr>
          <w:lang w:val="da-DK"/>
        </w:rPr>
      </w:pPr>
      <w:r w:rsidRPr="003C5CBB">
        <w:rPr>
          <w:vertAlign w:val="superscript"/>
        </w:rPr>
        <w:footnoteRef/>
      </w:r>
      <w:r w:rsidRPr="003C5CBB">
        <w:rPr>
          <w:i/>
        </w:rPr>
        <w:t>Id</w:t>
      </w:r>
      <w:r w:rsidRPr="003C5CBB">
        <w:t>. at *17. The court noted that even the plaintiff’s witnesses did not associate the design “</w:t>
      </w:r>
      <w:r w:rsidRPr="003C5CBB">
        <w:rPr>
          <w:i/>
        </w:rPr>
        <w:t>solely</w:t>
      </w:r>
      <w:r w:rsidRPr="003C5CBB">
        <w:t xml:space="preserve">” with the plaintiff. </w:t>
      </w:r>
      <w:r w:rsidRPr="003C5CBB">
        <w:rPr>
          <w:i/>
        </w:rPr>
        <w:t>Id</w:t>
      </w:r>
      <w:r w:rsidRPr="003C5CBB">
        <w:t>.</w:t>
      </w:r>
    </w:p>
  </w:footnote>
  <w:footnote w:id="409">
    <w:p w14:paraId="51FA87F6" w14:textId="308C4AEB" w:rsidR="003C5CBB" w:rsidRPr="00366F48" w:rsidRDefault="003C5CBB" w:rsidP="003C5CBB">
      <w:pPr>
        <w:pStyle w:val="FootnoteText"/>
        <w:rPr>
          <w:lang w:val="da-DK"/>
        </w:rPr>
      </w:pPr>
      <w:r w:rsidRPr="003C5CBB">
        <w:rPr>
          <w:vertAlign w:val="superscript"/>
        </w:rPr>
        <w:footnoteRef/>
      </w:r>
      <w:r w:rsidRPr="003C5CBB">
        <w:rPr>
          <w:i/>
        </w:rPr>
        <w:t>Id</w:t>
      </w:r>
      <w:r w:rsidRPr="003C5CBB">
        <w:t>.</w:t>
      </w:r>
    </w:p>
  </w:footnote>
  <w:footnote w:id="410">
    <w:p w14:paraId="5F43C03D" w14:textId="1122F576" w:rsidR="003C5CBB" w:rsidRPr="00366F48" w:rsidRDefault="003C5CBB" w:rsidP="003C5CBB">
      <w:pPr>
        <w:pStyle w:val="FootnoteText"/>
        <w:rPr>
          <w:lang w:val="da-DK"/>
        </w:rPr>
      </w:pPr>
      <w:r w:rsidRPr="003C5CBB">
        <w:rPr>
          <w:vertAlign w:val="superscript"/>
        </w:rPr>
        <w:footnoteRef/>
      </w:r>
      <w:r w:rsidRPr="003C5CBB">
        <w:rPr>
          <w:i/>
        </w:rPr>
        <w:t>Id</w:t>
      </w:r>
      <w:r w:rsidRPr="003C5CBB">
        <w:t>. at *18.</w:t>
      </w:r>
    </w:p>
  </w:footnote>
  <w:footnote w:id="411">
    <w:p w14:paraId="25DBF42C" w14:textId="05B3FC72" w:rsidR="003C5CBB" w:rsidRPr="00366F48" w:rsidRDefault="003C5CBB" w:rsidP="003C5CBB">
      <w:pPr>
        <w:pStyle w:val="FootnoteText"/>
        <w:rPr>
          <w:lang w:val="da-DK"/>
        </w:rPr>
      </w:pPr>
      <w:r w:rsidRPr="003C5CBB">
        <w:rPr>
          <w:vertAlign w:val="superscript"/>
        </w:rPr>
        <w:footnoteRef/>
      </w:r>
      <w:r w:rsidRPr="003C5CBB">
        <w:t>60 USPQ2d 2000 (E.D. Pa. 2001).</w:t>
      </w:r>
    </w:p>
  </w:footnote>
  <w:footnote w:id="412">
    <w:p w14:paraId="503E1830" w14:textId="052F6C6A" w:rsidR="003C5CBB" w:rsidRPr="00366F48" w:rsidRDefault="003C5CBB" w:rsidP="003C5CBB">
      <w:pPr>
        <w:pStyle w:val="FootnoteText"/>
        <w:rPr>
          <w:lang w:val="da-DK"/>
        </w:rPr>
      </w:pPr>
      <w:r w:rsidRPr="003C5CBB">
        <w:rPr>
          <w:vertAlign w:val="superscript"/>
        </w:rPr>
        <w:footnoteRef/>
      </w:r>
      <w:r w:rsidRPr="003C5CBB">
        <w:rPr>
          <w:i/>
        </w:rPr>
        <w:t>Id</w:t>
      </w:r>
      <w:r w:rsidRPr="003C5CBB">
        <w:t xml:space="preserve">. </w:t>
      </w:r>
      <w:r w:rsidRPr="003C5CBB">
        <w:t>at 2003–04.</w:t>
      </w:r>
    </w:p>
  </w:footnote>
  <w:footnote w:id="413">
    <w:p w14:paraId="14D4C011" w14:textId="0650D4DC" w:rsidR="003C5CBB" w:rsidRPr="00517775" w:rsidRDefault="003C5CBB" w:rsidP="003C5CBB">
      <w:pPr>
        <w:pStyle w:val="FootnoteText"/>
      </w:pPr>
      <w:r w:rsidRPr="003C5CBB">
        <w:rPr>
          <w:vertAlign w:val="superscript"/>
        </w:rPr>
        <w:footnoteRef/>
      </w:r>
      <w:r w:rsidRPr="003C5CBB">
        <w:rPr>
          <w:i/>
        </w:rPr>
        <w:t>Id</w:t>
      </w:r>
      <w:r w:rsidRPr="003C5CBB">
        <w:t xml:space="preserve">. at 2004; </w:t>
      </w:r>
      <w:r w:rsidRPr="003C5CBB">
        <w:rPr>
          <w:i/>
        </w:rPr>
        <w:t>see</w:t>
      </w:r>
      <w:r w:rsidRPr="003C5CBB">
        <w:t xml:space="preserve"> Visa Int’l Serv. Ass’n v. JSL Corp., No. CV-S-01-0294-LRH, slip op. at 14–19 (D. Nev. Oct. 22, 2002) (discussing each of the factors and concluding that Visa is a famous mark), </w:t>
      </w:r>
      <w:r w:rsidRPr="003C5CBB">
        <w:rPr>
          <w:i/>
        </w:rPr>
        <w:t>vacated and remanded</w:t>
      </w:r>
      <w:r w:rsidRPr="003C5CBB">
        <w:t>, 90 F. App’x. 484 (9th Cir. 2003) (unpublished opinion).</w:t>
      </w:r>
    </w:p>
  </w:footnote>
  <w:footnote w:id="414">
    <w:p w14:paraId="7EF1EF88" w14:textId="22F2A4B4" w:rsidR="003C5CBB" w:rsidRPr="00517775" w:rsidRDefault="003C5CBB" w:rsidP="003C5CBB">
      <w:pPr>
        <w:pStyle w:val="FootnoteText"/>
      </w:pPr>
      <w:r w:rsidRPr="003C5CBB">
        <w:rPr>
          <w:vertAlign w:val="superscript"/>
        </w:rPr>
        <w:footnoteRef/>
      </w:r>
      <w:r w:rsidRPr="003C5CBB">
        <w:t>305 F.3d 894, 64 USPQ2d 1564 (9th Cir. 2002).</w:t>
      </w:r>
    </w:p>
  </w:footnote>
  <w:footnote w:id="415">
    <w:p w14:paraId="67FC09AC" w14:textId="66029D30" w:rsidR="003C5CBB" w:rsidRPr="00366F48" w:rsidRDefault="003C5CBB" w:rsidP="003C5CBB">
      <w:pPr>
        <w:pStyle w:val="FootnoteText"/>
        <w:rPr>
          <w:lang w:val="da-DK"/>
        </w:rPr>
      </w:pPr>
      <w:r w:rsidRPr="003C5CBB">
        <w:rPr>
          <w:vertAlign w:val="superscript"/>
        </w:rPr>
        <w:footnoteRef/>
      </w:r>
      <w:r w:rsidRPr="003C5CBB">
        <w:rPr>
          <w:i/>
        </w:rPr>
        <w:t>Id</w:t>
      </w:r>
      <w:r w:rsidRPr="003C5CBB">
        <w:t>. at 912.</w:t>
      </w:r>
    </w:p>
  </w:footnote>
  <w:footnote w:id="416">
    <w:p w14:paraId="128FD83E" w14:textId="0D552D28" w:rsidR="003C5CBB" w:rsidRPr="00366F48" w:rsidRDefault="003C5CBB" w:rsidP="003C5CBB">
      <w:pPr>
        <w:pStyle w:val="FootnoteText"/>
        <w:rPr>
          <w:lang w:val="da-DK"/>
        </w:rPr>
      </w:pPr>
      <w:r w:rsidRPr="003C5CBB">
        <w:rPr>
          <w:vertAlign w:val="superscript"/>
        </w:rPr>
        <w:footnoteRef/>
      </w:r>
      <w:r w:rsidRPr="003C5CBB">
        <w:rPr>
          <w:i/>
        </w:rPr>
        <w:t>Id</w:t>
      </w:r>
      <w:r w:rsidRPr="003C5CBB">
        <w:t>.</w:t>
      </w:r>
    </w:p>
  </w:footnote>
  <w:footnote w:id="417">
    <w:p w14:paraId="09F75B95" w14:textId="17B20E88" w:rsidR="003C5CBB" w:rsidRPr="00366F48" w:rsidRDefault="003C5CBB" w:rsidP="003C5CBB">
      <w:pPr>
        <w:pStyle w:val="FootnoteText"/>
        <w:rPr>
          <w:lang w:val="da-DK"/>
        </w:rPr>
      </w:pPr>
      <w:r w:rsidRPr="003C5CBB">
        <w:rPr>
          <w:vertAlign w:val="superscript"/>
        </w:rPr>
        <w:footnoteRef/>
      </w:r>
      <w:r w:rsidRPr="003C5CBB">
        <w:rPr>
          <w:i/>
        </w:rPr>
        <w:t>Id</w:t>
      </w:r>
      <w:r w:rsidRPr="003C5CBB">
        <w:t>. at 912 n.14.</w:t>
      </w:r>
    </w:p>
  </w:footnote>
  <w:footnote w:id="418">
    <w:p w14:paraId="42C39D61" w14:textId="24E43752" w:rsidR="003C5CBB" w:rsidRPr="00B1072D" w:rsidRDefault="003C5CBB" w:rsidP="003C5CBB">
      <w:pPr>
        <w:pStyle w:val="FootnoteText"/>
      </w:pPr>
      <w:r w:rsidRPr="003C5CBB">
        <w:rPr>
          <w:rStyle w:val="FootnoteReference"/>
          <w:rFonts w:eastAsiaTheme="majorEastAsia"/>
        </w:rPr>
        <w:footnoteRef/>
      </w:r>
      <w:r w:rsidRPr="003C5CBB">
        <w:t xml:space="preserve">More recently, the Ninth Circuit cited </w:t>
      </w:r>
      <w:r w:rsidRPr="003C5CBB">
        <w:rPr>
          <w:i/>
        </w:rPr>
        <w:t>Thane</w:t>
      </w:r>
      <w:r w:rsidRPr="003C5CBB">
        <w:t xml:space="preserve"> in reiterating that a famous mark must be a “household name” under the TDRA. Blumenthal Distrib., Inc. v. Herman Miller, Inc., 963 F.3d 859, 870-71 (9th Cir. 2020).</w:t>
      </w:r>
    </w:p>
  </w:footnote>
  <w:footnote w:id="419">
    <w:p w14:paraId="4140AF15" w14:textId="315FA221" w:rsidR="003C5CBB" w:rsidRPr="00517775" w:rsidRDefault="003C5CBB" w:rsidP="003C5CBB">
      <w:pPr>
        <w:pStyle w:val="FootnoteText"/>
      </w:pPr>
      <w:r w:rsidRPr="003C5CBB">
        <w:rPr>
          <w:vertAlign w:val="superscript"/>
        </w:rPr>
        <w:footnoteRef/>
      </w:r>
      <w:r w:rsidRPr="003C5CBB">
        <w:t>163 F.3d 27, 49 USPQ2d 1225 (1st Cir. 1998).</w:t>
      </w:r>
    </w:p>
  </w:footnote>
  <w:footnote w:id="420">
    <w:p w14:paraId="0D980807" w14:textId="2AE9BC2C" w:rsidR="003C5CBB" w:rsidRPr="00517775" w:rsidRDefault="003C5CBB" w:rsidP="003C5CBB">
      <w:pPr>
        <w:pStyle w:val="FootnoteText"/>
      </w:pPr>
      <w:r w:rsidRPr="003C5CBB">
        <w:rPr>
          <w:vertAlign w:val="superscript"/>
        </w:rPr>
        <w:footnoteRef/>
      </w:r>
      <w:r w:rsidRPr="003C5CBB">
        <w:rPr>
          <w:i/>
        </w:rPr>
        <w:t>Id</w:t>
      </w:r>
      <w:r w:rsidRPr="003C5CBB">
        <w:t>. at 47 (quoting I.P. Lund Trading ApS v. Kohler Co., 11 F. Supp. 2d 112, 125 (D. Mass. 1998) (“</w:t>
      </w:r>
      <w:r w:rsidRPr="003C5CBB">
        <w:rPr>
          <w:i/>
        </w:rPr>
        <w:t>Lund I</w:t>
      </w:r>
      <w:r w:rsidRPr="003C5CBB">
        <w:t>”)).</w:t>
      </w:r>
    </w:p>
  </w:footnote>
  <w:footnote w:id="421">
    <w:p w14:paraId="7CDEB95F" w14:textId="0E0102B4" w:rsidR="003C5CBB" w:rsidRPr="00517775" w:rsidRDefault="003C5CBB" w:rsidP="003C5CBB">
      <w:pPr>
        <w:pStyle w:val="FootnoteText"/>
      </w:pPr>
      <w:r w:rsidRPr="003C5CBB">
        <w:rPr>
          <w:vertAlign w:val="superscript"/>
        </w:rPr>
        <w:footnoteRef/>
      </w:r>
      <w:r w:rsidRPr="003C5CBB">
        <w:rPr>
          <w:i/>
        </w:rPr>
        <w:t>Id</w:t>
      </w:r>
      <w:r w:rsidRPr="003C5CBB">
        <w:t xml:space="preserve">.; </w:t>
      </w:r>
      <w:r w:rsidRPr="003C5CBB">
        <w:rPr>
          <w:i/>
        </w:rPr>
        <w:t>see</w:t>
      </w:r>
      <w:r w:rsidRPr="003C5CBB">
        <w:t xml:space="preserve"> </w:t>
      </w:r>
      <w:r w:rsidRPr="003C5CBB">
        <w:rPr>
          <w:i/>
        </w:rPr>
        <w:t>Lund I</w:t>
      </w:r>
      <w:r w:rsidRPr="003C5CBB">
        <w:t>, 11 F. Supp. 2d at 121.</w:t>
      </w:r>
    </w:p>
  </w:footnote>
  <w:footnote w:id="422">
    <w:p w14:paraId="5E1719F7" w14:textId="6011117F" w:rsidR="003C5CBB" w:rsidRPr="00517775" w:rsidRDefault="003C5CBB" w:rsidP="003C5CBB">
      <w:pPr>
        <w:pStyle w:val="FootnoteText"/>
      </w:pPr>
      <w:r w:rsidRPr="003C5CBB">
        <w:rPr>
          <w:vertAlign w:val="superscript"/>
        </w:rPr>
        <w:footnoteRef/>
      </w:r>
      <w:r w:rsidRPr="003C5CBB">
        <w:t>163 F.3d at 47.</w:t>
      </w:r>
    </w:p>
  </w:footnote>
  <w:footnote w:id="423">
    <w:p w14:paraId="3EB97F5F" w14:textId="38876EFF" w:rsidR="003C5CBB" w:rsidRPr="00517775" w:rsidRDefault="003C5CBB" w:rsidP="003C5CBB">
      <w:pPr>
        <w:pStyle w:val="FootnoteText"/>
      </w:pPr>
      <w:r w:rsidRPr="003C5CBB">
        <w:rPr>
          <w:vertAlign w:val="superscript"/>
        </w:rPr>
        <w:footnoteRef/>
      </w:r>
      <w:r w:rsidRPr="003C5CBB">
        <w:rPr>
          <w:i/>
        </w:rPr>
        <w:t>Id</w:t>
      </w:r>
      <w:r w:rsidRPr="003C5CBB">
        <w:t xml:space="preserve">. In this regard, the court may have been influenced by the fact that the case involved a product design and thus raised a possible conflict with the Patent Clause of the U.S. Constitution. </w:t>
      </w:r>
      <w:r w:rsidRPr="003C5CBB">
        <w:rPr>
          <w:i/>
        </w:rPr>
        <w:t>See</w:t>
      </w:r>
      <w:r w:rsidRPr="003C5CBB">
        <w:t xml:space="preserve"> </w:t>
      </w:r>
      <w:r w:rsidRPr="003C5CBB">
        <w:rPr>
          <w:i/>
        </w:rPr>
        <w:t>id</w:t>
      </w:r>
      <w:r w:rsidRPr="003C5CBB">
        <w:t>. at 47, 50.</w:t>
      </w:r>
    </w:p>
  </w:footnote>
  <w:footnote w:id="424">
    <w:p w14:paraId="3E5BDC03" w14:textId="02691E8E" w:rsidR="003C5CBB" w:rsidRPr="00517775" w:rsidRDefault="003C5CBB" w:rsidP="003C5CBB">
      <w:pPr>
        <w:pStyle w:val="FootnoteText"/>
      </w:pPr>
      <w:r w:rsidRPr="003C5CBB">
        <w:rPr>
          <w:vertAlign w:val="superscript"/>
        </w:rPr>
        <w:footnoteRef/>
      </w:r>
      <w:r w:rsidRPr="003C5CBB">
        <w:rPr>
          <w:i/>
        </w:rPr>
        <w:t>Id</w:t>
      </w:r>
      <w:r w:rsidRPr="003C5CBB">
        <w:t xml:space="preserve">. at 47. On remand, both sides introduced surveys. The district court held that these surveys demonstrated that the faucet design had </w:t>
      </w:r>
      <w:r w:rsidRPr="003C5CBB">
        <w:rPr>
          <w:i/>
        </w:rPr>
        <w:t>not</w:t>
      </w:r>
      <w:r w:rsidRPr="003C5CBB">
        <w:t xml:space="preserve"> acquired secondary meaning. 118 F. Supp. 2d 92, 105–11, 56 USPQ2d 1776 (D. Mass. 2000).</w:t>
      </w:r>
    </w:p>
  </w:footnote>
  <w:footnote w:id="425">
    <w:p w14:paraId="29197D34" w14:textId="7D46C506" w:rsidR="003C5CBB" w:rsidRPr="00517775" w:rsidRDefault="003C5CBB" w:rsidP="003C5CBB">
      <w:pPr>
        <w:pStyle w:val="FootnoteText"/>
      </w:pPr>
      <w:r w:rsidRPr="003C5CBB">
        <w:rPr>
          <w:vertAlign w:val="superscript"/>
        </w:rPr>
        <w:footnoteRef/>
      </w:r>
      <w:r w:rsidRPr="003C5CBB">
        <w:t>189 F.3d 868, 51 USPQ2d 1801 (9th Cir. 1999).</w:t>
      </w:r>
    </w:p>
  </w:footnote>
  <w:footnote w:id="426">
    <w:p w14:paraId="00A52424" w14:textId="15C5E6AF" w:rsidR="003C5CBB" w:rsidRPr="00517775" w:rsidRDefault="003C5CBB" w:rsidP="003C5CBB">
      <w:pPr>
        <w:pStyle w:val="FootnoteText"/>
      </w:pPr>
      <w:r w:rsidRPr="003C5CBB">
        <w:rPr>
          <w:vertAlign w:val="superscript"/>
        </w:rPr>
        <w:footnoteRef/>
      </w:r>
      <w:r w:rsidRPr="003C5CBB">
        <w:rPr>
          <w:i/>
        </w:rPr>
        <w:t>Id</w:t>
      </w:r>
      <w:r w:rsidRPr="003C5CBB">
        <w:t>. at 872.</w:t>
      </w:r>
    </w:p>
  </w:footnote>
  <w:footnote w:id="427">
    <w:p w14:paraId="2A3A8662" w14:textId="642F8AC9" w:rsidR="003C5CBB" w:rsidRPr="00517775" w:rsidRDefault="003C5CBB" w:rsidP="003C5CBB">
      <w:pPr>
        <w:pStyle w:val="FootnoteText"/>
      </w:pPr>
      <w:r w:rsidRPr="003C5CBB">
        <w:rPr>
          <w:vertAlign w:val="superscript"/>
        </w:rPr>
        <w:footnoteRef/>
      </w:r>
      <w:r w:rsidRPr="003C5CBB">
        <w:t xml:space="preserve">These included Avery, Dennison, and Avery Dennison in separate registrations. </w:t>
      </w:r>
      <w:r w:rsidRPr="003C5CBB">
        <w:rPr>
          <w:i/>
        </w:rPr>
        <w:t>Id</w:t>
      </w:r>
      <w:r w:rsidRPr="003C5CBB">
        <w:t>. at 877.</w:t>
      </w:r>
    </w:p>
  </w:footnote>
  <w:footnote w:id="428">
    <w:p w14:paraId="6687F99B" w14:textId="0EEC2F3E" w:rsidR="003C5CBB" w:rsidRPr="00517775" w:rsidRDefault="003C5CBB" w:rsidP="003C5CBB">
      <w:pPr>
        <w:pStyle w:val="FootnoteText"/>
      </w:pPr>
      <w:r w:rsidRPr="003C5CBB">
        <w:rPr>
          <w:vertAlign w:val="superscript"/>
        </w:rPr>
        <w:footnoteRef/>
      </w:r>
      <w:r w:rsidRPr="003C5CBB">
        <w:rPr>
          <w:i/>
        </w:rPr>
        <w:t>See</w:t>
      </w:r>
      <w:r w:rsidRPr="003C5CBB">
        <w:t xml:space="preserve"> 15 U.S.C. §1052(e)(4), (f) (a mark that is “primarily merely a surname” registrable only if secondary meaning exists).</w:t>
      </w:r>
    </w:p>
  </w:footnote>
  <w:footnote w:id="429">
    <w:p w14:paraId="59B2806F" w14:textId="7FBCE214" w:rsidR="003C5CBB" w:rsidRPr="00517775" w:rsidRDefault="003C5CBB" w:rsidP="003C5CBB">
      <w:pPr>
        <w:pStyle w:val="FootnoteText"/>
      </w:pPr>
      <w:r w:rsidRPr="003C5CBB">
        <w:rPr>
          <w:vertAlign w:val="superscript"/>
        </w:rPr>
        <w:footnoteRef/>
      </w:r>
      <w:r w:rsidRPr="003C5CBB">
        <w:t>189 F.3d at 877.</w:t>
      </w:r>
    </w:p>
  </w:footnote>
  <w:footnote w:id="430">
    <w:p w14:paraId="687C7F3E" w14:textId="15DD186C" w:rsidR="003C5CBB" w:rsidRPr="00517775" w:rsidRDefault="003C5CBB" w:rsidP="003C5CBB">
      <w:pPr>
        <w:pStyle w:val="FootnoteText"/>
      </w:pPr>
      <w:r w:rsidRPr="003C5CBB">
        <w:rPr>
          <w:vertAlign w:val="superscript"/>
        </w:rPr>
        <w:footnoteRef/>
      </w:r>
      <w:r w:rsidRPr="003C5CBB">
        <w:rPr>
          <w:i/>
        </w:rPr>
        <w:t>Id</w:t>
      </w:r>
      <w:r w:rsidRPr="003C5CBB">
        <w:t xml:space="preserve">. at 877–78. This related to former Lanham Act §43(c)(1)(E) and (F). The court’s discussion here proceeded as if Avery Dennison might claim to be famous in a limited geographic market, </w:t>
      </w:r>
      <w:r w:rsidRPr="003C5CBB">
        <w:t>as long as the parties competed, which they did not here. 189 F.3d at 877–78. This was a problematic interpretation of the FTDA, involving a form of niche fame. The TDRA eliminated niche fame. The possibility of such “niche market” fame is discussed separately in §V, below.</w:t>
      </w:r>
    </w:p>
  </w:footnote>
  <w:footnote w:id="431">
    <w:p w14:paraId="18ED6BF7" w14:textId="1CF88FC9" w:rsidR="003C5CBB" w:rsidRPr="00517775" w:rsidRDefault="003C5CBB" w:rsidP="003C5CBB">
      <w:pPr>
        <w:pStyle w:val="FootnoteText"/>
      </w:pPr>
      <w:r w:rsidRPr="003C5CBB">
        <w:rPr>
          <w:vertAlign w:val="superscript"/>
        </w:rPr>
        <w:footnoteRef/>
      </w:r>
      <w:r w:rsidRPr="003C5CBB">
        <w:t>189 F.3d at 878. As discussed in Chapter 9, third-party uses are now part of the factors used to analyze dilution by blurring.</w:t>
      </w:r>
    </w:p>
  </w:footnote>
  <w:footnote w:id="432">
    <w:p w14:paraId="66A66FF4" w14:textId="5DFE91DE" w:rsidR="003C5CBB" w:rsidRPr="00517775" w:rsidRDefault="003C5CBB" w:rsidP="003C5CBB">
      <w:pPr>
        <w:pStyle w:val="FootnoteText"/>
      </w:pPr>
      <w:r w:rsidRPr="003C5CBB">
        <w:rPr>
          <w:vertAlign w:val="superscript"/>
        </w:rPr>
        <w:footnoteRef/>
      </w:r>
      <w:r w:rsidRPr="003C5CBB">
        <w:rPr>
          <w:i/>
        </w:rPr>
        <w:t>Id</w:t>
      </w:r>
      <w:r w:rsidRPr="003C5CBB">
        <w:t>. at 878–79 (noting that “worldwide use of a non-famous mark does not establish fame”).</w:t>
      </w:r>
    </w:p>
  </w:footnote>
  <w:footnote w:id="433">
    <w:p w14:paraId="40E37540" w14:textId="0A2ED90E" w:rsidR="003C5CBB" w:rsidRPr="00517775" w:rsidRDefault="003C5CBB" w:rsidP="003C5CBB">
      <w:pPr>
        <w:pStyle w:val="FootnoteText"/>
      </w:pPr>
      <w:r w:rsidRPr="003C5CBB">
        <w:rPr>
          <w:vertAlign w:val="superscript"/>
        </w:rPr>
        <w:footnoteRef/>
      </w:r>
      <w:r w:rsidRPr="003C5CBB">
        <w:rPr>
          <w:i/>
        </w:rPr>
        <w:t>Id</w:t>
      </w:r>
      <w:r w:rsidRPr="003C5CBB">
        <w:t>. at 879.</w:t>
      </w:r>
    </w:p>
  </w:footnote>
  <w:footnote w:id="434">
    <w:p w14:paraId="7E1D24A4" w14:textId="424994AD" w:rsidR="003C5CBB" w:rsidRPr="00517775" w:rsidRDefault="003C5CBB" w:rsidP="003C5CBB">
      <w:pPr>
        <w:pStyle w:val="FootnoteText"/>
      </w:pPr>
      <w:r w:rsidRPr="003C5CBB">
        <w:rPr>
          <w:vertAlign w:val="superscript"/>
        </w:rPr>
        <w:footnoteRef/>
      </w:r>
      <w:r w:rsidRPr="003C5CBB">
        <w:rPr>
          <w:i/>
        </w:rPr>
        <w:t>Id</w:t>
      </w:r>
      <w:r w:rsidRPr="003C5CBB">
        <w:t>.</w:t>
      </w:r>
    </w:p>
  </w:footnote>
  <w:footnote w:id="435">
    <w:p w14:paraId="4322A058" w14:textId="1378C4D9" w:rsidR="003C5CBB" w:rsidRPr="00517775" w:rsidRDefault="003C5CBB" w:rsidP="003C5CBB">
      <w:pPr>
        <w:pStyle w:val="FootnoteText"/>
      </w:pPr>
      <w:r w:rsidRPr="003C5CBB">
        <w:rPr>
          <w:vertAlign w:val="superscript"/>
        </w:rPr>
        <w:footnoteRef/>
      </w:r>
      <w:r w:rsidRPr="003C5CBB">
        <w:t>244 F.3d 88, 57 USPQ2d 1969 (2d Cir. 2001).</w:t>
      </w:r>
    </w:p>
  </w:footnote>
  <w:footnote w:id="436">
    <w:p w14:paraId="0CED580F" w14:textId="6494EA49" w:rsidR="003C5CBB" w:rsidRPr="00517775" w:rsidRDefault="003C5CBB" w:rsidP="003C5CBB">
      <w:pPr>
        <w:pStyle w:val="FootnoteText"/>
      </w:pPr>
      <w:r w:rsidRPr="003C5CBB">
        <w:rPr>
          <w:vertAlign w:val="superscript"/>
        </w:rPr>
        <w:footnoteRef/>
      </w:r>
      <w:r w:rsidRPr="003C5CBB">
        <w:t>Nabisco, Inc. v. PF Brands, Inc., 191 F.3d 208, 216, 51 USPQ2d 1882 (2d Cir. 1999).</w:t>
      </w:r>
    </w:p>
  </w:footnote>
  <w:footnote w:id="437">
    <w:p w14:paraId="5D371A9E" w14:textId="1BD9793B" w:rsidR="003C5CBB" w:rsidRPr="00517775" w:rsidRDefault="003C5CBB" w:rsidP="003C5CBB">
      <w:pPr>
        <w:pStyle w:val="FootnoteText"/>
      </w:pPr>
      <w:r w:rsidRPr="003C5CBB">
        <w:rPr>
          <w:vertAlign w:val="superscript"/>
        </w:rPr>
        <w:footnoteRef/>
      </w:r>
      <w:r w:rsidRPr="003C5CBB">
        <w:t xml:space="preserve">The court also noted that the degree of distinctiveness was the first of the factors listed under the FTDA. </w:t>
      </w:r>
      <w:r w:rsidRPr="003C5CBB">
        <w:rPr>
          <w:i/>
        </w:rPr>
        <w:t>TCPIP Holding</w:t>
      </w:r>
      <w:r w:rsidRPr="003C5CBB">
        <w:t>, 244 F.3d at 93. Distinctiveness as a separate element in the analysis is discussed in §VIII, below.</w:t>
      </w:r>
    </w:p>
  </w:footnote>
  <w:footnote w:id="438">
    <w:p w14:paraId="03D0A9E7" w14:textId="010C91BF" w:rsidR="003C5CBB" w:rsidRPr="00366F48" w:rsidRDefault="003C5CBB" w:rsidP="003C5CBB">
      <w:pPr>
        <w:pStyle w:val="FootnoteText"/>
        <w:rPr>
          <w:lang w:val="da-DK"/>
        </w:rPr>
      </w:pPr>
      <w:r w:rsidRPr="003C5CBB">
        <w:rPr>
          <w:vertAlign w:val="superscript"/>
        </w:rPr>
        <w:footnoteRef/>
      </w:r>
      <w:r w:rsidRPr="003C5CBB">
        <w:rPr>
          <w:i/>
        </w:rPr>
        <w:t>Id</w:t>
      </w:r>
      <w:r w:rsidRPr="003C5CBB">
        <w:t>. at 93–94.</w:t>
      </w:r>
    </w:p>
  </w:footnote>
  <w:footnote w:id="439">
    <w:p w14:paraId="0CEFDB12" w14:textId="5A400089" w:rsidR="003C5CBB" w:rsidRPr="00366F48" w:rsidRDefault="003C5CBB" w:rsidP="003C5CBB">
      <w:pPr>
        <w:pStyle w:val="FootnoteText"/>
        <w:rPr>
          <w:lang w:val="da-DK"/>
        </w:rPr>
      </w:pPr>
      <w:r w:rsidRPr="003C5CBB">
        <w:rPr>
          <w:vertAlign w:val="superscript"/>
        </w:rPr>
        <w:footnoteRef/>
      </w:r>
      <w:r w:rsidRPr="003C5CBB">
        <w:rPr>
          <w:i/>
        </w:rPr>
        <w:t>Id</w:t>
      </w:r>
      <w:r w:rsidRPr="003C5CBB">
        <w:t>. at 95.</w:t>
      </w:r>
    </w:p>
  </w:footnote>
  <w:footnote w:id="440">
    <w:p w14:paraId="7548B5BD" w14:textId="646171CB" w:rsidR="003C5CBB" w:rsidRPr="003C5CBB" w:rsidRDefault="003C5CBB" w:rsidP="003C5CBB">
      <w:pPr>
        <w:pStyle w:val="FootnoteText"/>
      </w:pPr>
      <w:r w:rsidRPr="003C5CBB">
        <w:rPr>
          <w:vertAlign w:val="superscript"/>
        </w:rPr>
        <w:footnoteRef/>
      </w:r>
      <w:r w:rsidRPr="003C5CBB">
        <w:rPr>
          <w:i/>
        </w:rPr>
        <w:t>Id</w:t>
      </w:r>
      <w:r w:rsidRPr="003C5CBB">
        <w:t>. at 96.</w:t>
      </w:r>
    </w:p>
    <w:p w14:paraId="017112E4" w14:textId="77777777" w:rsidR="003C5CBB" w:rsidRPr="00366F48" w:rsidRDefault="003C5CBB" w:rsidP="00AF29FC">
      <w:pPr>
        <w:pStyle w:val="footnote"/>
        <w:rPr>
          <w:lang w:val="da-DK"/>
        </w:rPr>
      </w:pPr>
    </w:p>
  </w:footnote>
  <w:footnote w:id="441">
    <w:p w14:paraId="43BA0F70" w14:textId="77DF80F4" w:rsidR="003C5CBB" w:rsidRPr="00517775" w:rsidRDefault="003C5CBB" w:rsidP="003C5CBB">
      <w:pPr>
        <w:pStyle w:val="FootnoteText"/>
      </w:pPr>
      <w:r w:rsidRPr="003C5CBB">
        <w:rPr>
          <w:vertAlign w:val="superscript"/>
        </w:rPr>
        <w:footnoteRef/>
      </w:r>
      <w:r w:rsidRPr="003C5CBB">
        <w:rPr>
          <w:i/>
        </w:rPr>
        <w:t>Id</w:t>
      </w:r>
      <w:r w:rsidRPr="003C5CBB">
        <w:t xml:space="preserve">. at 97. This acquired-distinctiveness requirement goes to whether the mark is “famous,” while inherent distinctiveness </w:t>
      </w:r>
      <w:r w:rsidRPr="003C5CBB">
        <w:t xml:space="preserve">insures that the mark has “distinctive quality.” </w:t>
      </w:r>
      <w:r w:rsidRPr="003C5CBB">
        <w:rPr>
          <w:i/>
        </w:rPr>
        <w:t>Id</w:t>
      </w:r>
      <w:r w:rsidRPr="003C5CBB">
        <w:t>. at 98.</w:t>
      </w:r>
    </w:p>
  </w:footnote>
  <w:footnote w:id="442">
    <w:p w14:paraId="21E792A1" w14:textId="5462F8B7" w:rsidR="003C5CBB" w:rsidRPr="00517775" w:rsidRDefault="003C5CBB" w:rsidP="003C5CBB">
      <w:pPr>
        <w:pStyle w:val="FootnoteText"/>
      </w:pPr>
      <w:r w:rsidRPr="003C5CBB">
        <w:rPr>
          <w:vertAlign w:val="superscript"/>
        </w:rPr>
        <w:footnoteRef/>
      </w:r>
      <w:r w:rsidRPr="003C5CBB">
        <w:rPr>
          <w:i/>
        </w:rPr>
        <w:t>Id</w:t>
      </w:r>
      <w:r w:rsidRPr="003C5CBB">
        <w:t>. at 99.</w:t>
      </w:r>
    </w:p>
  </w:footnote>
  <w:footnote w:id="443">
    <w:p w14:paraId="695C885D" w14:textId="3FB3BE83" w:rsidR="003C5CBB" w:rsidRPr="00517775"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 xml:space="preserve">., We Media, Inc. v. General Elec. Co., 218 F. Supp. 2d 463, 471–72, 68 USPQ2d 1108 (S.D.N.Y. 2002), </w:t>
      </w:r>
      <w:r w:rsidRPr="003C5CBB">
        <w:rPr>
          <w:i/>
        </w:rPr>
        <w:t>aff’d</w:t>
      </w:r>
      <w:r w:rsidRPr="003C5CBB">
        <w:t xml:space="preserve">, 94 F. App’x. 29 (2d Cir. 2004) (unpublished opinion) (court found We Media mark suggestive, but not arbitrary or fanciful, and rejected survey evidence, which the court noted was not directed at the issue of trademark distinctiveness and which showed at best a low level of public trademark association); Welch Allyn, Inc. v. Tyco Int’l Servs., AG, 200 F. Supp. 2d 130, 148, 63 USPQ2d 1508 (N.D.N.Y. 2002) (stating that the mark “falls far short of a showing that [it] possesses a ‘substantial degree of fame’” as required by </w:t>
      </w:r>
      <w:r w:rsidRPr="003C5CBB">
        <w:rPr>
          <w:i/>
        </w:rPr>
        <w:t>TCPIP</w:t>
      </w:r>
      <w:r w:rsidRPr="003C5CBB">
        <w:t xml:space="preserve">). The </w:t>
      </w:r>
      <w:r w:rsidRPr="003C5CBB">
        <w:rPr>
          <w:i/>
        </w:rPr>
        <w:t>Welch Allyn</w:t>
      </w:r>
      <w:r w:rsidRPr="003C5CBB">
        <w:t xml:space="preserve"> court noted that several of the factors listed in §43(c)(1) of the Lanham Act favored a finding of fame. However, the lack of acquired distinctiveness was deemed more important. </w:t>
      </w:r>
      <w:r w:rsidRPr="003C5CBB">
        <w:rPr>
          <w:i/>
        </w:rPr>
        <w:t>Id</w:t>
      </w:r>
      <w:r w:rsidRPr="003C5CBB">
        <w:t>.</w:t>
      </w:r>
    </w:p>
  </w:footnote>
  <w:footnote w:id="444">
    <w:p w14:paraId="30FC14D8" w14:textId="17C09298" w:rsidR="003C5CBB" w:rsidRPr="00517775" w:rsidRDefault="003C5CBB" w:rsidP="003C5CBB">
      <w:pPr>
        <w:pStyle w:val="FootnoteText"/>
      </w:pPr>
      <w:r w:rsidRPr="003C5CBB">
        <w:rPr>
          <w:vertAlign w:val="superscript"/>
        </w:rPr>
        <w:footnoteRef/>
      </w:r>
      <w:r w:rsidRPr="003C5CBB">
        <w:t xml:space="preserve">Lanham Act §43(c)(1), 15 U.S.C. §1125(c)(1). The TDRA specifically allows the distinctiveness element to be demonstrated by acquired distinctiveness, but it does not specify any </w:t>
      </w:r>
      <w:r w:rsidRPr="003C5CBB">
        <w:t>particular level of acquired distinctiveness.</w:t>
      </w:r>
    </w:p>
  </w:footnote>
  <w:footnote w:id="445">
    <w:p w14:paraId="49A93491" w14:textId="6DA0760A" w:rsidR="003C5CBB" w:rsidRPr="00517775" w:rsidRDefault="003C5CBB" w:rsidP="003C5CBB">
      <w:pPr>
        <w:pStyle w:val="FootnoteText"/>
      </w:pPr>
      <w:r w:rsidRPr="003C5CBB">
        <w:rPr>
          <w:vertAlign w:val="superscript"/>
        </w:rPr>
        <w:footnoteRef/>
      </w:r>
      <w:r w:rsidRPr="003C5CBB">
        <w:t xml:space="preserve">218 F. Supp. 2d 463, 68 USPQ2d 1108 (S.D.N.Y. 2002), </w:t>
      </w:r>
      <w:r w:rsidRPr="003C5CBB">
        <w:rPr>
          <w:i/>
        </w:rPr>
        <w:t>aff’d</w:t>
      </w:r>
      <w:r w:rsidRPr="003C5CBB">
        <w:t>, 94 F. App’x. 29 (2d Cir. 2004) (unpublished opinion).</w:t>
      </w:r>
    </w:p>
  </w:footnote>
  <w:footnote w:id="446">
    <w:p w14:paraId="52A6CA0F" w14:textId="3FDD3E4A" w:rsidR="003C5CBB" w:rsidRPr="0040679C" w:rsidRDefault="003C5CBB" w:rsidP="003C5CBB">
      <w:pPr>
        <w:pStyle w:val="FootnoteText"/>
        <w:rPr>
          <w:lang w:val="da-DK"/>
        </w:rPr>
      </w:pPr>
      <w:r w:rsidRPr="003C5CBB">
        <w:rPr>
          <w:vertAlign w:val="superscript"/>
        </w:rPr>
        <w:footnoteRef/>
      </w:r>
      <w:r w:rsidRPr="003C5CBB">
        <w:rPr>
          <w:i/>
        </w:rPr>
        <w:t>Id</w:t>
      </w:r>
      <w:r w:rsidRPr="003C5CBB">
        <w:t>. at 471–72.</w:t>
      </w:r>
    </w:p>
  </w:footnote>
  <w:footnote w:id="447">
    <w:p w14:paraId="32B6EBF6" w14:textId="25AB8303" w:rsidR="003C5CBB" w:rsidRPr="0040679C" w:rsidRDefault="003C5CBB" w:rsidP="003C5CBB">
      <w:pPr>
        <w:pStyle w:val="FootnoteText"/>
        <w:rPr>
          <w:lang w:val="da-DK"/>
        </w:rPr>
      </w:pPr>
      <w:r w:rsidRPr="003C5CBB">
        <w:rPr>
          <w:vertAlign w:val="superscript"/>
        </w:rPr>
        <w:footnoteRef/>
      </w:r>
      <w:r w:rsidRPr="003C5CBB">
        <w:rPr>
          <w:i/>
        </w:rPr>
        <w:t>Id</w:t>
      </w:r>
      <w:r w:rsidRPr="003C5CBB">
        <w:t>. at 472.</w:t>
      </w:r>
    </w:p>
  </w:footnote>
  <w:footnote w:id="448">
    <w:p w14:paraId="5255D6C9" w14:textId="3FCDD3AB" w:rsidR="003C5CBB" w:rsidRPr="0040679C" w:rsidRDefault="003C5CBB" w:rsidP="003C5CBB">
      <w:pPr>
        <w:pStyle w:val="FootnoteText"/>
        <w:rPr>
          <w:lang w:val="da-DK"/>
        </w:rPr>
      </w:pPr>
      <w:r w:rsidRPr="003C5CBB">
        <w:rPr>
          <w:vertAlign w:val="superscript"/>
        </w:rPr>
        <w:footnoteRef/>
      </w:r>
      <w:r w:rsidRPr="003C5CBB">
        <w:rPr>
          <w:i/>
        </w:rPr>
        <w:t>Id</w:t>
      </w:r>
      <w:r w:rsidRPr="003C5CBB">
        <w:t>.</w:t>
      </w:r>
    </w:p>
  </w:footnote>
  <w:footnote w:id="449">
    <w:p w14:paraId="63B63974" w14:textId="563E2F32" w:rsidR="003C5CBB" w:rsidRPr="00517775" w:rsidRDefault="003C5CBB" w:rsidP="003C5CBB">
      <w:pPr>
        <w:pStyle w:val="FootnoteText"/>
      </w:pPr>
      <w:r w:rsidRPr="003C5CBB">
        <w:rPr>
          <w:vertAlign w:val="superscript"/>
        </w:rPr>
        <w:footnoteRef/>
      </w:r>
      <w:r w:rsidRPr="003C5CBB">
        <w:rPr>
          <w:i/>
        </w:rPr>
        <w:t>Id</w:t>
      </w:r>
      <w:r w:rsidRPr="003C5CBB">
        <w:t>.</w:t>
      </w:r>
    </w:p>
  </w:footnote>
  <w:footnote w:id="450">
    <w:p w14:paraId="5F712EA0" w14:textId="2AA57678" w:rsidR="003C5CBB" w:rsidRPr="00517775" w:rsidRDefault="003C5CBB" w:rsidP="003C5CBB">
      <w:pPr>
        <w:pStyle w:val="FootnoteText"/>
      </w:pPr>
      <w:r w:rsidRPr="003C5CBB">
        <w:rPr>
          <w:vertAlign w:val="superscript"/>
        </w:rPr>
        <w:footnoteRef/>
      </w:r>
      <w:r w:rsidRPr="003C5CBB">
        <w:rPr>
          <w:i/>
        </w:rPr>
        <w:t>Id</w:t>
      </w:r>
      <w:r w:rsidRPr="003C5CBB">
        <w:t>. (This latter observation, while interesting, may place too much emphasis on the marks’ being used in competition. However, in view of the Second Circuit’s pre-TDRA emphasis on competitive factors, the court’s conclusion is not surprising.)</w:t>
      </w:r>
    </w:p>
  </w:footnote>
  <w:footnote w:id="451">
    <w:p w14:paraId="0D356FAF" w14:textId="65009766" w:rsidR="003C5CBB" w:rsidRPr="00517775" w:rsidRDefault="003C5CBB" w:rsidP="003C5CBB">
      <w:pPr>
        <w:pStyle w:val="FootnoteText"/>
      </w:pPr>
      <w:r w:rsidRPr="003C5CBB">
        <w:rPr>
          <w:vertAlign w:val="superscript"/>
        </w:rPr>
        <w:footnoteRef/>
      </w:r>
      <w:r w:rsidRPr="003C5CBB">
        <w:t>Toro Co. v. ToroHead, Inc., 61 USPQ2d 1164 (T.T.A.B. 2001). See Chapter 13, §I.D.1, for a complete discussion of TTAB cases. Several post-TDRA TTAB cases are also discussed in §III.A, above.</w:t>
      </w:r>
    </w:p>
  </w:footnote>
  <w:footnote w:id="452">
    <w:p w14:paraId="1DCAE197" w14:textId="3F8D05AF" w:rsidR="003C5CBB" w:rsidRPr="00517775" w:rsidRDefault="003C5CBB" w:rsidP="003C5CBB">
      <w:pPr>
        <w:pStyle w:val="FootnoteText"/>
      </w:pPr>
      <w:r w:rsidRPr="003C5CBB">
        <w:rPr>
          <w:vertAlign w:val="superscript"/>
        </w:rPr>
        <w:footnoteRef/>
      </w:r>
      <w:r w:rsidRPr="003C5CBB">
        <w:t>NASDAQ Stock Market, Inc. v. Antarctica, S.r.l., 69 USPQ2d 1718 (T.T.A.B. 2003).</w:t>
      </w:r>
    </w:p>
  </w:footnote>
  <w:footnote w:id="453">
    <w:p w14:paraId="6BCC8EA3" w14:textId="66C34759" w:rsidR="003C5CBB" w:rsidRPr="00366F48" w:rsidRDefault="003C5CBB" w:rsidP="003C5CBB">
      <w:pPr>
        <w:pStyle w:val="FootnoteText"/>
        <w:rPr>
          <w:lang w:val="es-US"/>
        </w:rPr>
      </w:pPr>
      <w:r w:rsidRPr="003C5CBB">
        <w:rPr>
          <w:vertAlign w:val="superscript"/>
        </w:rPr>
        <w:footnoteRef/>
      </w:r>
      <w:r w:rsidRPr="003C5CBB">
        <w:t>244 F.3d 88, 57 USPQ2d 1969 (2d Cir. 2001).</w:t>
      </w:r>
    </w:p>
  </w:footnote>
  <w:footnote w:id="454">
    <w:p w14:paraId="72767717" w14:textId="28BEA340" w:rsidR="003C5CBB" w:rsidRPr="003C5CBB" w:rsidRDefault="003C5CBB" w:rsidP="003C5CBB">
      <w:pPr>
        <w:pStyle w:val="FootnoteText"/>
      </w:pPr>
      <w:r w:rsidRPr="003C5CBB">
        <w:rPr>
          <w:vertAlign w:val="superscript"/>
        </w:rPr>
        <w:footnoteRef/>
      </w:r>
      <w:r w:rsidRPr="003C5CBB">
        <w:rPr>
          <w:i/>
        </w:rPr>
        <w:t>Id</w:t>
      </w:r>
      <w:r w:rsidRPr="003C5CBB">
        <w:t>. at 98 (emphasis in original).</w:t>
      </w:r>
    </w:p>
    <w:p w14:paraId="45C3AE3B" w14:textId="77777777" w:rsidR="003C5CBB" w:rsidRPr="00517775" w:rsidRDefault="003C5CBB" w:rsidP="00AF29FC">
      <w:pPr>
        <w:pStyle w:val="footnote"/>
      </w:pPr>
    </w:p>
  </w:footnote>
  <w:footnote w:id="455">
    <w:p w14:paraId="72974CD2" w14:textId="348996EE" w:rsidR="003C5CBB" w:rsidRPr="00517775" w:rsidRDefault="003C5CBB" w:rsidP="003C5CBB">
      <w:pPr>
        <w:pStyle w:val="FootnoteText"/>
      </w:pPr>
      <w:r w:rsidRPr="003C5CBB">
        <w:rPr>
          <w:vertAlign w:val="superscript"/>
        </w:rPr>
        <w:footnoteRef/>
      </w:r>
      <w:r w:rsidRPr="003C5CBB">
        <w:rPr>
          <w:i/>
        </w:rPr>
        <w:t>Id</w:t>
      </w:r>
      <w:r w:rsidRPr="003C5CBB">
        <w:t>. at 99.</w:t>
      </w:r>
    </w:p>
  </w:footnote>
  <w:footnote w:id="456">
    <w:p w14:paraId="2A85E478" w14:textId="2FD7230D"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McGraw-Edison Co. v. Walt Disney Prods., 787 F.2d 1163, 1167 (7th Cir. 1986); AMF Inc. v. Sleekcraft Boats, 599 F.2d 341, 348–49 (9th Cir. 1979); Polaroid Corp. v. Polarad Elecs. Corp., 287 F.2d 492, 495 (2d Cir.), </w:t>
      </w:r>
      <w:r w:rsidRPr="003C5CBB">
        <w:rPr>
          <w:i/>
        </w:rPr>
        <w:t>cert</w:t>
      </w:r>
      <w:r w:rsidRPr="003C5CBB">
        <w:t xml:space="preserve">. </w:t>
      </w:r>
      <w:r w:rsidRPr="003C5CBB">
        <w:rPr>
          <w:i/>
        </w:rPr>
        <w:t>denied</w:t>
      </w:r>
      <w:r w:rsidRPr="003C5CBB">
        <w:t>, 368 U.S. 820 (1961).</w:t>
      </w:r>
    </w:p>
  </w:footnote>
  <w:footnote w:id="457">
    <w:p w14:paraId="07B8B974" w14:textId="3B324228" w:rsidR="003C5CBB" w:rsidRPr="00517775" w:rsidRDefault="003C5CBB" w:rsidP="003C5CBB">
      <w:pPr>
        <w:pStyle w:val="FootnoteText"/>
      </w:pPr>
      <w:r w:rsidRPr="003C5CBB">
        <w:rPr>
          <w:vertAlign w:val="superscript"/>
        </w:rPr>
        <w:footnoteRef/>
      </w:r>
      <w:r w:rsidRPr="003C5CBB">
        <w:t>Lanham Act §43(c)(2)(A), 15 U.S.C. §1125(c)(2)(A).</w:t>
      </w:r>
    </w:p>
  </w:footnote>
  <w:footnote w:id="458">
    <w:p w14:paraId="5DF4A643" w14:textId="23C3059F" w:rsidR="003C5CBB" w:rsidRPr="00517775" w:rsidRDefault="003C5CBB" w:rsidP="003C5CBB">
      <w:pPr>
        <w:pStyle w:val="FootnoteText"/>
      </w:pPr>
      <w:r w:rsidRPr="003C5CBB">
        <w:rPr>
          <w:vertAlign w:val="superscript"/>
        </w:rPr>
        <w:footnoteRef/>
      </w:r>
      <w:r w:rsidRPr="003C5CBB">
        <w:t xml:space="preserve">The House Report on the TDRA alluded to divisions in the courts on various matters under the FTDA, but its section-by-section analysis did not illuminate the meaning of this definition. </w:t>
      </w:r>
      <w:r w:rsidRPr="003C5CBB">
        <w:rPr>
          <w:smallCaps/>
        </w:rPr>
        <w:t xml:space="preserve">H.R. Rep. No. </w:t>
      </w:r>
      <w:r w:rsidRPr="003C5CBB">
        <w:t>109-23, at 5–6 (Mar. 17, 2005).</w:t>
      </w:r>
    </w:p>
  </w:footnote>
  <w:footnote w:id="459">
    <w:p w14:paraId="612810A0" w14:textId="0BBB6401" w:rsidR="003C5CBB" w:rsidRPr="00517775" w:rsidRDefault="003C5CBB" w:rsidP="003C5CBB">
      <w:pPr>
        <w:pStyle w:val="FootnoteText"/>
      </w:pPr>
      <w:r w:rsidRPr="003C5CBB">
        <w:rPr>
          <w:vertAlign w:val="superscript"/>
        </w:rPr>
        <w:footnoteRef/>
      </w:r>
      <w:r w:rsidRPr="003C5CBB">
        <w:rPr>
          <w:i/>
        </w:rPr>
        <w:t>Cf</w:t>
      </w:r>
      <w:r w:rsidRPr="003C5CBB">
        <w:t xml:space="preserve">. Board of Regents, Univ. of Texas Sys. v. KST Elec. Ltd., 550 F. Supp. 2d 657, 679 (W.D. Tex. 2008); Barton Beebe, </w:t>
      </w:r>
      <w:r w:rsidRPr="003C5CBB">
        <w:rPr>
          <w:i/>
        </w:rPr>
        <w:t>A Defense of the New Federal Trademark Antidilution Law</w:t>
      </w:r>
      <w:r w:rsidRPr="003C5CBB">
        <w:t xml:space="preserve">, 16 </w:t>
      </w:r>
      <w:r w:rsidRPr="003C5CBB">
        <w:rPr>
          <w:smallCaps/>
        </w:rPr>
        <w:t>Fordham Intell. Prop., Media. &amp; Ent</w:t>
      </w:r>
      <w:r w:rsidRPr="003C5CBB">
        <w:t>. L.J. 1143, 1158 (2006).</w:t>
      </w:r>
    </w:p>
  </w:footnote>
  <w:footnote w:id="460">
    <w:p w14:paraId="2EAB8C0A" w14:textId="7DD3EA4F" w:rsidR="003C5CBB" w:rsidRPr="00517775" w:rsidRDefault="003C5CBB" w:rsidP="003C5CBB">
      <w:pPr>
        <w:pStyle w:val="FootnoteText"/>
      </w:pPr>
      <w:r w:rsidRPr="003C5CBB">
        <w:rPr>
          <w:vertAlign w:val="superscript"/>
        </w:rPr>
        <w:footnoteRef/>
      </w:r>
      <w:r w:rsidRPr="003C5CBB">
        <w:rPr>
          <w:i/>
        </w:rPr>
        <w:t>See</w:t>
      </w:r>
      <w:r w:rsidRPr="003C5CBB">
        <w:t xml:space="preserve"> Thomas &amp; Betts Corp. v. Panduit Corp., 138 F.3d 277, 295, 46 USPQ2d 1026 (7th Cir.) (30 percent recognition is “probative,” even if not, as a matter of law, sufficient by itself), </w:t>
      </w:r>
      <w:r w:rsidRPr="003C5CBB">
        <w:rPr>
          <w:i/>
        </w:rPr>
        <w:t>cert</w:t>
      </w:r>
      <w:r w:rsidRPr="003C5CBB">
        <w:t xml:space="preserve">. </w:t>
      </w:r>
      <w:r w:rsidRPr="003C5CBB">
        <w:rPr>
          <w:i/>
        </w:rPr>
        <w:t>denied</w:t>
      </w:r>
      <w:r w:rsidRPr="003C5CBB">
        <w:t xml:space="preserve">, 525 U.S. 929 (1998); </w:t>
      </w:r>
      <w:r w:rsidRPr="003C5CBB">
        <w:rPr>
          <w:i/>
        </w:rPr>
        <w:t>see also</w:t>
      </w:r>
      <w:r w:rsidRPr="003C5CBB">
        <w:t xml:space="preserve"> </w:t>
      </w:r>
      <w:r w:rsidRPr="003C5CBB">
        <w:rPr>
          <w:i/>
        </w:rPr>
        <w:t>TCPIP Holding</w:t>
      </w:r>
      <w:r w:rsidRPr="003C5CBB">
        <w:t>, 244 F.3d at 100 (Lanham Act protects even weak, descriptive marks from infringement by confusion).</w:t>
      </w:r>
    </w:p>
  </w:footnote>
  <w:footnote w:id="461">
    <w:p w14:paraId="7C5B0C80" w14:textId="45D0D947" w:rsidR="003C5CBB" w:rsidRPr="00517775" w:rsidRDefault="003C5CBB" w:rsidP="003C5CBB">
      <w:pPr>
        <w:pStyle w:val="FootnoteText"/>
      </w:pPr>
      <w:r w:rsidRPr="003C5CBB">
        <w:rPr>
          <w:vertAlign w:val="superscript"/>
        </w:rPr>
        <w:footnoteRef/>
      </w:r>
      <w:r w:rsidRPr="003C5CBB">
        <w:rPr>
          <w:i/>
        </w:rPr>
        <w:t>See TCPIP Holding</w:t>
      </w:r>
      <w:r w:rsidRPr="003C5CBB">
        <w:t>, 244 F.3d at 99 (requiring a “high degree” of fame).</w:t>
      </w:r>
    </w:p>
  </w:footnote>
  <w:footnote w:id="462">
    <w:p w14:paraId="25BE3CAD" w14:textId="03C3CE9B" w:rsidR="003C5CBB" w:rsidRPr="00517775" w:rsidRDefault="003C5CBB" w:rsidP="003C5CBB">
      <w:pPr>
        <w:pStyle w:val="FootnoteText"/>
      </w:pPr>
      <w:r w:rsidRPr="003C5CBB">
        <w:rPr>
          <w:vertAlign w:val="superscript"/>
        </w:rPr>
        <w:footnoteRef/>
      </w:r>
      <w:r w:rsidRPr="003C5CBB">
        <w:t xml:space="preserve">3 </w:t>
      </w:r>
      <w:r w:rsidRPr="003C5CBB">
        <w:rPr>
          <w:smallCaps/>
        </w:rPr>
        <w:t>McCarthy on Trademarks</w:t>
      </w:r>
      <w:r w:rsidRPr="003C5CBB">
        <w:t xml:space="preserve"> §24:92, at 24-169 (fame should be limited to situations where plaintiff’s mark is known by “more than 50% of the defendant’s potential customers”); </w:t>
      </w:r>
      <w:r w:rsidRPr="003C5CBB">
        <w:rPr>
          <w:i/>
        </w:rPr>
        <w:t>see</w:t>
      </w:r>
      <w:r w:rsidRPr="003C5CBB">
        <w:t xml:space="preserve"> Adam Omar Shanti, </w:t>
      </w:r>
      <w:r w:rsidRPr="003C5CBB">
        <w:rPr>
          <w:i/>
        </w:rPr>
        <w:t>Measuring Fame: The Use of Empirical Evidence in Dilution Actions</w:t>
      </w:r>
      <w:r w:rsidRPr="003C5CBB">
        <w:t xml:space="preserve">, 5 </w:t>
      </w:r>
      <w:r w:rsidRPr="003C5CBB">
        <w:rPr>
          <w:smallCaps/>
        </w:rPr>
        <w:t xml:space="preserve">Marq. Intell. Prop. L. Rev. </w:t>
      </w:r>
      <w:r w:rsidRPr="003C5CBB">
        <w:t>177, 203 (2001) (proposing a minimum of 70 percent recognition).</w:t>
      </w:r>
    </w:p>
  </w:footnote>
  <w:footnote w:id="463">
    <w:p w14:paraId="4774740D" w14:textId="09D9CCA1" w:rsidR="003C5CBB" w:rsidRPr="00517775" w:rsidRDefault="003C5CBB" w:rsidP="003C5CBB">
      <w:pPr>
        <w:pStyle w:val="FootnoteText"/>
      </w:pPr>
      <w:r w:rsidRPr="003C5CBB">
        <w:rPr>
          <w:vertAlign w:val="superscript"/>
        </w:rPr>
        <w:footnoteRef/>
      </w:r>
      <w:r w:rsidRPr="003C5CBB">
        <w:t xml:space="preserve">4 </w:t>
      </w:r>
      <w:r w:rsidRPr="003C5CBB">
        <w:rPr>
          <w:smallCaps/>
        </w:rPr>
        <w:t>McCarthy on Trademarks</w:t>
      </w:r>
      <w:r w:rsidRPr="003C5CBB">
        <w:t xml:space="preserve"> §24:106, at 24-310. </w:t>
      </w:r>
      <w:r w:rsidRPr="003C5CBB">
        <w:rPr>
          <w:i/>
        </w:rPr>
        <w:t>See</w:t>
      </w:r>
      <w:r w:rsidRPr="003C5CBB">
        <w:t xml:space="preserve"> Idaho Golf Partners, Inc. v. Timberstone Mgmt. LLC, 2017 WL 3531481, at *6 (D. Idaho Aug. 17, 2017) (citing the 75-percent level and noting that plaintiff had not even reached that as a niche mark); Kroger Co. v. Lidl US LLC, 2017 WL 3262253, at *6 (E.D. Va. July 31, 2017) (noting that fewer than one third of plaintiff’s customers identified Private Selection with plaintiff); Paleteria La Michoacana, Inc. v. Productos Lacteos Tocumbo, S.A. De C.V., 69 F. Supp. 3d 175, 222 (D.D.C. 2014) (citing the 75-percent proposal but not explicitly adopting it). The difficulty of quantifying fame is illustrated by </w:t>
      </w:r>
      <w:r w:rsidRPr="003C5CBB">
        <w:rPr>
          <w:rStyle w:val="BCasenamefull"/>
        </w:rPr>
        <w:t>Apple, Inc. v. Samsung Electronics Co.</w:t>
      </w:r>
      <w:r w:rsidRPr="003C5CBB">
        <w:t xml:space="preserve">, 2012 WL 2571719 (N.D. Cal. June 30, 2012). The court denied Samsung’s motion for summary judgment on the issue of fame, </w:t>
      </w:r>
      <w:r w:rsidRPr="003C5CBB">
        <w:t xml:space="preserve">despite the fact that Apple’s own survey showed less than 60-percent recognition of its trade dress. </w:t>
      </w:r>
      <w:r w:rsidRPr="003C5CBB">
        <w:rPr>
          <w:i/>
        </w:rPr>
        <w:t>Id</w:t>
      </w:r>
      <w:r w:rsidRPr="003C5CBB">
        <w:t xml:space="preserve">. at *7–8. In </w:t>
      </w:r>
      <w:r w:rsidRPr="003C5CBB">
        <w:rPr>
          <w:rStyle w:val="BCasenamefull"/>
        </w:rPr>
        <w:t>YETI Coolers, LLC v. RTIC Coolers, LLC</w:t>
      </w:r>
      <w:r w:rsidRPr="003C5CBB">
        <w:t xml:space="preserve">, 2017 WL 429210, at *2–3 (W.D. Tex. Jan. 28, 2017), the court allowed an expert’s report even though it did not specify a threshold, and in the face of defendant’s assertion that at least 70-percent recognition was necessary. The court stated that “the law is not clearly defined on this point.” </w:t>
      </w:r>
      <w:r w:rsidRPr="003C5CBB">
        <w:rPr>
          <w:i/>
        </w:rPr>
        <w:t xml:space="preserve">Id. </w:t>
      </w:r>
      <w:r w:rsidRPr="003C5CBB">
        <w:t xml:space="preserve">at *2. In </w:t>
      </w:r>
      <w:r w:rsidRPr="003C5CBB">
        <w:rPr>
          <w:rStyle w:val="BCasenamefull"/>
        </w:rPr>
        <w:t>Git-R-Done Productions, Inc. v. Giterdone C Store, LLC,</w:t>
      </w:r>
      <w:r w:rsidRPr="003C5CBB">
        <w:t xml:space="preserve"> 226 F. Supp. 3d 684, 692–93, 121 USPQ2d 1333 (S.D. Miss. 2016), the court denied summary judgment despite a survey showing less than 50-percent recognition of plaintiff’s mark.</w:t>
      </w:r>
    </w:p>
  </w:footnote>
  <w:footnote w:id="464">
    <w:p w14:paraId="0FF2E16D" w14:textId="5A2B9E8D" w:rsidR="003C5CBB" w:rsidRPr="00517775" w:rsidRDefault="003C5CBB" w:rsidP="003C5CBB">
      <w:pPr>
        <w:pStyle w:val="FootnoteText"/>
      </w:pPr>
      <w:r w:rsidRPr="003C5CBB">
        <w:rPr>
          <w:vertAlign w:val="superscript"/>
        </w:rPr>
        <w:footnoteRef/>
      </w:r>
      <w:r w:rsidRPr="003C5CBB">
        <w:t>I am indebted to the late Professor Joan Welkowitz, New York University, Department of Psychology, for her suggestions about methods of quantifying fame, which formed the basis for the proposal put forth here.</w:t>
      </w:r>
    </w:p>
  </w:footnote>
  <w:footnote w:id="465">
    <w:p w14:paraId="210CD0C9" w14:textId="7E115C2B"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whether the results of the second survey are within one or two standard deviations of the results of the first.</w:t>
      </w:r>
    </w:p>
  </w:footnote>
  <w:footnote w:id="466">
    <w:p w14:paraId="4766765A" w14:textId="55CD6F69" w:rsidR="003C5CBB" w:rsidRPr="00517775" w:rsidRDefault="003C5CBB" w:rsidP="003C5CBB">
      <w:pPr>
        <w:pStyle w:val="FootnoteText"/>
      </w:pPr>
      <w:r w:rsidRPr="003C5CBB">
        <w:rPr>
          <w:vertAlign w:val="superscript"/>
        </w:rPr>
        <w:footnoteRef/>
      </w:r>
      <w:r w:rsidRPr="003C5CBB">
        <w:t>15 U.S.C. §§1052, 1063 (opposition), 1067 (TTAB hears opposition proceedings).</w:t>
      </w:r>
    </w:p>
  </w:footnote>
  <w:footnote w:id="467">
    <w:p w14:paraId="0DFAFEF1" w14:textId="038BF86F" w:rsidR="003C5CBB" w:rsidRPr="00517775" w:rsidRDefault="003C5CBB" w:rsidP="003C5CBB">
      <w:pPr>
        <w:pStyle w:val="FootnoteText"/>
      </w:pPr>
      <w:r w:rsidRPr="003C5CBB">
        <w:rPr>
          <w:vertAlign w:val="superscript"/>
        </w:rPr>
        <w:footnoteRef/>
      </w:r>
      <w:r w:rsidRPr="003C5CBB">
        <w:rPr>
          <w:i/>
        </w:rPr>
        <w:t>See</w:t>
      </w:r>
      <w:r w:rsidRPr="003C5CBB">
        <w:t xml:space="preserve"> </w:t>
      </w:r>
      <w:r w:rsidRPr="003C5CBB">
        <w:rPr>
          <w:smallCaps/>
        </w:rPr>
        <w:t xml:space="preserve">Fed. R. Evid. </w:t>
      </w:r>
      <w:r w:rsidRPr="003C5CBB">
        <w:t>803(8) (public records exception to hearsay rule). Congress might even mandate the survey and permit its introduction into evidence in a future statute.</w:t>
      </w:r>
    </w:p>
  </w:footnote>
  <w:footnote w:id="468">
    <w:p w14:paraId="4EE250A5" w14:textId="45982D80" w:rsidR="003C5CBB" w:rsidRPr="00517775" w:rsidRDefault="003C5CBB" w:rsidP="003C5CBB">
      <w:pPr>
        <w:pStyle w:val="FootnoteText"/>
      </w:pPr>
      <w:r w:rsidRPr="003C5CBB">
        <w:rPr>
          <w:vertAlign w:val="superscript"/>
        </w:rPr>
        <w:footnoteRef/>
      </w:r>
      <w:r w:rsidRPr="003C5CBB">
        <w:rPr>
          <w:i/>
        </w:rPr>
        <w:t>See</w:t>
      </w:r>
      <w:r w:rsidRPr="003C5CBB">
        <w:t xml:space="preserve"> Lanham Act §43(c)(2)(A)(i), (ii), 15 U.S.C. §1125(c)(2)(A)(i), (ii).</w:t>
      </w:r>
    </w:p>
  </w:footnote>
  <w:footnote w:id="469">
    <w:p w14:paraId="59DD7500" w14:textId="494A8523" w:rsidR="003C5CBB" w:rsidRPr="00517775" w:rsidRDefault="003C5CBB" w:rsidP="003C5CBB">
      <w:pPr>
        <w:pStyle w:val="FootnoteText"/>
      </w:pPr>
      <w:r w:rsidRPr="003C5CBB">
        <w:rPr>
          <w:vertAlign w:val="superscript"/>
        </w:rPr>
        <w:footnoteRef/>
      </w:r>
      <w:r w:rsidRPr="003C5CBB">
        <w:rPr>
          <w:i/>
        </w:rPr>
        <w:t xml:space="preserve">See </w:t>
      </w:r>
      <w:r w:rsidRPr="003C5CBB">
        <w:t xml:space="preserve">Lanham Act §43(c)(2)(A), 15 U.S.C. §1125(c)(2)(A) (requiring a famous mark to be “widely recognized by the general consuming public </w:t>
      </w:r>
      <w:r w:rsidRPr="003C5CBB">
        <w:rPr>
          <w:i/>
        </w:rPr>
        <w:t>of the United States</w:t>
      </w:r>
      <w:r w:rsidRPr="003C5CBB">
        <w:t>”) (emphasis added). See discussion of “niche market” fame in §V, below.</w:t>
      </w:r>
    </w:p>
  </w:footnote>
  <w:footnote w:id="470">
    <w:p w14:paraId="5D788B7B" w14:textId="4AE26D26" w:rsidR="003C5CBB" w:rsidRPr="00CF7522" w:rsidRDefault="003C5CBB" w:rsidP="003C5CBB">
      <w:pPr>
        <w:pStyle w:val="FootnoteText"/>
      </w:pPr>
      <w:r w:rsidRPr="003C5CBB">
        <w:rPr>
          <w:rStyle w:val="FootnoteReference"/>
          <w:rFonts w:eastAsiaTheme="majorEastAsia"/>
        </w:rPr>
        <w:footnoteRef/>
      </w:r>
      <w:r w:rsidRPr="003C5CBB">
        <w:rPr>
          <w:i/>
        </w:rPr>
        <w:t xml:space="preserve">But cf. </w:t>
      </w:r>
      <w:r w:rsidRPr="003C5CBB">
        <w:t>Apple, Inc. v. Samsung Elecs. Co., 2012 WL 2571719, at *7–8, 2012 BL 178771 (N.D. Cal. June 30, 2012) (rejecting Samsung’s argument that a survey showing less than 60-percent recognition demonstrated lack of fame as a matter of law).</w:t>
      </w:r>
    </w:p>
  </w:footnote>
  <w:footnote w:id="471">
    <w:p w14:paraId="7C09B87D" w14:textId="7B162A9C" w:rsidR="003C5CBB" w:rsidRPr="00517775" w:rsidRDefault="003C5CBB" w:rsidP="003C5CBB">
      <w:pPr>
        <w:pStyle w:val="FootnoteText"/>
      </w:pPr>
      <w:r w:rsidRPr="003C5CBB">
        <w:rPr>
          <w:vertAlign w:val="superscript"/>
        </w:rPr>
        <w:footnoteRef/>
      </w:r>
      <w:r w:rsidRPr="003C5CBB">
        <w:t>Syndicate Sales, Inc. v. Hampshire Paper Corp., 192 F.3d 633, 640, 52 USPQ2d 1035 (7th Cir. 1999).</w:t>
      </w:r>
    </w:p>
  </w:footnote>
  <w:footnote w:id="472">
    <w:p w14:paraId="468B0EE5" w14:textId="4475CAD0" w:rsidR="003C5CBB" w:rsidRPr="00517775" w:rsidRDefault="003C5CBB" w:rsidP="003C5CBB">
      <w:pPr>
        <w:pStyle w:val="FootnoteText"/>
      </w:pPr>
      <w:r w:rsidRPr="003C5CBB">
        <w:rPr>
          <w:vertAlign w:val="superscript"/>
        </w:rPr>
        <w:footnoteRef/>
      </w:r>
      <w:r w:rsidRPr="003C5CBB">
        <w:rPr>
          <w:i/>
        </w:rPr>
        <w:t>Compare</w:t>
      </w:r>
      <w:r w:rsidRPr="003C5CBB">
        <w:t xml:space="preserve"> Thane Int’l, Inc. v. Trek Bicycle Corp., 305 F.3d 894, 909, 64 USPQ2d 1564 (9th Cir. 2002) (niche fame permitted); Advantage Rent-A-Car, Inc. Co. v. Enterprise Rent-A-Car Co., 238 F.3d 378, 380, 57 USPQ2d 1561 (5th Cir. 2001) (same); Times Mirror Magazines, Inc. v. Las Vegas Sports News, LLC, 212 F.3d 157, 164, 54 USPQ2d 1577 (3d Cir. 2000) (same, although requiring a “high degree” of fame), </w:t>
      </w:r>
      <w:r w:rsidRPr="003C5CBB">
        <w:rPr>
          <w:i/>
        </w:rPr>
        <w:t>cert</w:t>
      </w:r>
      <w:r w:rsidRPr="003C5CBB">
        <w:t xml:space="preserve">. </w:t>
      </w:r>
      <w:r w:rsidRPr="003C5CBB">
        <w:rPr>
          <w:i/>
        </w:rPr>
        <w:t>denied</w:t>
      </w:r>
      <w:r w:rsidRPr="003C5CBB">
        <w:t xml:space="preserve">, 531 U.S. 1071 (2001); </w:t>
      </w:r>
      <w:r w:rsidRPr="003C5CBB">
        <w:rPr>
          <w:i/>
        </w:rPr>
        <w:t>Syndicate Sales</w:t>
      </w:r>
      <w:r w:rsidRPr="003C5CBB">
        <w:t xml:space="preserve">, 192 F.3d at 640–41 (same), </w:t>
      </w:r>
      <w:r w:rsidRPr="003C5CBB">
        <w:rPr>
          <w:i/>
        </w:rPr>
        <w:t>with</w:t>
      </w:r>
      <w:r w:rsidRPr="003C5CBB">
        <w:t xml:space="preserve"> TCPIP Holding Co. v. Haar Commc’ns, Inc., 244 F.3d 88, 99, 57 USPQ2d 1969 (2d Cir. 2001) (expressing doubt that Congress intended to protect “marks that have enjoyed only brief fame in a small part of the country, or among a small segment of the population”); I.P. Lund Trading Co. v. Kohler Co., 163 F.3d 27, 46, 49 USPQ2d 1225 (1st Cir. 1998) (citing the need for “national renown”); Unique Sports Prods., Inc. v. Babolat VS, 403 F. Supp. 2d 1229, 1244–45 (N.D. Ga. 2005) (rejecting concept of niche market fame).</w:t>
      </w:r>
    </w:p>
  </w:footnote>
  <w:footnote w:id="473">
    <w:p w14:paraId="08BF02E2" w14:textId="387A6169" w:rsidR="003C5CBB" w:rsidRPr="00517775" w:rsidRDefault="003C5CBB" w:rsidP="003C5CBB">
      <w:pPr>
        <w:pStyle w:val="FootnoteText"/>
      </w:pPr>
      <w:r w:rsidRPr="003C5CBB">
        <w:rPr>
          <w:vertAlign w:val="superscript"/>
        </w:rPr>
        <w:footnoteRef/>
      </w:r>
      <w:r w:rsidRPr="003C5CBB">
        <w:t>Lanham Act §43(c)(2)(A), 15 U.S.C. §1125(c)(2)(A).</w:t>
      </w:r>
    </w:p>
  </w:footnote>
  <w:footnote w:id="474">
    <w:p w14:paraId="7E2D8509" w14:textId="2BC679CA" w:rsidR="003C5CBB" w:rsidRPr="003C5CBB" w:rsidRDefault="003C5CBB" w:rsidP="003C5CBB">
      <w:pPr>
        <w:pStyle w:val="FootnoteText"/>
      </w:pPr>
      <w:r w:rsidRPr="003C5CBB">
        <w:rPr>
          <w:vertAlign w:val="superscript"/>
        </w:rPr>
        <w:footnoteRef/>
      </w:r>
      <w:r w:rsidRPr="003C5CBB">
        <w:t xml:space="preserve">The House certainly thought that this language eliminated niche fame. </w:t>
      </w:r>
      <w:r w:rsidRPr="003C5CBB">
        <w:rPr>
          <w:smallCaps/>
        </w:rPr>
        <w:t>H.R. Rep. No</w:t>
      </w:r>
      <w:r w:rsidRPr="003C5CBB">
        <w:t>. 109-23, at 8 (Mar. 17, 2005).</w:t>
      </w:r>
    </w:p>
    <w:p w14:paraId="33559BF0" w14:textId="77777777" w:rsidR="003C5CBB" w:rsidRPr="00517775" w:rsidRDefault="003C5CBB" w:rsidP="00AF29FC">
      <w:pPr>
        <w:pStyle w:val="footnote"/>
      </w:pPr>
    </w:p>
  </w:footnote>
  <w:footnote w:id="475">
    <w:p w14:paraId="493CA301" w14:textId="75F2587D" w:rsidR="003C5CBB" w:rsidRPr="00517775" w:rsidRDefault="003C5CBB" w:rsidP="003C5CBB">
      <w:pPr>
        <w:pStyle w:val="FootnoteText"/>
      </w:pPr>
      <w:r w:rsidRPr="003C5CBB">
        <w:rPr>
          <w:vertAlign w:val="superscript"/>
        </w:rPr>
        <w:footnoteRef/>
      </w:r>
      <w:r w:rsidRPr="003C5CBB">
        <w:rPr>
          <w:i/>
        </w:rPr>
        <w:t>Thane Int’l</w:t>
      </w:r>
      <w:r w:rsidRPr="003C5CBB">
        <w:t>, 305 F.3d 894.</w:t>
      </w:r>
    </w:p>
  </w:footnote>
  <w:footnote w:id="476">
    <w:p w14:paraId="1CA8FA65" w14:textId="00229AF3" w:rsidR="003C5CBB" w:rsidRPr="00517775" w:rsidRDefault="003C5CBB" w:rsidP="003C5CBB">
      <w:pPr>
        <w:pStyle w:val="FootnoteText"/>
      </w:pPr>
      <w:r w:rsidRPr="003C5CBB">
        <w:rPr>
          <w:vertAlign w:val="superscript"/>
        </w:rPr>
        <w:footnoteRef/>
      </w:r>
      <w:r w:rsidRPr="003C5CBB">
        <w:t>Deborah Heart &amp; Lung Ctr. v. Children of the World Found., 99 F. Supp. 2d 481, 492, 55 USPQ2d 1088 (D.N.J. 2000).</w:t>
      </w:r>
    </w:p>
  </w:footnote>
  <w:footnote w:id="477">
    <w:p w14:paraId="20755011" w14:textId="6D39A5D3" w:rsidR="003C5CBB" w:rsidRPr="00517775" w:rsidRDefault="003C5CBB" w:rsidP="003C5CBB">
      <w:pPr>
        <w:pStyle w:val="FootnoteText"/>
      </w:pPr>
      <w:r w:rsidRPr="003C5CBB">
        <w:rPr>
          <w:vertAlign w:val="superscript"/>
        </w:rPr>
        <w:footnoteRef/>
      </w:r>
      <w:r w:rsidRPr="003C5CBB">
        <w:rPr>
          <w:i/>
        </w:rPr>
        <w:t>Syndicate Sales</w:t>
      </w:r>
      <w:r w:rsidRPr="003C5CBB">
        <w:t>, 192 F.3d at 640–41.</w:t>
      </w:r>
    </w:p>
  </w:footnote>
  <w:footnote w:id="478">
    <w:p w14:paraId="0281E736" w14:textId="195C2156" w:rsidR="003C5CBB" w:rsidRPr="003C5CBB"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Top Tobacco, L.P. v. North Am. Operating Sys., Inc., 509 F.3d 380, 384, 85 USPQ2d 1251 (7th Cir. 2007); Polywad, Inc. v. Able’s Sporting, Inc., 2024 WL 3169915, at *6–7, 2024 BL 213708 (M.D. Ga. June 21, 2024) (dismissing dilution claim where plaintiff indicated it only had niche fame); Fiber-Shield Ind., Inc. v. Fabricshield Holdings LLC, 2023 WL 2734731, at *6 (E.D.N.Y. Mar. 21, 2023) (dismissing dilution claim); Blockchange Ventures I GP, LLC v. Blockchange, Inc., 2021 WL4340648, at *8 (S.D.N.Y. Sept. 22, 2021)  (dismissing dilution claim where complaint pled at most niche fame); DigitAlb, Sh.a v. Setplex, LLC, 284 F. Supp. 3d 547, 557–58 (S.D.N.Y. 2018) (dismissing complaint that, at best, showed niche fame, which is no longer sufficient after the TDRA); Joint Stock Co. Channel One Russ. Worldwide v. Infomir LLC, 2017 U.S. Dist. LEXIS 22548, at *62–65 (S.D.N.Y. Feb. 15, 2017) (finding allegations of fame at most supported niche fame); Helios Int’l S.A.R.L. v. Cantamessa USA, Inc., 2013 U.S. Dist. LEXIS 107552, at *28 (S.D.N.Y. July 31, 2013) (calling the allegations of the complaint conclusory and noting that at most they supported niche fame); Xen, Inc. v. Citrix Sys., Inc., 2012 U.S. Dist. LEXIS 153787, at *16 (C.D. Cal. Oct. 25, 2012) (niche fame insufficient; defendant’s statement that its Xen mark is “well recognized in the trade” shows only niche fame); Perfect Pearl Co. v. Majestic Pearl &amp; Stone, Inc., 887 F. Supp. 2d 519, 541 (S.D.N.Y. 2012) (Majestic marks only known, at most, to “pearl bead buyers” and therefore not famous); Water Pik, Inc. v. Med-Systems, Inc., 848 F. Supp. 2d 1262, 1282–83 (D. Colo. 2012), </w:t>
      </w:r>
      <w:r w:rsidRPr="003C5CBB">
        <w:rPr>
          <w:i/>
        </w:rPr>
        <w:t>aff’d</w:t>
      </w:r>
      <w:r w:rsidRPr="003C5CBB">
        <w:t xml:space="preserve">, 726 F.3d 1136, 107 USPQ2d 2095 (10th Cir. 2013) (no discussion of dilution in 10th Circuit); Haynes Int’l, Inc. v. Electralloy, 2009 WL 789918, at *18 (W.D. Pa. Mar. 23, 2009); Board of Regents, The Univ. of Texas Sys. v. KST Elec., Ltd., 550 F. Supp. 2d 657, 678 (W.D. Tex. 2008) (magistrate judge opinion adopted by the district court); ComponentOne, LLC v. ComponentArt, Inc., 2007 U.S. Dist. LEXIS 89772, *6–7 (W.D. Pa. Dec. 6, 2007); Milwaukee Elec. Tool Corp. v. Robert Bosch Tool Corp., 2007 WL 2875232, at *3 (N.D. Ill. Sept. 28, 2007) (noting that prior to the TDRA, the Seventh Circuit accepted niche fame); PBI Performance Prods., Inc. v. NorFab Corp., 2007 U.S. Dist. LEXIS 58689, at *34–36 (E.D. Pa. Aug. 2, 2007); Milbank Tweed Hadley &amp; McCloy, LLP v. Milbank Holding Corp., No. CV-06-187-RGK, slip op. at 6 (C.D. Cal. Feb. 27, 2007); </w:t>
      </w:r>
      <w:r w:rsidRPr="003C5CBB">
        <w:rPr>
          <w:i/>
        </w:rPr>
        <w:t>see</w:t>
      </w:r>
      <w:r w:rsidRPr="003C5CBB">
        <w:t xml:space="preserve"> Coach Servs., Inc. v. Triumph Learning LLC, 668 F.3d 1356, 1375, 101 USPQ2d 1713 (Fed. Cir. 2012) (citing </w:t>
      </w:r>
      <w:r w:rsidRPr="003C5CBB">
        <w:rPr>
          <w:i/>
        </w:rPr>
        <w:t>Top Tobacco</w:t>
      </w:r>
      <w:r w:rsidRPr="003C5CBB">
        <w:t xml:space="preserve">). There are a few outliers, however. One court seems to have overlooked the passage of the TDRA and applied the Ninth Circuit’s pre-TDRA niche fame analysis. WEC Holdings, LLC v. Juarez, 2008 U.S. Dist. LEXIS 13841, at *11–14 (D. Nev. Feb. 5, 2008). Another seems to have ignored the case law and commentary, as well as the actual definition of fame. Prince Lionheart, Inc. v. Halo Innovations, Inc., 2008 U.S. Dist. LEXIS 25147, at *26–29 (D. Colo. Mar. 28, 2008). </w:t>
      </w:r>
      <w:r w:rsidRPr="003C5CBB">
        <w:rPr>
          <w:i/>
        </w:rPr>
        <w:t>See</w:t>
      </w:r>
      <w:r w:rsidRPr="003C5CBB">
        <w:t xml:space="preserve"> Assyrian Am. Nat’l Fed’n, Inc. (N.Y.) v. Assyrian Am. Nat’l Fed’n, Inc. (Cal.), 2013 WL 12073473, at *8 (E.D. Cal. July 23, 2013) (finding that “plaintiff’s trade name and mark are well known to persons of Assyrian heritage”). Yet another decision (albeit a default judgment) clearly relied on niche fame when granting relief. NOCO Co. v. Smith, 2022 WL 610 764, at *4 (N.D. Ohio Feb. 25, 2022) (stating that “Plaintiff’s trademarks are famous and distinctive within the battery charger and rechargeable battery industry”). Moreover, as noted earlier in this chapter, there are a few cases where courts appear to have assumed national renown by the general consuming public, whereas the reality may have been somewhat less national and general. </w:t>
      </w:r>
      <w:r w:rsidRPr="003C5CBB">
        <w:rPr>
          <w:i/>
        </w:rPr>
        <w:t xml:space="preserve">See </w:t>
      </w:r>
      <w:r w:rsidRPr="003C5CBB">
        <w:t>discussion in §III.A.1, above.</w:t>
      </w:r>
    </w:p>
    <w:p w14:paraId="4C8FBDCF" w14:textId="77777777" w:rsidR="003C5CBB" w:rsidRPr="00517775" w:rsidRDefault="003C5CBB" w:rsidP="0042729B">
      <w:pPr>
        <w:pStyle w:val="footnote"/>
        <w:rPr>
          <w:szCs w:val="20"/>
        </w:rPr>
      </w:pPr>
    </w:p>
  </w:footnote>
  <w:footnote w:id="479">
    <w:p w14:paraId="1C82E6C8" w14:textId="554C1068" w:rsidR="003C5CBB" w:rsidRPr="00517775" w:rsidRDefault="003C5CBB" w:rsidP="003C5CBB">
      <w:pPr>
        <w:pStyle w:val="FootnoteText"/>
      </w:pPr>
      <w:r w:rsidRPr="003C5CBB">
        <w:rPr>
          <w:vertAlign w:val="superscript"/>
        </w:rPr>
        <w:footnoteRef/>
      </w:r>
      <w:r w:rsidRPr="003C5CBB">
        <w:t>Board of Regents, The Univ. of Texas Sys., 550 F. Supp. 2d at 678–79.</w:t>
      </w:r>
    </w:p>
  </w:footnote>
  <w:footnote w:id="480">
    <w:p w14:paraId="02D9866C" w14:textId="7E77A9D2" w:rsidR="003C5CBB" w:rsidRPr="00517775" w:rsidRDefault="003C5CBB" w:rsidP="003C5CBB">
      <w:pPr>
        <w:pStyle w:val="FootnoteText"/>
      </w:pPr>
      <w:r w:rsidRPr="003C5CBB">
        <w:rPr>
          <w:vertAlign w:val="superscript"/>
        </w:rPr>
        <w:footnoteRef/>
      </w:r>
      <w:r w:rsidRPr="003C5CBB">
        <w:t xml:space="preserve">Maker’s Mark Distillery, Inc. v. Diageo N. Am., Inc., 703 F. Supp. 2d 671, 698–99, 97 USPQ2d 1780 (W.D. Ky. 2010), </w:t>
      </w:r>
      <w:r w:rsidRPr="003C5CBB">
        <w:rPr>
          <w:i/>
        </w:rPr>
        <w:t>aff’d on other grounds</w:t>
      </w:r>
      <w:r w:rsidRPr="003C5CBB">
        <w:t>, 679 F.3d 410, 102 USPQ2d 1693 (6th Cir. 2012) (court of appeals did not discuss dilution).</w:t>
      </w:r>
    </w:p>
  </w:footnote>
  <w:footnote w:id="481">
    <w:p w14:paraId="518FD274" w14:textId="0CA64A57" w:rsidR="003C5CBB" w:rsidRPr="00517775" w:rsidRDefault="003C5CBB" w:rsidP="003C5CBB">
      <w:pPr>
        <w:pStyle w:val="FootnoteText"/>
      </w:pPr>
      <w:r w:rsidRPr="003C5CBB">
        <w:rPr>
          <w:vertAlign w:val="superscript"/>
        </w:rPr>
        <w:footnoteRef/>
      </w:r>
      <w:r w:rsidRPr="003C5CBB">
        <w:rPr>
          <w:i/>
        </w:rPr>
        <w:t>USTA Report</w:t>
      </w:r>
      <w:r w:rsidRPr="003C5CBB">
        <w:t xml:space="preserve">, 77 </w:t>
      </w:r>
      <w:r w:rsidRPr="003C5CBB">
        <w:rPr>
          <w:smallCaps/>
        </w:rPr>
        <w:t>Trademark Rep</w:t>
      </w:r>
      <w:r w:rsidRPr="003C5CBB">
        <w:t xml:space="preserve">. 375, 460 (1987); H.R. </w:t>
      </w:r>
      <w:r w:rsidRPr="003C5CBB">
        <w:rPr>
          <w:smallCaps/>
        </w:rPr>
        <w:t>Rep</w:t>
      </w:r>
      <w:r w:rsidRPr="003C5CBB">
        <w:t>. No. 104-374, at 7 (Nov. 30, 1995) (“The geographic fame of a mark must extend throughout a substantial portion of the U.S.”).</w:t>
      </w:r>
    </w:p>
  </w:footnote>
  <w:footnote w:id="482">
    <w:p w14:paraId="7C767540" w14:textId="627EA91F" w:rsidR="003C5CBB" w:rsidRPr="00517775" w:rsidRDefault="003C5CBB" w:rsidP="003C5CBB">
      <w:pPr>
        <w:pStyle w:val="FootnoteText"/>
      </w:pPr>
      <w:r w:rsidRPr="003C5CBB">
        <w:rPr>
          <w:vertAlign w:val="superscript"/>
        </w:rPr>
        <w:footnoteRef/>
      </w:r>
      <w:r w:rsidRPr="003C5CBB">
        <w:rPr>
          <w:smallCaps/>
        </w:rPr>
        <w:t>H.R. Rep. No</w:t>
      </w:r>
      <w:r w:rsidRPr="003C5CBB">
        <w:t>. 104-374, at 4.</w:t>
      </w:r>
    </w:p>
  </w:footnote>
  <w:footnote w:id="483">
    <w:p w14:paraId="4476C8CE" w14:textId="17498298" w:rsidR="003C5CBB" w:rsidRPr="00517775" w:rsidRDefault="003C5CBB" w:rsidP="003C5CBB">
      <w:pPr>
        <w:pStyle w:val="FootnoteText"/>
      </w:pPr>
      <w:r w:rsidRPr="003C5CBB">
        <w:rPr>
          <w:vertAlign w:val="superscript"/>
        </w:rPr>
        <w:footnoteRef/>
      </w:r>
      <w:r w:rsidRPr="003C5CBB">
        <w:t>Previously codified as 15 U.S.C. §1125(c)(1)(D) (eliminated by the TDRA).</w:t>
      </w:r>
    </w:p>
  </w:footnote>
  <w:footnote w:id="484">
    <w:p w14:paraId="7D9315AE" w14:textId="4CEBA259" w:rsidR="003C5CBB" w:rsidRPr="00517775" w:rsidRDefault="003C5CBB" w:rsidP="003C5CBB">
      <w:pPr>
        <w:pStyle w:val="FootnoteText"/>
      </w:pPr>
      <w:r w:rsidRPr="003C5CBB">
        <w:rPr>
          <w:vertAlign w:val="superscript"/>
        </w:rPr>
        <w:footnoteRef/>
      </w:r>
      <w:r w:rsidRPr="003C5CBB">
        <w:t xml:space="preserve">The 2007 Model State Trademark Bill </w:t>
      </w:r>
      <w:r w:rsidRPr="003C5CBB">
        <w:rPr>
          <w:i/>
        </w:rPr>
        <w:t>expressly</w:t>
      </w:r>
      <w:r w:rsidRPr="003C5CBB">
        <w:t xml:space="preserve"> provides for fame in a limited geographic market. Its definition of fame requires the mark to be widely recognized in “this State or a geographic area of this State.” 2007 Model Bill §13(b). This indicates that the TDRA, which contains no analogous language, should be interpreted to require a broad geographic scope of recognition.</w:t>
      </w:r>
    </w:p>
  </w:footnote>
  <w:footnote w:id="485">
    <w:p w14:paraId="5F72E43E" w14:textId="27B2A31E" w:rsidR="003C5CBB" w:rsidRPr="00517775"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 xml:space="preserve">., TCPIP Holding Co. v. Haar Commc’ns, Inc., 244 F.3d 88, 96, 57 USPQ2d 1969 (2d Cir. 2001) (“It seems unlikely that Congress intended to confer on marks that have enjoyed only brief fame in a small part of the country, or among a small segment of the population, the power to enjoin all other users throughout the nation in all realms of commerce.”); Syndicate Sales, Inc. v. Hampshire Paper Corp., 192 F.3d 633, 641 n.7, 52 USPQ2d 1035 (7th Cir. 1999) (in dicta, rejecting geographically limited markets as famous); Marci’s Fun Food, LLC v. Shearer’s Foods, Inc., 2011 U.S. Dist. LEXIS 128725, at *24 (W.D. Pa. Nov. 7, 2011) (rejecting claim of fame, noting limited geographic sales); Oriental Fin. Grp., Inc. v. Cooperativa de Ahorro Y Crédito Oriental, 750 F. Supp. 2d 396, 404 (D.P.R. 2010) (mark known only in Puerto Rico is not famous), </w:t>
      </w:r>
      <w:r w:rsidRPr="003C5CBB">
        <w:rPr>
          <w:i/>
        </w:rPr>
        <w:t>aff’d in part</w:t>
      </w:r>
      <w:r w:rsidRPr="003C5CBB">
        <w:t>,</w:t>
      </w:r>
      <w:r w:rsidRPr="003C5CBB">
        <w:rPr>
          <w:i/>
        </w:rPr>
        <w:t xml:space="preserve"> vacated in part</w:t>
      </w:r>
      <w:r w:rsidRPr="003C5CBB">
        <w:t xml:space="preserve">, 698 F.3d 9, 105 USPQ2d 1128 (1st Cir. 2012) (no discussion of dilution by the First Circuit); In-N-Out Burgers v. Fast Lane Car Wash &amp; Lube, LLC, 2013 TTAB LEXIS 131 (T.T.A.B. Mar. 14, 2013) (mark only used in certain western states not famous) (non-precedential). </w:t>
      </w:r>
      <w:r w:rsidRPr="003C5CBB">
        <w:rPr>
          <w:i/>
        </w:rPr>
        <w:t>But see</w:t>
      </w:r>
      <w:r w:rsidRPr="003C5CBB">
        <w:t xml:space="preserve"> AGT&amp;L, Inc. v. A.A. Absolute Gutters, Inc., 2014 WL 12596588, at *7 (E.D. Tex. July 29, 2014) (refusing to dismiss complaint alleging “continuous use of ‘Absolute Gutter’ in Jefferson County and surrounding areas”); </w:t>
      </w:r>
      <w:r w:rsidRPr="003C5CBB">
        <w:rPr>
          <w:i/>
        </w:rPr>
        <w:t>see also</w:t>
      </w:r>
      <w:r w:rsidRPr="003C5CBB">
        <w:t xml:space="preserve"> Best Cellars Inc. v. Grape Finds at DuPont, Inc., 90 F. Supp. 2d 431, 459 (S.D.N.Y. 2000) (rejecting claim of fame where, inter alia, the geographical market was only in New York City, Boston, and Seattle). In dicta in a pre-TDRA case, the Ninth Circuit suggested that </w:t>
      </w:r>
      <w:r w:rsidRPr="003C5CBB">
        <w:rPr>
          <w:i/>
        </w:rPr>
        <w:t>geographically</w:t>
      </w:r>
      <w:r w:rsidRPr="003C5CBB">
        <w:t xml:space="preserve"> local marks were not excluded by the FTDA and that they had been accorded “famous” status. Avery Dennison Corp. v. Sumpton, 189 F.3d 868, 877–78 (9th Cir. 1999). This appears to be a misreading of both the cases and the legislative history.</w:t>
      </w:r>
    </w:p>
  </w:footnote>
  <w:footnote w:id="486">
    <w:p w14:paraId="3BE27FC9" w14:textId="508B0769" w:rsidR="003C5CBB" w:rsidRPr="00517775" w:rsidRDefault="003C5CBB" w:rsidP="003C5CBB">
      <w:pPr>
        <w:pStyle w:val="FootnoteText"/>
      </w:pPr>
      <w:r w:rsidRPr="003C5CBB">
        <w:rPr>
          <w:vertAlign w:val="superscript"/>
        </w:rPr>
        <w:footnoteRef/>
      </w:r>
      <w:r w:rsidRPr="003C5CBB">
        <w:rPr>
          <w:i/>
        </w:rPr>
        <w:t>Compare</w:t>
      </w:r>
      <w:r w:rsidRPr="003C5CBB">
        <w:t xml:space="preserve"> Thane Int’l, Inc. v. Trek Bicycle Corp., 305 F.3d 894, 909, 64 USPQ2d 1564 (9th Cir. 2002) (niche fame permitted); Advantage Rent-A-Car, Inc. Co. v. Enterprise Rent-A-Car Co., 238 F.3d 378, 380, 57 USPQ2d 1561 (5th Cir. 2001) (same); Times Mirror Magazines, Inc. v. Las Vegas Sports News, LLC, 212 F.3d 157, 164, 54 USPQ2d 1577 (3d Cir. 2000) (same, although requiring a “high degree” of fame), </w:t>
      </w:r>
      <w:r w:rsidRPr="003C5CBB">
        <w:rPr>
          <w:i/>
        </w:rPr>
        <w:t>cert</w:t>
      </w:r>
      <w:r w:rsidRPr="003C5CBB">
        <w:t xml:space="preserve">. </w:t>
      </w:r>
      <w:r w:rsidRPr="003C5CBB">
        <w:rPr>
          <w:i/>
        </w:rPr>
        <w:t>denied</w:t>
      </w:r>
      <w:r w:rsidRPr="003C5CBB">
        <w:t xml:space="preserve">, 531 U.S. 1071 (2001); </w:t>
      </w:r>
      <w:r w:rsidRPr="003C5CBB">
        <w:rPr>
          <w:i/>
        </w:rPr>
        <w:t>Syndicate Sales</w:t>
      </w:r>
      <w:r w:rsidRPr="003C5CBB">
        <w:t xml:space="preserve">, 192 F.3d at 640–41 (same), </w:t>
      </w:r>
      <w:r w:rsidRPr="003C5CBB">
        <w:rPr>
          <w:i/>
        </w:rPr>
        <w:t>with</w:t>
      </w:r>
      <w:r w:rsidRPr="003C5CBB">
        <w:t xml:space="preserve"> </w:t>
      </w:r>
      <w:r w:rsidRPr="003C5CBB">
        <w:rPr>
          <w:i/>
        </w:rPr>
        <w:t>TCPIP Holding</w:t>
      </w:r>
      <w:r w:rsidRPr="003C5CBB">
        <w:t>, 244 F.3d at 99 (expressing doubt that Congress intended to protect “marks that have enjoyed only brief fame in a small part of the country, or among a small segment of the population”); I.P. Lund Trading Co. v. Kohler Co., 163 F.3d 27, 46, 49 USPQ2d 1225 (1st Cir. 1998) (citing the need for “national renown”); Unique Sports Prods., Inc. v. Babolat VS, 403 F. Supp. 2d 1229, 1244–45 (N.D. Ga. 2005) (rejecting concept of niche market fame).</w:t>
      </w:r>
    </w:p>
  </w:footnote>
  <w:footnote w:id="487">
    <w:p w14:paraId="0D83502E" w14:textId="302AE8F9" w:rsidR="003C5CBB" w:rsidRPr="00517775" w:rsidRDefault="003C5CBB" w:rsidP="003C5CBB">
      <w:pPr>
        <w:pStyle w:val="FootnoteText"/>
      </w:pPr>
      <w:r w:rsidRPr="003C5CBB">
        <w:rPr>
          <w:vertAlign w:val="superscript"/>
        </w:rPr>
        <w:footnoteRef/>
      </w:r>
      <w:r w:rsidRPr="003C5CBB">
        <w:t xml:space="preserve">Included in the report was the following statement: “Dilution is possible with respect to one purchaser universe but not another. For example, if a mark is famous at the industrial level but not the consumer level, protection may be appropriate at the industrial level but not the consumer level.” </w:t>
      </w:r>
      <w:r w:rsidRPr="003C5CBB">
        <w:rPr>
          <w:i/>
        </w:rPr>
        <w:t>USTA Report</w:t>
      </w:r>
      <w:r w:rsidRPr="003C5CBB">
        <w:t xml:space="preserve">, 77 </w:t>
      </w:r>
      <w:r w:rsidRPr="003C5CBB">
        <w:rPr>
          <w:smallCaps/>
        </w:rPr>
        <w:t xml:space="preserve">Trademark Rep. </w:t>
      </w:r>
      <w:r w:rsidRPr="003C5CBB">
        <w:t>375, 461 (1987).</w:t>
      </w:r>
    </w:p>
  </w:footnote>
  <w:footnote w:id="488">
    <w:p w14:paraId="5E6AD51F" w14:textId="4C87BAE9" w:rsidR="003C5CBB" w:rsidRPr="003C5CBB" w:rsidRDefault="003C5CBB" w:rsidP="003C5CBB">
      <w:pPr>
        <w:pStyle w:val="FootnoteText"/>
      </w:pPr>
      <w:r w:rsidRPr="003C5CBB">
        <w:rPr>
          <w:vertAlign w:val="superscript"/>
        </w:rPr>
        <w:footnoteRef/>
      </w:r>
      <w:r w:rsidRPr="003C5CBB">
        <w:t xml:space="preserve">A comment in the </w:t>
      </w:r>
      <w:r w:rsidRPr="003C5CBB">
        <w:rPr>
          <w:i/>
        </w:rPr>
        <w:t>Restatement</w:t>
      </w:r>
      <w:r w:rsidRPr="003C5CBB">
        <w:t xml:space="preserve"> contained the following statement:</w:t>
      </w:r>
    </w:p>
    <w:p w14:paraId="437EE80B" w14:textId="167BEECD" w:rsidR="003C5CBB" w:rsidRPr="003C5CBB" w:rsidRDefault="003C5CBB" w:rsidP="003C5CBB">
      <w:pPr>
        <w:pStyle w:val="BQuotelong"/>
      </w:pPr>
      <w:r w:rsidRPr="003C5CBB">
        <w:t xml:space="preserve">A mark that is highly distinctive only to a select class or group of purchasers may be protected from diluting uses directed at that </w:t>
      </w:r>
      <w:r w:rsidRPr="003C5CBB">
        <w:t xml:space="preserve">particular class or group. For example, </w:t>
      </w:r>
      <w:r w:rsidRPr="003C5CBB">
        <w:rPr>
          <w:i/>
        </w:rPr>
        <w:t>a mark may be highly distinctive among purchasers of a specific type of product</w:t>
      </w:r>
      <w:r w:rsidRPr="003C5CBB">
        <w:t>. In such circumstances, protection against a dilution of the mark’s distinctiveness is ordinarily appropriate only against uses specifically directed at that particular class of purchasers; uses of the mark in broader markets, although they may produce an incidental diluting effect in the protected market, are not normally actionable.</w:t>
      </w:r>
    </w:p>
    <w:p w14:paraId="7698C968" w14:textId="793862B5" w:rsidR="003C5CBB" w:rsidRPr="00517775" w:rsidRDefault="003C5CBB" w:rsidP="003C5CBB">
      <w:pPr>
        <w:pStyle w:val="FootnoteText"/>
      </w:pPr>
      <w:r w:rsidRPr="003C5CBB">
        <w:rPr>
          <w:smallCaps/>
        </w:rPr>
        <w:t>Restatement (Third) of Unfair Competition</w:t>
      </w:r>
      <w:r w:rsidRPr="003C5CBB">
        <w:t xml:space="preserve"> §25 cmt. e (1995) (emphasis added); </w:t>
      </w:r>
      <w:r w:rsidRPr="003C5CBB">
        <w:rPr>
          <w:i/>
        </w:rPr>
        <w:t>see</w:t>
      </w:r>
      <w:r w:rsidRPr="003C5CBB">
        <w:t xml:space="preserve"> </w:t>
      </w:r>
      <w:r w:rsidRPr="003C5CBB">
        <w:rPr>
          <w:i/>
        </w:rPr>
        <w:t>Times Mirror</w:t>
      </w:r>
      <w:r w:rsidRPr="003C5CBB">
        <w:t xml:space="preserve">, 212 F.3d at 164; </w:t>
      </w:r>
      <w:r w:rsidRPr="003C5CBB">
        <w:rPr>
          <w:i/>
        </w:rPr>
        <w:t>Syndicate Sales</w:t>
      </w:r>
      <w:r w:rsidRPr="003C5CBB">
        <w:t>, 192 F.3d at 640–41.</w:t>
      </w:r>
    </w:p>
  </w:footnote>
  <w:footnote w:id="489">
    <w:p w14:paraId="5C9F06C1" w14:textId="3357A4EB" w:rsidR="003C5CBB" w:rsidRPr="00517775" w:rsidRDefault="003C5CBB" w:rsidP="003C5CBB">
      <w:pPr>
        <w:pStyle w:val="FootnoteText"/>
      </w:pPr>
      <w:r w:rsidRPr="003C5CBB">
        <w:rPr>
          <w:vertAlign w:val="superscript"/>
        </w:rPr>
        <w:footnoteRef/>
      </w:r>
      <w:r w:rsidRPr="003C5CBB">
        <w:rPr>
          <w:i/>
        </w:rPr>
        <w:t>See</w:t>
      </w:r>
      <w:r w:rsidRPr="003C5CBB">
        <w:t xml:space="preserve"> Frosty Treats, Inc. v. Sony Computer Entm’t Am., Inc., 426 F.3d 1001, 1010–11, 75 USPQ2d 1570 (8th Cir. 2005) (assuming niche market fame is a viable theory, it applies only when the parties operate in the same niche market); </w:t>
      </w:r>
      <w:r w:rsidRPr="003C5CBB">
        <w:rPr>
          <w:i/>
        </w:rPr>
        <w:t>Thane Int’l</w:t>
      </w:r>
      <w:r w:rsidRPr="003C5CBB">
        <w:t>, 305 F.3d at 906; B&amp;H Mfg. Co. v. Bright, 2005 WL 1342815, at *9–12, 2005 BL 101726 (E.D. Cal. May 10, 2005) (denying motion for judgment as a matter of law and upholding jury finding of niche market fame); Hartog &amp; Co. v. swix.com, 136 F. Supp. 2d 531, 534 (E.D. Va. 2001) (even assuming niche market is a viable theory, it is not applicable where plaintiff does not compete with defendant).</w:t>
      </w:r>
    </w:p>
  </w:footnote>
  <w:footnote w:id="490">
    <w:p w14:paraId="1B42FD0A" w14:textId="445EA07D" w:rsidR="003C5CBB" w:rsidRPr="00517775" w:rsidRDefault="003C5CBB" w:rsidP="003C5CBB">
      <w:pPr>
        <w:pStyle w:val="FootnoteText"/>
      </w:pPr>
      <w:r w:rsidRPr="003C5CBB">
        <w:rPr>
          <w:vertAlign w:val="superscript"/>
        </w:rPr>
        <w:footnoteRef/>
      </w:r>
      <w:r w:rsidRPr="003C5CBB">
        <w:rPr>
          <w:i/>
        </w:rPr>
        <w:t>Times Mirror</w:t>
      </w:r>
      <w:r w:rsidRPr="003C5CBB">
        <w:t>, 212 F.3d at 164.</w:t>
      </w:r>
    </w:p>
  </w:footnote>
  <w:footnote w:id="491">
    <w:p w14:paraId="103D2481" w14:textId="264013E2"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Pharmacia Corp. v. Alcon Labs., Inc., 201 F. Supp. 2d 335, 378 n.12 (D.N.J. 2002) (accepting niche market fame but ultimately rejecting dilution claim); PortionPac Chem. Corp. v. Sanitech Sys., Inc., 210 F. Supp. 2d 1302, 1310 (M.D. Fla. 2002) (denying motion to dismiss); NBBJ E. Ltd. P’ship v. NBBJ Training Acad., Inc., 201 F. Supp. 2d 800, 805 (S.D. Ohio 2001) (“plaintiff’s mark [NBBJ] is famous … in the architectural, design and construction communities”); </w:t>
      </w:r>
      <w:r w:rsidRPr="003C5CBB">
        <w:rPr>
          <w:i/>
        </w:rPr>
        <w:t>see</w:t>
      </w:r>
      <w:r w:rsidRPr="003C5CBB">
        <w:t xml:space="preserve"> Pocono Int’l Raceway, Inc. v. Pocono Mountain Speedway, Inc., 171 F. Supp. 2d 427, 429, 444 (M.D. Pa. 2001) (plaintiff and defendant competed in the auto raceway business and were less than 50 miles apart; court noted that there were no third-party users of Pocono mark “in the realm of auto racing”); Deborah Heart &amp; Lung Ctr. v. Children of the World Found., Ltd., 99 F. Supp. 2d 481, 492, 55 USPQ2d 1088 (D.N.J. 2000) (Children of the World famous “within the fields of medicine and/or medical charities”); New York State Soc’y of Certified Pub. Accountants v. Eric Louis Assocs., Inc., 79 F. Supp. 2d 331, 344 (S.D.N.Y. 1999) (plaintiff’s mark NYSSCPA famous “in the accounting channel of trade in the New York trading area”; defendant was an accountant placement firm); Teletech Customer Care Mgmt., Inc. v. Tele-Tech Co., 977 F. Supp. 1407, 1413, 42 USPQ2d 1913 (C.D. Cal. 1997) (plaintiff’s Teletech mark found famous “within the teleservicing industry,” i.e., “the integrated telephone and Internet customer care” industry; defendant provides “engineering and installation services to the telecommunications industry”). It is worth noting, however, that even where niche fame was accepted, marks could not count on being found famous, even in their own niche. </w:t>
      </w:r>
      <w:r w:rsidRPr="003C5CBB">
        <w:rPr>
          <w:i/>
        </w:rPr>
        <w:t>Thane Int’l</w:t>
      </w:r>
      <w:r w:rsidRPr="003C5CBB">
        <w:t>, 305 F.3d at 909; Advantage Rent-A-Car, Inc. v. Enterprise Rent-A-Car Co., 238 F.3d 378, 381, 57 USPQ2d 1561 (5th Cir. 2001); Syndicate Sales, Inc. v. Hampshire Paper Corp., 2000 WL 1428665, at *18 (S.D. Ind. Aug. 30,</w:t>
      </w:r>
      <w:r w:rsidRPr="003C5CBB">
        <w:rPr>
          <w:b/>
        </w:rPr>
        <w:t xml:space="preserve"> </w:t>
      </w:r>
      <w:r w:rsidRPr="003C5CBB">
        <w:t>2000).</w:t>
      </w:r>
    </w:p>
  </w:footnote>
  <w:footnote w:id="492">
    <w:p w14:paraId="1D2FCA31" w14:textId="3664ECAD" w:rsidR="003C5CBB" w:rsidRPr="00517775" w:rsidRDefault="003C5CBB" w:rsidP="003C5CBB">
      <w:pPr>
        <w:pStyle w:val="FootnoteText"/>
      </w:pPr>
      <w:r w:rsidRPr="003C5CBB">
        <w:rPr>
          <w:vertAlign w:val="superscript"/>
        </w:rPr>
        <w:footnoteRef/>
      </w:r>
      <w:r w:rsidRPr="003C5CBB">
        <w:rPr>
          <w:i/>
        </w:rPr>
        <w:t>Times Mirror</w:t>
      </w:r>
      <w:r w:rsidRPr="003C5CBB">
        <w:t>, 212 F.3d at 170 (Barry, J., dissenting).</w:t>
      </w:r>
    </w:p>
  </w:footnote>
  <w:footnote w:id="493">
    <w:p w14:paraId="51E294E0" w14:textId="65ED2D6D"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TCPIP Holding Co. v. Haar Commc’ns, Inc., 244 F.3d 88, 99, 57 USPQ2d 1969 (2d Cir. 2001) (expressing doubt that Congress intended to protect “marks that have enjoyed only brief fame in a small part of the country, or among a small segment of the population”); I.P. Lund Trading Co. v. Kohler Co., 163 F.3d 27, 46, 49 USPQ2d 1225 (1st Cir. 1998) (citing the need for “national renown”); Heidi Ott A.G. v. Target Corp., 153 F. Supp. 2d 1055, 1076 (D. Minn. 2001) (citing concerns that a niche market theory would over-protect trademarks); </w:t>
      </w:r>
      <w:r w:rsidRPr="003C5CBB">
        <w:rPr>
          <w:i/>
        </w:rPr>
        <w:t>see also</w:t>
      </w:r>
      <w:r w:rsidRPr="003C5CBB">
        <w:t xml:space="preserve"> Washington Speakers Bureau, Inc. v. Leading Auths., Inc., 33 F. Supp. 2d 488, 503–04, 49 USPQ2d 1893 (E.D. Va. 1999) (expressing doubt about whether the FTDA covers fame in a niche market, but ultimately finding it unnecessary to resolve the issue), </w:t>
      </w:r>
      <w:r w:rsidRPr="003C5CBB">
        <w:rPr>
          <w:i/>
        </w:rPr>
        <w:t>aff’d mem</w:t>
      </w:r>
      <w:r w:rsidRPr="003C5CBB">
        <w:t>., 217 F.3d 843 (4th Cir. 2000).</w:t>
      </w:r>
    </w:p>
  </w:footnote>
  <w:footnote w:id="494">
    <w:p w14:paraId="7F749BDE" w14:textId="5EF550DC" w:rsidR="003C5CBB" w:rsidRPr="00517775" w:rsidRDefault="003C5CBB" w:rsidP="003C5CBB">
      <w:pPr>
        <w:pStyle w:val="FootnoteText"/>
      </w:pPr>
      <w:r w:rsidRPr="003C5CBB">
        <w:rPr>
          <w:vertAlign w:val="superscript"/>
        </w:rPr>
        <w:footnoteRef/>
      </w:r>
      <w:r w:rsidRPr="003C5CBB">
        <w:t>See discussion in Chapter 2, §I.F.</w:t>
      </w:r>
    </w:p>
  </w:footnote>
  <w:footnote w:id="495">
    <w:p w14:paraId="4D3C2B94" w14:textId="032FBA2F" w:rsidR="003C5CBB" w:rsidRPr="00517775" w:rsidRDefault="003C5CBB" w:rsidP="003C5CBB">
      <w:pPr>
        <w:pStyle w:val="FootnoteText"/>
      </w:pPr>
      <w:r w:rsidRPr="003C5CBB">
        <w:rPr>
          <w:vertAlign w:val="superscript"/>
        </w:rPr>
        <w:footnoteRef/>
      </w:r>
      <w:r w:rsidRPr="003C5CBB">
        <w:t xml:space="preserve">White v. Samsung Elec. Am., Inc., 971 F.2d 1395, 1400–1401 (9th Cir. 1992), </w:t>
      </w:r>
      <w:r w:rsidRPr="003C5CBB">
        <w:rPr>
          <w:i/>
        </w:rPr>
        <w:t>cert</w:t>
      </w:r>
      <w:r w:rsidRPr="003C5CBB">
        <w:t xml:space="preserve">. </w:t>
      </w:r>
      <w:r w:rsidRPr="003C5CBB">
        <w:rPr>
          <w:i/>
        </w:rPr>
        <w:t>denied</w:t>
      </w:r>
      <w:r w:rsidRPr="003C5CBB">
        <w:t xml:space="preserve">, 508 U.S. 951 (1993); Haelen Labs., Inc. v. Topps Chewing Gum, Inc., 202 F.2d 866, 868 (2d Cir. 1953), </w:t>
      </w:r>
      <w:r w:rsidRPr="003C5CBB">
        <w:rPr>
          <w:i/>
        </w:rPr>
        <w:t>cert</w:t>
      </w:r>
      <w:r w:rsidRPr="003C5CBB">
        <w:t xml:space="preserve">. </w:t>
      </w:r>
      <w:r w:rsidRPr="003C5CBB">
        <w:rPr>
          <w:i/>
        </w:rPr>
        <w:t>denied</w:t>
      </w:r>
      <w:r w:rsidRPr="003C5CBB">
        <w:t xml:space="preserve">, 346 U.S. 816 (1953); </w:t>
      </w:r>
      <w:r w:rsidRPr="003C5CBB">
        <w:rPr>
          <w:i/>
        </w:rPr>
        <w:t>see also</w:t>
      </w:r>
      <w:r w:rsidRPr="003C5CBB">
        <w:t xml:space="preserve"> </w:t>
      </w:r>
      <w:r w:rsidRPr="003C5CBB">
        <w:rPr>
          <w:smallCaps/>
        </w:rPr>
        <w:t>J. Thomas McCarthy, The Rights of Publicity and Privacy</w:t>
      </w:r>
      <w:r w:rsidRPr="003C5CBB">
        <w:t xml:space="preserve"> §§1:36–1:39, at 1-65 to 1-68 (2d ed. West 2000).</w:t>
      </w:r>
    </w:p>
  </w:footnote>
  <w:footnote w:id="496">
    <w:p w14:paraId="3D9C0CAA" w14:textId="3D2A5187"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w:t>
      </w:r>
      <w:r w:rsidRPr="003C5CBB">
        <w:rPr>
          <w:smallCaps/>
        </w:rPr>
        <w:t>Cal. Civ. Code</w:t>
      </w:r>
      <w:r w:rsidRPr="003C5CBB">
        <w:t xml:space="preserve"> §§3344, 3344.1 (West 1997 &amp; Supp. 2010); </w:t>
      </w:r>
      <w:r w:rsidRPr="003C5CBB">
        <w:rPr>
          <w:smallCaps/>
        </w:rPr>
        <w:t xml:space="preserve">Okla. Stat. </w:t>
      </w:r>
      <w:r w:rsidRPr="003C5CBB">
        <w:t xml:space="preserve">tit. 12 §1449 (1993); </w:t>
      </w:r>
      <w:r w:rsidRPr="003C5CBB">
        <w:rPr>
          <w:smallCaps/>
        </w:rPr>
        <w:t xml:space="preserve">Tex. Prop. Code Ann. </w:t>
      </w:r>
      <w:r w:rsidRPr="003C5CBB">
        <w:t xml:space="preserve">§26.013(4) (West 2001); </w:t>
      </w:r>
      <w:r w:rsidRPr="003C5CBB">
        <w:rPr>
          <w:i/>
        </w:rPr>
        <w:t>see</w:t>
      </w:r>
      <w:r w:rsidRPr="003C5CBB">
        <w:t xml:space="preserve"> </w:t>
      </w:r>
      <w:r w:rsidRPr="003C5CBB">
        <w:rPr>
          <w:smallCaps/>
        </w:rPr>
        <w:t>Cal. Bus. &amp; Prof. Code</w:t>
      </w:r>
      <w:r w:rsidRPr="003C5CBB">
        <w:t xml:space="preserve"> §17525(a) (West 2008) (prohibiting bad-faith registration of name of a living or deceased personality as a domain name).</w:t>
      </w:r>
    </w:p>
  </w:footnote>
  <w:footnote w:id="497">
    <w:p w14:paraId="18A8ED83" w14:textId="25552651" w:rsidR="003C5CBB" w:rsidRPr="00517775" w:rsidRDefault="003C5CBB" w:rsidP="003C5CBB">
      <w:pPr>
        <w:pStyle w:val="FootnoteText"/>
      </w:pPr>
      <w:r w:rsidRPr="003C5CBB">
        <w:rPr>
          <w:vertAlign w:val="superscript"/>
        </w:rPr>
        <w:footnoteRef/>
      </w:r>
      <w:r w:rsidRPr="003C5CBB">
        <w:t xml:space="preserve">Wendt v. Host Int’l, Inc., 197 F.3d 1284, 1286–87, 53 USPQ2d 1279 (9th Cir. 1999), </w:t>
      </w:r>
      <w:r w:rsidRPr="003C5CBB">
        <w:rPr>
          <w:i/>
        </w:rPr>
        <w:t>cert</w:t>
      </w:r>
      <w:r w:rsidRPr="003C5CBB">
        <w:t xml:space="preserve">. </w:t>
      </w:r>
      <w:r w:rsidRPr="003C5CBB">
        <w:rPr>
          <w:i/>
        </w:rPr>
        <w:t>denied</w:t>
      </w:r>
      <w:r w:rsidRPr="003C5CBB">
        <w:t xml:space="preserve">, 531 U.S. 811 (2000); White v. Samsung Elec. Am., Inc., 971 F.2d 1395, 1400–01, 23 USPQ2d 1583 (9th Cir. 1992), </w:t>
      </w:r>
      <w:r w:rsidRPr="003C5CBB">
        <w:rPr>
          <w:i/>
        </w:rPr>
        <w:t>cert</w:t>
      </w:r>
      <w:r w:rsidRPr="003C5CBB">
        <w:t xml:space="preserve">. </w:t>
      </w:r>
      <w:r w:rsidRPr="003C5CBB">
        <w:rPr>
          <w:i/>
        </w:rPr>
        <w:t>denied</w:t>
      </w:r>
      <w:r w:rsidRPr="003C5CBB">
        <w:t xml:space="preserve">, 508 U.S. 951 (1993); Waits v. Frito-Lay, Inc., 978 F.2d 1093, 1099 (9th Cir.), </w:t>
      </w:r>
      <w:r w:rsidRPr="003C5CBB">
        <w:rPr>
          <w:i/>
        </w:rPr>
        <w:t>cert</w:t>
      </w:r>
      <w:r w:rsidRPr="003C5CBB">
        <w:t xml:space="preserve">. </w:t>
      </w:r>
      <w:r w:rsidRPr="003C5CBB">
        <w:rPr>
          <w:i/>
        </w:rPr>
        <w:t>denied</w:t>
      </w:r>
      <w:r w:rsidRPr="003C5CBB">
        <w:t>, 506 U.S. 1080 (1992); Carson v. Here’s Johnny Portable Toilets, Inc., 698 F.2d 831, 835, 218 USPQ 1 (6th Cir. 1983).</w:t>
      </w:r>
    </w:p>
  </w:footnote>
  <w:footnote w:id="498">
    <w:p w14:paraId="16F3D6A1" w14:textId="4050E19B"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xml:space="preserve">., Brennan’s Inc. v. Brennan’s Rest., LLC, 2003 WL 1338681, at *6–7 (S.D.N.Y. Mar. 18, 2003), </w:t>
      </w:r>
      <w:r w:rsidRPr="003C5CBB">
        <w:rPr>
          <w:i/>
        </w:rPr>
        <w:t>aff’d</w:t>
      </w:r>
      <w:r w:rsidRPr="003C5CBB">
        <w:t xml:space="preserve">, 360 F.3d 125, 69 USPQ2d 1939 (2d Cir. 2004) (dilution issue not discussed on appeal); Cairns v. Franklin Mint, 107 F. Supp. 2d 1212, 1222, 55 USPQ2d 1711 (C.D. Cal. 2000), </w:t>
      </w:r>
      <w:r w:rsidRPr="003C5CBB">
        <w:rPr>
          <w:i/>
        </w:rPr>
        <w:t>aff’d</w:t>
      </w:r>
      <w:r w:rsidRPr="003C5CBB">
        <w:t xml:space="preserve">, 292 F.3d 1139, 1156, 63 USPQ2d 1279 (9th Cir. 2002); Elvis Presley Enters., Inc. v. Capece, 950 F. Supp. 783, 789 (S.D. Tex. 1996), </w:t>
      </w:r>
      <w:r w:rsidRPr="003C5CBB">
        <w:rPr>
          <w:i/>
        </w:rPr>
        <w:t>rev’d</w:t>
      </w:r>
      <w:r w:rsidRPr="003C5CBB">
        <w:t xml:space="preserve">, 141 F.3d 188, 46 USPQ2d 1737 (5th Cir. 1998) (the court of appeals did not reach the dilution claim); </w:t>
      </w:r>
      <w:r w:rsidRPr="003C5CBB">
        <w:rPr>
          <w:i/>
        </w:rPr>
        <w:t>cf</w:t>
      </w:r>
      <w:r w:rsidRPr="003C5CBB">
        <w:t>. 15 U.S.C. §8131 (granting protection against registrations of another person’s name as a domain name where the registrant intends to profit from the name by selling the domain name).</w:t>
      </w:r>
    </w:p>
  </w:footnote>
  <w:footnote w:id="499">
    <w:p w14:paraId="7097E8C4" w14:textId="685E7DFB" w:rsidR="003C5CBB" w:rsidRPr="00517775" w:rsidRDefault="003C5CBB" w:rsidP="003C5CBB">
      <w:pPr>
        <w:pStyle w:val="FootnoteText"/>
      </w:pPr>
      <w:r w:rsidRPr="003C5CBB">
        <w:rPr>
          <w:vertAlign w:val="superscript"/>
        </w:rPr>
        <w:footnoteRef/>
      </w:r>
      <w:r w:rsidRPr="003C5CBB">
        <w:t xml:space="preserve">The fame requirement should not be taken lightly, however. The TDRA’s definition of fame requires a mark to be “widely recognized by the general consuming public.” A local celebrity would not satisfy that test. </w:t>
      </w:r>
      <w:r w:rsidRPr="003C5CBB">
        <w:rPr>
          <w:i/>
        </w:rPr>
        <w:t>E</w:t>
      </w:r>
      <w:r w:rsidRPr="003C5CBB">
        <w:t>.</w:t>
      </w:r>
      <w:r w:rsidRPr="003C5CBB">
        <w:rPr>
          <w:i/>
        </w:rPr>
        <w:t>g</w:t>
      </w:r>
      <w:r w:rsidRPr="003C5CBB">
        <w:t>., Green v. Fornario, 486 F.3d 100, 105, 82 USPQ2d 1681 (3d Cir. 2007) (“[I]t seems several steps short of probable that a person with such a brief, and largely undistinguished, professional career limited to one team in one area would have a name that is ‘widely recognized by the general consuming public of the United States.’” (citation omitted)).</w:t>
      </w:r>
    </w:p>
  </w:footnote>
  <w:footnote w:id="500">
    <w:p w14:paraId="2990FB89" w14:textId="0C13F827" w:rsidR="003C5CBB" w:rsidRPr="003C5CBB" w:rsidRDefault="003C5CBB" w:rsidP="003C5CBB">
      <w:pPr>
        <w:pStyle w:val="FootnoteText"/>
      </w:pPr>
      <w:r w:rsidRPr="003C5CBB">
        <w:rPr>
          <w:vertAlign w:val="superscript"/>
        </w:rPr>
        <w:footnoteRef/>
      </w:r>
      <w:r w:rsidRPr="003C5CBB">
        <w:t xml:space="preserve">15 U.S.C. §1127 (definition of trademark). A “service mark” is defined in the same terms, except with the substitution of “services” for “goods.” </w:t>
      </w:r>
      <w:r w:rsidRPr="003C5CBB">
        <w:rPr>
          <w:i/>
        </w:rPr>
        <w:t>Id</w:t>
      </w:r>
      <w:r w:rsidRPr="003C5CBB">
        <w:t>. (definition of service mark). The term “mark” also includes collective marks and certification marks.</w:t>
      </w:r>
    </w:p>
    <w:p w14:paraId="3A0E6D65" w14:textId="77777777" w:rsidR="003C5CBB" w:rsidRPr="00517775" w:rsidRDefault="003C5CBB" w:rsidP="00AF29FC">
      <w:pPr>
        <w:pStyle w:val="footnote"/>
      </w:pPr>
    </w:p>
  </w:footnote>
  <w:footnote w:id="501">
    <w:p w14:paraId="25B11EE3" w14:textId="2C842D16" w:rsidR="003C5CBB" w:rsidRPr="00517775" w:rsidRDefault="003C5CBB" w:rsidP="003C5CBB">
      <w:pPr>
        <w:pStyle w:val="FootnoteText"/>
      </w:pPr>
      <w:r w:rsidRPr="003C5CBB">
        <w:rPr>
          <w:vertAlign w:val="superscript"/>
        </w:rPr>
        <w:footnoteRef/>
      </w:r>
      <w:r w:rsidRPr="003C5CBB">
        <w:rPr>
          <w:i/>
        </w:rPr>
        <w:t>See</w:t>
      </w:r>
      <w:r w:rsidRPr="003C5CBB">
        <w:t xml:space="preserve"> TCPIP Holding Co. v. Haar Commc’ns, Inc., 244 F.3d 88, 97, 57 USPQ2d 1969 (2d Cir. 2001) (under §43(c), a mark must be famous “</w:t>
      </w:r>
      <w:r w:rsidRPr="003C5CBB">
        <w:rPr>
          <w:i/>
        </w:rPr>
        <w:t>as the designator of the plaintiff’s goods or services</w:t>
      </w:r>
      <w:r w:rsidRPr="003C5CBB">
        <w:t xml:space="preserve">”) (emphasis in original). Indeed, finding no abuse of discretion, the Ninth Circuit affirmed a district court’s finding that the plaintiff’s claim that “Diana, Princess of Wales” signified a source of services (i.e., was a trademark) rather than an individual was “just short of frivolous.” </w:t>
      </w:r>
      <w:r w:rsidRPr="003C5CBB">
        <w:rPr>
          <w:i/>
        </w:rPr>
        <w:t>Cairns</w:t>
      </w:r>
      <w:r w:rsidRPr="003C5CBB">
        <w:t>, 292 F.3d at 1156.</w:t>
      </w:r>
    </w:p>
  </w:footnote>
  <w:footnote w:id="502">
    <w:p w14:paraId="499B4E25" w14:textId="0F8EA862" w:rsidR="003C5CBB" w:rsidRPr="00517775" w:rsidRDefault="003C5CBB" w:rsidP="003C5CBB">
      <w:pPr>
        <w:pStyle w:val="FootnoteText"/>
      </w:pPr>
      <w:r w:rsidRPr="003C5CBB">
        <w:rPr>
          <w:vertAlign w:val="superscript"/>
        </w:rPr>
        <w:footnoteRef/>
      </w:r>
      <w:r w:rsidRPr="003C5CBB">
        <w:t>Lanham Act §2(e)(4), (f), 15 U.S.C. §1052(e)(4), (f) (denying registration to a mark that is “primarily merely a surname” if no secondary meaning).</w:t>
      </w:r>
    </w:p>
  </w:footnote>
  <w:footnote w:id="503">
    <w:p w14:paraId="5A218121" w14:textId="36D6A659" w:rsidR="003C5CBB" w:rsidRPr="003C5CBB" w:rsidRDefault="003C5CBB" w:rsidP="003C5CBB">
      <w:pPr>
        <w:pStyle w:val="FootnoteText"/>
      </w:pPr>
      <w:r w:rsidRPr="003C5CBB">
        <w:rPr>
          <w:vertAlign w:val="superscript"/>
        </w:rPr>
        <w:footnoteRef/>
      </w:r>
      <w:r w:rsidRPr="003C5CBB">
        <w:t>Lanham Act §43(c)(2)(A), 15 U.S.C. §1125(c)(2)(A).</w:t>
      </w:r>
    </w:p>
    <w:p w14:paraId="5263C7D9" w14:textId="77777777" w:rsidR="003C5CBB" w:rsidRPr="00517775" w:rsidRDefault="003C5CBB" w:rsidP="00AF29FC">
      <w:pPr>
        <w:pStyle w:val="footnote"/>
      </w:pPr>
    </w:p>
  </w:footnote>
  <w:footnote w:id="504">
    <w:p w14:paraId="626D84E4" w14:textId="116B35B3" w:rsidR="003C5CBB" w:rsidRPr="00517775" w:rsidRDefault="003C5CBB" w:rsidP="003C5CBB">
      <w:pPr>
        <w:pStyle w:val="FootnoteText"/>
      </w:pPr>
      <w:r w:rsidRPr="003C5CBB">
        <w:rPr>
          <w:vertAlign w:val="superscript"/>
        </w:rPr>
        <w:footnoteRef/>
      </w:r>
      <w:r w:rsidRPr="003C5CBB">
        <w:rPr>
          <w:i/>
        </w:rPr>
        <w:t>See</w:t>
      </w:r>
      <w:r w:rsidRPr="003C5CBB">
        <w:t xml:space="preserve"> </w:t>
      </w:r>
      <w:r w:rsidRPr="003C5CBB">
        <w:rPr>
          <w:smallCaps/>
        </w:rPr>
        <w:t>Cal. Civ. Code</w:t>
      </w:r>
      <w:r w:rsidRPr="003C5CBB">
        <w:t xml:space="preserve"> §§3344(a), 3344.1(a) (West 1997 &amp; Supp. 2010). Defenses to the California statutes are found in §§3344(d) (no violation if used in a “news, public affairs, or sports broadcast or account, or any political campaign”), 3344.1(2). </w:t>
      </w:r>
      <w:r w:rsidRPr="003C5CBB">
        <w:rPr>
          <w:i/>
        </w:rPr>
        <w:t>But cf</w:t>
      </w:r>
      <w:r w:rsidRPr="003C5CBB">
        <w:t xml:space="preserve">. </w:t>
      </w:r>
      <w:r w:rsidRPr="003C5CBB">
        <w:rPr>
          <w:smallCaps/>
        </w:rPr>
        <w:t>N.Y. Civ. Rights Law</w:t>
      </w:r>
      <w:r w:rsidRPr="003C5CBB">
        <w:t xml:space="preserve"> §50 (McKinney 1992) (labeling the interest a “Right of Privacy”).</w:t>
      </w:r>
    </w:p>
  </w:footnote>
  <w:footnote w:id="505">
    <w:p w14:paraId="7F0DA6F8" w14:textId="1A621622" w:rsidR="003C5CBB" w:rsidRPr="00517775" w:rsidRDefault="003C5CBB" w:rsidP="003C5CBB">
      <w:pPr>
        <w:pStyle w:val="FootnoteText"/>
      </w:pPr>
      <w:r w:rsidRPr="003C5CBB">
        <w:rPr>
          <w:vertAlign w:val="superscript"/>
        </w:rPr>
        <w:footnoteRef/>
      </w:r>
      <w:r w:rsidRPr="003C5CBB">
        <w:t>15 U.S.C. §1125(a).</w:t>
      </w:r>
    </w:p>
  </w:footnote>
  <w:footnote w:id="506">
    <w:p w14:paraId="61556D04" w14:textId="6C9334A8" w:rsidR="003C5CBB" w:rsidRPr="00517775" w:rsidRDefault="003C5CBB" w:rsidP="003C5CBB">
      <w:pPr>
        <w:pStyle w:val="FootnoteText"/>
      </w:pPr>
      <w:r w:rsidRPr="003C5CBB">
        <w:rPr>
          <w:vertAlign w:val="superscript"/>
        </w:rPr>
        <w:footnoteRef/>
      </w:r>
      <w:r w:rsidRPr="003C5CBB">
        <w:rPr>
          <w:i/>
        </w:rPr>
        <w:t>Id</w:t>
      </w:r>
      <w:r w:rsidRPr="003C5CBB">
        <w:t>.</w:t>
      </w:r>
    </w:p>
  </w:footnote>
  <w:footnote w:id="507">
    <w:p w14:paraId="4BCC8F77" w14:textId="2509A86A" w:rsidR="003C5CBB" w:rsidRPr="00517775" w:rsidRDefault="003C5CBB" w:rsidP="003C5CBB">
      <w:pPr>
        <w:pStyle w:val="FootnoteText"/>
      </w:pPr>
      <w:r w:rsidRPr="003C5CBB">
        <w:rPr>
          <w:vertAlign w:val="superscript"/>
        </w:rPr>
        <w:footnoteRef/>
      </w:r>
      <w:r w:rsidRPr="003C5CBB">
        <w:t>Section 43(a)(1) is a kind of trademark-infringement section, dealing with acts that cause confusion of “affiliation, connection, or association.” 15 U.S.C. §1125(a)(1). However, §43(a)(2) specifically addresses false or disparaging advertisements, providing a clearer vehicle for a false-endorsement claim.</w:t>
      </w:r>
    </w:p>
  </w:footnote>
  <w:footnote w:id="508">
    <w:p w14:paraId="7B797E52" w14:textId="27D3C583" w:rsidR="003C5CBB" w:rsidRPr="00517775" w:rsidRDefault="003C5CBB" w:rsidP="003C5CBB">
      <w:pPr>
        <w:pStyle w:val="FootnoteText"/>
      </w:pPr>
      <w:r w:rsidRPr="003C5CBB">
        <w:rPr>
          <w:vertAlign w:val="superscript"/>
        </w:rPr>
        <w:footnoteRef/>
      </w:r>
      <w:r w:rsidRPr="003C5CBB">
        <w:t xml:space="preserve">125 F.3d 806, 44 USPQ2d 1189 (9th Cir. 1997), </w:t>
      </w:r>
      <w:r w:rsidRPr="003C5CBB">
        <w:rPr>
          <w:i/>
        </w:rPr>
        <w:t>reh’g denied</w:t>
      </w:r>
      <w:r w:rsidRPr="003C5CBB">
        <w:t xml:space="preserve">, 197 F.3d 1284, 53 USPQ2d 1279 (9th Cir. 1999), </w:t>
      </w:r>
      <w:r w:rsidRPr="003C5CBB">
        <w:rPr>
          <w:i/>
        </w:rPr>
        <w:t>cert</w:t>
      </w:r>
      <w:r w:rsidRPr="003C5CBB">
        <w:t xml:space="preserve">. </w:t>
      </w:r>
      <w:r w:rsidRPr="003C5CBB">
        <w:rPr>
          <w:i/>
        </w:rPr>
        <w:t>denied</w:t>
      </w:r>
      <w:r w:rsidRPr="003C5CBB">
        <w:t>, 531 U.S. 811 (2000).</w:t>
      </w:r>
    </w:p>
  </w:footnote>
  <w:footnote w:id="509">
    <w:p w14:paraId="68AAB21D" w14:textId="024CFA73" w:rsidR="003C5CBB" w:rsidRPr="00517775" w:rsidRDefault="003C5CBB" w:rsidP="003C5CBB">
      <w:pPr>
        <w:pStyle w:val="FootnoteText"/>
      </w:pPr>
      <w:r w:rsidRPr="003C5CBB">
        <w:rPr>
          <w:vertAlign w:val="superscript"/>
        </w:rPr>
        <w:footnoteRef/>
      </w:r>
      <w:r w:rsidRPr="003C5CBB">
        <w:rPr>
          <w:i/>
        </w:rPr>
        <w:t>See id</w:t>
      </w:r>
      <w:r w:rsidRPr="003C5CBB">
        <w:t>. at 812 n.1.</w:t>
      </w:r>
    </w:p>
  </w:footnote>
  <w:footnote w:id="510">
    <w:p w14:paraId="3E668A45" w14:textId="5E30C8AB" w:rsidR="003C5CBB" w:rsidRPr="00517775" w:rsidRDefault="003C5CBB" w:rsidP="003C5CBB">
      <w:pPr>
        <w:pStyle w:val="FootnoteText"/>
      </w:pPr>
      <w:r w:rsidRPr="003C5CBB">
        <w:rPr>
          <w:vertAlign w:val="superscript"/>
        </w:rPr>
        <w:footnoteRef/>
      </w:r>
      <w:r w:rsidRPr="003C5CBB">
        <w:rPr>
          <w:i/>
        </w:rPr>
        <w:t>Id</w:t>
      </w:r>
      <w:r w:rsidRPr="003C5CBB">
        <w:t>. at 812.</w:t>
      </w:r>
    </w:p>
  </w:footnote>
  <w:footnote w:id="511">
    <w:p w14:paraId="19D75EEB" w14:textId="62A4463D" w:rsidR="003C5CBB" w:rsidRPr="00517775" w:rsidRDefault="003C5CBB" w:rsidP="003C5CBB">
      <w:pPr>
        <w:pStyle w:val="FootnoteText"/>
      </w:pPr>
      <w:r w:rsidRPr="003C5CBB">
        <w:rPr>
          <w:vertAlign w:val="superscript"/>
        </w:rPr>
        <w:footnoteRef/>
      </w:r>
      <w:r w:rsidRPr="003C5CBB">
        <w:t xml:space="preserve">Indeed, it appears that other countries may not even grant such protection. </w:t>
      </w:r>
      <w:r w:rsidRPr="003C5CBB">
        <w:rPr>
          <w:i/>
        </w:rPr>
        <w:t>See</w:t>
      </w:r>
      <w:r w:rsidRPr="003C5CBB">
        <w:t xml:space="preserve"> Cairns v. Franklin Mint Co., 24 F. Supp. 2d 1013, 1023–24, 49 USPQ2d 1396 (C.D. Cal. 1998) (Great Britain has no right of publicity), </w:t>
      </w:r>
      <w:r w:rsidRPr="003C5CBB">
        <w:rPr>
          <w:i/>
        </w:rPr>
        <w:t>aff’d mem</w:t>
      </w:r>
      <w:r w:rsidRPr="003C5CBB">
        <w:t xml:space="preserve">. </w:t>
      </w:r>
      <w:r w:rsidRPr="003C5CBB">
        <w:rPr>
          <w:i/>
        </w:rPr>
        <w:t>sub nom</w:t>
      </w:r>
      <w:r w:rsidRPr="003C5CBB">
        <w:t>. Diana Princess of Wales Mem. Fund v. Franklin Mint Co., 216 F.3d 1082 (9th Cir. 1999).</w:t>
      </w:r>
    </w:p>
  </w:footnote>
  <w:footnote w:id="512">
    <w:p w14:paraId="6E0EFB38" w14:textId="532781BA" w:rsidR="003C5CBB" w:rsidRDefault="003C5CBB" w:rsidP="003C5CBB">
      <w:pPr>
        <w:pStyle w:val="FootnoteText"/>
      </w:pPr>
      <w:r w:rsidRPr="003C5CBB">
        <w:rPr>
          <w:rStyle w:val="FootnoteReference"/>
          <w:rFonts w:eastAsiaTheme="majorEastAsia"/>
        </w:rPr>
        <w:footnoteRef/>
      </w:r>
      <w:r w:rsidRPr="003C5CBB">
        <w:rPr>
          <w:i/>
        </w:rPr>
        <w:t>E.g.</w:t>
      </w:r>
      <w:r w:rsidRPr="003C5CBB">
        <w:t>, Carter-Knowles v. Feyonce, Inc., 347 F. Supp. 3d 217, 228 (S.D.N.Y. 2018) (treating Beyoncé as a famous trademark).</w:t>
      </w:r>
    </w:p>
  </w:footnote>
  <w:footnote w:id="513">
    <w:p w14:paraId="157E06F3" w14:textId="3802BBE0" w:rsidR="003C5CBB" w:rsidRPr="000B5008" w:rsidRDefault="003C5CBB" w:rsidP="003C5CBB">
      <w:pPr>
        <w:pStyle w:val="FootnoteText"/>
      </w:pPr>
      <w:r w:rsidRPr="003C5CBB">
        <w:rPr>
          <w:vertAlign w:val="superscript"/>
        </w:rPr>
        <w:footnoteRef/>
      </w:r>
      <w:r w:rsidRPr="003C5CBB">
        <w:t xml:space="preserve">Lanham Act §43(c)(2)(A), 15 U.S.C. §1125(c)(2)(A); </w:t>
      </w:r>
      <w:r w:rsidRPr="003C5CBB">
        <w:rPr>
          <w:i/>
        </w:rPr>
        <w:t xml:space="preserve">see </w:t>
      </w:r>
      <w:r w:rsidRPr="003C5CBB">
        <w:t xml:space="preserve">Moore v. Weinstein Co., 545 F. App’x 405, 411 (6th Cir. 2013) (under both federal and state law, fame of individual does not mean that the individual owns a famous mark); Estate of Marilyn Monroe, LLC v. Monroe’s Palm Beach, LLC, 2013 WL 12085085, at *2, 2013 BL 447929 (S.D. Fla. Oct. 28, 2013) (Estate of Marilyn Monroe cannot sue for trademark infringement regarding the “identity, persona, name and likeness” of Monroe unless it can show it has </w:t>
      </w:r>
      <w:r w:rsidRPr="003C5CBB">
        <w:rPr>
          <w:i/>
        </w:rPr>
        <w:t>trademark</w:t>
      </w:r>
      <w:r w:rsidRPr="003C5CBB">
        <w:t xml:space="preserve"> rights in those things); </w:t>
      </w:r>
      <w:r w:rsidRPr="003C5CBB">
        <w:rPr>
          <w:i/>
        </w:rPr>
        <w:t>Cairns</w:t>
      </w:r>
      <w:r w:rsidRPr="003C5CBB">
        <w:t xml:space="preserve">, 24 F. Supp. 2d at 1034–35 (discussing this issue, while denying a motion to dismiss the dilution claim by the estate of Princess Diana); </w:t>
      </w:r>
      <w:r w:rsidRPr="003C5CBB">
        <w:rPr>
          <w:i/>
        </w:rPr>
        <w:t xml:space="preserve">see also </w:t>
      </w:r>
      <w:r w:rsidRPr="003C5CBB">
        <w:t xml:space="preserve">ETW Corp. v. Jireh Publ’g, Inc., 332 F.3d 915, 923 &amp; n.7, 67 USPQ2d 1065 (6th Cir. 2003) (not all images and likenesses of famous golfer function as a trademark; dismissing infringement and dilution claims); Pirone v. McMillan, Inc., 894 F.2d 579, 582 (2d Cir. 1990) (infringement case; Babe Ruth held not a trademark); Clark v. America Online, Inc., 2000 WL 33535712 (C.D. Cal. Nov. 30, 2000) (no dilution; Dick Clark’s name not used as a trademark). </w:t>
      </w:r>
      <w:r w:rsidRPr="003C5CBB">
        <w:rPr>
          <w:i/>
        </w:rPr>
        <w:t xml:space="preserve">But cf. </w:t>
      </w:r>
      <w:r w:rsidRPr="003C5CBB">
        <w:t>A.V.E.L.A., Inc. v. Marilyn Monroe Estate LLC, 131 F. Supp. 3d 196, 215–16 (S.D.N.Y. 2015) (concluding that pleading sufficiently averred that Monroe marks were famous).</w:t>
      </w:r>
    </w:p>
  </w:footnote>
  <w:footnote w:id="514">
    <w:p w14:paraId="419126AD" w14:textId="60A2FE3A" w:rsidR="003C5CBB" w:rsidRPr="00517775" w:rsidRDefault="003C5CBB" w:rsidP="003C5CBB">
      <w:pPr>
        <w:pStyle w:val="FootnoteText"/>
      </w:pPr>
      <w:r w:rsidRPr="003C5CBB">
        <w:rPr>
          <w:vertAlign w:val="superscript"/>
        </w:rPr>
        <w:footnoteRef/>
      </w:r>
      <w:r w:rsidRPr="003C5CBB">
        <w:rPr>
          <w:i/>
        </w:rPr>
        <w:t>See</w:t>
      </w:r>
      <w:r w:rsidRPr="003C5CBB">
        <w:t xml:space="preserve"> Cairns v. Franklin Mint Co., 107 F. Supp. 2d 1212, 1222, 55 USPQ2d 1711 (C.D. Cal. 2000) (finding that Diana, Princess of Wales did not identify her charitable services, but rather the person herself); </w:t>
      </w:r>
      <w:r w:rsidRPr="003C5CBB">
        <w:rPr>
          <w:i/>
        </w:rPr>
        <w:t>Clark</w:t>
      </w:r>
      <w:r w:rsidRPr="003C5CBB">
        <w:t xml:space="preserve">, 2000 WL 33535712 (Dick Clark’s name on mailing not used as trademark); </w:t>
      </w:r>
      <w:r w:rsidRPr="003C5CBB">
        <w:rPr>
          <w:i/>
        </w:rPr>
        <w:t>see also</w:t>
      </w:r>
      <w:r w:rsidRPr="003C5CBB">
        <w:t xml:space="preserve"> TCPIP Holding Co. v. Haar Commc’ns, Inc., 244 F.3d 88, 95–98, 57 USPQ2d 1969 (2d Cir. 2001) (requiring both inherent and acquired distinctiveness under the FTDA).</w:t>
      </w:r>
    </w:p>
  </w:footnote>
  <w:footnote w:id="515">
    <w:p w14:paraId="0F2C004B" w14:textId="67FFE0CB" w:rsidR="003C5CBB" w:rsidRPr="00517775" w:rsidRDefault="003C5CBB" w:rsidP="003C5CBB">
      <w:pPr>
        <w:pStyle w:val="FootnoteText"/>
      </w:pPr>
      <w:r w:rsidRPr="003C5CBB">
        <w:rPr>
          <w:vertAlign w:val="superscript"/>
        </w:rPr>
        <w:footnoteRef/>
      </w:r>
      <w:r w:rsidRPr="003C5CBB">
        <w:t xml:space="preserve">Personal names may be partly protected from unauthorized registration as Internet domain names under the Anticybersquatting Consumer Protection Act, 15 U.S.C. §8131 (formerly 1129). </w:t>
      </w:r>
      <w:r w:rsidRPr="003C5CBB">
        <w:rPr>
          <w:i/>
        </w:rPr>
        <w:t>See</w:t>
      </w:r>
      <w:r w:rsidRPr="003C5CBB">
        <w:t xml:space="preserve"> Wright v. Domain Source, Inc., 2002 U.S. Dist. LEXIS 16024 (N.D. Ill. Aug. 27, 2002) (finding in favor of plaintiff upon defendant’s default in §1129 claim). In addition, §§2(a) and 2(c) of the Lanham Act contain further protection against the registration of well-known names as trademarks. 15 U.S.C. §1052(a), (c).</w:t>
      </w:r>
    </w:p>
  </w:footnote>
  <w:footnote w:id="516">
    <w:p w14:paraId="46E7035A" w14:textId="3A84B7D9" w:rsidR="003C5CBB" w:rsidRPr="00517775" w:rsidRDefault="003C5CBB" w:rsidP="003C5CBB">
      <w:pPr>
        <w:pStyle w:val="FootnoteText"/>
      </w:pPr>
      <w:r w:rsidRPr="003C5CBB">
        <w:rPr>
          <w:vertAlign w:val="superscript"/>
        </w:rPr>
        <w:footnoteRef/>
      </w:r>
      <w:r w:rsidRPr="003C5CBB">
        <w:t>74 F. Supp. 2d 1261, 52 USPQ2d 1920 (S.D. Fla. 1999).</w:t>
      </w:r>
    </w:p>
  </w:footnote>
  <w:footnote w:id="517">
    <w:p w14:paraId="2ADCCA92" w14:textId="5E5FB0E6" w:rsidR="003C5CBB" w:rsidRPr="00517775" w:rsidRDefault="003C5CBB" w:rsidP="003C5CBB">
      <w:pPr>
        <w:pStyle w:val="FootnoteText"/>
      </w:pPr>
      <w:r w:rsidRPr="003C5CBB">
        <w:rPr>
          <w:vertAlign w:val="superscript"/>
        </w:rPr>
        <w:footnoteRef/>
      </w:r>
      <w:r w:rsidRPr="003C5CBB">
        <w:rPr>
          <w:i/>
        </w:rPr>
        <w:t>Id</w:t>
      </w:r>
      <w:r w:rsidRPr="003C5CBB">
        <w:t>. at 1270.</w:t>
      </w:r>
    </w:p>
  </w:footnote>
  <w:footnote w:id="518">
    <w:p w14:paraId="10B0A40D" w14:textId="181249A3" w:rsidR="003C5CBB" w:rsidRPr="00517775" w:rsidRDefault="003C5CBB" w:rsidP="003C5CBB">
      <w:pPr>
        <w:pStyle w:val="FootnoteText"/>
      </w:pPr>
      <w:r w:rsidRPr="003C5CBB">
        <w:rPr>
          <w:vertAlign w:val="superscript"/>
        </w:rPr>
        <w:footnoteRef/>
      </w:r>
      <w:r w:rsidRPr="003C5CBB">
        <w:rPr>
          <w:i/>
        </w:rPr>
        <w:t>Id</w:t>
      </w:r>
      <w:r w:rsidRPr="003C5CBB">
        <w:t>.</w:t>
      </w:r>
    </w:p>
  </w:footnote>
  <w:footnote w:id="519">
    <w:p w14:paraId="31EF6124" w14:textId="2F76E12A" w:rsidR="003C5CBB" w:rsidRPr="00517775" w:rsidRDefault="003C5CBB" w:rsidP="003C5CBB">
      <w:pPr>
        <w:pStyle w:val="FootnoteText"/>
      </w:pPr>
      <w:r w:rsidRPr="003C5CBB">
        <w:rPr>
          <w:vertAlign w:val="superscript"/>
        </w:rPr>
        <w:footnoteRef/>
      </w:r>
      <w:r w:rsidRPr="003C5CBB">
        <w:t>Lanham Act §43(c)(1), 15 U.S.C. §1125(c)(1) (superseded by the TDRA).</w:t>
      </w:r>
    </w:p>
  </w:footnote>
  <w:footnote w:id="520">
    <w:p w14:paraId="61BC127F" w14:textId="33210C1A" w:rsidR="003C5CBB" w:rsidRPr="00517775" w:rsidRDefault="003C5CBB" w:rsidP="003C5CBB">
      <w:pPr>
        <w:pStyle w:val="FootnoteText"/>
      </w:pPr>
      <w:r w:rsidRPr="003C5CBB">
        <w:rPr>
          <w:vertAlign w:val="superscript"/>
        </w:rPr>
        <w:footnoteRef/>
      </w:r>
      <w:r w:rsidRPr="003C5CBB">
        <w:rPr>
          <w:i/>
        </w:rPr>
        <w:t>Compare</w:t>
      </w:r>
      <w:r w:rsidRPr="003C5CBB">
        <w:t xml:space="preserve"> Nabisco, Inc. v. PF Brands, Inc., 191 F.3d 208, 215–16, 51 USPQ2d 1882 (2d Cir. 1999) (distinctiveness is an additional element), </w:t>
      </w:r>
      <w:r w:rsidRPr="003C5CBB">
        <w:rPr>
          <w:i/>
        </w:rPr>
        <w:t>and</w:t>
      </w:r>
      <w:r w:rsidRPr="003C5CBB">
        <w:t xml:space="preserve"> V Secret Catalogue, Inc. v. Moseley, 259 F.3d 464, 469, 59 USPQ2d 1650 (6th Cir. 2001), </w:t>
      </w:r>
      <w:r w:rsidRPr="003C5CBB">
        <w:rPr>
          <w:i/>
        </w:rPr>
        <w:t>rev’d on other grounds</w:t>
      </w:r>
      <w:r w:rsidRPr="003C5CBB">
        <w:t xml:space="preserve">, 537 U.S. 418, 65 USPQ2d 1801 (2003), </w:t>
      </w:r>
      <w:r w:rsidRPr="003C5CBB">
        <w:rPr>
          <w:i/>
        </w:rPr>
        <w:t>with</w:t>
      </w:r>
      <w:r w:rsidRPr="003C5CBB">
        <w:t xml:space="preserve"> Times Mirror Magazines, Inc. v. Las Vegas Sports News, LLC, 212 F.3d 157, 167 (3d Cir. 2000) (distinctiveness not a separate element), </w:t>
      </w:r>
      <w:r w:rsidRPr="003C5CBB">
        <w:rPr>
          <w:i/>
        </w:rPr>
        <w:t>cert</w:t>
      </w:r>
      <w:r w:rsidRPr="003C5CBB">
        <w:t xml:space="preserve">. </w:t>
      </w:r>
      <w:r w:rsidRPr="003C5CBB">
        <w:rPr>
          <w:i/>
        </w:rPr>
        <w:t>denied</w:t>
      </w:r>
      <w:r w:rsidRPr="003C5CBB">
        <w:t>, 531 U.S. 1071 (2001).</w:t>
      </w:r>
    </w:p>
  </w:footnote>
  <w:footnote w:id="521">
    <w:p w14:paraId="0B04C3C2" w14:textId="6F3B3AEF" w:rsidR="003C5CBB" w:rsidRPr="003C5CBB" w:rsidRDefault="003C5CBB" w:rsidP="003C5CBB">
      <w:pPr>
        <w:pStyle w:val="FootnoteText"/>
      </w:pPr>
      <w:r w:rsidRPr="003C5CBB">
        <w:rPr>
          <w:vertAlign w:val="superscript"/>
        </w:rPr>
        <w:footnoteRef/>
      </w:r>
      <w:r w:rsidRPr="003C5CBB">
        <w:t xml:space="preserve">TCPIP Holding Co. v. Haar Commc’ns, Inc., 244 F.3d 88, 96 (2d Cir. 2001). The case for distinctiveness as a separate element under the FTDA was originally made in the Second Circuit’s opinion in </w:t>
      </w:r>
      <w:r w:rsidRPr="003C5CBB">
        <w:rPr>
          <w:i/>
        </w:rPr>
        <w:t>Nabisco</w:t>
      </w:r>
      <w:r w:rsidRPr="003C5CBB">
        <w:t xml:space="preserve">, 191 F.3d 208. The court began by stating, quite correctly, that “[d]istinctiveness in a mark is a characteristic quite different from fame.” </w:t>
      </w:r>
      <w:r w:rsidRPr="003C5CBB">
        <w:rPr>
          <w:i/>
        </w:rPr>
        <w:t>Id</w:t>
      </w:r>
      <w:r w:rsidRPr="003C5CBB">
        <w:t xml:space="preserve">. at 215. Next, the court cited the statutory language granting protection to a famous mark owner when a junior use “causes dilution of the distinctive quality of the famous mark.” </w:t>
      </w:r>
      <w:r w:rsidRPr="003C5CBB">
        <w:rPr>
          <w:i/>
        </w:rPr>
        <w:t>Id</w:t>
      </w:r>
      <w:r w:rsidRPr="003C5CBB">
        <w:t>. at 216 (quoting 15 U.S.C. §1125(c)(1)). The definition of “dilution” in §45 contained no reference to distinctiveness. 15 U.S.C. §1127 (definition of dilution, deleted by the TDRA</w:t>
      </w:r>
      <w:r w:rsidRPr="003C5CBB">
        <w:t xml:space="preserve">).The court asserted that “[t]here can be no dilution of a mark’s distinctive quality unless the mark is distinctive.” 191 F.3d at 216. (In its </w:t>
      </w:r>
      <w:r w:rsidRPr="003C5CBB">
        <w:rPr>
          <w:i/>
        </w:rPr>
        <w:t>Moseley</w:t>
      </w:r>
      <w:r w:rsidRPr="003C5CBB">
        <w:t xml:space="preserve"> decision, the Supreme Court noted the Second Circuit’s position on this issue, but without any indication that courts were split on the proposition and without specifically commenting on the correctness of the Second Circuit’s position. Moseley v. V Secret Catalogue, Inc., 537 U.S. 418, 426 n.5, 65 USPQ2d 1801 (2003). Whether that mention—without citation of contrary authority—was significant is difficult to determine. The matter is now dealt with by the amendments added via the TDRA, discussed in §VIII.C.).</w:t>
      </w:r>
    </w:p>
    <w:p w14:paraId="50D69ADB" w14:textId="10B4EEC6" w:rsidR="003C5CBB" w:rsidRPr="00517775" w:rsidRDefault="003C5CBB" w:rsidP="003C5CBB">
      <w:pPr>
        <w:pStyle w:val="FootnoteText"/>
      </w:pPr>
      <w:r w:rsidRPr="003C5CBB">
        <w:t xml:space="preserve">The Second Circuit then argued that not all “famous” marks are distinctive—citing “American, National, Federal, Federated, First, United, Acme, Merit or Ace.” 191 F.3d at 216. Thus, the court concluded, distinctiveness was intended to screen out such marks from the protection of the FTDA. </w:t>
      </w:r>
      <w:r w:rsidRPr="003C5CBB">
        <w:rPr>
          <w:i/>
        </w:rPr>
        <w:t>Id</w:t>
      </w:r>
      <w:r w:rsidRPr="003C5CBB">
        <w:t xml:space="preserve">. The Second Circuit did not explain precisely what level or kind of distinctiveness was required, though it found the plaintiff’s goldfish-shaped crackers sufficiently distinctive. </w:t>
      </w:r>
      <w:r w:rsidRPr="003C5CBB">
        <w:rPr>
          <w:i/>
        </w:rPr>
        <w:t>Id</w:t>
      </w:r>
      <w:r w:rsidRPr="003C5CBB">
        <w:t>.</w:t>
      </w:r>
    </w:p>
  </w:footnote>
  <w:footnote w:id="522">
    <w:p w14:paraId="74CD97BF" w14:textId="3098C56E" w:rsidR="003C5CBB" w:rsidRPr="00517775" w:rsidRDefault="003C5CBB" w:rsidP="003C5CBB">
      <w:pPr>
        <w:pStyle w:val="FootnoteText"/>
      </w:pPr>
      <w:r w:rsidRPr="003C5CBB">
        <w:rPr>
          <w:vertAlign w:val="superscript"/>
        </w:rPr>
        <w:footnoteRef/>
      </w:r>
      <w:r w:rsidRPr="003C5CBB">
        <w:t>Lanham Act §43(c)(1), 15 U.S.C. §1125(c)(1).</w:t>
      </w:r>
    </w:p>
  </w:footnote>
  <w:footnote w:id="523">
    <w:p w14:paraId="36C7CB6C" w14:textId="5F7A75C9" w:rsidR="003C5CBB" w:rsidRPr="00517775" w:rsidRDefault="003C5CBB" w:rsidP="003C5CBB">
      <w:pPr>
        <w:pStyle w:val="FootnoteText"/>
      </w:pPr>
      <w:r w:rsidRPr="003C5CBB">
        <w:rPr>
          <w:vertAlign w:val="superscript"/>
        </w:rPr>
        <w:footnoteRef/>
      </w:r>
      <w:r w:rsidRPr="003C5CBB">
        <w:t>Lanham Act §43(c)(2)(A), 15 U.S.C. §1125(c)(2)(A).</w:t>
      </w:r>
    </w:p>
  </w:footnote>
  <w:footnote w:id="524">
    <w:p w14:paraId="387E8B76" w14:textId="70D7AF38" w:rsidR="003C5CBB" w:rsidRPr="00517775" w:rsidRDefault="003C5CBB" w:rsidP="003C5CBB">
      <w:pPr>
        <w:pStyle w:val="FootnoteText"/>
      </w:pPr>
      <w:r w:rsidRPr="003C5CBB">
        <w:rPr>
          <w:vertAlign w:val="superscript"/>
        </w:rPr>
        <w:footnoteRef/>
      </w:r>
      <w:r w:rsidRPr="003C5CBB">
        <w:t>Inherent distinctiveness is also a factor in determining dilution by blurring. Lanham Act §43(c)(2)(B)(ii), 15 U.S.C. §1125(c)(2)(B)(ii).</w:t>
      </w:r>
    </w:p>
  </w:footnote>
  <w:footnote w:id="525">
    <w:p w14:paraId="57B6624D" w14:textId="58F7D6DD" w:rsidR="003C5CBB" w:rsidRPr="00517775" w:rsidRDefault="003C5CBB" w:rsidP="003C5CBB">
      <w:pPr>
        <w:pStyle w:val="FootnoteText"/>
      </w:pPr>
      <w:r w:rsidRPr="003C5CBB">
        <w:rPr>
          <w:vertAlign w:val="superscript"/>
        </w:rPr>
        <w:footnoteRef/>
      </w:r>
      <w:r w:rsidRPr="003C5CBB">
        <w:rPr>
          <w:i/>
        </w:rPr>
        <w:t>USTA Report</w:t>
      </w:r>
      <w:r w:rsidRPr="003C5CBB">
        <w:t xml:space="preserve">, 77 </w:t>
      </w:r>
      <w:r w:rsidRPr="003C5CBB">
        <w:rPr>
          <w:smallCaps/>
        </w:rPr>
        <w:t xml:space="preserve">Trademark Rep. </w:t>
      </w:r>
      <w:r w:rsidRPr="003C5CBB">
        <w:t>375, 459 (1987) (emphasis added).</w:t>
      </w:r>
    </w:p>
  </w:footnote>
  <w:footnote w:id="526">
    <w:p w14:paraId="2B9F0E7C" w14:textId="4866523D" w:rsidR="003C5CBB" w:rsidRPr="00517775" w:rsidRDefault="003C5CBB" w:rsidP="003C5CBB">
      <w:pPr>
        <w:pStyle w:val="FootnoteText"/>
      </w:pPr>
      <w:r w:rsidRPr="003C5CBB">
        <w:rPr>
          <w:vertAlign w:val="superscript"/>
        </w:rPr>
        <w:footnoteRef/>
      </w:r>
      <w:r w:rsidRPr="003C5CBB">
        <w:t>The addition of the phrase “at a minimum” may suggest that the Commission contemplated something in addition to registration, but the report is silent as to what that might have been.</w:t>
      </w:r>
    </w:p>
  </w:footnote>
  <w:footnote w:id="527">
    <w:p w14:paraId="2BF35621" w14:textId="496AF4D5" w:rsidR="003C5CBB" w:rsidRPr="00517775" w:rsidRDefault="003C5CBB" w:rsidP="003C5CBB">
      <w:pPr>
        <w:pStyle w:val="FootnoteText"/>
      </w:pPr>
      <w:r w:rsidRPr="003C5CBB">
        <w:rPr>
          <w:vertAlign w:val="superscript"/>
        </w:rPr>
        <w:footnoteRef/>
      </w:r>
      <w:r w:rsidRPr="003C5CBB">
        <w:rPr>
          <w:i/>
        </w:rPr>
        <w:t>Hearing on S</w:t>
      </w:r>
      <w:r w:rsidRPr="003C5CBB">
        <w:t xml:space="preserve">. </w:t>
      </w:r>
      <w:r w:rsidRPr="003C5CBB">
        <w:rPr>
          <w:i/>
        </w:rPr>
        <w:t>1883 Before the Subcomm</w:t>
      </w:r>
      <w:r w:rsidRPr="003C5CBB">
        <w:t xml:space="preserve">. </w:t>
      </w:r>
      <w:r w:rsidRPr="003C5CBB">
        <w:rPr>
          <w:i/>
        </w:rPr>
        <w:t>on Patents, Copyrights and Trademarks of the Senate Comm</w:t>
      </w:r>
      <w:r w:rsidRPr="003C5CBB">
        <w:t xml:space="preserve">. </w:t>
      </w:r>
      <w:r w:rsidRPr="003C5CBB">
        <w:rPr>
          <w:i/>
        </w:rPr>
        <w:t>on the Judiciary</w:t>
      </w:r>
      <w:r w:rsidRPr="003C5CBB">
        <w:t xml:space="preserve">, 100th Cong., 2d Sess., 202 (1988) (emphasis added); </w:t>
      </w:r>
      <w:r w:rsidRPr="003C5CBB">
        <w:rPr>
          <w:i/>
        </w:rPr>
        <w:t>see id</w:t>
      </w:r>
      <w:r w:rsidRPr="003C5CBB">
        <w:t>. at 204 (USTA asserts that famous marks can either be inherently distinctive or have fame from acquired distinctiveness).</w:t>
      </w:r>
    </w:p>
  </w:footnote>
  <w:footnote w:id="528">
    <w:p w14:paraId="2C4A4540" w14:textId="4B4C39BF" w:rsidR="003C5CBB" w:rsidRPr="00517775" w:rsidRDefault="003C5CBB" w:rsidP="003C5CBB">
      <w:pPr>
        <w:pStyle w:val="FootnoteText"/>
      </w:pPr>
      <w:r w:rsidRPr="003C5CBB">
        <w:rPr>
          <w:vertAlign w:val="superscript"/>
        </w:rPr>
        <w:footnoteRef/>
      </w:r>
      <w:r w:rsidRPr="003C5CBB">
        <w:t xml:space="preserve">S. 1883 §36, </w:t>
      </w:r>
      <w:r w:rsidRPr="003C5CBB">
        <w:rPr>
          <w:i/>
        </w:rPr>
        <w:t>reprinted in</w:t>
      </w:r>
      <w:r w:rsidRPr="003C5CBB">
        <w:t xml:space="preserve"> 134 </w:t>
      </w:r>
      <w:r w:rsidRPr="003C5CBB">
        <w:rPr>
          <w:smallCaps/>
        </w:rPr>
        <w:t xml:space="preserve">Cong. Rec. </w:t>
      </w:r>
      <w:r w:rsidRPr="003C5CBB">
        <w:t xml:space="preserve">S5864–02 (May 13, 1988). This language was adopted by Washington state in its dilution statute. </w:t>
      </w:r>
      <w:r w:rsidRPr="003C5CBB">
        <w:rPr>
          <w:smallCaps/>
        </w:rPr>
        <w:t xml:space="preserve">Wash. Rev. Code Ann. </w:t>
      </w:r>
      <w:r w:rsidRPr="003C5CBB">
        <w:t>§19.77.160 (West 1999).</w:t>
      </w:r>
    </w:p>
  </w:footnote>
  <w:footnote w:id="529">
    <w:p w14:paraId="3B971A08" w14:textId="03479C3F" w:rsidR="003C5CBB" w:rsidRPr="00517775" w:rsidRDefault="003C5CBB" w:rsidP="003C5CBB">
      <w:pPr>
        <w:pStyle w:val="FootnoteText"/>
      </w:pPr>
      <w:r w:rsidRPr="003C5CBB">
        <w:rPr>
          <w:vertAlign w:val="superscript"/>
        </w:rPr>
        <w:footnoteRef/>
      </w:r>
      <w:r w:rsidRPr="003C5CBB">
        <w:rPr>
          <w:smallCaps/>
        </w:rPr>
        <w:t xml:space="preserve">S. Rep. No. </w:t>
      </w:r>
      <w:r w:rsidRPr="003C5CBB">
        <w:t>100-515, at 41 (1988)</w:t>
      </w:r>
      <w:r w:rsidRPr="003C5CBB">
        <w:rPr>
          <w:b/>
        </w:rPr>
        <w:t xml:space="preserve">; </w:t>
      </w:r>
      <w:r w:rsidRPr="003C5CBB">
        <w:t xml:space="preserve">see </w:t>
      </w:r>
      <w:r w:rsidRPr="003C5CBB">
        <w:rPr>
          <w:i/>
        </w:rPr>
        <w:t>id</w:t>
      </w:r>
      <w:r w:rsidRPr="003C5CBB">
        <w:t>. at 42 (dilution would protect only “those very unique marks which are both distinctive and famous”).</w:t>
      </w:r>
    </w:p>
  </w:footnote>
  <w:footnote w:id="530">
    <w:p w14:paraId="481C18F5" w14:textId="55D62E2F" w:rsidR="003C5CBB" w:rsidRPr="00366F48" w:rsidRDefault="003C5CBB" w:rsidP="003C5CBB">
      <w:pPr>
        <w:pStyle w:val="FootnoteText"/>
        <w:rPr>
          <w:lang w:val="es-US"/>
        </w:rPr>
      </w:pPr>
      <w:r w:rsidRPr="003C5CBB">
        <w:rPr>
          <w:vertAlign w:val="superscript"/>
        </w:rPr>
        <w:footnoteRef/>
      </w:r>
      <w:r w:rsidRPr="003C5CBB">
        <w:t>244 F.3d 88, 57 USPQ2d 1969 (2d Cir. 2001).</w:t>
      </w:r>
    </w:p>
  </w:footnote>
  <w:footnote w:id="531">
    <w:p w14:paraId="2638FB41" w14:textId="2D5E1503" w:rsidR="003C5CBB" w:rsidRPr="00517775" w:rsidRDefault="003C5CBB" w:rsidP="003C5CBB">
      <w:pPr>
        <w:pStyle w:val="FootnoteText"/>
      </w:pPr>
      <w:r w:rsidRPr="003C5CBB">
        <w:rPr>
          <w:vertAlign w:val="superscript"/>
        </w:rPr>
        <w:footnoteRef/>
      </w:r>
      <w:r w:rsidRPr="003C5CBB">
        <w:rPr>
          <w:i/>
        </w:rPr>
        <w:t>Id</w:t>
      </w:r>
      <w:r w:rsidRPr="003C5CBB">
        <w:t>. at 96.</w:t>
      </w:r>
    </w:p>
  </w:footnote>
  <w:footnote w:id="532">
    <w:p w14:paraId="08059F46" w14:textId="0B4F8CA9" w:rsidR="003C5CBB" w:rsidRPr="00517775" w:rsidRDefault="003C5CBB" w:rsidP="003C5CBB">
      <w:pPr>
        <w:pStyle w:val="FootnoteText"/>
      </w:pPr>
      <w:r w:rsidRPr="003C5CBB">
        <w:rPr>
          <w:vertAlign w:val="superscript"/>
        </w:rPr>
        <w:footnoteRef/>
      </w:r>
      <w:r w:rsidRPr="003C5CBB">
        <w:t xml:space="preserve">3 </w:t>
      </w:r>
      <w:r w:rsidRPr="003C5CBB">
        <w:rPr>
          <w:smallCaps/>
        </w:rPr>
        <w:t>McCarthy on Trademarks</w:t>
      </w:r>
      <w:r w:rsidRPr="003C5CBB">
        <w:t xml:space="preserve"> §24:91, at 24-153.</w:t>
      </w:r>
    </w:p>
  </w:footnote>
  <w:footnote w:id="533">
    <w:p w14:paraId="30D2F54F" w14:textId="0D58EDC8" w:rsidR="003C5CBB" w:rsidRPr="00517775" w:rsidRDefault="003C5CBB" w:rsidP="003C5CBB">
      <w:pPr>
        <w:pStyle w:val="FootnoteText"/>
      </w:pPr>
      <w:r w:rsidRPr="003C5CBB">
        <w:rPr>
          <w:vertAlign w:val="superscript"/>
        </w:rPr>
        <w:footnoteRef/>
      </w:r>
      <w:r w:rsidRPr="003C5CBB">
        <w:rPr>
          <w:i/>
        </w:rPr>
        <w:t>See id</w:t>
      </w:r>
      <w:r w:rsidRPr="003C5CBB">
        <w:t>. at 24-155. There is a possible exception, discussed in §VIII.C.1., below.</w:t>
      </w:r>
    </w:p>
  </w:footnote>
  <w:footnote w:id="534">
    <w:p w14:paraId="3602CDE6" w14:textId="27A6D565" w:rsidR="003C5CBB" w:rsidRPr="00517775" w:rsidRDefault="003C5CBB" w:rsidP="003C5CBB">
      <w:pPr>
        <w:pStyle w:val="FootnoteText"/>
      </w:pPr>
      <w:r w:rsidRPr="003C5CBB">
        <w:rPr>
          <w:vertAlign w:val="superscript"/>
        </w:rPr>
        <w:footnoteRef/>
      </w:r>
      <w:r w:rsidRPr="003C5CBB">
        <w:t xml:space="preserve">When a mark becomes “incontestable,” it becomes impervious to challenge except under specific circumstances. </w:t>
      </w:r>
      <w:r w:rsidRPr="003C5CBB">
        <w:rPr>
          <w:i/>
        </w:rPr>
        <w:t>See</w:t>
      </w:r>
      <w:r w:rsidRPr="003C5CBB">
        <w:t xml:space="preserve"> Lanham Act §§15, 33(b), 15 U.S.C. §§1065, 1115(b).</w:t>
      </w:r>
    </w:p>
  </w:footnote>
  <w:footnote w:id="535">
    <w:p w14:paraId="207E0D47" w14:textId="46553EF6" w:rsidR="003C5CBB" w:rsidRPr="00517775" w:rsidRDefault="003C5CBB" w:rsidP="003C5CBB">
      <w:pPr>
        <w:pStyle w:val="FootnoteText"/>
      </w:pPr>
      <w:r w:rsidRPr="003C5CBB">
        <w:rPr>
          <w:vertAlign w:val="superscript"/>
        </w:rPr>
        <w:footnoteRef/>
      </w:r>
      <w:r w:rsidRPr="003C5CBB">
        <w:rPr>
          <w:i/>
        </w:rPr>
        <w:t>See</w:t>
      </w:r>
      <w:r w:rsidRPr="003C5CBB">
        <w:t xml:space="preserve"> 15 U.S.C. §1052(e) (“merely descriptive” marks not registrable).</w:t>
      </w:r>
    </w:p>
  </w:footnote>
  <w:footnote w:id="536">
    <w:p w14:paraId="1B38D86D" w14:textId="323A8227" w:rsidR="003C5CBB" w:rsidRPr="00517775" w:rsidRDefault="003C5CBB" w:rsidP="003C5CBB">
      <w:pPr>
        <w:pStyle w:val="FootnoteText"/>
      </w:pPr>
      <w:r w:rsidRPr="003C5CBB">
        <w:rPr>
          <w:vertAlign w:val="superscript"/>
        </w:rPr>
        <w:footnoteRef/>
      </w:r>
      <w:r w:rsidRPr="003C5CBB">
        <w:t>Park ‘N Fly, Inc. v. Dollar Park &amp; Fly, Inc., 469 U.S. 189, 224 USPQ 327 (1985).</w:t>
      </w:r>
    </w:p>
  </w:footnote>
  <w:footnote w:id="537">
    <w:p w14:paraId="51824D0E" w14:textId="6ADFFD7B" w:rsidR="003C5CBB" w:rsidRPr="00517775" w:rsidRDefault="003C5CBB" w:rsidP="003C5CBB">
      <w:pPr>
        <w:pStyle w:val="FootnoteText"/>
      </w:pPr>
      <w:r w:rsidRPr="003C5CBB">
        <w:rPr>
          <w:vertAlign w:val="superscript"/>
        </w:rPr>
        <w:footnoteRef/>
      </w:r>
      <w:r w:rsidRPr="003C5CBB">
        <w:t>Lanham Act §43(c)(1), 15 U.S.C. §1125(c)(1) (emphasis added).</w:t>
      </w:r>
    </w:p>
  </w:footnote>
  <w:footnote w:id="538">
    <w:p w14:paraId="10C0C86D" w14:textId="5A89D845" w:rsidR="003C5CBB" w:rsidRPr="00517775" w:rsidRDefault="003C5CBB" w:rsidP="003C5CBB">
      <w:pPr>
        <w:pStyle w:val="FootnoteText"/>
      </w:pPr>
      <w:r w:rsidRPr="003C5CBB">
        <w:rPr>
          <w:vertAlign w:val="superscript"/>
        </w:rPr>
        <w:footnoteRef/>
      </w:r>
      <w:r w:rsidRPr="003C5CBB">
        <w:t>15 U.S.C. §1064(3).</w:t>
      </w:r>
    </w:p>
  </w:footnote>
  <w:footnote w:id="539">
    <w:p w14:paraId="1F802799" w14:textId="53461BE4" w:rsidR="003C5CBB" w:rsidRPr="00517775" w:rsidRDefault="003C5CBB" w:rsidP="003C5CBB">
      <w:pPr>
        <w:pStyle w:val="FootnoteText"/>
      </w:pPr>
      <w:r w:rsidRPr="003C5CBB">
        <w:rPr>
          <w:vertAlign w:val="superscript"/>
        </w:rPr>
        <w:footnoteRef/>
      </w:r>
      <w:r w:rsidRPr="003C5CBB">
        <w:t>PortionPac Chem. Corp. v. Sanitech Sys., Inc., 217 F. Supp. 2d 1238, 1251 (M.D. Fla. 2002). The TDRA added a provision to the statute requiring the owner of an unregistered trade dress to bear the burden of proving nonfunctionality. Lanham Act §43(c)(4), 15 U.S.C. §1125(c)(4).</w:t>
      </w:r>
    </w:p>
  </w:footnote>
  <w:footnote w:id="540">
    <w:p w14:paraId="4CA42BBA" w14:textId="4F5D30D8" w:rsidR="003C5CBB" w:rsidRPr="00517775" w:rsidRDefault="003C5CBB" w:rsidP="003C5CBB">
      <w:pPr>
        <w:pStyle w:val="FootnoteText"/>
      </w:pPr>
      <w:r w:rsidRPr="003C5CBB">
        <w:rPr>
          <w:vertAlign w:val="superscript"/>
        </w:rPr>
        <w:footnoteRef/>
      </w:r>
      <w:r w:rsidRPr="003C5CBB">
        <w:rPr>
          <w:i/>
        </w:rPr>
        <w:t xml:space="preserve">See </w:t>
      </w:r>
      <w:r w:rsidRPr="003C5CBB">
        <w:t>Chapter 4, §III.C.2; Chapter 10, §VI.</w:t>
      </w:r>
    </w:p>
  </w:footnote>
  <w:footnote w:id="541">
    <w:p w14:paraId="78420C4A" w14:textId="716C946F" w:rsidR="003C5CBB" w:rsidRPr="00517775" w:rsidRDefault="003C5CBB" w:rsidP="003C5CBB">
      <w:pPr>
        <w:pStyle w:val="FootnoteText"/>
      </w:pPr>
      <w:r w:rsidRPr="003C5CBB">
        <w:rPr>
          <w:vertAlign w:val="superscript"/>
        </w:rPr>
        <w:footnoteRef/>
      </w:r>
      <w:r w:rsidRPr="003C5CBB">
        <w:t>529 U.S. 205, 54 USPQ2d 1065 (2000).</w:t>
      </w:r>
    </w:p>
  </w:footnote>
  <w:footnote w:id="542">
    <w:p w14:paraId="02734B81" w14:textId="4527A144" w:rsidR="003C5CBB" w:rsidRPr="00517775" w:rsidRDefault="003C5CBB" w:rsidP="003C5CBB">
      <w:pPr>
        <w:pStyle w:val="FootnoteText"/>
      </w:pPr>
      <w:r w:rsidRPr="003C5CBB">
        <w:rPr>
          <w:vertAlign w:val="superscript"/>
        </w:rPr>
        <w:footnoteRef/>
      </w:r>
      <w:r w:rsidRPr="003C5CBB">
        <w:rPr>
          <w:i/>
        </w:rPr>
        <w:t>Id</w:t>
      </w:r>
      <w:r w:rsidRPr="003C5CBB">
        <w:t>. at 212–13, 216.</w:t>
      </w:r>
    </w:p>
  </w:footnote>
  <w:footnote w:id="543">
    <w:p w14:paraId="367C1604" w14:textId="0950242F" w:rsidR="003C5CBB" w:rsidRPr="00517775" w:rsidRDefault="003C5CBB" w:rsidP="003C5CBB">
      <w:pPr>
        <w:pStyle w:val="FootnoteText"/>
      </w:pPr>
      <w:r w:rsidRPr="003C5CBB">
        <w:rPr>
          <w:vertAlign w:val="superscript"/>
        </w:rPr>
        <w:footnoteRef/>
      </w:r>
      <w:r w:rsidRPr="003C5CBB">
        <w:rPr>
          <w:i/>
        </w:rPr>
        <w:t>Id</w:t>
      </w:r>
      <w:r w:rsidRPr="003C5CBB">
        <w:t xml:space="preserve">. at 212–13. The Court also held that if there is a doubt about whether something is a product configuration or packaging (the Coca-Cola bottle is the typical example), then one should presume it to be a product configuration and require secondary meaning. </w:t>
      </w:r>
      <w:r w:rsidRPr="003C5CBB">
        <w:rPr>
          <w:i/>
        </w:rPr>
        <w:t>Id</w:t>
      </w:r>
      <w:r w:rsidRPr="003C5CBB">
        <w:t>. at 215.</w:t>
      </w:r>
    </w:p>
  </w:footnote>
  <w:footnote w:id="544">
    <w:p w14:paraId="2ACA71F4" w14:textId="2BECF272" w:rsidR="003C5CBB" w:rsidRPr="00517775" w:rsidRDefault="003C5CBB" w:rsidP="003C5CBB">
      <w:pPr>
        <w:pStyle w:val="FootnoteText"/>
      </w:pPr>
      <w:r w:rsidRPr="003C5CBB">
        <w:rPr>
          <w:vertAlign w:val="superscript"/>
        </w:rPr>
        <w:footnoteRef/>
      </w:r>
      <w:r w:rsidRPr="003C5CBB">
        <w:t>118 F. Supp. 2d 92, 56 USPQ2d 1776 (D. Mass. 2000).</w:t>
      </w:r>
    </w:p>
  </w:footnote>
  <w:footnote w:id="545">
    <w:p w14:paraId="10DB5B25" w14:textId="34BD6B82" w:rsidR="003C5CBB" w:rsidRPr="00517775" w:rsidRDefault="003C5CBB" w:rsidP="003C5CBB">
      <w:pPr>
        <w:pStyle w:val="FootnoteText"/>
      </w:pPr>
      <w:r w:rsidRPr="003C5CBB">
        <w:rPr>
          <w:vertAlign w:val="superscript"/>
        </w:rPr>
        <w:footnoteRef/>
      </w:r>
      <w:r w:rsidRPr="003C5CBB">
        <w:rPr>
          <w:i/>
        </w:rPr>
        <w:t>Id</w:t>
      </w:r>
      <w:r w:rsidRPr="003C5CBB">
        <w:t xml:space="preserve">. at 103–14. The district court first found the design to be </w:t>
      </w:r>
      <w:r w:rsidRPr="003C5CBB">
        <w:t xml:space="preserve">functional, but went on to consider secondary meaning in the alternative. </w:t>
      </w:r>
      <w:r w:rsidRPr="003C5CBB">
        <w:rPr>
          <w:i/>
        </w:rPr>
        <w:t>Id</w:t>
      </w:r>
      <w:r w:rsidRPr="003C5CBB">
        <w:t>. at 102–03.</w:t>
      </w:r>
    </w:p>
  </w:footnote>
  <w:footnote w:id="546">
    <w:p w14:paraId="5B4E2E4B" w14:textId="61D238EF" w:rsidR="003C5CBB" w:rsidRPr="00517775" w:rsidRDefault="003C5CBB" w:rsidP="003C5CBB">
      <w:pPr>
        <w:pStyle w:val="FootnoteText"/>
      </w:pPr>
      <w:r w:rsidRPr="003C5CBB">
        <w:rPr>
          <w:vertAlign w:val="superscript"/>
        </w:rPr>
        <w:footnoteRef/>
      </w:r>
      <w:r w:rsidRPr="003C5CBB">
        <w:rPr>
          <w:i/>
        </w:rPr>
        <w:t>Id</w:t>
      </w:r>
      <w:r w:rsidRPr="003C5CBB">
        <w:t>. at 104.</w:t>
      </w:r>
    </w:p>
  </w:footnote>
  <w:footnote w:id="547">
    <w:p w14:paraId="25A6DF93" w14:textId="58DF1971" w:rsidR="003C5CBB" w:rsidRPr="00517775" w:rsidRDefault="003C5CBB" w:rsidP="003C5CBB">
      <w:pPr>
        <w:pStyle w:val="FootnoteText"/>
      </w:pPr>
      <w:r w:rsidRPr="003C5CBB">
        <w:rPr>
          <w:vertAlign w:val="superscript"/>
        </w:rPr>
        <w:footnoteRef/>
      </w:r>
      <w:r w:rsidRPr="003C5CBB">
        <w:rPr>
          <w:i/>
        </w:rPr>
        <w:t>Id</w:t>
      </w:r>
      <w:r w:rsidRPr="003C5CBB">
        <w:t>. at 105.</w:t>
      </w:r>
    </w:p>
  </w:footnote>
  <w:footnote w:id="548">
    <w:p w14:paraId="6BCEFC74" w14:textId="0458E51E" w:rsidR="003C5CBB" w:rsidRPr="00517775" w:rsidRDefault="003C5CBB" w:rsidP="003C5CBB">
      <w:pPr>
        <w:pStyle w:val="FootnoteText"/>
      </w:pPr>
      <w:r w:rsidRPr="003C5CBB">
        <w:rPr>
          <w:vertAlign w:val="superscript"/>
        </w:rPr>
        <w:footnoteRef/>
      </w:r>
      <w:r w:rsidRPr="003C5CBB">
        <w:rPr>
          <w:i/>
        </w:rPr>
        <w:t>Id</w:t>
      </w:r>
      <w:r w:rsidRPr="003C5CBB">
        <w:t xml:space="preserve">. at 105–06. The court stated that in a product configuration case, more than usual evidence of source-identification recognition is needed, because product designs are presumed not to be source identifiers. </w:t>
      </w:r>
      <w:r w:rsidRPr="003C5CBB">
        <w:rPr>
          <w:i/>
        </w:rPr>
        <w:t>Id</w:t>
      </w:r>
      <w:r w:rsidRPr="003C5CBB">
        <w:t>. at 108.</w:t>
      </w:r>
    </w:p>
  </w:footnote>
  <w:footnote w:id="549">
    <w:p w14:paraId="12705D82" w14:textId="615A5690" w:rsidR="003C5CBB" w:rsidRPr="003C5CBB" w:rsidRDefault="003C5CBB" w:rsidP="003C5CBB">
      <w:pPr>
        <w:pStyle w:val="FootnoteText"/>
      </w:pPr>
      <w:r w:rsidRPr="003C5CBB">
        <w:rPr>
          <w:vertAlign w:val="superscript"/>
        </w:rPr>
        <w:footnoteRef/>
      </w:r>
      <w:r w:rsidRPr="003C5CBB">
        <w:rPr>
          <w:i/>
        </w:rPr>
        <w:t>Id</w:t>
      </w:r>
      <w:r w:rsidRPr="003C5CBB">
        <w:t>. at 111. Those factors included:</w:t>
      </w:r>
    </w:p>
    <w:p w14:paraId="7BBFFDEB" w14:textId="2B84E6AC" w:rsidR="003C5CBB" w:rsidRPr="003C5CBB" w:rsidRDefault="003C5CBB" w:rsidP="003C5CBB">
      <w:pPr>
        <w:pStyle w:val="BQuotelong"/>
      </w:pPr>
      <w:r w:rsidRPr="003C5CBB">
        <w:t>(1) the length or exclusivity of use of the design; (2) the size or prominence of [the plaintiff’s] enterprise; (3) the nature and extent of advertising and promotion of the design; (4) efforts made to promote a conscious connection, in the public’s mind, between the design and the source; (5) the product’s established place in the market; and (6) proof of intentional copying.</w:t>
      </w:r>
    </w:p>
    <w:p w14:paraId="0F7D1B55" w14:textId="61B7B8A7" w:rsidR="003C5CBB" w:rsidRPr="00517775" w:rsidRDefault="003C5CBB" w:rsidP="003C5CBB">
      <w:pPr>
        <w:pStyle w:val="FootnoteText"/>
      </w:pPr>
      <w:r w:rsidRPr="003C5CBB">
        <w:rPr>
          <w:i/>
        </w:rPr>
        <w:t>Id</w:t>
      </w:r>
      <w:r w:rsidRPr="003C5CBB">
        <w:t>.</w:t>
      </w:r>
    </w:p>
  </w:footnote>
  <w:footnote w:id="550">
    <w:p w14:paraId="0A9B5EC6" w14:textId="6033D43B" w:rsidR="003C5CBB" w:rsidRPr="00517775" w:rsidRDefault="003C5CBB" w:rsidP="003C5CBB">
      <w:pPr>
        <w:pStyle w:val="FootnoteText"/>
      </w:pPr>
      <w:r w:rsidRPr="003C5CBB">
        <w:rPr>
          <w:vertAlign w:val="superscript"/>
        </w:rPr>
        <w:footnoteRef/>
      </w:r>
      <w:r w:rsidRPr="003C5CBB">
        <w:rPr>
          <w:i/>
        </w:rPr>
        <w:t>Id</w:t>
      </w:r>
      <w:r w:rsidRPr="003C5CBB">
        <w:t>. at 111–14.</w:t>
      </w:r>
    </w:p>
  </w:footnote>
  <w:footnote w:id="551">
    <w:p w14:paraId="4F93327F" w14:textId="6D41D9E0" w:rsidR="003C5CBB" w:rsidRPr="00517775" w:rsidRDefault="003C5CBB" w:rsidP="003C5CBB">
      <w:pPr>
        <w:pStyle w:val="FootnoteText"/>
      </w:pPr>
      <w:r w:rsidRPr="003C5CBB">
        <w:rPr>
          <w:vertAlign w:val="superscript"/>
        </w:rPr>
        <w:footnoteRef/>
      </w:r>
      <w:r w:rsidRPr="003C5CBB">
        <w:rPr>
          <w:i/>
        </w:rPr>
        <w:t>Id</w:t>
      </w:r>
      <w:r w:rsidRPr="003C5CBB">
        <w:t xml:space="preserve">. at 114; </w:t>
      </w:r>
      <w:r w:rsidRPr="003C5CBB">
        <w:rPr>
          <w:i/>
        </w:rPr>
        <w:t>see also</w:t>
      </w:r>
      <w:r w:rsidRPr="003C5CBB">
        <w:t xml:space="preserve"> Jimdi, Inc. v. Twin Bay Docks &amp; Prods., Inc., 501 F. Supp. 2d 993, 1009 (W.D. Mich. 2007) (herringbone flooring design not famous); Syndicate Sales, Inc. v. Hampshire Paper Corp., 2000 WL 1428665, at *14–15 (S.D. Ind. Aug. 30,</w:t>
      </w:r>
      <w:r w:rsidRPr="003C5CBB">
        <w:rPr>
          <w:b/>
        </w:rPr>
        <w:t xml:space="preserve"> </w:t>
      </w:r>
      <w:r w:rsidRPr="003C5CBB">
        <w:t xml:space="preserve">2000) (finding floral basket designs not famous, noting in particular a paucity of evidence demonstrating secondary meaning). The </w:t>
      </w:r>
      <w:r w:rsidRPr="003C5CBB">
        <w:rPr>
          <w:i/>
        </w:rPr>
        <w:t>Jimdi</w:t>
      </w:r>
      <w:r w:rsidRPr="003C5CBB">
        <w:t xml:space="preserve"> court arguably ignored </w:t>
      </w:r>
      <w:r w:rsidRPr="003C5CBB">
        <w:rPr>
          <w:i/>
        </w:rPr>
        <w:t>Wal-Mart</w:t>
      </w:r>
      <w:r w:rsidRPr="003C5CBB">
        <w:t xml:space="preserve"> by arguing that the plaintiff might have been able to show trade dress infringement if the design had been inherently distinctive. A flooring design is at least arguably not packaging, which would mean a court should presume it to be product design. However, the ultimate result was correct.</w:t>
      </w:r>
    </w:p>
  </w:footnote>
  <w:footnote w:id="552">
    <w:p w14:paraId="250686BD" w14:textId="6E516616" w:rsidR="003C5CBB" w:rsidRPr="00517775" w:rsidRDefault="003C5CBB" w:rsidP="003C5CBB">
      <w:pPr>
        <w:pStyle w:val="FootnoteText"/>
      </w:pPr>
      <w:r w:rsidRPr="003C5CBB">
        <w:rPr>
          <w:vertAlign w:val="superscript"/>
        </w:rPr>
        <w:footnoteRef/>
      </w:r>
      <w:r w:rsidRPr="003C5CBB">
        <w:t xml:space="preserve">Carroll Shelby Licensing, Inc. v. Superformance Int’l, Inc., 251 F. Supp. 2d 983 (D. Mass. 2002), </w:t>
      </w:r>
      <w:r w:rsidRPr="003C5CBB">
        <w:rPr>
          <w:i/>
        </w:rPr>
        <w:t>appeal dismissed as moot</w:t>
      </w:r>
      <w:r w:rsidRPr="003C5CBB">
        <w:t xml:space="preserve">, 435 F.3d 42, 77 USPQ2d 1792 (1st Cir. 2006). The court’s analysis can be faulted as skirting the anonymous source rule, in that it appeared to require that the public know the name of the unique producer, not just that there was a unique producer of the automobile. </w:t>
      </w:r>
      <w:r w:rsidRPr="003C5CBB">
        <w:rPr>
          <w:i/>
        </w:rPr>
        <w:t>See id</w:t>
      </w:r>
      <w:r w:rsidRPr="003C5CBB">
        <w:t>. at 986–87.</w:t>
      </w:r>
    </w:p>
  </w:footnote>
  <w:footnote w:id="553">
    <w:p w14:paraId="5B8D4B52" w14:textId="6DD09179" w:rsidR="003C5CBB" w:rsidRPr="00517775" w:rsidRDefault="003C5CBB" w:rsidP="003C5CBB">
      <w:pPr>
        <w:pStyle w:val="FootnoteText"/>
      </w:pPr>
      <w:r w:rsidRPr="003C5CBB">
        <w:rPr>
          <w:vertAlign w:val="superscript"/>
        </w:rPr>
        <w:footnoteRef/>
      </w:r>
      <w:r w:rsidRPr="003C5CBB">
        <w:t>Section 43(c)(7), labeled “Savings Clause,” provides: “Nothing in this subsection shall be construed to impair, modify, or supersede the applicability of the patent laws of the United States.”</w:t>
      </w:r>
    </w:p>
  </w:footnote>
  <w:footnote w:id="554">
    <w:p w14:paraId="69A3D3D1" w14:textId="74D43ECA" w:rsidR="003C5CBB" w:rsidRPr="00517775" w:rsidRDefault="003C5CBB" w:rsidP="003C5CBB">
      <w:pPr>
        <w:pStyle w:val="FootnoteText"/>
      </w:pPr>
      <w:r w:rsidRPr="003C5CBB">
        <w:rPr>
          <w:vertAlign w:val="superscript"/>
        </w:rPr>
        <w:footnoteRef/>
      </w:r>
      <w:r w:rsidRPr="003C5CBB">
        <w:rPr>
          <w:i/>
        </w:rPr>
        <w:t xml:space="preserve">See </w:t>
      </w:r>
      <w:r w:rsidRPr="003C5CBB">
        <w:t xml:space="preserve">Chapter 9, §VI. Under the Second Circuit’s interpretation of the “famous and distinctive” language of the original FTDA, however, product configurations might not have been eligible for protection. </w:t>
      </w:r>
      <w:r w:rsidRPr="003C5CBB">
        <w:rPr>
          <w:i/>
        </w:rPr>
        <w:t xml:space="preserve">See </w:t>
      </w:r>
      <w:r w:rsidRPr="003C5CBB">
        <w:t xml:space="preserve">§VIII.C.3, above. A prominent example of a trade dress dilution claim is </w:t>
      </w:r>
      <w:r w:rsidRPr="003C5CBB">
        <w:rPr>
          <w:rStyle w:val="BCasenamefull"/>
        </w:rPr>
        <w:t>Apple, Inc. v. Samsung Electronics Co.</w:t>
      </w:r>
      <w:r w:rsidRPr="003C5CBB">
        <w:t xml:space="preserve">, 2012 WL 2571719, 2012 BL 178771 (N.D. Cal. June 30, 2012). </w:t>
      </w:r>
      <w:r w:rsidRPr="003C5CBB">
        <w:rPr>
          <w:i/>
        </w:rPr>
        <w:t>See</w:t>
      </w:r>
      <w:r w:rsidRPr="003C5CBB">
        <w:t xml:space="preserve"> Apple, Inc. v. Samsung Elecs. Co., 920 F. Supp. 2d 1079, 1097 (N.D. Cal. 2013) (upholding jury finding of fame), </w:t>
      </w:r>
      <w:r w:rsidRPr="003C5CBB">
        <w:rPr>
          <w:i/>
        </w:rPr>
        <w:t>aff’d in part</w:t>
      </w:r>
      <w:r w:rsidRPr="003C5CBB">
        <w:t>,</w:t>
      </w:r>
      <w:r w:rsidRPr="003C5CBB">
        <w:rPr>
          <w:i/>
        </w:rPr>
        <w:t xml:space="preserve"> rev’d in part on other grounds</w:t>
      </w:r>
      <w:r w:rsidRPr="003C5CBB">
        <w:t xml:space="preserve">, 786 F.3d 983, 114 USPQ2d 1953 (Fed. Cir. 2015) (the Federal Circuit reversed the trade dress portion of the judgment on the grounds that the trade dress was functional and did not reach the dilution issues), </w:t>
      </w:r>
      <w:r w:rsidRPr="003C5CBB">
        <w:rPr>
          <w:i/>
        </w:rPr>
        <w:t>rev’d on other grounds</w:t>
      </w:r>
      <w:r w:rsidRPr="003C5CBB">
        <w:t>, 137 S. Ct. 429, 120 USPQ2d 1749 (2016).</w:t>
      </w:r>
    </w:p>
  </w:footnote>
  <w:footnote w:id="555">
    <w:p w14:paraId="42C5D2A4" w14:textId="12594447" w:rsidR="003C5CBB" w:rsidRPr="00517775" w:rsidRDefault="003C5CBB" w:rsidP="003C5CBB">
      <w:pPr>
        <w:pStyle w:val="FootnoteText"/>
      </w:pPr>
      <w:r w:rsidRPr="003C5CBB">
        <w:rPr>
          <w:vertAlign w:val="superscript"/>
        </w:rPr>
        <w:footnoteRef/>
      </w:r>
      <w:r w:rsidRPr="003C5CBB">
        <w:rPr>
          <w:i/>
        </w:rPr>
        <w:t>E</w:t>
      </w:r>
      <w:r w:rsidRPr="003C5CBB">
        <w:t>.</w:t>
      </w:r>
      <w:r w:rsidRPr="003C5CBB">
        <w:rPr>
          <w:i/>
        </w:rPr>
        <w:t>g</w:t>
      </w:r>
      <w:r w:rsidRPr="003C5CBB">
        <w:t>., TrafFix Devices, Inc. v. Marketing Displays, Inc., 532 U.S. 23, 28-29, 58 USPQ2d 1001 (2001); Wal-Mart Stores, Inc. v. Samara Bros., Inc., 529 U.S. 205, 209-10, 54 USPQ2d 1065 (2000).</w:t>
      </w:r>
    </w:p>
  </w:footnote>
  <w:footnote w:id="556">
    <w:p w14:paraId="7D143A03" w14:textId="6406B162" w:rsidR="003C5CBB" w:rsidRDefault="003C5CBB" w:rsidP="003C5CBB">
      <w:pPr>
        <w:pStyle w:val="FootnoteText"/>
      </w:pPr>
      <w:r w:rsidRPr="003C5CBB">
        <w:rPr>
          <w:rStyle w:val="FootnoteReference"/>
          <w:rFonts w:eastAsiaTheme="majorEastAsia"/>
        </w:rPr>
        <w:footnoteRef/>
      </w:r>
      <w:r w:rsidRPr="003C5CBB">
        <w:t>A plaintiff must, at a minimum, plead and prove the elements of its trade dress. E. Remy Martin &amp; Co. v. Sire Sprits, LLC, 2022 WL 94882, at *11, 2022 BL 7846 (S.D.N.Y. Jan. 10, 2022).</w:t>
      </w:r>
    </w:p>
  </w:footnote>
  <w:footnote w:id="557">
    <w:p w14:paraId="5C3640FC" w14:textId="059D0E7F" w:rsidR="003C5CBB" w:rsidRPr="00517775" w:rsidRDefault="003C5CBB" w:rsidP="003C5CBB">
      <w:pPr>
        <w:pStyle w:val="FootnoteText"/>
      </w:pPr>
      <w:r w:rsidRPr="003C5CBB">
        <w:rPr>
          <w:vertAlign w:val="superscript"/>
        </w:rPr>
        <w:footnoteRef/>
      </w:r>
      <w:r w:rsidRPr="003C5CBB">
        <w:rPr>
          <w:i/>
        </w:rPr>
        <w:t xml:space="preserve">See </w:t>
      </w:r>
      <w:r w:rsidRPr="003C5CBB">
        <w:t>Chapter 10, §VI.</w:t>
      </w:r>
    </w:p>
  </w:footnote>
  <w:footnote w:id="558">
    <w:p w14:paraId="1DDD4A30" w14:textId="134C9FA6" w:rsidR="003C5CBB" w:rsidRPr="00517775" w:rsidRDefault="003C5CBB" w:rsidP="003C5CBB">
      <w:pPr>
        <w:pStyle w:val="FootnoteText"/>
      </w:pPr>
      <w:r w:rsidRPr="003C5CBB">
        <w:rPr>
          <w:vertAlign w:val="superscript"/>
        </w:rPr>
        <w:footnoteRef/>
      </w:r>
      <w:r w:rsidRPr="003C5CBB">
        <w:t>Wal-Mart Stores, Inc. v. Samara Bros., Inc., 529 U.S. 205, 216, 54 USPQ2d 1065 (2000) (unregistered product configurations need secondary meaning to be protected by the Lanham Act).</w:t>
      </w:r>
    </w:p>
  </w:footnote>
  <w:footnote w:id="559">
    <w:p w14:paraId="209157D6" w14:textId="2D8E428D" w:rsidR="003C5CBB" w:rsidRPr="00517775" w:rsidRDefault="003C5CBB" w:rsidP="003C5CBB">
      <w:pPr>
        <w:pStyle w:val="FootnoteText"/>
      </w:pPr>
      <w:r w:rsidRPr="003C5CBB">
        <w:rPr>
          <w:vertAlign w:val="superscript"/>
        </w:rPr>
        <w:footnoteRef/>
      </w:r>
      <w:r w:rsidRPr="003C5CBB">
        <w:t>Lanham Act §43(c)(1), 15 U.S.C. §1125(c)(1).</w:t>
      </w:r>
    </w:p>
  </w:footnote>
  <w:footnote w:id="560">
    <w:p w14:paraId="311F5D17" w14:textId="50B91EC1" w:rsidR="003C5CBB" w:rsidRPr="00517775" w:rsidRDefault="003C5CBB" w:rsidP="003C5CBB">
      <w:pPr>
        <w:pStyle w:val="FootnoteText"/>
      </w:pPr>
      <w:r w:rsidRPr="003C5CBB">
        <w:rPr>
          <w:vertAlign w:val="superscript"/>
        </w:rPr>
        <w:footnoteRef/>
      </w:r>
      <w:r w:rsidRPr="003C5CBB">
        <w:t>One might argue that the language “inherently or through acquired distinctiveness” allows product configurations to be eligible without secondary meaning. However, without secondary meaning, a mark is not going to be famous. Furthermore, a famous mark must be “widely recognized … as a designation of source.” For product configurations, that requires secondary meaning.</w:t>
      </w:r>
    </w:p>
  </w:footnote>
  <w:footnote w:id="561">
    <w:p w14:paraId="1692347B" w14:textId="552B8053" w:rsidR="003C5CBB" w:rsidRPr="00517775" w:rsidRDefault="003C5CBB" w:rsidP="003C5CBB">
      <w:pPr>
        <w:pStyle w:val="FootnoteText"/>
      </w:pPr>
      <w:r w:rsidRPr="003C5CBB">
        <w:rPr>
          <w:vertAlign w:val="superscript"/>
        </w:rPr>
        <w:footnoteRef/>
      </w:r>
      <w:r w:rsidRPr="003C5CBB">
        <w:t>Lanham Act §43(c)(4), 15 U.S.C. §1125(c)(4).</w:t>
      </w:r>
    </w:p>
  </w:footnote>
  <w:footnote w:id="562">
    <w:p w14:paraId="1AFD8F81" w14:textId="76C32058" w:rsidR="003C5CBB" w:rsidRPr="00517775" w:rsidRDefault="003C5CBB" w:rsidP="003C5CBB">
      <w:pPr>
        <w:pStyle w:val="FootnoteText"/>
      </w:pPr>
      <w:r w:rsidRPr="003C5CBB">
        <w:rPr>
          <w:vertAlign w:val="superscript"/>
        </w:rPr>
        <w:footnoteRef/>
      </w:r>
      <w:r w:rsidRPr="003C5CBB">
        <w:rPr>
          <w:i/>
        </w:rPr>
        <w:t>See, e</w:t>
      </w:r>
      <w:r w:rsidRPr="003C5CBB">
        <w:t>.</w:t>
      </w:r>
      <w:r w:rsidRPr="003C5CBB">
        <w:rPr>
          <w:i/>
        </w:rPr>
        <w:t>g</w:t>
      </w:r>
      <w:r w:rsidRPr="003C5CBB">
        <w:t>., Jimdi, Inc. v. Twin Bay Docks &amp; Prods., Inc., 501 F. Supp. 2d 993, 1009 (W.D. Mich. 2007) (registered herringbone flooring design not famous).</w:t>
      </w:r>
    </w:p>
  </w:footnote>
  <w:footnote w:id="563">
    <w:p w14:paraId="75525C6C" w14:textId="053771FA" w:rsidR="003C5CBB" w:rsidRPr="003375A8" w:rsidRDefault="003C5CBB" w:rsidP="003C5CBB">
      <w:pPr>
        <w:pStyle w:val="FootnoteText"/>
      </w:pPr>
      <w:r w:rsidRPr="003C5CBB">
        <w:rPr>
          <w:rStyle w:val="FootnoteReference"/>
          <w:rFonts w:eastAsiaTheme="majorEastAsia"/>
        </w:rPr>
        <w:footnoteRef/>
      </w:r>
      <w:r w:rsidRPr="003C5CBB">
        <w:rPr>
          <w:i/>
        </w:rPr>
        <w:t>See</w:t>
      </w:r>
      <w:r w:rsidRPr="003C5CBB">
        <w:t xml:space="preserve"> National Hockey League v. Hockey Cup LLC, 2019 WL 130576, at *7, 2019 BL 6024 (S.D.N.Y. Jan. 8, 2019) (finding plaintiff’s allegations sufficient to show nonfunctionality, even though the Stanley Cup can be used to drink from). </w:t>
      </w:r>
      <w:r w:rsidRPr="003C5CBB">
        <w:rPr>
          <w:i/>
        </w:rPr>
        <w:t>But see</w:t>
      </w:r>
      <w:r w:rsidRPr="003C5CBB">
        <w:t xml:space="preserve"> DO Denim, LLC v. Fried Denim, Inc., 634 F. Supp. 2d 403, 408 (S.D.N.Y. 2009) (finding conclusory allegations of nonfunctionality insufficient).</w:t>
      </w:r>
    </w:p>
  </w:footnote>
  <w:footnote w:id="564">
    <w:p w14:paraId="03D21CEF" w14:textId="2A325225" w:rsidR="003C5CBB" w:rsidRPr="00517775" w:rsidRDefault="003C5CBB" w:rsidP="003C5CBB">
      <w:pPr>
        <w:pStyle w:val="FootnoteText"/>
      </w:pPr>
      <w:r w:rsidRPr="003C5CBB">
        <w:rPr>
          <w:vertAlign w:val="superscript"/>
        </w:rPr>
        <w:footnoteRef/>
      </w:r>
      <w:r w:rsidRPr="003C5CBB">
        <w:t>Hershey Foods Corp. v. Mars, Inc., 998 F. Supp. 500, 513–14 (M.D. Pa. 1998).</w:t>
      </w:r>
    </w:p>
  </w:footnote>
  <w:footnote w:id="565">
    <w:p w14:paraId="587A6136" w14:textId="3B1C2CBB" w:rsidR="003C5CBB" w:rsidRPr="00517775" w:rsidRDefault="003C5CBB" w:rsidP="003C5CBB">
      <w:pPr>
        <w:pStyle w:val="FootnoteText"/>
      </w:pPr>
      <w:r w:rsidRPr="003C5CBB">
        <w:rPr>
          <w:vertAlign w:val="superscript"/>
        </w:rPr>
        <w:footnoteRef/>
      </w:r>
      <w:r w:rsidRPr="003C5CBB">
        <w:rPr>
          <w:i/>
        </w:rPr>
        <w:t>See</w:t>
      </w:r>
      <w:r w:rsidRPr="003C5CBB">
        <w:t xml:space="preserve"> Hershey Co. v. Art Van Furniture, Inc., 2008 WL 4724756, at *1, 2008 BL 241740 (E.D. Mich. Oct. 24, 2008) (shape and wrapping of candy bar held famous). It was not clear in this case whether the fame of the shape and wrapping was independent of the name Hershey, since the court cited the name among the elements of the famous trade dress.</w:t>
      </w:r>
    </w:p>
  </w:footnote>
  <w:footnote w:id="566">
    <w:p w14:paraId="2FFF3401" w14:textId="42ECE284" w:rsidR="003C5CBB" w:rsidRDefault="003C5CBB" w:rsidP="003C5CBB">
      <w:pPr>
        <w:pStyle w:val="FootnoteText"/>
      </w:pPr>
      <w:r w:rsidRPr="003C5CBB">
        <w:rPr>
          <w:rStyle w:val="FootnoteReference"/>
          <w:rFonts w:eastAsiaTheme="majorEastAsia"/>
        </w:rPr>
        <w:footnoteRef/>
      </w:r>
      <w:r w:rsidRPr="003C5CBB">
        <w:rPr>
          <w:i/>
        </w:rPr>
        <w:t>See</w:t>
      </w:r>
      <w:r w:rsidRPr="003C5CBB">
        <w:t xml:space="preserve"> YETI Coolers, LLC v. RTIC Coolers, LLC, 2017 WL 429210, at *1, 2017 BL 26010 (W.D. Tex. Jan. 28, 2017) (permitting expert report to be introduced that did not separate trade dress from the brand name).</w:t>
      </w:r>
    </w:p>
  </w:footnote>
  <w:footnote w:id="567">
    <w:p w14:paraId="1B12E527" w14:textId="5F880125" w:rsidR="003C5CBB" w:rsidRPr="003C5CBB" w:rsidRDefault="003C5CBB" w:rsidP="003C5CBB">
      <w:pPr>
        <w:pStyle w:val="FootnoteText"/>
      </w:pPr>
      <w:r w:rsidRPr="003C5CBB">
        <w:rPr>
          <w:vertAlign w:val="superscript"/>
        </w:rPr>
        <w:footnoteRef/>
      </w:r>
      <w:r w:rsidRPr="003C5CBB">
        <w:t>2012 WL 2571719, 2012 BL 178771 (N.D. Cal. June 30, 2012).</w:t>
      </w:r>
    </w:p>
    <w:p w14:paraId="3EEDC1BD" w14:textId="77777777" w:rsidR="003C5CBB" w:rsidRPr="0040679C" w:rsidRDefault="003C5CBB" w:rsidP="003375A8">
      <w:pPr>
        <w:pStyle w:val="footnote"/>
      </w:pPr>
    </w:p>
  </w:footnote>
  <w:footnote w:id="568">
    <w:p w14:paraId="105180B7" w14:textId="14BAC0F7" w:rsidR="003C5CBB" w:rsidRPr="003C5CBB" w:rsidRDefault="003C5CBB" w:rsidP="003C5CBB">
      <w:pPr>
        <w:pStyle w:val="FootnoteText"/>
      </w:pPr>
      <w:r w:rsidRPr="003C5CBB">
        <w:rPr>
          <w:vertAlign w:val="superscript"/>
        </w:rPr>
        <w:footnoteRef/>
      </w:r>
      <w:r w:rsidRPr="003C5CBB">
        <w:rPr>
          <w:i/>
        </w:rPr>
        <w:t>Id</w:t>
      </w:r>
      <w:r w:rsidRPr="003C5CBB">
        <w:t>. at *7.</w:t>
      </w:r>
    </w:p>
    <w:p w14:paraId="21C3AA73" w14:textId="77777777" w:rsidR="003C5CBB" w:rsidRPr="00366F48" w:rsidRDefault="003C5CBB" w:rsidP="00AF29FC">
      <w:pPr>
        <w:pStyle w:val="footnote"/>
        <w:rPr>
          <w:lang w:val="da-DK"/>
        </w:rPr>
      </w:pPr>
    </w:p>
  </w:footnote>
  <w:footnote w:id="569">
    <w:p w14:paraId="2FB4C280" w14:textId="5B89837E" w:rsidR="003C5CBB" w:rsidRPr="003C5CBB" w:rsidRDefault="003C5CBB" w:rsidP="003C5CBB">
      <w:pPr>
        <w:pStyle w:val="FootnoteText"/>
      </w:pPr>
      <w:r w:rsidRPr="003C5CBB">
        <w:rPr>
          <w:vertAlign w:val="superscript"/>
        </w:rPr>
        <w:footnoteRef/>
      </w:r>
      <w:r w:rsidRPr="003C5CBB">
        <w:rPr>
          <w:i/>
        </w:rPr>
        <w:t>Id</w:t>
      </w:r>
      <w:r w:rsidRPr="003C5CBB">
        <w:t>. at *8.</w:t>
      </w:r>
    </w:p>
    <w:p w14:paraId="44967B4C" w14:textId="77777777" w:rsidR="003C5CBB" w:rsidRPr="00366F48" w:rsidRDefault="003C5CBB" w:rsidP="00AF29FC">
      <w:pPr>
        <w:pStyle w:val="footnote"/>
        <w:rPr>
          <w:lang w:val="da-DK"/>
        </w:rPr>
      </w:pPr>
    </w:p>
  </w:footnote>
  <w:footnote w:id="570">
    <w:p w14:paraId="774038D8" w14:textId="30A76E03" w:rsidR="003C5CBB" w:rsidRPr="003C5CBB" w:rsidRDefault="003C5CBB" w:rsidP="003C5CBB">
      <w:pPr>
        <w:pStyle w:val="FootnoteText"/>
      </w:pPr>
      <w:r w:rsidRPr="003C5CBB">
        <w:rPr>
          <w:vertAlign w:val="superscript"/>
        </w:rPr>
        <w:footnoteRef/>
      </w:r>
      <w:r w:rsidRPr="003C5CBB">
        <w:t xml:space="preserve">The jury decided in favor of Apple on some of its trade dress dilution claims. </w:t>
      </w:r>
      <w:r w:rsidRPr="003C5CBB">
        <w:rPr>
          <w:i/>
        </w:rPr>
        <w:t xml:space="preserve">See </w:t>
      </w:r>
      <w:r w:rsidRPr="003C5CBB">
        <w:t xml:space="preserve">Apple, Inc. v. Samsung Elecs. Co., 920 F. Supp. 2d 1079, 1097 (N.D. Cal. 2013) (upholding jury’s finding of fame), </w:t>
      </w:r>
      <w:r w:rsidRPr="003C5CBB">
        <w:rPr>
          <w:i/>
        </w:rPr>
        <w:t>aff’d in part</w:t>
      </w:r>
      <w:r w:rsidRPr="003C5CBB">
        <w:t>,</w:t>
      </w:r>
      <w:r w:rsidRPr="003C5CBB">
        <w:rPr>
          <w:i/>
        </w:rPr>
        <w:t xml:space="preserve"> rev’d in part on other grounds</w:t>
      </w:r>
      <w:r w:rsidRPr="003C5CBB">
        <w:t xml:space="preserve">, 786 F.3d 983, 114 USPQ2d 1953 (Fed. Cir. 2015) (the Federal Circuit reversed the trade dress portion of the judgment on the grounds that the trade dress was functional and did not reach the dilution issues, and awarded damages), </w:t>
      </w:r>
      <w:r w:rsidRPr="003C5CBB">
        <w:rPr>
          <w:i/>
        </w:rPr>
        <w:t>rev’d on other grounds</w:t>
      </w:r>
      <w:r w:rsidRPr="003C5CBB">
        <w:t xml:space="preserve">, 137 S. Ct. 429, 120 USPQ2d 1749 (2016); Apple, Inc. v. Samsung Elecs. Co., 926 F. Supp. 2d 1100 (N.D. Cal. 2013) (upholding damage award). The jury instructions on fame did little more than recite §43(c)(2)(A)’s definition and the four factors. They did not mention the §43(c)(4) requirement at all. Jury Instructions, Apple, Inc. v. Samsung Elecs. Co., at 87, Case No. 11-CV-01846-LHK (Aug. 21, 2012), </w:t>
      </w:r>
      <w:r w:rsidRPr="003C5CBB">
        <w:rPr>
          <w:i/>
        </w:rPr>
        <w:t>available at</w:t>
      </w:r>
      <w:r w:rsidRPr="003C5CBB">
        <w:t xml:space="preserve"> </w:t>
      </w:r>
      <w:hyperlink r:id="rId1" w:history="1">
        <w:r w:rsidRPr="003C5CBB">
          <w:rPr>
            <w:rStyle w:val="Hyperlink"/>
            <w:lang w:bidi="en-US"/>
          </w:rPr>
          <w:t>https://www.bloomberglaw.com/document/X1Q6MB72RGO2</w:t>
        </w:r>
      </w:hyperlink>
      <w:r w:rsidRPr="003C5CBB">
        <w:t>.</w:t>
      </w:r>
    </w:p>
    <w:p w14:paraId="75D1A403" w14:textId="77777777" w:rsidR="003C5CBB" w:rsidRDefault="003C5CBB" w:rsidP="00AF29FC">
      <w:pPr>
        <w:pStyle w:val="footnote"/>
      </w:pPr>
    </w:p>
  </w:footnote>
  <w:footnote w:id="571">
    <w:p w14:paraId="78A73DE1" w14:textId="06260533" w:rsidR="003C5CBB" w:rsidRPr="003C5CBB" w:rsidRDefault="003C5CBB" w:rsidP="003C5CBB">
      <w:pPr>
        <w:pStyle w:val="FootnoteText"/>
      </w:pPr>
      <w:r w:rsidRPr="003C5CBB">
        <w:rPr>
          <w:vertAlign w:val="superscript"/>
        </w:rPr>
        <w:footnoteRef/>
      </w:r>
      <w:r w:rsidRPr="003C5CBB">
        <w:t xml:space="preserve">Deere &amp; Co. v. FIMCO, Inc., 302 F. Supp. 3d 837, </w:t>
      </w:r>
      <w:r w:rsidRPr="003C5CBB">
        <w:t>896  (W.D. Ky. 2017).</w:t>
      </w:r>
    </w:p>
    <w:p w14:paraId="42FDE357" w14:textId="77777777" w:rsidR="003C5CBB" w:rsidRDefault="003C5CBB" w:rsidP="00AF29FC">
      <w:pPr>
        <w:pStyle w:val="footnote"/>
      </w:pPr>
    </w:p>
  </w:footnote>
  <w:footnote w:id="572">
    <w:p w14:paraId="1FBB3DD1" w14:textId="46CDE7E2" w:rsidR="003C5CBB" w:rsidRPr="003C5CBB" w:rsidRDefault="003C5CBB" w:rsidP="003C5CBB">
      <w:pPr>
        <w:pStyle w:val="FootnoteText"/>
      </w:pPr>
      <w:r w:rsidRPr="003C5CBB">
        <w:rPr>
          <w:vertAlign w:val="superscript"/>
        </w:rPr>
        <w:footnoteRef/>
      </w:r>
      <w:r w:rsidRPr="003C5CBB">
        <w:t>VIP Prods., LLC v. Jack Daniel’s Props., Inc., 291 F. Supp. 3d 891, 900–01 (D. Ariz. 2018).</w:t>
      </w:r>
    </w:p>
    <w:p w14:paraId="6D3F4434" w14:textId="77777777" w:rsidR="003C5CBB" w:rsidRDefault="003C5CBB" w:rsidP="00AF29FC">
      <w:pPr>
        <w:pStyle w:val="footnote"/>
      </w:pPr>
    </w:p>
  </w:footnote>
  <w:footnote w:id="573">
    <w:p w14:paraId="4B6C849F" w14:textId="464BBA61" w:rsidR="003C5CBB" w:rsidRDefault="003C5CBB" w:rsidP="003C5CBB">
      <w:pPr>
        <w:pStyle w:val="FootnoteText"/>
      </w:pPr>
      <w:r w:rsidRPr="003C5CBB">
        <w:rPr>
          <w:rStyle w:val="FootnoteReference"/>
          <w:rFonts w:eastAsiaTheme="majorEastAsia"/>
        </w:rPr>
        <w:footnoteRef/>
      </w:r>
      <w:r w:rsidRPr="003C5CBB">
        <w:t>Blumenthal Distrib., Inc. v. Herman Miller, Inc., 963 F.3d 859, 870-71 (9th Cir. 2020).</w:t>
      </w:r>
    </w:p>
  </w:footnote>
  <w:footnote w:id="574">
    <w:p w14:paraId="5A308315" w14:textId="50EED5C0" w:rsidR="003C5CBB" w:rsidRPr="00517775" w:rsidRDefault="003C5CBB" w:rsidP="003C5CBB">
      <w:pPr>
        <w:pStyle w:val="FootnoteText"/>
      </w:pPr>
      <w:r w:rsidRPr="003C5CBB">
        <w:rPr>
          <w:vertAlign w:val="superscript"/>
        </w:rPr>
        <w:footnoteRef/>
      </w:r>
      <w:r w:rsidRPr="003C5CBB">
        <w:rPr>
          <w:i/>
        </w:rPr>
        <w:t xml:space="preserve">See </w:t>
      </w:r>
      <w:r w:rsidRPr="003C5CBB">
        <w:t>§V, above.</w:t>
      </w:r>
    </w:p>
  </w:footnote>
  <w:footnote w:id="575">
    <w:p w14:paraId="4ADE2A96" w14:textId="68049197" w:rsidR="003C5CBB" w:rsidRDefault="003C5CBB" w:rsidP="003C5CBB">
      <w:pPr>
        <w:pStyle w:val="FootnoteText"/>
      </w:pPr>
      <w:r w:rsidRPr="003C5CBB">
        <w:rPr>
          <w:rStyle w:val="FootnoteReference"/>
          <w:rFonts w:eastAsiaTheme="majorEastAsia"/>
        </w:rPr>
        <w:footnoteRef/>
      </w:r>
      <w:r w:rsidRPr="003C5CBB">
        <w:t>American Express Mktg. &amp; Dev. Corp. v. Vo, 2018 WL 6650136, at *15–16 (T.T.A.B. Dec. 13, 2018) (non-precedential).</w:t>
      </w:r>
    </w:p>
  </w:footnote>
  <w:footnote w:id="576">
    <w:p w14:paraId="754BA290" w14:textId="74068B78" w:rsidR="003C5CBB" w:rsidRPr="00517775" w:rsidRDefault="003C5CBB" w:rsidP="003C5CBB">
      <w:pPr>
        <w:pStyle w:val="FootnoteText"/>
      </w:pPr>
      <w:r w:rsidRPr="003C5CBB">
        <w:rPr>
          <w:vertAlign w:val="superscript"/>
        </w:rPr>
        <w:footnoteRef/>
      </w:r>
      <w:r w:rsidRPr="003C5CBB">
        <w:t xml:space="preserve">Mattel, Inc. v. MCA Records, Inc., 296 F.3d 894, 903, 63 USPQ2d 1715 (9th Cir. 2002), </w:t>
      </w:r>
      <w:r w:rsidRPr="003C5CBB">
        <w:rPr>
          <w:i/>
        </w:rPr>
        <w:t>cert</w:t>
      </w:r>
      <w:r w:rsidRPr="003C5CBB">
        <w:t xml:space="preserve">. </w:t>
      </w:r>
      <w:r w:rsidRPr="003C5CBB">
        <w:rPr>
          <w:i/>
        </w:rPr>
        <w:t>denied</w:t>
      </w:r>
      <w:r w:rsidRPr="003C5CBB">
        <w:t>, 537 U.S. 1171 (2003).</w:t>
      </w:r>
    </w:p>
  </w:footnote>
  <w:footnote w:id="577">
    <w:p w14:paraId="3B9A1D57" w14:textId="1FDA2D3B" w:rsidR="003C5CBB" w:rsidRPr="003C5CBB" w:rsidRDefault="003C5CBB" w:rsidP="003C5CBB">
      <w:pPr>
        <w:pStyle w:val="FootnoteText"/>
      </w:pPr>
      <w:r w:rsidRPr="003C5CBB">
        <w:rPr>
          <w:vertAlign w:val="superscript"/>
        </w:rPr>
        <w:footnoteRef/>
      </w:r>
      <w:r w:rsidRPr="003C5CBB">
        <w:t>Bentley Motor Corp. v. McEntegart, 976 F. Supp. 2d 1297, 1313 (M.D. Fla. 2013).</w:t>
      </w:r>
    </w:p>
    <w:p w14:paraId="22646A80" w14:textId="77777777" w:rsidR="003C5CBB" w:rsidRDefault="003C5CBB" w:rsidP="00AF29FC">
      <w:pPr>
        <w:pStyle w:val="footnote"/>
      </w:pPr>
    </w:p>
  </w:footnote>
  <w:footnote w:id="578">
    <w:p w14:paraId="36F204A3" w14:textId="028C6632" w:rsidR="003C5CBB" w:rsidRPr="00517775" w:rsidRDefault="003C5CBB" w:rsidP="003C5CBB">
      <w:pPr>
        <w:pStyle w:val="FootnoteText"/>
      </w:pPr>
      <w:r w:rsidRPr="003C5CBB">
        <w:rPr>
          <w:vertAlign w:val="superscript"/>
        </w:rPr>
        <w:footnoteRef/>
      </w:r>
      <w:r w:rsidRPr="003C5CBB">
        <w:t>Big Boy Rests. v. Cadillac Coffee Co., 238 F. Supp. 2d 866, 870, 872 (E.D. Mich. 2002).</w:t>
      </w:r>
    </w:p>
  </w:footnote>
  <w:footnote w:id="579">
    <w:p w14:paraId="6B4F2320" w14:textId="4AE7F4FA" w:rsidR="003C5CBB" w:rsidRPr="003C5CBB" w:rsidRDefault="003C5CBB" w:rsidP="003C5CBB">
      <w:pPr>
        <w:pStyle w:val="FootnoteText"/>
      </w:pPr>
      <w:r w:rsidRPr="003C5CBB">
        <w:rPr>
          <w:vertAlign w:val="superscript"/>
        </w:rPr>
        <w:footnoteRef/>
      </w:r>
      <w:r w:rsidRPr="003C5CBB">
        <w:t>Chanel, Inc. v. Makarczyk, 110 USPQ2d 2013, 2022 (T.T.A.B. 2014).</w:t>
      </w:r>
    </w:p>
    <w:p w14:paraId="56037D5B" w14:textId="77777777" w:rsidR="003C5CBB" w:rsidRDefault="003C5CBB" w:rsidP="00AF29FC">
      <w:pPr>
        <w:pStyle w:val="footnote"/>
      </w:pPr>
    </w:p>
  </w:footnote>
  <w:footnote w:id="580">
    <w:p w14:paraId="6A4A85B7" w14:textId="2B706CE9" w:rsidR="003C5CBB" w:rsidRPr="003C5CBB" w:rsidRDefault="003C5CBB" w:rsidP="003C5CBB">
      <w:pPr>
        <w:pStyle w:val="FootnoteText"/>
      </w:pPr>
      <w:r w:rsidRPr="003C5CBB">
        <w:rPr>
          <w:vertAlign w:val="superscript"/>
        </w:rPr>
        <w:footnoteRef/>
      </w:r>
      <w:r w:rsidRPr="003C5CBB">
        <w:t>General Motors Corp. v. Rapp Chevrolet, Inc., 2013 U.S. Dist. LEXIS 74234, at *21 (D.S.D. May 21, 2013).</w:t>
      </w:r>
    </w:p>
    <w:p w14:paraId="47F8BE5B" w14:textId="77777777" w:rsidR="003C5CBB" w:rsidRDefault="003C5CBB" w:rsidP="00AF29FC">
      <w:pPr>
        <w:pStyle w:val="footnote"/>
      </w:pPr>
    </w:p>
  </w:footnote>
  <w:footnote w:id="581">
    <w:p w14:paraId="20E17FBA" w14:textId="6BFBCA93" w:rsidR="003C5CBB" w:rsidRPr="00517775" w:rsidRDefault="003C5CBB" w:rsidP="003C5CBB">
      <w:pPr>
        <w:pStyle w:val="FootnoteText"/>
      </w:pPr>
      <w:r w:rsidRPr="003C5CBB">
        <w:rPr>
          <w:vertAlign w:val="superscript"/>
        </w:rPr>
        <w:footnoteRef/>
      </w:r>
      <w:r w:rsidRPr="003C5CBB">
        <w:t>American Dairy Queen Corp. v. New Line Prods., 35 F. Supp. 2d 727, 732 (D. Minn. 1998) (defendant conceded the point).</w:t>
      </w:r>
    </w:p>
  </w:footnote>
  <w:footnote w:id="582">
    <w:p w14:paraId="79AC0D1F" w14:textId="05D3D3AC" w:rsidR="003C5CBB" w:rsidRPr="00517775" w:rsidRDefault="003C5CBB" w:rsidP="003C5CBB">
      <w:pPr>
        <w:pStyle w:val="FootnoteText"/>
      </w:pPr>
      <w:r w:rsidRPr="003C5CBB">
        <w:rPr>
          <w:vertAlign w:val="superscript"/>
        </w:rPr>
        <w:footnoteRef/>
      </w:r>
      <w:r w:rsidRPr="003C5CBB">
        <w:t>World Impressions, Inc. v. McDonald’s Corp, 235 F. Supp. 2d 831, 847 (N.D. Ill. 2002).</w:t>
      </w:r>
    </w:p>
  </w:footnote>
  <w:footnote w:id="583">
    <w:p w14:paraId="32A36B1D" w14:textId="7752332F" w:rsidR="003C5CBB" w:rsidRPr="00517775" w:rsidRDefault="003C5CBB" w:rsidP="003C5CBB">
      <w:pPr>
        <w:pStyle w:val="FootnoteText"/>
      </w:pPr>
      <w:r w:rsidRPr="003C5CBB">
        <w:rPr>
          <w:vertAlign w:val="superscript"/>
        </w:rPr>
        <w:footnoteRef/>
      </w:r>
      <w:r w:rsidRPr="003C5CBB">
        <w:t>American Express Co. v. CFK, Inc., 947 F. Supp. 310, 316, 41 USPQ2d 1756 (E.D. Mich. 1996).</w:t>
      </w:r>
    </w:p>
  </w:footnote>
  <w:footnote w:id="584">
    <w:p w14:paraId="24D9530F" w14:textId="315329BC" w:rsidR="003C5CBB" w:rsidRPr="003C5CBB" w:rsidRDefault="003C5CBB" w:rsidP="003C5CBB">
      <w:pPr>
        <w:pStyle w:val="FootnoteText"/>
      </w:pPr>
      <w:r w:rsidRPr="003C5CBB">
        <w:rPr>
          <w:vertAlign w:val="superscript"/>
        </w:rPr>
        <w:footnoteRef/>
      </w:r>
      <w:r w:rsidRPr="003C5CBB">
        <w:t>ESRT Empire State Bldg., L.L.C. v. Liang, Opp. No. 91204122, at 16 (T.T.A.B. June 17, 2016) (non-precedential).</w:t>
      </w:r>
    </w:p>
    <w:p w14:paraId="4054362C" w14:textId="77777777" w:rsidR="003C5CBB" w:rsidRDefault="003C5CBB" w:rsidP="00AF29FC">
      <w:pPr>
        <w:pStyle w:val="footnote"/>
      </w:pPr>
    </w:p>
  </w:footnote>
  <w:footnote w:id="585">
    <w:p w14:paraId="6562BB06" w14:textId="6F88E327" w:rsidR="003C5CBB" w:rsidRPr="00517775" w:rsidRDefault="003C5CBB" w:rsidP="003C5CBB">
      <w:pPr>
        <w:pStyle w:val="FootnoteText"/>
      </w:pPr>
      <w:r w:rsidRPr="003C5CBB">
        <w:rPr>
          <w:vertAlign w:val="superscript"/>
        </w:rPr>
        <w:footnoteRef/>
      </w:r>
      <w:r w:rsidRPr="003C5CBB">
        <w:t>Gideons Int’l, Inc. v. Gideon 300 Ministries, Inc., 94 F. Supp. 2d 566, 587 (E.D. Pa. 1999).</w:t>
      </w:r>
    </w:p>
  </w:footnote>
  <w:footnote w:id="586">
    <w:p w14:paraId="54D39E18" w14:textId="7650C24C" w:rsidR="003C5CBB" w:rsidRPr="00517775" w:rsidRDefault="003C5CBB" w:rsidP="003C5CBB">
      <w:pPr>
        <w:pStyle w:val="FootnoteText"/>
      </w:pPr>
      <w:r w:rsidRPr="003C5CBB">
        <w:rPr>
          <w:vertAlign w:val="superscript"/>
        </w:rPr>
        <w:footnoteRef/>
      </w:r>
      <w:r w:rsidRPr="003C5CBB">
        <w:t>Nabisco, Inc. v. PF Brands, Inc., 191 F.3d 208, 215, 51 USPQ2d 1882 (2d Cir. 1999) (finding it to be “undisputed”).</w:t>
      </w:r>
    </w:p>
  </w:footnote>
  <w:footnote w:id="587">
    <w:p w14:paraId="65351085" w14:textId="01265875" w:rsidR="003C5CBB" w:rsidRPr="00517775" w:rsidRDefault="003C5CBB" w:rsidP="003C5CBB">
      <w:pPr>
        <w:pStyle w:val="FootnoteText"/>
      </w:pPr>
      <w:r w:rsidRPr="003C5CBB">
        <w:rPr>
          <w:vertAlign w:val="superscript"/>
        </w:rPr>
        <w:footnoteRef/>
      </w:r>
      <w:r w:rsidRPr="003C5CBB">
        <w:t>Hershey Co. v. Art Van Furniture, Inc., 2008 WL 4724756, at *1, 2008 BL 241740 (E.D. Mich. Oct. 24, 2008).</w:t>
      </w:r>
    </w:p>
  </w:footnote>
  <w:footnote w:id="588">
    <w:p w14:paraId="4979C5FA" w14:textId="370DE6E8" w:rsidR="003C5CBB" w:rsidRPr="003C5CBB" w:rsidRDefault="003C5CBB" w:rsidP="003C5CBB">
      <w:pPr>
        <w:pStyle w:val="FootnoteText"/>
      </w:pPr>
      <w:r w:rsidRPr="003C5CBB">
        <w:rPr>
          <w:vertAlign w:val="superscript"/>
        </w:rPr>
        <w:footnoteRef/>
      </w:r>
      <w:r w:rsidRPr="003C5CBB">
        <w:t>New York Yankees P’ship v. IET Prods. &amp; Servs., Inc., 114 USPQ2d 1497, 1506 (T.T.A.B. 2015).</w:t>
      </w:r>
    </w:p>
    <w:p w14:paraId="5FACEED8" w14:textId="77777777" w:rsidR="003C5CBB" w:rsidRDefault="003C5CBB" w:rsidP="00AF29FC">
      <w:pPr>
        <w:pStyle w:val="footnote"/>
      </w:pPr>
    </w:p>
  </w:footnote>
  <w:footnote w:id="589">
    <w:p w14:paraId="02225CCF" w14:textId="3C609AAD" w:rsidR="003C5CBB" w:rsidRPr="00517775" w:rsidRDefault="003C5CBB" w:rsidP="003C5CBB">
      <w:pPr>
        <w:pStyle w:val="FootnoteText"/>
      </w:pPr>
      <w:r w:rsidRPr="003C5CBB">
        <w:rPr>
          <w:vertAlign w:val="superscript"/>
        </w:rPr>
        <w:footnoteRef/>
      </w:r>
      <w:r w:rsidRPr="003C5CBB">
        <w:t>Hotmail Corp. v. Van$ Money Pie, 47 USPQ2d 1020, 1024 (N.D. Cal. 1998) (preliminary finding).</w:t>
      </w:r>
    </w:p>
  </w:footnote>
  <w:footnote w:id="590">
    <w:p w14:paraId="122B50BE" w14:textId="3A21696A" w:rsidR="003C5CBB" w:rsidRPr="00517775" w:rsidRDefault="003C5CBB" w:rsidP="003C5CBB">
      <w:pPr>
        <w:pStyle w:val="FootnoteText"/>
      </w:pPr>
      <w:r w:rsidRPr="003C5CBB">
        <w:rPr>
          <w:vertAlign w:val="superscript"/>
        </w:rPr>
        <w:footnoteRef/>
      </w:r>
      <w:r w:rsidRPr="003C5CBB">
        <w:t xml:space="preserve">Intermatic, Inc. v. Toeppen, 947 F. Supp. 1227, 1239, 40 USPQ2d 1412 (N.D. Ill. 1996), </w:t>
      </w:r>
      <w:r w:rsidRPr="003C5CBB">
        <w:rPr>
          <w:i/>
        </w:rPr>
        <w:t>magistrate’s report approved</w:t>
      </w:r>
      <w:r w:rsidRPr="003C5CBB">
        <w:t>, 41 USPQ2d 1223 (N.D. Ill. 1996).</w:t>
      </w:r>
    </w:p>
  </w:footnote>
  <w:footnote w:id="591">
    <w:p w14:paraId="10328A64" w14:textId="5805BC6F" w:rsidR="003C5CBB" w:rsidRPr="003C5CBB" w:rsidRDefault="003C5CBB" w:rsidP="003C5CBB">
      <w:pPr>
        <w:pStyle w:val="FootnoteText"/>
      </w:pPr>
      <w:r w:rsidRPr="003C5CBB">
        <w:rPr>
          <w:vertAlign w:val="superscript"/>
        </w:rPr>
        <w:footnoteRef/>
      </w:r>
      <w:r w:rsidRPr="003C5CBB">
        <w:t xml:space="preserve">Apple, Inc. v. Samsung Elecs. Co., 920 F. Supp. 2d 1079, 1097 (N.D. Cal. Jan. 29, 2013) (upholding jury finding of fame), </w:t>
      </w:r>
      <w:r w:rsidRPr="003C5CBB">
        <w:rPr>
          <w:i/>
        </w:rPr>
        <w:t>aff’d in part</w:t>
      </w:r>
      <w:r w:rsidRPr="003C5CBB">
        <w:t>,</w:t>
      </w:r>
      <w:r w:rsidRPr="003C5CBB">
        <w:rPr>
          <w:i/>
        </w:rPr>
        <w:t xml:space="preserve"> rev’d in part on other grounds</w:t>
      </w:r>
      <w:r w:rsidRPr="003C5CBB">
        <w:t xml:space="preserve">, 786 F.3d 983, 114 USPQ2d 1953 (Fed. Cir. 2015) (the Federal Circuit reversed the trade dress portion of the judgment on the grounds that the trade dress was functional and did not reach the dilution issues), </w:t>
      </w:r>
      <w:r w:rsidRPr="003C5CBB">
        <w:rPr>
          <w:i/>
        </w:rPr>
        <w:t>rev’d on other grounds</w:t>
      </w:r>
      <w:r w:rsidRPr="003C5CBB">
        <w:t>, 137 S. Ct. 429, 120 USPQ2d 1749 (2016).</w:t>
      </w:r>
    </w:p>
    <w:p w14:paraId="7DF3C536" w14:textId="77777777" w:rsidR="003C5CBB" w:rsidRDefault="003C5CBB" w:rsidP="00AF29FC">
      <w:pPr>
        <w:pStyle w:val="footnote"/>
      </w:pPr>
    </w:p>
  </w:footnote>
  <w:footnote w:id="592">
    <w:p w14:paraId="5F504DEF" w14:textId="3806FB37" w:rsidR="003C5CBB" w:rsidRPr="00517775" w:rsidRDefault="003C5CBB" w:rsidP="003C5CBB">
      <w:pPr>
        <w:pStyle w:val="FootnoteText"/>
      </w:pPr>
      <w:r w:rsidRPr="003C5CBB">
        <w:rPr>
          <w:vertAlign w:val="superscript"/>
        </w:rPr>
        <w:footnoteRef/>
      </w:r>
      <w:r w:rsidRPr="003C5CBB">
        <w:t>University of Kan. v. Sinks, 644 F. Supp. 2d 1287(D. Kan. 2008).</w:t>
      </w:r>
    </w:p>
  </w:footnote>
  <w:footnote w:id="593">
    <w:p w14:paraId="2B6F96E9" w14:textId="6F1AC5D7" w:rsidR="003C5CBB" w:rsidRPr="00517775" w:rsidRDefault="003C5CBB" w:rsidP="003C5CBB">
      <w:pPr>
        <w:pStyle w:val="FootnoteText"/>
      </w:pPr>
      <w:r w:rsidRPr="003C5CBB">
        <w:rPr>
          <w:vertAlign w:val="superscript"/>
        </w:rPr>
        <w:footnoteRef/>
      </w:r>
      <w:r w:rsidRPr="003C5CBB">
        <w:t xml:space="preserve">Jews for Jesus v. Brodsky, 993 F. Supp. 282, 306, 46 USPQ2d 1652 (D.N.J.), </w:t>
      </w:r>
      <w:r w:rsidRPr="003C5CBB">
        <w:rPr>
          <w:i/>
        </w:rPr>
        <w:t>aff’d</w:t>
      </w:r>
      <w:r w:rsidRPr="003C5CBB">
        <w:t>, 159 F.3d 1351 (3d Cir. 1998).</w:t>
      </w:r>
    </w:p>
  </w:footnote>
  <w:footnote w:id="594">
    <w:p w14:paraId="297E9C91" w14:textId="6B45190A" w:rsidR="003C5CBB" w:rsidRPr="00517775" w:rsidRDefault="003C5CBB" w:rsidP="003C5CBB">
      <w:pPr>
        <w:pStyle w:val="FootnoteText"/>
      </w:pPr>
      <w:r w:rsidRPr="003C5CBB">
        <w:rPr>
          <w:vertAlign w:val="superscript"/>
        </w:rPr>
        <w:footnoteRef/>
      </w:r>
      <w:r w:rsidRPr="003C5CBB">
        <w:t>Nike Inc. v. Maher, 100 USPQ2d 1018, 1025−27 (T.T.A.B. 2011).</w:t>
      </w:r>
    </w:p>
  </w:footnote>
  <w:footnote w:id="595">
    <w:p w14:paraId="4321CA76" w14:textId="1FD83F72" w:rsidR="003C5CBB" w:rsidRPr="00517775" w:rsidRDefault="003C5CBB" w:rsidP="003C5CBB">
      <w:pPr>
        <w:pStyle w:val="FootnoteText"/>
      </w:pPr>
      <w:r w:rsidRPr="003C5CBB">
        <w:rPr>
          <w:vertAlign w:val="superscript"/>
        </w:rPr>
        <w:footnoteRef/>
      </w:r>
      <w:r w:rsidRPr="003C5CBB">
        <w:t>Avlon Indus. v. Robinson, 2005 WL 331561, 2005 BL 870 (N.D. Ill. Feb. 8, 2005).</w:t>
      </w:r>
    </w:p>
  </w:footnote>
  <w:footnote w:id="596">
    <w:p w14:paraId="2F653EF4" w14:textId="15409372" w:rsidR="003C5CBB" w:rsidRPr="003C5CBB" w:rsidRDefault="003C5CBB" w:rsidP="003C5CBB">
      <w:pPr>
        <w:pStyle w:val="FootnoteText"/>
      </w:pPr>
      <w:r w:rsidRPr="003C5CBB">
        <w:rPr>
          <w:vertAlign w:val="superscript"/>
        </w:rPr>
        <w:footnoteRef/>
      </w:r>
      <w:r w:rsidRPr="003C5CBB">
        <w:t>McDonald’s Corp. v. McSweet, LLC, 112 USPQ2d 1268, 1288–89 (T.T.A.B. 2014).</w:t>
      </w:r>
    </w:p>
    <w:p w14:paraId="5A2CE936" w14:textId="77777777" w:rsidR="003C5CBB" w:rsidRDefault="003C5CBB" w:rsidP="00AF29FC">
      <w:pPr>
        <w:pStyle w:val="footnote"/>
      </w:pPr>
    </w:p>
  </w:footnote>
  <w:footnote w:id="597">
    <w:p w14:paraId="4EAA6504" w14:textId="2A1A3458" w:rsidR="003C5CBB" w:rsidRPr="00517775" w:rsidRDefault="003C5CBB" w:rsidP="003C5CBB">
      <w:pPr>
        <w:pStyle w:val="FootnoteText"/>
      </w:pPr>
      <w:r w:rsidRPr="003C5CBB">
        <w:rPr>
          <w:vertAlign w:val="superscript"/>
        </w:rPr>
        <w:footnoteRef/>
      </w:r>
      <w:r w:rsidRPr="003C5CBB">
        <w:t>UMG Recordings Inc. v. Mattel Inc., 100 USPQ2d 1868, 1887 (T.T.A.B. 2011).</w:t>
      </w:r>
    </w:p>
  </w:footnote>
  <w:footnote w:id="598">
    <w:p w14:paraId="1D88DC36" w14:textId="5828CFB8" w:rsidR="003C5CBB" w:rsidRPr="00517775" w:rsidRDefault="003C5CBB" w:rsidP="003C5CBB">
      <w:pPr>
        <w:pStyle w:val="FootnoteText"/>
      </w:pPr>
      <w:r w:rsidRPr="003C5CBB">
        <w:rPr>
          <w:vertAlign w:val="superscript"/>
        </w:rPr>
        <w:footnoteRef/>
      </w:r>
      <w:r w:rsidRPr="003C5CBB">
        <w:t>NASDAQ Stock Mkt., Inc. v. Antartica, S.r.l., 69 USPQ2d 1718, 1737 (T.T.A.B. 2003).</w:t>
      </w:r>
    </w:p>
  </w:footnote>
  <w:footnote w:id="599">
    <w:p w14:paraId="57AFDE7A" w14:textId="6E42D7C4" w:rsidR="003C5CBB" w:rsidRPr="00517775" w:rsidRDefault="003C5CBB" w:rsidP="003C5CBB">
      <w:pPr>
        <w:pStyle w:val="FootnoteText"/>
      </w:pPr>
      <w:r w:rsidRPr="003C5CBB">
        <w:rPr>
          <w:vertAlign w:val="superscript"/>
        </w:rPr>
        <w:footnoteRef/>
      </w:r>
      <w:r w:rsidRPr="003C5CBB">
        <w:t>NBBJ E. Ltd. P’ship v. NBBJ Training Acad., Inc., 201 F. Supp. 2d 800, 805 (S.D. Ohio 2001). Note that this mark was a niche product mark that probably would not be famous under the TDRA.</w:t>
      </w:r>
    </w:p>
  </w:footnote>
  <w:footnote w:id="600">
    <w:p w14:paraId="3A1B2D9C" w14:textId="0EF40F34" w:rsidR="003C5CBB" w:rsidRPr="00517775" w:rsidRDefault="003C5CBB" w:rsidP="003C5CBB">
      <w:pPr>
        <w:pStyle w:val="FootnoteText"/>
      </w:pPr>
      <w:r w:rsidRPr="003C5CBB">
        <w:rPr>
          <w:vertAlign w:val="superscript"/>
        </w:rPr>
        <w:footnoteRef/>
      </w:r>
      <w:r w:rsidRPr="003C5CBB">
        <w:t>New York City Triathlon, LLC v. NYC Triathlon Club, Inc., 704 F. Supp. 2d 305, 321−22, 95 UPSPQ2d 1451 (S.D.N.Y. 2010).</w:t>
      </w:r>
    </w:p>
  </w:footnote>
  <w:footnote w:id="601">
    <w:p w14:paraId="73AB3620" w14:textId="3117F9F1" w:rsidR="003C5CBB" w:rsidRPr="003C5CBB" w:rsidRDefault="003C5CBB" w:rsidP="003C5CBB">
      <w:pPr>
        <w:pStyle w:val="FootnoteText"/>
      </w:pPr>
      <w:r w:rsidRPr="003C5CBB">
        <w:rPr>
          <w:vertAlign w:val="superscript"/>
        </w:rPr>
        <w:footnoteRef/>
      </w:r>
      <w:r w:rsidRPr="003C5CBB">
        <w:t>Lorillard Tobacco Co. v. California Imports, LLC, 886 F. Supp. 2d 529, 536, 105 USPQ2d 1230 (E.D. Va. 2012).</w:t>
      </w:r>
    </w:p>
    <w:p w14:paraId="0A484C29" w14:textId="77777777" w:rsidR="003C5CBB" w:rsidRDefault="003C5CBB" w:rsidP="00AF29FC">
      <w:pPr>
        <w:pStyle w:val="footnote"/>
      </w:pPr>
    </w:p>
  </w:footnote>
  <w:footnote w:id="602">
    <w:p w14:paraId="5252A3C4" w14:textId="0709DA25" w:rsidR="003C5CBB" w:rsidRPr="00517775" w:rsidRDefault="003C5CBB" w:rsidP="003C5CBB">
      <w:pPr>
        <w:pStyle w:val="FootnoteText"/>
      </w:pPr>
      <w:r w:rsidRPr="003C5CBB">
        <w:rPr>
          <w:vertAlign w:val="superscript"/>
        </w:rPr>
        <w:footnoteRef/>
      </w:r>
      <w:r w:rsidRPr="003C5CBB">
        <w:t>Nike, Inc. v. Nikepal Int’l, Inc., 84 USPQ2d 1820, 1826 (E.D. Cal. 2007).</w:t>
      </w:r>
    </w:p>
  </w:footnote>
  <w:footnote w:id="603">
    <w:p w14:paraId="2C938344" w14:textId="35ED1395" w:rsidR="003C5CBB" w:rsidRPr="00517775" w:rsidRDefault="003C5CBB" w:rsidP="003C5CBB">
      <w:pPr>
        <w:pStyle w:val="FootnoteText"/>
      </w:pPr>
      <w:r w:rsidRPr="003C5CBB">
        <w:rPr>
          <w:vertAlign w:val="superscript"/>
        </w:rPr>
        <w:footnoteRef/>
      </w:r>
      <w:r w:rsidRPr="003C5CBB">
        <w:t>Nissan Motor Co., Ltd. v. Nissan Computer Corp., 2007 U.S. Dist. LEXIS 90487, at *36 (C.D. Cal. Sept. 20, 2007).</w:t>
      </w:r>
    </w:p>
  </w:footnote>
  <w:footnote w:id="604">
    <w:p w14:paraId="09378754" w14:textId="1296833B" w:rsidR="003C5CBB" w:rsidRPr="00517775" w:rsidRDefault="003C5CBB" w:rsidP="003C5CBB">
      <w:pPr>
        <w:pStyle w:val="FootnoteText"/>
      </w:pPr>
      <w:r w:rsidRPr="003C5CBB">
        <w:rPr>
          <w:vertAlign w:val="superscript"/>
        </w:rPr>
        <w:footnoteRef/>
      </w:r>
      <w:r w:rsidRPr="003C5CBB">
        <w:t>New York State Soc’y of Certified Pub. Accountants v. Eric Louis Assocs., Inc., 79 F. Supp. 2d 331, 344 (S.D.N.Y. 1999). This mark probably would not be famous under the TDRA as it appears to be famous, at best, in a niche market.</w:t>
      </w:r>
    </w:p>
  </w:footnote>
  <w:footnote w:id="605">
    <w:p w14:paraId="73080631" w14:textId="7124A8F0" w:rsidR="003C5CBB" w:rsidRPr="00517775" w:rsidRDefault="003C5CBB" w:rsidP="003C5CBB">
      <w:pPr>
        <w:pStyle w:val="FootnoteText"/>
      </w:pPr>
      <w:r w:rsidRPr="003C5CBB">
        <w:rPr>
          <w:vertAlign w:val="superscript"/>
        </w:rPr>
        <w:footnoteRef/>
      </w:r>
      <w:r w:rsidRPr="003C5CBB">
        <w:t xml:space="preserve">Panavision Int’l, L.P. v. Toeppen, 945 F. Supp. 1296, 1302–03, 40 USPQ2d 1908 (C.D. Cal. 1996), </w:t>
      </w:r>
      <w:r w:rsidRPr="003C5CBB">
        <w:rPr>
          <w:i/>
        </w:rPr>
        <w:t>aff’d</w:t>
      </w:r>
      <w:r w:rsidRPr="003C5CBB">
        <w:t>, 141 F.3d 1316, 46 USPQ2d 1511 (9th Cir. 1998).</w:t>
      </w:r>
    </w:p>
  </w:footnote>
  <w:footnote w:id="606">
    <w:p w14:paraId="08734628" w14:textId="364AC52F" w:rsidR="003C5CBB" w:rsidRPr="00517775" w:rsidRDefault="003C5CBB" w:rsidP="003C5CBB">
      <w:pPr>
        <w:pStyle w:val="FootnoteText"/>
      </w:pPr>
      <w:r w:rsidRPr="003C5CBB">
        <w:rPr>
          <w:vertAlign w:val="superscript"/>
        </w:rPr>
        <w:footnoteRef/>
      </w:r>
      <w:r w:rsidRPr="003C5CBB">
        <w:t>Pinehurst, Inc. v. Wick, 256 F. Supp. 2d 424, 427, 431, 66 USPQ2d 1610 (M.D.N.C. 2003).</w:t>
      </w:r>
    </w:p>
  </w:footnote>
  <w:footnote w:id="607">
    <w:p w14:paraId="3EAFF79B" w14:textId="040370E1" w:rsidR="003C5CBB" w:rsidRPr="00517775" w:rsidRDefault="003C5CBB" w:rsidP="003C5CBB">
      <w:pPr>
        <w:pStyle w:val="FootnoteText"/>
      </w:pPr>
      <w:r w:rsidRPr="003C5CBB">
        <w:rPr>
          <w:vertAlign w:val="superscript"/>
        </w:rPr>
        <w:footnoteRef/>
      </w:r>
      <w:r w:rsidRPr="003C5CBB">
        <w:t>Porsche Cars N. Am., Inc. v. Spencer, 2000 WL 641209, 55 USPQ2d 1026, 1029 (E.D. Cal. 2000).</w:t>
      </w:r>
    </w:p>
  </w:footnote>
  <w:footnote w:id="608">
    <w:p w14:paraId="44E9EF2D" w14:textId="6DE436CE" w:rsidR="003C5CBB" w:rsidRPr="00517775" w:rsidRDefault="003C5CBB" w:rsidP="003C5CBB">
      <w:pPr>
        <w:pStyle w:val="FootnoteText"/>
      </w:pPr>
      <w:r w:rsidRPr="003C5CBB">
        <w:rPr>
          <w:vertAlign w:val="superscript"/>
        </w:rPr>
        <w:footnoteRef/>
      </w:r>
      <w:r w:rsidRPr="003C5CBB">
        <w:t>Minnesota Mining &amp; Mfg. Co. v. Taylor, 21 F. Supp. 2d 1003, 1004, 48 USPQ2d 1701 (D. Minn. 1998).</w:t>
      </w:r>
    </w:p>
  </w:footnote>
  <w:footnote w:id="609">
    <w:p w14:paraId="363A7E05" w14:textId="2671E551" w:rsidR="003C5CBB" w:rsidRPr="00517775" w:rsidRDefault="003C5CBB" w:rsidP="003C5CBB">
      <w:pPr>
        <w:pStyle w:val="FootnoteText"/>
      </w:pPr>
      <w:r w:rsidRPr="003C5CBB">
        <w:rPr>
          <w:vertAlign w:val="superscript"/>
        </w:rPr>
        <w:footnoteRef/>
      </w:r>
      <w:r w:rsidRPr="003C5CBB">
        <w:t xml:space="preserve">Eli Lilly &amp; Co. v. Natural Answers, Inc., 86 F. Supp. 2d 834, 850–51 (S.D. Ind.), </w:t>
      </w:r>
      <w:r w:rsidRPr="003C5CBB">
        <w:rPr>
          <w:i/>
        </w:rPr>
        <w:t>aff’d</w:t>
      </w:r>
      <w:r w:rsidRPr="003C5CBB">
        <w:t>, 233 F.3d 456, 56 USPQ2d 1942 (7th Cir. 2000).</w:t>
      </w:r>
    </w:p>
  </w:footnote>
  <w:footnote w:id="610">
    <w:p w14:paraId="73B669A7" w14:textId="0AAFD80C" w:rsidR="003C5CBB" w:rsidRPr="00517775" w:rsidRDefault="003C5CBB" w:rsidP="003C5CBB">
      <w:pPr>
        <w:pStyle w:val="FootnoteText"/>
      </w:pPr>
      <w:r w:rsidRPr="003C5CBB">
        <w:rPr>
          <w:vertAlign w:val="superscript"/>
        </w:rPr>
        <w:footnoteRef/>
      </w:r>
      <w:r w:rsidRPr="003C5CBB">
        <w:t>Qwest Commc’ns Int’l, Inc. v. Arnette, 2006 U.S. Dist. LEXIS 17, at *14 (N.D. Tex. Jan. 3, 2006).</w:t>
      </w:r>
    </w:p>
  </w:footnote>
  <w:footnote w:id="611">
    <w:p w14:paraId="2CCF6149" w14:textId="12DA5B27" w:rsidR="003C5CBB" w:rsidRPr="00517775" w:rsidRDefault="003C5CBB" w:rsidP="003C5CBB">
      <w:pPr>
        <w:pStyle w:val="FootnoteText"/>
      </w:pPr>
      <w:r w:rsidRPr="003C5CBB">
        <w:rPr>
          <w:vertAlign w:val="superscript"/>
        </w:rPr>
        <w:footnoteRef/>
      </w:r>
      <w:r w:rsidRPr="003C5CBB">
        <w:t>Rain Bird Corp. v. Taylor, 665 F. Supp. 2d 1258, 1269 (N.D. Fla. 2009).</w:t>
      </w:r>
    </w:p>
  </w:footnote>
  <w:footnote w:id="612">
    <w:p w14:paraId="1A91AD22" w14:textId="4DB7B840" w:rsidR="003C5CBB" w:rsidRPr="003C5CBB" w:rsidRDefault="003C5CBB" w:rsidP="003C5CBB">
      <w:pPr>
        <w:pStyle w:val="FootnoteText"/>
      </w:pPr>
      <w:r w:rsidRPr="003C5CBB">
        <w:rPr>
          <w:rStyle w:val="FootnoteReference"/>
          <w:rFonts w:eastAsiaTheme="majorEastAsia"/>
        </w:rPr>
        <w:footnoteRef/>
      </w:r>
      <w:r w:rsidRPr="003C5CBB">
        <w:t>RE/MAX, LLC v. Shenzhen Remax Co., 2019 WL 1081039, at *6, 2019 BL 83986 (D. Colo. Jan. 18, 2019).</w:t>
      </w:r>
    </w:p>
    <w:p w14:paraId="61ABAD38" w14:textId="77777777" w:rsidR="003C5CBB" w:rsidRDefault="003C5CBB" w:rsidP="00B83D6D">
      <w:pPr>
        <w:pStyle w:val="FootnoteText"/>
      </w:pPr>
    </w:p>
  </w:footnote>
  <w:footnote w:id="613">
    <w:p w14:paraId="16BA7240" w14:textId="7A771E14" w:rsidR="003C5CBB" w:rsidRPr="00517775" w:rsidRDefault="003C5CBB" w:rsidP="003C5CBB">
      <w:pPr>
        <w:pStyle w:val="FootnoteText"/>
      </w:pPr>
      <w:r w:rsidRPr="003C5CBB">
        <w:rPr>
          <w:vertAlign w:val="superscript"/>
        </w:rPr>
        <w:footnoteRef/>
      </w:r>
      <w:r w:rsidRPr="003C5CBB">
        <w:t xml:space="preserve">Rolex Watch U.S.A. Inc. v. AFP Imaging Corp., 101 USPQ2d 1188, 1191−93 (T.T.A.B. 2011), </w:t>
      </w:r>
      <w:r w:rsidRPr="003C5CBB">
        <w:rPr>
          <w:i/>
        </w:rPr>
        <w:t>vacated</w:t>
      </w:r>
      <w:r w:rsidRPr="003C5CBB">
        <w:t>, 2013 TTAB LEXIS 46 (T.T.A.B. Jan. 29, 2013) (applicant abandoned the application) (decision designated precedential July 17, 2013).</w:t>
      </w:r>
    </w:p>
  </w:footnote>
  <w:footnote w:id="614">
    <w:p w14:paraId="2833C267" w14:textId="12BA850B" w:rsidR="003C5CBB" w:rsidRDefault="003C5CBB" w:rsidP="003C5CBB">
      <w:pPr>
        <w:pStyle w:val="FootnoteText"/>
      </w:pPr>
      <w:r w:rsidRPr="003C5CBB">
        <w:rPr>
          <w:rStyle w:val="FootnoteReference"/>
          <w:rFonts w:eastAsiaTheme="majorEastAsia"/>
        </w:rPr>
        <w:footnoteRef/>
      </w:r>
      <w:r w:rsidRPr="003C5CBB">
        <w:t xml:space="preserve">Select Comfort Corp. v. Baxter, 996 F.3d 925, 931 (8th Cir. 2021) (jury found Sleep Number </w:t>
      </w:r>
      <w:r w:rsidRPr="003C5CBB">
        <w:t>famous, but not diluted).</w:t>
      </w:r>
    </w:p>
  </w:footnote>
  <w:footnote w:id="615">
    <w:p w14:paraId="6C01634E" w14:textId="7E65407A" w:rsidR="003C5CBB" w:rsidRDefault="003C5CBB" w:rsidP="003C5CBB">
      <w:pPr>
        <w:pStyle w:val="FootnoteText"/>
      </w:pPr>
      <w:r w:rsidRPr="003C5CBB">
        <w:rPr>
          <w:rStyle w:val="FootnoteReference"/>
          <w:rFonts w:eastAsiaTheme="majorEastAsia"/>
        </w:rPr>
        <w:footnoteRef/>
      </w:r>
      <w:r w:rsidRPr="003C5CBB">
        <w:t>Spotify A.B. v. U.S. Software, Inc., 2022 WL 110251, at *10−12 (T.T.A.B. Jan. 10, 2022). This case is discussed in detail in Chapter 13.</w:t>
      </w:r>
    </w:p>
  </w:footnote>
  <w:footnote w:id="616">
    <w:p w14:paraId="239C488E" w14:textId="409848FE" w:rsidR="003C5CBB" w:rsidRPr="00517775" w:rsidRDefault="003C5CBB" w:rsidP="003C5CBB">
      <w:pPr>
        <w:pStyle w:val="FootnoteText"/>
      </w:pPr>
      <w:r w:rsidRPr="003C5CBB">
        <w:rPr>
          <w:vertAlign w:val="superscript"/>
        </w:rPr>
        <w:footnoteRef/>
      </w:r>
      <w:r w:rsidRPr="003C5CBB">
        <w:t>AVS Found. v. Eugene Berry Enter. LLC, 101 USPQ2d 1256, 1260−61 (W.D. Pa. 2011).</w:t>
      </w:r>
    </w:p>
  </w:footnote>
  <w:footnote w:id="617">
    <w:p w14:paraId="1B64E4D5" w14:textId="2DA97952" w:rsidR="003C5CBB" w:rsidRPr="00517775" w:rsidRDefault="003C5CBB" w:rsidP="003C5CBB">
      <w:pPr>
        <w:pStyle w:val="FootnoteText"/>
      </w:pPr>
      <w:r w:rsidRPr="003C5CBB">
        <w:rPr>
          <w:vertAlign w:val="superscript"/>
        </w:rPr>
        <w:footnoteRef/>
      </w:r>
      <w:r w:rsidRPr="003C5CBB">
        <w:t>Gap Inc. v. G.A.P. Adventures Inc., 100 USPQ2d 1417, 1420, 1431 (S.D.N.Y. 2011).</w:t>
      </w:r>
    </w:p>
  </w:footnote>
  <w:footnote w:id="618">
    <w:p w14:paraId="2765690C" w14:textId="43BFC38E" w:rsidR="003C5CBB" w:rsidRPr="00517775" w:rsidRDefault="003C5CBB" w:rsidP="003C5CBB">
      <w:pPr>
        <w:pStyle w:val="FootnoteText"/>
      </w:pPr>
      <w:r w:rsidRPr="003C5CBB">
        <w:rPr>
          <w:vertAlign w:val="superscript"/>
        </w:rPr>
        <w:footnoteRef/>
      </w:r>
      <w:r w:rsidRPr="003C5CBB">
        <w:t>National Pork Bd. v. Supreme Lobster &amp; Seafood Co., 96 USPQ2d 1479, 1496 (T.T.A.B. 2010).</w:t>
      </w:r>
    </w:p>
  </w:footnote>
  <w:footnote w:id="619">
    <w:p w14:paraId="3001BE7D" w14:textId="412100FE" w:rsidR="003C5CBB" w:rsidRDefault="003C5CBB" w:rsidP="003C5CBB">
      <w:pPr>
        <w:pStyle w:val="FootnoteText"/>
      </w:pPr>
      <w:r w:rsidRPr="003C5CBB">
        <w:rPr>
          <w:rStyle w:val="FootnoteReference"/>
          <w:rFonts w:eastAsiaTheme="majorEastAsia"/>
        </w:rPr>
        <w:footnoteRef/>
      </w:r>
      <w:r w:rsidRPr="003C5CBB">
        <w:t>TiVo Brands LLC v. Tivoli, LLC, 2018 WL 6921323, at *14 (T.T.A.B. Dec. 31, 2018).</w:t>
      </w:r>
    </w:p>
  </w:footnote>
  <w:footnote w:id="620">
    <w:p w14:paraId="406C3AC4" w14:textId="55805D0B" w:rsidR="003C5CBB" w:rsidRPr="00517775" w:rsidRDefault="003C5CBB" w:rsidP="003C5CBB">
      <w:pPr>
        <w:pStyle w:val="FootnoteText"/>
      </w:pPr>
      <w:r w:rsidRPr="003C5CBB">
        <w:rPr>
          <w:vertAlign w:val="superscript"/>
        </w:rPr>
        <w:footnoteRef/>
      </w:r>
      <w:r w:rsidRPr="003C5CBB">
        <w:t>McNeil Consumer Brands, Inc. v. U.S. Dentek Corp., 116 F. Supp. 2d 604, 607 (E.D. Pa. 2000).</w:t>
      </w:r>
    </w:p>
  </w:footnote>
  <w:footnote w:id="621">
    <w:p w14:paraId="6F208C97" w14:textId="1ADBEF3F" w:rsidR="003C5CBB" w:rsidRPr="00517775" w:rsidRDefault="003C5CBB" w:rsidP="003C5CBB">
      <w:pPr>
        <w:pStyle w:val="FootnoteText"/>
      </w:pPr>
      <w:r w:rsidRPr="003C5CBB">
        <w:rPr>
          <w:vertAlign w:val="superscript"/>
        </w:rPr>
        <w:footnoteRef/>
      </w:r>
      <w:r w:rsidRPr="003C5CBB">
        <w:t>Kraft Foods Holdings, Inc. v. Helm, 205 F. Supp. 2d 942, 946–47, 63 USPQ2d 1353 (N.D. Ill. 2002).</w:t>
      </w:r>
    </w:p>
  </w:footnote>
  <w:footnote w:id="622">
    <w:p w14:paraId="37F9D841" w14:textId="2B5D8C43" w:rsidR="003C5CBB" w:rsidRPr="00517775" w:rsidRDefault="003C5CBB" w:rsidP="003C5CBB">
      <w:pPr>
        <w:pStyle w:val="FootnoteText"/>
      </w:pPr>
      <w:r w:rsidRPr="003C5CBB">
        <w:rPr>
          <w:vertAlign w:val="superscript"/>
        </w:rPr>
        <w:footnoteRef/>
      </w:r>
      <w:r w:rsidRPr="003C5CBB">
        <w:t>A.B.C. Carpet Co. v. Naeini, 2002 WL 100604, at *5, 2002 BL 2372 (E.D.N.Y. Jan. 22, 2002).</w:t>
      </w:r>
    </w:p>
  </w:footnote>
  <w:footnote w:id="623">
    <w:p w14:paraId="4ECF62D9" w14:textId="50125A95" w:rsidR="003C5CBB" w:rsidRPr="00517775" w:rsidRDefault="003C5CBB" w:rsidP="003C5CBB">
      <w:pPr>
        <w:pStyle w:val="FootnoteText"/>
      </w:pPr>
      <w:r w:rsidRPr="003C5CBB">
        <w:rPr>
          <w:vertAlign w:val="superscript"/>
        </w:rPr>
        <w:footnoteRef/>
      </w:r>
      <w:r w:rsidRPr="003C5CBB">
        <w:t>Alltel Corp. v. Actel Integrated Commc’ns, Inc., 42 F. Supp. 2d 1265, 1273, 50 USPQ2d 1508 (S.D. Ala. 1999).</w:t>
      </w:r>
    </w:p>
  </w:footnote>
  <w:footnote w:id="624">
    <w:p w14:paraId="4775EDA6" w14:textId="0378FDFE" w:rsidR="003C5CBB" w:rsidRPr="00517775" w:rsidRDefault="003C5CBB" w:rsidP="003C5CBB">
      <w:pPr>
        <w:pStyle w:val="FootnoteText"/>
      </w:pPr>
      <w:r w:rsidRPr="003C5CBB">
        <w:rPr>
          <w:vertAlign w:val="superscript"/>
        </w:rPr>
        <w:footnoteRef/>
      </w:r>
      <w:r w:rsidRPr="003C5CBB">
        <w:t>Appleseed Found., Inc. v. Appleseed Inst., 981 F. Supp. 672, 677, 43 USPQ2d 1767 (D.D.C. 1997).</w:t>
      </w:r>
    </w:p>
  </w:footnote>
  <w:footnote w:id="625">
    <w:p w14:paraId="05054E7B" w14:textId="1C7855A3" w:rsidR="003C5CBB" w:rsidRPr="00517775" w:rsidRDefault="003C5CBB" w:rsidP="003C5CBB">
      <w:pPr>
        <w:pStyle w:val="FootnoteText"/>
      </w:pPr>
      <w:r w:rsidRPr="003C5CBB">
        <w:rPr>
          <w:vertAlign w:val="superscript"/>
        </w:rPr>
        <w:footnoteRef/>
      </w:r>
      <w:r w:rsidRPr="003C5CBB">
        <w:t>GMA Accessories, Inc. v. Crosscill, Inc., 2008 U.S. Dist. LEXIS 16052, at *35 (S.D.N.Y. Mar. 3, 2008).</w:t>
      </w:r>
    </w:p>
  </w:footnote>
  <w:footnote w:id="626">
    <w:p w14:paraId="481E4966" w14:textId="46C9D44F" w:rsidR="003C5CBB" w:rsidRPr="00517775" w:rsidRDefault="003C5CBB" w:rsidP="003C5CBB">
      <w:pPr>
        <w:pStyle w:val="FootnoteText"/>
      </w:pPr>
      <w:r w:rsidRPr="003C5CBB">
        <w:rPr>
          <w:vertAlign w:val="superscript"/>
        </w:rPr>
        <w:footnoteRef/>
      </w:r>
      <w:r w:rsidRPr="003C5CBB">
        <w:t xml:space="preserve">Coach Servs., Inc. v. Triumph Learning, LLC, 96 USPQ2d 1600 (T.T.A.B. 2010), </w:t>
      </w:r>
      <w:r w:rsidRPr="003C5CBB">
        <w:rPr>
          <w:i/>
        </w:rPr>
        <w:t>aff’d</w:t>
      </w:r>
      <w:r w:rsidRPr="003C5CBB">
        <w:t>, 668 F.3d 1356, 101 USPQ2d 1713 (Fed. Cir. 2012).</w:t>
      </w:r>
    </w:p>
  </w:footnote>
  <w:footnote w:id="627">
    <w:p w14:paraId="7F270A31" w14:textId="7141CFEF" w:rsidR="003C5CBB" w:rsidRDefault="003C5CBB" w:rsidP="003C5CBB">
      <w:pPr>
        <w:pStyle w:val="FootnoteText"/>
      </w:pPr>
      <w:r w:rsidRPr="003C5CBB">
        <w:rPr>
          <w:rStyle w:val="FootnoteReference"/>
          <w:rFonts w:eastAsiaTheme="majorEastAsia"/>
        </w:rPr>
        <w:footnoteRef/>
      </w:r>
      <w:r w:rsidRPr="003C5CBB">
        <w:t>Blumenthal Distrib., Inc. v. Herman Miller, Inc., 963 F.3d 859, 870-71 (9th Cir. 2020).</w:t>
      </w:r>
    </w:p>
  </w:footnote>
  <w:footnote w:id="628">
    <w:p w14:paraId="519223D5" w14:textId="16852E50" w:rsidR="003C5CBB" w:rsidRPr="003C5CBB" w:rsidRDefault="003C5CBB" w:rsidP="003C5CBB">
      <w:pPr>
        <w:pStyle w:val="FootnoteText"/>
      </w:pPr>
      <w:r w:rsidRPr="003C5CBB">
        <w:rPr>
          <w:vertAlign w:val="superscript"/>
        </w:rPr>
        <w:footnoteRef/>
      </w:r>
      <w:r w:rsidRPr="003C5CBB">
        <w:t>Harp v. Rahme, 984 F. Supp. 2d 398, 421–22 (E.D. Pa. 2013).</w:t>
      </w:r>
    </w:p>
    <w:p w14:paraId="6E757D6A" w14:textId="77777777" w:rsidR="003C5CBB" w:rsidRDefault="003C5CBB" w:rsidP="00AF29FC">
      <w:pPr>
        <w:pStyle w:val="footnote"/>
      </w:pPr>
    </w:p>
  </w:footnote>
  <w:footnote w:id="629">
    <w:p w14:paraId="758F04E0" w14:textId="22BE28D1" w:rsidR="003C5CBB" w:rsidRPr="003C5CBB" w:rsidRDefault="003C5CBB" w:rsidP="003C5CBB">
      <w:pPr>
        <w:pStyle w:val="FootnoteText"/>
      </w:pPr>
      <w:r w:rsidRPr="003C5CBB">
        <w:rPr>
          <w:vertAlign w:val="superscript"/>
        </w:rPr>
        <w:footnoteRef/>
      </w:r>
      <w:r w:rsidRPr="003C5CBB">
        <w:t>In-N-Out Burgers v. Fast Lane Car Wash &amp; Lube, LLC, 2013 TTAB LEXIS 131 (T.T.A.B. Mar. 14, 2013) (non-precedential).</w:t>
      </w:r>
    </w:p>
    <w:p w14:paraId="0ABAFFA9" w14:textId="77777777" w:rsidR="003C5CBB" w:rsidRDefault="003C5CBB" w:rsidP="00AF29FC">
      <w:pPr>
        <w:pStyle w:val="footnote"/>
      </w:pPr>
    </w:p>
  </w:footnote>
  <w:footnote w:id="630">
    <w:p w14:paraId="462CD17E" w14:textId="0A531FB9" w:rsidR="003C5CBB" w:rsidRPr="003C5CBB" w:rsidRDefault="003C5CBB" w:rsidP="003C5CBB">
      <w:pPr>
        <w:pStyle w:val="FootnoteText"/>
      </w:pPr>
      <w:r w:rsidRPr="003C5CBB">
        <w:rPr>
          <w:vertAlign w:val="superscript"/>
        </w:rPr>
        <w:footnoteRef/>
      </w:r>
      <w:r w:rsidRPr="003C5CBB">
        <w:t>Tequila Cuervo La Rojena, S.A. de C.V. v. Cuervo Media LLC, 2013 TTAB LEXIS 191, at *17–18 (T.T.A.B. Apr. 19, 2013) (non-precedential).</w:t>
      </w:r>
    </w:p>
    <w:p w14:paraId="406DA65D" w14:textId="77777777" w:rsidR="003C5CBB" w:rsidRDefault="003C5CBB" w:rsidP="00AF29FC">
      <w:pPr>
        <w:pStyle w:val="footnote"/>
      </w:pPr>
    </w:p>
  </w:footnote>
  <w:footnote w:id="631">
    <w:p w14:paraId="58AA8AF1" w14:textId="7158E1FA" w:rsidR="003C5CBB" w:rsidRPr="00517775" w:rsidRDefault="003C5CBB" w:rsidP="003C5CBB">
      <w:pPr>
        <w:pStyle w:val="FootnoteText"/>
      </w:pPr>
      <w:r w:rsidRPr="003C5CBB">
        <w:rPr>
          <w:vertAlign w:val="superscript"/>
        </w:rPr>
        <w:footnoteRef/>
      </w:r>
      <w:r w:rsidRPr="003C5CBB">
        <w:t>Gennie Shifter, LLC v. Lokar, Inc., 2010 U.S. Dist. LEXIS 2176 (D. Colo. Jan. 12, 2010).</w:t>
      </w:r>
    </w:p>
  </w:footnote>
  <w:footnote w:id="632">
    <w:p w14:paraId="4D24515D" w14:textId="47E2BC08" w:rsidR="003C5CBB" w:rsidRPr="00517775" w:rsidRDefault="003C5CBB" w:rsidP="003C5CBB">
      <w:pPr>
        <w:pStyle w:val="FootnoteText"/>
      </w:pPr>
      <w:r w:rsidRPr="003C5CBB">
        <w:rPr>
          <w:vertAlign w:val="superscript"/>
        </w:rPr>
        <w:footnoteRef/>
      </w:r>
      <w:r w:rsidRPr="003C5CBB">
        <w:t xml:space="preserve">Maker’s Mark Distillery, Inc. v. Diageo N. Am., Inc., 703 F. Supp. 2d 671, 699−700, 97 USPQ2d 1780 (W.D. Ky. 2010), </w:t>
      </w:r>
      <w:r w:rsidRPr="003C5CBB">
        <w:rPr>
          <w:i/>
        </w:rPr>
        <w:t>aff’d on other grounds</w:t>
      </w:r>
      <w:r w:rsidRPr="003C5CBB">
        <w:t>, 679 F.3d 410, 102 USPQ2d 1693 (6th Cir. 2012) (no discussion of dilution by court of appeals).</w:t>
      </w:r>
    </w:p>
  </w:footnote>
  <w:footnote w:id="633">
    <w:p w14:paraId="149D1702" w14:textId="70F44EE3" w:rsidR="003C5CBB" w:rsidRPr="003C5CBB" w:rsidRDefault="003C5CBB" w:rsidP="003C5CBB">
      <w:pPr>
        <w:pStyle w:val="FootnoteText"/>
      </w:pPr>
      <w:r w:rsidRPr="003C5CBB">
        <w:rPr>
          <w:vertAlign w:val="superscript"/>
        </w:rPr>
        <w:footnoteRef/>
      </w:r>
      <w:r w:rsidRPr="003C5CBB">
        <w:t>Paleteria La Michoacana, Inc. v. Productos Lacteos Tocumbo S.A. De C.V., 69 F. Supp. 3d 175, 221–22 (D.D.C. 2014).</w:t>
      </w:r>
    </w:p>
    <w:p w14:paraId="698856EE" w14:textId="77777777" w:rsidR="003C5CBB" w:rsidRPr="00366F48" w:rsidRDefault="003C5CBB" w:rsidP="00AF29FC">
      <w:pPr>
        <w:pStyle w:val="footnote"/>
        <w:rPr>
          <w:lang w:val="es-US"/>
        </w:rPr>
      </w:pPr>
    </w:p>
  </w:footnote>
  <w:footnote w:id="634">
    <w:p w14:paraId="2EA36785" w14:textId="605456DF" w:rsidR="003C5CBB" w:rsidRPr="00366F48" w:rsidRDefault="003C5CBB" w:rsidP="003C5CBB">
      <w:pPr>
        <w:pStyle w:val="FootnoteText"/>
        <w:rPr>
          <w:lang w:val="es-US"/>
        </w:rPr>
      </w:pPr>
      <w:r w:rsidRPr="003C5CBB">
        <w:rPr>
          <w:vertAlign w:val="superscript"/>
        </w:rPr>
        <w:footnoteRef/>
      </w:r>
      <w:r w:rsidRPr="003C5CBB">
        <w:t xml:space="preserve">American Mensa, Ltd. v. Inpharmatica, Ltd., 2008 U.S. Dist. LEXIS 99394 (D. Md. Nov. 6, 2008), </w:t>
      </w:r>
      <w:r w:rsidRPr="003C5CBB">
        <w:rPr>
          <w:i/>
        </w:rPr>
        <w:t>withdrawn by stipulation</w:t>
      </w:r>
      <w:r w:rsidRPr="003C5CBB">
        <w:t>, Order, American Mensa, Ltd. v. Inpharmatica, Ltd., Civil Action No. 07-cv-03283 (WDQ) (July 28, 2009).</w:t>
      </w:r>
    </w:p>
  </w:footnote>
  <w:footnote w:id="635">
    <w:p w14:paraId="68993DCD" w14:textId="754604BC" w:rsidR="003C5CBB" w:rsidRPr="00517775" w:rsidRDefault="003C5CBB" w:rsidP="003C5CBB">
      <w:pPr>
        <w:pStyle w:val="FootnoteText"/>
      </w:pPr>
      <w:r w:rsidRPr="003C5CBB">
        <w:rPr>
          <w:vertAlign w:val="superscript"/>
        </w:rPr>
        <w:footnoteRef/>
      </w:r>
      <w:r w:rsidRPr="003C5CBB">
        <w:t>GTFM, Inc. v. Solid Clothing, Inc., 215 F. Supp. 2d 273, 300 (S.D.N.Y. 2002).</w:t>
      </w:r>
    </w:p>
  </w:footnote>
  <w:footnote w:id="636">
    <w:p w14:paraId="0771459D" w14:textId="1E958C4B" w:rsidR="003C5CBB" w:rsidRPr="00517775" w:rsidRDefault="003C5CBB" w:rsidP="003C5CBB">
      <w:pPr>
        <w:pStyle w:val="FootnoteText"/>
      </w:pPr>
      <w:r w:rsidRPr="003C5CBB">
        <w:rPr>
          <w:vertAlign w:val="superscript"/>
        </w:rPr>
        <w:footnoteRef/>
      </w:r>
      <w:r w:rsidRPr="003C5CBB">
        <w:t xml:space="preserve">Playmakers, LLC v. ESPN, Inc., 297 F. Supp. 2d 1277, 1285, 69 USPQ2d 1439 (W.D. Wash. 2003), </w:t>
      </w:r>
      <w:r w:rsidRPr="003C5CBB">
        <w:rPr>
          <w:i/>
        </w:rPr>
        <w:t>aff’d</w:t>
      </w:r>
      <w:r w:rsidRPr="003C5CBB">
        <w:t>, 376 F.3d 894, 71 USPQ2d 1759 (9th Cir. 2004).</w:t>
      </w:r>
    </w:p>
  </w:footnote>
  <w:footnote w:id="637">
    <w:p w14:paraId="6A66954F" w14:textId="22459524" w:rsidR="003C5CBB" w:rsidRPr="003C5CBB" w:rsidRDefault="003C5CBB" w:rsidP="003C5CBB">
      <w:pPr>
        <w:pStyle w:val="FootnoteText"/>
      </w:pPr>
      <w:r w:rsidRPr="003C5CBB">
        <w:rPr>
          <w:vertAlign w:val="superscript"/>
        </w:rPr>
        <w:footnoteRef/>
      </w:r>
      <w:r w:rsidRPr="003C5CBB">
        <w:t>Kroger Co. v. Lidl US LLC, 2017 WL 3262253, at *6, 2017 BL 265099 (E.D. Va. July 31, 2017).</w:t>
      </w:r>
    </w:p>
    <w:p w14:paraId="7C7AE744" w14:textId="77777777" w:rsidR="003C5CBB" w:rsidRDefault="003C5CBB" w:rsidP="00123AF3">
      <w:pPr>
        <w:pStyle w:val="footnote"/>
      </w:pPr>
    </w:p>
  </w:footnote>
  <w:footnote w:id="638">
    <w:p w14:paraId="60454B83" w14:textId="0D288B6F" w:rsidR="003C5CBB" w:rsidRPr="00517775" w:rsidRDefault="003C5CBB" w:rsidP="003C5CBB">
      <w:pPr>
        <w:pStyle w:val="FootnoteText"/>
      </w:pPr>
      <w:r w:rsidRPr="003C5CBB">
        <w:rPr>
          <w:vertAlign w:val="superscript"/>
        </w:rPr>
        <w:footnoteRef/>
      </w:r>
      <w:r w:rsidRPr="003C5CBB">
        <w:t>Moore v. Weinstein Co., LLC, 2012 U.S. Dist. LEXIS 72929, at *135−38 (M.D. Tenn. May 23, 2012).</w:t>
      </w:r>
    </w:p>
  </w:footnote>
  <w:footnote w:id="639">
    <w:p w14:paraId="474A60F4" w14:textId="3E4A1F08" w:rsidR="003C5CBB" w:rsidRPr="00517775" w:rsidRDefault="003C5CBB" w:rsidP="003C5CBB">
      <w:pPr>
        <w:pStyle w:val="FootnoteText"/>
      </w:pPr>
      <w:r w:rsidRPr="003C5CBB">
        <w:rPr>
          <w:vertAlign w:val="superscript"/>
        </w:rPr>
        <w:footnoteRef/>
      </w:r>
      <w:r w:rsidRPr="003C5CBB">
        <w:t>Hartog &amp; Co. v. SWIX.com, 136 F. Supp. 2d 531, 538, 63 USPQ2d 1086 (E.D. Va. 2001).</w:t>
      </w:r>
    </w:p>
  </w:footnote>
  <w:footnote w:id="640">
    <w:p w14:paraId="6604EEB9" w14:textId="7D4E03FD" w:rsidR="003C5CBB" w:rsidRPr="00517775" w:rsidRDefault="003C5CBB" w:rsidP="003C5CBB">
      <w:pPr>
        <w:pStyle w:val="FootnoteText"/>
      </w:pPr>
      <w:r w:rsidRPr="003C5CBB">
        <w:rPr>
          <w:vertAlign w:val="superscript"/>
        </w:rPr>
        <w:footnoteRef/>
      </w:r>
      <w:r w:rsidRPr="003C5CBB">
        <w:t>Vallavista Corp. v. Amazon.com, Inc., 2008 U.S. Dist. LEXIS 100058, at *15 (N.D. Cal. Dec. 11, 2008).</w:t>
      </w:r>
    </w:p>
  </w:footnote>
  <w:footnote w:id="641">
    <w:p w14:paraId="0FA4BE16" w14:textId="6A33E692" w:rsidR="003C5CBB" w:rsidRPr="00517775" w:rsidRDefault="003C5CBB" w:rsidP="003C5CBB">
      <w:pPr>
        <w:pStyle w:val="FootnoteText"/>
      </w:pPr>
      <w:r w:rsidRPr="003C5CBB">
        <w:rPr>
          <w:vertAlign w:val="superscript"/>
        </w:rPr>
        <w:footnoteRef/>
      </w:r>
      <w:r w:rsidRPr="003C5CBB">
        <w:t xml:space="preserve">National Distillers Prods. Co. v. Refreshment Brands, Inc., 198 F. Supp. 2d 474, 486 (S.D.N.Y.), </w:t>
      </w:r>
      <w:r w:rsidRPr="003C5CBB">
        <w:rPr>
          <w:i/>
        </w:rPr>
        <w:t>later opinion</w:t>
      </w:r>
      <w:r w:rsidRPr="003C5CBB">
        <w:t>, 2002 WL 1766548 (S.D.N.Y. July 30, 2002).</w:t>
      </w:r>
    </w:p>
  </w:footnote>
  <w:footnote w:id="642">
    <w:p w14:paraId="77171CC9" w14:textId="1D1A65B6" w:rsidR="003C5CBB" w:rsidRPr="00517775" w:rsidRDefault="003C5CBB" w:rsidP="003C5CBB">
      <w:pPr>
        <w:pStyle w:val="FootnoteText"/>
      </w:pPr>
      <w:r w:rsidRPr="003C5CBB">
        <w:rPr>
          <w:vertAlign w:val="superscript"/>
        </w:rPr>
        <w:footnoteRef/>
      </w:r>
      <w:r w:rsidRPr="003C5CBB">
        <w:t>Board of Regents, the Univ. of Tex. Sys. v. KST Elec., Ltd., 550 F. Supp. 2d 657, 679 (W.D. Tex. 2008).</w:t>
      </w:r>
    </w:p>
  </w:footnote>
  <w:footnote w:id="643">
    <w:p w14:paraId="7A4DC6C0" w14:textId="2664E33E" w:rsidR="003C5CBB" w:rsidRPr="00517775" w:rsidRDefault="003C5CBB" w:rsidP="003C5CBB">
      <w:pPr>
        <w:pStyle w:val="FootnoteText"/>
      </w:pPr>
      <w:r w:rsidRPr="003C5CBB">
        <w:rPr>
          <w:vertAlign w:val="superscript"/>
        </w:rPr>
        <w:footnoteRef/>
      </w:r>
      <w:r w:rsidRPr="003C5CBB">
        <w:t>Arkansas Trophy Hunters Ass’n, Inc. v. Texas Trophy Hunters Ass’n, Ltd., 506 F. Supp. 2d 277, 284 (W.D. Ark. 2007).</w:t>
      </w:r>
    </w:p>
  </w:footnote>
  <w:footnote w:id="644">
    <w:p w14:paraId="7A8AAC83" w14:textId="64215A42" w:rsidR="003C5CBB" w:rsidRPr="00517775" w:rsidRDefault="003C5CBB" w:rsidP="003C5CBB">
      <w:pPr>
        <w:pStyle w:val="FootnoteText"/>
      </w:pPr>
      <w:r w:rsidRPr="003C5CBB">
        <w:rPr>
          <w:vertAlign w:val="superscript"/>
        </w:rPr>
        <w:footnoteRef/>
      </w:r>
      <w:r w:rsidRPr="003C5CBB">
        <w:t xml:space="preserve">Top Tobacco, L.P. v. North Atl. Operating Co., 2007 U.S. Dist. LEXIS 2838, at *22–23 (N.D. Ill. Jan. 4, 2007), </w:t>
      </w:r>
      <w:r w:rsidRPr="003C5CBB">
        <w:rPr>
          <w:i/>
        </w:rPr>
        <w:t>aff’d</w:t>
      </w:r>
      <w:r w:rsidRPr="003C5CBB">
        <w:t>, 509 F.3d 380, 85 USPQ2d 1251 (7th Cir. 2007).</w:t>
      </w:r>
    </w:p>
  </w:footnote>
  <w:footnote w:id="645">
    <w:p w14:paraId="608043E6" w14:textId="497F017F" w:rsidR="003C5CBB" w:rsidRPr="00366F48" w:rsidRDefault="003C5CBB" w:rsidP="003C5CBB">
      <w:pPr>
        <w:pStyle w:val="FootnoteText"/>
        <w:rPr>
          <w:lang w:val="es-US"/>
        </w:rPr>
      </w:pPr>
      <w:r w:rsidRPr="003C5CBB">
        <w:rPr>
          <w:vertAlign w:val="superscript"/>
        </w:rPr>
        <w:footnoteRef/>
      </w:r>
      <w:r w:rsidRPr="003C5CBB">
        <w:t>Toro Co. v. ToroHead, Inc., 61 USPQ2d 1164, 1180–81 (T.T.A.B. 2001).</w:t>
      </w:r>
    </w:p>
  </w:footnote>
  <w:footnote w:id="646">
    <w:p w14:paraId="1123FDBC" w14:textId="574134A3" w:rsidR="003C5CBB" w:rsidRPr="00366F48" w:rsidRDefault="003C5CBB" w:rsidP="003C5CBB">
      <w:pPr>
        <w:pStyle w:val="FootnoteText"/>
        <w:rPr>
          <w:lang w:val="es-US"/>
        </w:rPr>
      </w:pPr>
      <w:r w:rsidRPr="003C5CBB">
        <w:rPr>
          <w:vertAlign w:val="superscript"/>
        </w:rPr>
        <w:footnoteRef/>
      </w:r>
      <w:r w:rsidRPr="003C5CBB">
        <w:t>Welch Allyn, Inc. v. Tyco Int’l Servs., AG, 200 F. Supp. 2d 130, 148, 63 USPQ2d 1508 (N.D.N.Y. 2002).</w:t>
      </w:r>
    </w:p>
  </w:footnote>
  <w:footnote w:id="647">
    <w:p w14:paraId="7D254C62" w14:textId="5EA3CC7F" w:rsidR="003C5CBB" w:rsidRPr="003C5CBB" w:rsidRDefault="003C5CBB" w:rsidP="003C5CBB">
      <w:pPr>
        <w:pStyle w:val="FootnoteText"/>
      </w:pPr>
      <w:r w:rsidRPr="003C5CBB">
        <w:rPr>
          <w:vertAlign w:val="superscript"/>
        </w:rPr>
        <w:footnoteRef/>
      </w:r>
      <w:r w:rsidRPr="003C5CBB">
        <w:t>The Village Recorder v. Schnur, 2013 TTAB LEXIS 283, at *44 (T.T.A.B. May 20, 2013) (non-precedential).</w:t>
      </w:r>
    </w:p>
    <w:p w14:paraId="1AF04044" w14:textId="77777777" w:rsidR="003C5CBB" w:rsidRDefault="003C5CBB" w:rsidP="00AF29FC">
      <w:pPr>
        <w:pStyle w:val="footnote"/>
      </w:pPr>
    </w:p>
  </w:footnote>
  <w:footnote w:id="648">
    <w:p w14:paraId="52D27A7B" w14:textId="6E909367" w:rsidR="003C5CBB" w:rsidRPr="00517775" w:rsidRDefault="003C5CBB" w:rsidP="003C5CBB">
      <w:pPr>
        <w:pStyle w:val="FootnoteText"/>
      </w:pPr>
      <w:r w:rsidRPr="003C5CBB">
        <w:rPr>
          <w:vertAlign w:val="superscript"/>
        </w:rPr>
        <w:footnoteRef/>
      </w:r>
      <w:r w:rsidRPr="003C5CBB">
        <w:t xml:space="preserve">We Media, Inc. v. General Elec. Co., 218 F. Supp. 2d 463, 472, 68 USPQ2d 1108 (S.D.N.Y. 2002), </w:t>
      </w:r>
      <w:r w:rsidRPr="003C5CBB">
        <w:rPr>
          <w:i/>
        </w:rPr>
        <w:t>aff’d</w:t>
      </w:r>
      <w:r w:rsidRPr="003C5CBB">
        <w:t>, 94 F. App’x. 29 (2d Cir. 2004) (unpublished opinion).</w:t>
      </w:r>
    </w:p>
  </w:footnote>
  <w:footnote w:id="649">
    <w:p w14:paraId="3F5E9607" w14:textId="713E549B" w:rsidR="003C5CBB" w:rsidRPr="00517775" w:rsidRDefault="003C5CBB" w:rsidP="003C5CBB">
      <w:pPr>
        <w:pStyle w:val="FootnoteText"/>
      </w:pPr>
      <w:r w:rsidRPr="003C5CBB">
        <w:rPr>
          <w:vertAlign w:val="superscript"/>
        </w:rPr>
        <w:footnoteRef/>
      </w:r>
      <w:r w:rsidRPr="003C5CBB">
        <w:t>Advantage Rent-A-Car, Inc. v. Enterprise Rent-A-Car Co., 238 F.3d 378, 381, 57 USPQ2d 1561 (5th Cir. 2001).</w:t>
      </w:r>
    </w:p>
  </w:footnote>
  <w:footnote w:id="650">
    <w:p w14:paraId="240996C6" w14:textId="5EBE1759" w:rsidR="003C5CBB" w:rsidRPr="003C5CBB" w:rsidRDefault="003C5CBB" w:rsidP="003C5CBB">
      <w:pPr>
        <w:pStyle w:val="FootnoteText"/>
      </w:pPr>
      <w:r w:rsidRPr="003C5CBB">
        <w:rPr>
          <w:vertAlign w:val="superscript"/>
        </w:rPr>
        <w:footnoteRef/>
      </w:r>
      <w:r w:rsidRPr="003C5CBB">
        <w:t>Zerorez Franchising Sys., Inc. v. Distinctive Cleaning, Inc., 103 F. Supp. 3d 1032, 1047 (D. Minn. 2015).</w:t>
      </w:r>
    </w:p>
    <w:p w14:paraId="1EE9E1E7" w14:textId="77777777" w:rsidR="003C5CBB" w:rsidRDefault="003C5CBB" w:rsidP="00AF29FC">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C5"/>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4F2B"/>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5CBB"/>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BAE"/>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068"/>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2C5"/>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2C0"/>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066"/>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5D20"/>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9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634BAE"/>
    <w:pPr>
      <w:widowControl w:val="0"/>
      <w:spacing w:before="0" w:after="0"/>
      <w:ind w:firstLine="360"/>
    </w:pPr>
    <w:rPr>
      <w:kern w:val="0"/>
      <w:lang w:bidi="ar-SA"/>
    </w:rPr>
  </w:style>
  <w:style w:type="paragraph" w:customStyle="1" w:styleId="footnote">
    <w:name w:val="footnote"/>
    <w:basedOn w:val="text"/>
    <w:autoRedefine/>
    <w:uiPriority w:val="99"/>
    <w:qFormat/>
    <w:rsid w:val="00634BAE"/>
    <w:pPr>
      <w:tabs>
        <w:tab w:val="left" w:pos="-720"/>
        <w:tab w:val="left" w:pos="0"/>
        <w:tab w:val="left" w:pos="720"/>
        <w:tab w:val="left" w:pos="1440"/>
        <w:tab w:val="left" w:pos="2160"/>
        <w:tab w:val="left" w:pos="2880"/>
        <w:tab w:val="left" w:pos="3600"/>
        <w:tab w:val="left" w:pos="4320"/>
        <w:tab w:val="left" w:pos="5040"/>
        <w:tab w:val="left" w:pos="5760"/>
      </w:tabs>
    </w:pPr>
    <w:rPr>
      <w:sz w:val="20"/>
    </w:rPr>
  </w:style>
  <w:style w:type="paragraph" w:customStyle="1" w:styleId="blockquote">
    <w:name w:val="block quote"/>
    <w:basedOn w:val="Normal"/>
    <w:autoRedefine/>
    <w:qFormat/>
    <w:rsid w:val="00634BAE"/>
    <w:pPr>
      <w:spacing w:after="240"/>
      <w:ind w:left="720"/>
    </w:pPr>
    <w:rPr>
      <w:kern w:val="0"/>
      <w:sz w:val="20"/>
      <w:lang w:bidi="ar-SA"/>
    </w:rPr>
  </w:style>
  <w:style w:type="paragraph" w:customStyle="1" w:styleId="footnoteflush">
    <w:name w:val="footnote flush"/>
    <w:basedOn w:val="Normal"/>
    <w:uiPriority w:val="99"/>
    <w:rsid w:val="00634BAE"/>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634BAE"/>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634BAE"/>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634BAE"/>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634BAE"/>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634BAE"/>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634BAE"/>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634BAE"/>
    <w:pPr>
      <w:ind w:firstLine="0"/>
    </w:pPr>
  </w:style>
  <w:style w:type="paragraph" w:customStyle="1" w:styleId="blockquotewparaindent">
    <w:name w:val="block quote w/para indent"/>
    <w:basedOn w:val="Normal"/>
    <w:autoRedefine/>
    <w:uiPriority w:val="99"/>
    <w:qFormat/>
    <w:rsid w:val="00634BAE"/>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634BAE"/>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634BAE"/>
    <w:pPr>
      <w:widowControl w:val="0"/>
      <w:spacing w:after="240"/>
      <w:ind w:left="720"/>
    </w:pPr>
    <w:rPr>
      <w:kern w:val="0"/>
      <w:sz w:val="20"/>
      <w:lang w:bidi="ar-SA"/>
    </w:rPr>
  </w:style>
  <w:style w:type="paragraph" w:customStyle="1" w:styleId="bulletend">
    <w:name w:val="bullet end"/>
    <w:basedOn w:val="Normal"/>
    <w:autoRedefine/>
    <w:uiPriority w:val="99"/>
    <w:rsid w:val="00634BAE"/>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634BAE"/>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634BAE"/>
    <w:pPr>
      <w:ind w:firstLine="360"/>
    </w:pPr>
  </w:style>
  <w:style w:type="paragraph" w:customStyle="1" w:styleId="block-p--">
    <w:name w:val="block-p/-/-"/>
    <w:basedOn w:val="blockquoteparaindent-"/>
    <w:autoRedefine/>
    <w:uiPriority w:val="99"/>
    <w:rsid w:val="00634BAE"/>
    <w:pPr>
      <w:spacing w:after="0"/>
    </w:pPr>
  </w:style>
  <w:style w:type="paragraph" w:customStyle="1" w:styleId="footnoteparaindent">
    <w:name w:val="footnote para indent"/>
    <w:basedOn w:val="Normal"/>
    <w:autoRedefine/>
    <w:uiPriority w:val="99"/>
    <w:rsid w:val="00634BAE"/>
    <w:pPr>
      <w:spacing w:before="0" w:after="0"/>
      <w:ind w:firstLine="360"/>
      <w:jc w:val="both"/>
    </w:pPr>
    <w:rPr>
      <w:rFonts w:cstheme="minorBidi"/>
      <w:kern w:val="0"/>
      <w:sz w:val="20"/>
      <w:szCs w:val="16"/>
      <w:lang w:bidi="ar-SA"/>
    </w:rPr>
  </w:style>
  <w:style w:type="paragraph" w:customStyle="1" w:styleId="block-p-0">
    <w:name w:val="block-p/-/+"/>
    <w:basedOn w:val="Normal"/>
    <w:autoRedefine/>
    <w:qFormat/>
    <w:rsid w:val="00634BAE"/>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634BAE"/>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634BAE"/>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uiPriority w:val="99"/>
    <w:qFormat/>
    <w:rsid w:val="00634BAE"/>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634BAE"/>
    <w:pPr>
      <w:spacing w:before="120" w:after="0"/>
      <w:ind w:left="1440"/>
    </w:pPr>
    <w:rPr>
      <w:rFonts w:cstheme="minorBidi"/>
      <w:kern w:val="0"/>
      <w:sz w:val="20"/>
      <w:szCs w:val="22"/>
      <w:lang w:bidi="ar-SA"/>
    </w:rPr>
  </w:style>
  <w:style w:type="paragraph" w:customStyle="1" w:styleId="toc10">
    <w:name w:val="toc1"/>
    <w:basedOn w:val="text"/>
    <w:autoRedefine/>
    <w:uiPriority w:val="99"/>
    <w:rsid w:val="00634BAE"/>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634BAE"/>
    <w:pPr>
      <w:tabs>
        <w:tab w:val="clear" w:pos="480"/>
        <w:tab w:val="clear" w:pos="600"/>
        <w:tab w:val="left" w:pos="960"/>
      </w:tabs>
      <w:ind w:left="960" w:hanging="360"/>
    </w:pPr>
  </w:style>
  <w:style w:type="paragraph" w:customStyle="1" w:styleId="toc40">
    <w:name w:val="toc4"/>
    <w:basedOn w:val="Normal"/>
    <w:autoRedefine/>
    <w:uiPriority w:val="99"/>
    <w:rsid w:val="00634BAE"/>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634BAE"/>
    <w:pPr>
      <w:tabs>
        <w:tab w:val="clear" w:pos="960"/>
        <w:tab w:val="left" w:pos="1380"/>
        <w:tab w:val="left" w:pos="8900"/>
      </w:tabs>
      <w:ind w:left="1380" w:hanging="420"/>
    </w:pPr>
  </w:style>
  <w:style w:type="paragraph" w:customStyle="1" w:styleId="toc5">
    <w:name w:val="toc5"/>
    <w:basedOn w:val="toc40"/>
    <w:autoRedefine/>
    <w:uiPriority w:val="99"/>
    <w:rsid w:val="00634BAE"/>
    <w:pPr>
      <w:tabs>
        <w:tab w:val="clear" w:pos="1680"/>
        <w:tab w:val="right" w:pos="2040"/>
        <w:tab w:val="left" w:pos="2160"/>
      </w:tabs>
      <w:ind w:left="2160" w:hanging="480"/>
    </w:pPr>
  </w:style>
  <w:style w:type="paragraph" w:customStyle="1" w:styleId="toc7">
    <w:name w:val="toc7"/>
    <w:basedOn w:val="Normal"/>
    <w:autoRedefine/>
    <w:uiPriority w:val="99"/>
    <w:rsid w:val="00634BAE"/>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634BAE"/>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634BAE"/>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634BAE"/>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634BAE"/>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634BAE"/>
    <w:pPr>
      <w:spacing w:before="0" w:after="240"/>
    </w:pPr>
  </w:style>
  <w:style w:type="paragraph" w:customStyle="1" w:styleId="block3rdindent">
    <w:name w:val="block 3rd indent"/>
    <w:basedOn w:val="Normal"/>
    <w:autoRedefine/>
    <w:qFormat/>
    <w:rsid w:val="00634BAE"/>
    <w:pPr>
      <w:widowControl w:val="0"/>
      <w:spacing w:before="0"/>
      <w:ind w:left="2160"/>
    </w:pPr>
    <w:rPr>
      <w:kern w:val="0"/>
      <w:sz w:val="20"/>
      <w:lang w:bidi="ar-SA"/>
    </w:rPr>
  </w:style>
  <w:style w:type="paragraph" w:customStyle="1" w:styleId="numberlistplstart">
    <w:name w:val="number list pl start"/>
    <w:basedOn w:val="Normal"/>
    <w:autoRedefine/>
    <w:uiPriority w:val="99"/>
    <w:rsid w:val="00634BAE"/>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634BAE"/>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634BAE"/>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634BAE"/>
    <w:pPr>
      <w:tabs>
        <w:tab w:val="clear" w:pos="740"/>
        <w:tab w:val="left" w:pos="360"/>
      </w:tabs>
      <w:spacing w:before="0"/>
      <w:ind w:left="360"/>
    </w:pPr>
  </w:style>
  <w:style w:type="paragraph" w:customStyle="1" w:styleId="1stLevelHeadII">
    <w:name w:val="1st Level Head II."/>
    <w:basedOn w:val="Normal"/>
    <w:autoRedefine/>
    <w:uiPriority w:val="99"/>
    <w:rsid w:val="00634BAE"/>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634BAE"/>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634BAE"/>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634BAE"/>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634BAE"/>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634BAE"/>
    <w:pPr>
      <w:spacing w:before="0"/>
    </w:pPr>
  </w:style>
  <w:style w:type="paragraph" w:customStyle="1" w:styleId="2ndlevelheadnospace">
    <w:name w:val="2nd level head no space"/>
    <w:basedOn w:val="2ndlevelheadA"/>
    <w:uiPriority w:val="99"/>
    <w:rsid w:val="00634BAE"/>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634BAE"/>
    <w:pPr>
      <w:tabs>
        <w:tab w:val="clear" w:pos="840"/>
        <w:tab w:val="left" w:pos="480"/>
      </w:tabs>
      <w:spacing w:before="0"/>
    </w:pPr>
  </w:style>
  <w:style w:type="paragraph" w:customStyle="1" w:styleId="4thlevelheadnospace">
    <w:name w:val="4th level head no space"/>
    <w:basedOn w:val="4thlevelheada"/>
    <w:uiPriority w:val="99"/>
    <w:rsid w:val="00634BAE"/>
    <w:pPr>
      <w:spacing w:before="0"/>
      <w:ind w:left="701"/>
    </w:pPr>
    <w:rPr>
      <w:szCs w:val="24"/>
    </w:rPr>
  </w:style>
  <w:style w:type="paragraph" w:customStyle="1" w:styleId="bulletlist">
    <w:name w:val="bullet list"/>
    <w:basedOn w:val="Normal"/>
    <w:qFormat/>
    <w:rsid w:val="00634BAE"/>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634BAE"/>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634BAE"/>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634BAE"/>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634BAE"/>
    <w:pPr>
      <w:spacing w:before="120"/>
      <w:ind w:firstLine="439"/>
      <w:jc w:val="both"/>
    </w:pPr>
  </w:style>
  <w:style w:type="paragraph" w:customStyle="1" w:styleId="5thlevelhead1">
    <w:name w:val="5th level head (1)"/>
    <w:basedOn w:val="Normal"/>
    <w:autoRedefine/>
    <w:uiPriority w:val="99"/>
    <w:rsid w:val="00634BAE"/>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634BAE"/>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634BAE"/>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634BAE"/>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634BAE"/>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634BAE"/>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634BAE"/>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634BAE"/>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634BAE"/>
    <w:pPr>
      <w:spacing w:before="0"/>
    </w:pPr>
    <w:rPr>
      <w:rFonts w:cs="ITC New Baskerville Std"/>
    </w:rPr>
  </w:style>
  <w:style w:type="paragraph" w:customStyle="1" w:styleId="2ndLevelHeadA0">
    <w:name w:val="2nd Level Head A."/>
    <w:basedOn w:val="Normal"/>
    <w:autoRedefine/>
    <w:uiPriority w:val="99"/>
    <w:rsid w:val="00634BAE"/>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634BAE"/>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634BAE"/>
    <w:pPr>
      <w:autoSpaceDE w:val="0"/>
      <w:autoSpaceDN w:val="0"/>
      <w:adjustRightInd w:val="0"/>
      <w:spacing w:before="120" w:after="12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634BAE"/>
    <w:pPr>
      <w:ind w:firstLine="240"/>
    </w:pPr>
  </w:style>
  <w:style w:type="paragraph" w:customStyle="1" w:styleId="bulletliststart">
    <w:name w:val="bullet list start"/>
    <w:basedOn w:val="Normal"/>
    <w:autoRedefine/>
    <w:uiPriority w:val="99"/>
    <w:qFormat/>
    <w:rsid w:val="00634BAE"/>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634BAE"/>
    <w:pPr>
      <w:spacing w:after="240"/>
    </w:pPr>
  </w:style>
  <w:style w:type="paragraph" w:customStyle="1" w:styleId="1stLevelHeadI">
    <w:name w:val="1st Level Head I."/>
    <w:basedOn w:val="Normal"/>
    <w:autoRedefine/>
    <w:uiPriority w:val="99"/>
    <w:rsid w:val="00634BAE"/>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634BAE"/>
    <w:pPr>
      <w:spacing w:before="0" w:after="120" w:line="240" w:lineRule="atLeast"/>
    </w:pPr>
    <w:rPr>
      <w:rFonts w:cs="Times New Roman"/>
      <w:bCs w:val="0"/>
    </w:rPr>
  </w:style>
  <w:style w:type="paragraph" w:customStyle="1" w:styleId="4thHeadfrom3">
    <w:name w:val="4th Head from 3"/>
    <w:basedOn w:val="4thLevelHeada0"/>
    <w:autoRedefine/>
    <w:uiPriority w:val="99"/>
    <w:rsid w:val="00634BAE"/>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634BAE"/>
    <w:pPr>
      <w:autoSpaceDE w:val="0"/>
      <w:autoSpaceDN w:val="0"/>
      <w:adjustRightInd w:val="0"/>
      <w:spacing w:before="120" w:after="120"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634BAE"/>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634BAE"/>
    <w:pPr>
      <w:tabs>
        <w:tab w:val="clear" w:pos="800"/>
        <w:tab w:val="left" w:pos="1240"/>
      </w:tabs>
      <w:spacing w:before="120"/>
      <w:ind w:left="1240"/>
    </w:pPr>
  </w:style>
  <w:style w:type="paragraph" w:customStyle="1" w:styleId="5thHeadfrom4">
    <w:name w:val="5th Head from 4"/>
    <w:basedOn w:val="5thLevelHead"/>
    <w:autoRedefine/>
    <w:uiPriority w:val="99"/>
    <w:rsid w:val="00634BAE"/>
    <w:pPr>
      <w:spacing w:before="0"/>
    </w:pPr>
  </w:style>
  <w:style w:type="paragraph" w:customStyle="1" w:styleId="4thLevela">
    <w:name w:val="4th Level a."/>
    <w:basedOn w:val="Normal"/>
    <w:autoRedefine/>
    <w:uiPriority w:val="99"/>
    <w:rsid w:val="00634BAE"/>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634BAE"/>
    <w:pPr>
      <w:spacing w:before="0" w:after="180" w:line="250" w:lineRule="atLeast"/>
    </w:pPr>
    <w:rPr>
      <w:rFonts w:cs="Times LT Std"/>
      <w:szCs w:val="23"/>
    </w:rPr>
  </w:style>
  <w:style w:type="paragraph" w:customStyle="1" w:styleId="numberliststart0">
    <w:name w:val="number list start"/>
    <w:basedOn w:val="Normal"/>
    <w:autoRedefine/>
    <w:qFormat/>
    <w:rsid w:val="00634BAE"/>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634BAE"/>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634BAE"/>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634BAE"/>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634BAE"/>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634BAE"/>
    <w:pPr>
      <w:widowControl w:val="0"/>
      <w:spacing w:after="240"/>
      <w:ind w:left="720"/>
    </w:pPr>
    <w:rPr>
      <w:kern w:val="0"/>
      <w:sz w:val="20"/>
      <w:lang w:bidi="ar-SA"/>
    </w:rPr>
  </w:style>
  <w:style w:type="paragraph" w:customStyle="1" w:styleId="Level21">
    <w:name w:val="Level 2 / 1"/>
    <w:basedOn w:val="Normal"/>
    <w:autoRedefine/>
    <w:uiPriority w:val="99"/>
    <w:rsid w:val="00634BAE"/>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634BAE"/>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634BAE"/>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634BAE"/>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634BAE"/>
    <w:pPr>
      <w:spacing w:before="0"/>
    </w:pPr>
  </w:style>
  <w:style w:type="paragraph" w:customStyle="1" w:styleId="Blockquotenospacebelow">
    <w:name w:val="Block quote (no space below)"/>
    <w:basedOn w:val="Blockquote0"/>
    <w:autoRedefine/>
    <w:uiPriority w:val="99"/>
    <w:rsid w:val="00634BAE"/>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634BAE"/>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634BAE"/>
    <w:pPr>
      <w:tabs>
        <w:tab w:val="clear" w:pos="840"/>
        <w:tab w:val="left" w:pos="480"/>
      </w:tabs>
      <w:spacing w:before="0" w:after="240"/>
      <w:ind w:left="960" w:hanging="480"/>
    </w:pPr>
  </w:style>
  <w:style w:type="paragraph" w:customStyle="1" w:styleId="Numberlist0">
    <w:name w:val="Number list"/>
    <w:basedOn w:val="Numberliststop"/>
    <w:autoRedefine/>
    <w:qFormat/>
    <w:rsid w:val="00634BAE"/>
    <w:pPr>
      <w:spacing w:after="0"/>
    </w:pPr>
  </w:style>
  <w:style w:type="paragraph" w:customStyle="1" w:styleId="Level43">
    <w:name w:val="Level 4/3"/>
    <w:basedOn w:val="Level4Heada"/>
    <w:autoRedefine/>
    <w:uiPriority w:val="99"/>
    <w:rsid w:val="00634BAE"/>
    <w:pPr>
      <w:spacing w:before="0"/>
    </w:pPr>
  </w:style>
  <w:style w:type="paragraph" w:customStyle="1" w:styleId="Level5Head1">
    <w:name w:val="Level 5 Head (1)"/>
    <w:basedOn w:val="Level43"/>
    <w:autoRedefine/>
    <w:uiPriority w:val="99"/>
    <w:rsid w:val="00634BAE"/>
    <w:pPr>
      <w:spacing w:before="240" w:line="240" w:lineRule="auto"/>
      <w:ind w:left="919" w:hanging="480"/>
    </w:pPr>
  </w:style>
  <w:style w:type="paragraph" w:customStyle="1" w:styleId="Level3Head">
    <w:name w:val="Level 3 Head"/>
    <w:basedOn w:val="text"/>
    <w:autoRedefine/>
    <w:qFormat/>
    <w:rsid w:val="00634BAE"/>
  </w:style>
  <w:style w:type="paragraph" w:customStyle="1" w:styleId="bullet-dash">
    <w:name w:val="bullet-dash"/>
    <w:basedOn w:val="Normal"/>
    <w:autoRedefine/>
    <w:qFormat/>
    <w:rsid w:val="00634BAE"/>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634BAE"/>
    <w:pPr>
      <w:ind w:left="1440"/>
    </w:pPr>
  </w:style>
  <w:style w:type="paragraph" w:customStyle="1" w:styleId="2ndLevelheadfrom1">
    <w:name w:val="2nd Level head_from 1"/>
    <w:basedOn w:val="2ndLevelHeadA0"/>
    <w:autoRedefine/>
    <w:uiPriority w:val="99"/>
    <w:rsid w:val="00634BAE"/>
    <w:pPr>
      <w:spacing w:before="0" w:line="240" w:lineRule="atLeast"/>
    </w:pPr>
    <w:rPr>
      <w:rFonts w:cs="Times LT Std"/>
      <w:iCs w:val="0"/>
      <w:szCs w:val="22"/>
    </w:rPr>
  </w:style>
  <w:style w:type="paragraph" w:customStyle="1" w:styleId="1stlevelheadI0">
    <w:name w:val="1st level head I."/>
    <w:basedOn w:val="Normal"/>
    <w:autoRedefine/>
    <w:uiPriority w:val="99"/>
    <w:rsid w:val="00634BAE"/>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634BAE"/>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634BAE"/>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634BAE"/>
    <w:pPr>
      <w:ind w:left="1200"/>
    </w:pPr>
  </w:style>
  <w:style w:type="paragraph" w:customStyle="1" w:styleId="BasicParagraph">
    <w:name w:val="[Basic Paragraph]"/>
    <w:basedOn w:val="NoParagraphStyle"/>
    <w:uiPriority w:val="99"/>
    <w:rsid w:val="00634BAE"/>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634BAE"/>
    <w:pPr>
      <w:suppressAutoHyphens/>
      <w:spacing w:after="240" w:line="560" w:lineRule="atLeast"/>
    </w:pPr>
    <w:rPr>
      <w:b/>
      <w:bCs/>
      <w:sz w:val="56"/>
      <w:szCs w:val="56"/>
    </w:rPr>
  </w:style>
  <w:style w:type="paragraph" w:customStyle="1" w:styleId="chaptertitle">
    <w:name w:val="chapter title"/>
    <w:basedOn w:val="BasicParagraph"/>
    <w:uiPriority w:val="99"/>
    <w:rsid w:val="00634BAE"/>
    <w:pPr>
      <w:suppressAutoHyphens/>
      <w:spacing w:after="240" w:line="440" w:lineRule="atLeast"/>
    </w:pPr>
    <w:rPr>
      <w:sz w:val="40"/>
      <w:szCs w:val="40"/>
    </w:rPr>
  </w:style>
  <w:style w:type="paragraph" w:customStyle="1" w:styleId="blockflush-">
    <w:name w:val="block flush -/+"/>
    <w:basedOn w:val="Blockquoteflush"/>
    <w:uiPriority w:val="99"/>
    <w:rsid w:val="00634BAE"/>
    <w:pPr>
      <w:autoSpaceDE w:val="0"/>
      <w:autoSpaceDN w:val="0"/>
      <w:adjustRightInd w:val="0"/>
      <w:spacing w:before="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nl">
    <w:name w:val="block-nl"/>
    <w:basedOn w:val="blockflush-"/>
    <w:uiPriority w:val="99"/>
    <w:rsid w:val="00634BAE"/>
    <w:pPr>
      <w:tabs>
        <w:tab w:val="left" w:pos="860"/>
      </w:tabs>
      <w:spacing w:after="0"/>
      <w:ind w:left="860" w:hanging="420"/>
    </w:pPr>
  </w:style>
  <w:style w:type="paragraph" w:customStyle="1" w:styleId="blockquotenospace">
    <w:name w:val="block quote no space"/>
    <w:basedOn w:val="block-p--"/>
    <w:uiPriority w:val="99"/>
    <w:rsid w:val="00634BAE"/>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634BAE"/>
    <w:rPr>
      <w:vertAlign w:val="superscript"/>
    </w:rPr>
  </w:style>
  <w:style w:type="paragraph" w:customStyle="1" w:styleId="block-p1">
    <w:name w:val="block-p +/+"/>
    <w:basedOn w:val="Normal"/>
    <w:autoRedefine/>
    <w:uiPriority w:val="99"/>
    <w:qFormat/>
    <w:rsid w:val="00634BAE"/>
    <w:pPr>
      <w:spacing w:after="240"/>
      <w:ind w:left="720" w:firstLine="720"/>
    </w:pPr>
    <w:rPr>
      <w:rFonts w:eastAsiaTheme="minorEastAsia"/>
      <w:kern w:val="0"/>
      <w:sz w:val="20"/>
      <w:szCs w:val="22"/>
      <w:lang w:bidi="ar-SA"/>
    </w:rPr>
  </w:style>
  <w:style w:type="paragraph" w:customStyle="1" w:styleId="ChapterNum">
    <w:name w:val="ChapterNum"/>
    <w:basedOn w:val="Normal"/>
    <w:link w:val="ChapterNumChar"/>
    <w:rsid w:val="00634BAE"/>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634BAE"/>
    <w:rPr>
      <w:rFonts w:eastAsia="Times New Roman"/>
      <w:kern w:val="0"/>
      <w:sz w:val="56"/>
      <w:szCs w:val="56"/>
      <w:lang w:bidi="ar-SA"/>
    </w:rPr>
  </w:style>
  <w:style w:type="character" w:styleId="UnresolvedMention">
    <w:name w:val="Unresolved Mention"/>
    <w:basedOn w:val="DefaultParagraphFont"/>
    <w:uiPriority w:val="99"/>
    <w:semiHidden/>
    <w:unhideWhenUsed/>
    <w:rsid w:val="0063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oomberglaw.com/product/blaw/document/X1Q6MB72RGO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D24D06-033E-4401-A948-F8874C735FA0}"/>
      </w:docPartPr>
      <w:docPartBody>
        <w:p w:rsidR="00BD77B3" w:rsidRDefault="00BD77B3">
          <w:r w:rsidRPr="007E4A7E">
            <w:rPr>
              <w:rStyle w:val="PlaceholderText"/>
            </w:rPr>
            <w:t>Click or tap here to enter text.</w:t>
          </w:r>
        </w:p>
      </w:docPartBody>
    </w:docPart>
    <w:docPart>
      <w:docPartPr>
        <w:name w:val="F5F05FB031324C1F97FA756C61FD882C"/>
        <w:category>
          <w:name w:val="General"/>
          <w:gallery w:val="placeholder"/>
        </w:category>
        <w:types>
          <w:type w:val="bbPlcHdr"/>
        </w:types>
        <w:behaviors>
          <w:behavior w:val="content"/>
        </w:behaviors>
        <w:guid w:val="{9125BC63-E483-4645-8E04-886320CACC8E}"/>
      </w:docPartPr>
      <w:docPartBody>
        <w:p w:rsidR="00BD77B3" w:rsidRDefault="00BD77B3">
          <w:r w:rsidRPr="007E4A7E">
            <w:rPr>
              <w:rStyle w:val="PlaceholderText"/>
            </w:rPr>
            <w:t>Unit.Start</w:t>
          </w:r>
        </w:p>
      </w:docPartBody>
    </w:docPart>
    <w:docPart>
      <w:docPartPr>
        <w:name w:val="0A8673CC332B432182C98FC58E2327A0"/>
        <w:category>
          <w:name w:val="General"/>
          <w:gallery w:val="placeholder"/>
        </w:category>
        <w:types>
          <w:type w:val="bbPlcHdr"/>
        </w:types>
        <w:behaviors>
          <w:behavior w:val="content"/>
        </w:behaviors>
        <w:guid w:val="{18412F81-2894-4B34-BE10-0539082C1419}"/>
      </w:docPartPr>
      <w:docPartBody>
        <w:p w:rsidR="00BD77B3" w:rsidRDefault="00BD77B3">
          <w:r w:rsidRPr="007E4A7E">
            <w:rPr>
              <w:rStyle w:val="PlaceholderText"/>
            </w:rPr>
            <w:t>Document</w:t>
          </w:r>
        </w:p>
      </w:docPartBody>
    </w:docPart>
    <w:docPart>
      <w:docPartPr>
        <w:name w:val="F7EA3D5F3EBF4985A365D24A37535E19"/>
        <w:category>
          <w:name w:val="General"/>
          <w:gallery w:val="placeholder"/>
        </w:category>
        <w:types>
          <w:type w:val="bbPlcHdr"/>
        </w:types>
        <w:behaviors>
          <w:behavior w:val="content"/>
        </w:behaviors>
        <w:guid w:val="{0053E26E-3038-4BBD-BE06-6285CC1E22C1}"/>
      </w:docPartPr>
      <w:docPartBody>
        <w:p w:rsidR="00BD77B3" w:rsidRDefault="00BD77B3">
          <w:r w:rsidRPr="007E4A7E">
            <w:rPr>
              <w:rStyle w:val="PlaceholderText"/>
            </w:rPr>
            <w:t>enter text</w:t>
          </w:r>
        </w:p>
      </w:docPartBody>
    </w:docPart>
    <w:docPart>
      <w:docPartPr>
        <w:name w:val="8DC2000D82CE447FA9D5303DBF06C87B"/>
        <w:category>
          <w:name w:val="General"/>
          <w:gallery w:val="placeholder"/>
        </w:category>
        <w:types>
          <w:type w:val="bbPlcHdr"/>
        </w:types>
        <w:behaviors>
          <w:behavior w:val="content"/>
        </w:behaviors>
        <w:guid w:val="{F7E2BD2E-F6E5-4256-95B3-D536A764F0E6}"/>
      </w:docPartPr>
      <w:docPartBody>
        <w:p w:rsidR="00BD77B3" w:rsidRDefault="00BD77B3">
          <w:r w:rsidRPr="007E4A7E">
            <w:rPr>
              <w:rStyle w:val="PlaceholderText"/>
            </w:rPr>
            <w:t>enter text</w:t>
          </w:r>
        </w:p>
      </w:docPartBody>
    </w:docPart>
    <w:docPart>
      <w:docPartPr>
        <w:name w:val="5762314B17A045B6B5ED92286AE04848"/>
        <w:category>
          <w:name w:val="General"/>
          <w:gallery w:val="placeholder"/>
        </w:category>
        <w:types>
          <w:type w:val="bbPlcHdr"/>
        </w:types>
        <w:behaviors>
          <w:behavior w:val="content"/>
        </w:behaviors>
        <w:guid w:val="{A165DC2C-B3BC-4532-BABE-C4DCD6254716}"/>
      </w:docPartPr>
      <w:docPartBody>
        <w:p w:rsidR="00BD77B3" w:rsidRDefault="00BD77B3">
          <w:r w:rsidRPr="007E4A7E">
            <w:rPr>
              <w:rStyle w:val="PlaceholderText"/>
            </w:rPr>
            <w:t>enter REQUIRED text</w:t>
          </w:r>
        </w:p>
      </w:docPartBody>
    </w:docPart>
    <w:docPart>
      <w:docPartPr>
        <w:name w:val="7C0673686D0F48BF9B989BDC7AC9E753"/>
        <w:category>
          <w:name w:val="General"/>
          <w:gallery w:val="placeholder"/>
        </w:category>
        <w:types>
          <w:type w:val="bbPlcHdr"/>
        </w:types>
        <w:behaviors>
          <w:behavior w:val="content"/>
        </w:behaviors>
        <w:guid w:val="{C40773C4-9448-425D-8373-312059312952}"/>
      </w:docPartPr>
      <w:docPartBody>
        <w:p w:rsidR="00BD77B3" w:rsidRDefault="00BD77B3">
          <w:r w:rsidRPr="007E4A7E">
            <w:rPr>
              <w:rStyle w:val="PlaceholderText"/>
            </w:rPr>
            <w:t>enter REQUIRED text</w:t>
          </w:r>
        </w:p>
      </w:docPartBody>
    </w:docPart>
    <w:docPart>
      <w:docPartPr>
        <w:name w:val="F855EC82FA104837AF9AB76647B55AFD"/>
        <w:category>
          <w:name w:val="General"/>
          <w:gallery w:val="placeholder"/>
        </w:category>
        <w:types>
          <w:type w:val="bbPlcHdr"/>
        </w:types>
        <w:behaviors>
          <w:behavior w:val="content"/>
        </w:behaviors>
        <w:guid w:val="{FD94A6F8-461C-4C62-9EF6-D9E686981603}"/>
      </w:docPartPr>
      <w:docPartBody>
        <w:p w:rsidR="00BD77B3" w:rsidRDefault="00BD77B3">
          <w:r w:rsidRPr="007E4A7E">
            <w:rPr>
              <w:rStyle w:val="PlaceholderText"/>
            </w:rPr>
            <w:t>enter text</w:t>
          </w:r>
        </w:p>
      </w:docPartBody>
    </w:docPart>
    <w:docPart>
      <w:docPartPr>
        <w:name w:val="4396D7D684EA41ED8974838AF61AAE14"/>
        <w:category>
          <w:name w:val="General"/>
          <w:gallery w:val="placeholder"/>
        </w:category>
        <w:types>
          <w:type w:val="bbPlcHdr"/>
        </w:types>
        <w:behaviors>
          <w:behavior w:val="content"/>
        </w:behaviors>
        <w:guid w:val="{A83E813D-C741-4B99-9794-DBDEA02C3541}"/>
      </w:docPartPr>
      <w:docPartBody>
        <w:p w:rsidR="00BD77B3" w:rsidRDefault="00BD77B3">
          <w:r w:rsidRPr="007E4A7E">
            <w:rPr>
              <w:rStyle w:val="PlaceholderText"/>
            </w:rPr>
            <w:t>enter text</w:t>
          </w:r>
        </w:p>
      </w:docPartBody>
    </w:docPart>
    <w:docPart>
      <w:docPartPr>
        <w:name w:val="3B445C9A0F63450CBB47CD7FD8249240"/>
        <w:category>
          <w:name w:val="General"/>
          <w:gallery w:val="placeholder"/>
        </w:category>
        <w:types>
          <w:type w:val="bbPlcHdr"/>
        </w:types>
        <w:behaviors>
          <w:behavior w:val="content"/>
        </w:behaviors>
        <w:guid w:val="{93D2870A-631B-498B-AB41-9CBEE1C14492}"/>
      </w:docPartPr>
      <w:docPartBody>
        <w:p w:rsidR="00BD77B3" w:rsidRDefault="00BD77B3">
          <w:r w:rsidRPr="007E4A7E">
            <w:rPr>
              <w:rStyle w:val="PlaceholderText"/>
            </w:rPr>
            <w:t>enter text</w:t>
          </w:r>
        </w:p>
      </w:docPartBody>
    </w:docPart>
    <w:docPart>
      <w:docPartPr>
        <w:name w:val="47044BA6D57B4380A7E83195046BD1F6"/>
        <w:category>
          <w:name w:val="General"/>
          <w:gallery w:val="placeholder"/>
        </w:category>
        <w:types>
          <w:type w:val="bbPlcHdr"/>
        </w:types>
        <w:behaviors>
          <w:behavior w:val="content"/>
        </w:behaviors>
        <w:guid w:val="{23D7A9E7-C4F5-4F15-A5F6-FB50E21DE9FD}"/>
      </w:docPartPr>
      <w:docPartBody>
        <w:p w:rsidR="00BD77B3" w:rsidRDefault="00BD77B3">
          <w:r w:rsidRPr="007E4A7E">
            <w:rPr>
              <w:rStyle w:val="PlaceholderText"/>
            </w:rPr>
            <w:t>enter text</w:t>
          </w:r>
        </w:p>
      </w:docPartBody>
    </w:docPart>
    <w:docPart>
      <w:docPartPr>
        <w:name w:val="77D3427F08DB4417B945BB01211B6540"/>
        <w:category>
          <w:name w:val="General"/>
          <w:gallery w:val="placeholder"/>
        </w:category>
        <w:types>
          <w:type w:val="bbPlcHdr"/>
        </w:types>
        <w:behaviors>
          <w:behavior w:val="content"/>
        </w:behaviors>
        <w:guid w:val="{D56E0EE8-95D7-40A5-B90A-531A9013777C}"/>
      </w:docPartPr>
      <w:docPartBody>
        <w:p w:rsidR="00BD77B3" w:rsidRDefault="00BD77B3">
          <w:r w:rsidRPr="007E4A7E">
            <w:rPr>
              <w:rStyle w:val="PlaceholderText"/>
            </w:rPr>
            <w:t>enter text</w:t>
          </w:r>
        </w:p>
      </w:docPartBody>
    </w:docPart>
    <w:docPart>
      <w:docPartPr>
        <w:name w:val="A20DCA04B81C498D88DF9930E00C4B77"/>
        <w:category>
          <w:name w:val="General"/>
          <w:gallery w:val="placeholder"/>
        </w:category>
        <w:types>
          <w:type w:val="bbPlcHdr"/>
        </w:types>
        <w:behaviors>
          <w:behavior w:val="content"/>
        </w:behaviors>
        <w:guid w:val="{E1F9C9F5-7B60-4593-AFD2-96524817D948}"/>
      </w:docPartPr>
      <w:docPartBody>
        <w:p w:rsidR="00BD77B3" w:rsidRDefault="00BD77B3">
          <w:r w:rsidRPr="007E4A7E">
            <w:rPr>
              <w:rStyle w:val="PlaceholderText"/>
            </w:rPr>
            <w:t>enter text</w:t>
          </w:r>
        </w:p>
      </w:docPartBody>
    </w:docPart>
    <w:docPart>
      <w:docPartPr>
        <w:name w:val="E28EC9B6EAF241EF9AF6B235AAD8479B"/>
        <w:category>
          <w:name w:val="General"/>
          <w:gallery w:val="placeholder"/>
        </w:category>
        <w:types>
          <w:type w:val="bbPlcHdr"/>
        </w:types>
        <w:behaviors>
          <w:behavior w:val="content"/>
        </w:behaviors>
        <w:guid w:val="{1E83C192-AB66-4C67-9338-80E198166792}"/>
      </w:docPartPr>
      <w:docPartBody>
        <w:p w:rsidR="00BD77B3" w:rsidRDefault="00BD77B3">
          <w:r w:rsidRPr="007E4A7E">
            <w:rPr>
              <w:rStyle w:val="PlaceholderText"/>
            </w:rPr>
            <w:t>enter text</w:t>
          </w:r>
        </w:p>
      </w:docPartBody>
    </w:docPart>
    <w:docPart>
      <w:docPartPr>
        <w:name w:val="A615BD327359406983F3AC766ABF9DA0"/>
        <w:category>
          <w:name w:val="General"/>
          <w:gallery w:val="placeholder"/>
        </w:category>
        <w:types>
          <w:type w:val="bbPlcHdr"/>
        </w:types>
        <w:behaviors>
          <w:behavior w:val="content"/>
        </w:behaviors>
        <w:guid w:val="{9D5AD03E-2397-4E51-BC8A-8D8862CE588A}"/>
      </w:docPartPr>
      <w:docPartBody>
        <w:p w:rsidR="00BD77B3" w:rsidRDefault="00BD77B3">
          <w:r w:rsidRPr="007E4A7E">
            <w:rPr>
              <w:rStyle w:val="PlaceholderText"/>
            </w:rPr>
            <w:t>enter text</w:t>
          </w:r>
        </w:p>
      </w:docPartBody>
    </w:docPart>
    <w:docPart>
      <w:docPartPr>
        <w:name w:val="DECBBB20A9DF4BF4AB83AB521174B02A"/>
        <w:category>
          <w:name w:val="General"/>
          <w:gallery w:val="placeholder"/>
        </w:category>
        <w:types>
          <w:type w:val="bbPlcHdr"/>
        </w:types>
        <w:behaviors>
          <w:behavior w:val="content"/>
        </w:behaviors>
        <w:guid w:val="{F797B59F-B064-42E0-B0BD-DBC69E7A7740}"/>
      </w:docPartPr>
      <w:docPartBody>
        <w:p w:rsidR="00BD77B3" w:rsidRDefault="00BD77B3">
          <w:r w:rsidRPr="007E4A7E">
            <w:rPr>
              <w:rStyle w:val="PlaceholderText"/>
            </w:rPr>
            <w:t>choose an item (REQUIRED)</w:t>
          </w:r>
        </w:p>
      </w:docPartBody>
    </w:docPart>
    <w:docPart>
      <w:docPartPr>
        <w:name w:val="4F4E87500A9441159640B48FB8F6EADA"/>
        <w:category>
          <w:name w:val="General"/>
          <w:gallery w:val="placeholder"/>
        </w:category>
        <w:types>
          <w:type w:val="bbPlcHdr"/>
        </w:types>
        <w:behaviors>
          <w:behavior w:val="content"/>
        </w:behaviors>
        <w:guid w:val="{714ED526-C81A-4394-BEDA-C3A180AFEA1B}"/>
      </w:docPartPr>
      <w:docPartBody>
        <w:p w:rsidR="00BD77B3" w:rsidRDefault="00BD77B3">
          <w:r w:rsidRPr="007E4A7E">
            <w:rPr>
              <w:rStyle w:val="PlaceholderText"/>
            </w:rPr>
            <w:t>enter text</w:t>
          </w:r>
        </w:p>
      </w:docPartBody>
    </w:docPart>
    <w:docPart>
      <w:docPartPr>
        <w:name w:val="2B6EEEC2EF65472FB6AF500F3130FDA4"/>
        <w:category>
          <w:name w:val="General"/>
          <w:gallery w:val="placeholder"/>
        </w:category>
        <w:types>
          <w:type w:val="bbPlcHdr"/>
        </w:types>
        <w:behaviors>
          <w:behavior w:val="content"/>
        </w:behaviors>
        <w:guid w:val="{46D2C198-4FDE-49C4-BA9F-6B4FE7ABA054}"/>
      </w:docPartPr>
      <w:docPartBody>
        <w:p w:rsidR="00BD77B3" w:rsidRDefault="00BD77B3">
          <w:r w:rsidRPr="007E4A7E">
            <w:rPr>
              <w:rStyle w:val="PlaceholderText"/>
            </w:rPr>
            <w:t>enter text</w:t>
          </w:r>
        </w:p>
      </w:docPartBody>
    </w:docPart>
    <w:docPart>
      <w:docPartPr>
        <w:name w:val="88E99134EF2E4B19A1AAEBA51CE19B00"/>
        <w:category>
          <w:name w:val="General"/>
          <w:gallery w:val="placeholder"/>
        </w:category>
        <w:types>
          <w:type w:val="bbPlcHdr"/>
        </w:types>
        <w:behaviors>
          <w:behavior w:val="content"/>
        </w:behaviors>
        <w:guid w:val="{1578133F-AD41-4B74-BCDF-0BC4967A69BE}"/>
      </w:docPartPr>
      <w:docPartBody>
        <w:p w:rsidR="00BD77B3" w:rsidRDefault="00BD77B3">
          <w:r w:rsidRPr="007E4A7E">
            <w:rPr>
              <w:rStyle w:val="PlaceholderText"/>
            </w:rPr>
            <w:t>enter REQUIRED text</w:t>
          </w:r>
        </w:p>
      </w:docPartBody>
    </w:docPart>
    <w:docPart>
      <w:docPartPr>
        <w:name w:val="6B48B39BF5A44E6D805F4D38159922E7"/>
        <w:category>
          <w:name w:val="General"/>
          <w:gallery w:val="placeholder"/>
        </w:category>
        <w:types>
          <w:type w:val="bbPlcHdr"/>
        </w:types>
        <w:behaviors>
          <w:behavior w:val="content"/>
        </w:behaviors>
        <w:guid w:val="{2A593D43-50F0-4004-8471-DAAF171B4706}"/>
      </w:docPartPr>
      <w:docPartBody>
        <w:p w:rsidR="00BD77B3" w:rsidRDefault="00BD77B3">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auto"/>
    <w:pitch w:val="variable"/>
    <w:sig w:usb0="E00002FF" w:usb1="5000205A" w:usb2="0000000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B3"/>
    <w:rsid w:val="00214F2B"/>
    <w:rsid w:val="006058B2"/>
    <w:rsid w:val="00BD77B3"/>
    <w:rsid w:val="00C2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7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ns0:tables xmlns:ns0="http://www.bna.com/gateway/conversion.options" tag="smart"/>
</conversion.option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document xmlns="http://www.bna.com/gateway/unit.start">
  <ns0:unit.start xmlns:ns0="http://www.bna.com/gateway/unit.start" copyright.owner="enter text" subpart.name="enter text" unit.code="main0008" unit.name="Chapter 8. The Requirement of a Famous Mark Under Federal Dilution Law" folio="261" class.code="A" class.name="Book Body" bna.id.prefix="8" pdm.name="Chap08" part.num="2" part.name="Part II. Federal Dilution Law" publication.name="Trademark Dilution - Federal, State, and International Law, Second Edition" acct.code="TD2M20" date="2025-09-25" supplement="0" volume.num="1" service.code="td-book"/>
</document>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438364F0-8022-49DD-ACD0-F4F06AB21D4B}">
  <ds:schemaRefs>
    <ds:schemaRef ds:uri="BookServiceCodes"/>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82</Pages>
  <Words>25482</Words>
  <Characters>132081</Characters>
  <Application>Microsoft Office Word</Application>
  <DocSecurity>0</DocSecurity>
  <Lines>1100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2025-09-25T20:44:00Z</dcterms:created>
  <dcterms:modified xsi:type="dcterms:W3CDTF">2025-09-30T18:06:00Z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