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1184" w14:textId="77777777" w:rsidR="00D54E09" w:rsidRPr="00D54E09" w:rsidRDefault="00D54E09" w:rsidP="00A82526">
      <w:pPr>
        <w:pStyle w:val="BDocStart"/>
      </w:pPr>
      <w:sdt>
        <w:sdtPr>
          <w:tag w:val="unit.start.head"/>
          <w:id w:val="1545323947"/>
          <w:lock w:val="sdtLocked"/>
          <w:placeholder>
            <w:docPart w:val="7E39B9B38F73424787BBF18B83328AE3"/>
          </w:placeholder>
          <w15:appearance w15:val="hidden"/>
        </w:sdtPr>
        <w:sdtEndPr/>
        <w:sdtContent>
          <w:proofErr w:type="spellStart"/>
          <w:r w:rsidR="00A82526">
            <w:t>Unit.Start</w:t>
          </w:r>
          <w:proofErr w:type="spellEnd"/>
        </w:sdtContent>
      </w:sdt>
    </w:p>
    <w:sdt>
      <w:sdtPr>
        <w:rPr>
          <w:rStyle w:val="BContentControl"/>
        </w:rPr>
        <w:alias w:val="unit.start"/>
        <w:tag w:val="Unit1"/>
        <w:id w:val="-913852663"/>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7B169503" w14:textId="167FD736" w:rsidR="00D54E09" w:rsidRPr="00D54E09" w:rsidRDefault="00D54E09" w:rsidP="00A82526">
          <w:pPr>
            <w:pStyle w:val="BNormal"/>
          </w:pPr>
          <w:sdt>
            <w:sdtPr>
              <w:rPr>
                <w:rStyle w:val="BContentControl"/>
              </w:rPr>
              <w:alias w:val="acct.code"/>
              <w:tag w:val="acct.code"/>
              <w:id w:val="955919114"/>
              <w:lock w:val="sdtLocked"/>
              <w:placeholder>
                <w:docPart w:val="CE2F979B719447539DF02A2D3802666E"/>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A82526">
                <w:rPr>
                  <w:rStyle w:val="BContentControl"/>
                </w:rPr>
                <w:t>TD2M20</w:t>
              </w:r>
            </w:sdtContent>
          </w:sdt>
          <w:sdt>
            <w:sdtPr>
              <w:rPr>
                <w:rStyle w:val="BContentControl"/>
              </w:rPr>
              <w:alias w:val="bna.id.prefix"/>
              <w:tag w:val="bna.id.prefix"/>
              <w:id w:val="-569735666"/>
              <w:lock w:val="sdtLocked"/>
              <w:placeholder>
                <w:docPart w:val="23D3F63B17E642339CD68FEEF4CF9CF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A82526">
                <w:rPr>
                  <w:rStyle w:val="BContentControl"/>
                </w:rPr>
                <w:t>7</w:t>
              </w:r>
            </w:sdtContent>
          </w:sdt>
          <w:r w:rsidR="00A82526" w:rsidRPr="00A82526">
            <w:rPr>
              <w:rStyle w:val="BContentControl"/>
            </w:rPr>
            <w:t xml:space="preserve"> </w:t>
          </w:r>
          <w:sdt>
            <w:sdtPr>
              <w:rPr>
                <w:rStyle w:val="BContentControl"/>
              </w:rPr>
              <w:alias w:val="class.code*"/>
              <w:tag w:val="class.code"/>
              <w:id w:val="-1787345778"/>
              <w:lock w:val="sdtLocked"/>
              <w:placeholder>
                <w:docPart w:val="580C3A742EE24C16A67F253ECC6ECB23"/>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A82526">
                <w:rPr>
                  <w:rStyle w:val="BContentControl"/>
                </w:rPr>
                <w:t>A</w:t>
              </w:r>
            </w:sdtContent>
          </w:sdt>
          <w:r w:rsidR="00A82526" w:rsidRPr="00A82526">
            <w:rPr>
              <w:rStyle w:val="BContentControl"/>
            </w:rPr>
            <w:t xml:space="preserve"> </w:t>
          </w:r>
          <w:sdt>
            <w:sdtPr>
              <w:rPr>
                <w:rStyle w:val="BContentControl"/>
              </w:rPr>
              <w:alias w:val="class.name*"/>
              <w:tag w:val="class.name"/>
              <w:id w:val="-1155981821"/>
              <w:lock w:val="sdtLocked"/>
              <w:placeholder>
                <w:docPart w:val="D817FAF7649449A8905C57015B218E4D"/>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A82526">
                <w:rPr>
                  <w:rStyle w:val="BContentControl"/>
                </w:rPr>
                <w:t>Book Body</w:t>
              </w:r>
            </w:sdtContent>
          </w:sdt>
          <w:r w:rsidR="00A82526" w:rsidRPr="00A82526">
            <w:rPr>
              <w:rStyle w:val="BContentControl"/>
            </w:rPr>
            <w:t xml:space="preserve"> </w:t>
          </w:r>
          <w:sdt>
            <w:sdtPr>
              <w:rPr>
                <w:rStyle w:val="BContentControl"/>
              </w:rPr>
              <w:alias w:val="copyright.owner"/>
              <w:tag w:val="copyright.owner"/>
              <w:id w:val="-1651446348"/>
              <w:lock w:val="sdtLocked"/>
              <w:placeholder>
                <w:docPart w:val="9E4C05A996B5492F9DAAB742FC3F755D"/>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A82526" w:rsidRPr="00A82526">
                <w:rPr>
                  <w:rStyle w:val="BContentControl"/>
                </w:rPr>
                <w:t>enter text</w:t>
              </w:r>
            </w:sdtContent>
          </w:sdt>
          <w:r w:rsidR="00A82526" w:rsidRPr="00A82526">
            <w:rPr>
              <w:rStyle w:val="BContentControl"/>
            </w:rPr>
            <w:t xml:space="preserve"> </w:t>
          </w:r>
          <w:sdt>
            <w:sdtPr>
              <w:rPr>
                <w:rStyle w:val="BContentControl"/>
              </w:rPr>
              <w:alias w:val="date"/>
              <w:tag w:val="date"/>
              <w:id w:val="-1835365008"/>
              <w:lock w:val="sdtLocked"/>
              <w:placeholder>
                <w:docPart w:val="A3CF9FF959F843DB972F3165D66AE35F"/>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A82526">
                <w:rPr>
                  <w:rStyle w:val="BContentControl"/>
                </w:rPr>
                <w:t>2025-09-25</w:t>
              </w:r>
            </w:sdtContent>
          </w:sdt>
          <w:r w:rsidR="00A82526" w:rsidRPr="00A82526">
            <w:rPr>
              <w:rStyle w:val="BContentControl"/>
            </w:rPr>
            <w:t xml:space="preserve"> </w:t>
          </w:r>
          <w:sdt>
            <w:sdtPr>
              <w:rPr>
                <w:rStyle w:val="BContentControl"/>
              </w:rPr>
              <w:alias w:val="folio"/>
              <w:tag w:val="folio"/>
              <w:id w:val="763119860"/>
              <w:lock w:val="sdtLocked"/>
              <w:placeholder>
                <w:docPart w:val="19624F1D36504E1A991A58E55A17BBCC"/>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A82526">
                <w:rPr>
                  <w:rStyle w:val="BContentControl"/>
                </w:rPr>
                <w:t>245</w:t>
              </w:r>
            </w:sdtContent>
          </w:sdt>
          <w:r w:rsidR="00A82526" w:rsidRPr="00A82526">
            <w:rPr>
              <w:rStyle w:val="BContentControl"/>
            </w:rPr>
            <w:t xml:space="preserve"> </w:t>
          </w:r>
          <w:sdt>
            <w:sdtPr>
              <w:rPr>
                <w:rStyle w:val="BContentControl"/>
              </w:rPr>
              <w:alias w:val="part.name"/>
              <w:tag w:val="part.name"/>
              <w:id w:val="-872155068"/>
              <w:lock w:val="sdtLocked"/>
              <w:placeholder>
                <w:docPart w:val="124C7CDBF2D54099B46D8DB610E68123"/>
              </w:placeholder>
              <w:dataBinding w:prefixMappings="xmlns:ns0='http://www.bna.com/gateway/unit.start' " w:xpath="/ns0:document[1]/ns0:unit.start[1]/@part.name" w:storeItemID="{B04FCA99-13B0-422B-ADC9-9491644FA79D}"/>
              <w15:appearance w15:val="tags"/>
              <w:text/>
            </w:sdtPr>
            <w:sdtContent>
              <w:r w:rsidRPr="00D54E09">
                <w:rPr>
                  <w:rStyle w:val="BContentControl"/>
                </w:rPr>
                <w:t>Part II.</w:t>
              </w:r>
              <w:r w:rsidRPr="00D54E09">
                <w:rPr>
                  <w:rStyle w:val="BContentControl"/>
                </w:rPr>
                <w:t xml:space="preserve"> </w:t>
              </w:r>
              <w:r w:rsidRPr="00D54E09">
                <w:rPr>
                  <w:rStyle w:val="BContentControl"/>
                </w:rPr>
                <w:t>Federal Dilution Law</w:t>
              </w:r>
            </w:sdtContent>
          </w:sdt>
          <w:r w:rsidR="00A82526" w:rsidRPr="00A82526">
            <w:rPr>
              <w:rStyle w:val="BContentControl"/>
            </w:rPr>
            <w:t xml:space="preserve"> </w:t>
          </w:r>
          <w:sdt>
            <w:sdtPr>
              <w:rPr>
                <w:rStyle w:val="BContentControl"/>
              </w:rPr>
              <w:alias w:val="part.num"/>
              <w:tag w:val="part.num"/>
              <w:id w:val="1397083026"/>
              <w:lock w:val="sdtLocked"/>
              <w:placeholder>
                <w:docPart w:val="CFC8AF70D2F148A4A579CDAD68D8EBCE"/>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A82526">
                <w:rPr>
                  <w:rStyle w:val="BContentControl"/>
                </w:rPr>
                <w:t>2</w:t>
              </w:r>
            </w:sdtContent>
          </w:sdt>
          <w:r w:rsidR="00A82526" w:rsidRPr="00A82526">
            <w:rPr>
              <w:rStyle w:val="BContentControl"/>
            </w:rPr>
            <w:t xml:space="preserve"> </w:t>
          </w:r>
          <w:sdt>
            <w:sdtPr>
              <w:rPr>
                <w:rStyle w:val="BContentControl"/>
              </w:rPr>
              <w:alias w:val="subpart.name"/>
              <w:tag w:val="subpart.name"/>
              <w:id w:val="372354888"/>
              <w:lock w:val="sdtLocked"/>
              <w:placeholder>
                <w:docPart w:val="3323CF3E6F2848E3B6758B0B6412DF3C"/>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A82526" w:rsidRPr="00A82526">
                <w:rPr>
                  <w:rStyle w:val="BContentControl"/>
                </w:rPr>
                <w:t>enter text</w:t>
              </w:r>
            </w:sdtContent>
          </w:sdt>
          <w:r w:rsidR="00A82526" w:rsidRPr="00A82526">
            <w:rPr>
              <w:rStyle w:val="BContentControl"/>
            </w:rPr>
            <w:t xml:space="preserve"> </w:t>
          </w:r>
          <w:sdt>
            <w:sdtPr>
              <w:rPr>
                <w:rStyle w:val="BContentControl"/>
              </w:rPr>
              <w:alias w:val="pdm.name"/>
              <w:tag w:val="pdm.name"/>
              <w:id w:val="2089871957"/>
              <w:lock w:val="sdtLocked"/>
              <w:placeholder>
                <w:docPart w:val="A390B8EA1B2E4AF6B87CB920ED1D12E4"/>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A82526">
                <w:rPr>
                  <w:rStyle w:val="BContentControl"/>
                </w:rPr>
                <w:t>Chap07</w:t>
              </w:r>
            </w:sdtContent>
          </w:sdt>
          <w:r w:rsidR="00A82526" w:rsidRPr="00A82526">
            <w:rPr>
              <w:rStyle w:val="BContentControl"/>
            </w:rPr>
            <w:t xml:space="preserve"> </w:t>
          </w:r>
          <w:sdt>
            <w:sdtPr>
              <w:rPr>
                <w:rStyle w:val="BContentControl"/>
              </w:rPr>
              <w:alias w:val="publication.name"/>
              <w:tag w:val="publication.name"/>
              <w:id w:val="-1902814919"/>
              <w:lock w:val="sdtLocked"/>
              <w:placeholder>
                <w:docPart w:val="F79E5EE7D37B45F59C465AA5EB168893"/>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A82526">
                <w:rPr>
                  <w:rStyle w:val="BContentControl"/>
                </w:rPr>
                <w:t>Trademark Dilution - Federal, State, and International Law, Second Edition</w:t>
              </w:r>
            </w:sdtContent>
          </w:sdt>
          <w:r w:rsidR="00A82526" w:rsidRPr="00A82526">
            <w:rPr>
              <w:rStyle w:val="BContentControl"/>
            </w:rPr>
            <w:t xml:space="preserve"> </w:t>
          </w:r>
          <w:sdt>
            <w:sdtPr>
              <w:rPr>
                <w:rStyle w:val="BContentControl"/>
              </w:rPr>
              <w:alias w:val="service.code*"/>
              <w:tag w:val="mUnit1"/>
              <w:id w:val="-297536203"/>
              <w:lock w:val="sdtLocked"/>
              <w:placeholder>
                <w:docPart w:val="8FAC14DC69A642AD8EB78E00FD561BA3"/>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A82526">
                <w:rPr>
                  <w:rStyle w:val="BContentControl"/>
                </w:rPr>
                <w:t>td-book</w:t>
              </w:r>
            </w:sdtContent>
          </w:sdt>
          <w:r w:rsidR="00A82526" w:rsidRPr="00A82526">
            <w:rPr>
              <w:rStyle w:val="BContentControl"/>
            </w:rPr>
            <w:t xml:space="preserve"> </w:t>
          </w:r>
          <w:sdt>
            <w:sdtPr>
              <w:rPr>
                <w:rStyle w:val="BContentControl"/>
              </w:rPr>
              <w:alias w:val="supplement"/>
              <w:tag w:val="supplement"/>
              <w:id w:val="335576786"/>
              <w:lock w:val="sdtLocked"/>
              <w:placeholder>
                <w:docPart w:val="DC7CBC2A4F5F44369FCC1CE9AB4FF214"/>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A82526">
                <w:rPr>
                  <w:rStyle w:val="BContentControl"/>
                </w:rPr>
                <w:t>0</w:t>
              </w:r>
            </w:sdtContent>
          </w:sdt>
          <w:r w:rsidR="00A82526" w:rsidRPr="00A82526">
            <w:rPr>
              <w:rStyle w:val="BContentControl"/>
            </w:rPr>
            <w:t xml:space="preserve"> </w:t>
          </w:r>
          <w:sdt>
            <w:sdtPr>
              <w:rPr>
                <w:rStyle w:val="BContentControl"/>
              </w:rPr>
              <w:alias w:val="unit.code"/>
              <w:tag w:val="unit.code"/>
              <w:id w:val="1528988381"/>
              <w:lock w:val="sdtLocked"/>
              <w:placeholder>
                <w:docPart w:val="9264954CC9B248EEBA0561FEC889C4DD"/>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A82526">
                <w:rPr>
                  <w:rStyle w:val="BContentControl"/>
                </w:rPr>
                <w:t>main0007</w:t>
              </w:r>
            </w:sdtContent>
          </w:sdt>
          <w:r w:rsidR="00A82526" w:rsidRPr="00A82526">
            <w:rPr>
              <w:rStyle w:val="BContentControl"/>
            </w:rPr>
            <w:t xml:space="preserve"> </w:t>
          </w:r>
          <w:sdt>
            <w:sdtPr>
              <w:rPr>
                <w:rStyle w:val="BContentControl"/>
              </w:rPr>
              <w:alias w:val="unit.name*"/>
              <w:tag w:val="unit.name"/>
              <w:id w:val="-1386171908"/>
              <w:lock w:val="sdtLocked"/>
              <w:placeholder>
                <w:docPart w:val="80E0B2616EC444CD91DB1434E8859598"/>
              </w:placeholder>
              <w:dataBinding w:prefixMappings="xmlns:ns0='http://www.bna.com/gateway/unit.start' " w:xpath="/ns0:document[1]/ns0:unit.start[1]/@unit.name" w:storeItemID="{B04FCA99-13B0-422B-ADC9-9491644FA79D}"/>
              <w15:appearance w15:val="tags"/>
              <w:text/>
            </w:sdtPr>
            <w:sdtContent>
              <w:r w:rsidRPr="00D54E09">
                <w:rPr>
                  <w:rStyle w:val="BContentControl"/>
                </w:rPr>
                <w:t>Chapter 7.</w:t>
              </w:r>
              <w:r w:rsidRPr="00D54E09">
                <w:rPr>
                  <w:rStyle w:val="BContentControl"/>
                </w:rPr>
                <w:t xml:space="preserve"> </w:t>
              </w:r>
              <w:r w:rsidRPr="00D54E09">
                <w:rPr>
                  <w:rStyle w:val="BContentControl"/>
                </w:rPr>
                <w:t>The Elements of a Dilution Claim Under Federal Law</w:t>
              </w:r>
            </w:sdtContent>
          </w:sdt>
          <w:r w:rsidR="00A82526" w:rsidRPr="00A82526">
            <w:rPr>
              <w:rStyle w:val="BContentControl"/>
            </w:rPr>
            <w:t xml:space="preserve"> </w:t>
          </w:r>
          <w:sdt>
            <w:sdtPr>
              <w:rPr>
                <w:rStyle w:val="BContentControl"/>
              </w:rPr>
              <w:alias w:val="volume.num"/>
              <w:tag w:val="volume.num"/>
              <w:id w:val="-2101636727"/>
              <w:lock w:val="sdtLocked"/>
              <w:placeholder>
                <w:docPart w:val="2B9472242F5F494B9D1E83B121C1DAB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A82526">
                <w:rPr>
                  <w:rStyle w:val="BContentControl"/>
                </w:rPr>
                <w:t>1</w:t>
              </w:r>
            </w:sdtContent>
          </w:sdt>
        </w:p>
        <w:bookmarkEnd w:id="0" w:displacedByCustomXml="next"/>
      </w:sdtContent>
    </w:sdt>
    <w:p w14:paraId="4896CBB3" w14:textId="77777777" w:rsidR="00D54E09" w:rsidRPr="00D54E09" w:rsidRDefault="00D54E09" w:rsidP="00A82526">
      <w:pPr>
        <w:pStyle w:val="BDocStart"/>
      </w:pPr>
      <w:sdt>
        <w:sdtPr>
          <w:tag w:val="DocStart"/>
          <w:id w:val="1120031868"/>
          <w:lock w:val="sdtLocked"/>
          <w:placeholder>
            <w:docPart w:val="4EFAD931D83644838E5E4DD7195FAE5F"/>
          </w:placeholder>
          <w15:appearance w15:val="hidden"/>
        </w:sdtPr>
        <w:sdtEndPr/>
        <w:sdtContent>
          <w:r w:rsidR="00A82526">
            <w:t>Document</w:t>
          </w:r>
        </w:sdtContent>
      </w:sdt>
    </w:p>
    <w:p w14:paraId="25ED9818" w14:textId="4A19D70B" w:rsidR="00D54E09" w:rsidRPr="00D54E09" w:rsidRDefault="00D20597" w:rsidP="00D54E09">
      <w:pPr>
        <w:pStyle w:val="BChapterName"/>
      </w:pPr>
      <w:r w:rsidRPr="00D54E09">
        <w:t>Chapter 7</w:t>
      </w:r>
      <w:r w:rsidR="00D54E09" w:rsidRPr="00D54E09">
        <w:t>.</w:t>
      </w:r>
      <w:r w:rsidR="00D54E09" w:rsidRPr="00D54E09">
        <w:t xml:space="preserve"> </w:t>
      </w:r>
      <w:r w:rsidR="00D54E09" w:rsidRPr="00D54E09">
        <w:t>T</w:t>
      </w:r>
      <w:r w:rsidRPr="00D54E09">
        <w:t>he Elements of a Dilution Claim Under Federal Law</w:t>
      </w:r>
    </w:p>
    <w:p w14:paraId="782294C2" w14:textId="5E331762" w:rsidR="00D54E09" w:rsidRPr="00D54E09" w:rsidRDefault="00D54E09" w:rsidP="00D54E09">
      <w:pPr>
        <w:pStyle w:val="BNormal"/>
      </w:pPr>
      <w:r w:rsidRPr="00D54E09">
        <w:rPr>
          <w:i/>
        </w:rPr>
        <w:t>This chapter is current through May 2025.</w:t>
      </w:r>
    </w:p>
    <w:p w14:paraId="7DDEEA75" w14:textId="06B7A869" w:rsidR="00D54E09" w:rsidRPr="00D54E09" w:rsidRDefault="00D20597" w:rsidP="00D54E09">
      <w:pPr>
        <w:pStyle w:val="BNormal"/>
      </w:pPr>
      <w:hyperlink r:id="rId13" w:history="1">
        <w:r w:rsidR="00D54E09" w:rsidRPr="00D54E09">
          <w:rPr>
            <w:rStyle w:val="Hyperlink"/>
          </w:rPr>
          <w:t>David Welkowitz</w:t>
        </w:r>
      </w:hyperlink>
      <w:r w:rsidR="00D54E09" w:rsidRPr="00D54E09">
        <w:rPr>
          <w:rFonts w:eastAsiaTheme="majorEastAsia"/>
          <w:vertAlign w:val="superscript"/>
        </w:rPr>
        <w:footnoteReference w:id="1"/>
      </w:r>
    </w:p>
    <w:p w14:paraId="76C49B20" w14:textId="6914E7F6" w:rsidR="00D54E09" w:rsidRPr="00D54E09" w:rsidRDefault="00D54E09" w:rsidP="00D54E09">
      <w:pPr>
        <w:pStyle w:val="BNormal"/>
      </w:pPr>
      <w:r w:rsidRPr="00D54E09">
        <w:rPr>
          <w:i/>
        </w:rPr>
        <w:t>Whittier Law School, Costa Mesa, CA</w:t>
      </w:r>
    </w:p>
    <w:p w14:paraId="20640AD5" w14:textId="6F7D36F4" w:rsidR="00D54E09" w:rsidRPr="00D54E09" w:rsidRDefault="00D20597" w:rsidP="00D54E09">
      <w:pPr>
        <w:pStyle w:val="BNormal"/>
      </w:pPr>
      <w:r w:rsidRPr="00D54E09">
        <w:t>Disclaimer</w:t>
      </w:r>
      <w:r w:rsidR="00D54E09" w:rsidRPr="00D54E09">
        <w:t>:</w:t>
      </w:r>
      <w:r w:rsidR="00D54E09" w:rsidRPr="00D54E09">
        <w:t xml:space="preserve"> </w:t>
      </w:r>
      <w:r w:rsidR="00D54E09" w:rsidRPr="00D54E09">
        <w:t>T</w:t>
      </w:r>
      <w:r w:rsidRPr="00D54E09">
        <w:t>he opinions expressed here are solely those of the author and should not be construed as representing the opinions, directly or indirectly, of the U.S</w:t>
      </w:r>
      <w:r w:rsidR="00D54E09" w:rsidRPr="00D54E09">
        <w:t>.</w:t>
      </w:r>
      <w:r w:rsidR="00D54E09" w:rsidRPr="00D54E09">
        <w:t xml:space="preserve"> </w:t>
      </w:r>
      <w:r w:rsidR="00D54E09" w:rsidRPr="00D54E09">
        <w:t>C</w:t>
      </w:r>
      <w:r w:rsidRPr="00D54E09">
        <w:t>opyright Office.</w:t>
      </w:r>
    </w:p>
    <w:p w14:paraId="658BA8B7" w14:textId="35BA6D6A" w:rsidR="00D54E09" w:rsidRPr="00D54E09" w:rsidRDefault="00D54E09" w:rsidP="00D54E09">
      <w:pPr>
        <w:pStyle w:val="BHead1"/>
      </w:pPr>
      <w:r>
        <w:t>7.</w:t>
      </w:r>
      <w:r w:rsidRPr="00D54E09">
        <w:rPr>
          <w:rStyle w:val="BBNAidChar"/>
          <w:rFonts w:eastAsiaTheme="majorEastAsia"/>
        </w:rPr>
        <w:t>I</w:t>
      </w:r>
      <w:r w:rsidRPr="00D54E09">
        <w:t>.</w:t>
      </w:r>
      <w:r>
        <w:t xml:space="preserve">  </w:t>
      </w:r>
      <w:r w:rsidRPr="00D54E09">
        <w:t>The Basic Elements of a Dilution Claim</w:t>
      </w:r>
      <w:r>
        <w:t xml:space="preserve"> </w:t>
      </w:r>
      <w:r w:rsidRPr="00D54E09">
        <w:t>Under the TDRA</w:t>
      </w:r>
    </w:p>
    <w:p w14:paraId="783A0116" w14:textId="1F2E6B30" w:rsidR="00D54E09" w:rsidRPr="00D54E09" w:rsidRDefault="00D20597" w:rsidP="00D54E09">
      <w:pPr>
        <w:pStyle w:val="BNormal"/>
      </w:pPr>
      <w:r w:rsidRPr="00D54E09">
        <w:t>The Trademark Dilution Revision Act (TDRA), which amended and replaced the Federal Trademark Dilution Act (FTDA), sets out the following elements for a dilution claim</w:t>
      </w:r>
      <w:r w:rsidR="00D54E09" w:rsidRPr="00D54E09">
        <w:t>:</w:t>
      </w:r>
      <w:r w:rsidR="00D54E09" w:rsidRPr="00D54E09">
        <w:t xml:space="preserve"> </w:t>
      </w:r>
      <w:r w:rsidR="00D54E09" w:rsidRPr="00D54E09">
        <w:t>(</w:t>
      </w:r>
      <w:r w:rsidRPr="00D54E09">
        <w:t>1) ownership by the plaintiff of “a famous mark that is distinctive”</w:t>
      </w:r>
      <w:r w:rsidR="00D54E09" w:rsidRPr="00D54E09">
        <w:t>;</w:t>
      </w:r>
      <w:r w:rsidR="00D54E09" w:rsidRPr="00D54E09">
        <w:t xml:space="preserve"> </w:t>
      </w:r>
      <w:r w:rsidR="00D54E09" w:rsidRPr="00D54E09">
        <w:t>(</w:t>
      </w:r>
      <w:r w:rsidRPr="00D54E09">
        <w:t>2) a “use</w:t>
      </w:r>
      <w:r w:rsidR="00D54E09" w:rsidRPr="00D54E09">
        <w:t xml:space="preserve"> </w:t>
      </w:r>
      <w:r w:rsidRPr="00D54E09">
        <w:t>…</w:t>
      </w:r>
      <w:r w:rsidR="00D54E09" w:rsidRPr="00D54E09">
        <w:t xml:space="preserve"> </w:t>
      </w:r>
      <w:r w:rsidRPr="00D54E09">
        <w:t>in commerce” of the plaintiff’s mark by the defendant</w:t>
      </w:r>
      <w:r w:rsidR="00D54E09" w:rsidRPr="00D54E09">
        <w:t>;</w:t>
      </w:r>
      <w:r w:rsidR="00D54E09" w:rsidRPr="00D54E09">
        <w:t xml:space="preserve"> </w:t>
      </w:r>
      <w:r w:rsidR="00D54E09" w:rsidRPr="00D54E09">
        <w:t>(</w:t>
      </w:r>
      <w:r w:rsidRPr="00D54E09">
        <w:t>3) the defendant’s first use of the mark must occur after the plaintiff’s mark becomes famous</w:t>
      </w:r>
      <w:r w:rsidR="00D54E09" w:rsidRPr="00D54E09">
        <w:t>;</w:t>
      </w:r>
      <w:r w:rsidR="00D54E09" w:rsidRPr="00D54E09">
        <w:t xml:space="preserve"> </w:t>
      </w:r>
      <w:r w:rsidR="00D54E09" w:rsidRPr="00D54E09">
        <w:t>(</w:t>
      </w:r>
      <w:r w:rsidRPr="00D54E09">
        <w:t>4) the defendant’s use must be “likely to cause dilution.”</w:t>
      </w:r>
      <w:r w:rsidR="00D54E09" w:rsidRPr="00D54E09">
        <w:rPr>
          <w:vertAlign w:val="superscript"/>
        </w:rPr>
        <w:footnoteReference w:id="2"/>
      </w:r>
    </w:p>
    <w:p w14:paraId="4F651961" w14:textId="4BA94D58" w:rsidR="00D54E09" w:rsidRPr="00D54E09" w:rsidRDefault="00D20597" w:rsidP="00D54E09">
      <w:pPr>
        <w:pStyle w:val="BNormal"/>
      </w:pPr>
      <w:r w:rsidRPr="00D54E09">
        <w:t xml:space="preserve">While easy to state, two of these </w:t>
      </w:r>
      <w:proofErr w:type="gramStart"/>
      <w:r w:rsidRPr="00D54E09">
        <w:t>factors—fame</w:t>
      </w:r>
      <w:proofErr w:type="gramEnd"/>
      <w:r w:rsidRPr="00D54E09">
        <w:t xml:space="preserve"> and </w:t>
      </w:r>
      <w:proofErr w:type="gramStart"/>
      <w:r w:rsidRPr="00D54E09">
        <w:t>dilution—</w:t>
      </w:r>
      <w:proofErr w:type="gramEnd"/>
      <w:r w:rsidRPr="00D54E09">
        <w:t>have proven extremely troublesome for courts,</w:t>
      </w:r>
      <w:r w:rsidR="00D54E09" w:rsidRPr="00D54E09">
        <w:rPr>
          <w:vertAlign w:val="superscript"/>
        </w:rPr>
        <w:footnoteReference w:id="3"/>
      </w:r>
      <w:r w:rsidRPr="00D54E09">
        <w:t xml:space="preserve"> and a third—use in commerce—has raised some interesting interpretive problems.</w:t>
      </w:r>
      <w:r w:rsidR="00D54E09" w:rsidRPr="00D54E09">
        <w:rPr>
          <w:vertAlign w:val="superscript"/>
        </w:rPr>
        <w:footnoteReference w:id="4"/>
      </w:r>
      <w:r w:rsidRPr="00D54E09">
        <w:t xml:space="preserve"> The TDRA attempts to give guidance in each case.</w:t>
      </w:r>
      <w:r w:rsidR="00D54E09" w:rsidRPr="00D54E09">
        <w:rPr>
          <w:vertAlign w:val="superscript"/>
        </w:rPr>
        <w:footnoteReference w:id="5"/>
      </w:r>
      <w:r w:rsidRPr="00D54E09">
        <w:t xml:space="preserve"> However, the definitions and factors provided by the TDRA leave many questions unanswered</w:t>
      </w:r>
      <w:r w:rsidR="00D54E09" w:rsidRPr="00D54E09">
        <w:t>.</w:t>
      </w:r>
      <w:r w:rsidR="00D54E09" w:rsidRPr="00D54E09">
        <w:t xml:space="preserve"> </w:t>
      </w:r>
      <w:r w:rsidR="00D54E09" w:rsidRPr="00D54E09">
        <w:t>T</w:t>
      </w:r>
      <w:r w:rsidRPr="00D54E09">
        <w:t xml:space="preserve">he specific problems raised by some of these </w:t>
      </w:r>
      <w:proofErr w:type="gramStart"/>
      <w:r w:rsidRPr="00D54E09">
        <w:t>elements—in particular</w:t>
      </w:r>
      <w:proofErr w:type="gramEnd"/>
      <w:r w:rsidRPr="00D54E09">
        <w:t xml:space="preserve"> fame and likelihood of </w:t>
      </w:r>
      <w:proofErr w:type="gramStart"/>
      <w:r w:rsidRPr="00D54E09">
        <w:t>dilution—</w:t>
      </w:r>
      <w:proofErr w:type="gramEnd"/>
      <w:r w:rsidRPr="00D54E09">
        <w:t>are discussed in detail in the succeeding chapters</w:t>
      </w:r>
      <w:r w:rsidR="00D54E09" w:rsidRPr="00D54E09">
        <w:t>.</w:t>
      </w:r>
      <w:r w:rsidR="00D54E09" w:rsidRPr="00D54E09">
        <w:t xml:space="preserve"> </w:t>
      </w:r>
      <w:r w:rsidR="00D54E09" w:rsidRPr="00D54E09">
        <w:t>O</w:t>
      </w:r>
      <w:r w:rsidRPr="00D54E09">
        <w:t>ther elements are discussed in the following sections.</w:t>
      </w:r>
    </w:p>
    <w:p w14:paraId="11F9B6EB" w14:textId="4C0448D5" w:rsidR="00D54E09" w:rsidRPr="00D54E09" w:rsidRDefault="00D54E09" w:rsidP="00D54E09">
      <w:pPr>
        <w:pStyle w:val="BHead1"/>
      </w:pPr>
      <w:r>
        <w:t>7.</w:t>
      </w:r>
      <w:r w:rsidRPr="00D54E09">
        <w:rPr>
          <w:rStyle w:val="BBNAidChar"/>
          <w:rFonts w:eastAsiaTheme="majorEastAsia"/>
        </w:rPr>
        <w:t>II</w:t>
      </w:r>
      <w:r w:rsidRPr="00D54E09">
        <w:t>.</w:t>
      </w:r>
      <w:r>
        <w:t xml:space="preserve">  </w:t>
      </w:r>
      <w:r w:rsidRPr="00D54E09">
        <w:t>The Requirement That One Be the “Owner”</w:t>
      </w:r>
      <w:r>
        <w:t xml:space="preserve"> </w:t>
      </w:r>
      <w:r w:rsidRPr="00D54E09">
        <w:t>of a “Mark”</w:t>
      </w:r>
    </w:p>
    <w:p w14:paraId="71818A48" w14:textId="5B6AFE9A" w:rsidR="00D54E09" w:rsidRPr="00D54E09" w:rsidRDefault="00D54E09" w:rsidP="00D54E09">
      <w:pPr>
        <w:pStyle w:val="BHead2"/>
      </w:pPr>
      <w:r>
        <w:t>7.II.</w:t>
      </w:r>
      <w:r w:rsidRPr="00D54E09">
        <w:rPr>
          <w:rStyle w:val="BBNAidChar"/>
          <w:rFonts w:eastAsiaTheme="majorEastAsia"/>
        </w:rPr>
        <w:t>A</w:t>
      </w:r>
      <w:r w:rsidRPr="00D54E09">
        <w:t>.</w:t>
      </w:r>
      <w:r>
        <w:t> </w:t>
      </w:r>
      <w:r w:rsidRPr="00D54E09">
        <w:tab/>
        <w:t>The Requirement of “Ownership”</w:t>
      </w:r>
    </w:p>
    <w:p w14:paraId="77588CBA" w14:textId="281FC776" w:rsidR="00D54E09" w:rsidRPr="00D54E09" w:rsidRDefault="00D20597" w:rsidP="00D54E09">
      <w:pPr>
        <w:pStyle w:val="BNormal"/>
      </w:pPr>
      <w:r w:rsidRPr="00D54E09">
        <w:t>Section 43(c) of the Lanham Act gives a right of action only to the “</w:t>
      </w:r>
      <w:r w:rsidR="00D54E09" w:rsidRPr="00D54E09">
        <w:rPr>
          <w:i/>
        </w:rPr>
        <w:t>owner</w:t>
      </w:r>
      <w:r w:rsidRPr="00D54E09">
        <w:t xml:space="preserve"> of a famous mark.”</w:t>
      </w:r>
      <w:r w:rsidR="00D54E09" w:rsidRPr="00D54E09">
        <w:rPr>
          <w:vertAlign w:val="superscript"/>
        </w:rPr>
        <w:footnoteReference w:id="6"/>
      </w:r>
      <w:r w:rsidRPr="00D54E09">
        <w:t xml:space="preserve"> Although the term “owner” is not defined, it is not unique to the dilution section</w:t>
      </w:r>
      <w:r w:rsidR="00D54E09" w:rsidRPr="00D54E09">
        <w:t>:</w:t>
      </w:r>
      <w:r w:rsidR="00D54E09" w:rsidRPr="00D54E09">
        <w:t xml:space="preserve"> </w:t>
      </w:r>
      <w:r w:rsidR="00D54E09" w:rsidRPr="00D54E09">
        <w:t>S</w:t>
      </w:r>
      <w:r w:rsidRPr="00D54E09">
        <w:t>ection 1 of the Lanham Act permits application for registration by the “</w:t>
      </w:r>
      <w:r w:rsidR="00D54E09" w:rsidRPr="00D54E09">
        <w:rPr>
          <w:i/>
        </w:rPr>
        <w:t>owner</w:t>
      </w:r>
      <w:r w:rsidRPr="00D54E09">
        <w:t xml:space="preserve"> of a trademark used in commerce.”</w:t>
      </w:r>
      <w:r w:rsidR="00D54E09" w:rsidRPr="00D54E09">
        <w:rPr>
          <w:vertAlign w:val="superscript"/>
        </w:rPr>
        <w:footnoteReference w:id="7"/>
      </w:r>
      <w:r w:rsidRPr="00D54E09">
        <w:t xml:space="preserve"> This term is narrower than the one used in Section 43(a) to describe standing to sue</w:t>
      </w:r>
      <w:r w:rsidR="00D54E09" w:rsidRPr="00D54E09">
        <w:t>.</w:t>
      </w:r>
      <w:r w:rsidR="00D54E09" w:rsidRPr="00D54E09">
        <w:t xml:space="preserve"> </w:t>
      </w:r>
      <w:r w:rsidR="00D54E09" w:rsidRPr="00D54E09">
        <w:t>S</w:t>
      </w:r>
      <w:r w:rsidRPr="00D54E09">
        <w:t>ection 43(a) allows a suit by “any person who believes that he or she is or is likely to be damaged by [a violation].”</w:t>
      </w:r>
      <w:r w:rsidR="00D54E09" w:rsidRPr="00D54E09">
        <w:rPr>
          <w:vertAlign w:val="superscript"/>
        </w:rPr>
        <w:footnoteReference w:id="8"/>
      </w:r>
      <w:r w:rsidRPr="00D54E09">
        <w:t xml:space="preserve"> By its terms, the dilution provision excludes licensees or other persons similarly situated, such as those with only a beneficial or royalty interest in the mark, from bringing a dilution action.</w:t>
      </w:r>
      <w:r w:rsidR="00D54E09" w:rsidRPr="00D54E09">
        <w:rPr>
          <w:vertAlign w:val="superscript"/>
        </w:rPr>
        <w:footnoteReference w:id="9"/>
      </w:r>
      <w:r w:rsidRPr="00D54E09">
        <w:t xml:space="preserve"> It has also been held that one co-owner of a mark cannot bring a dilution claim against another co-owner.</w:t>
      </w:r>
      <w:r w:rsidR="00D54E09" w:rsidRPr="00D54E09">
        <w:rPr>
          <w:vertAlign w:val="superscript"/>
        </w:rPr>
        <w:footnoteReference w:id="10"/>
      </w:r>
      <w:r w:rsidRPr="00D54E09">
        <w:t xml:space="preserve"> This limitation recognizes that Congress intended dilution to be limited to a </w:t>
      </w:r>
      <w:r w:rsidRPr="00D54E09">
        <w:lastRenderedPageBreak/>
        <w:t>relatively small subset of marks and a subset of people with interest in the marks.</w:t>
      </w:r>
      <w:r w:rsidR="00D54E09" w:rsidRPr="00D54E09">
        <w:rPr>
          <w:vertAlign w:val="superscript"/>
        </w:rPr>
        <w:footnoteReference w:id="11"/>
      </w:r>
      <w:r w:rsidRPr="00D54E09">
        <w:t xml:space="preserve"> By contrast, Section 43(a) is intended to cover a broader range of unfair competition problems, including false advertising, where “ownership” is less critical than the competitive impact of the violation.</w:t>
      </w:r>
    </w:p>
    <w:p w14:paraId="0EEBD01D" w14:textId="3BFD6E8A" w:rsidR="00D54E09" w:rsidRPr="00D54E09" w:rsidRDefault="00D20597" w:rsidP="00D54E09">
      <w:pPr>
        <w:pStyle w:val="BNormal"/>
      </w:pPr>
      <w:r w:rsidRPr="00D54E09">
        <w:t>Such a limitation is not unrealistic</w:t>
      </w:r>
      <w:r w:rsidR="00D54E09" w:rsidRPr="00D54E09">
        <w:t>.</w:t>
      </w:r>
      <w:r w:rsidR="00D54E09" w:rsidRPr="00D54E09">
        <w:t xml:space="preserve"> </w:t>
      </w:r>
      <w:r w:rsidR="00D54E09" w:rsidRPr="00D54E09">
        <w:t>O</w:t>
      </w:r>
      <w:r w:rsidRPr="00D54E09">
        <w:t xml:space="preserve">ne would expect that a mark owner with a famous mark at stake would have a very strong interest in bringing a suit to protect </w:t>
      </w:r>
      <w:proofErr w:type="gramStart"/>
      <w:r w:rsidRPr="00D54E09">
        <w:t>its</w:t>
      </w:r>
      <w:proofErr w:type="gramEnd"/>
      <w:r w:rsidRPr="00D54E09">
        <w:t xml:space="preserve"> interest in this valuable property</w:t>
      </w:r>
      <w:r w:rsidR="00D54E09" w:rsidRPr="00D54E09">
        <w:t>.</w:t>
      </w:r>
      <w:r w:rsidR="00D54E09" w:rsidRPr="00D54E09">
        <w:t xml:space="preserve"> </w:t>
      </w:r>
      <w:r w:rsidR="00D54E09" w:rsidRPr="00D54E09">
        <w:t>M</w:t>
      </w:r>
      <w:r w:rsidRPr="00D54E09">
        <w:t>oreover, the TDRA, by narrowing the definition of “famous” marks eligible for dilution protection, supports a more restrictive view of eligibility in general</w:t>
      </w:r>
      <w:r w:rsidR="00D54E09" w:rsidRPr="00D54E09">
        <w:t>.</w:t>
      </w:r>
      <w:r w:rsidR="00D54E09" w:rsidRPr="00D54E09">
        <w:t xml:space="preserve"> </w:t>
      </w:r>
      <w:r w:rsidR="00D54E09" w:rsidRPr="00D54E09">
        <w:t>A</w:t>
      </w:r>
      <w:r w:rsidRPr="00D54E09">
        <w:t xml:space="preserve">dditional support for a restrictive view of the statute comes from the Supreme Court’s decision in </w:t>
      </w:r>
      <w:r w:rsidR="00D54E09" w:rsidRPr="00D54E09">
        <w:rPr>
          <w:i/>
        </w:rPr>
        <w:t>Moseley v</w:t>
      </w:r>
      <w:r w:rsidR="00D54E09" w:rsidRPr="00D54E09">
        <w:t>.</w:t>
      </w:r>
      <w:r w:rsidR="00D54E09" w:rsidRPr="00D54E09">
        <w:t xml:space="preserve"> </w:t>
      </w:r>
      <w:r w:rsidR="00D54E09" w:rsidRPr="00D54E09">
        <w:rPr>
          <w:i/>
        </w:rPr>
        <w:t>V Secret Catalogue, Inc</w:t>
      </w:r>
      <w:r w:rsidRPr="00D54E09">
        <w:t>.</w:t>
      </w:r>
      <w:r w:rsidR="00D54E09" w:rsidRPr="00D54E09">
        <w:rPr>
          <w:vertAlign w:val="superscript"/>
        </w:rPr>
        <w:footnoteReference w:id="12"/>
      </w:r>
      <w:r w:rsidRPr="00D54E09">
        <w:t xml:space="preserve"> In </w:t>
      </w:r>
      <w:r w:rsidR="00D54E09" w:rsidRPr="00D54E09">
        <w:rPr>
          <w:i/>
        </w:rPr>
        <w:t>Moseley</w:t>
      </w:r>
      <w:r w:rsidRPr="00D54E09">
        <w:t>, the Court held that the phrase “causes dilution” in the original version of the FTDA should be read strictly.</w:t>
      </w:r>
      <w:r w:rsidR="00D54E09" w:rsidRPr="00D54E09">
        <w:rPr>
          <w:vertAlign w:val="superscript"/>
        </w:rPr>
        <w:footnoteReference w:id="13"/>
      </w:r>
      <w:r w:rsidRPr="00D54E09">
        <w:t xml:space="preserve"> The Court contrasted the “causes dilution” language in the original FTDA with the “likelihood of confusion” language in other parts of the Lanham Act and the definition of dilution, indicating that Congress was capable of making distinctions about the meaning of the terms.</w:t>
      </w:r>
      <w:r w:rsidR="00D54E09" w:rsidRPr="00D54E09">
        <w:rPr>
          <w:vertAlign w:val="superscript"/>
        </w:rPr>
        <w:footnoteReference w:id="14"/>
      </w:r>
      <w:r w:rsidRPr="00D54E09">
        <w:t xml:space="preserve"> In the case of ownership, the contrast between the TDRA, which uses the word “owner” (the original FTDA used the same term), and Section 43(a), with its broader standing provision (discussed above in this section), is similar to the contrast noted in </w:t>
      </w:r>
      <w:r w:rsidR="00D54E09" w:rsidRPr="00D54E09">
        <w:rPr>
          <w:i/>
        </w:rPr>
        <w:t>Moseley</w:t>
      </w:r>
      <w:r w:rsidR="00D54E09" w:rsidRPr="00D54E09">
        <w:t>.</w:t>
      </w:r>
      <w:r w:rsidR="00D54E09" w:rsidRPr="00D54E09">
        <w:t xml:space="preserve"> </w:t>
      </w:r>
      <w:r w:rsidR="00D54E09" w:rsidRPr="00D54E09">
        <w:t>T</w:t>
      </w:r>
      <w:r w:rsidRPr="00D54E09">
        <w:t>hus, one might expect that a court would be restrictive when interpreting the word “owner.”</w:t>
      </w:r>
      <w:r w:rsidR="00D54E09" w:rsidRPr="00D54E09">
        <w:rPr>
          <w:vertAlign w:val="superscript"/>
        </w:rPr>
        <w:footnoteReference w:id="15"/>
      </w:r>
    </w:p>
    <w:p w14:paraId="02A07832" w14:textId="576CD898" w:rsidR="00D54E09" w:rsidRPr="00D54E09" w:rsidRDefault="00D20597" w:rsidP="00D54E09">
      <w:pPr>
        <w:pStyle w:val="BNormal"/>
      </w:pPr>
      <w:r w:rsidRPr="00D54E09">
        <w:t>The U.S</w:t>
      </w:r>
      <w:r w:rsidR="00D54E09" w:rsidRPr="00D54E09">
        <w:t>.</w:t>
      </w:r>
      <w:r w:rsidR="00D54E09" w:rsidRPr="00D54E09">
        <w:t xml:space="preserve"> </w:t>
      </w:r>
      <w:r w:rsidR="00D54E09" w:rsidRPr="00D54E09">
        <w:t>C</w:t>
      </w:r>
      <w:r w:rsidRPr="00D54E09">
        <w:t xml:space="preserve">ourt of Appeals for the Fifth Circuit supported a restrictive reading of the “ownership” requirement in </w:t>
      </w:r>
      <w:r w:rsidR="00D54E09" w:rsidRPr="00D54E09">
        <w:rPr>
          <w:i/>
        </w:rPr>
        <w:t>ICEE Distributors, Inc</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J</w:t>
      </w:r>
      <w:r w:rsidR="00D54E09" w:rsidRPr="00D54E09">
        <w:t>.</w:t>
      </w:r>
      <w:r w:rsidR="00D54E09" w:rsidRPr="00D54E09">
        <w:t xml:space="preserve"> </w:t>
      </w:r>
      <w:r w:rsidR="00D54E09" w:rsidRPr="00D54E09">
        <w:rPr>
          <w:i/>
        </w:rPr>
        <w:t>&amp; J</w:t>
      </w:r>
      <w:r w:rsidR="00D54E09" w:rsidRPr="00D54E09">
        <w:t>.</w:t>
      </w:r>
      <w:r w:rsidR="00D54E09" w:rsidRPr="00D54E09">
        <w:t xml:space="preserve"> </w:t>
      </w:r>
      <w:r w:rsidR="00D54E09" w:rsidRPr="00D54E09">
        <w:rPr>
          <w:i/>
        </w:rPr>
        <w:t>Snack Foods Corp</w:t>
      </w:r>
      <w:r w:rsidRPr="00D54E09">
        <w:t>.,</w:t>
      </w:r>
      <w:r w:rsidR="00D54E09" w:rsidRPr="00D54E09">
        <w:rPr>
          <w:vertAlign w:val="superscript"/>
        </w:rPr>
        <w:footnoteReference w:id="16"/>
      </w:r>
      <w:r w:rsidRPr="00D54E09">
        <w:t xml:space="preserve"> a suit between two licensed distributors of a product in which the licensor was also a defendant</w:t>
      </w:r>
      <w:r w:rsidR="00D54E09" w:rsidRPr="00D54E09">
        <w:t>.</w:t>
      </w:r>
      <w:r w:rsidR="00D54E09" w:rsidRPr="00D54E09">
        <w:t xml:space="preserve"> </w:t>
      </w:r>
      <w:r w:rsidR="00D54E09" w:rsidRPr="00D54E09">
        <w:t>T</w:t>
      </w:r>
      <w:r w:rsidRPr="00D54E09">
        <w:t>he plaintiff claimed that the defendant distributor was selling a product using the licensed trademark outside its assigned territory, and that the defendant licensor was in breach of its licensing contract by permitting such distribution</w:t>
      </w:r>
      <w:r w:rsidR="00D54E09" w:rsidRPr="00D54E09">
        <w:t>.</w:t>
      </w:r>
      <w:r w:rsidR="00D54E09" w:rsidRPr="00D54E09">
        <w:t xml:space="preserve"> </w:t>
      </w:r>
      <w:r w:rsidR="00D54E09" w:rsidRPr="00D54E09">
        <w:t>I</w:t>
      </w:r>
      <w:r w:rsidRPr="00D54E09">
        <w:t>t further claimed that these activities constituted trademark dilution.</w:t>
      </w:r>
      <w:r w:rsidR="00D54E09" w:rsidRPr="00D54E09">
        <w:rPr>
          <w:vertAlign w:val="superscript"/>
        </w:rPr>
        <w:footnoteReference w:id="17"/>
      </w:r>
      <w:r w:rsidRPr="00D54E09">
        <w:t xml:space="preserve"> The plaintiff distributor claimed that it was the “owner” of the mark within its assigned territory.</w:t>
      </w:r>
      <w:r w:rsidR="00D54E09" w:rsidRPr="00D54E09">
        <w:rPr>
          <w:vertAlign w:val="superscript"/>
        </w:rPr>
        <w:footnoteReference w:id="18"/>
      </w:r>
      <w:r w:rsidRPr="00D54E09">
        <w:t xml:space="preserve"> However, the Fifth Circuit disagreed, holding that as a licensee the plaintiff could not sue for dilution</w:t>
      </w:r>
      <w:r w:rsidR="00D54E09" w:rsidRPr="00D54E09">
        <w:t>.</w:t>
      </w:r>
      <w:r w:rsidR="00D54E09" w:rsidRPr="00D54E09">
        <w:t xml:space="preserve"> </w:t>
      </w:r>
      <w:r w:rsidR="00D54E09" w:rsidRPr="00D54E09">
        <w:t>T</w:t>
      </w:r>
      <w:r w:rsidRPr="00D54E09">
        <w:t>he court pointed out that allowing the suit would permit a licensee to sue for dilution against the clear “owner” of the mark.</w:t>
      </w:r>
      <w:r w:rsidR="00D54E09" w:rsidRPr="00D54E09">
        <w:rPr>
          <w:vertAlign w:val="superscript"/>
        </w:rPr>
        <w:footnoteReference w:id="19"/>
      </w:r>
    </w:p>
    <w:p w14:paraId="43AF6E77" w14:textId="7C3E82CA" w:rsidR="00D54E09" w:rsidRPr="00D54E09" w:rsidRDefault="00D20597" w:rsidP="00D54E09">
      <w:pPr>
        <w:pStyle w:val="BNormal"/>
      </w:pPr>
      <w:r w:rsidRPr="00D54E09">
        <w:t>The one situation in which one might not expect the actual owner to sue is the case of a foreign owner with a U.S</w:t>
      </w:r>
      <w:r w:rsidR="00D54E09" w:rsidRPr="00D54E09">
        <w:t>.</w:t>
      </w:r>
      <w:r w:rsidR="00D54E09" w:rsidRPr="00D54E09">
        <w:t xml:space="preserve"> </w:t>
      </w:r>
      <w:r w:rsidR="00D54E09" w:rsidRPr="00D54E09">
        <w:t>e</w:t>
      </w:r>
      <w:r w:rsidRPr="00D54E09">
        <w:t>xclusive licensee</w:t>
      </w:r>
      <w:r w:rsidR="00D54E09" w:rsidRPr="00D54E09">
        <w:t>.</w:t>
      </w:r>
      <w:r w:rsidR="00D54E09" w:rsidRPr="00D54E09">
        <w:t xml:space="preserve"> </w:t>
      </w:r>
      <w:r w:rsidR="00D54E09" w:rsidRPr="00D54E09">
        <w:t>T</w:t>
      </w:r>
      <w:r w:rsidRPr="00D54E09">
        <w:t>he foreign owner may be reluctant to enter the U.S</w:t>
      </w:r>
      <w:r w:rsidR="00D54E09" w:rsidRPr="00D54E09">
        <w:t>.</w:t>
      </w:r>
      <w:r w:rsidR="00D54E09" w:rsidRPr="00D54E09">
        <w:t xml:space="preserve"> </w:t>
      </w:r>
      <w:r w:rsidR="00D54E09" w:rsidRPr="00D54E09">
        <w:t>l</w:t>
      </w:r>
      <w:r w:rsidRPr="00D54E09">
        <w:t>egal system and may have provided by contract for suits to be brought by the licensee.</w:t>
      </w:r>
      <w:r w:rsidR="00D54E09" w:rsidRPr="00D54E09">
        <w:rPr>
          <w:vertAlign w:val="superscript"/>
        </w:rPr>
        <w:footnoteReference w:id="20"/>
      </w:r>
      <w:r w:rsidRPr="00D54E09">
        <w:t xml:space="preserve"> Moreover, an exclusive licensee has a significant interest in protecting its product’s mark in this country</w:t>
      </w:r>
      <w:r w:rsidR="00D54E09" w:rsidRPr="00D54E09">
        <w:t>.</w:t>
      </w:r>
      <w:r w:rsidR="00D54E09" w:rsidRPr="00D54E09">
        <w:t xml:space="preserve"> </w:t>
      </w:r>
      <w:r w:rsidR="00D54E09" w:rsidRPr="00D54E09">
        <w:t>H</w:t>
      </w:r>
      <w:r w:rsidRPr="00D54E09">
        <w:t xml:space="preserve">owever, given the limitation of the TDRA to famous </w:t>
      </w:r>
      <w:r w:rsidRPr="00D54E09">
        <w:lastRenderedPageBreak/>
        <w:t>marks, it is not unreasonable to require the actual owner to bring the suit</w:t>
      </w:r>
      <w:r w:rsidR="00D54E09" w:rsidRPr="00D54E09">
        <w:t>.</w:t>
      </w:r>
      <w:r w:rsidR="00D54E09" w:rsidRPr="00D54E09">
        <w:t xml:space="preserve"> </w:t>
      </w:r>
      <w:r w:rsidR="00D54E09" w:rsidRPr="00D54E09">
        <w:t>P</w:t>
      </w:r>
      <w:r w:rsidRPr="00D54E09">
        <w:t>ayment for the suit by the licensee still could be mandated by contract.</w:t>
      </w:r>
      <w:r w:rsidR="00D54E09" w:rsidRPr="00D54E09">
        <w:rPr>
          <w:vertAlign w:val="superscript"/>
        </w:rPr>
        <w:footnoteReference w:id="21"/>
      </w:r>
      <w:r w:rsidRPr="00D54E09">
        <w:t xml:space="preserve"> Even in the case of an exclusive licensee, however, it has been held that there is no standing under the TDRA because only an “owner” can bring suit.</w:t>
      </w:r>
      <w:r w:rsidR="00D54E09" w:rsidRPr="00D54E09">
        <w:rPr>
          <w:vertAlign w:val="superscript"/>
        </w:rPr>
        <w:footnoteReference w:id="22"/>
      </w:r>
    </w:p>
    <w:p w14:paraId="3C032DA7" w14:textId="7C685273" w:rsidR="00D54E09" w:rsidRPr="00D54E09" w:rsidRDefault="00D20597" w:rsidP="00D54E09">
      <w:pPr>
        <w:pStyle w:val="BNormal"/>
      </w:pPr>
      <w:r w:rsidRPr="00D54E09">
        <w:t xml:space="preserve">In </w:t>
      </w:r>
      <w:r w:rsidR="00D54E09" w:rsidRPr="00D54E09">
        <w:rPr>
          <w:i/>
        </w:rPr>
        <w:t>STX, Inc</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Bauer USA, Inc</w:t>
      </w:r>
      <w:r w:rsidRPr="00D54E09">
        <w:t>.,</w:t>
      </w:r>
      <w:r w:rsidR="00D54E09" w:rsidRPr="00D54E09">
        <w:rPr>
          <w:vertAlign w:val="superscript"/>
        </w:rPr>
        <w:footnoteReference w:id="23"/>
      </w:r>
      <w:r w:rsidRPr="00D54E09">
        <w:t xml:space="preserve"> the court, on its own motion, dismissed an FTDA claim brought by an exclusive licensee.</w:t>
      </w:r>
      <w:r w:rsidR="00D54E09" w:rsidRPr="00D54E09">
        <w:rPr>
          <w:vertAlign w:val="superscript"/>
        </w:rPr>
        <w:footnoteReference w:id="24"/>
      </w:r>
      <w:r w:rsidRPr="00D54E09">
        <w:t xml:space="preserve"> The court noted that Congress knew how to permit broad standing when it wished to do so</w:t>
      </w:r>
      <w:r w:rsidR="00D54E09" w:rsidRPr="00D54E09">
        <w:t>;</w:t>
      </w:r>
      <w:r w:rsidR="00D54E09" w:rsidRPr="00D54E09">
        <w:t xml:space="preserve"> </w:t>
      </w:r>
      <w:r w:rsidR="00D54E09" w:rsidRPr="00D54E09">
        <w:t>i</w:t>
      </w:r>
      <w:r w:rsidRPr="00D54E09">
        <w:t>t contrasted the provisions of Section 43(a), under which any user of the mark can sue,</w:t>
      </w:r>
      <w:r w:rsidR="00D54E09" w:rsidRPr="00D54E09">
        <w:rPr>
          <w:vertAlign w:val="superscript"/>
        </w:rPr>
        <w:footnoteReference w:id="25"/>
      </w:r>
      <w:r w:rsidRPr="00D54E09">
        <w:t xml:space="preserve"> with the very specific wording of Section 43(c), which limits relief to the “owner” of a famous mark.</w:t>
      </w:r>
      <w:r w:rsidR="00D54E09" w:rsidRPr="00D54E09">
        <w:rPr>
          <w:vertAlign w:val="superscript"/>
        </w:rPr>
        <w:footnoteReference w:id="26"/>
      </w:r>
      <w:r w:rsidRPr="00D54E09">
        <w:t xml:space="preserve"> The court further noted that the license agreement reserved to the trademark owner the right to decide whether to bring an infringement suit.</w:t>
      </w:r>
      <w:r w:rsidR="00D54E09" w:rsidRPr="00D54E09">
        <w:rPr>
          <w:vertAlign w:val="superscript"/>
        </w:rPr>
        <w:footnoteReference w:id="27"/>
      </w:r>
      <w:r w:rsidRPr="00D54E09">
        <w:t xml:space="preserve"> Although the court did not say so, this leaves open the possibility that a licensee that has the power to bring suits on its own might have standing</w:t>
      </w:r>
      <w:r w:rsidR="00D54E09" w:rsidRPr="00D54E09">
        <w:t>.</w:t>
      </w:r>
      <w:r w:rsidR="00D54E09" w:rsidRPr="00D54E09">
        <w:t xml:space="preserve"> </w:t>
      </w:r>
      <w:r w:rsidR="00D54E09" w:rsidRPr="00D54E09">
        <w:t>O</w:t>
      </w:r>
      <w:r w:rsidRPr="00D54E09">
        <w:t>ne likely situation would be a foreign trademark owner with an exclusive U.S</w:t>
      </w:r>
      <w:r w:rsidR="00D54E09" w:rsidRPr="00D54E09">
        <w:t>.</w:t>
      </w:r>
      <w:r w:rsidR="00D54E09" w:rsidRPr="00D54E09">
        <w:t xml:space="preserve"> </w:t>
      </w:r>
      <w:r w:rsidR="00D54E09" w:rsidRPr="00D54E09">
        <w:t>l</w:t>
      </w:r>
      <w:r w:rsidRPr="00D54E09">
        <w:t>icensee</w:t>
      </w:r>
      <w:r w:rsidR="00D54E09" w:rsidRPr="00D54E09">
        <w:t>.</w:t>
      </w:r>
      <w:r w:rsidR="00D54E09" w:rsidRPr="00D54E09">
        <w:t xml:space="preserve"> </w:t>
      </w:r>
      <w:r w:rsidR="00D54E09" w:rsidRPr="00D54E09">
        <w:t>T</w:t>
      </w:r>
      <w:r w:rsidRPr="00D54E09">
        <w:t xml:space="preserve">he foreign owner might empower the domestic licensee to make litigation decisions </w:t>
      </w:r>
      <w:proofErr w:type="gramStart"/>
      <w:r w:rsidRPr="00D54E09">
        <w:t>in order to</w:t>
      </w:r>
      <w:proofErr w:type="gramEnd"/>
      <w:r w:rsidRPr="00D54E09">
        <w:t xml:space="preserve"> avoid entangling the foreign entity in U.S</w:t>
      </w:r>
      <w:r w:rsidR="00D54E09" w:rsidRPr="00D54E09">
        <w:t>.</w:t>
      </w:r>
      <w:r w:rsidR="00D54E09" w:rsidRPr="00D54E09">
        <w:t xml:space="preserve"> </w:t>
      </w:r>
      <w:r w:rsidR="00D54E09" w:rsidRPr="00D54E09">
        <w:t>c</w:t>
      </w:r>
      <w:r w:rsidRPr="00D54E09">
        <w:t>ourts.</w:t>
      </w:r>
    </w:p>
    <w:p w14:paraId="22864EA2" w14:textId="20CC5911" w:rsidR="00D54E09" w:rsidRPr="00D54E09" w:rsidRDefault="00D20597" w:rsidP="00D54E09">
      <w:pPr>
        <w:pStyle w:val="BNormal"/>
      </w:pPr>
      <w:r w:rsidRPr="00D54E09">
        <w:t xml:space="preserve">The “fact specific” nature of the license agreement was cited by the court in </w:t>
      </w:r>
      <w:r w:rsidR="00D54E09" w:rsidRPr="00D54E09">
        <w:rPr>
          <w:i/>
        </w:rPr>
        <w:t>World Championship Wrestling v</w:t>
      </w:r>
      <w:r w:rsidR="00D54E09" w:rsidRPr="00D54E09">
        <w:t>.</w:t>
      </w:r>
      <w:r w:rsidR="00D54E09" w:rsidRPr="00D54E09">
        <w:t xml:space="preserve"> </w:t>
      </w:r>
      <w:r w:rsidR="00D54E09" w:rsidRPr="00D54E09">
        <w:rPr>
          <w:i/>
        </w:rPr>
        <w:t>Titan Sports, Inc</w:t>
      </w:r>
      <w:r w:rsidR="00D54E09" w:rsidRPr="00D54E09">
        <w:t>.</w:t>
      </w:r>
      <w:r w:rsidR="00D54E09" w:rsidRPr="00D54E09">
        <w:t xml:space="preserve"> </w:t>
      </w:r>
      <w:r w:rsidR="00D54E09" w:rsidRPr="00D54E09">
        <w:rPr>
          <w:i/>
        </w:rPr>
        <w:t>(WCW)</w:t>
      </w:r>
      <w:r w:rsidRPr="00D54E09">
        <w:t>,</w:t>
      </w:r>
      <w:r w:rsidR="00D54E09" w:rsidRPr="00D54E09">
        <w:rPr>
          <w:vertAlign w:val="superscript"/>
        </w:rPr>
        <w:footnoteReference w:id="28"/>
      </w:r>
      <w:r w:rsidRPr="00D54E09">
        <w:t xml:space="preserve"> as the basis for distinguishing the </w:t>
      </w:r>
      <w:r w:rsidR="00D54E09" w:rsidRPr="00D54E09">
        <w:rPr>
          <w:i/>
        </w:rPr>
        <w:t>STX</w:t>
      </w:r>
      <w:r w:rsidRPr="00D54E09">
        <w:t xml:space="preserve"> decision.</w:t>
      </w:r>
      <w:r w:rsidR="00D54E09" w:rsidRPr="00D54E09">
        <w:rPr>
          <w:vertAlign w:val="superscript"/>
        </w:rPr>
        <w:footnoteReference w:id="29"/>
      </w:r>
      <w:r w:rsidRPr="00D54E09">
        <w:t xml:space="preserve"> In </w:t>
      </w:r>
      <w:r w:rsidR="00D54E09" w:rsidRPr="00D54E09">
        <w:rPr>
          <w:i/>
        </w:rPr>
        <w:t>WCW</w:t>
      </w:r>
      <w:r w:rsidRPr="00D54E09">
        <w:t>, the plaintiff was the exclusive licensee of the “stage names” used by various wrestlers with which it contracted.</w:t>
      </w:r>
      <w:r w:rsidR="00D54E09" w:rsidRPr="00D54E09">
        <w:rPr>
          <w:vertAlign w:val="superscript"/>
        </w:rPr>
        <w:footnoteReference w:id="30"/>
      </w:r>
      <w:r w:rsidRPr="00D54E09">
        <w:t xml:space="preserve"> The </w:t>
      </w:r>
      <w:r w:rsidR="00D54E09" w:rsidRPr="00D54E09">
        <w:rPr>
          <w:i/>
        </w:rPr>
        <w:t>WCW</w:t>
      </w:r>
      <w:r w:rsidRPr="00D54E09">
        <w:t xml:space="preserve"> case was at the pleading stage, and the court was willing to permit the plaintiff to “show that its licensing agreement</w:t>
      </w:r>
      <w:r w:rsidR="00D54E09" w:rsidRPr="00D54E09">
        <w:t xml:space="preserve"> </w:t>
      </w:r>
      <w:r w:rsidRPr="00D54E09">
        <w:t>…</w:t>
      </w:r>
      <w:r w:rsidR="00D54E09" w:rsidRPr="00D54E09">
        <w:t xml:space="preserve"> </w:t>
      </w:r>
      <w:r w:rsidRPr="00D54E09">
        <w:t>provides greater ownership rights than the one at issue in STX.”</w:t>
      </w:r>
      <w:r w:rsidR="00D54E09" w:rsidRPr="00D54E09">
        <w:rPr>
          <w:vertAlign w:val="superscript"/>
        </w:rPr>
        <w:footnoteReference w:id="31"/>
      </w:r>
      <w:r w:rsidRPr="00D54E09">
        <w:t xml:space="preserve"> However, the court did not specify what additional rights would suffice to permit the plaintiff to be considered an “owner.”</w:t>
      </w:r>
      <w:r w:rsidR="00D54E09" w:rsidRPr="00D54E09">
        <w:rPr>
          <w:vertAlign w:val="superscript"/>
        </w:rPr>
        <w:footnoteReference w:id="32"/>
      </w:r>
    </w:p>
    <w:p w14:paraId="69939959" w14:textId="50E37CE6" w:rsidR="00D54E09" w:rsidRPr="00D54E09" w:rsidRDefault="00D20597" w:rsidP="00D54E09">
      <w:pPr>
        <w:pStyle w:val="BNormal"/>
      </w:pPr>
      <w:r w:rsidRPr="00D54E09">
        <w:t xml:space="preserve">In a subsequent case, </w:t>
      </w:r>
      <w:r w:rsidR="00D54E09" w:rsidRPr="00D54E09">
        <w:rPr>
          <w:i/>
        </w:rPr>
        <w:t>Prince of Peace Enterprises, Inc</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Top Quality Food Market, LLC</w:t>
      </w:r>
      <w:r w:rsidRPr="00D54E09">
        <w:t>,</w:t>
      </w:r>
      <w:r w:rsidR="00D54E09" w:rsidRPr="00D54E09">
        <w:rPr>
          <w:vertAlign w:val="superscript"/>
        </w:rPr>
        <w:footnoteReference w:id="33"/>
      </w:r>
      <w:r w:rsidRPr="00D54E09">
        <w:t xml:space="preserve"> the court specifically disagreed with the </w:t>
      </w:r>
      <w:r w:rsidR="00D54E09" w:rsidRPr="00D54E09">
        <w:rPr>
          <w:i/>
        </w:rPr>
        <w:t>WCW</w:t>
      </w:r>
      <w:r w:rsidRPr="00D54E09">
        <w:t xml:space="preserve"> reasoning and sided with the </w:t>
      </w:r>
      <w:r w:rsidR="00D54E09" w:rsidRPr="00D54E09">
        <w:rPr>
          <w:i/>
        </w:rPr>
        <w:t>STX</w:t>
      </w:r>
      <w:r w:rsidRPr="00D54E09">
        <w:t xml:space="preserve"> court, holding that a licensee is not an </w:t>
      </w:r>
      <w:r w:rsidRPr="00D54E09">
        <w:lastRenderedPageBreak/>
        <w:t>owner within the meaning of Section 43(c)(1).</w:t>
      </w:r>
      <w:r w:rsidR="00D54E09" w:rsidRPr="00D54E09">
        <w:rPr>
          <w:vertAlign w:val="superscript"/>
        </w:rPr>
        <w:footnoteReference w:id="34"/>
      </w:r>
      <w:r w:rsidRPr="00D54E09">
        <w:t xml:space="preserve"> However, another court rejected the result in </w:t>
      </w:r>
      <w:r w:rsidR="00D54E09" w:rsidRPr="00D54E09">
        <w:rPr>
          <w:i/>
        </w:rPr>
        <w:t>Prince of Peace</w:t>
      </w:r>
      <w:r w:rsidRPr="00D54E09">
        <w:t xml:space="preserve"> and held that an exclusive licensee with “the right to exclude others, grant sublicenses, and enforce the mark in the United States” could be considered an owner.</w:t>
      </w:r>
      <w:r w:rsidR="00D54E09" w:rsidRPr="00D54E09">
        <w:rPr>
          <w:vertAlign w:val="superscript"/>
        </w:rPr>
        <w:footnoteReference w:id="35"/>
      </w:r>
    </w:p>
    <w:p w14:paraId="600C9B6A" w14:textId="7A3000B9" w:rsidR="00D54E09" w:rsidRPr="00D54E09" w:rsidRDefault="00D20597" w:rsidP="00D54E09">
      <w:pPr>
        <w:pStyle w:val="BNormal"/>
      </w:pPr>
      <w:r w:rsidRPr="00D54E09">
        <w:t xml:space="preserve">Both </w:t>
      </w:r>
      <w:r w:rsidR="00D54E09" w:rsidRPr="00D54E09">
        <w:rPr>
          <w:i/>
        </w:rPr>
        <w:t>STX</w:t>
      </w:r>
      <w:r w:rsidRPr="00D54E09">
        <w:t xml:space="preserve"> and </w:t>
      </w:r>
      <w:r w:rsidR="00D54E09" w:rsidRPr="00D54E09">
        <w:rPr>
          <w:i/>
        </w:rPr>
        <w:t>WCW</w:t>
      </w:r>
      <w:r w:rsidRPr="00D54E09">
        <w:t xml:space="preserve"> involved exclusive licenses</w:t>
      </w:r>
      <w:r w:rsidR="00D54E09" w:rsidRPr="00D54E09">
        <w:t>.</w:t>
      </w:r>
      <w:r w:rsidR="00D54E09" w:rsidRPr="00D54E09">
        <w:t xml:space="preserve"> </w:t>
      </w:r>
      <w:r w:rsidR="00D54E09" w:rsidRPr="00D54E09">
        <w:t>W</w:t>
      </w:r>
      <w:r w:rsidRPr="00D54E09">
        <w:t xml:space="preserve">hatever the merits of granting standing to an exclusive licensee, there is no reason to permit a nonexclusive </w:t>
      </w:r>
      <w:proofErr w:type="spellStart"/>
      <w:r w:rsidRPr="00D54E09">
        <w:t>licensee</w:t>
      </w:r>
      <w:proofErr w:type="spellEnd"/>
      <w:r w:rsidRPr="00D54E09">
        <w:t xml:space="preserve"> to sue for dilution</w:t>
      </w:r>
      <w:r w:rsidR="00D54E09" w:rsidRPr="00D54E09">
        <w:t>.</w:t>
      </w:r>
      <w:r w:rsidR="00D54E09" w:rsidRPr="00D54E09">
        <w:t xml:space="preserve"> </w:t>
      </w:r>
      <w:r w:rsidR="00D54E09" w:rsidRPr="00D54E09">
        <w:t>U</w:t>
      </w:r>
      <w:r w:rsidRPr="00D54E09">
        <w:t>nlike the situation with respect to infringement (confusion) suits, the injury to the licensee is indirect, since dilution targets the property right of the trademark, not deception by the defendant.</w:t>
      </w:r>
    </w:p>
    <w:p w14:paraId="186AA89D" w14:textId="1E98B105" w:rsidR="00D54E09" w:rsidRPr="00D54E09" w:rsidRDefault="00D20597" w:rsidP="00D54E09">
      <w:pPr>
        <w:pStyle w:val="BNormal"/>
      </w:pPr>
      <w:proofErr w:type="gramStart"/>
      <w:r w:rsidRPr="00D54E09">
        <w:t>Licensees</w:t>
      </w:r>
      <w:proofErr w:type="gramEnd"/>
      <w:r w:rsidRPr="00D54E09">
        <w:t xml:space="preserve"> are clearly subordinate to owners, regardless of the effect on standing</w:t>
      </w:r>
      <w:r w:rsidR="00D54E09" w:rsidRPr="00D54E09">
        <w:t>.</w:t>
      </w:r>
      <w:r w:rsidR="00D54E09" w:rsidRPr="00D54E09">
        <w:t xml:space="preserve"> </w:t>
      </w:r>
      <w:r w:rsidR="00D54E09" w:rsidRPr="00D54E09">
        <w:t>H</w:t>
      </w:r>
      <w:r w:rsidRPr="00D54E09">
        <w:t xml:space="preserve">owever, it is also possible to have multiple </w:t>
      </w:r>
      <w:r w:rsidR="00D54E09" w:rsidRPr="00D54E09">
        <w:rPr>
          <w:i/>
        </w:rPr>
        <w:t>owners</w:t>
      </w:r>
      <w:r w:rsidRPr="00D54E09">
        <w:t xml:space="preserve"> of a trademark</w:t>
      </w:r>
      <w:r w:rsidR="00D54E09" w:rsidRPr="00D54E09">
        <w:t>.</w:t>
      </w:r>
      <w:r w:rsidR="00D54E09" w:rsidRPr="00D54E09">
        <w:t xml:space="preserve"> </w:t>
      </w:r>
      <w:r w:rsidR="00D54E09" w:rsidRPr="00D54E09">
        <w:t>I</w:t>
      </w:r>
      <w:r w:rsidRPr="00D54E09">
        <w:t>n what appears to be the first published opinion on this issue, a district court held that the FTDA does not permit a suit between co-owners of a mark.</w:t>
      </w:r>
      <w:r w:rsidR="00D54E09" w:rsidRPr="00D54E09">
        <w:rPr>
          <w:vertAlign w:val="superscript"/>
        </w:rPr>
        <w:footnoteReference w:id="36"/>
      </w:r>
    </w:p>
    <w:p w14:paraId="1DF29BFE" w14:textId="402C316F" w:rsidR="00D54E09" w:rsidRPr="00D54E09" w:rsidRDefault="00D20597" w:rsidP="00D54E09">
      <w:pPr>
        <w:pStyle w:val="BNormal"/>
      </w:pPr>
      <w:r w:rsidRPr="00D54E09">
        <w:t xml:space="preserve">Another “ownership” issue was discussed in </w:t>
      </w:r>
      <w:proofErr w:type="spellStart"/>
      <w:r w:rsidR="00D54E09" w:rsidRPr="00D54E09">
        <w:rPr>
          <w:i/>
        </w:rPr>
        <w:t>Empresa</w:t>
      </w:r>
      <w:proofErr w:type="spellEnd"/>
      <w:r w:rsidR="00D54E09" w:rsidRPr="00D54E09">
        <w:rPr>
          <w:i/>
        </w:rPr>
        <w:t xml:space="preserve"> Cubana Del Tabaco v</w:t>
      </w:r>
      <w:r w:rsidR="00D54E09" w:rsidRPr="00D54E09">
        <w:t>.</w:t>
      </w:r>
      <w:r w:rsidR="00D54E09" w:rsidRPr="00D54E09">
        <w:t xml:space="preserve"> </w:t>
      </w:r>
      <w:proofErr w:type="spellStart"/>
      <w:r w:rsidR="00D54E09" w:rsidRPr="00D54E09">
        <w:rPr>
          <w:i/>
        </w:rPr>
        <w:t>Culbro</w:t>
      </w:r>
      <w:proofErr w:type="spellEnd"/>
      <w:r w:rsidR="00D54E09" w:rsidRPr="00D54E09">
        <w:rPr>
          <w:i/>
        </w:rPr>
        <w:t xml:space="preserve"> Corp</w:t>
      </w:r>
      <w:r w:rsidRPr="00D54E09">
        <w:t>.,</w:t>
      </w:r>
      <w:r w:rsidR="00D54E09" w:rsidRPr="00D54E09">
        <w:rPr>
          <w:vertAlign w:val="superscript"/>
        </w:rPr>
        <w:footnoteReference w:id="37"/>
      </w:r>
      <w:r w:rsidRPr="00D54E09">
        <w:t xml:space="preserve"> where a dilution claim was asserted by a Cuban cigar company barred from doing business in the United States by the U.S</w:t>
      </w:r>
      <w:r w:rsidR="00D54E09" w:rsidRPr="00D54E09">
        <w:t>.</w:t>
      </w:r>
      <w:r w:rsidR="00D54E09" w:rsidRPr="00D54E09">
        <w:t xml:space="preserve"> </w:t>
      </w:r>
      <w:r w:rsidR="00D54E09" w:rsidRPr="00D54E09">
        <w:t>e</w:t>
      </w:r>
      <w:r w:rsidRPr="00D54E09">
        <w:t>mbargo of Cuba</w:t>
      </w:r>
      <w:r w:rsidR="00D54E09" w:rsidRPr="00D54E09">
        <w:t>.</w:t>
      </w:r>
      <w:r w:rsidR="00D54E09" w:rsidRPr="00D54E09">
        <w:t xml:space="preserve"> </w:t>
      </w:r>
      <w:r w:rsidR="00D54E09" w:rsidRPr="00D54E09">
        <w:t>T</w:t>
      </w:r>
      <w:r w:rsidRPr="00D54E09">
        <w:t>he district court held that a company that had not sold its goods in the United States could be the “owner” of a mark for FTDA purposes if its mark was famous in the United States and pointed to the foreign company.</w:t>
      </w:r>
      <w:r w:rsidR="00D54E09" w:rsidRPr="00D54E09">
        <w:rPr>
          <w:vertAlign w:val="superscript"/>
        </w:rPr>
        <w:footnoteReference w:id="38"/>
      </w:r>
    </w:p>
    <w:p w14:paraId="2E9CF6A0" w14:textId="32B63103" w:rsidR="00D54E09" w:rsidRPr="00D54E09" w:rsidRDefault="00D54E09" w:rsidP="00D54E09">
      <w:pPr>
        <w:pStyle w:val="BHead2"/>
      </w:pPr>
      <w:r>
        <w:t>7.II.</w:t>
      </w:r>
      <w:r w:rsidRPr="00D54E09">
        <w:rPr>
          <w:rStyle w:val="BBNAidChar"/>
          <w:rFonts w:eastAsiaTheme="majorEastAsia"/>
        </w:rPr>
        <w:t>B</w:t>
      </w:r>
      <w:r w:rsidRPr="00D54E09">
        <w:t>.</w:t>
      </w:r>
      <w:r>
        <w:t> </w:t>
      </w:r>
      <w:r w:rsidRPr="00D54E09">
        <w:tab/>
        <w:t>Protection Extends Only to a “Mark”</w:t>
      </w:r>
    </w:p>
    <w:p w14:paraId="34072F82" w14:textId="7A7135D4" w:rsidR="00D54E09" w:rsidRPr="00D54E09" w:rsidRDefault="00D20597" w:rsidP="00D54E09">
      <w:pPr>
        <w:pStyle w:val="BNormal"/>
      </w:pPr>
      <w:r w:rsidRPr="00D54E09">
        <w:t>The federal dilution statute only protects “marks.” As discussed in Chapter 2, a few state dilution statutes expressly protect trade names, as well as labels and “forms of advertisement.”</w:t>
      </w:r>
      <w:r w:rsidR="00D54E09" w:rsidRPr="00D54E09">
        <w:rPr>
          <w:vertAlign w:val="superscript"/>
        </w:rPr>
        <w:footnoteReference w:id="39"/>
      </w:r>
      <w:r w:rsidRPr="00D54E09">
        <w:t xml:space="preserve"> The term “mark” is broadly defined by the Lanham Act</w:t>
      </w:r>
      <w:r w:rsidR="00D54E09" w:rsidRPr="00D54E09">
        <w:t>;</w:t>
      </w:r>
      <w:r w:rsidR="00D54E09" w:rsidRPr="00D54E09">
        <w:t xml:space="preserve"> </w:t>
      </w:r>
      <w:r w:rsidR="00D54E09" w:rsidRPr="00D54E09">
        <w:t>h</w:t>
      </w:r>
      <w:r w:rsidRPr="00D54E09">
        <w:t>owever, the definition does require that the item put forth as a mark (word, device, etc.) be a source identifier.</w:t>
      </w:r>
      <w:r w:rsidR="00D54E09" w:rsidRPr="00D54E09">
        <w:rPr>
          <w:vertAlign w:val="superscript"/>
        </w:rPr>
        <w:footnoteReference w:id="40"/>
      </w:r>
      <w:r w:rsidRPr="00D54E09">
        <w:t xml:space="preserve"> Although a distinctive label </w:t>
      </w:r>
      <w:r w:rsidR="00D54E09" w:rsidRPr="00D54E09">
        <w:rPr>
          <w:i/>
        </w:rPr>
        <w:t>could</w:t>
      </w:r>
      <w:r w:rsidRPr="00D54E09">
        <w:t xml:space="preserve"> be a source identifier, and thus a mark, not all </w:t>
      </w:r>
      <w:r w:rsidRPr="00D54E09">
        <w:lastRenderedPageBreak/>
        <w:t>labels will be marks when divorced from the word or symbol placed on the label.</w:t>
      </w:r>
      <w:r w:rsidR="00D54E09" w:rsidRPr="00D54E09">
        <w:rPr>
          <w:vertAlign w:val="superscript"/>
        </w:rPr>
        <w:footnoteReference w:id="41"/>
      </w:r>
    </w:p>
    <w:p w14:paraId="78EBBB0E" w14:textId="04BFC92C" w:rsidR="00D54E09" w:rsidRPr="00D54E09" w:rsidRDefault="00D20597" w:rsidP="00D54E09">
      <w:pPr>
        <w:pStyle w:val="BNormal"/>
      </w:pPr>
      <w:r w:rsidRPr="00D54E09">
        <w:t>Furthermore, the Lanham Act distinguishes between a “trademark” and a “trade name.”</w:t>
      </w:r>
      <w:r w:rsidR="00D54E09" w:rsidRPr="00D54E09">
        <w:rPr>
          <w:vertAlign w:val="superscript"/>
        </w:rPr>
        <w:footnoteReference w:id="42"/>
      </w:r>
      <w:r w:rsidRPr="00D54E09">
        <w:t xml:space="preserve"> A trade name does not necessarily act as a trademark</w:t>
      </w:r>
      <w:r w:rsidR="00D54E09" w:rsidRPr="00D54E09">
        <w:t>.</w:t>
      </w:r>
      <w:r w:rsidR="00D54E09" w:rsidRPr="00D54E09">
        <w:t xml:space="preserve"> </w:t>
      </w:r>
      <w:r w:rsidR="00D54E09" w:rsidRPr="00D54E09">
        <w:t>T</w:t>
      </w:r>
      <w:r w:rsidRPr="00D54E09">
        <w:t>herefore, a trade name that did not also act as a trademark would not be eligible for dilution protection</w:t>
      </w:r>
      <w:r w:rsidR="00D54E09" w:rsidRPr="00D54E09">
        <w:t>.</w:t>
      </w:r>
      <w:r w:rsidR="00D54E09" w:rsidRPr="00D54E09">
        <w:t xml:space="preserve"> </w:t>
      </w:r>
      <w:r w:rsidR="00D54E09" w:rsidRPr="00D54E09">
        <w:t>T</w:t>
      </w:r>
      <w:r w:rsidRPr="00D54E09">
        <w:t>here is one small conceivable ambiguity in this aspect of the statute</w:t>
      </w:r>
      <w:r w:rsidR="00D54E09" w:rsidRPr="00D54E09">
        <w:t>.</w:t>
      </w:r>
      <w:r w:rsidR="00D54E09" w:rsidRPr="00D54E09">
        <w:t xml:space="preserve"> </w:t>
      </w:r>
      <w:r w:rsidR="00D54E09" w:rsidRPr="00D54E09">
        <w:t>S</w:t>
      </w:r>
      <w:r w:rsidRPr="00D54E09">
        <w:t>ection 43(c)(1) begins by conferring a right of action on the owner of a famous “mark.” However, later in the same sentence, the statute allows injunctive relief “against another person who</w:t>
      </w:r>
      <w:r w:rsidR="00D54E09" w:rsidRPr="00D54E09">
        <w:t xml:space="preserve"> </w:t>
      </w:r>
      <w:r w:rsidRPr="00D54E09">
        <w:t>…</w:t>
      </w:r>
      <w:r w:rsidR="00D54E09" w:rsidRPr="00D54E09">
        <w:t xml:space="preserve"> </w:t>
      </w:r>
      <w:r w:rsidRPr="00D54E09">
        <w:t>commences use of a mark or trade name in commerce.”</w:t>
      </w:r>
      <w:r w:rsidR="00D54E09" w:rsidRPr="00D54E09">
        <w:rPr>
          <w:vertAlign w:val="superscript"/>
        </w:rPr>
        <w:footnoteReference w:id="43"/>
      </w:r>
      <w:r w:rsidRPr="00D54E09">
        <w:t xml:space="preserve"> Logically, this language simply defines the uses that can be enjoined, i.e., a use as a mark or trade name</w:t>
      </w:r>
      <w:r w:rsidR="00D54E09" w:rsidRPr="00D54E09">
        <w:t>.</w:t>
      </w:r>
      <w:r w:rsidR="00D54E09" w:rsidRPr="00D54E09">
        <w:t xml:space="preserve"> </w:t>
      </w:r>
      <w:r w:rsidR="00D54E09" w:rsidRPr="00D54E09">
        <w:t>I</w:t>
      </w:r>
      <w:r w:rsidRPr="00D54E09">
        <w:t>t is possible that Congress intended by this language also to confer standing to sue on the owner of a famous trade name</w:t>
      </w:r>
      <w:r w:rsidR="00D54E09" w:rsidRPr="00D54E09">
        <w:t>.</w:t>
      </w:r>
      <w:r w:rsidR="00D54E09" w:rsidRPr="00D54E09">
        <w:t xml:space="preserve"> </w:t>
      </w:r>
      <w:r w:rsidR="00D54E09" w:rsidRPr="00D54E09">
        <w:t>H</w:t>
      </w:r>
      <w:r w:rsidRPr="00D54E09">
        <w:t xml:space="preserve">owever, such </w:t>
      </w:r>
      <w:proofErr w:type="gramStart"/>
      <w:r w:rsidRPr="00D54E09">
        <w:t>an ambiguity</w:t>
      </w:r>
      <w:proofErr w:type="gramEnd"/>
      <w:r w:rsidRPr="00D54E09">
        <w:t xml:space="preserve"> should be resolved against </w:t>
      </w:r>
      <w:proofErr w:type="gramStart"/>
      <w:r w:rsidRPr="00D54E09">
        <w:t>a finding</w:t>
      </w:r>
      <w:proofErr w:type="gramEnd"/>
      <w:r w:rsidRPr="00D54E09">
        <w:t xml:space="preserve"> of eligibility</w:t>
      </w:r>
      <w:r w:rsidR="00D54E09" w:rsidRPr="00D54E09">
        <w:t>.</w:t>
      </w:r>
      <w:r w:rsidR="00D54E09" w:rsidRPr="00D54E09">
        <w:t xml:space="preserve"> </w:t>
      </w:r>
      <w:r w:rsidR="00D54E09" w:rsidRPr="00D54E09">
        <w:t>F</w:t>
      </w:r>
      <w:r w:rsidRPr="00D54E09">
        <w:t>irst, all other references in the statute are to a famous “mark.” Thus, it appears that the trade name language describes only the proscribed use, not the beneficiary of the dilution claim</w:t>
      </w:r>
      <w:r w:rsidR="00D54E09" w:rsidRPr="00D54E09">
        <w:t>.</w:t>
      </w:r>
      <w:r w:rsidR="00D54E09" w:rsidRPr="00D54E09">
        <w:t xml:space="preserve"> </w:t>
      </w:r>
      <w:r w:rsidR="00D54E09" w:rsidRPr="00D54E09">
        <w:t>S</w:t>
      </w:r>
      <w:r w:rsidRPr="00D54E09">
        <w:t>econd, Section 43(c)(2)(A) refers only to a famous “mark” and defines it in terms of consumer recognition of the device as a source identifier.</w:t>
      </w:r>
      <w:r w:rsidR="00D54E09" w:rsidRPr="00D54E09">
        <w:rPr>
          <w:vertAlign w:val="superscript"/>
        </w:rPr>
        <w:footnoteReference w:id="44"/>
      </w:r>
      <w:r w:rsidRPr="00D54E09">
        <w:t xml:space="preserve"> Moreover, one would expect a famous trade name also to be used as a trademark.</w:t>
      </w:r>
    </w:p>
    <w:p w14:paraId="07CD6246" w14:textId="12831C7B" w:rsidR="00D54E09" w:rsidRPr="00D54E09" w:rsidRDefault="00D54E09" w:rsidP="00D54E09">
      <w:pPr>
        <w:pStyle w:val="BHead2"/>
      </w:pPr>
      <w:r>
        <w:t>7.II.</w:t>
      </w:r>
      <w:r w:rsidRPr="00D54E09">
        <w:rPr>
          <w:rStyle w:val="BBNAidChar"/>
          <w:rFonts w:eastAsiaTheme="majorEastAsia"/>
        </w:rPr>
        <w:t>C</w:t>
      </w:r>
      <w:r w:rsidRPr="00D54E09">
        <w:t>.</w:t>
      </w:r>
      <w:r>
        <w:t> </w:t>
      </w:r>
      <w:r w:rsidRPr="00D54E09">
        <w:tab/>
        <w:t>Unregistered Marks Are Protected by the TDRA</w:t>
      </w:r>
    </w:p>
    <w:p w14:paraId="3DF855FA" w14:textId="452A3D0E" w:rsidR="00D54E09" w:rsidRPr="00D54E09" w:rsidRDefault="00D20597" w:rsidP="00D54E09">
      <w:pPr>
        <w:pStyle w:val="BNormal"/>
      </w:pPr>
      <w:r w:rsidRPr="00D54E09">
        <w:t>As originally proposed in both 1988 and 1995, federal dilution law would have protected only federally registered marks.</w:t>
      </w:r>
      <w:r w:rsidR="00D54E09" w:rsidRPr="00D54E09">
        <w:rPr>
          <w:vertAlign w:val="superscript"/>
        </w:rPr>
        <w:footnoteReference w:id="45"/>
      </w:r>
      <w:r w:rsidRPr="00D54E09">
        <w:t xml:space="preserve"> However, a late amendment in 1995 extended federal dilution protection to unregistered marks as well (</w:t>
      </w:r>
      <w:proofErr w:type="gramStart"/>
      <w:r w:rsidRPr="00D54E09">
        <w:t>as long as</w:t>
      </w:r>
      <w:proofErr w:type="gramEnd"/>
      <w:r w:rsidRPr="00D54E09">
        <w:t xml:space="preserve"> they are famous).</w:t>
      </w:r>
      <w:r w:rsidR="00D54E09" w:rsidRPr="00D54E09">
        <w:rPr>
          <w:vertAlign w:val="superscript"/>
        </w:rPr>
        <w:footnoteReference w:id="46"/>
      </w:r>
      <w:r w:rsidRPr="00D54E09">
        <w:t xml:space="preserve"> This was not changed by the TDRA in 2006</w:t>
      </w:r>
      <w:r w:rsidR="00D54E09" w:rsidRPr="00D54E09">
        <w:t>.</w:t>
      </w:r>
      <w:r w:rsidR="00D54E09" w:rsidRPr="00D54E09">
        <w:t xml:space="preserve"> </w:t>
      </w:r>
      <w:r w:rsidR="00D54E09" w:rsidRPr="00D54E09">
        <w:t>T</w:t>
      </w:r>
      <w:r w:rsidRPr="00D54E09">
        <w:t>hus, the owners of both registered and unregistered famous marks may avail themselves of Section 43(c)</w:t>
      </w:r>
      <w:r w:rsidR="00D54E09" w:rsidRPr="00D54E09">
        <w:t>.</w:t>
      </w:r>
      <w:r w:rsidR="00D54E09" w:rsidRPr="00D54E09">
        <w:t xml:space="preserve"> </w:t>
      </w:r>
      <w:r w:rsidR="00D54E09" w:rsidRPr="00D54E09">
        <w:t>M</w:t>
      </w:r>
      <w:r w:rsidRPr="00D54E09">
        <w:t>oreover, both registered and unregistered marks that are famous may form the basis for opposition to registration of another, diluting mark.</w:t>
      </w:r>
    </w:p>
    <w:p w14:paraId="2BD97572" w14:textId="4AE84CBC" w:rsidR="00D54E09" w:rsidRPr="00D54E09" w:rsidRDefault="00D54E09" w:rsidP="00D54E09">
      <w:pPr>
        <w:pStyle w:val="BHead1"/>
      </w:pPr>
      <w:r>
        <w:t>7.</w:t>
      </w:r>
      <w:r w:rsidRPr="00D54E09">
        <w:rPr>
          <w:rStyle w:val="BBNAidChar"/>
          <w:rFonts w:eastAsiaTheme="majorEastAsia"/>
        </w:rPr>
        <w:t>III</w:t>
      </w:r>
      <w:r w:rsidRPr="00D54E09">
        <w:t>.</w:t>
      </w:r>
      <w:r>
        <w:t xml:space="preserve">  </w:t>
      </w:r>
      <w:r w:rsidRPr="00D54E09">
        <w:t>The Requirement of “Use in Commerce”</w:t>
      </w:r>
    </w:p>
    <w:p w14:paraId="06B9FD38" w14:textId="4CD4AF06" w:rsidR="00D54E09" w:rsidRPr="00D54E09" w:rsidRDefault="00D54E09" w:rsidP="00D54E09">
      <w:pPr>
        <w:pStyle w:val="BHead2"/>
      </w:pPr>
      <w:r>
        <w:t>7.III.</w:t>
      </w:r>
      <w:r w:rsidRPr="00D54E09">
        <w:rPr>
          <w:rStyle w:val="BBNAidChar"/>
          <w:rFonts w:eastAsiaTheme="majorEastAsia"/>
        </w:rPr>
        <w:t>A</w:t>
      </w:r>
      <w:r w:rsidRPr="00D54E09">
        <w:t>.</w:t>
      </w:r>
      <w:r>
        <w:t> </w:t>
      </w:r>
      <w:r w:rsidRPr="00D54E09">
        <w:tab/>
        <w:t>Use in Commerce Under the TDRA</w:t>
      </w:r>
    </w:p>
    <w:p w14:paraId="169A2EDB" w14:textId="642B034B" w:rsidR="00D54E09" w:rsidRPr="00D54E09" w:rsidRDefault="00D20597" w:rsidP="00D54E09">
      <w:pPr>
        <w:pStyle w:val="BNormal"/>
      </w:pPr>
      <w:r w:rsidRPr="00D54E09">
        <w:t>The FTDA, as amended by the TDRA, provides a cause of action against another person’s “use in commerce” of a mark likely to cause dilution of the famous mark</w:t>
      </w:r>
      <w:r w:rsidR="00D54E09" w:rsidRPr="00D54E09">
        <w:t>.</w:t>
      </w:r>
      <w:r w:rsidR="00D54E09" w:rsidRPr="00D54E09">
        <w:t xml:space="preserve"> </w:t>
      </w:r>
      <w:r w:rsidR="00D54E09" w:rsidRPr="00D54E09">
        <w:t>A</w:t>
      </w:r>
      <w:r w:rsidRPr="00D54E09">
        <w:t xml:space="preserve"> “use in commerce” is defined by the Lanham Act as “the bona fide use of a mark in the ordinary course of trade” by placing the mark on goods and selling or “transport[</w:t>
      </w:r>
      <w:proofErr w:type="spellStart"/>
      <w:r w:rsidRPr="00D54E09">
        <w:t>ing</w:t>
      </w:r>
      <w:proofErr w:type="spellEnd"/>
      <w:r w:rsidRPr="00D54E09">
        <w:t xml:space="preserve"> them] in commerce.”</w:t>
      </w:r>
      <w:r w:rsidR="00D54E09" w:rsidRPr="00D54E09">
        <w:rPr>
          <w:vertAlign w:val="superscript"/>
        </w:rPr>
        <w:footnoteReference w:id="47"/>
      </w:r>
      <w:r w:rsidRPr="00D54E09">
        <w:t xml:space="preserve"> The original FTDA applied only where the alleged diluting use was a “</w:t>
      </w:r>
      <w:r w:rsidR="00D54E09" w:rsidRPr="00D54E09">
        <w:rPr>
          <w:i/>
        </w:rPr>
        <w:t>commercial</w:t>
      </w:r>
      <w:r w:rsidRPr="00D54E09">
        <w:t xml:space="preserve"> use in commerce.”</w:t>
      </w:r>
      <w:r w:rsidR="00D54E09" w:rsidRPr="00D54E09">
        <w:rPr>
          <w:vertAlign w:val="superscript"/>
        </w:rPr>
        <w:footnoteReference w:id="48"/>
      </w:r>
      <w:r w:rsidRPr="00D54E09">
        <w:t xml:space="preserve"> The original language—“commercial use in commerce”—was very awkward, particularly in view </w:t>
      </w:r>
      <w:r w:rsidRPr="00D54E09">
        <w:lastRenderedPageBreak/>
        <w:t>of the separate statutory exclusion from dilution liability of any “noncommercial use.”</w:t>
      </w:r>
      <w:r w:rsidR="00D54E09" w:rsidRPr="00D54E09">
        <w:rPr>
          <w:vertAlign w:val="superscript"/>
        </w:rPr>
        <w:footnoteReference w:id="49"/>
      </w:r>
      <w:r w:rsidRPr="00D54E09">
        <w:t xml:space="preserve"> The use of these two phrases in different portions of the statute (one as an element of the claim, one as an exclusion from liability) created uncertainty in the interpretation of the statute</w:t>
      </w:r>
      <w:r w:rsidR="00D54E09" w:rsidRPr="00D54E09">
        <w:t>.</w:t>
      </w:r>
      <w:r w:rsidR="00D54E09" w:rsidRPr="00D54E09">
        <w:t xml:space="preserve"> </w:t>
      </w:r>
      <w:r w:rsidR="00D54E09" w:rsidRPr="00D54E09">
        <w:t>T</w:t>
      </w:r>
      <w:r w:rsidRPr="00D54E09">
        <w:t>he TDRA eliminated “commercial use in commerce” as an element of a federal dilution claim, requiring simply a “use in commerce.”</w:t>
      </w:r>
      <w:r w:rsidR="00D54E09" w:rsidRPr="00D54E09">
        <w:rPr>
          <w:vertAlign w:val="superscript"/>
        </w:rPr>
        <w:footnoteReference w:id="50"/>
      </w:r>
      <w:r w:rsidRPr="00D54E09">
        <w:t xml:space="preserve"> Courts should now use existing interpretations of that phrase in their analysis of the post-TDRA statute</w:t>
      </w:r>
      <w:r w:rsidR="00D54E09" w:rsidRPr="00D54E09">
        <w:t>.</w:t>
      </w:r>
      <w:r w:rsidR="00D54E09" w:rsidRPr="00D54E09">
        <w:t xml:space="preserve"> </w:t>
      </w:r>
      <w:r w:rsidR="00D54E09" w:rsidRPr="00D54E09">
        <w:t>T</w:t>
      </w:r>
      <w:r w:rsidRPr="00D54E09">
        <w:t>hat should make nonprofit uses actionable, for example</w:t>
      </w:r>
      <w:r w:rsidR="00D54E09" w:rsidRPr="00D54E09">
        <w:t>.</w:t>
      </w:r>
      <w:r w:rsidR="00D54E09" w:rsidRPr="00D54E09">
        <w:t xml:space="preserve"> </w:t>
      </w:r>
      <w:r w:rsidR="00D54E09" w:rsidRPr="00D54E09">
        <w:t>O</w:t>
      </w:r>
      <w:r w:rsidRPr="00D54E09">
        <w:t>n the other hand, the statute expressly requires “use,” and not, for example, “intent to use” or “impending use.” Thus, it has been held that an “imminent use” is not sufficient to satisfy the requirement of “use in commerce.”</w:t>
      </w:r>
      <w:r w:rsidR="00D54E09" w:rsidRPr="00D54E09">
        <w:rPr>
          <w:vertAlign w:val="superscript"/>
        </w:rPr>
        <w:footnoteReference w:id="51"/>
      </w:r>
      <w:r w:rsidRPr="00D54E09">
        <w:t xml:space="preserve"> It has also been held that neither relying on defendant’s statement in an application for registration, nor relying on the existence of a registration, is sufficient to demonstrate use in commerce under Section 43(c).</w:t>
      </w:r>
      <w:r w:rsidR="00D54E09" w:rsidRPr="00D54E09">
        <w:rPr>
          <w:vertAlign w:val="superscript"/>
        </w:rPr>
        <w:footnoteReference w:id="52"/>
      </w:r>
    </w:p>
    <w:p w14:paraId="51FFF232" w14:textId="2767E2CA" w:rsidR="00D54E09" w:rsidRPr="00D54E09" w:rsidRDefault="00D20597" w:rsidP="00D54E09">
      <w:pPr>
        <w:pStyle w:val="BNormal"/>
      </w:pPr>
      <w:r w:rsidRPr="00D54E09">
        <w:t xml:space="preserve">One complication with the analysis of the phrase “use in commerce” has been added by the Second Circuit’s appendix to its opinion in </w:t>
      </w:r>
      <w:proofErr w:type="spellStart"/>
      <w:r w:rsidR="00D54E09" w:rsidRPr="00D54E09">
        <w:rPr>
          <w:i/>
        </w:rPr>
        <w:t>Rescuecom</w:t>
      </w:r>
      <w:proofErr w:type="spellEnd"/>
      <w:r w:rsidR="00D54E09" w:rsidRPr="00D54E09">
        <w:rPr>
          <w:i/>
        </w:rPr>
        <w:t xml:space="preserve"> Corp</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Google, Inc</w:t>
      </w:r>
      <w:r w:rsidRPr="00D54E09">
        <w:t>.</w:t>
      </w:r>
      <w:r w:rsidR="00D54E09" w:rsidRPr="00D54E09">
        <w:rPr>
          <w:vertAlign w:val="superscript"/>
        </w:rPr>
        <w:footnoteReference w:id="53"/>
      </w:r>
      <w:r w:rsidRPr="00D54E09">
        <w:t xml:space="preserve"> In that appendix, the court called into question whether the Lanham Act’s definition of “use in commerce” in Section 45 should be used when considering infringement under Sections 32 and 43(a).</w:t>
      </w:r>
      <w:r w:rsidR="00D54E09" w:rsidRPr="00D54E09">
        <w:rPr>
          <w:vertAlign w:val="superscript"/>
        </w:rPr>
        <w:footnoteReference w:id="54"/>
      </w:r>
      <w:r w:rsidRPr="00D54E09">
        <w:t xml:space="preserve"> Presumably, the court’s analysis would apply to claims under Section 43(c) as well</w:t>
      </w:r>
      <w:r w:rsidR="00D54E09" w:rsidRPr="00D54E09">
        <w:t>.</w:t>
      </w:r>
      <w:r w:rsidR="00D54E09" w:rsidRPr="00D54E09">
        <w:t xml:space="preserve"> </w:t>
      </w:r>
      <w:r w:rsidR="00D54E09" w:rsidRPr="00D54E09">
        <w:t>H</w:t>
      </w:r>
      <w:r w:rsidRPr="00D54E09">
        <w:t>owever, pending further cases, we are left to contend with existing precedent.</w:t>
      </w:r>
      <w:r w:rsidR="00D54E09" w:rsidRPr="00D54E09">
        <w:rPr>
          <w:vertAlign w:val="superscript"/>
        </w:rPr>
        <w:footnoteReference w:id="55"/>
      </w:r>
    </w:p>
    <w:p w14:paraId="286251A7" w14:textId="4328A402" w:rsidR="00D54E09" w:rsidRPr="00D54E09" w:rsidRDefault="00D20597" w:rsidP="00D54E09">
      <w:pPr>
        <w:pStyle w:val="BNormal"/>
      </w:pPr>
      <w:r w:rsidRPr="00D54E09">
        <w:t>In an unusual case, a court ruled that the city of Lake City, Tennessee did not make a “use in commerce” of plaintiff’s Rocky Top marks by changing the city’s name to Rocky Top, Tennessee, because it did not propose to sell any goods or services in connection with the mark.</w:t>
      </w:r>
      <w:r w:rsidR="00D54E09" w:rsidRPr="00D54E09">
        <w:rPr>
          <w:vertAlign w:val="superscript"/>
        </w:rPr>
        <w:footnoteReference w:id="56"/>
      </w:r>
      <w:r w:rsidR="00D54E09" w:rsidRPr="00D54E09">
        <w:t xml:space="preserve"> </w:t>
      </w:r>
      <w:r w:rsidRPr="00D54E09">
        <w:t xml:space="preserve">And in </w:t>
      </w:r>
      <w:r w:rsidR="00D54E09" w:rsidRPr="00D54E09">
        <w:rPr>
          <w:rStyle w:val="BCasenamefull"/>
        </w:rPr>
        <w:t>Car-Freshener Corp. v. Meta Platforms, Inc.</w:t>
      </w:r>
      <w:r w:rsidRPr="00D54E09">
        <w:t>,</w:t>
      </w:r>
      <w:r w:rsidR="00D54E09" w:rsidRPr="00D54E09">
        <w:rPr>
          <w:vertAlign w:val="superscript"/>
        </w:rPr>
        <w:footnoteReference w:id="57"/>
      </w:r>
      <w:r w:rsidRPr="00D54E09">
        <w:t xml:space="preserve"> the court held that “‘[a]s Plaintiffs have not alleged that Meta “placed” the Marks “in any manner on the goods or their contains or the displays associated therewith,”’” the allegations of dilution would be dismissed.</w:t>
      </w:r>
      <w:r w:rsidR="00D54E09" w:rsidRPr="00D54E09">
        <w:rPr>
          <w:vertAlign w:val="superscript"/>
        </w:rPr>
        <w:footnoteReference w:id="58"/>
      </w:r>
      <w:r w:rsidR="00D54E09" w:rsidRPr="00D54E09">
        <w:t xml:space="preserve"> </w:t>
      </w:r>
      <w:r w:rsidRPr="00D54E09">
        <w:t xml:space="preserve">In these cases, the courts seemed to assume that the statute required a use as a trademark, which does not appear </w:t>
      </w:r>
      <w:r w:rsidRPr="00D54E09">
        <w:lastRenderedPageBreak/>
        <w:t>to be accurate.</w:t>
      </w:r>
      <w:r w:rsidR="00D54E09" w:rsidRPr="00D54E09">
        <w:rPr>
          <w:vertAlign w:val="superscript"/>
        </w:rPr>
        <w:footnoteReference w:id="59"/>
      </w:r>
      <w:r w:rsidR="00D54E09" w:rsidRPr="00D54E09">
        <w:t xml:space="preserve"> </w:t>
      </w:r>
      <w:r w:rsidRPr="00D54E09">
        <w:t xml:space="preserve">In </w:t>
      </w:r>
      <w:r w:rsidR="00D54E09" w:rsidRPr="00D54E09">
        <w:rPr>
          <w:rStyle w:val="BCasenamefull"/>
        </w:rPr>
        <w:t>Benedict v. Google LLC</w:t>
      </w:r>
      <w:r w:rsidRPr="00D54E09">
        <w:t>,</w:t>
      </w:r>
      <w:r w:rsidR="00D54E09" w:rsidRPr="00D54E09">
        <w:rPr>
          <w:vertAlign w:val="superscript"/>
        </w:rPr>
        <w:footnoteReference w:id="60"/>
      </w:r>
      <w:r w:rsidRPr="00D54E09">
        <w:t xml:space="preserve"> the court dismissed a dilution claim, finding that Google had not “used” plaintiff’s trademark</w:t>
      </w:r>
      <w:r w:rsidR="00D54E09" w:rsidRPr="00D54E09">
        <w:t>:</w:t>
      </w:r>
      <w:r w:rsidR="00D54E09" w:rsidRPr="00D54E09">
        <w:t xml:space="preserve"> </w:t>
      </w:r>
      <w:r w:rsidR="00D54E09" w:rsidRPr="00D54E09">
        <w:t>“</w:t>
      </w:r>
      <w:r w:rsidRPr="00D54E09">
        <w:t xml:space="preserve">Merely alleging that the defendant has provided access to files and images created by third parties that degrades the mark is insufficient to show that the defendant ‘used’ the mark for purposes of </w:t>
      </w:r>
      <w:hyperlink r:id="rId14" w:history="1">
        <w:r w:rsidRPr="00D54E09">
          <w:rPr>
            <w:rStyle w:val="Hyperlink"/>
          </w:rPr>
          <w:t>15 U.S.C</w:t>
        </w:r>
        <w:r w:rsidR="00D54E09" w:rsidRPr="00D54E09">
          <w:rPr>
            <w:rStyle w:val="Hyperlink"/>
          </w:rPr>
          <w:t>.</w:t>
        </w:r>
        <w:r w:rsidR="00D54E09" w:rsidRPr="00D54E09">
          <w:rPr>
            <w:rStyle w:val="Hyperlink"/>
          </w:rPr>
          <w:t xml:space="preserve"> </w:t>
        </w:r>
        <w:r w:rsidR="00D54E09" w:rsidRPr="00D54E09">
          <w:rPr>
            <w:rStyle w:val="Hyperlink"/>
          </w:rPr>
          <w:t>§</w:t>
        </w:r>
        <w:r w:rsidRPr="00D54E09">
          <w:rPr>
            <w:rStyle w:val="Hyperlink"/>
          </w:rPr>
          <w:t xml:space="preserve"> 1125</w:t>
        </w:r>
      </w:hyperlink>
      <w:r w:rsidRPr="00D54E09">
        <w:t>.”</w:t>
      </w:r>
      <w:r w:rsidR="00D54E09" w:rsidRPr="00D54E09">
        <w:rPr>
          <w:vertAlign w:val="superscript"/>
        </w:rPr>
        <w:footnoteReference w:id="61"/>
      </w:r>
      <w:r w:rsidR="00D54E09" w:rsidRPr="00D54E09">
        <w:t xml:space="preserve"> </w:t>
      </w:r>
      <w:r w:rsidRPr="00D54E09">
        <w:t xml:space="preserve">Also, in </w:t>
      </w:r>
      <w:r w:rsidR="00D54E09" w:rsidRPr="00D54E09">
        <w:rPr>
          <w:rStyle w:val="BCasenamefull"/>
        </w:rPr>
        <w:t xml:space="preserve">Grapery, Inc. v. </w:t>
      </w:r>
      <w:proofErr w:type="spellStart"/>
      <w:r w:rsidR="00D54E09" w:rsidRPr="00D54E09">
        <w:rPr>
          <w:rStyle w:val="BCasenamefull"/>
        </w:rPr>
        <w:t>Bloomfresh</w:t>
      </w:r>
      <w:proofErr w:type="spellEnd"/>
      <w:r w:rsidR="00D54E09" w:rsidRPr="00D54E09">
        <w:rPr>
          <w:rStyle w:val="BCasenamefull"/>
        </w:rPr>
        <w:t xml:space="preserve"> International Ltd.</w:t>
      </w:r>
      <w:r w:rsidRPr="00D54E09">
        <w:t>,</w:t>
      </w:r>
      <w:r w:rsidR="00D54E09" w:rsidRPr="00D54E09">
        <w:rPr>
          <w:vertAlign w:val="superscript"/>
        </w:rPr>
        <w:footnoteReference w:id="62"/>
      </w:r>
      <w:r w:rsidRPr="00D54E09">
        <w:t xml:space="preserve"> the court dismissed a dilution claim because defendant had used its own marks to sell plaintiff’s goods (allegedly in violation of an agreement between the parties)—in other words, defendant did not use plaintiff’s mark or a similar mark on the goods it sold.</w:t>
      </w:r>
      <w:r w:rsidR="00D54E09" w:rsidRPr="00D54E09">
        <w:rPr>
          <w:vertAlign w:val="superscript"/>
        </w:rPr>
        <w:footnoteReference w:id="63"/>
      </w:r>
    </w:p>
    <w:p w14:paraId="4FC5758C" w14:textId="0928C80E" w:rsidR="00D54E09" w:rsidRPr="00D54E09" w:rsidRDefault="00D20597" w:rsidP="00D54E09">
      <w:pPr>
        <w:pStyle w:val="BNormal"/>
      </w:pPr>
      <w:r w:rsidRPr="00D54E09">
        <w:t xml:space="preserve">In </w:t>
      </w:r>
      <w:proofErr w:type="spellStart"/>
      <w:r w:rsidR="00D54E09" w:rsidRPr="00D54E09">
        <w:rPr>
          <w:rStyle w:val="BCasenamefull"/>
        </w:rPr>
        <w:t>NYcityVAN</w:t>
      </w:r>
      <w:proofErr w:type="spellEnd"/>
      <w:r w:rsidR="00D54E09" w:rsidRPr="00D54E09">
        <w:rPr>
          <w:rStyle w:val="BCasenamefull"/>
        </w:rPr>
        <w:t>, LLC v. Thomas</w:t>
      </w:r>
      <w:r w:rsidRPr="00D54E09">
        <w:t>,</w:t>
      </w:r>
      <w:r w:rsidR="00D54E09" w:rsidRPr="00D54E09">
        <w:rPr>
          <w:vertAlign w:val="superscript"/>
        </w:rPr>
        <w:footnoteReference w:id="64"/>
      </w:r>
      <w:r w:rsidRPr="00D54E09">
        <w:t xml:space="preserve"> the court ruled that, because plaintiff made </w:t>
      </w:r>
      <w:proofErr w:type="gramStart"/>
      <w:r w:rsidRPr="00D54E09">
        <w:t>an unlawful</w:t>
      </w:r>
      <w:proofErr w:type="gramEnd"/>
      <w:r w:rsidRPr="00D54E09">
        <w:t xml:space="preserve"> use of the mark (it operated without a proper license), it had no protectable mark and dismissed its dilution claims.</w:t>
      </w:r>
      <w:r w:rsidR="00D54E09" w:rsidRPr="00D54E09">
        <w:rPr>
          <w:vertAlign w:val="superscript"/>
        </w:rPr>
        <w:footnoteReference w:id="65"/>
      </w:r>
    </w:p>
    <w:p w14:paraId="303F669B" w14:textId="7C8F8711" w:rsidR="00D54E09" w:rsidRPr="00D54E09" w:rsidRDefault="00D20597" w:rsidP="00D54E09">
      <w:pPr>
        <w:pStyle w:val="BNormal"/>
      </w:pPr>
      <w:r w:rsidRPr="00D54E09">
        <w:t>Another complication arises in connection with dilution proceedings before the Trademark Trial and Appeal Board</w:t>
      </w:r>
      <w:r w:rsidR="00D54E09" w:rsidRPr="00D54E09">
        <w:t>.</w:t>
      </w:r>
      <w:r w:rsidR="00D54E09" w:rsidRPr="00D54E09">
        <w:t xml:space="preserve"> </w:t>
      </w:r>
      <w:r w:rsidR="00D54E09" w:rsidRPr="00D54E09">
        <w:t>B</w:t>
      </w:r>
      <w:r w:rsidRPr="00D54E09">
        <w:t>y its terms, the statute allows a claim against a “use in commerce” by a defendant (or an applicant in an inter partes proceeding in the Patent and Trademark Office)</w:t>
      </w:r>
      <w:r w:rsidR="00D54E09" w:rsidRPr="00D54E09">
        <w:t>.</w:t>
      </w:r>
      <w:r w:rsidR="00D54E09" w:rsidRPr="00D54E09">
        <w:t xml:space="preserve"> </w:t>
      </w:r>
      <w:r w:rsidR="00D54E09" w:rsidRPr="00D54E09">
        <w:t>B</w:t>
      </w:r>
      <w:r w:rsidRPr="00D54E09">
        <w:t>ut an applicant need not use a mark before applying for registration.</w:t>
      </w:r>
      <w:r w:rsidR="00D54E09" w:rsidRPr="00D54E09">
        <w:rPr>
          <w:vertAlign w:val="superscript"/>
        </w:rPr>
        <w:footnoteReference w:id="66"/>
      </w:r>
      <w:r w:rsidRPr="00D54E09">
        <w:t xml:space="preserve"> Prior to the TDRA, the Board held that it could decide an opposition based on intent to use, on the theory that otherwise it would render the PTO’s ability to prevent dilution a nullity for intent-to-use applicants.</w:t>
      </w:r>
      <w:r w:rsidR="00D54E09" w:rsidRPr="00D54E09">
        <w:rPr>
          <w:vertAlign w:val="superscript"/>
        </w:rPr>
        <w:footnoteReference w:id="67"/>
      </w:r>
      <w:r w:rsidRPr="00D54E09">
        <w:t xml:space="preserve"> Unfortunately, when Congress replaced the original FTDA with the TDRA, it did not clarify the PTO’s jurisdiction in intent-to-use (ITU) situations</w:t>
      </w:r>
      <w:r w:rsidR="00D54E09" w:rsidRPr="00D54E09">
        <w:t>.</w:t>
      </w:r>
      <w:r w:rsidR="00D54E09" w:rsidRPr="00D54E09">
        <w:t xml:space="preserve"> </w:t>
      </w:r>
      <w:r w:rsidR="00D54E09" w:rsidRPr="00D54E09">
        <w:t>T</w:t>
      </w:r>
      <w:r w:rsidRPr="00D54E09">
        <w:t xml:space="preserve">he Board revisited the issue in </w:t>
      </w:r>
      <w:r w:rsidR="00D54E09" w:rsidRPr="00D54E09">
        <w:rPr>
          <w:rStyle w:val="BCasenamefull"/>
        </w:rPr>
        <w:t xml:space="preserve">Chanel, Inc. v. </w:t>
      </w:r>
      <w:proofErr w:type="spellStart"/>
      <w:r w:rsidR="00D54E09" w:rsidRPr="00D54E09">
        <w:rPr>
          <w:rStyle w:val="BCasenamefull"/>
        </w:rPr>
        <w:t>Makarczyk</w:t>
      </w:r>
      <w:proofErr w:type="spellEnd"/>
      <w:r w:rsidRPr="00D54E09">
        <w:t>,</w:t>
      </w:r>
      <w:r w:rsidR="00D54E09" w:rsidRPr="00D54E09">
        <w:rPr>
          <w:vertAlign w:val="superscript"/>
        </w:rPr>
        <w:footnoteReference w:id="68"/>
      </w:r>
      <w:r w:rsidRPr="00D54E09">
        <w:t xml:space="preserve"> a case that </w:t>
      </w:r>
      <w:proofErr w:type="gramStart"/>
      <w:r w:rsidRPr="00D54E09">
        <w:t>actually involved</w:t>
      </w:r>
      <w:proofErr w:type="gramEnd"/>
      <w:r w:rsidRPr="00D54E09">
        <w:t xml:space="preserve"> a use-based application</w:t>
      </w:r>
      <w:r w:rsidR="00D54E09" w:rsidRPr="00D54E09">
        <w:t>.</w:t>
      </w:r>
      <w:r w:rsidR="00D54E09" w:rsidRPr="00D54E09">
        <w:t xml:space="preserve"> </w:t>
      </w:r>
      <w:r w:rsidR="00D54E09" w:rsidRPr="00D54E09">
        <w:t>H</w:t>
      </w:r>
      <w:r w:rsidRPr="00D54E09">
        <w:t xml:space="preserve">owever, because the applicant did not respond to Chanel’s brief in opposition (the parties had </w:t>
      </w:r>
      <w:proofErr w:type="gramStart"/>
      <w:r w:rsidRPr="00D54E09">
        <w:t>stipulated to</w:t>
      </w:r>
      <w:proofErr w:type="gramEnd"/>
      <w:r w:rsidRPr="00D54E09">
        <w:t xml:space="preserve"> various facts and to an expedited procedure), it was unclear when, if ever, the applicant had begun to use the mark</w:t>
      </w:r>
      <w:r w:rsidR="00D54E09" w:rsidRPr="00D54E09">
        <w:t>.</w:t>
      </w:r>
      <w:r w:rsidR="00D54E09" w:rsidRPr="00D54E09">
        <w:t xml:space="preserve"> </w:t>
      </w:r>
      <w:r w:rsidR="00D54E09" w:rsidRPr="00D54E09">
        <w:t>T</w:t>
      </w:r>
      <w:r w:rsidRPr="00D54E09">
        <w:t>he Board decided that Chanel could use the date the application was filed as a “constructive use” date.</w:t>
      </w:r>
      <w:r w:rsidR="00D54E09" w:rsidRPr="00D54E09">
        <w:rPr>
          <w:vertAlign w:val="superscript"/>
        </w:rPr>
        <w:footnoteReference w:id="69"/>
      </w:r>
      <w:r w:rsidRPr="00D54E09">
        <w:t xml:space="preserve"> The Board cited the same rationale as it used in its earlier ITU opinions—that otherwise it would frustrate Congress’ intent to allow determinations of dilution claims to be made prior to registration.</w:t>
      </w:r>
      <w:r w:rsidR="00D54E09" w:rsidRPr="00D54E09">
        <w:rPr>
          <w:vertAlign w:val="superscript"/>
        </w:rPr>
        <w:footnoteReference w:id="70"/>
      </w:r>
    </w:p>
    <w:p w14:paraId="1ABC8EAE" w14:textId="69E9E820" w:rsidR="00D54E09" w:rsidRPr="00D54E09" w:rsidRDefault="00D20597" w:rsidP="00D54E09">
      <w:pPr>
        <w:pStyle w:val="BNormal"/>
      </w:pPr>
      <w:r w:rsidRPr="00D54E09">
        <w:t>Unfortunately, Congress failed to address this matter when it amended the statute in 2006 (and again in 2012, when it corrected another oversight in the TDRA)</w:t>
      </w:r>
      <w:r w:rsidR="00D54E09" w:rsidRPr="00D54E09">
        <w:t>.</w:t>
      </w:r>
      <w:r w:rsidR="00D54E09" w:rsidRPr="00D54E09">
        <w:t xml:space="preserve"> </w:t>
      </w:r>
      <w:r w:rsidR="00D54E09" w:rsidRPr="00D54E09">
        <w:t>P</w:t>
      </w:r>
      <w:r w:rsidRPr="00D54E09">
        <w:t>rior to the TDRA, the Supreme Court interpreted the language of the original FTDA very strictly (“causes dilution” does not mean “likely to cause dilution”),</w:t>
      </w:r>
      <w:r w:rsidR="00D54E09" w:rsidRPr="00D54E09">
        <w:rPr>
          <w:vertAlign w:val="superscript"/>
        </w:rPr>
        <w:footnoteReference w:id="71"/>
      </w:r>
      <w:r w:rsidRPr="00D54E09">
        <w:t xml:space="preserve"> and one should be cautious about reading too much into the statute</w:t>
      </w:r>
      <w:r w:rsidR="00D54E09" w:rsidRPr="00D54E09">
        <w:t>.</w:t>
      </w:r>
      <w:r w:rsidR="00D54E09" w:rsidRPr="00D54E09">
        <w:t xml:space="preserve"> </w:t>
      </w:r>
      <w:r w:rsidR="00D54E09" w:rsidRPr="00D54E09">
        <w:t>W</w:t>
      </w:r>
      <w:r w:rsidRPr="00D54E09">
        <w:t>hatever the merits of the Board’s rationale in the ITU situation,</w:t>
      </w:r>
      <w:r w:rsidR="00D54E09" w:rsidRPr="00D54E09">
        <w:rPr>
          <w:vertAlign w:val="superscript"/>
        </w:rPr>
        <w:footnoteReference w:id="72"/>
      </w:r>
      <w:r w:rsidRPr="00D54E09">
        <w:t xml:space="preserve"> employing a constructive use analysis in a use-based situation is problematic</w:t>
      </w:r>
      <w:r w:rsidR="00D54E09" w:rsidRPr="00D54E09">
        <w:t>.</w:t>
      </w:r>
      <w:r w:rsidR="00D54E09" w:rsidRPr="00D54E09">
        <w:t xml:space="preserve"> </w:t>
      </w:r>
      <w:r w:rsidR="00D54E09" w:rsidRPr="00D54E09">
        <w:t>F</w:t>
      </w:r>
      <w:r w:rsidRPr="00D54E09">
        <w:t xml:space="preserve">irst, </w:t>
      </w:r>
      <w:r w:rsidRPr="00D54E09">
        <w:lastRenderedPageBreak/>
        <w:t xml:space="preserve">constructive use only applies after </w:t>
      </w:r>
      <w:proofErr w:type="gramStart"/>
      <w:r w:rsidRPr="00D54E09">
        <w:t>a registration</w:t>
      </w:r>
      <w:proofErr w:type="gramEnd"/>
      <w:r w:rsidRPr="00D54E09">
        <w:t xml:space="preserve"> issues.</w:t>
      </w:r>
      <w:r w:rsidR="00D54E09" w:rsidRPr="00D54E09">
        <w:rPr>
          <w:vertAlign w:val="superscript"/>
        </w:rPr>
        <w:footnoteReference w:id="73"/>
      </w:r>
      <w:r w:rsidRPr="00D54E09">
        <w:t xml:space="preserve"> Second, requiring evidence of date of use would not make the opposition procedure a nullity for dilution</w:t>
      </w:r>
      <w:r w:rsidR="00D54E09" w:rsidRPr="00D54E09">
        <w:t>.</w:t>
      </w:r>
      <w:r w:rsidR="00D54E09" w:rsidRPr="00D54E09">
        <w:t xml:space="preserve"> </w:t>
      </w:r>
      <w:r w:rsidR="00D54E09" w:rsidRPr="00D54E09">
        <w:t>P</w:t>
      </w:r>
      <w:r w:rsidRPr="00D54E09">
        <w:t>resumably, the Board could deny registration based on a failure to properly allege use</w:t>
      </w:r>
      <w:r w:rsidR="00D54E09" w:rsidRPr="00D54E09">
        <w:t>.</w:t>
      </w:r>
      <w:r w:rsidR="00D54E09" w:rsidRPr="00D54E09">
        <w:t xml:space="preserve"> </w:t>
      </w:r>
      <w:r w:rsidR="00D54E09" w:rsidRPr="00D54E09">
        <w:t>A</w:t>
      </w:r>
      <w:r w:rsidRPr="00D54E09">
        <w:t xml:space="preserve">lthough the Board’s solution is surely a pragmatic one, the strict reading given the statute in the past (including by the Board) would seem to favor </w:t>
      </w:r>
      <w:proofErr w:type="gramStart"/>
      <w:r w:rsidRPr="00D54E09">
        <w:t>a more</w:t>
      </w:r>
      <w:proofErr w:type="gramEnd"/>
      <w:r w:rsidRPr="00D54E09">
        <w:t xml:space="preserve"> stringent reading in this context as well.</w:t>
      </w:r>
    </w:p>
    <w:p w14:paraId="5C6D8E8B" w14:textId="7CFF9FFF" w:rsidR="00D54E09" w:rsidRPr="00D54E09" w:rsidRDefault="00D20597" w:rsidP="00D54E09">
      <w:pPr>
        <w:pStyle w:val="BNormal"/>
      </w:pPr>
      <w:r w:rsidRPr="00D54E09">
        <w:t>But what of the plaintiff’s use of the mark</w:t>
      </w:r>
      <w:r w:rsidR="00D54E09" w:rsidRPr="00D54E09">
        <w:t>?</w:t>
      </w:r>
      <w:r w:rsidR="00D54E09" w:rsidRPr="00D54E09">
        <w:t xml:space="preserve"> </w:t>
      </w:r>
      <w:r w:rsidR="00D54E09" w:rsidRPr="00D54E09">
        <w:t>S</w:t>
      </w:r>
      <w:r w:rsidRPr="00D54E09">
        <w:t>uppose that the plaintiff is not offering goods or services in the United States</w:t>
      </w:r>
      <w:r w:rsidR="00D54E09" w:rsidRPr="00D54E09">
        <w:t>;</w:t>
      </w:r>
      <w:r w:rsidR="00D54E09" w:rsidRPr="00D54E09">
        <w:t xml:space="preserve"> </w:t>
      </w:r>
      <w:r w:rsidR="00D54E09" w:rsidRPr="00D54E09">
        <w:t>c</w:t>
      </w:r>
      <w:r w:rsidRPr="00D54E09">
        <w:t>an it still maintain a federal dilution claim</w:t>
      </w:r>
      <w:r w:rsidR="00D54E09" w:rsidRPr="00D54E09">
        <w:t>?</w:t>
      </w:r>
      <w:r w:rsidR="00D54E09" w:rsidRPr="00D54E09">
        <w:t xml:space="preserve"> </w:t>
      </w:r>
      <w:r w:rsidR="00D54E09" w:rsidRPr="00D54E09">
        <w:t>O</w:t>
      </w:r>
      <w:r w:rsidRPr="00D54E09">
        <w:t>ne obstacle to such a claim would be the requirement that the mark be famous</w:t>
      </w:r>
      <w:r w:rsidR="00D54E09" w:rsidRPr="00D54E09">
        <w:t>.</w:t>
      </w:r>
      <w:r w:rsidR="00D54E09" w:rsidRPr="00D54E09">
        <w:t xml:space="preserve"> </w:t>
      </w:r>
      <w:r w:rsidR="00D54E09" w:rsidRPr="00D54E09">
        <w:t>H</w:t>
      </w:r>
      <w:r w:rsidRPr="00D54E09">
        <w:t>owever, it is possible for a mark to be “widely recognized by the general consuming public of the United States” (the general standard of fame) without any goods or services being offered in the United States</w:t>
      </w:r>
      <w:r w:rsidR="00D54E09" w:rsidRPr="00D54E09">
        <w:t>.</w:t>
      </w:r>
      <w:r w:rsidR="00D54E09" w:rsidRPr="00D54E09">
        <w:t xml:space="preserve"> </w:t>
      </w:r>
      <w:r w:rsidR="00D54E09" w:rsidRPr="00D54E09">
        <w:t>A</w:t>
      </w:r>
      <w:r w:rsidRPr="00D54E09">
        <w:t>nd although Section 43(c)(1) requires that the defendant make a “use in commerce” of the famous mark, it imposes no such requirement on the owner of the famous mark</w:t>
      </w:r>
      <w:r w:rsidR="00D54E09" w:rsidRPr="00D54E09">
        <w:t>.</w:t>
      </w:r>
      <w:r w:rsidR="00D54E09" w:rsidRPr="00D54E09">
        <w:t xml:space="preserve"> </w:t>
      </w:r>
      <w:r w:rsidR="00D54E09" w:rsidRPr="00D54E09">
        <w:t>O</w:t>
      </w:r>
      <w:r w:rsidRPr="00D54E09">
        <w:t xml:space="preserve">n the other hand, in </w:t>
      </w:r>
      <w:r w:rsidR="00D54E09" w:rsidRPr="00D54E09">
        <w:rPr>
          <w:i/>
        </w:rPr>
        <w:t>ITC, Ltd</w:t>
      </w:r>
      <w:r w:rsidR="00D54E09" w:rsidRPr="00D54E09">
        <w:t>.</w:t>
      </w:r>
      <w:r w:rsidR="00D54E09" w:rsidRPr="00D54E09">
        <w:t xml:space="preserve"> </w:t>
      </w:r>
      <w:r w:rsidR="00D54E09" w:rsidRPr="00D54E09">
        <w:rPr>
          <w:i/>
        </w:rPr>
        <w:t>v</w:t>
      </w:r>
      <w:r w:rsidR="00D54E09" w:rsidRPr="00D54E09">
        <w:t>.</w:t>
      </w:r>
      <w:r w:rsidR="00D54E09" w:rsidRPr="00D54E09">
        <w:t xml:space="preserve"> </w:t>
      </w:r>
      <w:proofErr w:type="spellStart"/>
      <w:r w:rsidR="00D54E09" w:rsidRPr="00D54E09">
        <w:rPr>
          <w:i/>
        </w:rPr>
        <w:t>Punchgini</w:t>
      </w:r>
      <w:proofErr w:type="spellEnd"/>
      <w:r w:rsidR="00D54E09" w:rsidRPr="00D54E09">
        <w:rPr>
          <w:i/>
        </w:rPr>
        <w:t>, Inc</w:t>
      </w:r>
      <w:r w:rsidRPr="00D54E09">
        <w:t>.,</w:t>
      </w:r>
      <w:r w:rsidR="00D54E09" w:rsidRPr="00D54E09">
        <w:rPr>
          <w:vertAlign w:val="superscript"/>
        </w:rPr>
        <w:footnoteReference w:id="74"/>
      </w:r>
      <w:r w:rsidRPr="00D54E09">
        <w:t xml:space="preserve"> the Second Circuit held that the Lanham Act did not contemplate a “famous marks” exception to the normal rule of use in the United States</w:t>
      </w:r>
      <w:r w:rsidR="00D54E09" w:rsidRPr="00D54E09">
        <w:t>.</w:t>
      </w:r>
      <w:r w:rsidR="00D54E09" w:rsidRPr="00D54E09">
        <w:t xml:space="preserve"> </w:t>
      </w:r>
      <w:r w:rsidR="00D54E09" w:rsidRPr="00D54E09">
        <w:t>T</w:t>
      </w:r>
      <w:r w:rsidRPr="00D54E09">
        <w:t>hus, the court refused to allow an infringement claim under federal law by a plaintiff who did not use the mark in this country.</w:t>
      </w:r>
      <w:r w:rsidR="00D54E09" w:rsidRPr="00D54E09">
        <w:rPr>
          <w:vertAlign w:val="superscript"/>
        </w:rPr>
        <w:footnoteReference w:id="75"/>
      </w:r>
      <w:r w:rsidRPr="00D54E09">
        <w:t xml:space="preserve"> However, </w:t>
      </w:r>
      <w:proofErr w:type="spellStart"/>
      <w:r w:rsidR="00D54E09" w:rsidRPr="00D54E09">
        <w:rPr>
          <w:i/>
        </w:rPr>
        <w:t>Punchgini</w:t>
      </w:r>
      <w:proofErr w:type="spellEnd"/>
      <w:r w:rsidRPr="00D54E09">
        <w:t xml:space="preserve"> does not preclude a claim under state law, provided the state recognizes such an exception.</w:t>
      </w:r>
      <w:r w:rsidR="00D54E09" w:rsidRPr="00D54E09">
        <w:rPr>
          <w:vertAlign w:val="superscript"/>
        </w:rPr>
        <w:footnoteReference w:id="76"/>
      </w:r>
    </w:p>
    <w:p w14:paraId="6E52B7A0" w14:textId="5E4482A3" w:rsidR="00D54E09" w:rsidRPr="00D54E09" w:rsidRDefault="00D20597" w:rsidP="00D54E09">
      <w:pPr>
        <w:pStyle w:val="BNormal"/>
      </w:pPr>
      <w:proofErr w:type="gramStart"/>
      <w:r w:rsidRPr="00D54E09">
        <w:t>Interestingly enough, the</w:t>
      </w:r>
      <w:proofErr w:type="gramEnd"/>
      <w:r w:rsidRPr="00D54E09">
        <w:t xml:space="preserve"> Trademark Trial and Appeal Board (TTAB) seems to take the position that a dilution claim could lie under limited circumstances, assuming fame </w:t>
      </w:r>
      <w:proofErr w:type="gramStart"/>
      <w:r w:rsidRPr="00D54E09">
        <w:t>were</w:t>
      </w:r>
      <w:proofErr w:type="gramEnd"/>
      <w:r w:rsidRPr="00D54E09">
        <w:t xml:space="preserve"> to be shown</w:t>
      </w:r>
      <w:r w:rsidR="00D54E09" w:rsidRPr="00D54E09">
        <w:t>.</w:t>
      </w:r>
      <w:r w:rsidR="00D54E09" w:rsidRPr="00D54E09">
        <w:t xml:space="preserve"> </w:t>
      </w:r>
      <w:r w:rsidR="00D54E09" w:rsidRPr="00D54E09">
        <w:t>I</w:t>
      </w:r>
      <w:r w:rsidRPr="00D54E09">
        <w:t xml:space="preserve">n </w:t>
      </w:r>
      <w:r w:rsidR="00D54E09" w:rsidRPr="00D54E09">
        <w:rPr>
          <w:i/>
        </w:rPr>
        <w:t>Fiat Group Automobiles S</w:t>
      </w:r>
      <w:r w:rsidRPr="00D54E09">
        <w:t>.</w:t>
      </w:r>
      <w:r w:rsidR="00D54E09" w:rsidRPr="00D54E09">
        <w:rPr>
          <w:i/>
        </w:rPr>
        <w:t>p</w:t>
      </w:r>
      <w:r w:rsidRPr="00D54E09">
        <w:t>.</w:t>
      </w:r>
      <w:r w:rsidR="00D54E09" w:rsidRPr="00D54E09">
        <w:rPr>
          <w:i/>
        </w:rPr>
        <w:t>A</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ISM, Inc</w:t>
      </w:r>
      <w:r w:rsidRPr="00D54E09">
        <w:t>.,</w:t>
      </w:r>
      <w:r w:rsidR="00D54E09" w:rsidRPr="00D54E09">
        <w:rPr>
          <w:vertAlign w:val="superscript"/>
        </w:rPr>
        <w:footnoteReference w:id="77"/>
      </w:r>
      <w:r w:rsidRPr="00D54E09">
        <w:t xml:space="preserve"> Fiat opposed a registration on grounds of both confusion and dilution of its Panda mark, which is not being used in the United States</w:t>
      </w:r>
      <w:r w:rsidR="00D54E09" w:rsidRPr="00D54E09">
        <w:t>.</w:t>
      </w:r>
      <w:r w:rsidR="00D54E09" w:rsidRPr="00D54E09">
        <w:t xml:space="preserve"> </w:t>
      </w:r>
      <w:r w:rsidR="00D54E09" w:rsidRPr="00D54E09">
        <w:t>T</w:t>
      </w:r>
      <w:r w:rsidRPr="00D54E09">
        <w:t>he TTAB dismissed the dilution claim (with leave to amend) on the grounds that the complaint failed to allege sufficient (or any) recognition of the mark</w:t>
      </w:r>
      <w:r w:rsidR="00D54E09" w:rsidRPr="00D54E09">
        <w:t>.</w:t>
      </w:r>
      <w:r w:rsidR="00D54E09" w:rsidRPr="00D54E09">
        <w:t xml:space="preserve"> </w:t>
      </w:r>
      <w:r w:rsidR="00D54E09" w:rsidRPr="00D54E09">
        <w:t>H</w:t>
      </w:r>
      <w:r w:rsidRPr="00D54E09">
        <w:t>owever, the TTAB also stated that while Section 43(c) provides a dilution cause of action for the protection of famous unregistered marks, it does not provide a cause of action for famous unregistered marks not in use, in some way, in the United States, in the absence of a specific pleading of intent to use, the filing of an application for registration, and some basis for concluding that recognition of the mark in the United States is sufficiently widespread as to create an association of the mark with particular products or services, even if the source of the same is anonymous and even if the products or services are not available in the United States.</w:t>
      </w:r>
      <w:r w:rsidR="00D54E09" w:rsidRPr="00D54E09">
        <w:rPr>
          <w:vertAlign w:val="superscript"/>
        </w:rPr>
        <w:footnoteReference w:id="78"/>
      </w:r>
    </w:p>
    <w:p w14:paraId="2BE7DDC0" w14:textId="342F413F" w:rsidR="00D54E09" w:rsidRPr="00D54E09" w:rsidRDefault="00D20597" w:rsidP="00D54E09">
      <w:pPr>
        <w:pStyle w:val="BNormal"/>
      </w:pPr>
      <w:r w:rsidRPr="00D54E09">
        <w:t>The TTAB drew the requirement of at least an intent to use from the Lanham Act definition of “mark,” which it understood to require either actual use or at least intent to use in the United States</w:t>
      </w:r>
      <w:r w:rsidR="00D54E09" w:rsidRPr="00D54E09">
        <w:t>.</w:t>
      </w:r>
      <w:r w:rsidR="00D54E09" w:rsidRPr="00D54E09">
        <w:t xml:space="preserve"> </w:t>
      </w:r>
      <w:r w:rsidR="00D54E09" w:rsidRPr="00D54E09">
        <w:t>H</w:t>
      </w:r>
      <w:r w:rsidRPr="00D54E09">
        <w:t xml:space="preserve">owever, it also recognized that “use” in the definition of “mark” did not necessarily refer to “use in commerce” and that other </w:t>
      </w:r>
      <w:r w:rsidRPr="00D54E09">
        <w:lastRenderedPageBreak/>
        <w:t>forms of use (such as use analogous to trademark use) might be sufficient to satisfy the requirement.</w:t>
      </w:r>
      <w:r w:rsidR="00D54E09" w:rsidRPr="00D54E09">
        <w:rPr>
          <w:vertAlign w:val="superscript"/>
        </w:rPr>
        <w:footnoteReference w:id="79"/>
      </w:r>
      <w:r w:rsidRPr="00D54E09">
        <w:t xml:space="preserve"> Moreover, it seemed to leave open the possibility that a mark not used at all in the United States (either technically or as “use analogous to trademark use”) could achieve sufficient recognition to satisfy the requirements of a famous mark.</w:t>
      </w:r>
      <w:r w:rsidR="00D54E09" w:rsidRPr="00D54E09">
        <w:rPr>
          <w:vertAlign w:val="superscript"/>
        </w:rPr>
        <w:footnoteReference w:id="80"/>
      </w:r>
      <w:r w:rsidRPr="00D54E09">
        <w:t xml:space="preserve"> The TTAB, of course, only operates in the limited situation of registration and cancellation</w:t>
      </w:r>
      <w:r w:rsidR="00D54E09" w:rsidRPr="00D54E09">
        <w:t>.</w:t>
      </w:r>
      <w:r w:rsidR="00D54E09" w:rsidRPr="00D54E09">
        <w:t xml:space="preserve"> </w:t>
      </w:r>
      <w:r w:rsidR="00D54E09" w:rsidRPr="00D54E09">
        <w:t>H</w:t>
      </w:r>
      <w:r w:rsidRPr="00D54E09">
        <w:t>owever, nothing in Section 43(c) expressly requires the famous mark owner to be using the mark in commerce.</w:t>
      </w:r>
    </w:p>
    <w:p w14:paraId="5C85C318" w14:textId="174677FC" w:rsidR="00D54E09" w:rsidRPr="00D54E09" w:rsidRDefault="00D20597" w:rsidP="00D54E09">
      <w:pPr>
        <w:pStyle w:val="BNormal"/>
      </w:pPr>
      <w:r w:rsidRPr="00D54E09">
        <w:t>Finally, there is a subsidiary “use” issue</w:t>
      </w:r>
      <w:r w:rsidR="00D54E09" w:rsidRPr="00D54E09">
        <w:t>:</w:t>
      </w:r>
      <w:r w:rsidR="00D54E09" w:rsidRPr="00D54E09">
        <w:t xml:space="preserve"> </w:t>
      </w:r>
      <w:r w:rsidR="00D54E09" w:rsidRPr="00D54E09">
        <w:t>w</w:t>
      </w:r>
      <w:r w:rsidRPr="00D54E09">
        <w:t>hether the defendant has “used” (whether in commerce or not) the plaintiff’s mark</w:t>
      </w:r>
      <w:r w:rsidR="00D54E09" w:rsidRPr="00D54E09">
        <w:t>.</w:t>
      </w:r>
      <w:r w:rsidR="00D54E09" w:rsidRPr="00D54E09">
        <w:t xml:space="preserve"> </w:t>
      </w:r>
      <w:r w:rsidR="00D54E09" w:rsidRPr="00D54E09">
        <w:t>F</w:t>
      </w:r>
      <w:r w:rsidRPr="00D54E09">
        <w:t xml:space="preserve">or this reason, an attempt to analogize Internet domain names to “vanity” telephone numbers was rejected in </w:t>
      </w:r>
      <w:r w:rsidR="00D54E09" w:rsidRPr="00D54E09">
        <w:rPr>
          <w:i/>
        </w:rPr>
        <w:t>DaimlerChrysler AG v</w:t>
      </w:r>
      <w:r w:rsidR="00D54E09" w:rsidRPr="00D54E09">
        <w:t>.</w:t>
      </w:r>
      <w:r w:rsidR="00D54E09" w:rsidRPr="00D54E09">
        <w:t xml:space="preserve"> </w:t>
      </w:r>
      <w:r w:rsidR="00D54E09" w:rsidRPr="00D54E09">
        <w:rPr>
          <w:i/>
        </w:rPr>
        <w:t>Bloom</w:t>
      </w:r>
      <w:r w:rsidRPr="00D54E09">
        <w:t>.</w:t>
      </w:r>
      <w:r w:rsidR="00D54E09" w:rsidRPr="00D54E09">
        <w:rPr>
          <w:vertAlign w:val="superscript"/>
        </w:rPr>
        <w:footnoteReference w:id="81"/>
      </w:r>
      <w:r w:rsidRPr="00D54E09">
        <w:t xml:space="preserve"> The defendant obtained a toll-free telephone number that could be used to spell 1-800-MERCEDES</w:t>
      </w:r>
      <w:r w:rsidR="00D54E09" w:rsidRPr="00D54E09">
        <w:t>.</w:t>
      </w:r>
      <w:r w:rsidR="00D54E09" w:rsidRPr="00D54E09">
        <w:t xml:space="preserve"> </w:t>
      </w:r>
      <w:r w:rsidR="00D54E09" w:rsidRPr="00D54E09">
        <w:t>H</w:t>
      </w:r>
      <w:r w:rsidRPr="00D54E09">
        <w:t>e used it for a while in connection with his own Mercedes dealership, then formed a company to license the number to other Mercedes dealerships around the country.</w:t>
      </w:r>
      <w:r w:rsidR="00D54E09" w:rsidRPr="00D54E09">
        <w:rPr>
          <w:vertAlign w:val="superscript"/>
        </w:rPr>
        <w:footnoteReference w:id="82"/>
      </w:r>
      <w:r w:rsidRPr="00D54E09">
        <w:t xml:space="preserve"> When he refused to turn over the number to DaimlerChrysler, DaimlerChrysler sued for infringement and dilution</w:t>
      </w:r>
      <w:r w:rsidR="00D54E09" w:rsidRPr="00D54E09">
        <w:t>.</w:t>
      </w:r>
      <w:r w:rsidR="00D54E09" w:rsidRPr="00D54E09">
        <w:t xml:space="preserve"> </w:t>
      </w:r>
      <w:r w:rsidR="00D54E09" w:rsidRPr="00D54E09">
        <w:t>T</w:t>
      </w:r>
      <w:r w:rsidRPr="00D54E09">
        <w:t>he Eighth Circuit, upholding the district court, held that the acquisition and licensing of the phone number did not constitute a “use” of the mark because the defendant did not promote the Mercedes mark with the telephone number.</w:t>
      </w:r>
      <w:r w:rsidR="00D54E09" w:rsidRPr="00D54E09">
        <w:rPr>
          <w:vertAlign w:val="superscript"/>
        </w:rPr>
        <w:footnoteReference w:id="83"/>
      </w:r>
      <w:r w:rsidRPr="00D54E09">
        <w:t xml:space="preserve"> In doing so, the court rejected an argument analogizing the defendant’s telephone use to Internet domain name registration.</w:t>
      </w:r>
      <w:r w:rsidR="00D54E09" w:rsidRPr="00D54E09">
        <w:rPr>
          <w:vertAlign w:val="superscript"/>
        </w:rPr>
        <w:footnoteReference w:id="84"/>
      </w:r>
      <w:r w:rsidRPr="00D54E09">
        <w:t xml:space="preserve"> In another case, the Fifth Circuit held that a commercial printer had not “used” the mark within the meaning of the TDRA when it simply reproduced the mark for a customer in the ordinary course of its printing business.</w:t>
      </w:r>
      <w:r w:rsidR="00D54E09" w:rsidRPr="00D54E09">
        <w:rPr>
          <w:vertAlign w:val="superscript"/>
        </w:rPr>
        <w:footnoteReference w:id="85"/>
      </w:r>
      <w:r w:rsidRPr="00D54E09">
        <w:t xml:space="preserve"> However, importation of counterfeit goods, even if defendant never actually possesses or sells the goods, has been held to constitute a “use in commerce.”</w:t>
      </w:r>
      <w:r w:rsidR="00D54E09" w:rsidRPr="00D54E09">
        <w:rPr>
          <w:vertAlign w:val="superscript"/>
        </w:rPr>
        <w:footnoteReference w:id="86"/>
      </w:r>
    </w:p>
    <w:p w14:paraId="2A879778" w14:textId="164B5425" w:rsidR="00D54E09" w:rsidRPr="00D54E09" w:rsidRDefault="00D54E09" w:rsidP="00D54E09">
      <w:pPr>
        <w:pStyle w:val="BHead2"/>
      </w:pPr>
      <w:r>
        <w:t>7.III.</w:t>
      </w:r>
      <w:r w:rsidRPr="00D54E09">
        <w:rPr>
          <w:rStyle w:val="BBNAidChar"/>
          <w:rFonts w:eastAsiaTheme="majorEastAsia"/>
        </w:rPr>
        <w:t>B</w:t>
      </w:r>
      <w:r w:rsidRPr="00D54E09">
        <w:t>.</w:t>
      </w:r>
      <w:r>
        <w:t> </w:t>
      </w:r>
      <w:r w:rsidRPr="00D54E09">
        <w:tab/>
        <w:t>Use in Commerce Before the TDRA—The “Commercial Use” Requirement</w:t>
      </w:r>
    </w:p>
    <w:p w14:paraId="16E835D6" w14:textId="2ABE25E7" w:rsidR="00D54E09" w:rsidRPr="00D54E09" w:rsidRDefault="00D20597" w:rsidP="00D54E09">
      <w:pPr>
        <w:pStyle w:val="BNormal"/>
      </w:pPr>
      <w:r w:rsidRPr="00D54E09">
        <w:t>As noted in Section III.A, above, the TDRA replaced the phrase “commercial use in commerce” in the original FTDA with the more familiar phrase “use in commerce.” The problems that led to this statutory change are of both historical and, perhaps, future interpretive value, because the TDRA retains the “noncommercial use” exclusion</w:t>
      </w:r>
      <w:r w:rsidR="00D54E09" w:rsidRPr="00D54E09">
        <w:t>.</w:t>
      </w:r>
      <w:r w:rsidR="00D54E09" w:rsidRPr="00D54E09">
        <w:t xml:space="preserve"> </w:t>
      </w:r>
      <w:r w:rsidR="00D54E09" w:rsidRPr="00D54E09">
        <w:t>P</w:t>
      </w:r>
      <w:r w:rsidRPr="00D54E09">
        <w:t>rior to the TDRA, courts often discussed the two “commercial use” parts of the statute together</w:t>
      </w:r>
      <w:r w:rsidR="00D54E09" w:rsidRPr="00D54E09">
        <w:t>.</w:t>
      </w:r>
      <w:r w:rsidR="00D54E09" w:rsidRPr="00D54E09">
        <w:t xml:space="preserve"> </w:t>
      </w:r>
      <w:r w:rsidR="00D54E09" w:rsidRPr="00D54E09">
        <w:t>T</w:t>
      </w:r>
      <w:r w:rsidRPr="00D54E09">
        <w:t>he discussion of these issues also may illuminate the apparent new requirement of use as a mark</w:t>
      </w:r>
      <w:r w:rsidR="00D54E09" w:rsidRPr="00D54E09">
        <w:t>.</w:t>
      </w:r>
      <w:r w:rsidR="00D54E09" w:rsidRPr="00D54E09">
        <w:t xml:space="preserve"> </w:t>
      </w:r>
      <w:r w:rsidR="00D54E09" w:rsidRPr="00D54E09">
        <w:t>T</w:t>
      </w:r>
      <w:r w:rsidRPr="00D54E09">
        <w:t>herefore, the remainder of this section will discuss the issue as it arose under the pre-TDRA version of the FTDA.</w:t>
      </w:r>
    </w:p>
    <w:p w14:paraId="1A64B1D7" w14:textId="475A467D" w:rsidR="00D54E09" w:rsidRPr="00D54E09" w:rsidRDefault="00D20597" w:rsidP="00D54E09">
      <w:pPr>
        <w:pStyle w:val="BNormal"/>
      </w:pPr>
      <w:r w:rsidRPr="00D54E09">
        <w:t>As noted above, the original FTDA contained an awkward combination of a “commercial use” element and a “noncommercial use” exclusion</w:t>
      </w:r>
      <w:r w:rsidR="00D54E09" w:rsidRPr="00D54E09">
        <w:t>.</w:t>
      </w:r>
      <w:r w:rsidR="00D54E09" w:rsidRPr="00D54E09">
        <w:t xml:space="preserve"> </w:t>
      </w:r>
      <w:r w:rsidR="00D54E09" w:rsidRPr="00D54E09">
        <w:t>T</w:t>
      </w:r>
      <w:r w:rsidRPr="00D54E09">
        <w:t>he noncommercial use exclusion is considered later in this text.</w:t>
      </w:r>
      <w:r w:rsidR="00D54E09" w:rsidRPr="00D54E09">
        <w:rPr>
          <w:vertAlign w:val="superscript"/>
        </w:rPr>
        <w:footnoteReference w:id="87"/>
      </w:r>
      <w:r w:rsidRPr="00D54E09">
        <w:t xml:space="preserve"> However, several appellate cases have illuminated the meaning of “commercial use in commerce.”</w:t>
      </w:r>
    </w:p>
    <w:p w14:paraId="45D8A95E" w14:textId="1BA4F026" w:rsidR="00D54E09" w:rsidRPr="00D54E09" w:rsidRDefault="00D20597" w:rsidP="00D54E09">
      <w:pPr>
        <w:pStyle w:val="BNormal"/>
      </w:pPr>
      <w:r w:rsidRPr="00D54E09">
        <w:t xml:space="preserve">The Ninth Circuit distinguished “commercial use in commerce” from “noncommercial use” in </w:t>
      </w:r>
      <w:r w:rsidR="00D54E09" w:rsidRPr="00D54E09">
        <w:rPr>
          <w:i/>
        </w:rPr>
        <w:t>Mattel, Inc</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MCA Records, Inc</w:t>
      </w:r>
      <w:r w:rsidRPr="00D54E09">
        <w:t>.</w:t>
      </w:r>
      <w:r w:rsidR="00D54E09" w:rsidRPr="00D54E09">
        <w:rPr>
          <w:vertAlign w:val="superscript"/>
        </w:rPr>
        <w:footnoteReference w:id="88"/>
      </w:r>
      <w:r w:rsidRPr="00D54E09">
        <w:t xml:space="preserve"> Although the distribution of records containing the offending “Barbie Girl” song was deemed a commercial use in commerce (because it was placed on goods (recordings) sold in commerce), use of the Barbie mark was nevertheless exempt as a noncommercial use.</w:t>
      </w:r>
    </w:p>
    <w:p w14:paraId="566E3E8C" w14:textId="1F6F04CD" w:rsidR="00D54E09" w:rsidRPr="00D54E09" w:rsidRDefault="00D20597" w:rsidP="00D54E09">
      <w:pPr>
        <w:pStyle w:val="BNormal"/>
      </w:pPr>
      <w:r w:rsidRPr="00D54E09">
        <w:t>One of the most common issues involving “commercial use” has concerned the registration of Internet domain names</w:t>
      </w:r>
      <w:r w:rsidR="00D54E09" w:rsidRPr="00D54E09">
        <w:t>.</w:t>
      </w:r>
      <w:r w:rsidR="00D54E09" w:rsidRPr="00D54E09">
        <w:t xml:space="preserve"> </w:t>
      </w:r>
      <w:r w:rsidR="00D54E09" w:rsidRPr="00D54E09">
        <w:t>P</w:t>
      </w:r>
      <w:r w:rsidRPr="00D54E09">
        <w:t xml:space="preserve">osting an Internet domain name on an auction site was held not to be a commercial use in commerce in </w:t>
      </w:r>
      <w:r w:rsidR="00D54E09" w:rsidRPr="00D54E09">
        <w:rPr>
          <w:i/>
        </w:rPr>
        <w:t>Bird v</w:t>
      </w:r>
      <w:r w:rsidR="00D54E09" w:rsidRPr="00D54E09">
        <w:t>.</w:t>
      </w:r>
      <w:r w:rsidR="00D54E09" w:rsidRPr="00D54E09">
        <w:t xml:space="preserve"> </w:t>
      </w:r>
      <w:r w:rsidR="00D54E09" w:rsidRPr="00D54E09">
        <w:rPr>
          <w:i/>
        </w:rPr>
        <w:t>Parsons</w:t>
      </w:r>
      <w:r w:rsidRPr="00D54E09">
        <w:t>.</w:t>
      </w:r>
      <w:r w:rsidR="00D54E09" w:rsidRPr="00D54E09">
        <w:rPr>
          <w:vertAlign w:val="superscript"/>
        </w:rPr>
        <w:footnoteReference w:id="89"/>
      </w:r>
      <w:r w:rsidRPr="00D54E09">
        <w:t xml:space="preserve"> In the same case, the court held that registration of a domain name also does not constitute a commercial use in commerce.</w:t>
      </w:r>
      <w:r w:rsidR="00D54E09" w:rsidRPr="00D54E09">
        <w:rPr>
          <w:vertAlign w:val="superscript"/>
        </w:rPr>
        <w:footnoteReference w:id="90"/>
      </w:r>
      <w:r w:rsidRPr="00D54E09">
        <w:t xml:space="preserve"> In </w:t>
      </w:r>
      <w:r w:rsidR="00D54E09" w:rsidRPr="00D54E09">
        <w:rPr>
          <w:i/>
        </w:rPr>
        <w:t>Taubman Co</w:t>
      </w:r>
      <w:r w:rsidR="00D54E09" w:rsidRPr="00D54E09">
        <w:t>.</w:t>
      </w:r>
      <w:r w:rsidR="00D54E09" w:rsidRPr="00D54E09">
        <w:t xml:space="preserve"> </w:t>
      </w:r>
      <w:r w:rsidR="00D54E09" w:rsidRPr="00D54E09">
        <w:rPr>
          <w:i/>
        </w:rPr>
        <w:t>v</w:t>
      </w:r>
      <w:r w:rsidR="00D54E09" w:rsidRPr="00D54E09">
        <w:t>.</w:t>
      </w:r>
      <w:r w:rsidR="00D54E09" w:rsidRPr="00D54E09">
        <w:t xml:space="preserve"> </w:t>
      </w:r>
      <w:proofErr w:type="spellStart"/>
      <w:r w:rsidR="00D54E09" w:rsidRPr="00D54E09">
        <w:rPr>
          <w:i/>
        </w:rPr>
        <w:t>Webfeats</w:t>
      </w:r>
      <w:proofErr w:type="spellEnd"/>
      <w:r w:rsidRPr="00D54E09">
        <w:t>,</w:t>
      </w:r>
      <w:r w:rsidR="00D54E09" w:rsidRPr="00D54E09">
        <w:rPr>
          <w:vertAlign w:val="superscript"/>
        </w:rPr>
        <w:footnoteReference w:id="91"/>
      </w:r>
      <w:r w:rsidRPr="00D54E09">
        <w:t xml:space="preserve"> the Sixth Circuit ruled that the defendant’s registration and use of the domain name “shopsatwillowbend.com” to post information about a shopping mall did not constitute a commercial use within the meaning of Section 32 of the Lanham Act,</w:t>
      </w:r>
      <w:r w:rsidR="00D54E09" w:rsidRPr="00D54E09">
        <w:rPr>
          <w:vertAlign w:val="superscript"/>
        </w:rPr>
        <w:footnoteReference w:id="92"/>
      </w:r>
      <w:r w:rsidRPr="00D54E09">
        <w:t xml:space="preserve"> where plaintiff was the operator of the mall called The Shops at Willow Bend</w:t>
      </w:r>
      <w:r w:rsidR="00D54E09" w:rsidRPr="00D54E09">
        <w:t>.</w:t>
      </w:r>
      <w:r w:rsidR="00D54E09" w:rsidRPr="00D54E09">
        <w:t xml:space="preserve"> </w:t>
      </w:r>
      <w:r w:rsidR="00D54E09" w:rsidRPr="00D54E09">
        <w:t>A</w:t>
      </w:r>
      <w:r w:rsidRPr="00D54E09">
        <w:t xml:space="preserve">nd, in </w:t>
      </w:r>
      <w:r w:rsidR="00D54E09" w:rsidRPr="00D54E09">
        <w:rPr>
          <w:i/>
        </w:rPr>
        <w:t>TMI, Inc</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Maxwell</w:t>
      </w:r>
      <w:r w:rsidRPr="00D54E09">
        <w:t>,</w:t>
      </w:r>
      <w:r w:rsidR="00D54E09" w:rsidRPr="00D54E09">
        <w:rPr>
          <w:vertAlign w:val="superscript"/>
        </w:rPr>
        <w:footnoteReference w:id="93"/>
      </w:r>
      <w:r w:rsidRPr="00D54E09">
        <w:t xml:space="preserve"> the Fifth Circuit held that the registration and use of “www.trendmakerhome.info” for a site complaining about </w:t>
      </w:r>
      <w:proofErr w:type="spellStart"/>
      <w:r w:rsidRPr="00D54E09">
        <w:t>TrendMaker</w:t>
      </w:r>
      <w:proofErr w:type="spellEnd"/>
      <w:r w:rsidRPr="00D54E09">
        <w:t xml:space="preserve"> Homes was not a commercial use.</w:t>
      </w:r>
      <w:r w:rsidR="00D54E09" w:rsidRPr="00D54E09">
        <w:rPr>
          <w:vertAlign w:val="superscript"/>
        </w:rPr>
        <w:footnoteReference w:id="94"/>
      </w:r>
    </w:p>
    <w:p w14:paraId="48F0A1F9" w14:textId="62E7D68C" w:rsidR="00D54E09" w:rsidRPr="00D54E09" w:rsidRDefault="00D54E09" w:rsidP="00D54E09">
      <w:pPr>
        <w:pStyle w:val="BHead1"/>
      </w:pPr>
      <w:r>
        <w:t>7.</w:t>
      </w:r>
      <w:r w:rsidRPr="00D54E09">
        <w:rPr>
          <w:rStyle w:val="BBNAidChar"/>
          <w:rFonts w:eastAsiaTheme="majorEastAsia"/>
        </w:rPr>
        <w:t>IV</w:t>
      </w:r>
      <w:r w:rsidRPr="00D54E09">
        <w:t>.</w:t>
      </w:r>
      <w:r>
        <w:t xml:space="preserve">  </w:t>
      </w:r>
      <w:proofErr w:type="gramStart"/>
      <w:r w:rsidRPr="00D54E09">
        <w:t>The Diluting</w:t>
      </w:r>
      <w:proofErr w:type="gramEnd"/>
      <w:r w:rsidRPr="00D54E09">
        <w:t xml:space="preserve"> Use Must Begin After the</w:t>
      </w:r>
      <w:r>
        <w:t xml:space="preserve"> </w:t>
      </w:r>
      <w:r w:rsidRPr="00D54E09">
        <w:t>Mark Becomes Famous</w:t>
      </w:r>
    </w:p>
    <w:p w14:paraId="44EABA46" w14:textId="0117FB14" w:rsidR="00D54E09" w:rsidRPr="00D54E09" w:rsidRDefault="00D20597" w:rsidP="00D54E09">
      <w:pPr>
        <w:pStyle w:val="BNormal"/>
      </w:pPr>
      <w:r w:rsidRPr="00D54E09">
        <w:t>Congress recognized that most marks do not spring forth as famous immediately</w:t>
      </w:r>
      <w:r w:rsidR="00D54E09" w:rsidRPr="00D54E09">
        <w:t>.</w:t>
      </w:r>
      <w:r w:rsidR="00D54E09" w:rsidRPr="00D54E09">
        <w:t xml:space="preserve"> </w:t>
      </w:r>
      <w:r w:rsidR="00D54E09" w:rsidRPr="00D54E09">
        <w:t>I</w:t>
      </w:r>
      <w:r w:rsidRPr="00D54E09">
        <w:t>t usually requires time for public recognition to reach a sufficient level for the mark to be deemed “famous.”</w:t>
      </w:r>
      <w:r w:rsidR="00D54E09" w:rsidRPr="00D54E09">
        <w:rPr>
          <w:vertAlign w:val="superscript"/>
        </w:rPr>
        <w:footnoteReference w:id="95"/>
      </w:r>
      <w:r w:rsidRPr="00D54E09">
        <w:t xml:space="preserve"> Until that happens, another user can make use of the same mark, </w:t>
      </w:r>
      <w:proofErr w:type="gramStart"/>
      <w:r w:rsidRPr="00D54E09">
        <w:t>as long as</w:t>
      </w:r>
      <w:proofErr w:type="gramEnd"/>
      <w:r w:rsidRPr="00D54E09">
        <w:t xml:space="preserve"> it does not cause confusion</w:t>
      </w:r>
      <w:r w:rsidR="00D54E09" w:rsidRPr="00D54E09">
        <w:t>.</w:t>
      </w:r>
      <w:r w:rsidR="00D54E09" w:rsidRPr="00D54E09">
        <w:t xml:space="preserve"> </w:t>
      </w:r>
      <w:r w:rsidR="00D54E09" w:rsidRPr="00D54E09">
        <w:t>I</w:t>
      </w:r>
      <w:r w:rsidRPr="00D54E09">
        <w:t>t would be unfair to divest such a second user, particularly one who builds up goodwill in a mark lawfully and in good faith, simply because at some unpredictable point a mark has become famous</w:t>
      </w:r>
      <w:r w:rsidR="00D54E09" w:rsidRPr="00D54E09">
        <w:t>.</w:t>
      </w:r>
      <w:r w:rsidR="00D54E09" w:rsidRPr="00D54E09">
        <w:t xml:space="preserve"> </w:t>
      </w:r>
      <w:r w:rsidR="00D54E09" w:rsidRPr="00D54E09">
        <w:t>T</w:t>
      </w:r>
      <w:r w:rsidRPr="00D54E09">
        <w:t>hus, the TDRA permits claims by a famous mark owner only where the action is “against another person who, at any time</w:t>
      </w:r>
      <w:r w:rsidR="00D54E09" w:rsidRPr="00D54E09">
        <w:rPr>
          <w:i/>
        </w:rPr>
        <w:t xml:space="preserve"> after the owner’s mark has become famous</w:t>
      </w:r>
      <w:r w:rsidRPr="00D54E09">
        <w:t>, commences use of a mark or trade name in commerce.”</w:t>
      </w:r>
      <w:r w:rsidR="00D54E09" w:rsidRPr="00D54E09">
        <w:rPr>
          <w:vertAlign w:val="superscript"/>
        </w:rPr>
        <w:footnoteReference w:id="96"/>
      </w:r>
    </w:p>
    <w:p w14:paraId="195E739E" w14:textId="4B98443C" w:rsidR="00D54E09" w:rsidRPr="00D54E09" w:rsidRDefault="00D20597" w:rsidP="00D54E09">
      <w:pPr>
        <w:pStyle w:val="BNormal"/>
      </w:pPr>
      <w:r w:rsidRPr="00D54E09">
        <w:t xml:space="preserve">This limitation does not eliminate </w:t>
      </w:r>
      <w:proofErr w:type="gramStart"/>
      <w:r w:rsidRPr="00D54E09">
        <w:t>all of</w:t>
      </w:r>
      <w:proofErr w:type="gramEnd"/>
      <w:r w:rsidRPr="00D54E09">
        <w:t xml:space="preserve"> the uncertainty for the second user</w:t>
      </w:r>
      <w:r w:rsidR="00D54E09" w:rsidRPr="00D54E09">
        <w:t>.</w:t>
      </w:r>
      <w:r w:rsidR="00D54E09" w:rsidRPr="00D54E09">
        <w:t xml:space="preserve"> </w:t>
      </w:r>
      <w:r w:rsidR="00D54E09" w:rsidRPr="00D54E09">
        <w:t>T</w:t>
      </w:r>
      <w:r w:rsidRPr="00D54E09">
        <w:t>he precise date when a mark becomes famous will not be easy to determine</w:t>
      </w:r>
      <w:r w:rsidR="00D54E09" w:rsidRPr="00D54E09">
        <w:t>.</w:t>
      </w:r>
      <w:r w:rsidR="00D54E09" w:rsidRPr="00D54E09">
        <w:t xml:space="preserve"> </w:t>
      </w:r>
      <w:r w:rsidR="00D54E09" w:rsidRPr="00D54E09">
        <w:t>H</w:t>
      </w:r>
      <w:r w:rsidRPr="00D54E09">
        <w:t>owever, the burden is on the plaintiff to show when its mark became famous and when the defendant made its first use of the same or a similar mark.</w:t>
      </w:r>
      <w:r w:rsidR="00D54E09" w:rsidRPr="00D54E09">
        <w:rPr>
          <w:vertAlign w:val="superscript"/>
        </w:rPr>
        <w:footnoteReference w:id="97"/>
      </w:r>
    </w:p>
    <w:p w14:paraId="525DFAE8" w14:textId="16C88617" w:rsidR="00D54E09" w:rsidRPr="00D54E09" w:rsidRDefault="00D20597" w:rsidP="00D54E09">
      <w:pPr>
        <w:pStyle w:val="BNormal"/>
      </w:pPr>
      <w:r w:rsidRPr="00D54E09">
        <w:t>The difficulty of demonstrating timing should not be underestimated</w:t>
      </w:r>
      <w:r w:rsidR="00D54E09" w:rsidRPr="00D54E09">
        <w:t>.</w:t>
      </w:r>
      <w:r w:rsidR="00D54E09" w:rsidRPr="00D54E09">
        <w:t xml:space="preserve"> </w:t>
      </w:r>
      <w:r w:rsidR="00D54E09" w:rsidRPr="00D54E09">
        <w:t>I</w:t>
      </w:r>
      <w:r w:rsidRPr="00D54E09">
        <w:t xml:space="preserve">n </w:t>
      </w:r>
      <w:r w:rsidR="00D54E09" w:rsidRPr="00D54E09">
        <w:rPr>
          <w:rStyle w:val="BCasenamefull"/>
        </w:rPr>
        <w:t>Kleven v. Hereford</w:t>
      </w:r>
      <w:r w:rsidRPr="00D54E09">
        <w:t>,</w:t>
      </w:r>
      <w:r w:rsidR="00D54E09" w:rsidRPr="00D54E09">
        <w:rPr>
          <w:vertAlign w:val="superscript"/>
        </w:rPr>
        <w:footnoteReference w:id="98"/>
      </w:r>
      <w:r w:rsidRPr="00D54E09">
        <w:t xml:space="preserve"> for example, the owner of the Rin Tin </w:t>
      </w:r>
      <w:proofErr w:type="spellStart"/>
      <w:r w:rsidRPr="00D54E09">
        <w:t>Tin</w:t>
      </w:r>
      <w:proofErr w:type="spellEnd"/>
      <w:r w:rsidRPr="00D54E09">
        <w:t xml:space="preserve"> mark was unable to show that its mark had achieved dilution-level fame even by the early 1990s (which was when defendant started using its mark).</w:t>
      </w:r>
      <w:r w:rsidR="00D54E09" w:rsidRPr="00D54E09">
        <w:rPr>
          <w:vertAlign w:val="superscript"/>
        </w:rPr>
        <w:footnoteReference w:id="99"/>
      </w:r>
      <w:r w:rsidRPr="00D54E09">
        <w:t xml:space="preserve"> The court noted that while there was some evidence of national recognition earlier, the mark had significantly declined in usage since the 1970s and 1980s, and there was no evidence of fame by the time of the first offending use.</w:t>
      </w:r>
      <w:r w:rsidR="00D54E09" w:rsidRPr="00D54E09">
        <w:rPr>
          <w:vertAlign w:val="superscript"/>
        </w:rPr>
        <w:footnoteReference w:id="100"/>
      </w:r>
      <w:r w:rsidRPr="00D54E09">
        <w:t xml:space="preserve"> </w:t>
      </w:r>
      <w:r w:rsidR="00D54E09" w:rsidRPr="00D54E09">
        <w:rPr>
          <w:i/>
        </w:rPr>
        <w:t>Kleven</w:t>
      </w:r>
      <w:r w:rsidRPr="00D54E09">
        <w:t xml:space="preserve"> also illustrates an interesting problem with the concept of fame—what happens if a mark once famous is no longer famous by the time of the offending use</w:t>
      </w:r>
      <w:r w:rsidR="00D54E09" w:rsidRPr="00D54E09">
        <w:t>?</w:t>
      </w:r>
      <w:r w:rsidR="00D54E09" w:rsidRPr="00D54E09">
        <w:t xml:space="preserve"> </w:t>
      </w:r>
      <w:r w:rsidR="00D54E09" w:rsidRPr="00D54E09">
        <w:rPr>
          <w:i/>
        </w:rPr>
        <w:t>Kleven</w:t>
      </w:r>
      <w:r w:rsidRPr="00D54E09">
        <w:t>’s answer seems to be that the mark is not eligible for dilution protection.</w:t>
      </w:r>
    </w:p>
    <w:p w14:paraId="7F20679B" w14:textId="511BC2B5" w:rsidR="00D54E09" w:rsidRPr="00D54E09" w:rsidRDefault="00D20597" w:rsidP="00D54E09">
      <w:pPr>
        <w:pStyle w:val="BNormal"/>
      </w:pPr>
      <w:r w:rsidRPr="00D54E09">
        <w:t xml:space="preserve">Moreover, the measuring time should begin with the defendant’s </w:t>
      </w:r>
      <w:r w:rsidR="00D54E09" w:rsidRPr="00D54E09">
        <w:rPr>
          <w:i/>
        </w:rPr>
        <w:t>first</w:t>
      </w:r>
      <w:r w:rsidRPr="00D54E09">
        <w:t xml:space="preserve"> commercial use of the mark, not simply the first one that the famous mark owner finds objectionable.</w:t>
      </w:r>
      <w:r w:rsidR="00D54E09" w:rsidRPr="00D54E09">
        <w:rPr>
          <w:vertAlign w:val="superscript"/>
        </w:rPr>
        <w:footnoteReference w:id="101"/>
      </w:r>
      <w:r w:rsidRPr="00D54E09">
        <w:t xml:space="preserve"> In </w:t>
      </w:r>
      <w:r w:rsidR="00D54E09" w:rsidRPr="00D54E09">
        <w:rPr>
          <w:i/>
        </w:rPr>
        <w:t>Nissan Motor Co</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Nissan Computer Corp</w:t>
      </w:r>
      <w:r w:rsidRPr="00D54E09">
        <w:t>.,</w:t>
      </w:r>
      <w:r w:rsidR="00D54E09" w:rsidRPr="00D54E09">
        <w:rPr>
          <w:vertAlign w:val="superscript"/>
        </w:rPr>
        <w:footnoteReference w:id="102"/>
      </w:r>
      <w:r w:rsidRPr="00D54E09">
        <w:t xml:space="preserve"> the Ninth Circuit held that the first “arguably offending” use constitutes the first use by the defendant from which the time should be measured.</w:t>
      </w:r>
      <w:r w:rsidR="00D54E09" w:rsidRPr="00D54E09">
        <w:rPr>
          <w:vertAlign w:val="superscript"/>
        </w:rPr>
        <w:footnoteReference w:id="103"/>
      </w:r>
      <w:r w:rsidRPr="00D54E09">
        <w:t xml:space="preserve"> In </w:t>
      </w:r>
      <w:r w:rsidR="00D54E09" w:rsidRPr="00D54E09">
        <w:rPr>
          <w:i/>
        </w:rPr>
        <w:t>Nissan</w:t>
      </w:r>
      <w:r w:rsidRPr="00D54E09">
        <w:t>, the defendant began using Nissan Computer as the name of its store several years before registering nissan.com as its domain name for its Web site</w:t>
      </w:r>
      <w:r w:rsidR="00D54E09" w:rsidRPr="00D54E09">
        <w:t>.</w:t>
      </w:r>
      <w:r w:rsidR="00D54E09" w:rsidRPr="00D54E09">
        <w:t xml:space="preserve"> </w:t>
      </w:r>
      <w:r w:rsidR="00D54E09" w:rsidRPr="00D54E09">
        <w:t>A</w:t>
      </w:r>
      <w:r w:rsidRPr="00D54E09">
        <w:t>lthough it was the domain name registration—and the Web site’s links to automotive advertisers—that triggered the lawsuit, the court of appeals held that the earlier use of Nissan Computer was the defendant’s date of first use under the FTDA.</w:t>
      </w:r>
      <w:r w:rsidR="00D54E09" w:rsidRPr="00D54E09">
        <w:rPr>
          <w:vertAlign w:val="superscript"/>
        </w:rPr>
        <w:footnoteReference w:id="104"/>
      </w:r>
      <w:r w:rsidRPr="00D54E09">
        <w:t xml:space="preserve"> Although the time of first use may be reasonably fixed, the date when a mark becomes famous may be more nebulous because the concept of “fame” is not precisely defined,</w:t>
      </w:r>
      <w:r w:rsidR="00D54E09" w:rsidRPr="00D54E09">
        <w:rPr>
          <w:vertAlign w:val="superscript"/>
        </w:rPr>
        <w:footnoteReference w:id="105"/>
      </w:r>
      <w:r w:rsidRPr="00D54E09">
        <w:t xml:space="preserve"> and a lawsuit may ensue years after the first use by a junior user.</w:t>
      </w:r>
    </w:p>
    <w:p w14:paraId="6A08CAE0" w14:textId="44A0800A" w:rsidR="00D54E09" w:rsidRPr="00D54E09" w:rsidRDefault="00D20597" w:rsidP="00D54E09">
      <w:pPr>
        <w:pStyle w:val="BNormal"/>
      </w:pPr>
      <w:r w:rsidRPr="00D54E09">
        <w:t>Another possible issue is the level of use made by the second user before the mark became famous</w:t>
      </w:r>
      <w:r w:rsidR="00D54E09" w:rsidRPr="00D54E09">
        <w:t>.</w:t>
      </w:r>
      <w:r w:rsidR="00D54E09" w:rsidRPr="00D54E09">
        <w:t xml:space="preserve"> </w:t>
      </w:r>
      <w:r w:rsidR="00D54E09" w:rsidRPr="00D54E09">
        <w:t>T</w:t>
      </w:r>
      <w:r w:rsidRPr="00D54E09">
        <w:t xml:space="preserve">he Federal Circuit addressed this issue in </w:t>
      </w:r>
      <w:r w:rsidR="00D54E09" w:rsidRPr="00D54E09">
        <w:rPr>
          <w:i/>
        </w:rPr>
        <w:t>Enterprise Rent-A-Car Co</w:t>
      </w:r>
      <w:r w:rsidR="00D54E09" w:rsidRPr="00D54E09">
        <w:t>.</w:t>
      </w:r>
      <w:r w:rsidR="00D54E09" w:rsidRPr="00D54E09">
        <w:t xml:space="preserve"> </w:t>
      </w:r>
      <w:r w:rsidR="00D54E09" w:rsidRPr="00D54E09">
        <w:rPr>
          <w:i/>
        </w:rPr>
        <w:t>v</w:t>
      </w:r>
      <w:r w:rsidR="00D54E09" w:rsidRPr="00D54E09">
        <w:t>.</w:t>
      </w:r>
      <w:r w:rsidR="00D54E09" w:rsidRPr="00D54E09">
        <w:t xml:space="preserve"> </w:t>
      </w:r>
      <w:r w:rsidR="00D54E09" w:rsidRPr="00D54E09">
        <w:rPr>
          <w:i/>
        </w:rPr>
        <w:t>Advantage Rent-A-Car, Inc</w:t>
      </w:r>
      <w:r w:rsidRPr="00D54E09">
        <w:t>.</w:t>
      </w:r>
      <w:r w:rsidR="00D54E09" w:rsidRPr="00D54E09">
        <w:rPr>
          <w:vertAlign w:val="superscript"/>
        </w:rPr>
        <w:footnoteReference w:id="106"/>
      </w:r>
      <w:r w:rsidRPr="00D54E09">
        <w:t xml:space="preserve"> Advantage sought to register the slogan “We’ll Even Pick You Up” as a trademark on the Principal Register</w:t>
      </w:r>
      <w:r w:rsidR="00D54E09" w:rsidRPr="00D54E09">
        <w:t>;</w:t>
      </w:r>
      <w:r w:rsidR="00D54E09" w:rsidRPr="00D54E09">
        <w:t xml:space="preserve"> </w:t>
      </w:r>
      <w:r w:rsidR="00D54E09" w:rsidRPr="00D54E09">
        <w:t>i</w:t>
      </w:r>
      <w:r w:rsidRPr="00D54E09">
        <w:t>t was opposed by Enterprise on the basis of various existing registrations owned by Enterprise.</w:t>
      </w:r>
      <w:r w:rsidR="00D54E09" w:rsidRPr="00D54E09">
        <w:rPr>
          <w:vertAlign w:val="superscript"/>
        </w:rPr>
        <w:footnoteReference w:id="107"/>
      </w:r>
      <w:r w:rsidRPr="00D54E09">
        <w:t xml:space="preserve"> Enterprise’s opposition maintained that Advantage’s proposed mark would cause dilution of Enterprise’s marks, as well as confusion.</w:t>
      </w:r>
      <w:r w:rsidR="00D54E09" w:rsidRPr="00D54E09">
        <w:rPr>
          <w:vertAlign w:val="superscript"/>
        </w:rPr>
        <w:footnoteReference w:id="108"/>
      </w:r>
      <w:r w:rsidRPr="00D54E09">
        <w:t xml:space="preserve"> However, a prior infringement suit between the parties resulted in a court ruling that Enterprise’s marks were not famous.</w:t>
      </w:r>
      <w:r w:rsidR="00D54E09" w:rsidRPr="00D54E09">
        <w:rPr>
          <w:vertAlign w:val="superscript"/>
        </w:rPr>
        <w:footnoteReference w:id="109"/>
      </w:r>
      <w:r w:rsidRPr="00D54E09">
        <w:t xml:space="preserve"> This ruling was held to preclude any finding that Enterprise’s marks were famous “as of the late 1990s.”</w:t>
      </w:r>
      <w:r w:rsidR="00D54E09" w:rsidRPr="00D54E09">
        <w:rPr>
          <w:vertAlign w:val="superscript"/>
        </w:rPr>
        <w:footnoteReference w:id="110"/>
      </w:r>
      <w:r w:rsidRPr="00D54E09">
        <w:t xml:space="preserve"> Enterprise then claimed that its mark had become famous since the district court’s ruling in the infringement case, and, most critically, that it now could sustain a dilution claim against someone whose use before the mark became famous had been geographically localized.</w:t>
      </w:r>
      <w:r w:rsidR="00D54E09" w:rsidRPr="00D54E09">
        <w:rPr>
          <w:vertAlign w:val="superscript"/>
        </w:rPr>
        <w:footnoteReference w:id="111"/>
      </w:r>
      <w:r w:rsidRPr="00D54E09">
        <w:t xml:space="preserve"> The Federal Circuit rejected this argument</w:t>
      </w:r>
      <w:r w:rsidR="00D54E09" w:rsidRPr="00D54E09">
        <w:t>.</w:t>
      </w:r>
      <w:r w:rsidR="00D54E09" w:rsidRPr="00D54E09">
        <w:t xml:space="preserve"> </w:t>
      </w:r>
      <w:r w:rsidR="00D54E09" w:rsidRPr="00D54E09">
        <w:t>I</w:t>
      </w:r>
      <w:r w:rsidRPr="00D54E09">
        <w:t>t found that the statute’s reference to “such use”</w:t>
      </w:r>
      <w:r w:rsidR="00D54E09" w:rsidRPr="00D54E09">
        <w:rPr>
          <w:vertAlign w:val="superscript"/>
        </w:rPr>
        <w:footnoteReference w:id="112"/>
      </w:r>
      <w:r w:rsidRPr="00D54E09">
        <w:t xml:space="preserve"> meant “</w:t>
      </w:r>
      <w:r w:rsidR="00D54E09" w:rsidRPr="00D54E09">
        <w:rPr>
          <w:i/>
        </w:rPr>
        <w:t>any</w:t>
      </w:r>
      <w:r w:rsidRPr="00D54E09">
        <w:t xml:space="preserve"> use in commerce.”</w:t>
      </w:r>
      <w:r w:rsidR="00D54E09" w:rsidRPr="00D54E09">
        <w:rPr>
          <w:vertAlign w:val="superscript"/>
        </w:rPr>
        <w:footnoteReference w:id="113"/>
      </w:r>
      <w:r w:rsidRPr="00D54E09">
        <w:t xml:space="preserve"> Moreover, the court found that by providing for concurrent use proceedings in Section 2(d) of the Lanham Act, Congress knew how to provide a remedy for </w:t>
      </w:r>
      <w:proofErr w:type="gramStart"/>
      <w:r w:rsidRPr="00D54E09">
        <w:t>limited-area</w:t>
      </w:r>
      <w:proofErr w:type="gramEnd"/>
      <w:r w:rsidRPr="00D54E09">
        <w:t xml:space="preserve"> uses when it so chose.</w:t>
      </w:r>
      <w:r w:rsidR="00D54E09" w:rsidRPr="00D54E09">
        <w:rPr>
          <w:vertAlign w:val="superscript"/>
        </w:rPr>
        <w:footnoteReference w:id="114"/>
      </w:r>
    </w:p>
    <w:p w14:paraId="53E7DCA0" w14:textId="3B9FC161" w:rsidR="00D54E09" w:rsidRPr="00D54E09" w:rsidRDefault="00D20597" w:rsidP="00D54E09">
      <w:pPr>
        <w:pStyle w:val="BNormal"/>
      </w:pPr>
      <w:r w:rsidRPr="00D54E09">
        <w:t>The Federal Circuit’s conclusion is sensible</w:t>
      </w:r>
      <w:r w:rsidR="00D54E09" w:rsidRPr="00D54E09">
        <w:t>.</w:t>
      </w:r>
      <w:r w:rsidR="00D54E09" w:rsidRPr="00D54E09">
        <w:t xml:space="preserve"> </w:t>
      </w:r>
      <w:r w:rsidR="00D54E09" w:rsidRPr="00D54E09">
        <w:t>C</w:t>
      </w:r>
      <w:r w:rsidRPr="00D54E09">
        <w:t>ongress did not evidence any intent to deprive even localized mark users of their rights</w:t>
      </w:r>
      <w:r w:rsidR="00D54E09" w:rsidRPr="00D54E09">
        <w:t>.</w:t>
      </w:r>
      <w:r w:rsidR="00D54E09" w:rsidRPr="00D54E09">
        <w:t xml:space="preserve"> </w:t>
      </w:r>
      <w:r w:rsidR="00D54E09" w:rsidRPr="00D54E09">
        <w:t>N</w:t>
      </w:r>
      <w:r w:rsidRPr="00D54E09">
        <w:t>or is there any reason to Balkanize dilution claims by allowing them in areas to which the second user did not expand, but not in the areas of pre-fame use by the second user.</w:t>
      </w:r>
      <w:r w:rsidR="00D54E09" w:rsidRPr="00D54E09">
        <w:rPr>
          <w:vertAlign w:val="superscript"/>
        </w:rPr>
        <w:footnoteReference w:id="115"/>
      </w:r>
      <w:r w:rsidRPr="00D54E09">
        <w:t xml:space="preserve"> Moreover, parsing “uses” would create many needless factual issues for courts to resolve.</w:t>
      </w:r>
    </w:p>
    <w:p w14:paraId="7F9AEEF7" w14:textId="731EA128" w:rsidR="00D54E09" w:rsidRPr="00D54E09" w:rsidRDefault="00D54E09" w:rsidP="00D54E09">
      <w:pPr>
        <w:pStyle w:val="BHead1"/>
      </w:pPr>
      <w:r>
        <w:t>7.</w:t>
      </w:r>
      <w:r w:rsidRPr="00D54E09">
        <w:rPr>
          <w:rStyle w:val="BBNAidChar"/>
          <w:rFonts w:eastAsiaTheme="majorEastAsia"/>
        </w:rPr>
        <w:t>V</w:t>
      </w:r>
      <w:r w:rsidRPr="00D54E09">
        <w:t>.</w:t>
      </w:r>
      <w:r>
        <w:t xml:space="preserve">  </w:t>
      </w:r>
      <w:r w:rsidRPr="00D54E09">
        <w:t>Suits by Competitors Under the TDRA</w:t>
      </w:r>
    </w:p>
    <w:p w14:paraId="35E1FEED" w14:textId="32A64949" w:rsidR="00D54E09" w:rsidRPr="00D54E09" w:rsidRDefault="00D20597" w:rsidP="00D54E09">
      <w:pPr>
        <w:pStyle w:val="BNormal"/>
      </w:pPr>
      <w:r w:rsidRPr="00D54E09">
        <w:t>It should go without saying that a suit may be brought under the FTDA by a competitor of the defendant</w:t>
      </w:r>
      <w:r w:rsidR="00D54E09" w:rsidRPr="00D54E09">
        <w:t>.</w:t>
      </w:r>
      <w:r w:rsidR="00D54E09" w:rsidRPr="00D54E09">
        <w:t xml:space="preserve"> </w:t>
      </w:r>
      <w:r w:rsidR="00D54E09" w:rsidRPr="00D54E09">
        <w:t>T</w:t>
      </w:r>
      <w:r w:rsidRPr="00D54E09">
        <w:t>he operative language of the FTDA, as amended by the TDRA, gives a cause of action against a likelihood of dilution “regardless of the presence or absence</w:t>
      </w:r>
      <w:r w:rsidR="00D54E09" w:rsidRPr="00D54E09">
        <w:t xml:space="preserve"> </w:t>
      </w:r>
      <w:r w:rsidRPr="00D54E09">
        <w:t>…</w:t>
      </w:r>
      <w:r w:rsidR="00D54E09" w:rsidRPr="00D54E09">
        <w:t xml:space="preserve"> </w:t>
      </w:r>
      <w:r w:rsidRPr="00D54E09">
        <w:t>of competition.”</w:t>
      </w:r>
      <w:r w:rsidR="00D54E09" w:rsidRPr="00D54E09">
        <w:rPr>
          <w:vertAlign w:val="superscript"/>
        </w:rPr>
        <w:footnoteReference w:id="116"/>
      </w:r>
      <w:r w:rsidRPr="00D54E09">
        <w:t xml:space="preserve"> Thus, unlike the situation under some state laws, there should be no question that competitors have standing to sue under the FTDA.</w:t>
      </w:r>
    </w:p>
    <w:p w14:paraId="529B1EF4" w14:textId="329CE083" w:rsidR="00D54E09" w:rsidRPr="00D54E09" w:rsidRDefault="00D20597" w:rsidP="00D54E09">
      <w:pPr>
        <w:pStyle w:val="BNormal"/>
      </w:pPr>
      <w:r w:rsidRPr="00D54E09">
        <w:t>Nevertheless, suits by competitors do not fit the classic mold of a dilution claim.</w:t>
      </w:r>
      <w:r w:rsidR="00D54E09" w:rsidRPr="00D54E09">
        <w:rPr>
          <w:vertAlign w:val="superscript"/>
        </w:rPr>
        <w:footnoteReference w:id="117"/>
      </w:r>
      <w:r w:rsidRPr="00D54E09">
        <w:t xml:space="preserve"> And one would expect that, normally, the owner of a “famous” mark would have a valid infringement claim against a competitor</w:t>
      </w:r>
      <w:r w:rsidR="00D54E09" w:rsidRPr="00D54E09">
        <w:t>.</w:t>
      </w:r>
      <w:r w:rsidR="00D54E09" w:rsidRPr="00D54E09">
        <w:t xml:space="preserve"> </w:t>
      </w:r>
      <w:r w:rsidR="00D54E09" w:rsidRPr="00D54E09">
        <w:t>T</w:t>
      </w:r>
      <w:r w:rsidRPr="00D54E09">
        <w:t>herefore, courts should be wary of dilution claims in competitive situations,</w:t>
      </w:r>
      <w:r w:rsidR="00D54E09" w:rsidRPr="00D54E09">
        <w:rPr>
          <w:vertAlign w:val="superscript"/>
        </w:rPr>
        <w:footnoteReference w:id="118"/>
      </w:r>
      <w:r w:rsidRPr="00D54E09">
        <w:t xml:space="preserve"> particularly where an ordinary infringement claim cannot be sustained, lest dilution become a fallback for a weak infringement claim</w:t>
      </w:r>
      <w:r w:rsidR="00D54E09" w:rsidRPr="00D54E09">
        <w:t>.</w:t>
      </w:r>
      <w:r w:rsidR="00D54E09" w:rsidRPr="00D54E09">
        <w:t xml:space="preserve"> </w:t>
      </w:r>
      <w:r w:rsidR="00D54E09" w:rsidRPr="00D54E09">
        <w:t>T</w:t>
      </w:r>
      <w:r w:rsidRPr="00D54E09">
        <w:t>his wariness was evidenced in a 2002 district court case</w:t>
      </w:r>
      <w:r w:rsidR="00D54E09" w:rsidRPr="00D54E09">
        <w:t>.</w:t>
      </w:r>
      <w:r w:rsidR="00D54E09" w:rsidRPr="00D54E09">
        <w:t xml:space="preserve"> </w:t>
      </w:r>
      <w:r w:rsidR="00D54E09" w:rsidRPr="00D54E09">
        <w:t>W</w:t>
      </w:r>
      <w:r w:rsidRPr="00D54E09">
        <w:t>hile not rejecting FTDA claims between competitors (which would have been a misreading of the statute), a federal court did note that such claims should be viewed with caution, particularly in the absence of confusion.</w:t>
      </w:r>
      <w:r w:rsidR="00D54E09" w:rsidRPr="00D54E09">
        <w:rPr>
          <w:vertAlign w:val="superscript"/>
        </w:rPr>
        <w:footnoteReference w:id="119"/>
      </w:r>
      <w:r w:rsidRPr="00D54E09">
        <w:t xml:space="preserve"> The court agreed with statements in other cases that a dilution claim should not be a substitute for a weak infringement claim.</w:t>
      </w:r>
      <w:r w:rsidR="00D54E09" w:rsidRPr="00D54E09">
        <w:rPr>
          <w:vertAlign w:val="superscript"/>
        </w:rPr>
        <w:footnoteReference w:id="120"/>
      </w:r>
    </w:p>
    <w:p w14:paraId="161B20B6" w14:textId="528E0463" w:rsidR="00D54E09" w:rsidRPr="00D54E09" w:rsidRDefault="00D20597" w:rsidP="00D54E09">
      <w:pPr>
        <w:pStyle w:val="BNormal"/>
      </w:pPr>
      <w:r w:rsidRPr="00D54E09">
        <w:t>Another court apparently misread the federal statute and barred a claim under the FTDA by a competitor.</w:t>
      </w:r>
      <w:r w:rsidR="00D54E09" w:rsidRPr="00D54E09">
        <w:rPr>
          <w:vertAlign w:val="superscript"/>
        </w:rPr>
        <w:footnoteReference w:id="121"/>
      </w:r>
      <w:r w:rsidRPr="00D54E09">
        <w:t xml:space="preserve"> The plaintiff asserted dilution claims under both state and federal law, both of which were rejected for this reason</w:t>
      </w:r>
      <w:r w:rsidR="00D54E09" w:rsidRPr="00D54E09">
        <w:t>.</w:t>
      </w:r>
      <w:r w:rsidR="00D54E09" w:rsidRPr="00D54E09">
        <w:t xml:space="preserve"> </w:t>
      </w:r>
      <w:r w:rsidR="00D54E09" w:rsidRPr="00D54E09">
        <w:t>A</w:t>
      </w:r>
      <w:r w:rsidRPr="00D54E09">
        <w:t>lthough the use of dilution in a competitive situation is not the classic reason for such statutes, and although such uses should be viewed warily, both the FTDA and the TDRA clearly anticipate the possibility that competitors may sue for dilution in a proper case.</w:t>
      </w:r>
    </w:p>
    <w:p w14:paraId="6E2BFDB9" w14:textId="791975BC" w:rsidR="00D54E09" w:rsidRPr="00D54E09" w:rsidRDefault="00D54E09" w:rsidP="00D54E09">
      <w:pPr>
        <w:pStyle w:val="BHead1"/>
      </w:pPr>
      <w:r>
        <w:t>7.</w:t>
      </w:r>
      <w:r w:rsidRPr="00D54E09">
        <w:rPr>
          <w:rStyle w:val="BBNAidChar"/>
          <w:rFonts w:eastAsiaTheme="majorEastAsia"/>
        </w:rPr>
        <w:t>VI</w:t>
      </w:r>
      <w:r w:rsidRPr="00D54E09">
        <w:t>.</w:t>
      </w:r>
      <w:r>
        <w:t xml:space="preserve">  </w:t>
      </w:r>
      <w:r w:rsidRPr="00D54E09">
        <w:t xml:space="preserve">The Need for </w:t>
      </w:r>
      <w:proofErr w:type="gramStart"/>
      <w:r w:rsidRPr="00D54E09">
        <w:t>a Trademark</w:t>
      </w:r>
      <w:proofErr w:type="gramEnd"/>
      <w:r w:rsidRPr="00D54E09">
        <w:t xml:space="preserve"> Use</w:t>
      </w:r>
    </w:p>
    <w:p w14:paraId="56C36A8E" w14:textId="5C5CDA85" w:rsidR="00D54E09" w:rsidRPr="00D54E09" w:rsidRDefault="00D20597" w:rsidP="00D54E09">
      <w:pPr>
        <w:pStyle w:val="BNormal"/>
      </w:pPr>
      <w:r w:rsidRPr="00D54E09">
        <w:t xml:space="preserve">The operative language of Section 43(c)(1) states that the offending use must be use of a “mark or trade name.” This, in turn, indicates that the offending use must </w:t>
      </w:r>
      <w:proofErr w:type="gramStart"/>
      <w:r w:rsidRPr="00D54E09">
        <w:t>be a</w:t>
      </w:r>
      <w:proofErr w:type="gramEnd"/>
      <w:r w:rsidRPr="00D54E09">
        <w:t xml:space="preserve"> </w:t>
      </w:r>
      <w:proofErr w:type="gramStart"/>
      <w:r w:rsidRPr="00D54E09">
        <w:t>use</w:t>
      </w:r>
      <w:proofErr w:type="gramEnd"/>
      <w:r w:rsidRPr="00D54E09">
        <w:t xml:space="preserve"> </w:t>
      </w:r>
      <w:r w:rsidR="00D54E09" w:rsidRPr="00D54E09">
        <w:rPr>
          <w:i/>
        </w:rPr>
        <w:t>as a trademark</w:t>
      </w:r>
      <w:r w:rsidR="00D54E09" w:rsidRPr="00D54E09">
        <w:t>.</w:t>
      </w:r>
      <w:r w:rsidR="00D54E09" w:rsidRPr="00D54E09">
        <w:t xml:space="preserve"> </w:t>
      </w:r>
      <w:r w:rsidR="00D54E09" w:rsidRPr="00D54E09">
        <w:t>C</w:t>
      </w:r>
      <w:r w:rsidRPr="00D54E09">
        <w:t xml:space="preserve">learly, this interpretation would limit the scope of the TDRA, particularly in </w:t>
      </w:r>
      <w:proofErr w:type="spellStart"/>
      <w:r w:rsidRPr="00D54E09">
        <w:t>tarnishment</w:t>
      </w:r>
      <w:proofErr w:type="spellEnd"/>
      <w:r w:rsidRPr="00D54E09">
        <w:t xml:space="preserve"> actions</w:t>
      </w:r>
      <w:r w:rsidR="00D54E09" w:rsidRPr="00D54E09">
        <w:t>.</w:t>
      </w:r>
      <w:r w:rsidR="00D54E09" w:rsidRPr="00D54E09">
        <w:t xml:space="preserve"> </w:t>
      </w:r>
      <w:r w:rsidR="00D54E09" w:rsidRPr="00D54E09">
        <w:t>T</w:t>
      </w:r>
      <w:r w:rsidRPr="00D54E09">
        <w:t>his issue is discussed in detail in Chapter 9, Section IV.</w:t>
      </w:r>
      <w:r w:rsidR="00D54E09" w:rsidRPr="00D54E09">
        <w:rPr>
          <w:vertAlign w:val="superscript"/>
        </w:rPr>
        <w:footnoteReference w:id="122"/>
      </w:r>
    </w:p>
    <w:sectPr w:rsidR="00D54E09" w:rsidRPr="00D54E09" w:rsidSect="009A1AB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AC71" w14:textId="77777777" w:rsidR="00A82526" w:rsidRDefault="00A82526" w:rsidP="002A47A4">
      <w:r>
        <w:separator/>
      </w:r>
    </w:p>
    <w:p w14:paraId="5F9C2BB6" w14:textId="77777777" w:rsidR="00A82526" w:rsidRDefault="00A82526"/>
    <w:p w14:paraId="0545DBF5" w14:textId="77777777" w:rsidR="00A82526" w:rsidRDefault="00A82526"/>
  </w:endnote>
  <w:endnote w:type="continuationSeparator" w:id="0">
    <w:p w14:paraId="6DCF6FEC" w14:textId="77777777" w:rsidR="00A82526" w:rsidRDefault="00A82526" w:rsidP="002A47A4">
      <w:r>
        <w:continuationSeparator/>
      </w:r>
    </w:p>
    <w:p w14:paraId="4A059CDB" w14:textId="77777777" w:rsidR="00A82526" w:rsidRDefault="00A82526"/>
    <w:p w14:paraId="545F5B98" w14:textId="77777777" w:rsidR="00A82526" w:rsidRDefault="00A82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5E06" w14:textId="77777777" w:rsidR="00D54E09" w:rsidRPr="00D54E09" w:rsidRDefault="00D54E09" w:rsidP="00D5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B9ED" w14:textId="77777777" w:rsidR="00D54E09" w:rsidRPr="00D54E09" w:rsidRDefault="00D54E09" w:rsidP="00D54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09C" w14:textId="77777777" w:rsidR="00D54E09" w:rsidRPr="00D54E09" w:rsidRDefault="00D54E09" w:rsidP="00D5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3CFC" w14:textId="77777777" w:rsidR="00A82526" w:rsidRDefault="00A82526" w:rsidP="002A47A4">
      <w:r>
        <w:separator/>
      </w:r>
    </w:p>
    <w:p w14:paraId="79AF772B" w14:textId="77777777" w:rsidR="00A82526" w:rsidRDefault="00A82526"/>
    <w:p w14:paraId="5B7BB4EA" w14:textId="77777777" w:rsidR="00A82526" w:rsidRDefault="00A82526"/>
  </w:footnote>
  <w:footnote w:type="continuationSeparator" w:id="0">
    <w:p w14:paraId="0EAB919C" w14:textId="77777777" w:rsidR="00A82526" w:rsidRDefault="00A82526" w:rsidP="002A47A4">
      <w:r>
        <w:continuationSeparator/>
      </w:r>
    </w:p>
    <w:p w14:paraId="66FDB382" w14:textId="77777777" w:rsidR="00A82526" w:rsidRDefault="00A82526"/>
    <w:p w14:paraId="2DDC7804" w14:textId="77777777" w:rsidR="00A82526" w:rsidRDefault="00A82526"/>
  </w:footnote>
  <w:footnote w:id="1">
    <w:p w14:paraId="255FBAFD" w14:textId="6B077F5B" w:rsidR="00D54E09" w:rsidRPr="00D54E09" w:rsidRDefault="00D54E09" w:rsidP="00D54E09">
      <w:pPr>
        <w:pStyle w:val="FootnoteText"/>
      </w:pPr>
      <w:r w:rsidRPr="00D54E09">
        <w:rPr>
          <w:rStyle w:val="FootnoteReference"/>
        </w:rPr>
        <w:footnoteRef/>
      </w:r>
      <w:r w:rsidRPr="00D54E09">
        <w:t>David Welkowitz is a Professor of Law Emeritus at Whittier Law School in Costa Mesa, California.</w:t>
      </w:r>
      <w:r w:rsidRPr="00D54E09">
        <w:t xml:space="preserve"> </w:t>
      </w:r>
      <w:r w:rsidRPr="00D54E09">
        <w:t>He has taught trademark law, international intellectual property law courses, and civil procedure, among other subjects.</w:t>
      </w:r>
      <w:r w:rsidRPr="00D54E09">
        <w:t xml:space="preserve"> </w:t>
      </w:r>
      <w:r w:rsidRPr="00D54E09">
        <w:t>He was a member of the Whittier faculty from 1983 to 2018.</w:t>
      </w:r>
      <w:r w:rsidRPr="00D54E09">
        <w:t xml:space="preserve"> </w:t>
      </w:r>
      <w:r w:rsidRPr="00D54E09">
        <w:t>From 2019 to 2024, he was an attorney in the U.S.</w:t>
      </w:r>
      <w:r w:rsidRPr="00D54E09">
        <w:t xml:space="preserve"> </w:t>
      </w:r>
      <w:r w:rsidRPr="00D54E09">
        <w:t>Copyright Office in Washington, D.C.</w:t>
      </w:r>
      <w:r w:rsidRPr="00D54E09">
        <w:t xml:space="preserve"> </w:t>
      </w:r>
      <w:r w:rsidRPr="00D54E09">
        <w:t>Prior to 1983, he practiced law in New York City.</w:t>
      </w:r>
    </w:p>
    <w:p w14:paraId="649541F7" w14:textId="77777777" w:rsidR="00D54E09" w:rsidRDefault="00D54E09" w:rsidP="00D54E09">
      <w:pPr>
        <w:pStyle w:val="FootnoteText"/>
      </w:pPr>
      <w:r w:rsidRPr="00D54E09">
        <w:t>Mr.</w:t>
      </w:r>
      <w:r w:rsidRPr="00D54E09">
        <w:t xml:space="preserve"> </w:t>
      </w:r>
      <w:proofErr w:type="spellStart"/>
      <w:r w:rsidRPr="00D54E09">
        <w:t>Welkowitz</w:t>
      </w:r>
      <w:proofErr w:type="spellEnd"/>
      <w:r w:rsidRPr="00D54E09">
        <w:t xml:space="preserve"> is the author of numerous articles on trademark law and other topics, and he is the co-author of a casebook on celebrity rights.</w:t>
      </w:r>
      <w:r w:rsidRPr="00D54E09">
        <w:t xml:space="preserve"> </w:t>
      </w:r>
      <w:r w:rsidRPr="00D54E09">
        <w:t>He has also written several lessons in computer-assisted learning, which are used by law students in the areas of civil procedure and trademark law.</w:t>
      </w:r>
      <w:r w:rsidRPr="00D54E09">
        <w:t xml:space="preserve"> </w:t>
      </w:r>
      <w:r w:rsidRPr="00D54E09">
        <w:t xml:space="preserve">Professor </w:t>
      </w:r>
      <w:proofErr w:type="spellStart"/>
      <w:r w:rsidRPr="00D54E09">
        <w:t>Welkowitz</w:t>
      </w:r>
      <w:proofErr w:type="spellEnd"/>
      <w:r w:rsidRPr="00D54E09">
        <w:t xml:space="preserve"> received his J.D.</w:t>
      </w:r>
      <w:r w:rsidRPr="00D54E09">
        <w:t xml:space="preserve"> </w:t>
      </w:r>
      <w:r w:rsidRPr="00D54E09">
        <w:t>degree in 1978 from New York University Law School, where he was a member of the Law Review.</w:t>
      </w:r>
      <w:r w:rsidRPr="00D54E09">
        <w:t xml:space="preserve"> </w:t>
      </w:r>
      <w:r w:rsidRPr="00D54E09">
        <w:t>He received an A.B.</w:t>
      </w:r>
      <w:r w:rsidRPr="00D54E09">
        <w:t xml:space="preserve"> </w:t>
      </w:r>
      <w:r w:rsidRPr="00D54E09">
        <w:t>degree in 1975 from Princeton University.</w:t>
      </w:r>
      <w:r w:rsidRPr="00D54E09">
        <w:t xml:space="preserve"> </w:t>
      </w:r>
      <w:r w:rsidRPr="00D54E09">
        <w:t xml:space="preserve">He is a member of the New York and District of Columbia </w:t>
      </w:r>
      <w:proofErr w:type="gramStart"/>
      <w:r w:rsidRPr="00D54E09">
        <w:t>bars, and</w:t>
      </w:r>
      <w:proofErr w:type="gramEnd"/>
      <w:r w:rsidRPr="00D54E09">
        <w:t xml:space="preserve"> is admitted to practice before the federal courts in the Southern and Eastern Districts of New York and the Court of Appeals for the Second Circuit.</w:t>
      </w:r>
    </w:p>
  </w:footnote>
  <w:footnote w:id="2">
    <w:p w14:paraId="677C2274" w14:textId="1724CB10" w:rsidR="00D54E09" w:rsidRPr="00D54E09" w:rsidRDefault="00D54E09" w:rsidP="00D54E09">
      <w:pPr>
        <w:pStyle w:val="FootnoteText"/>
      </w:pPr>
      <w:r w:rsidRPr="00D54E09">
        <w:rPr>
          <w:vertAlign w:val="superscript"/>
        </w:rPr>
        <w:footnoteRef/>
      </w:r>
      <w:r w:rsidRPr="00D54E09">
        <w:t>Lanham Act §43(c)(1), 15 U.S.C.</w:t>
      </w:r>
      <w:r w:rsidRPr="00D54E09">
        <w:t xml:space="preserve"> </w:t>
      </w:r>
      <w:r w:rsidRPr="00D54E09">
        <w:t>§1125(c)(1).</w:t>
      </w:r>
      <w:r w:rsidRPr="00D54E09">
        <w:t xml:space="preserve"> </w:t>
      </w:r>
      <w:r w:rsidRPr="00D54E09">
        <w:t>Prior to the TDRA, two of the elements</w:t>
      </w:r>
      <w:proofErr w:type="gramStart"/>
      <w:r w:rsidRPr="00D54E09">
        <w:t>—(</w:t>
      </w:r>
      <w:proofErr w:type="gramEnd"/>
      <w:r w:rsidRPr="00D54E09">
        <w:t>2) and (4)—were a bit different.</w:t>
      </w:r>
      <w:r w:rsidRPr="00D54E09">
        <w:t xml:space="preserve"> </w:t>
      </w:r>
      <w:r w:rsidRPr="00D54E09">
        <w:t>The plaintiff had to show that the defendant made a “</w:t>
      </w:r>
      <w:r w:rsidRPr="00D54E09">
        <w:rPr>
          <w:i/>
        </w:rPr>
        <w:t>commercial</w:t>
      </w:r>
      <w:r w:rsidRPr="00D54E09">
        <w:t xml:space="preserve"> use in commerce” of the famous mark (emphasis added), and the plaintiff had to show that the defendant’s use “cause[d] dilution” of the plaintiff’s mark.</w:t>
      </w:r>
      <w:r w:rsidRPr="00D54E09">
        <w:t xml:space="preserve"> </w:t>
      </w:r>
      <w:r w:rsidRPr="00D54E09">
        <w:rPr>
          <w:i/>
        </w:rPr>
        <w:t>E</w:t>
      </w:r>
      <w:r w:rsidRPr="00D54E09">
        <w:t>.</w:t>
      </w:r>
      <w:r w:rsidRPr="00D54E09">
        <w:rPr>
          <w:i/>
        </w:rPr>
        <w:t>g</w:t>
      </w:r>
      <w:r w:rsidRPr="00D54E09">
        <w:t>., Avery Dennison Corp.</w:t>
      </w:r>
      <w:r w:rsidRPr="00D54E09">
        <w:t xml:space="preserve"> </w:t>
      </w:r>
      <w:r w:rsidRPr="00D54E09">
        <w:t>v.</w:t>
      </w:r>
      <w:r w:rsidRPr="00D54E09">
        <w:t xml:space="preserve"> </w:t>
      </w:r>
      <w:proofErr w:type="spellStart"/>
      <w:r w:rsidRPr="00D54E09">
        <w:t>Sumpton</w:t>
      </w:r>
      <w:proofErr w:type="spellEnd"/>
      <w:r w:rsidRPr="00D54E09">
        <w:t>, 189 F.3d 868, 871, 51 USPQ2d 1801 (9th Cir 1999) (citing Panavision Int’l v.</w:t>
      </w:r>
      <w:r w:rsidRPr="00D54E09">
        <w:t xml:space="preserve"> </w:t>
      </w:r>
      <w:proofErr w:type="spellStart"/>
      <w:r w:rsidRPr="00D54E09">
        <w:t>Toeppen</w:t>
      </w:r>
      <w:proofErr w:type="spellEnd"/>
      <w:r w:rsidRPr="00D54E09">
        <w:t>, 141 F.3d 1316, 1324, 46 USPQ2d 1511 (9th Cir.</w:t>
      </w:r>
      <w:r w:rsidRPr="00D54E09">
        <w:t xml:space="preserve"> </w:t>
      </w:r>
      <w:r w:rsidRPr="00D54E09">
        <w:t>1998));</w:t>
      </w:r>
      <w:r w:rsidRPr="00D54E09">
        <w:t xml:space="preserve"> </w:t>
      </w:r>
      <w:r w:rsidRPr="00D54E09">
        <w:t>Bunn-O-Matic Corp.</w:t>
      </w:r>
      <w:r w:rsidRPr="00D54E09">
        <w:t xml:space="preserve"> </w:t>
      </w:r>
      <w:r w:rsidRPr="00D54E09">
        <w:t>v.</w:t>
      </w:r>
      <w:r w:rsidRPr="00D54E09">
        <w:t xml:space="preserve"> </w:t>
      </w:r>
      <w:r w:rsidRPr="00D54E09">
        <w:t>Bunn Coffee Servs., Inc., 88 F.</w:t>
      </w:r>
      <w:r w:rsidRPr="00D54E09">
        <w:t xml:space="preserve"> </w:t>
      </w:r>
      <w:r w:rsidRPr="00D54E09">
        <w:t>Supp.</w:t>
      </w:r>
      <w:r w:rsidRPr="00D54E09">
        <w:t xml:space="preserve"> </w:t>
      </w:r>
      <w:r w:rsidRPr="00D54E09">
        <w:t>2d 914, 925, 54 USPQ2d 1012 (C.D.</w:t>
      </w:r>
      <w:r w:rsidRPr="00D54E09">
        <w:t xml:space="preserve"> </w:t>
      </w:r>
      <w:r w:rsidRPr="00D54E09">
        <w:t>Ill.</w:t>
      </w:r>
      <w:r w:rsidRPr="00D54E09">
        <w:t xml:space="preserve"> </w:t>
      </w:r>
      <w:r w:rsidRPr="00D54E09">
        <w:t>2000);</w:t>
      </w:r>
      <w:r w:rsidRPr="00D54E09">
        <w:t xml:space="preserve"> </w:t>
      </w:r>
      <w:r w:rsidRPr="00D54E09">
        <w:t>Carnival Corp.</w:t>
      </w:r>
      <w:r w:rsidRPr="00D54E09">
        <w:t xml:space="preserve"> </w:t>
      </w:r>
      <w:r w:rsidRPr="00D54E09">
        <w:t>v.</w:t>
      </w:r>
      <w:r w:rsidRPr="00D54E09">
        <w:t xml:space="preserve"> </w:t>
      </w:r>
      <w:proofErr w:type="spellStart"/>
      <w:r w:rsidRPr="00D54E09">
        <w:t>SeaEscape</w:t>
      </w:r>
      <w:proofErr w:type="spellEnd"/>
      <w:r w:rsidRPr="00D54E09">
        <w:t xml:space="preserve"> Casino Cruises Inc., 74 F.</w:t>
      </w:r>
      <w:r w:rsidRPr="00D54E09">
        <w:t xml:space="preserve"> </w:t>
      </w:r>
      <w:r w:rsidRPr="00D54E09">
        <w:t>Supp.</w:t>
      </w:r>
      <w:r w:rsidRPr="00D54E09">
        <w:t xml:space="preserve"> </w:t>
      </w:r>
      <w:r w:rsidRPr="00D54E09">
        <w:t>2d 1261, 1269, 52 USPQ2d 1920 (S.D.</w:t>
      </w:r>
      <w:r w:rsidRPr="00D54E09">
        <w:t xml:space="preserve"> </w:t>
      </w:r>
      <w:r w:rsidRPr="00D54E09">
        <w:t>Fla.</w:t>
      </w:r>
      <w:r w:rsidRPr="00D54E09">
        <w:t xml:space="preserve"> </w:t>
      </w:r>
      <w:r w:rsidRPr="00D54E09">
        <w:t>1999);</w:t>
      </w:r>
      <w:r w:rsidRPr="00D54E09">
        <w:t xml:space="preserve"> </w:t>
      </w:r>
      <w:r w:rsidRPr="00D54E09">
        <w:t>V Secret Catalogue, Inc.</w:t>
      </w:r>
      <w:r w:rsidRPr="00D54E09">
        <w:t xml:space="preserve"> </w:t>
      </w:r>
      <w:r w:rsidRPr="00D54E09">
        <w:t>v.</w:t>
      </w:r>
      <w:r w:rsidRPr="00D54E09">
        <w:t xml:space="preserve"> </w:t>
      </w:r>
      <w:r w:rsidRPr="00D54E09">
        <w:t>Moseley, 54 USPQ2d 1092 (W.D.</w:t>
      </w:r>
      <w:r w:rsidRPr="00D54E09">
        <w:t xml:space="preserve"> </w:t>
      </w:r>
      <w:r w:rsidRPr="00D54E09">
        <w:t>Ky.</w:t>
      </w:r>
      <w:r w:rsidRPr="00D54E09">
        <w:t xml:space="preserve"> </w:t>
      </w:r>
      <w:r w:rsidRPr="00D54E09">
        <w:t xml:space="preserve">2000), </w:t>
      </w:r>
      <w:r w:rsidRPr="00D54E09">
        <w:rPr>
          <w:i/>
        </w:rPr>
        <w:t>aff’d</w:t>
      </w:r>
      <w:r w:rsidRPr="00D54E09">
        <w:t>, 259 F.3d 464, 59 USPQ2d 1650 (6th Cir.</w:t>
      </w:r>
      <w:r w:rsidRPr="00D54E09">
        <w:t xml:space="preserve"> </w:t>
      </w:r>
      <w:r w:rsidRPr="00D54E09">
        <w:t xml:space="preserve">2001), </w:t>
      </w:r>
      <w:proofErr w:type="spellStart"/>
      <w:r w:rsidRPr="00D54E09">
        <w:rPr>
          <w:i/>
        </w:rPr>
        <w:t>rev’d</w:t>
      </w:r>
      <w:proofErr w:type="spellEnd"/>
      <w:r w:rsidRPr="00D54E09">
        <w:rPr>
          <w:i/>
        </w:rPr>
        <w:t xml:space="preserve"> on other grounds</w:t>
      </w:r>
      <w:r w:rsidRPr="00D54E09">
        <w:t>, 537 U.S.</w:t>
      </w:r>
      <w:r w:rsidRPr="00D54E09">
        <w:t xml:space="preserve"> </w:t>
      </w:r>
      <w:r w:rsidRPr="00D54E09">
        <w:t>418, 65 USPQ2d 1801 (2003);</w:t>
      </w:r>
      <w:r w:rsidRPr="00D54E09">
        <w:t xml:space="preserve"> </w:t>
      </w:r>
      <w:r w:rsidRPr="00D54E09">
        <w:rPr>
          <w:i/>
        </w:rPr>
        <w:t>see also</w:t>
      </w:r>
      <w:r w:rsidRPr="00D54E09">
        <w:t xml:space="preserve"> Ringling Bros.-Barnum &amp; Bailey Combined Shows Inc.</w:t>
      </w:r>
      <w:r w:rsidRPr="00D54E09">
        <w:t xml:space="preserve"> </w:t>
      </w:r>
      <w:r w:rsidRPr="00D54E09">
        <w:t>v.</w:t>
      </w:r>
      <w:r w:rsidRPr="00D54E09">
        <w:t xml:space="preserve"> </w:t>
      </w:r>
      <w:r w:rsidRPr="00D54E09">
        <w:t>Utah Div.</w:t>
      </w:r>
      <w:r w:rsidRPr="00D54E09">
        <w:t xml:space="preserve"> </w:t>
      </w:r>
      <w:r w:rsidRPr="00D54E09">
        <w:t xml:space="preserve">of Travel Dev., 170 F.3d 449, 453, 50 USPQ2d 1065 (4th Cir.), </w:t>
      </w:r>
      <w:r w:rsidRPr="00D54E09">
        <w:rPr>
          <w:i/>
        </w:rPr>
        <w:t>cert</w:t>
      </w:r>
      <w:r w:rsidRPr="00D54E09">
        <w:t>.</w:t>
      </w:r>
      <w:r w:rsidRPr="00D54E09">
        <w:t xml:space="preserve"> </w:t>
      </w:r>
      <w:r w:rsidRPr="00D54E09">
        <w:rPr>
          <w:i/>
        </w:rPr>
        <w:t>denied</w:t>
      </w:r>
      <w:r w:rsidRPr="00D54E09">
        <w:t>, 528 U.S.</w:t>
      </w:r>
      <w:r w:rsidRPr="00D54E09">
        <w:t xml:space="preserve"> </w:t>
      </w:r>
      <w:r w:rsidRPr="00D54E09">
        <w:t>923 (1999) (using three factors—fame, use after fame, and blurring—but ignoring use in commerce);</w:t>
      </w:r>
      <w:r w:rsidRPr="00D54E09">
        <w:t xml:space="preserve"> </w:t>
      </w:r>
      <w:r w:rsidRPr="00D54E09">
        <w:t>Luigino’s Inc.</w:t>
      </w:r>
      <w:r w:rsidRPr="00D54E09">
        <w:t xml:space="preserve"> </w:t>
      </w:r>
      <w:r w:rsidRPr="00D54E09">
        <w:t>v.</w:t>
      </w:r>
      <w:r w:rsidRPr="00D54E09">
        <w:t xml:space="preserve"> </w:t>
      </w:r>
      <w:r w:rsidRPr="00D54E09">
        <w:t>Stouffer Corp., 170 F.3d 827, 832, 50 USPQ2d 1047 (8th Cir.</w:t>
      </w:r>
      <w:r w:rsidRPr="00D54E09">
        <w:t xml:space="preserve"> </w:t>
      </w:r>
      <w:r w:rsidRPr="00D54E09">
        <w:t>1999) (same);</w:t>
      </w:r>
      <w:r w:rsidRPr="00D54E09">
        <w:t xml:space="preserve"> </w:t>
      </w:r>
      <w:r w:rsidRPr="00D54E09">
        <w:t>Nabisco Inc.</w:t>
      </w:r>
      <w:r w:rsidRPr="00D54E09">
        <w:t xml:space="preserve"> </w:t>
      </w:r>
      <w:r w:rsidRPr="00D54E09">
        <w:t>v.</w:t>
      </w:r>
      <w:r w:rsidRPr="00D54E09">
        <w:t xml:space="preserve"> </w:t>
      </w:r>
      <w:r w:rsidRPr="00D54E09">
        <w:t>PF Brands Inc., 191 F.3d 208, 215, 51 USPQ2d 1882 (2d Cir.</w:t>
      </w:r>
      <w:r w:rsidRPr="00D54E09">
        <w:t xml:space="preserve"> </w:t>
      </w:r>
      <w:r w:rsidRPr="00D54E09">
        <w:t>1999) (using distinctiveness as an extra factor).</w:t>
      </w:r>
      <w:r w:rsidRPr="00D54E09">
        <w:t xml:space="preserve"> </w:t>
      </w:r>
      <w:r w:rsidRPr="00D54E09">
        <w:t>Surprisingly, an occasional court seems not to realize that the TDRA has changed the elements of the federal dilution claim (or even that the TDRA exists).</w:t>
      </w:r>
      <w:r w:rsidRPr="00D54E09">
        <w:t xml:space="preserve"> </w:t>
      </w:r>
      <w:r w:rsidRPr="00D54E09">
        <w:rPr>
          <w:i/>
        </w:rPr>
        <w:t>E</w:t>
      </w:r>
      <w:r w:rsidRPr="00D54E09">
        <w:t>.</w:t>
      </w:r>
      <w:r w:rsidRPr="00D54E09">
        <w:rPr>
          <w:i/>
        </w:rPr>
        <w:t>g</w:t>
      </w:r>
      <w:r w:rsidRPr="00D54E09">
        <w:t>., WEC Holdings, LLC v.</w:t>
      </w:r>
      <w:r w:rsidRPr="00D54E09">
        <w:t xml:space="preserve"> </w:t>
      </w:r>
      <w:r w:rsidRPr="00D54E09">
        <w:t>Juarez, 2008 U.S.</w:t>
      </w:r>
      <w:r w:rsidRPr="00D54E09">
        <w:t xml:space="preserve"> </w:t>
      </w:r>
      <w:r w:rsidRPr="00D54E09">
        <w:t>Dist.</w:t>
      </w:r>
      <w:r w:rsidRPr="00D54E09">
        <w:t xml:space="preserve"> </w:t>
      </w:r>
      <w:r w:rsidRPr="00D54E09">
        <w:t>LEXIS 13841, at *11–14 (D.</w:t>
      </w:r>
      <w:r w:rsidRPr="00D54E09">
        <w:t xml:space="preserve"> </w:t>
      </w:r>
      <w:r w:rsidRPr="00D54E09">
        <w:t>Nev.</w:t>
      </w:r>
      <w:r w:rsidRPr="00D54E09">
        <w:t xml:space="preserve"> </w:t>
      </w:r>
      <w:r w:rsidRPr="00D54E09">
        <w:t>Feb.</w:t>
      </w:r>
      <w:r w:rsidRPr="00D54E09">
        <w:t xml:space="preserve"> </w:t>
      </w:r>
      <w:r w:rsidRPr="00D54E09">
        <w:t>5, 2008).</w:t>
      </w:r>
    </w:p>
    <w:p w14:paraId="2042B78D" w14:textId="631B12DF" w:rsidR="00D54E09" w:rsidRPr="000F5E39" w:rsidRDefault="00D54E09" w:rsidP="00D54E09">
      <w:pPr>
        <w:pStyle w:val="FootnoteText"/>
      </w:pPr>
      <w:r w:rsidRPr="00D54E09">
        <w:t>If these elements are found, many courts presume the existence of irreparable harm, a prerequisite for an injunction.</w:t>
      </w:r>
      <w:r w:rsidRPr="00D54E09">
        <w:t xml:space="preserve"> </w:t>
      </w:r>
      <w:r w:rsidRPr="00D54E09">
        <w:t>Eli Lilly &amp; Co.</w:t>
      </w:r>
      <w:r w:rsidRPr="00D54E09">
        <w:t xml:space="preserve"> </w:t>
      </w:r>
      <w:r w:rsidRPr="00D54E09">
        <w:t>v.</w:t>
      </w:r>
      <w:r w:rsidRPr="00D54E09">
        <w:t xml:space="preserve"> </w:t>
      </w:r>
      <w:r w:rsidRPr="00D54E09">
        <w:t>Natural Answers, Inc., 233 F.3d 456, 469, 56 USPQ2d 1942 (7th Cir.</w:t>
      </w:r>
      <w:r w:rsidRPr="00D54E09">
        <w:t xml:space="preserve"> </w:t>
      </w:r>
      <w:r w:rsidRPr="00D54E09">
        <w:t>2000);</w:t>
      </w:r>
      <w:r w:rsidRPr="00D54E09">
        <w:t xml:space="preserve"> </w:t>
      </w:r>
      <w:r w:rsidRPr="00D54E09">
        <w:t>Times Mirror Magazines, Inc.</w:t>
      </w:r>
      <w:r w:rsidRPr="00D54E09">
        <w:t xml:space="preserve"> </w:t>
      </w:r>
      <w:r w:rsidRPr="00D54E09">
        <w:t>v.</w:t>
      </w:r>
      <w:r w:rsidRPr="00D54E09">
        <w:t xml:space="preserve"> </w:t>
      </w:r>
      <w:r w:rsidRPr="00D54E09">
        <w:t>Las Vegas Sports News, L.L.C., 50 USPQ2d 1454, 1460 (E.D.</w:t>
      </w:r>
      <w:r w:rsidRPr="00D54E09">
        <w:t xml:space="preserve"> </w:t>
      </w:r>
      <w:r w:rsidRPr="00D54E09">
        <w:t>Pa.</w:t>
      </w:r>
      <w:r w:rsidRPr="00D54E09">
        <w:t xml:space="preserve"> </w:t>
      </w:r>
      <w:r w:rsidRPr="00D54E09">
        <w:t xml:space="preserve">1999), </w:t>
      </w:r>
      <w:r w:rsidRPr="00D54E09">
        <w:rPr>
          <w:i/>
        </w:rPr>
        <w:t>aff’d</w:t>
      </w:r>
      <w:r w:rsidRPr="00D54E09">
        <w:t>, 212 F.3d 157, 54 USPQ2d 1577 (3d Cir.</w:t>
      </w:r>
      <w:r w:rsidRPr="00D54E09">
        <w:t xml:space="preserve"> </w:t>
      </w:r>
      <w:r w:rsidRPr="00D54E09">
        <w:t xml:space="preserve">2000), </w:t>
      </w:r>
      <w:r w:rsidRPr="00D54E09">
        <w:rPr>
          <w:i/>
        </w:rPr>
        <w:t>cert</w:t>
      </w:r>
      <w:r w:rsidRPr="00D54E09">
        <w:t>.</w:t>
      </w:r>
      <w:r w:rsidRPr="00D54E09">
        <w:t xml:space="preserve"> </w:t>
      </w:r>
      <w:r w:rsidRPr="00D54E09">
        <w:rPr>
          <w:i/>
        </w:rPr>
        <w:t>denied</w:t>
      </w:r>
      <w:r w:rsidRPr="00D54E09">
        <w:t>, 531 U.S.</w:t>
      </w:r>
      <w:r w:rsidRPr="00D54E09">
        <w:t xml:space="preserve"> </w:t>
      </w:r>
      <w:r w:rsidRPr="00D54E09">
        <w:t>1071 (2001).</w:t>
      </w:r>
      <w:r w:rsidRPr="00D54E09">
        <w:t xml:space="preserve"> </w:t>
      </w:r>
      <w:r w:rsidRPr="00D54E09">
        <w:t>However, more recent case law, following Supreme Court precedent in patent cases, suggests that such presumptions may not be justified.</w:t>
      </w:r>
      <w:r w:rsidRPr="00D54E09">
        <w:t xml:space="preserve"> </w:t>
      </w:r>
      <w:r w:rsidRPr="00D54E09">
        <w:rPr>
          <w:i/>
        </w:rPr>
        <w:t>See</w:t>
      </w:r>
      <w:r w:rsidRPr="00D54E09">
        <w:t xml:space="preserve"> Salinger v.</w:t>
      </w:r>
      <w:r w:rsidRPr="00D54E09">
        <w:t xml:space="preserve"> </w:t>
      </w:r>
      <w:proofErr w:type="spellStart"/>
      <w:r w:rsidRPr="00D54E09">
        <w:t>Colting</w:t>
      </w:r>
      <w:proofErr w:type="spellEnd"/>
      <w:r w:rsidRPr="00D54E09">
        <w:t>, 607 F.3d 68, 82, 94 USPQ2d 1577 (2d Cir.</w:t>
      </w:r>
      <w:r w:rsidRPr="00D54E09">
        <w:t xml:space="preserve"> </w:t>
      </w:r>
      <w:r w:rsidRPr="00D54E09">
        <w:t>2010) (cannot presume irreparable harm from likelihood of success in a copyright case).</w:t>
      </w:r>
      <w:r w:rsidRPr="00D54E09">
        <w:t xml:space="preserve"> </w:t>
      </w:r>
      <w:r w:rsidRPr="00D54E09">
        <w:t>The requirements for monetary damages are more stringent, requiring “willful intent” to trade on the famous mark’s reputation or harm the reputation of the famous mark.</w:t>
      </w:r>
      <w:r w:rsidRPr="00D54E09">
        <w:t xml:space="preserve"> </w:t>
      </w:r>
      <w:r w:rsidRPr="00D54E09">
        <w:t>Lanham Act</w:t>
      </w:r>
      <w:r w:rsidRPr="00D54E09">
        <w:br/>
        <w:t>§43(c)(5), 15 U.S.C.</w:t>
      </w:r>
      <w:r w:rsidRPr="00D54E09">
        <w:t xml:space="preserve"> </w:t>
      </w:r>
      <w:r w:rsidRPr="00D54E09">
        <w:t>§1125(c)(5).</w:t>
      </w:r>
      <w:r w:rsidRPr="00D54E09">
        <w:t xml:space="preserve"> </w:t>
      </w:r>
      <w:r w:rsidRPr="00D54E09">
        <w:t>See discussion in Chapter 11, §§III.A and B.</w:t>
      </w:r>
    </w:p>
  </w:footnote>
  <w:footnote w:id="3">
    <w:p w14:paraId="3FE6E2F4" w14:textId="7FF9DCD2" w:rsidR="00D54E09" w:rsidRPr="000F5E39" w:rsidRDefault="00D54E09" w:rsidP="00D54E09">
      <w:pPr>
        <w:pStyle w:val="FootnoteText"/>
      </w:pPr>
      <w:r w:rsidRPr="00D54E09">
        <w:rPr>
          <w:vertAlign w:val="superscript"/>
        </w:rPr>
        <w:footnoteRef/>
      </w:r>
      <w:r w:rsidRPr="00D54E09">
        <w:t>These elements are discussed in more detail in Chapters 8 and 9.</w:t>
      </w:r>
    </w:p>
  </w:footnote>
  <w:footnote w:id="4">
    <w:p w14:paraId="2ED59134" w14:textId="2EF509C6" w:rsidR="00D54E09" w:rsidRPr="000F5E39" w:rsidRDefault="00D54E09" w:rsidP="00D54E09">
      <w:pPr>
        <w:pStyle w:val="FootnoteText"/>
      </w:pPr>
      <w:r w:rsidRPr="00D54E09">
        <w:rPr>
          <w:vertAlign w:val="superscript"/>
        </w:rPr>
        <w:footnoteRef/>
      </w:r>
      <w:r w:rsidRPr="00D54E09">
        <w:rPr>
          <w:i/>
        </w:rPr>
        <w:t>Compare</w:t>
      </w:r>
      <w:r w:rsidRPr="00D54E09">
        <w:t xml:space="preserve"> </w:t>
      </w:r>
      <w:proofErr w:type="spellStart"/>
      <w:r w:rsidRPr="00D54E09">
        <w:t>Intermatic</w:t>
      </w:r>
      <w:proofErr w:type="spellEnd"/>
      <w:r w:rsidRPr="00D54E09">
        <w:t>, Inc.</w:t>
      </w:r>
      <w:r w:rsidRPr="00D54E09">
        <w:t xml:space="preserve"> </w:t>
      </w:r>
      <w:r w:rsidRPr="00D54E09">
        <w:t>v.</w:t>
      </w:r>
      <w:r w:rsidRPr="00D54E09">
        <w:t xml:space="preserve"> </w:t>
      </w:r>
      <w:proofErr w:type="spellStart"/>
      <w:r w:rsidRPr="00D54E09">
        <w:t>Toeppen</w:t>
      </w:r>
      <w:proofErr w:type="spellEnd"/>
      <w:r w:rsidRPr="00D54E09">
        <w:t>, 947 F.</w:t>
      </w:r>
      <w:r w:rsidRPr="00D54E09">
        <w:t xml:space="preserve"> </w:t>
      </w:r>
      <w:r w:rsidRPr="00D54E09">
        <w:t>Supp.</w:t>
      </w:r>
      <w:r w:rsidRPr="00D54E09">
        <w:t xml:space="preserve"> </w:t>
      </w:r>
      <w:r w:rsidRPr="00D54E09">
        <w:t>1227, 1239, 40 USPQ2d 1412, 41USPQ2d 1223 (N.D.</w:t>
      </w:r>
      <w:r w:rsidRPr="00D54E09">
        <w:t xml:space="preserve"> </w:t>
      </w:r>
      <w:r w:rsidRPr="00D54E09">
        <w:t>Ill.</w:t>
      </w:r>
      <w:r w:rsidRPr="00D54E09">
        <w:t xml:space="preserve"> </w:t>
      </w:r>
      <w:r w:rsidRPr="00D54E09">
        <w:t xml:space="preserve">1996) (finding use in commerce from defendant’s intent to “arbitrage” domain name), </w:t>
      </w:r>
      <w:r w:rsidRPr="00D54E09">
        <w:rPr>
          <w:i/>
        </w:rPr>
        <w:t>with</w:t>
      </w:r>
      <w:r w:rsidRPr="00D54E09">
        <w:t xml:space="preserve"> Northland Ins.</w:t>
      </w:r>
      <w:r w:rsidRPr="00D54E09">
        <w:t xml:space="preserve"> </w:t>
      </w:r>
      <w:r w:rsidRPr="00D54E09">
        <w:t>Cos.</w:t>
      </w:r>
      <w:r w:rsidRPr="00D54E09">
        <w:t xml:space="preserve"> </w:t>
      </w:r>
      <w:r w:rsidRPr="00D54E09">
        <w:t>v.</w:t>
      </w:r>
      <w:r w:rsidRPr="00D54E09">
        <w:t xml:space="preserve"> </w:t>
      </w:r>
      <w:r w:rsidRPr="00D54E09">
        <w:t>Blaylock, 115 F.</w:t>
      </w:r>
      <w:r w:rsidRPr="00D54E09">
        <w:t xml:space="preserve"> </w:t>
      </w:r>
      <w:r w:rsidRPr="00D54E09">
        <w:t>Supp.</w:t>
      </w:r>
      <w:r w:rsidRPr="00D54E09">
        <w:t xml:space="preserve"> </w:t>
      </w:r>
      <w:r w:rsidRPr="00D54E09">
        <w:t>2d 1108, 1123, 56 USPQ2d 1662 (D.</w:t>
      </w:r>
      <w:r w:rsidRPr="00D54E09">
        <w:t xml:space="preserve"> </w:t>
      </w:r>
      <w:r w:rsidRPr="00D54E09">
        <w:t>Minn.</w:t>
      </w:r>
      <w:r w:rsidRPr="00D54E09">
        <w:t xml:space="preserve"> </w:t>
      </w:r>
      <w:r w:rsidRPr="00D54E09">
        <w:t>2000) (finding no use in commerce when defendant registered plaintiff’s name as a domain name and used it for criticizing plaintiff).</w:t>
      </w:r>
      <w:r w:rsidRPr="00D54E09">
        <w:t xml:space="preserve"> </w:t>
      </w:r>
      <w:r w:rsidRPr="00D54E09">
        <w:rPr>
          <w:i/>
        </w:rPr>
        <w:t>Cf</w:t>
      </w:r>
      <w:r w:rsidRPr="00D54E09">
        <w:t>.</w:t>
      </w:r>
      <w:r w:rsidRPr="00D54E09">
        <w:t xml:space="preserve"> </w:t>
      </w:r>
      <w:proofErr w:type="spellStart"/>
      <w:r w:rsidRPr="00D54E09">
        <w:t>Rescuecom</w:t>
      </w:r>
      <w:proofErr w:type="spellEnd"/>
      <w:r w:rsidRPr="00D54E09">
        <w:t xml:space="preserve"> Corp.</w:t>
      </w:r>
      <w:r w:rsidRPr="00D54E09">
        <w:t xml:space="preserve"> </w:t>
      </w:r>
      <w:r w:rsidRPr="00D54E09">
        <w:t>v.</w:t>
      </w:r>
      <w:r w:rsidRPr="00D54E09">
        <w:t xml:space="preserve"> </w:t>
      </w:r>
      <w:r w:rsidRPr="00D54E09">
        <w:t>Google, Inc., 562 F.3d 123, 90 USPQ2d 1287 (2d Cir.</w:t>
      </w:r>
      <w:r w:rsidRPr="00D54E09">
        <w:t xml:space="preserve"> </w:t>
      </w:r>
      <w:r w:rsidRPr="00D54E09">
        <w:t>2009) (discussing use in commerce definition and suggesting that it does not apply to actions for infringement).</w:t>
      </w:r>
      <w:r w:rsidRPr="00D54E09">
        <w:t xml:space="preserve"> </w:t>
      </w:r>
      <w:r w:rsidRPr="00D54E09">
        <w:t>See §III, below.</w:t>
      </w:r>
    </w:p>
  </w:footnote>
  <w:footnote w:id="5">
    <w:p w14:paraId="390904AF" w14:textId="06A6ED6F" w:rsidR="00D54E09" w:rsidRPr="000F5E39" w:rsidRDefault="00D54E09" w:rsidP="00D54E09">
      <w:pPr>
        <w:pStyle w:val="FootnoteText"/>
      </w:pPr>
      <w:r w:rsidRPr="00D54E09">
        <w:rPr>
          <w:vertAlign w:val="superscript"/>
        </w:rPr>
        <w:footnoteRef/>
      </w:r>
      <w:r w:rsidRPr="00D54E09">
        <w:t>Section 43(c)(2)(A) of the Lanham Act, 15 U.S.C.</w:t>
      </w:r>
      <w:r w:rsidRPr="00D54E09">
        <w:t xml:space="preserve"> </w:t>
      </w:r>
      <w:r w:rsidRPr="00D54E09">
        <w:t>§1125(c)(2)(A), contains four factors to guide the determination of fame, and §43(c)(2)(B) sets forth six factors to guide the determination of dilution by blurring.</w:t>
      </w:r>
      <w:r w:rsidRPr="00D54E09">
        <w:t xml:space="preserve"> </w:t>
      </w:r>
      <w:r w:rsidRPr="00D54E09">
        <w:t xml:space="preserve">Dilution is defined in two subsections, §43(c)(2)(B) and (C) (dilution by blurring and dilution by </w:t>
      </w:r>
      <w:proofErr w:type="spellStart"/>
      <w:r w:rsidRPr="00D54E09">
        <w:t>tarnishment</w:t>
      </w:r>
      <w:proofErr w:type="spellEnd"/>
      <w:r w:rsidRPr="00D54E09">
        <w:t>, respectively).</w:t>
      </w:r>
      <w:r w:rsidRPr="00D54E09">
        <w:t xml:space="preserve"> </w:t>
      </w:r>
      <w:r w:rsidRPr="00D54E09">
        <w:t>The phrase “use in commerce” is defined in §45, 15 U.S.C.</w:t>
      </w:r>
      <w:r w:rsidRPr="00D54E09">
        <w:t xml:space="preserve"> </w:t>
      </w:r>
      <w:r w:rsidRPr="00D54E09">
        <w:t>§1127.</w:t>
      </w:r>
    </w:p>
  </w:footnote>
  <w:footnote w:id="6">
    <w:p w14:paraId="7E8E4251" w14:textId="247AA18F" w:rsidR="00D54E09" w:rsidRPr="000F5E39" w:rsidRDefault="00D54E09" w:rsidP="00D54E09">
      <w:pPr>
        <w:pStyle w:val="FootnoteText"/>
      </w:pPr>
      <w:r w:rsidRPr="00D54E09">
        <w:rPr>
          <w:vertAlign w:val="superscript"/>
        </w:rPr>
        <w:footnoteRef/>
      </w:r>
      <w:r w:rsidRPr="00D54E09">
        <w:t>Lanham Act §43(c)(1), 15 U.S.C.</w:t>
      </w:r>
      <w:r w:rsidRPr="00D54E09">
        <w:t xml:space="preserve"> </w:t>
      </w:r>
      <w:r w:rsidRPr="00D54E09">
        <w:t>§1125(c)(1) (emphasis added).</w:t>
      </w:r>
      <w:r w:rsidRPr="00D54E09">
        <w:t xml:space="preserve"> </w:t>
      </w:r>
      <w:r w:rsidRPr="00D54E09">
        <w:t>Most state statutes patterned after newer versions of the Model State Trademark Bill contain the same language.</w:t>
      </w:r>
      <w:r w:rsidRPr="00D54E09">
        <w:t xml:space="preserve"> </w:t>
      </w:r>
      <w:r w:rsidRPr="00D54E09">
        <w:rPr>
          <w:i/>
        </w:rPr>
        <w:t>See</w:t>
      </w:r>
      <w:r w:rsidRPr="00D54E09">
        <w:t xml:space="preserve"> Chapter 2, §II.B.</w:t>
      </w:r>
      <w:r w:rsidRPr="00D54E09">
        <w:t xml:space="preserve"> </w:t>
      </w:r>
      <w:r w:rsidRPr="00D54E09">
        <w:rPr>
          <w:i/>
        </w:rPr>
        <w:t>See</w:t>
      </w:r>
      <w:r w:rsidRPr="00D54E09">
        <w:t xml:space="preserve"> International Media Films, Inc.</w:t>
      </w:r>
      <w:r w:rsidRPr="00D54E09">
        <w:t xml:space="preserve"> </w:t>
      </w:r>
      <w:r w:rsidRPr="00D54E09">
        <w:t>v.</w:t>
      </w:r>
      <w:r w:rsidRPr="00D54E09">
        <w:t xml:space="preserve"> </w:t>
      </w:r>
      <w:r w:rsidRPr="00D54E09">
        <w:t>Lucas Entm’t, Inc., 703 F.</w:t>
      </w:r>
      <w:r w:rsidRPr="00D54E09">
        <w:t xml:space="preserve"> </w:t>
      </w:r>
      <w:r w:rsidRPr="00D54E09">
        <w:t>Supp.</w:t>
      </w:r>
      <w:r w:rsidRPr="00D54E09">
        <w:t xml:space="preserve"> </w:t>
      </w:r>
      <w:r w:rsidRPr="00D54E09">
        <w:t>2d 456, 465–66 (S.D.N.Y.</w:t>
      </w:r>
      <w:r w:rsidRPr="00D54E09">
        <w:t xml:space="preserve"> </w:t>
      </w:r>
      <w:r w:rsidRPr="00D54E09">
        <w:t>2010) (because plaintiff was not owner of copyright in film, it was not owner of mark that was film title);</w:t>
      </w:r>
      <w:r w:rsidRPr="00D54E09">
        <w:t xml:space="preserve"> </w:t>
      </w:r>
      <w:r w:rsidRPr="00D54E09">
        <w:t>MacKay v.</w:t>
      </w:r>
      <w:r w:rsidRPr="00D54E09">
        <w:t xml:space="preserve"> </w:t>
      </w:r>
      <w:r w:rsidRPr="00D54E09">
        <w:t>Crews, 2009 WL 5062119, at *5–6, 2009 BL 270822 (E.D.N.Y.</w:t>
      </w:r>
      <w:r w:rsidRPr="00D54E09">
        <w:t xml:space="preserve"> </w:t>
      </w:r>
      <w:r w:rsidRPr="00D54E09">
        <w:t>Dec.</w:t>
      </w:r>
      <w:r w:rsidRPr="00D54E09">
        <w:t xml:space="preserve"> </w:t>
      </w:r>
      <w:r w:rsidRPr="00D54E09">
        <w:t>16, 2009) (dismissing dilution claim because prior suit found someone else was owner of the mark);</w:t>
      </w:r>
      <w:r w:rsidRPr="00D54E09">
        <w:t xml:space="preserve"> </w:t>
      </w:r>
      <w:r w:rsidRPr="00D54E09">
        <w:t>Chihuly, Inc.</w:t>
      </w:r>
      <w:r w:rsidRPr="00D54E09">
        <w:t xml:space="preserve"> </w:t>
      </w:r>
      <w:r w:rsidRPr="00D54E09">
        <w:t>v.</w:t>
      </w:r>
      <w:r w:rsidRPr="00D54E09">
        <w:t xml:space="preserve"> </w:t>
      </w:r>
      <w:r w:rsidRPr="00D54E09">
        <w:t>Kaindl, 2006 U.S.</w:t>
      </w:r>
      <w:r w:rsidRPr="00D54E09">
        <w:t xml:space="preserve"> </w:t>
      </w:r>
      <w:r w:rsidRPr="00D54E09">
        <w:t>Dist.</w:t>
      </w:r>
      <w:r w:rsidRPr="00D54E09">
        <w:t xml:space="preserve"> </w:t>
      </w:r>
      <w:r w:rsidRPr="00D54E09">
        <w:t>LEXIS 2420, at *13–14 (W.D.</w:t>
      </w:r>
      <w:r w:rsidRPr="00D54E09">
        <w:t xml:space="preserve"> </w:t>
      </w:r>
      <w:r w:rsidRPr="00D54E09">
        <w:t>Wash.</w:t>
      </w:r>
      <w:r w:rsidRPr="00D54E09">
        <w:t xml:space="preserve"> </w:t>
      </w:r>
      <w:r w:rsidRPr="00D54E09">
        <w:t>Jan.</w:t>
      </w:r>
      <w:r w:rsidRPr="00D54E09">
        <w:t xml:space="preserve"> </w:t>
      </w:r>
      <w:r w:rsidRPr="00D54E09">
        <w:t>11, 2006) (dismissing dilution claim where owner of the mark was an individual but plaintiff was individual’s corporate representative).</w:t>
      </w:r>
      <w:r w:rsidRPr="00D54E09">
        <w:t xml:space="preserve"> </w:t>
      </w:r>
      <w:r w:rsidRPr="00D54E09">
        <w:t xml:space="preserve">One court badly misinterpreted the TDRA, overlooking the requirement of ownership in the first sentence of the statute, and instead (incorrectly) pointing to a lack of need for </w:t>
      </w:r>
      <w:r w:rsidRPr="00D54E09">
        <w:rPr>
          <w:i/>
        </w:rPr>
        <w:t>registration</w:t>
      </w:r>
      <w:r w:rsidRPr="00D54E09">
        <w:t xml:space="preserve"> as indicative of a lack of need for </w:t>
      </w:r>
      <w:r w:rsidRPr="00D54E09">
        <w:rPr>
          <w:i/>
        </w:rPr>
        <w:t>ownership</w:t>
      </w:r>
      <w:r w:rsidRPr="00D54E09">
        <w:t>.</w:t>
      </w:r>
      <w:r w:rsidRPr="00D54E09">
        <w:t xml:space="preserve"> </w:t>
      </w:r>
      <w:proofErr w:type="spellStart"/>
      <w:r w:rsidRPr="00D54E09">
        <w:t>Dahon</w:t>
      </w:r>
      <w:proofErr w:type="spellEnd"/>
      <w:r w:rsidRPr="00D54E09">
        <w:t xml:space="preserve"> N.</w:t>
      </w:r>
      <w:r w:rsidRPr="00D54E09">
        <w:t xml:space="preserve"> </w:t>
      </w:r>
      <w:r w:rsidRPr="00D54E09">
        <w:t>Am., Inc.</w:t>
      </w:r>
      <w:r w:rsidRPr="00D54E09">
        <w:t xml:space="preserve"> </w:t>
      </w:r>
      <w:r w:rsidRPr="00D54E09">
        <w:t>v.</w:t>
      </w:r>
      <w:r w:rsidRPr="00D54E09">
        <w:t xml:space="preserve"> </w:t>
      </w:r>
      <w:r w:rsidRPr="00D54E09">
        <w:t>Hon, 2012 U.S.</w:t>
      </w:r>
      <w:r w:rsidRPr="00D54E09">
        <w:t xml:space="preserve"> </w:t>
      </w:r>
      <w:r w:rsidRPr="00D54E09">
        <w:t>Dist.</w:t>
      </w:r>
      <w:r w:rsidRPr="00D54E09">
        <w:t xml:space="preserve"> </w:t>
      </w:r>
      <w:r w:rsidRPr="00D54E09">
        <w:t>LEXIS 57510, at *24–25 (C.D.</w:t>
      </w:r>
      <w:r w:rsidRPr="00D54E09">
        <w:t xml:space="preserve"> </w:t>
      </w:r>
      <w:r w:rsidRPr="00D54E09">
        <w:t>Cal.</w:t>
      </w:r>
      <w:r w:rsidRPr="00D54E09">
        <w:t xml:space="preserve"> </w:t>
      </w:r>
      <w:r w:rsidRPr="00D54E09">
        <w:t>Apr.</w:t>
      </w:r>
      <w:r w:rsidRPr="00D54E09">
        <w:t xml:space="preserve"> </w:t>
      </w:r>
      <w:r w:rsidRPr="00D54E09">
        <w:t>24, 2012).</w:t>
      </w:r>
    </w:p>
  </w:footnote>
  <w:footnote w:id="7">
    <w:p w14:paraId="437735E6" w14:textId="5914CDA4" w:rsidR="00D54E09" w:rsidRPr="000F5E39" w:rsidRDefault="00D54E09" w:rsidP="00D54E09">
      <w:pPr>
        <w:pStyle w:val="FootnoteText"/>
      </w:pPr>
      <w:r w:rsidRPr="00D54E09">
        <w:rPr>
          <w:vertAlign w:val="superscript"/>
        </w:rPr>
        <w:footnoteRef/>
      </w:r>
      <w:r w:rsidRPr="00D54E09">
        <w:t>Lanham Act §1(a)(1), 15 U.S.C.</w:t>
      </w:r>
      <w:r w:rsidRPr="00D54E09">
        <w:t xml:space="preserve"> </w:t>
      </w:r>
      <w:r w:rsidRPr="00D54E09">
        <w:t>§1051(a)(1) (emphasis added);</w:t>
      </w:r>
      <w:r w:rsidRPr="00D54E09">
        <w:t xml:space="preserve"> </w:t>
      </w:r>
      <w:r w:rsidRPr="00D54E09">
        <w:rPr>
          <w:i/>
        </w:rPr>
        <w:t>see</w:t>
      </w:r>
      <w:r w:rsidRPr="00D54E09">
        <w:t xml:space="preserve"> </w:t>
      </w:r>
      <w:r w:rsidRPr="00D54E09">
        <w:rPr>
          <w:i/>
        </w:rPr>
        <w:t>id</w:t>
      </w:r>
      <w:r w:rsidRPr="00D54E09">
        <w:t>.</w:t>
      </w:r>
      <w:r w:rsidRPr="00D54E09">
        <w:br/>
        <w:t>§43(d)(1)(A), 15 U.S.C.</w:t>
      </w:r>
      <w:r w:rsidRPr="00D54E09">
        <w:t xml:space="preserve"> </w:t>
      </w:r>
      <w:r w:rsidRPr="00D54E09">
        <w:t>§1125(d)(1)(A) (right of action against cybersquatting granted to “the owner of a mark”).</w:t>
      </w:r>
    </w:p>
  </w:footnote>
  <w:footnote w:id="8">
    <w:p w14:paraId="429ABC72" w14:textId="465A9F7D" w:rsidR="00D54E09" w:rsidRPr="000F5E39" w:rsidRDefault="00D54E09" w:rsidP="00D54E09">
      <w:pPr>
        <w:pStyle w:val="FootnoteText"/>
      </w:pPr>
      <w:r w:rsidRPr="00D54E09">
        <w:rPr>
          <w:vertAlign w:val="superscript"/>
        </w:rPr>
        <w:footnoteRef/>
      </w:r>
      <w:r w:rsidRPr="00D54E09">
        <w:t>Lanham Act §43(a)(1), 15 U.S.C.</w:t>
      </w:r>
      <w:r w:rsidRPr="00D54E09">
        <w:t xml:space="preserve"> </w:t>
      </w:r>
      <w:r w:rsidRPr="00D54E09">
        <w:t>§1125(a)(1);</w:t>
      </w:r>
      <w:r w:rsidRPr="00D54E09">
        <w:t xml:space="preserve"> </w:t>
      </w:r>
      <w:r w:rsidRPr="00D54E09">
        <w:rPr>
          <w:i/>
        </w:rPr>
        <w:t>see</w:t>
      </w:r>
      <w:r w:rsidRPr="00D54E09">
        <w:t xml:space="preserve"> </w:t>
      </w:r>
      <w:r w:rsidRPr="00D54E09">
        <w:rPr>
          <w:i/>
        </w:rPr>
        <w:t>Chihuly</w:t>
      </w:r>
      <w:r w:rsidRPr="00D54E09">
        <w:t>, 2006 U.S.</w:t>
      </w:r>
      <w:r w:rsidRPr="00D54E09">
        <w:t xml:space="preserve"> </w:t>
      </w:r>
      <w:r w:rsidRPr="00D54E09">
        <w:t>Dist.</w:t>
      </w:r>
      <w:r w:rsidRPr="00D54E09">
        <w:t xml:space="preserve"> </w:t>
      </w:r>
      <w:r w:rsidRPr="00D54E09">
        <w:t>LEXIS 2420, at *9–10 (distinguishing claims brought under §43(c) from those brought under §43(a) on this basis).</w:t>
      </w:r>
    </w:p>
  </w:footnote>
  <w:footnote w:id="9">
    <w:p w14:paraId="7A008F2D" w14:textId="399FE361" w:rsidR="00D54E09" w:rsidRPr="00110F3A" w:rsidRDefault="00D54E09" w:rsidP="00D54E09">
      <w:pPr>
        <w:pStyle w:val="FootnoteText"/>
      </w:pPr>
      <w:r w:rsidRPr="00D54E09">
        <w:rPr>
          <w:vertAlign w:val="superscript"/>
        </w:rPr>
        <w:footnoteRef/>
      </w:r>
      <w:r w:rsidRPr="00D54E09">
        <w:t>Neutron Depot, LLC v.</w:t>
      </w:r>
      <w:r w:rsidRPr="00D54E09">
        <w:t xml:space="preserve"> </w:t>
      </w:r>
      <w:r w:rsidRPr="00D54E09">
        <w:t>Bankrate, Inc., 798 F.</w:t>
      </w:r>
      <w:r w:rsidRPr="00D54E09">
        <w:t xml:space="preserve"> </w:t>
      </w:r>
      <w:proofErr w:type="spellStart"/>
      <w:r w:rsidRPr="00D54E09">
        <w:t>App’x</w:t>
      </w:r>
      <w:proofErr w:type="spellEnd"/>
      <w:r w:rsidRPr="00D54E09">
        <w:t xml:space="preserve"> 803, 806 (5th Cir.</w:t>
      </w:r>
      <w:r w:rsidRPr="00D54E09">
        <w:t xml:space="preserve"> </w:t>
      </w:r>
      <w:r w:rsidRPr="00D54E09">
        <w:t>2020) (only the owner of a mark may bring dilution claim);</w:t>
      </w:r>
      <w:r w:rsidRPr="00D54E09">
        <w:t xml:space="preserve"> </w:t>
      </w:r>
      <w:r w:rsidRPr="00D54E09">
        <w:t>JC Hospitality v.</w:t>
      </w:r>
      <w:r w:rsidRPr="00D54E09">
        <w:t xml:space="preserve"> </w:t>
      </w:r>
      <w:r w:rsidRPr="00D54E09">
        <w:t>Hochberg, 703 F.</w:t>
      </w:r>
      <w:r w:rsidRPr="00D54E09">
        <w:t xml:space="preserve"> </w:t>
      </w:r>
      <w:r w:rsidRPr="00D54E09">
        <w:t>Supp.</w:t>
      </w:r>
      <w:r w:rsidRPr="00D54E09">
        <w:t xml:space="preserve"> </w:t>
      </w:r>
      <w:r w:rsidRPr="00D54E09">
        <w:t>3d 448, 464 (S.D.N.Y.</w:t>
      </w:r>
      <w:r w:rsidRPr="00D54E09">
        <w:t xml:space="preserve"> </w:t>
      </w:r>
      <w:r w:rsidRPr="00D54E09">
        <w:t>2023) (only owner or assignee may sue for dilution);</w:t>
      </w:r>
      <w:r w:rsidRPr="00D54E09">
        <w:t xml:space="preserve"> </w:t>
      </w:r>
      <w:r w:rsidRPr="00D54E09">
        <w:t>Toyota Motor Sales USA, Inc.</w:t>
      </w:r>
      <w:r w:rsidRPr="00D54E09">
        <w:t xml:space="preserve"> </w:t>
      </w:r>
      <w:r w:rsidRPr="00D54E09">
        <w:t>v.</w:t>
      </w:r>
      <w:r w:rsidRPr="00D54E09">
        <w:t xml:space="preserve"> </w:t>
      </w:r>
      <w:r w:rsidRPr="00D54E09">
        <w:t>Allen Interchange LLC, 2023 2023 BL 278932, at *4–5 (D.</w:t>
      </w:r>
      <w:r w:rsidRPr="00D54E09">
        <w:t xml:space="preserve"> </w:t>
      </w:r>
      <w:r w:rsidRPr="00D54E09">
        <w:t>Minn.</w:t>
      </w:r>
      <w:r w:rsidRPr="00D54E09">
        <w:t xml:space="preserve"> </w:t>
      </w:r>
      <w:r w:rsidRPr="00D54E09">
        <w:t>Aug.</w:t>
      </w:r>
      <w:r w:rsidRPr="00D54E09">
        <w:t xml:space="preserve"> </w:t>
      </w:r>
      <w:r w:rsidRPr="00D54E09">
        <w:t>14, 2023) (exclusive distributor has no standing under federal or Minnesota law);</w:t>
      </w:r>
      <w:r w:rsidRPr="00D54E09">
        <w:t xml:space="preserve"> </w:t>
      </w:r>
      <w:r w:rsidRPr="00D54E09">
        <w:t>Phyllis Schlafly Revocable Tr.</w:t>
      </w:r>
      <w:r w:rsidRPr="00D54E09">
        <w:t xml:space="preserve"> </w:t>
      </w:r>
      <w:r w:rsidRPr="00D54E09">
        <w:t>v.</w:t>
      </w:r>
      <w:r w:rsidRPr="00D54E09">
        <w:t xml:space="preserve"> </w:t>
      </w:r>
      <w:r w:rsidRPr="00D54E09">
        <w:t>Cori, 2022 2022 BL 104106, at *5 (E.D.</w:t>
      </w:r>
      <w:r w:rsidRPr="00D54E09">
        <w:t xml:space="preserve"> </w:t>
      </w:r>
      <w:r w:rsidRPr="00D54E09">
        <w:t>Mo.</w:t>
      </w:r>
      <w:r w:rsidRPr="00D54E09">
        <w:t xml:space="preserve"> </w:t>
      </w:r>
      <w:r w:rsidRPr="00D54E09">
        <w:t>Mar.</w:t>
      </w:r>
      <w:r w:rsidRPr="00D54E09">
        <w:t xml:space="preserve"> </w:t>
      </w:r>
      <w:r w:rsidRPr="00D54E09">
        <w:t>28, 2022) (non-owner may not bring dilution claim);</w:t>
      </w:r>
      <w:r w:rsidRPr="00D54E09">
        <w:t xml:space="preserve"> </w:t>
      </w:r>
      <w:r w:rsidRPr="00D54E09">
        <w:t>Hill Collections, Inc.</w:t>
      </w:r>
      <w:r w:rsidRPr="00D54E09">
        <w:t xml:space="preserve"> </w:t>
      </w:r>
      <w:r w:rsidRPr="00D54E09">
        <w:t>v.</w:t>
      </w:r>
      <w:r w:rsidRPr="00D54E09">
        <w:t xml:space="preserve"> </w:t>
      </w:r>
      <w:r w:rsidRPr="00D54E09">
        <w:t>Safeway, Inc., 2019 WL 8889998, at *3, 2019 BL 518565 (C.D.</w:t>
      </w:r>
      <w:r w:rsidRPr="00D54E09">
        <w:t xml:space="preserve"> </w:t>
      </w:r>
      <w:r w:rsidRPr="00D54E09">
        <w:t>Cal.</w:t>
      </w:r>
      <w:r w:rsidRPr="00D54E09">
        <w:t xml:space="preserve"> </w:t>
      </w:r>
      <w:r w:rsidRPr="00D54E09">
        <w:t>Dec.</w:t>
      </w:r>
      <w:r w:rsidRPr="00D54E09">
        <w:t xml:space="preserve"> </w:t>
      </w:r>
      <w:r w:rsidRPr="00D54E09">
        <w:t>17, 2019) (assignee of a cause of action lacks standing to sue);</w:t>
      </w:r>
      <w:r w:rsidRPr="00D54E09">
        <w:t xml:space="preserve"> </w:t>
      </w:r>
      <w:r w:rsidRPr="00D54E09">
        <w:t>Lumpkin v.</w:t>
      </w:r>
      <w:r w:rsidRPr="00D54E09">
        <w:t xml:space="preserve"> </w:t>
      </w:r>
      <w:r w:rsidRPr="00D54E09">
        <w:t>Rescue One Corp., 2016 WL 8115934, at *4, 2016 BL 498511 (N.D.</w:t>
      </w:r>
      <w:r w:rsidRPr="00D54E09">
        <w:t xml:space="preserve"> </w:t>
      </w:r>
      <w:r w:rsidRPr="00D54E09">
        <w:t>Ala.</w:t>
      </w:r>
      <w:r w:rsidRPr="00D54E09">
        <w:t xml:space="preserve"> </w:t>
      </w:r>
      <w:r w:rsidRPr="00D54E09">
        <w:t>Sept.</w:t>
      </w:r>
      <w:r w:rsidRPr="00D54E09">
        <w:t xml:space="preserve"> </w:t>
      </w:r>
      <w:r w:rsidRPr="00D54E09">
        <w:t xml:space="preserve">29, 2016) (nonowner, nonexclusive </w:t>
      </w:r>
      <w:proofErr w:type="spellStart"/>
      <w:r w:rsidRPr="00D54E09">
        <w:t>licensee</w:t>
      </w:r>
      <w:proofErr w:type="spellEnd"/>
      <w:r w:rsidRPr="00D54E09">
        <w:t xml:space="preserve"> cannot bring dilution claim);</w:t>
      </w:r>
      <w:r w:rsidRPr="00D54E09">
        <w:t xml:space="preserve"> </w:t>
      </w:r>
      <w:r w:rsidRPr="00D54E09">
        <w:t>Bridgestone Brands, LLC v.</w:t>
      </w:r>
      <w:r w:rsidRPr="00D54E09">
        <w:t xml:space="preserve"> </w:t>
      </w:r>
      <w:proofErr w:type="spellStart"/>
      <w:r w:rsidRPr="00D54E09">
        <w:t>Dastgah</w:t>
      </w:r>
      <w:proofErr w:type="spellEnd"/>
      <w:r w:rsidRPr="00D54E09">
        <w:t>, 2016 WL 1070670, at *4 n.1, 2016 BL 84276 (N.D.</w:t>
      </w:r>
      <w:r w:rsidRPr="00D54E09">
        <w:t xml:space="preserve"> </w:t>
      </w:r>
      <w:r w:rsidRPr="00D54E09">
        <w:t>Cal.</w:t>
      </w:r>
      <w:r w:rsidRPr="00D54E09">
        <w:t xml:space="preserve"> </w:t>
      </w:r>
      <w:r w:rsidRPr="00D54E09">
        <w:t>Mar.</w:t>
      </w:r>
      <w:r w:rsidRPr="00D54E09">
        <w:t xml:space="preserve"> </w:t>
      </w:r>
      <w:r w:rsidRPr="00D54E09">
        <w:t>18, 2016) (Bridgestone cannot assert dilution claim regarding Firestone mark because it is only a licensee);</w:t>
      </w:r>
      <w:r w:rsidRPr="00D54E09">
        <w:t xml:space="preserve"> </w:t>
      </w:r>
      <w:r w:rsidRPr="00D54E09">
        <w:t>Flu Shots of Tex.</w:t>
      </w:r>
      <w:r w:rsidRPr="00D54E09">
        <w:t xml:space="preserve"> </w:t>
      </w:r>
      <w:r w:rsidRPr="00D54E09">
        <w:t>v.</w:t>
      </w:r>
      <w:r w:rsidRPr="00D54E09">
        <w:t xml:space="preserve"> </w:t>
      </w:r>
      <w:r w:rsidRPr="00D54E09">
        <w:t>Lopez, 2014 U.S.</w:t>
      </w:r>
      <w:r w:rsidRPr="00D54E09">
        <w:t xml:space="preserve"> </w:t>
      </w:r>
      <w:r w:rsidRPr="00D54E09">
        <w:t>Dist.</w:t>
      </w:r>
      <w:r w:rsidRPr="00D54E09">
        <w:t xml:space="preserve"> </w:t>
      </w:r>
      <w:r w:rsidRPr="00D54E09">
        <w:t>LEXIS 45828, at *16–17 (N.D.</w:t>
      </w:r>
      <w:r w:rsidRPr="00D54E09">
        <w:t xml:space="preserve"> </w:t>
      </w:r>
      <w:r w:rsidRPr="00D54E09">
        <w:t>Tex.</w:t>
      </w:r>
      <w:r w:rsidRPr="00D54E09">
        <w:t xml:space="preserve"> </w:t>
      </w:r>
      <w:r w:rsidRPr="00D54E09">
        <w:t>Apr.</w:t>
      </w:r>
      <w:r w:rsidRPr="00D54E09">
        <w:t xml:space="preserve"> </w:t>
      </w:r>
      <w:r w:rsidRPr="00D54E09">
        <w:t>3, 2014);</w:t>
      </w:r>
      <w:r w:rsidRPr="00D54E09">
        <w:t xml:space="preserve"> </w:t>
      </w:r>
      <w:r w:rsidRPr="00D54E09">
        <w:t>Leisure Sys., Inc.</w:t>
      </w:r>
      <w:r w:rsidRPr="00D54E09">
        <w:t xml:space="preserve"> </w:t>
      </w:r>
      <w:r w:rsidRPr="00D54E09">
        <w:t>v.</w:t>
      </w:r>
      <w:r w:rsidRPr="00D54E09">
        <w:t xml:space="preserve"> </w:t>
      </w:r>
      <w:r w:rsidRPr="00D54E09">
        <w:t>Roundup, LLC, 2011 WL 13157181, at *5–9 (S.D.</w:t>
      </w:r>
      <w:r w:rsidRPr="00D54E09">
        <w:t xml:space="preserve"> </w:t>
      </w:r>
      <w:r w:rsidRPr="00D54E09">
        <w:t>Ohio Oct.</w:t>
      </w:r>
      <w:r w:rsidRPr="00D54E09">
        <w:t xml:space="preserve"> </w:t>
      </w:r>
      <w:r w:rsidRPr="00D54E09">
        <w:t>14, 2011) (exclusive licensee lacked indicia of assignment—particularly ability to initiate action without approval of licensor and standing to sue for dilution);</w:t>
      </w:r>
      <w:r w:rsidRPr="00D54E09">
        <w:t xml:space="preserve"> </w:t>
      </w:r>
      <w:r w:rsidRPr="00D54E09">
        <w:t>Prince of Peace Enters., Inc.</w:t>
      </w:r>
      <w:r w:rsidRPr="00D54E09">
        <w:t xml:space="preserve"> </w:t>
      </w:r>
      <w:r w:rsidRPr="00D54E09">
        <w:t>v.</w:t>
      </w:r>
      <w:r w:rsidRPr="00D54E09">
        <w:t xml:space="preserve"> </w:t>
      </w:r>
      <w:r w:rsidRPr="00D54E09">
        <w:t>Top Quality Food Mkt., LLC, 760 F.</w:t>
      </w:r>
      <w:r w:rsidRPr="00D54E09">
        <w:t xml:space="preserve"> </w:t>
      </w:r>
      <w:r w:rsidRPr="00D54E09">
        <w:t>Supp.</w:t>
      </w:r>
      <w:r w:rsidRPr="00D54E09">
        <w:t xml:space="preserve"> </w:t>
      </w:r>
      <w:r w:rsidRPr="00D54E09">
        <w:t>2d 384, 392–94 (S.D.N.Y.</w:t>
      </w:r>
      <w:r w:rsidRPr="00D54E09">
        <w:t xml:space="preserve"> </w:t>
      </w:r>
      <w:r w:rsidRPr="00D54E09">
        <w:t>2011) (licensee, even if exclusive, cannot sue for dilution under federal or New York law);</w:t>
      </w:r>
      <w:r w:rsidRPr="00D54E09">
        <w:t xml:space="preserve"> </w:t>
      </w:r>
      <w:r w:rsidRPr="00D54E09">
        <w:t>Hyundai Constr.</w:t>
      </w:r>
      <w:r w:rsidRPr="00D54E09">
        <w:t xml:space="preserve"> </w:t>
      </w:r>
      <w:r w:rsidRPr="00D54E09">
        <w:t>Equip.</w:t>
      </w:r>
      <w:r w:rsidRPr="00D54E09">
        <w:t xml:space="preserve"> </w:t>
      </w:r>
      <w:r w:rsidRPr="00D54E09">
        <w:t>U.S.A., Inc.</w:t>
      </w:r>
      <w:r w:rsidRPr="00D54E09">
        <w:t xml:space="preserve"> </w:t>
      </w:r>
      <w:r w:rsidRPr="00D54E09">
        <w:t>v.</w:t>
      </w:r>
      <w:r w:rsidRPr="00D54E09">
        <w:t xml:space="preserve"> </w:t>
      </w:r>
      <w:r w:rsidRPr="00D54E09">
        <w:t>Chris Johnson Equip., Inc., 2008 U.S.</w:t>
      </w:r>
      <w:r w:rsidRPr="00D54E09">
        <w:t xml:space="preserve"> </w:t>
      </w:r>
      <w:r w:rsidRPr="00D54E09">
        <w:t>Dist.</w:t>
      </w:r>
      <w:r w:rsidRPr="00D54E09">
        <w:t xml:space="preserve"> </w:t>
      </w:r>
      <w:r w:rsidRPr="00D54E09">
        <w:t>LEXIS 84687, at *9–10 (N.D.</w:t>
      </w:r>
      <w:r w:rsidRPr="00D54E09">
        <w:t xml:space="preserve"> </w:t>
      </w:r>
      <w:r w:rsidRPr="00D54E09">
        <w:t>Ill.</w:t>
      </w:r>
      <w:r w:rsidRPr="00D54E09">
        <w:t xml:space="preserve"> </w:t>
      </w:r>
      <w:r w:rsidRPr="00D54E09">
        <w:t>Sept.</w:t>
      </w:r>
      <w:r w:rsidRPr="00D54E09">
        <w:t xml:space="preserve"> </w:t>
      </w:r>
      <w:r w:rsidRPr="00D54E09">
        <w:t>10, 2008) (nonowner cannot sue under §43(c) but may be able to sue under §43(a));</w:t>
      </w:r>
      <w:r w:rsidRPr="00D54E09">
        <w:t xml:space="preserve"> </w:t>
      </w:r>
      <w:r w:rsidRPr="00D54E09">
        <w:t>STX, Inc.</w:t>
      </w:r>
      <w:r w:rsidRPr="00D54E09">
        <w:t xml:space="preserve"> </w:t>
      </w:r>
      <w:r w:rsidRPr="00D54E09">
        <w:t>v.</w:t>
      </w:r>
      <w:r w:rsidRPr="00D54E09">
        <w:t xml:space="preserve"> </w:t>
      </w:r>
      <w:r w:rsidRPr="00D54E09">
        <w:t>Bauer USA, Inc., 43 USPQ2d 1492, 1495–96 (N.D.</w:t>
      </w:r>
      <w:r w:rsidRPr="00D54E09">
        <w:t xml:space="preserve"> </w:t>
      </w:r>
      <w:r w:rsidRPr="00D54E09">
        <w:t>Cal.</w:t>
      </w:r>
      <w:r w:rsidRPr="00D54E09">
        <w:t xml:space="preserve"> </w:t>
      </w:r>
      <w:r w:rsidRPr="00D54E09">
        <w:t>1997) (licensee may not bring FTDA claim);</w:t>
      </w:r>
      <w:r w:rsidRPr="00D54E09">
        <w:t xml:space="preserve"> </w:t>
      </w:r>
      <w:r w:rsidRPr="00D54E09">
        <w:rPr>
          <w:i/>
        </w:rPr>
        <w:t>see</w:t>
      </w:r>
      <w:r w:rsidRPr="00D54E09">
        <w:t xml:space="preserve"> Upper Deck Co.</w:t>
      </w:r>
      <w:r w:rsidRPr="00D54E09">
        <w:t xml:space="preserve"> </w:t>
      </w:r>
      <w:r w:rsidRPr="00D54E09">
        <w:t>v.</w:t>
      </w:r>
      <w:r w:rsidRPr="00D54E09">
        <w:t xml:space="preserve"> </w:t>
      </w:r>
      <w:r w:rsidRPr="00D54E09">
        <w:t>Panini Amer., Inc., 533 F.</w:t>
      </w:r>
      <w:r w:rsidRPr="00D54E09">
        <w:t xml:space="preserve"> </w:t>
      </w:r>
      <w:r w:rsidRPr="00D54E09">
        <w:t>Supp.</w:t>
      </w:r>
      <w:r w:rsidRPr="00D54E09">
        <w:t xml:space="preserve"> </w:t>
      </w:r>
      <w:r w:rsidRPr="00D54E09">
        <w:t>3d 956, 962–65 (S.D.</w:t>
      </w:r>
      <w:r w:rsidRPr="00D54E09">
        <w:t xml:space="preserve"> </w:t>
      </w:r>
      <w:r w:rsidRPr="00D54E09">
        <w:t>Cal.</w:t>
      </w:r>
      <w:r w:rsidRPr="00D54E09">
        <w:t xml:space="preserve"> </w:t>
      </w:r>
      <w:r w:rsidRPr="00D54E09">
        <w:t>2021) (noting that Ninth Circuit has not decided whether licensee can bring dilution action, but deciding that the agreement in this case did not give plaintiff sufficient rights to bring an action);</w:t>
      </w:r>
      <w:r w:rsidRPr="00D54E09">
        <w:t xml:space="preserve"> </w:t>
      </w:r>
      <w:r w:rsidRPr="00D54E09">
        <w:rPr>
          <w:i/>
        </w:rPr>
        <w:t>see also</w:t>
      </w:r>
      <w:r w:rsidRPr="00D54E09">
        <w:t xml:space="preserve"> Puma Energy Caribe LLC v.</w:t>
      </w:r>
      <w:r w:rsidRPr="00D54E09">
        <w:t xml:space="preserve"> </w:t>
      </w:r>
      <w:r w:rsidRPr="00D54E09">
        <w:t>Riollano-</w:t>
      </w:r>
      <w:proofErr w:type="spellStart"/>
      <w:r w:rsidRPr="00D54E09">
        <w:t>Caceras</w:t>
      </w:r>
      <w:proofErr w:type="spellEnd"/>
      <w:r w:rsidRPr="00D54E09">
        <w:t>, 2017 WL 11607783, at *5–6, 2017 BL 551168 (D.P.R.</w:t>
      </w:r>
      <w:r w:rsidRPr="00D54E09">
        <w:t xml:space="preserve"> </w:t>
      </w:r>
      <w:r w:rsidRPr="00D54E09">
        <w:t>Dec.</w:t>
      </w:r>
      <w:r w:rsidRPr="00D54E09">
        <w:t xml:space="preserve"> </w:t>
      </w:r>
      <w:r w:rsidRPr="00D54E09">
        <w:t>14, 2017) (dismissing, stating that plaintiff had not shown it was the “owner, assignee, or exclusive licensee” of the mark);</w:t>
      </w:r>
      <w:r w:rsidRPr="00D54E09">
        <w:t xml:space="preserve"> </w:t>
      </w:r>
      <w:r w:rsidRPr="00D54E09">
        <w:t xml:space="preserve">Tap </w:t>
      </w:r>
      <w:proofErr w:type="spellStart"/>
      <w:r w:rsidRPr="00D54E09">
        <w:t>Publ’ns</w:t>
      </w:r>
      <w:proofErr w:type="spellEnd"/>
      <w:r w:rsidRPr="00D54E09">
        <w:t xml:space="preserve"> v.</w:t>
      </w:r>
      <w:r w:rsidRPr="00D54E09">
        <w:t xml:space="preserve"> </w:t>
      </w:r>
      <w:r w:rsidRPr="00D54E09">
        <w:t>Chinese Yellow Pages, 925 F.</w:t>
      </w:r>
      <w:r w:rsidRPr="00D54E09">
        <w:t xml:space="preserve"> </w:t>
      </w:r>
      <w:r w:rsidRPr="00D54E09">
        <w:t>Supp.</w:t>
      </w:r>
      <w:r w:rsidRPr="00D54E09">
        <w:t xml:space="preserve"> </w:t>
      </w:r>
      <w:r w:rsidRPr="00D54E09">
        <w:t>212, 217–18 (S.D.N.Y.</w:t>
      </w:r>
      <w:r w:rsidRPr="00D54E09">
        <w:t xml:space="preserve"> </w:t>
      </w:r>
      <w:r w:rsidRPr="00D54E09">
        <w:t>1996) (licensee may not bring claim under New York dilution law);</w:t>
      </w:r>
      <w:r w:rsidRPr="00D54E09">
        <w:t xml:space="preserve"> </w:t>
      </w:r>
      <w:r w:rsidRPr="00D54E09">
        <w:rPr>
          <w:i/>
        </w:rPr>
        <w:t>In re</w:t>
      </w:r>
      <w:r w:rsidRPr="00D54E09">
        <w:t xml:space="preserve"> </w:t>
      </w:r>
      <w:proofErr w:type="spellStart"/>
      <w:r w:rsidRPr="00D54E09">
        <w:t>Houbigant</w:t>
      </w:r>
      <w:proofErr w:type="spellEnd"/>
      <w:r w:rsidRPr="00D54E09">
        <w:t>, Inc., 914 F.</w:t>
      </w:r>
      <w:r w:rsidRPr="00D54E09">
        <w:t xml:space="preserve"> </w:t>
      </w:r>
      <w:r w:rsidRPr="00D54E09">
        <w:t>Supp.</w:t>
      </w:r>
      <w:r w:rsidRPr="00D54E09">
        <w:t xml:space="preserve"> </w:t>
      </w:r>
      <w:r w:rsidRPr="00D54E09">
        <w:t>964, 990 (S.D.N.Y.</w:t>
      </w:r>
      <w:r w:rsidRPr="00D54E09">
        <w:t xml:space="preserve"> </w:t>
      </w:r>
      <w:r w:rsidRPr="00D54E09">
        <w:t>1995) (same).</w:t>
      </w:r>
      <w:r w:rsidRPr="00D54E09">
        <w:t xml:space="preserve"> </w:t>
      </w:r>
      <w:r w:rsidRPr="00D54E09">
        <w:rPr>
          <w:i/>
        </w:rPr>
        <w:t>But cf</w:t>
      </w:r>
      <w:r w:rsidRPr="00D54E09">
        <w:t>.</w:t>
      </w:r>
      <w:r w:rsidRPr="00D54E09">
        <w:t xml:space="preserve"> </w:t>
      </w:r>
      <w:r w:rsidRPr="00D54E09">
        <w:t>World Championship Wrestling v.</w:t>
      </w:r>
      <w:r w:rsidRPr="00D54E09">
        <w:t xml:space="preserve"> </w:t>
      </w:r>
      <w:r w:rsidRPr="00D54E09">
        <w:t>Titan Sports, Inc., 46 F.</w:t>
      </w:r>
      <w:r w:rsidRPr="00D54E09">
        <w:t xml:space="preserve"> </w:t>
      </w:r>
      <w:r w:rsidRPr="00D54E09">
        <w:t>Supp.</w:t>
      </w:r>
      <w:r w:rsidRPr="00D54E09">
        <w:t xml:space="preserve"> </w:t>
      </w:r>
      <w:r w:rsidRPr="00D54E09">
        <w:t>2d 118, 122 (D.</w:t>
      </w:r>
      <w:r w:rsidRPr="00D54E09">
        <w:t xml:space="preserve"> </w:t>
      </w:r>
      <w:r w:rsidRPr="00D54E09">
        <w:t>Conn.</w:t>
      </w:r>
      <w:r w:rsidRPr="00D54E09">
        <w:t xml:space="preserve"> </w:t>
      </w:r>
      <w:r w:rsidRPr="00D54E09">
        <w:t>1999) (refusing to dismiss, at the pleadings stage, a dilution claim brought by a licensee).</w:t>
      </w:r>
      <w:r w:rsidRPr="00D54E09">
        <w:t xml:space="preserve"> </w:t>
      </w:r>
      <w:r w:rsidRPr="00D54E09">
        <w:t xml:space="preserve">The </w:t>
      </w:r>
      <w:r w:rsidRPr="00D54E09">
        <w:rPr>
          <w:i/>
        </w:rPr>
        <w:t>Prince of Peace</w:t>
      </w:r>
      <w:r w:rsidRPr="00D54E09">
        <w:t xml:space="preserve"> court specifically repudiated the reasoning of this decision.</w:t>
      </w:r>
      <w:r w:rsidRPr="00D54E09">
        <w:t xml:space="preserve"> </w:t>
      </w:r>
      <w:r w:rsidRPr="00D54E09">
        <w:t xml:space="preserve">However, a licensor whose “use” of the mark consists of licensing to others can assert ownership rights </w:t>
      </w:r>
      <w:proofErr w:type="gramStart"/>
      <w:r w:rsidRPr="00D54E09">
        <w:t>as long as</w:t>
      </w:r>
      <w:proofErr w:type="gramEnd"/>
      <w:r w:rsidRPr="00D54E09">
        <w:t xml:space="preserve"> the licensing is done properly, with appropriate quality control by the licensor, and </w:t>
      </w:r>
      <w:proofErr w:type="gramStart"/>
      <w:r w:rsidRPr="00D54E09">
        <w:t>as long as</w:t>
      </w:r>
      <w:proofErr w:type="gramEnd"/>
      <w:r w:rsidRPr="00D54E09">
        <w:t xml:space="preserve"> the licensees are using the mark.</w:t>
      </w:r>
      <w:r w:rsidRPr="00D54E09">
        <w:t xml:space="preserve"> </w:t>
      </w:r>
      <w:r w:rsidRPr="00D54E09">
        <w:t>Dual Groupe, LLC v.</w:t>
      </w:r>
      <w:r w:rsidRPr="00D54E09">
        <w:t xml:space="preserve"> </w:t>
      </w:r>
      <w:r w:rsidRPr="00D54E09">
        <w:t>Gans-Mex, LLC, 932 F.</w:t>
      </w:r>
      <w:r w:rsidRPr="00D54E09">
        <w:t xml:space="preserve"> </w:t>
      </w:r>
      <w:r w:rsidRPr="00D54E09">
        <w:t>Supp.</w:t>
      </w:r>
      <w:r w:rsidRPr="00D54E09">
        <w:t xml:space="preserve"> </w:t>
      </w:r>
      <w:r w:rsidRPr="00D54E09">
        <w:t>2d 569, 574 (S.D.N.Y.</w:t>
      </w:r>
      <w:r w:rsidRPr="00D54E09">
        <w:t xml:space="preserve"> </w:t>
      </w:r>
      <w:r w:rsidRPr="00D54E09">
        <w:t>2013).</w:t>
      </w:r>
    </w:p>
  </w:footnote>
  <w:footnote w:id="10">
    <w:p w14:paraId="68D76085" w14:textId="70EEA51E" w:rsidR="00D54E09" w:rsidRDefault="00D54E09" w:rsidP="00D54E09">
      <w:pPr>
        <w:pStyle w:val="FootnoteText"/>
      </w:pPr>
      <w:r w:rsidRPr="00D54E09">
        <w:rPr>
          <w:rStyle w:val="FootnoteReference"/>
          <w:rFonts w:eastAsiaTheme="majorEastAsia"/>
        </w:rPr>
        <w:footnoteRef/>
      </w:r>
      <w:r w:rsidRPr="00D54E09">
        <w:t>Reed v.</w:t>
      </w:r>
      <w:r w:rsidRPr="00D54E09">
        <w:t xml:space="preserve"> </w:t>
      </w:r>
      <w:r w:rsidRPr="00D54E09">
        <w:t>Marshall, 699 F.</w:t>
      </w:r>
      <w:r w:rsidRPr="00D54E09">
        <w:t xml:space="preserve"> </w:t>
      </w:r>
      <w:r w:rsidRPr="00D54E09">
        <w:t>Supp.</w:t>
      </w:r>
      <w:r w:rsidRPr="00D54E09">
        <w:t xml:space="preserve"> </w:t>
      </w:r>
      <w:r w:rsidRPr="00D54E09">
        <w:t>3d 563, 587 (S.D.</w:t>
      </w:r>
      <w:r w:rsidRPr="00D54E09">
        <w:t xml:space="preserve"> </w:t>
      </w:r>
      <w:r w:rsidRPr="00D54E09">
        <w:t>Tex., 2023).</w:t>
      </w:r>
    </w:p>
  </w:footnote>
  <w:footnote w:id="11">
    <w:p w14:paraId="3AE17B0F" w14:textId="45E2CBB1" w:rsidR="00D54E09" w:rsidRPr="000F5E39" w:rsidRDefault="00D54E09" w:rsidP="00D54E09">
      <w:pPr>
        <w:pStyle w:val="FootnoteText"/>
      </w:pPr>
      <w:r w:rsidRPr="00D54E09">
        <w:rPr>
          <w:vertAlign w:val="superscript"/>
        </w:rPr>
        <w:footnoteRef/>
      </w:r>
      <w:r w:rsidRPr="00D54E09">
        <w:rPr>
          <w:i/>
        </w:rPr>
        <w:t>See</w:t>
      </w:r>
      <w:r w:rsidRPr="00D54E09">
        <w:t xml:space="preserve"> I.P.</w:t>
      </w:r>
      <w:r w:rsidRPr="00D54E09">
        <w:t xml:space="preserve"> </w:t>
      </w:r>
      <w:r w:rsidRPr="00D54E09">
        <w:t xml:space="preserve">Lund Trading </w:t>
      </w:r>
      <w:proofErr w:type="spellStart"/>
      <w:r w:rsidRPr="00D54E09">
        <w:t>ApS</w:t>
      </w:r>
      <w:proofErr w:type="spellEnd"/>
      <w:r w:rsidRPr="00D54E09">
        <w:t xml:space="preserve"> v.</w:t>
      </w:r>
      <w:r w:rsidRPr="00D54E09">
        <w:t xml:space="preserve"> </w:t>
      </w:r>
      <w:r w:rsidRPr="00D54E09">
        <w:t>Kohler Co., 163 F.3d 27, 46, 49 USPQ2d 1225 (1st Cir.</w:t>
      </w:r>
      <w:r w:rsidRPr="00D54E09">
        <w:t xml:space="preserve"> </w:t>
      </w:r>
      <w:r w:rsidRPr="00D54E09">
        <w:t>1998) (“Both the text and legislative history of</w:t>
      </w:r>
      <w:r w:rsidRPr="00D54E09">
        <w:t xml:space="preserve"> </w:t>
      </w:r>
      <w:r w:rsidRPr="00D54E09">
        <w:t>…</w:t>
      </w:r>
      <w:r w:rsidRPr="00D54E09">
        <w:t xml:space="preserve"> </w:t>
      </w:r>
      <w:r w:rsidRPr="00D54E09">
        <w:t>the FTDA</w:t>
      </w:r>
      <w:r w:rsidRPr="00D54E09">
        <w:t xml:space="preserve"> </w:t>
      </w:r>
      <w:r w:rsidRPr="00D54E09">
        <w:t>…</w:t>
      </w:r>
      <w:r w:rsidRPr="00D54E09">
        <w:t xml:space="preserve"> </w:t>
      </w:r>
      <w:r w:rsidRPr="00D54E09">
        <w:t>indicate a congressional intent that courts should be discriminating and selective in categorizing a mark as famous.”);</w:t>
      </w:r>
      <w:r w:rsidRPr="00D54E09">
        <w:t xml:space="preserve"> </w:t>
      </w:r>
      <w:r w:rsidRPr="00D54E09">
        <w:t>Avery Dennison Corp.</w:t>
      </w:r>
      <w:r w:rsidRPr="00D54E09">
        <w:t xml:space="preserve"> </w:t>
      </w:r>
      <w:r w:rsidRPr="00D54E09">
        <w:t>v.</w:t>
      </w:r>
      <w:r w:rsidRPr="00D54E09">
        <w:t xml:space="preserve"> </w:t>
      </w:r>
      <w:proofErr w:type="spellStart"/>
      <w:r w:rsidRPr="00D54E09">
        <w:t>Sumpton</w:t>
      </w:r>
      <w:proofErr w:type="spellEnd"/>
      <w:r w:rsidRPr="00D54E09">
        <w:t>, 189 F.3d 868, 875, 51 USPQ2d 1801 (9th Cir.</w:t>
      </w:r>
      <w:r w:rsidRPr="00D54E09">
        <w:t xml:space="preserve"> </w:t>
      </w:r>
      <w:r w:rsidRPr="00D54E09">
        <w:t>1999) (“Dilution is a cause of action invented and reserved for a select class of marks</w:t>
      </w:r>
      <w:r w:rsidRPr="00D54E09">
        <w:t xml:space="preserve"> </w:t>
      </w:r>
      <w:r w:rsidRPr="00D54E09">
        <w:t>…”).</w:t>
      </w:r>
    </w:p>
  </w:footnote>
  <w:footnote w:id="12">
    <w:p w14:paraId="24E69A3F" w14:textId="7D8183BE" w:rsidR="00D54E09" w:rsidRPr="000F5E39" w:rsidRDefault="00D54E09" w:rsidP="00D54E09">
      <w:pPr>
        <w:pStyle w:val="FootnoteText"/>
      </w:pPr>
      <w:r w:rsidRPr="00D54E09">
        <w:rPr>
          <w:vertAlign w:val="superscript"/>
        </w:rPr>
        <w:footnoteRef/>
      </w:r>
      <w:r w:rsidRPr="00D54E09">
        <w:t>537 U.S.</w:t>
      </w:r>
      <w:r w:rsidRPr="00D54E09">
        <w:t xml:space="preserve"> </w:t>
      </w:r>
      <w:r w:rsidRPr="00D54E09">
        <w:t>418, 65 USPQ2d 1801 (2003).</w:t>
      </w:r>
    </w:p>
  </w:footnote>
  <w:footnote w:id="13">
    <w:p w14:paraId="3A34B51F" w14:textId="140F1F93"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The Court ultimately held that this phrase meant that the original FTDA required proof of actual dilution, not just likelihood of dilution.</w:t>
      </w:r>
      <w:r w:rsidRPr="00D54E09">
        <w:t xml:space="preserve"> </w:t>
      </w:r>
      <w:r w:rsidRPr="00D54E09">
        <w:rPr>
          <w:i/>
        </w:rPr>
        <w:t>Id</w:t>
      </w:r>
      <w:r w:rsidRPr="00D54E09">
        <w:t>.</w:t>
      </w:r>
      <w:r w:rsidRPr="00D54E09">
        <w:t xml:space="preserve"> </w:t>
      </w:r>
      <w:r w:rsidRPr="00D54E09">
        <w:t>at 433.</w:t>
      </w:r>
    </w:p>
  </w:footnote>
  <w:footnote w:id="14">
    <w:p w14:paraId="5639FE74" w14:textId="2824DE2E"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 xml:space="preserve">The Court also contrasted the language of the FTDA with that of many state dilution statutes, which expressly gave a remedy where there was a “likelihood of dilution.” </w:t>
      </w:r>
      <w:r w:rsidRPr="00D54E09">
        <w:rPr>
          <w:i/>
        </w:rPr>
        <w:t>Id</w:t>
      </w:r>
      <w:r w:rsidRPr="00D54E09">
        <w:t>.</w:t>
      </w:r>
      <w:r w:rsidRPr="00D54E09">
        <w:t xml:space="preserve"> </w:t>
      </w:r>
      <w:r w:rsidRPr="00D54E09">
        <w:t>at 432–33.</w:t>
      </w:r>
    </w:p>
    <w:p w14:paraId="09E3989D" w14:textId="77777777" w:rsidR="00D54E09" w:rsidRPr="000F5E39" w:rsidRDefault="00D54E09" w:rsidP="00CC7B6E">
      <w:pPr>
        <w:pStyle w:val="footnote"/>
      </w:pPr>
    </w:p>
  </w:footnote>
  <w:footnote w:id="15">
    <w:p w14:paraId="3DD4A89B" w14:textId="713DF343" w:rsidR="00D54E09" w:rsidRPr="000F5E39" w:rsidRDefault="00D54E09" w:rsidP="00D54E09">
      <w:pPr>
        <w:pStyle w:val="FootnoteText"/>
      </w:pPr>
      <w:r w:rsidRPr="00D54E09">
        <w:rPr>
          <w:vertAlign w:val="superscript"/>
        </w:rPr>
        <w:footnoteRef/>
      </w:r>
      <w:r w:rsidRPr="00D54E09">
        <w:t>Although the TDRA loosens the standard for obtaining relief to “likelihood of dilution,” it does not alter the methodology used by courts to interpret the statute.</w:t>
      </w:r>
      <w:r w:rsidRPr="00D54E09">
        <w:t xml:space="preserve"> </w:t>
      </w:r>
      <w:r w:rsidRPr="00D54E09">
        <w:t>There is no reason to assume that courts will not continue to interpret the statute strictly, just as many (including the Supreme Court) did prior to the TDRA.</w:t>
      </w:r>
    </w:p>
  </w:footnote>
  <w:footnote w:id="16">
    <w:p w14:paraId="017E1AFC" w14:textId="049CDA47" w:rsidR="00D54E09" w:rsidRPr="000F5E39" w:rsidRDefault="00D54E09" w:rsidP="00D54E09">
      <w:pPr>
        <w:pStyle w:val="FootnoteText"/>
      </w:pPr>
      <w:r w:rsidRPr="00D54E09">
        <w:rPr>
          <w:vertAlign w:val="superscript"/>
        </w:rPr>
        <w:footnoteRef/>
      </w:r>
      <w:r w:rsidRPr="00D54E09">
        <w:t>325 F.3d 586, 66 USPQ2d 1161 (5th Cir.</w:t>
      </w:r>
      <w:r w:rsidRPr="00D54E09">
        <w:t xml:space="preserve"> </w:t>
      </w:r>
      <w:r w:rsidRPr="00D54E09">
        <w:t>2003).</w:t>
      </w:r>
    </w:p>
  </w:footnote>
  <w:footnote w:id="17">
    <w:p w14:paraId="2BF56C22" w14:textId="296C5B7C"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589.</w:t>
      </w:r>
    </w:p>
  </w:footnote>
  <w:footnote w:id="18">
    <w:p w14:paraId="0E516646" w14:textId="3CFE768B"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597.</w:t>
      </w:r>
    </w:p>
  </w:footnote>
  <w:footnote w:id="19">
    <w:p w14:paraId="5ED7904A" w14:textId="40FE71D2"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598;</w:t>
      </w:r>
      <w:r w:rsidRPr="00D54E09">
        <w:t xml:space="preserve"> </w:t>
      </w:r>
      <w:r w:rsidRPr="00D54E09">
        <w:rPr>
          <w:i/>
        </w:rPr>
        <w:t>accord</w:t>
      </w:r>
      <w:r w:rsidRPr="00D54E09">
        <w:t xml:space="preserve"> Prince of Peace Enters., Inc.</w:t>
      </w:r>
      <w:r w:rsidRPr="00D54E09">
        <w:t xml:space="preserve"> </w:t>
      </w:r>
      <w:r w:rsidRPr="00D54E09">
        <w:t>v.</w:t>
      </w:r>
      <w:r w:rsidRPr="00D54E09">
        <w:t xml:space="preserve"> </w:t>
      </w:r>
      <w:r w:rsidRPr="00D54E09">
        <w:t>Top Quality Food Mkt., LLC, 760 F.</w:t>
      </w:r>
      <w:r w:rsidRPr="00D54E09">
        <w:t xml:space="preserve"> </w:t>
      </w:r>
      <w:r w:rsidRPr="00D54E09">
        <w:t>Supp.</w:t>
      </w:r>
      <w:r w:rsidRPr="00D54E09">
        <w:t xml:space="preserve"> </w:t>
      </w:r>
      <w:r w:rsidRPr="00D54E09">
        <w:t>2d 384, 392–94 (S.D.N.Y.</w:t>
      </w:r>
      <w:r w:rsidRPr="00D54E09">
        <w:t xml:space="preserve"> </w:t>
      </w:r>
      <w:r w:rsidRPr="00D54E09">
        <w:t xml:space="preserve">2011) (citing ICEE </w:t>
      </w:r>
      <w:proofErr w:type="spellStart"/>
      <w:r w:rsidRPr="00D54E09">
        <w:t>Distribs</w:t>
      </w:r>
      <w:proofErr w:type="spellEnd"/>
      <w:r w:rsidRPr="00D54E09">
        <w:t>., Inc.</w:t>
      </w:r>
      <w:r w:rsidRPr="00D54E09">
        <w:t xml:space="preserve"> </w:t>
      </w:r>
      <w:r w:rsidRPr="00D54E09">
        <w:t>v.</w:t>
      </w:r>
      <w:r w:rsidRPr="00D54E09">
        <w:t xml:space="preserve"> </w:t>
      </w:r>
      <w:r w:rsidRPr="00D54E09">
        <w:t>J &amp; J Snack Foods Corp., 325 F.3d 586, 599, 66 USPQ2d 1161 (5th Cir.</w:t>
      </w:r>
      <w:r w:rsidRPr="00D54E09">
        <w:t xml:space="preserve"> </w:t>
      </w:r>
      <w:r w:rsidRPr="00D54E09">
        <w:t>2003));</w:t>
      </w:r>
      <w:r w:rsidRPr="00D54E09">
        <w:t xml:space="preserve"> </w:t>
      </w:r>
      <w:proofErr w:type="spellStart"/>
      <w:r w:rsidRPr="00D54E09">
        <w:t>Multimin</w:t>
      </w:r>
      <w:proofErr w:type="spellEnd"/>
      <w:r w:rsidRPr="00D54E09">
        <w:t xml:space="preserve"> USA, Inc.</w:t>
      </w:r>
      <w:r w:rsidRPr="00D54E09">
        <w:t xml:space="preserve"> </w:t>
      </w:r>
      <w:r w:rsidRPr="00D54E09">
        <w:t>v.</w:t>
      </w:r>
      <w:r w:rsidRPr="00D54E09">
        <w:t xml:space="preserve"> </w:t>
      </w:r>
      <w:proofErr w:type="spellStart"/>
      <w:r w:rsidRPr="00D54E09">
        <w:t>Walco</w:t>
      </w:r>
      <w:proofErr w:type="spellEnd"/>
      <w:r w:rsidRPr="00D54E09">
        <w:t xml:space="preserve"> Int’l, Inc., 2007 WL 1686511, at *4, 2007 BL 30254</w:t>
      </w:r>
    </w:p>
    <w:p w14:paraId="0EC74153" w14:textId="77777777" w:rsidR="00D54E09" w:rsidRPr="00D54E09" w:rsidRDefault="00D54E09" w:rsidP="00D54E09">
      <w:pPr>
        <w:pStyle w:val="FootnoteText"/>
      </w:pPr>
      <w:r w:rsidRPr="00D54E09">
        <w:t xml:space="preserve"> (N.D.</w:t>
      </w:r>
      <w:r w:rsidRPr="00D54E09">
        <w:t xml:space="preserve"> </w:t>
      </w:r>
      <w:r w:rsidRPr="00D54E09">
        <w:t>Tex.</w:t>
      </w:r>
      <w:r w:rsidRPr="00D54E09">
        <w:t xml:space="preserve"> </w:t>
      </w:r>
      <w:r w:rsidRPr="00D54E09">
        <w:t>June 8, 2007) (same).</w:t>
      </w:r>
    </w:p>
    <w:p w14:paraId="0D21C9D9" w14:textId="77777777" w:rsidR="00D54E09" w:rsidRPr="000F5E39" w:rsidRDefault="00D54E09" w:rsidP="00CC7B6E">
      <w:pPr>
        <w:pStyle w:val="footnote"/>
      </w:pPr>
    </w:p>
  </w:footnote>
  <w:footnote w:id="20">
    <w:p w14:paraId="633EFAF7" w14:textId="7C615529" w:rsidR="00D54E09" w:rsidRPr="000F5E39" w:rsidRDefault="00D54E09" w:rsidP="00D54E09">
      <w:pPr>
        <w:pStyle w:val="FootnoteText"/>
      </w:pPr>
      <w:r w:rsidRPr="00D54E09">
        <w:rPr>
          <w:vertAlign w:val="superscript"/>
        </w:rPr>
        <w:footnoteRef/>
      </w:r>
      <w:r w:rsidRPr="00D54E09">
        <w:rPr>
          <w:i/>
        </w:rPr>
        <w:t>See</w:t>
      </w:r>
      <w:r w:rsidRPr="00D54E09">
        <w:t xml:space="preserve"> American Honda Motor Co., Inc.</w:t>
      </w:r>
      <w:r w:rsidRPr="00D54E09">
        <w:t xml:space="preserve"> </w:t>
      </w:r>
      <w:r w:rsidRPr="00D54E09">
        <w:t>v.</w:t>
      </w:r>
      <w:r w:rsidRPr="00D54E09">
        <w:t xml:space="preserve"> </w:t>
      </w:r>
      <w:r w:rsidRPr="00D54E09">
        <w:t xml:space="preserve">Pro-Line </w:t>
      </w:r>
      <w:proofErr w:type="spellStart"/>
      <w:r w:rsidRPr="00D54E09">
        <w:t>Protoform</w:t>
      </w:r>
      <w:proofErr w:type="spellEnd"/>
      <w:r w:rsidRPr="00D54E09">
        <w:t>, 325 F.</w:t>
      </w:r>
      <w:r w:rsidRPr="00D54E09">
        <w:t xml:space="preserve"> </w:t>
      </w:r>
      <w:r w:rsidRPr="00D54E09">
        <w:t>Supp.</w:t>
      </w:r>
      <w:r w:rsidRPr="00D54E09">
        <w:t xml:space="preserve"> </w:t>
      </w:r>
      <w:r w:rsidRPr="00D54E09">
        <w:t>2d 1081 (C.D.</w:t>
      </w:r>
      <w:r w:rsidRPr="00D54E09">
        <w:t xml:space="preserve"> </w:t>
      </w:r>
      <w:r w:rsidRPr="00D54E09">
        <w:t>Cal.</w:t>
      </w:r>
      <w:r w:rsidRPr="00D54E09">
        <w:t xml:space="preserve"> </w:t>
      </w:r>
      <w:r w:rsidRPr="00D54E09">
        <w:t>2004) (permitting American subsidiary, as exclusive licensee, to bring suit, but without discussion of the issue of ownership).</w:t>
      </w:r>
    </w:p>
  </w:footnote>
  <w:footnote w:id="21">
    <w:p w14:paraId="2449F004" w14:textId="3B9E254C" w:rsidR="00D54E09" w:rsidRPr="000F5E39" w:rsidRDefault="00D54E09" w:rsidP="00D54E09">
      <w:pPr>
        <w:pStyle w:val="FootnoteText"/>
      </w:pPr>
      <w:r w:rsidRPr="00D54E09">
        <w:rPr>
          <w:vertAlign w:val="superscript"/>
        </w:rPr>
        <w:footnoteRef/>
      </w:r>
      <w:r w:rsidRPr="00D54E09">
        <w:t>The Fifth Circuit indicated that it might recognize an exclusive licensee as having the status of “owner” in a circumstance where the owner did not compete with the licensee, but the court did not reach the issue because the distributorship in question still permitted the true owner to distribute trademarked goods in the same area as the licensee.</w:t>
      </w:r>
      <w:r w:rsidRPr="00D54E09">
        <w:t xml:space="preserve"> </w:t>
      </w:r>
      <w:r w:rsidRPr="00D54E09">
        <w:rPr>
          <w:i/>
        </w:rPr>
        <w:t>See</w:t>
      </w:r>
      <w:r w:rsidRPr="00D54E09">
        <w:t xml:space="preserve"> </w:t>
      </w:r>
      <w:r w:rsidRPr="00D54E09">
        <w:rPr>
          <w:i/>
        </w:rPr>
        <w:t>ICEE</w:t>
      </w:r>
      <w:r w:rsidRPr="00D54E09">
        <w:t>, 325 F.3d at 598–99.</w:t>
      </w:r>
      <w:r w:rsidRPr="00D54E09">
        <w:t xml:space="preserve"> </w:t>
      </w:r>
      <w:r w:rsidRPr="00D54E09">
        <w:t>However, in a subsequent case, the Fifth Circuit stated unequivocally that “[u]</w:t>
      </w:r>
      <w:proofErr w:type="spellStart"/>
      <w:r w:rsidRPr="00D54E09">
        <w:t>nder</w:t>
      </w:r>
      <w:proofErr w:type="spellEnd"/>
      <w:r w:rsidRPr="00D54E09">
        <w:t xml:space="preserve"> … 43(c) a claimant must own the mark outright to have statutory standing,” and that “[m]ere exclusive licensees lack standing to bring these claims.” Neutron Depot, L.L.C.</w:t>
      </w:r>
      <w:r w:rsidRPr="00D54E09">
        <w:t xml:space="preserve"> </w:t>
      </w:r>
      <w:r w:rsidRPr="00D54E09">
        <w:t>v, Bankrate, Inc., 798 F.</w:t>
      </w:r>
      <w:r w:rsidRPr="00D54E09">
        <w:t xml:space="preserve"> </w:t>
      </w:r>
      <w:proofErr w:type="spellStart"/>
      <w:r w:rsidRPr="00D54E09">
        <w:t>App’x</w:t>
      </w:r>
      <w:proofErr w:type="spellEnd"/>
      <w:r w:rsidRPr="00D54E09">
        <w:t>.</w:t>
      </w:r>
      <w:r w:rsidRPr="00D54E09">
        <w:t xml:space="preserve"> </w:t>
      </w:r>
      <w:r w:rsidRPr="00D54E09">
        <w:t>803, 806 (5th Cir.</w:t>
      </w:r>
      <w:r w:rsidRPr="00D54E09">
        <w:t xml:space="preserve"> </w:t>
      </w:r>
      <w:r w:rsidRPr="00D54E09">
        <w:t>2020).</w:t>
      </w:r>
      <w:r w:rsidRPr="00D54E09">
        <w:t xml:space="preserve"> </w:t>
      </w:r>
      <w:r w:rsidRPr="00D54E09">
        <w:t xml:space="preserve">In </w:t>
      </w:r>
      <w:r w:rsidRPr="00D54E09">
        <w:rPr>
          <w:i/>
        </w:rPr>
        <w:t>Bliss Clearing Niagara, Inc</w:t>
      </w:r>
      <w:r w:rsidRPr="00D54E09">
        <w:t>.</w:t>
      </w:r>
      <w:r w:rsidRPr="00D54E09">
        <w:t xml:space="preserve"> </w:t>
      </w:r>
      <w:r w:rsidRPr="00D54E09">
        <w:rPr>
          <w:i/>
        </w:rPr>
        <w:t>v</w:t>
      </w:r>
      <w:r w:rsidRPr="00D54E09">
        <w:t>.</w:t>
      </w:r>
      <w:r w:rsidRPr="00D54E09">
        <w:t xml:space="preserve"> </w:t>
      </w:r>
      <w:r w:rsidRPr="00D54E09">
        <w:rPr>
          <w:i/>
        </w:rPr>
        <w:t>Midwest Brake Bond Co</w:t>
      </w:r>
      <w:r w:rsidRPr="00D54E09">
        <w:t>., 339 F.</w:t>
      </w:r>
      <w:r w:rsidRPr="00D54E09">
        <w:t xml:space="preserve"> </w:t>
      </w:r>
      <w:r w:rsidRPr="00D54E09">
        <w:t>Supp.</w:t>
      </w:r>
      <w:r w:rsidRPr="00D54E09">
        <w:t xml:space="preserve"> </w:t>
      </w:r>
      <w:r w:rsidRPr="00D54E09">
        <w:t>2d 944, 958–59 &amp; n.4 (W.D.</w:t>
      </w:r>
      <w:r w:rsidRPr="00D54E09">
        <w:t xml:space="preserve"> </w:t>
      </w:r>
      <w:r w:rsidRPr="00D54E09">
        <w:t>Mich.</w:t>
      </w:r>
      <w:r w:rsidRPr="00D54E09">
        <w:t xml:space="preserve"> </w:t>
      </w:r>
      <w:r w:rsidRPr="00D54E09">
        <w:t xml:space="preserve">2004), the court, citing </w:t>
      </w:r>
      <w:r w:rsidRPr="00D54E09">
        <w:rPr>
          <w:i/>
        </w:rPr>
        <w:t>ICEE Distributors</w:t>
      </w:r>
      <w:r w:rsidRPr="00D54E09">
        <w:t>, permitted a dilution claim by an exclusive licensee to go forward.</w:t>
      </w:r>
    </w:p>
  </w:footnote>
  <w:footnote w:id="22">
    <w:p w14:paraId="052C8296" w14:textId="33D8AD18" w:rsidR="00D54E09" w:rsidRPr="000F5E39" w:rsidRDefault="00D54E09" w:rsidP="00D54E09">
      <w:pPr>
        <w:pStyle w:val="FootnoteText"/>
      </w:pPr>
      <w:r w:rsidRPr="00D54E09">
        <w:rPr>
          <w:vertAlign w:val="superscript"/>
        </w:rPr>
        <w:footnoteRef/>
      </w:r>
      <w:r w:rsidRPr="00D54E09">
        <w:rPr>
          <w:i/>
        </w:rPr>
        <w:t>Prince of Peace Enterprises</w:t>
      </w:r>
      <w:r w:rsidRPr="00D54E09">
        <w:t>, 760 F.</w:t>
      </w:r>
      <w:r w:rsidRPr="00D54E09">
        <w:t xml:space="preserve"> </w:t>
      </w:r>
      <w:r w:rsidRPr="00D54E09">
        <w:t>Supp.</w:t>
      </w:r>
      <w:r w:rsidRPr="00D54E09">
        <w:t xml:space="preserve"> </w:t>
      </w:r>
      <w:r w:rsidRPr="00D54E09">
        <w:t>2d at 392–94 (licensee, even if exclusive, cannot sue for dilution under federal or New York law);</w:t>
      </w:r>
      <w:r w:rsidRPr="00D54E09">
        <w:t xml:space="preserve"> </w:t>
      </w:r>
      <w:r w:rsidRPr="00D54E09">
        <w:t>Love v.</w:t>
      </w:r>
      <w:r w:rsidRPr="00D54E09">
        <w:t xml:space="preserve"> </w:t>
      </w:r>
      <w:r w:rsidRPr="00D54E09">
        <w:t>Mail on Sunday, 2006 U.S.</w:t>
      </w:r>
      <w:r w:rsidRPr="00D54E09">
        <w:t xml:space="preserve"> </w:t>
      </w:r>
      <w:r w:rsidRPr="00D54E09">
        <w:t>Dist.</w:t>
      </w:r>
      <w:r w:rsidRPr="00D54E09">
        <w:t xml:space="preserve"> </w:t>
      </w:r>
      <w:r w:rsidRPr="00D54E09">
        <w:t>LEXIS 95456, at *38 (C.D.</w:t>
      </w:r>
      <w:r w:rsidRPr="00D54E09">
        <w:t xml:space="preserve"> </w:t>
      </w:r>
      <w:r w:rsidRPr="00D54E09">
        <w:t>Cal.</w:t>
      </w:r>
      <w:r w:rsidRPr="00D54E09">
        <w:t xml:space="preserve"> </w:t>
      </w:r>
      <w:r w:rsidRPr="00D54E09">
        <w:t>Aug.</w:t>
      </w:r>
      <w:r w:rsidRPr="00D54E09">
        <w:t xml:space="preserve"> </w:t>
      </w:r>
      <w:r w:rsidRPr="00D54E09">
        <w:t>15, 2006).</w:t>
      </w:r>
      <w:r w:rsidRPr="00D54E09">
        <w:t xml:space="preserve"> </w:t>
      </w:r>
      <w:r w:rsidRPr="00D54E09">
        <w:rPr>
          <w:i/>
        </w:rPr>
        <w:t>See</w:t>
      </w:r>
      <w:r w:rsidRPr="00D54E09">
        <w:t xml:space="preserve"> Bravado Int’l Grp.</w:t>
      </w:r>
      <w:r w:rsidRPr="00D54E09">
        <w:t xml:space="preserve"> </w:t>
      </w:r>
      <w:r w:rsidRPr="00D54E09">
        <w:t>Merch.</w:t>
      </w:r>
      <w:r w:rsidRPr="00D54E09">
        <w:t xml:space="preserve"> </w:t>
      </w:r>
      <w:r w:rsidRPr="00D54E09">
        <w:t>Servs., Inc.</w:t>
      </w:r>
      <w:r w:rsidRPr="00D54E09">
        <w:t xml:space="preserve"> </w:t>
      </w:r>
      <w:r w:rsidRPr="00D54E09">
        <w:t>v.</w:t>
      </w:r>
      <w:r w:rsidRPr="00D54E09">
        <w:t xml:space="preserve"> </w:t>
      </w:r>
      <w:proofErr w:type="spellStart"/>
      <w:r w:rsidRPr="00D54E09">
        <w:t>Gearlaunch</w:t>
      </w:r>
      <w:proofErr w:type="spellEnd"/>
      <w:r w:rsidRPr="00D54E09">
        <w:t>, Inc., 2018 WL 6017035, at *5, 2018 BL 519058 (C.D.</w:t>
      </w:r>
      <w:r w:rsidRPr="00D54E09">
        <w:t xml:space="preserve"> </w:t>
      </w:r>
      <w:r w:rsidRPr="00D54E09">
        <w:t>Cal.</w:t>
      </w:r>
      <w:r w:rsidRPr="00D54E09">
        <w:t xml:space="preserve"> </w:t>
      </w:r>
      <w:r w:rsidRPr="00D54E09">
        <w:t>Feb.</w:t>
      </w:r>
      <w:r w:rsidRPr="00D54E09">
        <w:t xml:space="preserve"> </w:t>
      </w:r>
      <w:r w:rsidRPr="00D54E09">
        <w:t>9, 2018) (dismissing dilution claim brought by alleged exclusive licensee);</w:t>
      </w:r>
      <w:r w:rsidRPr="00D54E09">
        <w:t xml:space="preserve"> </w:t>
      </w:r>
      <w:r w:rsidRPr="00D54E09">
        <w:t>Leisure Sys., Inc.</w:t>
      </w:r>
      <w:r w:rsidRPr="00D54E09">
        <w:t xml:space="preserve"> </w:t>
      </w:r>
      <w:r w:rsidRPr="00D54E09">
        <w:t>v.</w:t>
      </w:r>
      <w:r w:rsidRPr="00D54E09">
        <w:t xml:space="preserve"> </w:t>
      </w:r>
      <w:r w:rsidRPr="00D54E09">
        <w:t>Roundup, LLC, 2011 WL 13157181, at *5–9 (S.D.</w:t>
      </w:r>
      <w:r w:rsidRPr="00D54E09">
        <w:t xml:space="preserve"> </w:t>
      </w:r>
      <w:r w:rsidRPr="00D54E09">
        <w:t>Ohio Oct.</w:t>
      </w:r>
      <w:r w:rsidRPr="00D54E09">
        <w:t xml:space="preserve"> </w:t>
      </w:r>
      <w:r w:rsidRPr="00D54E09">
        <w:t>14, 2011) (exclusive licensee lacked indicia of assignment—particularly ability to initiate action without approval of licensor and standing to sue for dilution).</w:t>
      </w:r>
    </w:p>
  </w:footnote>
  <w:footnote w:id="23">
    <w:p w14:paraId="2967A6FB" w14:textId="65D0D859" w:rsidR="00D54E09" w:rsidRPr="000F5E39" w:rsidRDefault="00D54E09" w:rsidP="00D54E09">
      <w:pPr>
        <w:pStyle w:val="FootnoteText"/>
      </w:pPr>
      <w:r w:rsidRPr="00D54E09">
        <w:rPr>
          <w:vertAlign w:val="superscript"/>
        </w:rPr>
        <w:footnoteRef/>
      </w:r>
      <w:r w:rsidRPr="00D54E09">
        <w:t>43 USPQ2d 1492 (N.D.</w:t>
      </w:r>
      <w:r w:rsidRPr="00D54E09">
        <w:t xml:space="preserve"> </w:t>
      </w:r>
      <w:r w:rsidRPr="00D54E09">
        <w:t>Cal.</w:t>
      </w:r>
      <w:r w:rsidRPr="00D54E09">
        <w:t xml:space="preserve"> </w:t>
      </w:r>
      <w:r w:rsidRPr="00D54E09">
        <w:t>1997).</w:t>
      </w:r>
    </w:p>
  </w:footnote>
  <w:footnote w:id="24">
    <w:p w14:paraId="0B7C2CF8" w14:textId="1A753B60"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1495–96.</w:t>
      </w:r>
    </w:p>
  </w:footnote>
  <w:footnote w:id="25">
    <w:p w14:paraId="2348F5F2" w14:textId="1E739A8F"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1495.</w:t>
      </w:r>
    </w:p>
  </w:footnote>
  <w:footnote w:id="26">
    <w:p w14:paraId="2C7CE131" w14:textId="1359789A"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1496.</w:t>
      </w:r>
      <w:r w:rsidRPr="00D54E09">
        <w:t xml:space="preserve"> </w:t>
      </w:r>
      <w:r w:rsidRPr="00D54E09">
        <w:t xml:space="preserve">This analysis is consistent with the methodology used by the Supreme Court in </w:t>
      </w:r>
      <w:r w:rsidRPr="00D54E09">
        <w:rPr>
          <w:i/>
        </w:rPr>
        <w:t>Moseley v</w:t>
      </w:r>
      <w:r w:rsidRPr="00D54E09">
        <w:t>.</w:t>
      </w:r>
      <w:r w:rsidRPr="00D54E09">
        <w:t xml:space="preserve"> </w:t>
      </w:r>
      <w:r w:rsidRPr="00D54E09">
        <w:rPr>
          <w:i/>
        </w:rPr>
        <w:t>V Secret Catalogue, Inc</w:t>
      </w:r>
      <w:r w:rsidRPr="00D54E09">
        <w:t>., 537 U.S.</w:t>
      </w:r>
      <w:r w:rsidRPr="00D54E09">
        <w:t xml:space="preserve"> </w:t>
      </w:r>
      <w:r w:rsidRPr="00D54E09">
        <w:t>418, 65 USPQ2d 1801 (2003), that was discussed above in this section.</w:t>
      </w:r>
      <w:r w:rsidRPr="00D54E09">
        <w:t xml:space="preserve"> </w:t>
      </w:r>
      <w:r w:rsidRPr="00D54E09">
        <w:rPr>
          <w:i/>
        </w:rPr>
        <w:t>See In re</w:t>
      </w:r>
      <w:r w:rsidRPr="00D54E09">
        <w:t xml:space="preserve"> </w:t>
      </w:r>
      <w:proofErr w:type="spellStart"/>
      <w:r w:rsidRPr="00D54E09">
        <w:t>Houbigant</w:t>
      </w:r>
      <w:proofErr w:type="spellEnd"/>
      <w:r w:rsidRPr="00D54E09">
        <w:t>, 914 F.</w:t>
      </w:r>
      <w:r w:rsidRPr="00D54E09">
        <w:t xml:space="preserve"> </w:t>
      </w:r>
      <w:r w:rsidRPr="00D54E09">
        <w:t>Supp.</w:t>
      </w:r>
      <w:r w:rsidRPr="00D54E09">
        <w:t xml:space="preserve"> </w:t>
      </w:r>
      <w:r w:rsidRPr="00D54E09">
        <w:t>964, 990 (S.D.N.Y.</w:t>
      </w:r>
      <w:r w:rsidRPr="00D54E09">
        <w:t xml:space="preserve"> </w:t>
      </w:r>
      <w:r w:rsidRPr="00D54E09">
        <w:t>1995) (licensee lacks standing under New York dilution law).</w:t>
      </w:r>
    </w:p>
    <w:p w14:paraId="4DD7E652" w14:textId="77777777" w:rsidR="00D54E09" w:rsidRPr="000F5E39" w:rsidRDefault="00D54E09" w:rsidP="00CC7B6E">
      <w:pPr>
        <w:pStyle w:val="footnote"/>
      </w:pPr>
    </w:p>
  </w:footnote>
  <w:footnote w:id="27">
    <w:p w14:paraId="0B9BF0FD" w14:textId="4C23BFB6" w:rsidR="00D54E09" w:rsidRPr="000F5E39" w:rsidRDefault="00D54E09" w:rsidP="00D54E09">
      <w:pPr>
        <w:pStyle w:val="FootnoteText"/>
      </w:pPr>
      <w:r w:rsidRPr="00D54E09">
        <w:rPr>
          <w:vertAlign w:val="superscript"/>
        </w:rPr>
        <w:footnoteRef/>
      </w:r>
      <w:r w:rsidRPr="00D54E09">
        <w:t>43 USPQ2d at 1495.</w:t>
      </w:r>
    </w:p>
  </w:footnote>
  <w:footnote w:id="28">
    <w:p w14:paraId="18B2C8EF" w14:textId="0B5A2BE6" w:rsidR="00D54E09" w:rsidRPr="000F5E39" w:rsidRDefault="00D54E09" w:rsidP="00D54E09">
      <w:pPr>
        <w:pStyle w:val="FootnoteText"/>
      </w:pPr>
      <w:r w:rsidRPr="00D54E09">
        <w:rPr>
          <w:vertAlign w:val="superscript"/>
        </w:rPr>
        <w:footnoteRef/>
      </w:r>
      <w:r w:rsidRPr="00D54E09">
        <w:t>46 F.</w:t>
      </w:r>
      <w:r w:rsidRPr="00D54E09">
        <w:t xml:space="preserve"> </w:t>
      </w:r>
      <w:r w:rsidRPr="00D54E09">
        <w:t>Supp.</w:t>
      </w:r>
      <w:r w:rsidRPr="00D54E09">
        <w:t xml:space="preserve"> </w:t>
      </w:r>
      <w:r w:rsidRPr="00D54E09">
        <w:t>2d 118 (D.</w:t>
      </w:r>
      <w:r w:rsidRPr="00D54E09">
        <w:t xml:space="preserve"> </w:t>
      </w:r>
      <w:r w:rsidRPr="00D54E09">
        <w:t>Conn.</w:t>
      </w:r>
      <w:r w:rsidRPr="00D54E09">
        <w:t xml:space="preserve"> </w:t>
      </w:r>
      <w:r w:rsidRPr="00D54E09">
        <w:t>1999).</w:t>
      </w:r>
    </w:p>
  </w:footnote>
  <w:footnote w:id="29">
    <w:p w14:paraId="7C6460B6" w14:textId="6A7477FF"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122.</w:t>
      </w:r>
    </w:p>
  </w:footnote>
  <w:footnote w:id="30">
    <w:p w14:paraId="34CB04CD" w14:textId="112C597E" w:rsidR="00D54E09" w:rsidRPr="000F5E39" w:rsidRDefault="00D54E09" w:rsidP="00D54E09">
      <w:pPr>
        <w:pStyle w:val="FootnoteText"/>
      </w:pPr>
      <w:r w:rsidRPr="00D54E09">
        <w:rPr>
          <w:vertAlign w:val="superscript"/>
        </w:rPr>
        <w:footnoteRef/>
      </w:r>
      <w:r w:rsidRPr="00D54E09">
        <w:rPr>
          <w:i/>
        </w:rPr>
        <w:t>Id</w:t>
      </w:r>
      <w:r w:rsidRPr="00D54E09">
        <w:t>.</w:t>
      </w:r>
    </w:p>
  </w:footnote>
  <w:footnote w:id="31">
    <w:p w14:paraId="080935FF" w14:textId="6D71E0CE" w:rsidR="00D54E09" w:rsidRPr="000F5E39" w:rsidRDefault="00D54E09" w:rsidP="00D54E09">
      <w:pPr>
        <w:pStyle w:val="FootnoteText"/>
      </w:pPr>
      <w:r w:rsidRPr="00D54E09">
        <w:rPr>
          <w:vertAlign w:val="superscript"/>
        </w:rPr>
        <w:footnoteRef/>
      </w:r>
      <w:r w:rsidRPr="00D54E09">
        <w:rPr>
          <w:i/>
        </w:rPr>
        <w:t>Id</w:t>
      </w:r>
      <w:r w:rsidRPr="00D54E09">
        <w:t>.</w:t>
      </w:r>
    </w:p>
  </w:footnote>
  <w:footnote w:id="32">
    <w:p w14:paraId="0136AB71" w14:textId="6B99554D" w:rsidR="00D54E09" w:rsidRPr="000F5E39" w:rsidRDefault="00D54E09" w:rsidP="00D54E09">
      <w:pPr>
        <w:pStyle w:val="FootnoteText"/>
      </w:pPr>
      <w:r w:rsidRPr="00D54E09">
        <w:rPr>
          <w:vertAlign w:val="superscript"/>
        </w:rPr>
        <w:footnoteRef/>
      </w:r>
      <w:r w:rsidRPr="00D54E09">
        <w:t>If the plaintiff could show that it had the right to decide to sue for infringement, perhaps the court would be willing to find standing.</w:t>
      </w:r>
      <w:r w:rsidRPr="00D54E09">
        <w:t xml:space="preserve"> </w:t>
      </w:r>
      <w:r w:rsidRPr="00D54E09">
        <w:t xml:space="preserve">In </w:t>
      </w:r>
      <w:r w:rsidRPr="00D54E09">
        <w:rPr>
          <w:i/>
        </w:rPr>
        <w:t>Carrier Great Lakes v</w:t>
      </w:r>
      <w:r w:rsidRPr="00D54E09">
        <w:t>.</w:t>
      </w:r>
      <w:r w:rsidRPr="00D54E09">
        <w:t xml:space="preserve"> </w:t>
      </w:r>
      <w:r w:rsidRPr="00D54E09">
        <w:rPr>
          <w:i/>
        </w:rPr>
        <w:t>Cooper Heating Supply, Inc</w:t>
      </w:r>
      <w:r w:rsidRPr="00D54E09">
        <w:t>., 2002 U.S.</w:t>
      </w:r>
      <w:r w:rsidRPr="00D54E09">
        <w:t xml:space="preserve"> </w:t>
      </w:r>
      <w:r w:rsidRPr="00D54E09">
        <w:t>Dist.</w:t>
      </w:r>
      <w:r w:rsidRPr="00D54E09">
        <w:t xml:space="preserve"> </w:t>
      </w:r>
      <w:r w:rsidRPr="00D54E09">
        <w:t>LEXIS 10417 (W.D.</w:t>
      </w:r>
      <w:r w:rsidRPr="00D54E09">
        <w:t xml:space="preserve"> </w:t>
      </w:r>
      <w:r w:rsidRPr="00D54E09">
        <w:t>Mich.</w:t>
      </w:r>
      <w:r w:rsidRPr="00D54E09">
        <w:t xml:space="preserve"> </w:t>
      </w:r>
      <w:r w:rsidRPr="00D54E09">
        <w:t>June 5, 2002), the court held that a sublicensee was an “owner” within the meaning of the FTDA.</w:t>
      </w:r>
      <w:r w:rsidRPr="00D54E09">
        <w:t xml:space="preserve"> </w:t>
      </w:r>
      <w:r w:rsidRPr="00D54E09">
        <w:t xml:space="preserve">However, the court appeared to believe that to do otherwise would equate “owner” and “registrant.” </w:t>
      </w:r>
      <w:r w:rsidRPr="00D54E09">
        <w:rPr>
          <w:i/>
        </w:rPr>
        <w:t>Id</w:t>
      </w:r>
      <w:r w:rsidRPr="00D54E09">
        <w:t>.</w:t>
      </w:r>
      <w:r w:rsidRPr="00D54E09">
        <w:t xml:space="preserve"> </w:t>
      </w:r>
      <w:r w:rsidRPr="00D54E09">
        <w:t>at *11.</w:t>
      </w:r>
      <w:r w:rsidRPr="00D54E09">
        <w:t xml:space="preserve"> </w:t>
      </w:r>
      <w:r w:rsidRPr="00D54E09">
        <w:t>This is not so:</w:t>
      </w:r>
      <w:r w:rsidRPr="00D54E09">
        <w:t xml:space="preserve"> </w:t>
      </w:r>
      <w:proofErr w:type="spellStart"/>
      <w:r w:rsidRPr="00D54E09">
        <w:t>nonregistrant</w:t>
      </w:r>
      <w:proofErr w:type="spellEnd"/>
      <w:r w:rsidRPr="00D54E09">
        <w:t xml:space="preserve"> owners need not be licensees.</w:t>
      </w:r>
    </w:p>
  </w:footnote>
  <w:footnote w:id="33">
    <w:p w14:paraId="6955CFE3" w14:textId="79F5AD82" w:rsidR="00D54E09" w:rsidRPr="000F5E39" w:rsidRDefault="00D54E09" w:rsidP="00D54E09">
      <w:pPr>
        <w:pStyle w:val="FootnoteText"/>
      </w:pPr>
      <w:r w:rsidRPr="00D54E09">
        <w:rPr>
          <w:vertAlign w:val="superscript"/>
        </w:rPr>
        <w:footnoteRef/>
      </w:r>
      <w:r w:rsidRPr="00D54E09">
        <w:t>760 F.</w:t>
      </w:r>
      <w:r w:rsidRPr="00D54E09">
        <w:t xml:space="preserve"> </w:t>
      </w:r>
      <w:r w:rsidRPr="00D54E09">
        <w:t>Supp.</w:t>
      </w:r>
      <w:r w:rsidRPr="00D54E09">
        <w:t xml:space="preserve"> </w:t>
      </w:r>
      <w:r w:rsidRPr="00D54E09">
        <w:t>2d 384 (S.D.N.Y.</w:t>
      </w:r>
      <w:r w:rsidRPr="00D54E09">
        <w:t xml:space="preserve"> </w:t>
      </w:r>
      <w:r w:rsidRPr="00D54E09">
        <w:t>2011).</w:t>
      </w:r>
    </w:p>
  </w:footnote>
  <w:footnote w:id="34">
    <w:p w14:paraId="4B7329EF" w14:textId="746A4C74"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393–94.</w:t>
      </w:r>
    </w:p>
  </w:footnote>
  <w:footnote w:id="35">
    <w:p w14:paraId="02086D4E" w14:textId="095334FC" w:rsidR="00D54E09" w:rsidRPr="009077F2" w:rsidRDefault="00D54E09" w:rsidP="00D54E09">
      <w:pPr>
        <w:pStyle w:val="FootnoteText"/>
      </w:pPr>
      <w:r w:rsidRPr="00D54E09">
        <w:rPr>
          <w:vertAlign w:val="superscript"/>
        </w:rPr>
        <w:footnoteRef/>
      </w:r>
      <w:proofErr w:type="spellStart"/>
      <w:r w:rsidRPr="00D54E09">
        <w:t>Rimowa</w:t>
      </w:r>
      <w:proofErr w:type="spellEnd"/>
      <w:r w:rsidRPr="00D54E09">
        <w:t xml:space="preserve"> Dist., Inc.</w:t>
      </w:r>
      <w:r w:rsidRPr="00D54E09">
        <w:t xml:space="preserve"> </w:t>
      </w:r>
      <w:r w:rsidRPr="00D54E09">
        <w:t>v.</w:t>
      </w:r>
      <w:r w:rsidRPr="00D54E09">
        <w:t xml:space="preserve"> </w:t>
      </w:r>
      <w:r w:rsidRPr="00D54E09">
        <w:t>Travelers Club Luggage, Inc., 217 F.</w:t>
      </w:r>
      <w:r w:rsidRPr="00D54E09">
        <w:t xml:space="preserve"> </w:t>
      </w:r>
      <w:r w:rsidRPr="00D54E09">
        <w:t>Supp.</w:t>
      </w:r>
      <w:r w:rsidRPr="00D54E09">
        <w:t xml:space="preserve"> </w:t>
      </w:r>
      <w:r w:rsidRPr="00D54E09">
        <w:t>3d 400, 408 (D.</w:t>
      </w:r>
      <w:r w:rsidRPr="00D54E09">
        <w:t xml:space="preserve"> </w:t>
      </w:r>
      <w:r w:rsidRPr="00D54E09">
        <w:t>Mass.</w:t>
      </w:r>
      <w:r w:rsidRPr="00D54E09">
        <w:t xml:space="preserve"> </w:t>
      </w:r>
      <w:r w:rsidRPr="00D54E09">
        <w:t>2016) (denying summary judgment).</w:t>
      </w:r>
      <w:r w:rsidRPr="00D54E09">
        <w:t xml:space="preserve"> </w:t>
      </w:r>
      <w:r w:rsidRPr="00D54E09">
        <w:rPr>
          <w:i/>
        </w:rPr>
        <w:t xml:space="preserve">See </w:t>
      </w:r>
      <w:r w:rsidRPr="00D54E09">
        <w:t>Bama ICEE LLC v.</w:t>
      </w:r>
      <w:r w:rsidRPr="00D54E09">
        <w:t xml:space="preserve"> </w:t>
      </w:r>
      <w:r w:rsidRPr="00D54E09">
        <w:t>J &amp; J Snack Foods Corp., 2019 WL 2024307, at *4, 2019 BL 166739 (N.D.</w:t>
      </w:r>
      <w:r w:rsidRPr="00D54E09">
        <w:t xml:space="preserve"> </w:t>
      </w:r>
      <w:r w:rsidRPr="00D54E09">
        <w:t>Ala.</w:t>
      </w:r>
      <w:r w:rsidRPr="00D54E09">
        <w:t xml:space="preserve"> </w:t>
      </w:r>
      <w:r w:rsidRPr="00D54E09">
        <w:t>May 8, 2019) (denying a motion to dismiss on issue of whether plaintiffs, as exclusive licensees, had an “ownership” interest for dilution purposes).</w:t>
      </w:r>
      <w:r w:rsidRPr="00D54E09">
        <w:t xml:space="preserve"> </w:t>
      </w:r>
      <w:r w:rsidRPr="00D54E09">
        <w:rPr>
          <w:i/>
        </w:rPr>
        <w:t>See also</w:t>
      </w:r>
      <w:r w:rsidRPr="00D54E09">
        <w:t xml:space="preserve"> Hollis v.</w:t>
      </w:r>
      <w:r w:rsidRPr="00D54E09">
        <w:t xml:space="preserve"> </w:t>
      </w:r>
      <w:r w:rsidRPr="00D54E09">
        <w:t>Render, 2025 WL 1421279, at *4, 2025 BL 171575 (C.D.</w:t>
      </w:r>
      <w:r w:rsidRPr="00D54E09">
        <w:t xml:space="preserve"> </w:t>
      </w:r>
      <w:r w:rsidRPr="00D54E09">
        <w:t>Cal.</w:t>
      </w:r>
      <w:r w:rsidRPr="00D54E09">
        <w:t xml:space="preserve"> </w:t>
      </w:r>
      <w:r w:rsidRPr="00D54E09">
        <w:t>Mar.</w:t>
      </w:r>
      <w:r w:rsidRPr="00D54E09">
        <w:t xml:space="preserve"> </w:t>
      </w:r>
      <w:r w:rsidRPr="00D54E09">
        <w:t>5, 2025) (noting split in authority but dismissing because plaintiff’s complaint did not give sufficient detail to determine whether plaintiff was an exclusive licensee).</w:t>
      </w:r>
    </w:p>
  </w:footnote>
  <w:footnote w:id="36">
    <w:p w14:paraId="1306DD3A" w14:textId="7E461B78" w:rsidR="00D54E09" w:rsidRPr="000F5E39" w:rsidRDefault="00D54E09" w:rsidP="00D54E09">
      <w:pPr>
        <w:pStyle w:val="FootnoteText"/>
      </w:pPr>
      <w:r w:rsidRPr="00D54E09">
        <w:rPr>
          <w:vertAlign w:val="superscript"/>
        </w:rPr>
        <w:footnoteRef/>
      </w:r>
      <w:proofErr w:type="spellStart"/>
      <w:r w:rsidRPr="00D54E09">
        <w:t>Derminer</w:t>
      </w:r>
      <w:proofErr w:type="spellEnd"/>
      <w:r w:rsidRPr="00D54E09">
        <w:t xml:space="preserve"> v.</w:t>
      </w:r>
      <w:r w:rsidRPr="00D54E09">
        <w:t xml:space="preserve"> </w:t>
      </w:r>
      <w:r w:rsidRPr="00D54E09">
        <w:t>Kramer, 406 F.</w:t>
      </w:r>
      <w:r w:rsidRPr="00D54E09">
        <w:t xml:space="preserve"> </w:t>
      </w:r>
      <w:r w:rsidRPr="00D54E09">
        <w:t>Supp.</w:t>
      </w:r>
      <w:r w:rsidRPr="00D54E09">
        <w:t xml:space="preserve"> </w:t>
      </w:r>
      <w:r w:rsidRPr="00D54E09">
        <w:t>2d 756, 758, 78 USPQ2d 1690 (E.D.</w:t>
      </w:r>
      <w:r w:rsidRPr="00D54E09">
        <w:t xml:space="preserve"> </w:t>
      </w:r>
      <w:r w:rsidRPr="00D54E09">
        <w:t>Mich.</w:t>
      </w:r>
      <w:r w:rsidRPr="00D54E09">
        <w:t xml:space="preserve"> </w:t>
      </w:r>
      <w:r w:rsidRPr="00D54E09">
        <w:t>2005).</w:t>
      </w:r>
      <w:r w:rsidRPr="00D54E09">
        <w:t xml:space="preserve"> </w:t>
      </w:r>
      <w:r w:rsidRPr="00D54E09">
        <w:t>The court cited the language of the FTDA permitting suit by an “owner” against “another person’s</w:t>
      </w:r>
      <w:r w:rsidRPr="00D54E09">
        <w:t xml:space="preserve"> </w:t>
      </w:r>
      <w:r w:rsidRPr="00D54E09">
        <w:t>…</w:t>
      </w:r>
      <w:r w:rsidRPr="00D54E09">
        <w:t xml:space="preserve"> </w:t>
      </w:r>
      <w:r w:rsidRPr="00D54E09">
        <w:t>use” and reasoned that Congress plainly intended that “another person” referred to someone other than an “owner.”</w:t>
      </w:r>
    </w:p>
  </w:footnote>
  <w:footnote w:id="37">
    <w:p w14:paraId="70ED89A1" w14:textId="26523999" w:rsidR="00D54E09" w:rsidRPr="000F5E39" w:rsidRDefault="00D54E09" w:rsidP="00D54E09">
      <w:pPr>
        <w:pStyle w:val="FootnoteText"/>
      </w:pPr>
      <w:r w:rsidRPr="00D54E09">
        <w:rPr>
          <w:vertAlign w:val="superscript"/>
        </w:rPr>
        <w:footnoteRef/>
      </w:r>
      <w:r w:rsidRPr="00D54E09">
        <w:t>213 F.</w:t>
      </w:r>
      <w:r w:rsidRPr="00D54E09">
        <w:t xml:space="preserve"> </w:t>
      </w:r>
      <w:r w:rsidRPr="00D54E09">
        <w:t>Supp.</w:t>
      </w:r>
      <w:r w:rsidRPr="00D54E09">
        <w:t xml:space="preserve"> </w:t>
      </w:r>
      <w:r w:rsidRPr="00D54E09">
        <w:t>2d 247 (S.D.N.Y.</w:t>
      </w:r>
      <w:r w:rsidRPr="00D54E09">
        <w:t xml:space="preserve"> </w:t>
      </w:r>
      <w:r w:rsidRPr="00D54E09">
        <w:t xml:space="preserve">2002), </w:t>
      </w:r>
      <w:proofErr w:type="spellStart"/>
      <w:r w:rsidRPr="00D54E09">
        <w:rPr>
          <w:i/>
        </w:rPr>
        <w:t>rev’d</w:t>
      </w:r>
      <w:proofErr w:type="spellEnd"/>
      <w:r w:rsidRPr="00D54E09">
        <w:t>, 399 F.3d 462, 73 USPQ2d 1936 (2d Cir.</w:t>
      </w:r>
      <w:r w:rsidRPr="00D54E09">
        <w:t xml:space="preserve"> </w:t>
      </w:r>
      <w:r w:rsidRPr="00D54E09">
        <w:t>2005) (holding that the U.S.</w:t>
      </w:r>
      <w:r w:rsidRPr="00D54E09">
        <w:t xml:space="preserve"> </w:t>
      </w:r>
      <w:r w:rsidRPr="00D54E09">
        <w:t xml:space="preserve">embargo of Cuba barred Cuban entities from acquiring any new ownership interests in trademarks), </w:t>
      </w:r>
      <w:r w:rsidRPr="00D54E09">
        <w:rPr>
          <w:i/>
        </w:rPr>
        <w:t>cert</w:t>
      </w:r>
      <w:r w:rsidRPr="00D54E09">
        <w:t>.</w:t>
      </w:r>
      <w:r w:rsidRPr="00D54E09">
        <w:t xml:space="preserve"> </w:t>
      </w:r>
      <w:r w:rsidRPr="00D54E09">
        <w:rPr>
          <w:i/>
        </w:rPr>
        <w:t>denied</w:t>
      </w:r>
      <w:r w:rsidRPr="00D54E09">
        <w:t>, 547 U.S.</w:t>
      </w:r>
      <w:r w:rsidRPr="00D54E09">
        <w:t xml:space="preserve"> </w:t>
      </w:r>
      <w:r w:rsidRPr="00D54E09">
        <w:t>1205 (2006).</w:t>
      </w:r>
    </w:p>
  </w:footnote>
  <w:footnote w:id="38">
    <w:p w14:paraId="21634864" w14:textId="61B91D0C"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286 (finding an issue of fact as to whether the Cuban company’s mark was well known in the United States prior to the time defendant could assert U.S.</w:t>
      </w:r>
      <w:r w:rsidRPr="00D54E09">
        <w:t xml:space="preserve"> </w:t>
      </w:r>
      <w:r w:rsidRPr="00D54E09">
        <w:t>rights in the mark).</w:t>
      </w:r>
      <w:r w:rsidRPr="00D54E09">
        <w:t xml:space="preserve"> </w:t>
      </w:r>
      <w:r w:rsidRPr="00D54E09">
        <w:t>On appeal, the Second Circuit did not address this issue directly, but held that the Cuban company was barred by U.S.</w:t>
      </w:r>
      <w:r w:rsidRPr="00D54E09">
        <w:t xml:space="preserve"> </w:t>
      </w:r>
      <w:r w:rsidRPr="00D54E09">
        <w:t xml:space="preserve">law from acquiring an “ownership” interest in trademarks (expressed as a “property right”), which the court believed included rights that might be asserted through the famous </w:t>
      </w:r>
      <w:proofErr w:type="gramStart"/>
      <w:r w:rsidRPr="00D54E09">
        <w:t>marks</w:t>
      </w:r>
      <w:proofErr w:type="gramEnd"/>
      <w:r w:rsidRPr="00D54E09">
        <w:t xml:space="preserve"> doctrine.</w:t>
      </w:r>
      <w:r w:rsidRPr="00D54E09">
        <w:t xml:space="preserve"> </w:t>
      </w:r>
      <w:r w:rsidRPr="00D54E09">
        <w:t>399 F.3d at 481.</w:t>
      </w:r>
      <w:r w:rsidRPr="00D54E09">
        <w:t xml:space="preserve"> </w:t>
      </w:r>
      <w:r w:rsidRPr="00D54E09">
        <w:t>Thus, indirectly, the court of appeals might be seen as having endorsed the district court’s finding that the famous marks doctrine could create ownership rights.</w:t>
      </w:r>
      <w:r w:rsidRPr="00D54E09">
        <w:t xml:space="preserve"> </w:t>
      </w:r>
      <w:r w:rsidRPr="00D54E09">
        <w:t>However, the Second Circuit later ruled that there is no famous marks doctrine under the Lanham Act.</w:t>
      </w:r>
      <w:r w:rsidRPr="00D54E09">
        <w:t xml:space="preserve"> </w:t>
      </w:r>
      <w:r w:rsidRPr="00D54E09">
        <w:t>ITC v.</w:t>
      </w:r>
      <w:r w:rsidRPr="00D54E09">
        <w:t xml:space="preserve"> </w:t>
      </w:r>
      <w:proofErr w:type="spellStart"/>
      <w:r w:rsidRPr="00D54E09">
        <w:t>Punchgini</w:t>
      </w:r>
      <w:proofErr w:type="spellEnd"/>
      <w:r w:rsidRPr="00D54E09">
        <w:t>, Ltd., 482 F.3d 135, 82 USPQ2d 1414 (2d Cir.</w:t>
      </w:r>
      <w:r w:rsidRPr="00D54E09">
        <w:t xml:space="preserve"> </w:t>
      </w:r>
      <w:r w:rsidRPr="00D54E09">
        <w:t>2007).</w:t>
      </w:r>
      <w:r w:rsidRPr="00D54E09">
        <w:t xml:space="preserve"> </w:t>
      </w:r>
      <w:r w:rsidRPr="00D54E09">
        <w:t xml:space="preserve">The district court in </w:t>
      </w:r>
      <w:proofErr w:type="spellStart"/>
      <w:r w:rsidRPr="00D54E09">
        <w:rPr>
          <w:i/>
        </w:rPr>
        <w:t>Empresa</w:t>
      </w:r>
      <w:proofErr w:type="spellEnd"/>
      <w:r w:rsidRPr="00D54E09">
        <w:t xml:space="preserve"> subsequently determined that New York’s unfair competition law permitted the </w:t>
      </w:r>
      <w:proofErr w:type="spellStart"/>
      <w:r w:rsidRPr="00D54E09">
        <w:rPr>
          <w:i/>
        </w:rPr>
        <w:t>Empresa</w:t>
      </w:r>
      <w:proofErr w:type="spellEnd"/>
      <w:r w:rsidRPr="00D54E09">
        <w:t xml:space="preserve"> plaintiff to assert a claim, </w:t>
      </w:r>
      <w:proofErr w:type="spellStart"/>
      <w:r w:rsidRPr="00D54E09">
        <w:rPr>
          <w:rStyle w:val="BCasenamefull"/>
        </w:rPr>
        <w:t>Empresa</w:t>
      </w:r>
      <w:proofErr w:type="spellEnd"/>
      <w:r w:rsidRPr="00D54E09">
        <w:rPr>
          <w:rStyle w:val="BCasenamefull"/>
        </w:rPr>
        <w:t xml:space="preserve"> Cubana del Tabaco v. </w:t>
      </w:r>
      <w:proofErr w:type="spellStart"/>
      <w:r w:rsidRPr="00D54E09">
        <w:rPr>
          <w:rStyle w:val="BCasenamefull"/>
        </w:rPr>
        <w:t>Culbro</w:t>
      </w:r>
      <w:proofErr w:type="spellEnd"/>
      <w:r w:rsidRPr="00D54E09">
        <w:rPr>
          <w:rStyle w:val="BCasenamefull"/>
        </w:rPr>
        <w:t xml:space="preserve"> Corp</w:t>
      </w:r>
      <w:r w:rsidRPr="00D54E09">
        <w:t>., 587 F.</w:t>
      </w:r>
      <w:r w:rsidRPr="00D54E09">
        <w:t xml:space="preserve"> </w:t>
      </w:r>
      <w:r w:rsidRPr="00D54E09">
        <w:t>Supp.</w:t>
      </w:r>
      <w:r w:rsidRPr="00D54E09">
        <w:t xml:space="preserve"> </w:t>
      </w:r>
      <w:r w:rsidRPr="00D54E09">
        <w:t>2d 622, 631–32, 89 USPQ2d 1834 (S.D.N.Y.</w:t>
      </w:r>
      <w:r w:rsidRPr="00D54E09">
        <w:t xml:space="preserve"> </w:t>
      </w:r>
      <w:r w:rsidRPr="00D54E09">
        <w:t>2008), but that ruling was reversed on appeal.</w:t>
      </w:r>
      <w:r w:rsidRPr="00D54E09">
        <w:t xml:space="preserve"> </w:t>
      </w:r>
      <w:r w:rsidRPr="00D54E09">
        <w:t>385 F.</w:t>
      </w:r>
      <w:r w:rsidRPr="00D54E09">
        <w:t xml:space="preserve"> </w:t>
      </w:r>
      <w:proofErr w:type="spellStart"/>
      <w:r w:rsidRPr="00D54E09">
        <w:t>App’x</w:t>
      </w:r>
      <w:proofErr w:type="spellEnd"/>
      <w:r w:rsidRPr="00D54E09">
        <w:t>.</w:t>
      </w:r>
      <w:r w:rsidRPr="00D54E09">
        <w:t xml:space="preserve"> </w:t>
      </w:r>
      <w:r w:rsidRPr="00D54E09">
        <w:t>29, 97 USPQ2d 1510 (2d Cir.</w:t>
      </w:r>
      <w:r w:rsidRPr="00D54E09">
        <w:t xml:space="preserve"> </w:t>
      </w:r>
      <w:r w:rsidRPr="00D54E09">
        <w:t xml:space="preserve">2010) (New York Court of Appeals ruling on certified questions in </w:t>
      </w:r>
      <w:proofErr w:type="spellStart"/>
      <w:r w:rsidRPr="00D54E09">
        <w:rPr>
          <w:i/>
        </w:rPr>
        <w:t>Punchgini</w:t>
      </w:r>
      <w:proofErr w:type="spellEnd"/>
      <w:r w:rsidRPr="00D54E09">
        <w:t xml:space="preserve"> does not warrant relief from final judgment allowing further claims).</w:t>
      </w:r>
      <w:r w:rsidRPr="00D54E09">
        <w:t xml:space="preserve"> </w:t>
      </w:r>
      <w:r w:rsidRPr="00D54E09">
        <w:rPr>
          <w:i/>
        </w:rPr>
        <w:t>But cf</w:t>
      </w:r>
      <w:r w:rsidRPr="00D54E09">
        <w:t>.</w:t>
      </w:r>
      <w:r w:rsidRPr="00D54E09">
        <w:t xml:space="preserve"> </w:t>
      </w:r>
      <w:r w:rsidRPr="00D54E09">
        <w:t>Havana Club Holding S.A.</w:t>
      </w:r>
      <w:r w:rsidRPr="00D54E09">
        <w:t xml:space="preserve"> </w:t>
      </w:r>
      <w:r w:rsidRPr="00D54E09">
        <w:t>v.</w:t>
      </w:r>
      <w:r w:rsidRPr="00D54E09">
        <w:t xml:space="preserve"> </w:t>
      </w:r>
      <w:r w:rsidRPr="00D54E09">
        <w:t>Buffett, 2003 TTAB LEXIS 129, at *19 (T.T.A.B.</w:t>
      </w:r>
      <w:r w:rsidRPr="00D54E09">
        <w:t xml:space="preserve"> </w:t>
      </w:r>
      <w:r w:rsidRPr="00D54E09">
        <w:t>Mar.</w:t>
      </w:r>
      <w:r w:rsidRPr="00D54E09">
        <w:t xml:space="preserve"> </w:t>
      </w:r>
      <w:r w:rsidRPr="00D54E09">
        <w:t>13, 2003) (where entity was found not to have ownership rights in previous litigation, there was no standing to oppose on grounds of dilution) (this opinion is not citable as precedent).</w:t>
      </w:r>
    </w:p>
  </w:footnote>
  <w:footnote w:id="39">
    <w:p w14:paraId="70CB59C4" w14:textId="35A09525" w:rsidR="00D54E09" w:rsidRPr="000F5E39" w:rsidRDefault="00D54E09" w:rsidP="00D54E09">
      <w:pPr>
        <w:pStyle w:val="FootnoteText"/>
      </w:pPr>
      <w:r w:rsidRPr="00D54E09">
        <w:rPr>
          <w:vertAlign w:val="superscript"/>
        </w:rPr>
        <w:footnoteRef/>
      </w:r>
      <w:r w:rsidRPr="00D54E09">
        <w:rPr>
          <w:smallCaps/>
        </w:rPr>
        <w:t>Ga.</w:t>
      </w:r>
      <w:r w:rsidRPr="00D54E09">
        <w:rPr>
          <w:smallCaps/>
        </w:rPr>
        <w:t xml:space="preserve"> </w:t>
      </w:r>
      <w:r w:rsidRPr="00D54E09">
        <w:rPr>
          <w:smallCaps/>
        </w:rPr>
        <w:t>Code Ann.</w:t>
      </w:r>
      <w:r w:rsidRPr="00D54E09">
        <w:rPr>
          <w:smallCaps/>
        </w:rPr>
        <w:t xml:space="preserve"> </w:t>
      </w:r>
      <w:r w:rsidRPr="00D54E09">
        <w:t>§10-1-451(b) (Harrison 1998).</w:t>
      </w:r>
      <w:r w:rsidRPr="00D54E09">
        <w:t xml:space="preserve"> </w:t>
      </w:r>
      <w:r w:rsidRPr="00D54E09">
        <w:t xml:space="preserve">The TDRA acknowledges this by preempting state dilution laws protecting marks </w:t>
      </w:r>
      <w:r w:rsidRPr="00D54E09">
        <w:rPr>
          <w:i/>
        </w:rPr>
        <w:t>or</w:t>
      </w:r>
      <w:r w:rsidRPr="00D54E09">
        <w:t xml:space="preserve"> labels </w:t>
      </w:r>
      <w:r w:rsidRPr="00D54E09">
        <w:rPr>
          <w:i/>
        </w:rPr>
        <w:t xml:space="preserve">or </w:t>
      </w:r>
      <w:r w:rsidRPr="00D54E09">
        <w:t>forms of advertisement to the extent that they are used against a federally registered mark.</w:t>
      </w:r>
      <w:r w:rsidRPr="00D54E09">
        <w:t xml:space="preserve"> </w:t>
      </w:r>
      <w:r w:rsidRPr="00D54E09">
        <w:t>Lanham Act §43(c)(6), 15 U.S.C.</w:t>
      </w:r>
      <w:r w:rsidRPr="00D54E09">
        <w:t xml:space="preserve"> </w:t>
      </w:r>
      <w:r w:rsidRPr="00D54E09">
        <w:t>§1125(c)(6).</w:t>
      </w:r>
    </w:p>
  </w:footnote>
  <w:footnote w:id="40">
    <w:p w14:paraId="31910023" w14:textId="22A4F292" w:rsidR="00D54E09" w:rsidRPr="000F5E39" w:rsidRDefault="00D54E09" w:rsidP="00D54E09">
      <w:pPr>
        <w:pStyle w:val="FootnoteText"/>
      </w:pPr>
      <w:r w:rsidRPr="00D54E09">
        <w:rPr>
          <w:vertAlign w:val="superscript"/>
        </w:rPr>
        <w:footnoteRef/>
      </w:r>
      <w:r w:rsidRPr="00D54E09">
        <w:rPr>
          <w:i/>
        </w:rPr>
        <w:t>See</w:t>
      </w:r>
      <w:r w:rsidRPr="00D54E09">
        <w:t xml:space="preserve"> Lanham Act §45, 15 U.S.C.</w:t>
      </w:r>
      <w:r w:rsidRPr="00D54E09">
        <w:t xml:space="preserve"> </w:t>
      </w:r>
      <w:r w:rsidRPr="00D54E09">
        <w:t>§1127 (definitions of mark, trademark).</w:t>
      </w:r>
    </w:p>
  </w:footnote>
  <w:footnote w:id="41">
    <w:p w14:paraId="1A77B283" w14:textId="4092940F" w:rsidR="00D54E09" w:rsidRPr="000F5E39" w:rsidRDefault="00D54E09" w:rsidP="00D54E09">
      <w:pPr>
        <w:pStyle w:val="FootnoteText"/>
      </w:pPr>
      <w:r w:rsidRPr="00D54E09">
        <w:rPr>
          <w:vertAlign w:val="superscript"/>
        </w:rPr>
        <w:footnoteRef/>
      </w:r>
      <w:r w:rsidRPr="00D54E09">
        <w:rPr>
          <w:i/>
        </w:rPr>
        <w:t>See, e</w:t>
      </w:r>
      <w:r w:rsidRPr="00D54E09">
        <w:t>.</w:t>
      </w:r>
      <w:r w:rsidRPr="00D54E09">
        <w:rPr>
          <w:i/>
        </w:rPr>
        <w:t>g</w:t>
      </w:r>
      <w:r w:rsidRPr="00D54E09">
        <w:t>., Coach, Inc.</w:t>
      </w:r>
      <w:r w:rsidRPr="00D54E09">
        <w:t xml:space="preserve"> </w:t>
      </w:r>
      <w:r w:rsidRPr="00D54E09">
        <w:t>v.</w:t>
      </w:r>
      <w:r w:rsidRPr="00D54E09">
        <w:t xml:space="preserve"> </w:t>
      </w:r>
      <w:r w:rsidRPr="00D54E09">
        <w:t>We Care Trading Co., 2001 WL 812126, at *1 (S.D.N.Y.</w:t>
      </w:r>
      <w:r w:rsidRPr="00D54E09">
        <w:t xml:space="preserve"> </w:t>
      </w:r>
      <w:r w:rsidRPr="00D54E09">
        <w:t xml:space="preserve">July 18, 2001) (“lozenge-shaped hangtag” on Coach products registered as a trademark), </w:t>
      </w:r>
      <w:r w:rsidRPr="00D54E09">
        <w:rPr>
          <w:i/>
        </w:rPr>
        <w:t>aff’d in part, vacated in part</w:t>
      </w:r>
      <w:r w:rsidRPr="00D54E09">
        <w:t>, 67 F.</w:t>
      </w:r>
      <w:r w:rsidRPr="00D54E09">
        <w:t xml:space="preserve"> </w:t>
      </w:r>
      <w:proofErr w:type="spellStart"/>
      <w:r w:rsidRPr="00D54E09">
        <w:t>App’x</w:t>
      </w:r>
      <w:proofErr w:type="spellEnd"/>
      <w:r w:rsidRPr="00D54E09">
        <w:t>.</w:t>
      </w:r>
      <w:r w:rsidRPr="00D54E09">
        <w:t xml:space="preserve"> </w:t>
      </w:r>
      <w:r w:rsidRPr="00D54E09">
        <w:t>626 (2d Cir.</w:t>
      </w:r>
      <w:r w:rsidRPr="00D54E09">
        <w:t xml:space="preserve"> </w:t>
      </w:r>
      <w:r w:rsidRPr="00D54E09">
        <w:t xml:space="preserve">2002) (unpublished opinion), </w:t>
      </w:r>
      <w:r w:rsidRPr="00D54E09">
        <w:rPr>
          <w:i/>
        </w:rPr>
        <w:t>cert</w:t>
      </w:r>
      <w:r w:rsidRPr="00D54E09">
        <w:t>.</w:t>
      </w:r>
      <w:r w:rsidRPr="00D54E09">
        <w:t xml:space="preserve"> </w:t>
      </w:r>
      <w:r w:rsidRPr="00D54E09">
        <w:rPr>
          <w:i/>
        </w:rPr>
        <w:t>denied</w:t>
      </w:r>
      <w:r w:rsidRPr="00D54E09">
        <w:t>, 537 U.S.</w:t>
      </w:r>
      <w:r w:rsidRPr="00D54E09">
        <w:t xml:space="preserve"> </w:t>
      </w:r>
      <w:r w:rsidRPr="00D54E09">
        <w:t>1108 (2003).</w:t>
      </w:r>
    </w:p>
  </w:footnote>
  <w:footnote w:id="42">
    <w:p w14:paraId="4F7406DE" w14:textId="14C3BD18" w:rsidR="00D54E09" w:rsidRPr="000F5E39" w:rsidRDefault="00D54E09" w:rsidP="00D54E09">
      <w:pPr>
        <w:pStyle w:val="FootnoteText"/>
      </w:pPr>
      <w:r w:rsidRPr="00D54E09">
        <w:rPr>
          <w:vertAlign w:val="superscript"/>
        </w:rPr>
        <w:footnoteRef/>
      </w:r>
      <w:r w:rsidRPr="00D54E09">
        <w:t>A “trade name” identifies a business rather than the goods or services that it provides.</w:t>
      </w:r>
      <w:r w:rsidRPr="00D54E09">
        <w:t xml:space="preserve"> </w:t>
      </w:r>
      <w:r w:rsidRPr="00D54E09">
        <w:t>Lanham Act §45, 15 U.S.C.</w:t>
      </w:r>
      <w:r w:rsidRPr="00D54E09">
        <w:t xml:space="preserve"> </w:t>
      </w:r>
      <w:r w:rsidRPr="00D54E09">
        <w:t>§1127 (definitions of “trade name” and “trademark”).</w:t>
      </w:r>
    </w:p>
  </w:footnote>
  <w:footnote w:id="43">
    <w:p w14:paraId="0AAF8B54" w14:textId="5A628A38" w:rsidR="00D54E09" w:rsidRPr="000F5E39" w:rsidRDefault="00D54E09" w:rsidP="00D54E09">
      <w:pPr>
        <w:pStyle w:val="FootnoteText"/>
      </w:pPr>
      <w:r w:rsidRPr="00D54E09">
        <w:rPr>
          <w:vertAlign w:val="superscript"/>
        </w:rPr>
        <w:footnoteRef/>
      </w:r>
      <w:r w:rsidRPr="00D54E09">
        <w:t>Lanham Act §43(c)(1), 15 U.S.C.</w:t>
      </w:r>
      <w:r w:rsidRPr="00D54E09">
        <w:t xml:space="preserve"> </w:t>
      </w:r>
      <w:r w:rsidRPr="00D54E09">
        <w:t>§1125(c)(1).</w:t>
      </w:r>
    </w:p>
  </w:footnote>
  <w:footnote w:id="44">
    <w:p w14:paraId="4C954D03" w14:textId="5246D0C6"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§43(c)(2)(A), 15 U.S.C.</w:t>
      </w:r>
      <w:r w:rsidRPr="00D54E09">
        <w:t xml:space="preserve"> </w:t>
      </w:r>
      <w:r w:rsidRPr="00D54E09">
        <w:t>§1125(c)(2)(A).</w:t>
      </w:r>
    </w:p>
  </w:footnote>
  <w:footnote w:id="45">
    <w:p w14:paraId="2F5B3CAA" w14:textId="001986FD" w:rsidR="00D54E09" w:rsidRPr="000F5E39" w:rsidRDefault="00D54E09" w:rsidP="00D54E09">
      <w:pPr>
        <w:pStyle w:val="FootnoteText"/>
      </w:pPr>
      <w:r w:rsidRPr="00D54E09">
        <w:rPr>
          <w:vertAlign w:val="superscript"/>
        </w:rPr>
        <w:footnoteRef/>
      </w:r>
      <w:r w:rsidRPr="00D54E09">
        <w:t xml:space="preserve">The 1988 Senate-passed bill, S.1883 can be found at 134 </w:t>
      </w:r>
      <w:r w:rsidRPr="00D54E09">
        <w:rPr>
          <w:smallCaps/>
        </w:rPr>
        <w:t>Cong.</w:t>
      </w:r>
      <w:r w:rsidRPr="00D54E09">
        <w:rPr>
          <w:smallCaps/>
        </w:rPr>
        <w:t xml:space="preserve"> </w:t>
      </w:r>
      <w:r w:rsidRPr="00D54E09">
        <w:rPr>
          <w:smallCaps/>
        </w:rPr>
        <w:t>Rec.</w:t>
      </w:r>
      <w:r w:rsidRPr="00D54E09">
        <w:rPr>
          <w:smallCaps/>
        </w:rPr>
        <w:t xml:space="preserve"> </w:t>
      </w:r>
      <w:r w:rsidRPr="00D54E09">
        <w:t>S5864-02, 100th Cong., 2d sess.</w:t>
      </w:r>
      <w:r w:rsidRPr="00D54E09">
        <w:t xml:space="preserve"> </w:t>
      </w:r>
      <w:r w:rsidRPr="00D54E09">
        <w:t>(May 13, 1988).</w:t>
      </w:r>
      <w:r w:rsidRPr="00D54E09">
        <w:t xml:space="preserve"> </w:t>
      </w:r>
      <w:r w:rsidRPr="00D54E09">
        <w:t>For the 1995 bill, see H.R.</w:t>
      </w:r>
      <w:r w:rsidRPr="00D54E09">
        <w:t xml:space="preserve"> </w:t>
      </w:r>
      <w:r w:rsidRPr="00D54E09">
        <w:rPr>
          <w:smallCaps/>
        </w:rPr>
        <w:t>Rep.</w:t>
      </w:r>
      <w:r w:rsidRPr="00D54E09">
        <w:rPr>
          <w:smallCaps/>
        </w:rPr>
        <w:t xml:space="preserve"> </w:t>
      </w:r>
      <w:r w:rsidRPr="00D54E09">
        <w:rPr>
          <w:smallCaps/>
        </w:rPr>
        <w:t>No</w:t>
      </w:r>
      <w:r w:rsidRPr="00D54E09">
        <w:t>.</w:t>
      </w:r>
      <w:r w:rsidRPr="00D54E09">
        <w:t xml:space="preserve"> </w:t>
      </w:r>
      <w:r w:rsidRPr="00D54E09">
        <w:t>374, 104th Cong., 1st Sess.</w:t>
      </w:r>
      <w:r w:rsidRPr="00D54E09">
        <w:t xml:space="preserve"> </w:t>
      </w:r>
      <w:r w:rsidRPr="00D54E09">
        <w:t>(1995), 1996 U.S.C.C.A.N.</w:t>
      </w:r>
      <w:r w:rsidRPr="00D54E09">
        <w:t xml:space="preserve"> </w:t>
      </w:r>
      <w:r w:rsidRPr="00D54E09">
        <w:t>1029 (Nov.</w:t>
      </w:r>
      <w:r w:rsidRPr="00D54E09">
        <w:t xml:space="preserve"> </w:t>
      </w:r>
      <w:r w:rsidRPr="00D54E09">
        <w:t>30, 1995) (noting that the original bill applied only to registered marks).</w:t>
      </w:r>
    </w:p>
  </w:footnote>
  <w:footnote w:id="46">
    <w:p w14:paraId="0FB12BDE" w14:textId="6E5C3CFF" w:rsidR="00D54E09" w:rsidRPr="000F5E39" w:rsidRDefault="00D54E09" w:rsidP="00D54E09">
      <w:pPr>
        <w:pStyle w:val="FootnoteText"/>
      </w:pPr>
      <w:r w:rsidRPr="00D54E09">
        <w:rPr>
          <w:vertAlign w:val="superscript"/>
        </w:rPr>
        <w:footnoteRef/>
      </w:r>
      <w:r w:rsidRPr="00D54E09">
        <w:t xml:space="preserve">141 </w:t>
      </w:r>
      <w:r w:rsidRPr="00D54E09">
        <w:rPr>
          <w:smallCaps/>
        </w:rPr>
        <w:t>Cong.</w:t>
      </w:r>
      <w:r w:rsidRPr="00D54E09">
        <w:rPr>
          <w:smallCaps/>
        </w:rPr>
        <w:t xml:space="preserve"> </w:t>
      </w:r>
      <w:r w:rsidRPr="00D54E09">
        <w:rPr>
          <w:smallCaps/>
        </w:rPr>
        <w:t>Rec.</w:t>
      </w:r>
      <w:r w:rsidRPr="00D54E09">
        <w:rPr>
          <w:smallCaps/>
        </w:rPr>
        <w:t xml:space="preserve"> </w:t>
      </w:r>
      <w:r w:rsidRPr="00D54E09">
        <w:t>H14318, 104th Cong., 1st Sess.</w:t>
      </w:r>
      <w:r w:rsidRPr="00D54E09">
        <w:t xml:space="preserve"> </w:t>
      </w:r>
      <w:r w:rsidRPr="00D54E09">
        <w:t>(Dec.</w:t>
      </w:r>
      <w:r w:rsidRPr="00D54E09">
        <w:t xml:space="preserve"> </w:t>
      </w:r>
      <w:r w:rsidRPr="00D54E09">
        <w:t>12, 1995) (remarks of Rep.</w:t>
      </w:r>
      <w:r w:rsidRPr="00D54E09">
        <w:t xml:space="preserve"> </w:t>
      </w:r>
      <w:r w:rsidRPr="00D54E09">
        <w:t>Schroeder).</w:t>
      </w:r>
    </w:p>
  </w:footnote>
  <w:footnote w:id="47">
    <w:p w14:paraId="595ECE57" w14:textId="01C42728" w:rsidR="00D54E09" w:rsidRPr="000F5E39" w:rsidRDefault="00D54E09" w:rsidP="00D54E09">
      <w:pPr>
        <w:pStyle w:val="FootnoteText"/>
      </w:pPr>
      <w:r w:rsidRPr="00D54E09">
        <w:rPr>
          <w:vertAlign w:val="superscript"/>
        </w:rPr>
        <w:footnoteRef/>
      </w:r>
      <w:r w:rsidRPr="00D54E09">
        <w:t>Lanham Act §45, 15 U.S.C.</w:t>
      </w:r>
      <w:r w:rsidRPr="00D54E09">
        <w:t xml:space="preserve"> </w:t>
      </w:r>
      <w:r w:rsidRPr="00D54E09">
        <w:t>§1127 (definition of “use in commerce”).</w:t>
      </w:r>
      <w:r w:rsidRPr="00D54E09">
        <w:t xml:space="preserve"> </w:t>
      </w:r>
      <w:r w:rsidRPr="00D54E09">
        <w:t>For service marks, the mark must be “used or displayed in the sale or advertising of services and the services [must be]</w:t>
      </w:r>
      <w:r w:rsidRPr="00D54E09">
        <w:t xml:space="preserve"> </w:t>
      </w:r>
      <w:r w:rsidRPr="00D54E09">
        <w:t>…</w:t>
      </w:r>
      <w:r w:rsidRPr="00D54E09">
        <w:t xml:space="preserve"> </w:t>
      </w:r>
      <w:r w:rsidRPr="00D54E09">
        <w:t>rendered in commerce</w:t>
      </w:r>
      <w:r w:rsidRPr="00D54E09">
        <w:t xml:space="preserve"> </w:t>
      </w:r>
      <w:proofErr w:type="gramStart"/>
      <w:r w:rsidRPr="00D54E09">
        <w:t>…</w:t>
      </w:r>
      <w:r w:rsidRPr="00D54E09">
        <w:t xml:space="preserve"> </w:t>
      </w:r>
      <w:r w:rsidRPr="00D54E09">
        <w:t>.</w:t>
      </w:r>
      <w:proofErr w:type="gramEnd"/>
      <w:r w:rsidRPr="00D54E09">
        <w:t xml:space="preserve"> </w:t>
      </w:r>
      <w:r w:rsidRPr="00D54E09">
        <w:t xml:space="preserve">” </w:t>
      </w:r>
      <w:r w:rsidRPr="00D54E09">
        <w:rPr>
          <w:i/>
        </w:rPr>
        <w:t>Id</w:t>
      </w:r>
      <w:r w:rsidRPr="00D54E09">
        <w:t>.</w:t>
      </w:r>
    </w:p>
  </w:footnote>
  <w:footnote w:id="48">
    <w:p w14:paraId="6CE68D20" w14:textId="021E9CAC" w:rsidR="00D54E09" w:rsidRPr="000F5E39" w:rsidRDefault="00D54E09" w:rsidP="00D54E09">
      <w:pPr>
        <w:pStyle w:val="FootnoteText"/>
      </w:pPr>
      <w:r w:rsidRPr="00D54E09">
        <w:rPr>
          <w:vertAlign w:val="superscript"/>
        </w:rPr>
        <w:footnoteRef/>
      </w:r>
      <w:r w:rsidRPr="00D54E09">
        <w:t>Lanham Act §43(c)(1), 15 U.S.C.</w:t>
      </w:r>
      <w:r w:rsidRPr="00D54E09">
        <w:t xml:space="preserve"> </w:t>
      </w:r>
      <w:r w:rsidRPr="00D54E09">
        <w:t>§1125(c)(1) (emphasis added) (amended in 2006 by the TDRA).</w:t>
      </w:r>
    </w:p>
  </w:footnote>
  <w:footnote w:id="49">
    <w:p w14:paraId="2C7FFA10" w14:textId="5D1EDA3C"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§43(c)(3)(C), 15 U.S.C.</w:t>
      </w:r>
      <w:r w:rsidRPr="00D54E09">
        <w:t xml:space="preserve"> </w:t>
      </w:r>
      <w:r w:rsidRPr="00D54E09">
        <w:t>§1125(c)(3)(C).</w:t>
      </w:r>
      <w:r w:rsidRPr="00D54E09">
        <w:t xml:space="preserve"> </w:t>
      </w:r>
      <w:r w:rsidRPr="00D54E09">
        <w:t>The TDRA renumbered this exclusion.</w:t>
      </w:r>
      <w:r w:rsidRPr="00D54E09">
        <w:t xml:space="preserve"> </w:t>
      </w:r>
      <w:r w:rsidRPr="00D54E09">
        <w:t>In the original FTDA, it was §43(c)(4)(B).</w:t>
      </w:r>
    </w:p>
  </w:footnote>
  <w:footnote w:id="50">
    <w:p w14:paraId="60F510A3" w14:textId="3A8B567E" w:rsidR="00D54E09" w:rsidRPr="000C74D9" w:rsidRDefault="00D54E09" w:rsidP="00D54E09">
      <w:pPr>
        <w:pStyle w:val="FootnoteText"/>
      </w:pPr>
      <w:r w:rsidRPr="00D54E09">
        <w:rPr>
          <w:rStyle w:val="FootnoteReference"/>
          <w:rFonts w:eastAsiaTheme="majorEastAsia"/>
        </w:rPr>
        <w:footnoteRef/>
      </w:r>
      <w:r w:rsidRPr="00D54E09">
        <w:t xml:space="preserve">Despite the amendment, some courts still appear to require a “commercial use in commerce.” </w:t>
      </w:r>
      <w:r w:rsidRPr="00D54E09">
        <w:rPr>
          <w:i/>
        </w:rPr>
        <w:t>E.g.</w:t>
      </w:r>
      <w:r w:rsidRPr="00D54E09">
        <w:t>, Car-Freshener Corp.</w:t>
      </w:r>
      <w:r w:rsidRPr="00D54E09">
        <w:t xml:space="preserve"> </w:t>
      </w:r>
      <w:r w:rsidRPr="00D54E09">
        <w:t>v.</w:t>
      </w:r>
      <w:r w:rsidRPr="00D54E09">
        <w:t xml:space="preserve"> </w:t>
      </w:r>
      <w:r w:rsidRPr="00D54E09">
        <w:t>Meta Platforms, Inc., 2024 WL 51286, at *1, 2024 BL 2597 (N.D.N.Y.</w:t>
      </w:r>
      <w:r w:rsidRPr="00D54E09">
        <w:t xml:space="preserve"> </w:t>
      </w:r>
      <w:r w:rsidRPr="00D54E09">
        <w:t>Jan 4, 2024);</w:t>
      </w:r>
      <w:r w:rsidRPr="00D54E09">
        <w:t xml:space="preserve"> </w:t>
      </w:r>
      <w:r w:rsidRPr="00D54E09">
        <w:rPr>
          <w:i/>
        </w:rPr>
        <w:t>see</w:t>
      </w:r>
      <w:r w:rsidRPr="00D54E09">
        <w:t xml:space="preserve"> Ford Motor Co.</w:t>
      </w:r>
      <w:r w:rsidRPr="00D54E09">
        <w:t xml:space="preserve"> </w:t>
      </w:r>
      <w:r w:rsidRPr="00D54E09">
        <w:t>v.</w:t>
      </w:r>
      <w:r w:rsidRPr="00D54E09">
        <w:t xml:space="preserve"> </w:t>
      </w:r>
      <w:proofErr w:type="spellStart"/>
      <w:r w:rsidRPr="00D54E09">
        <w:t>AirPro</w:t>
      </w:r>
      <w:proofErr w:type="spellEnd"/>
      <w:r w:rsidRPr="00D54E09">
        <w:t xml:space="preserve"> Diagnostics LLC, 632 F.</w:t>
      </w:r>
      <w:r w:rsidRPr="00D54E09">
        <w:t xml:space="preserve"> </w:t>
      </w:r>
      <w:r w:rsidRPr="00D54E09">
        <w:t>Supp.</w:t>
      </w:r>
      <w:r w:rsidRPr="00D54E09">
        <w:t xml:space="preserve"> </w:t>
      </w:r>
      <w:r w:rsidRPr="00D54E09">
        <w:t>3d 753, 766 (E.D.</w:t>
      </w:r>
      <w:r w:rsidRPr="00D54E09">
        <w:t xml:space="preserve"> </w:t>
      </w:r>
      <w:r w:rsidRPr="00D54E09">
        <w:t>Mich.</w:t>
      </w:r>
      <w:r w:rsidRPr="00D54E09">
        <w:t xml:space="preserve"> </w:t>
      </w:r>
      <w:r w:rsidRPr="00D54E09">
        <w:t>2022).</w:t>
      </w:r>
    </w:p>
  </w:footnote>
  <w:footnote w:id="51">
    <w:p w14:paraId="058E2A06" w14:textId="0E81FD70" w:rsidR="00D54E09" w:rsidRPr="00D54E09" w:rsidRDefault="00D54E09" w:rsidP="00D54E09">
      <w:pPr>
        <w:pStyle w:val="FootnoteText"/>
      </w:pPr>
      <w:r w:rsidRPr="00D54E09">
        <w:rPr>
          <w:vertAlign w:val="superscript"/>
        </w:rPr>
        <w:footnoteRef/>
      </w:r>
      <w:r w:rsidRPr="00D54E09">
        <w:t>Viacom Int’l Inc.</w:t>
      </w:r>
      <w:r w:rsidRPr="00D54E09">
        <w:t xml:space="preserve"> </w:t>
      </w:r>
      <w:r w:rsidRPr="00D54E09">
        <w:t>v.</w:t>
      </w:r>
      <w:r w:rsidRPr="00D54E09">
        <w:t xml:space="preserve"> </w:t>
      </w:r>
      <w:r w:rsidRPr="00D54E09">
        <w:t xml:space="preserve">IJR Capital </w:t>
      </w:r>
      <w:proofErr w:type="spellStart"/>
      <w:r w:rsidRPr="00D54E09">
        <w:t>Invs</w:t>
      </w:r>
      <w:proofErr w:type="spellEnd"/>
      <w:r w:rsidRPr="00D54E09">
        <w:t>., 242 F.</w:t>
      </w:r>
      <w:r w:rsidRPr="00D54E09">
        <w:t xml:space="preserve"> </w:t>
      </w:r>
      <w:r w:rsidRPr="00D54E09">
        <w:t>Supp.</w:t>
      </w:r>
      <w:r w:rsidRPr="00D54E09">
        <w:t xml:space="preserve"> </w:t>
      </w:r>
      <w:r w:rsidRPr="00D54E09">
        <w:t>3d 563, 573–75 (S.D.</w:t>
      </w:r>
      <w:r w:rsidRPr="00D54E09">
        <w:t xml:space="preserve"> </w:t>
      </w:r>
      <w:r w:rsidRPr="00D54E09">
        <w:t>Tex.</w:t>
      </w:r>
      <w:r w:rsidRPr="00D54E09">
        <w:t xml:space="preserve"> </w:t>
      </w:r>
      <w:r w:rsidRPr="00D54E09">
        <w:t>2017) (distinguishing Ninth Circuit case on infringement and finding no Fifth Circuit precedent on point).</w:t>
      </w:r>
      <w:r w:rsidRPr="00D54E09">
        <w:t xml:space="preserve"> </w:t>
      </w:r>
      <w:r w:rsidRPr="00D54E09">
        <w:rPr>
          <w:i/>
        </w:rPr>
        <w:t xml:space="preserve">See </w:t>
      </w:r>
      <w:r w:rsidRPr="00D54E09">
        <w:t xml:space="preserve">United </w:t>
      </w:r>
      <w:proofErr w:type="spellStart"/>
      <w:r w:rsidRPr="00D54E09">
        <w:t>Fed’n</w:t>
      </w:r>
      <w:proofErr w:type="spellEnd"/>
      <w:r w:rsidRPr="00D54E09">
        <w:t xml:space="preserve"> of Churches, LLC v.</w:t>
      </w:r>
      <w:r w:rsidRPr="00D54E09">
        <w:t xml:space="preserve"> </w:t>
      </w:r>
      <w:r w:rsidRPr="00D54E09">
        <w:t>Johnson, 598 F.</w:t>
      </w:r>
      <w:r w:rsidRPr="00D54E09">
        <w:t xml:space="preserve"> </w:t>
      </w:r>
      <w:r w:rsidRPr="00D54E09">
        <w:t>Supp.</w:t>
      </w:r>
      <w:r w:rsidRPr="00D54E09">
        <w:t xml:space="preserve"> </w:t>
      </w:r>
      <w:r w:rsidRPr="00D54E09">
        <w:t>3d 1084, 1102 (W.D.</w:t>
      </w:r>
      <w:r w:rsidRPr="00D54E09">
        <w:t xml:space="preserve"> </w:t>
      </w:r>
      <w:r w:rsidRPr="00D54E09">
        <w:t>Wash.</w:t>
      </w:r>
      <w:r w:rsidRPr="00D54E09">
        <w:t xml:space="preserve"> </w:t>
      </w:r>
      <w:r w:rsidRPr="00D54E09">
        <w:t>2022) (complaint did not sufficiently allege that defendants had actually used plaintiff’s mark in commerce);</w:t>
      </w:r>
      <w:r w:rsidRPr="00D54E09">
        <w:t xml:space="preserve"> </w:t>
      </w:r>
      <w:r w:rsidRPr="00D54E09">
        <w:t>Combe, Inc.</w:t>
      </w:r>
      <w:r w:rsidRPr="00D54E09">
        <w:t xml:space="preserve"> </w:t>
      </w:r>
      <w:r w:rsidRPr="00D54E09">
        <w:t>v.</w:t>
      </w:r>
      <w:r w:rsidRPr="00D54E09">
        <w:t xml:space="preserve"> </w:t>
      </w:r>
      <w:r w:rsidRPr="00D54E09">
        <w:t>Dr.</w:t>
      </w:r>
      <w:r w:rsidRPr="00D54E09">
        <w:t xml:space="preserve"> </w:t>
      </w:r>
      <w:r w:rsidRPr="00D54E09">
        <w:t>August Wolff GmbH &amp; Co., 309 F.</w:t>
      </w:r>
      <w:r w:rsidRPr="00D54E09">
        <w:t xml:space="preserve"> </w:t>
      </w:r>
      <w:r w:rsidRPr="00D54E09">
        <w:t>Supp.</w:t>
      </w:r>
      <w:r w:rsidRPr="00D54E09">
        <w:t xml:space="preserve"> </w:t>
      </w:r>
      <w:r w:rsidRPr="00D54E09">
        <w:t>3d 414, 419–25 (E.D.</w:t>
      </w:r>
      <w:r w:rsidRPr="00D54E09">
        <w:t xml:space="preserve"> </w:t>
      </w:r>
      <w:r w:rsidRPr="00D54E09">
        <w:t>Va.</w:t>
      </w:r>
      <w:r w:rsidRPr="00D54E09">
        <w:t xml:space="preserve"> </w:t>
      </w:r>
      <w:r w:rsidRPr="00D54E09">
        <w:t>2018) (finding no use in commerce where defendant had not sold its goods in the U.S.</w:t>
      </w:r>
      <w:r w:rsidRPr="00D54E09">
        <w:t xml:space="preserve"> </w:t>
      </w:r>
      <w:r w:rsidRPr="00D54E09">
        <w:t>despite making plans to do so and applying to register its mark).</w:t>
      </w:r>
    </w:p>
    <w:p w14:paraId="39EEDB48" w14:textId="77777777" w:rsidR="00D54E09" w:rsidRDefault="00D54E09" w:rsidP="00CC7B6E">
      <w:pPr>
        <w:pStyle w:val="footnote"/>
        <w:rPr>
          <w:rFonts w:cstheme="minorBidi"/>
        </w:rPr>
      </w:pPr>
    </w:p>
  </w:footnote>
  <w:footnote w:id="52">
    <w:p w14:paraId="71925D4C" w14:textId="7043E433" w:rsidR="00D54E09" w:rsidRPr="00D54E09" w:rsidRDefault="00D54E09" w:rsidP="00D54E09">
      <w:pPr>
        <w:pStyle w:val="FootnoteText"/>
      </w:pPr>
      <w:r w:rsidRPr="00D54E09">
        <w:rPr>
          <w:vertAlign w:val="superscript"/>
        </w:rPr>
        <w:footnoteRef/>
      </w:r>
      <w:r w:rsidRPr="00D54E09">
        <w:t>Marshall Tucker Band, Inc.</w:t>
      </w:r>
      <w:r w:rsidRPr="00D54E09">
        <w:t xml:space="preserve"> </w:t>
      </w:r>
      <w:r w:rsidRPr="00D54E09">
        <w:t>v.</w:t>
      </w:r>
      <w:r w:rsidRPr="00D54E09">
        <w:t xml:space="preserve"> </w:t>
      </w:r>
      <w:r w:rsidRPr="00D54E09">
        <w:t>M T Indus., 2017 U.S.</w:t>
      </w:r>
      <w:r w:rsidRPr="00D54E09">
        <w:t xml:space="preserve"> </w:t>
      </w:r>
      <w:r w:rsidRPr="00D54E09">
        <w:t>Dist.</w:t>
      </w:r>
      <w:r w:rsidRPr="00D54E09">
        <w:t xml:space="preserve"> </w:t>
      </w:r>
      <w:r w:rsidRPr="00D54E09">
        <w:t>LEXIS 62398, at *4–8 (D.S.C.</w:t>
      </w:r>
      <w:r w:rsidRPr="00D54E09">
        <w:t xml:space="preserve"> </w:t>
      </w:r>
      <w:r w:rsidRPr="00D54E09">
        <w:t>Apr.</w:t>
      </w:r>
      <w:r w:rsidRPr="00D54E09">
        <w:t xml:space="preserve"> </w:t>
      </w:r>
      <w:r w:rsidRPr="00D54E09">
        <w:t>25, 2017).</w:t>
      </w:r>
    </w:p>
    <w:p w14:paraId="17121656" w14:textId="77777777" w:rsidR="00D54E09" w:rsidRDefault="00D54E09" w:rsidP="00CC7B6E">
      <w:pPr>
        <w:pStyle w:val="footnote"/>
      </w:pPr>
    </w:p>
  </w:footnote>
  <w:footnote w:id="53">
    <w:p w14:paraId="16F825B2" w14:textId="0E9915F3" w:rsidR="00D54E09" w:rsidRPr="00D54E09" w:rsidRDefault="00D54E09" w:rsidP="00D54E09">
      <w:pPr>
        <w:pStyle w:val="FootnoteText"/>
      </w:pPr>
      <w:r w:rsidRPr="00D54E09">
        <w:rPr>
          <w:vertAlign w:val="superscript"/>
        </w:rPr>
        <w:footnoteRef/>
      </w:r>
      <w:r w:rsidRPr="00D54E09">
        <w:t>562 F.3d 123, 90 USPQ2d 1287 (2d Cir.</w:t>
      </w:r>
      <w:r w:rsidRPr="00D54E09">
        <w:t xml:space="preserve"> </w:t>
      </w:r>
      <w:r w:rsidRPr="00D54E09">
        <w:t>2009).</w:t>
      </w:r>
    </w:p>
    <w:p w14:paraId="48CAD4D0" w14:textId="77777777" w:rsidR="00D54E09" w:rsidRPr="000F5E39" w:rsidRDefault="00D54E09" w:rsidP="00CC7B6E">
      <w:pPr>
        <w:pStyle w:val="footnote"/>
      </w:pPr>
    </w:p>
  </w:footnote>
  <w:footnote w:id="54">
    <w:p w14:paraId="783B7C54" w14:textId="6F4DAA58" w:rsidR="00D54E09" w:rsidRPr="000F5E39" w:rsidRDefault="00D54E09" w:rsidP="00D54E09">
      <w:pPr>
        <w:pStyle w:val="FootnoteText"/>
      </w:pPr>
      <w:r w:rsidRPr="00D54E09">
        <w:rPr>
          <w:vertAlign w:val="superscript"/>
        </w:rPr>
        <w:footnoteRef/>
      </w:r>
      <w:r w:rsidRPr="00D54E09">
        <w:rPr>
          <w:i/>
        </w:rPr>
        <w:t>See id</w:t>
      </w:r>
      <w:r w:rsidRPr="00D54E09">
        <w:t>.</w:t>
      </w:r>
      <w:r w:rsidRPr="00D54E09">
        <w:t xml:space="preserve"> </w:t>
      </w:r>
      <w:r w:rsidRPr="00D54E09">
        <w:t>at 133–34.</w:t>
      </w:r>
      <w:r w:rsidRPr="00D54E09">
        <w:t xml:space="preserve"> </w:t>
      </w:r>
      <w:r w:rsidRPr="00D54E09">
        <w:t xml:space="preserve">In </w:t>
      </w:r>
      <w:r w:rsidRPr="00D54E09">
        <w:rPr>
          <w:i/>
        </w:rPr>
        <w:t>Sensient Technologies Corp</w:t>
      </w:r>
      <w:r w:rsidRPr="00D54E09">
        <w:t>.</w:t>
      </w:r>
      <w:r w:rsidRPr="00D54E09">
        <w:t xml:space="preserve"> </w:t>
      </w:r>
      <w:r w:rsidRPr="00D54E09">
        <w:rPr>
          <w:i/>
        </w:rPr>
        <w:t>v</w:t>
      </w:r>
      <w:r w:rsidRPr="00D54E09">
        <w:t>.</w:t>
      </w:r>
      <w:r w:rsidRPr="00D54E09">
        <w:t xml:space="preserve"> </w:t>
      </w:r>
      <w:proofErr w:type="spellStart"/>
      <w:r w:rsidRPr="00D54E09">
        <w:rPr>
          <w:i/>
        </w:rPr>
        <w:t>SensoryEffects</w:t>
      </w:r>
      <w:proofErr w:type="spellEnd"/>
      <w:r w:rsidRPr="00D54E09">
        <w:rPr>
          <w:i/>
        </w:rPr>
        <w:t xml:space="preserve"> Flavor Co</w:t>
      </w:r>
      <w:r w:rsidRPr="00D54E09">
        <w:t>., 613 F.3d 754, 96 USPQ2d 1164 (8th Cir.</w:t>
      </w:r>
      <w:r w:rsidRPr="00D54E09">
        <w:t xml:space="preserve"> </w:t>
      </w:r>
      <w:r w:rsidRPr="00D54E09">
        <w:t xml:space="preserve">2010), the court discussed the </w:t>
      </w:r>
      <w:proofErr w:type="spellStart"/>
      <w:r w:rsidRPr="00D54E09">
        <w:rPr>
          <w:i/>
        </w:rPr>
        <w:t>Rescuecom</w:t>
      </w:r>
      <w:proofErr w:type="spellEnd"/>
      <w:r w:rsidRPr="00D54E09">
        <w:t xml:space="preserve"> appendix and assumed, but without holding, that the use-in-commerce requirement still applied to infringement cases.</w:t>
      </w:r>
      <w:r w:rsidRPr="00D54E09">
        <w:t xml:space="preserve"> </w:t>
      </w:r>
      <w:r w:rsidRPr="00D54E09">
        <w:rPr>
          <w:i/>
        </w:rPr>
        <w:t>Id</w:t>
      </w:r>
      <w:r w:rsidRPr="00D54E09">
        <w:t>.</w:t>
      </w:r>
      <w:r w:rsidRPr="00D54E09">
        <w:t xml:space="preserve"> </w:t>
      </w:r>
      <w:r w:rsidRPr="00D54E09">
        <w:t>at 761–62.</w:t>
      </w:r>
    </w:p>
  </w:footnote>
  <w:footnote w:id="55">
    <w:p w14:paraId="5C5B68D8" w14:textId="639CFF78" w:rsidR="00D54E09" w:rsidRPr="000F5E39" w:rsidRDefault="00D54E09" w:rsidP="00D54E09">
      <w:pPr>
        <w:pStyle w:val="FootnoteText"/>
      </w:pPr>
      <w:r w:rsidRPr="00D54E09">
        <w:rPr>
          <w:vertAlign w:val="superscript"/>
        </w:rPr>
        <w:footnoteRef/>
      </w:r>
      <w:r w:rsidRPr="00D54E09">
        <w:t>Normally, such use is not difficult to find.</w:t>
      </w:r>
      <w:r w:rsidRPr="00D54E09">
        <w:t xml:space="preserve"> </w:t>
      </w:r>
      <w:r w:rsidRPr="00D54E09">
        <w:rPr>
          <w:i/>
        </w:rPr>
        <w:t>See</w:t>
      </w:r>
      <w:r w:rsidRPr="00D54E09">
        <w:t xml:space="preserve"> Winer v.</w:t>
      </w:r>
      <w:r w:rsidRPr="00D54E09">
        <w:t xml:space="preserve"> </w:t>
      </w:r>
      <w:r w:rsidRPr="00D54E09">
        <w:t>Senior Living Guide, Inc., 2013 U.S.</w:t>
      </w:r>
      <w:r w:rsidRPr="00D54E09">
        <w:t xml:space="preserve"> </w:t>
      </w:r>
      <w:r w:rsidRPr="00D54E09">
        <w:t>Dist.</w:t>
      </w:r>
      <w:r w:rsidRPr="00D54E09">
        <w:t xml:space="preserve"> </w:t>
      </w:r>
      <w:r w:rsidRPr="00D54E09">
        <w:t>LEXIS</w:t>
      </w:r>
      <w:r w:rsidRPr="00D54E09">
        <w:rPr>
          <w:vertAlign w:val="superscript"/>
        </w:rPr>
        <w:t xml:space="preserve"> </w:t>
      </w:r>
      <w:r w:rsidRPr="00D54E09">
        <w:t>44371, at *26–27 (W.D.</w:t>
      </w:r>
      <w:r w:rsidRPr="00D54E09">
        <w:t xml:space="preserve"> </w:t>
      </w:r>
      <w:r w:rsidRPr="00D54E09">
        <w:t>Pa.</w:t>
      </w:r>
      <w:r w:rsidRPr="00D54E09">
        <w:t xml:space="preserve"> </w:t>
      </w:r>
      <w:r w:rsidRPr="00D54E09">
        <w:t>Jan.</w:t>
      </w:r>
      <w:r w:rsidRPr="00D54E09">
        <w:t xml:space="preserve"> </w:t>
      </w:r>
      <w:r w:rsidRPr="00D54E09">
        <w:t xml:space="preserve">17, 2013) (creating an accessible website that diverts traffic from plaintiff’s website as use in commerce) (magistrate judge), </w:t>
      </w:r>
      <w:r w:rsidRPr="00D54E09">
        <w:rPr>
          <w:i/>
        </w:rPr>
        <w:t>recommendation adopted</w:t>
      </w:r>
      <w:r w:rsidRPr="00D54E09">
        <w:t>, 2013 U.S.</w:t>
      </w:r>
      <w:r w:rsidRPr="00D54E09">
        <w:t xml:space="preserve"> </w:t>
      </w:r>
      <w:r w:rsidRPr="00D54E09">
        <w:t>Dist.</w:t>
      </w:r>
      <w:r w:rsidRPr="00D54E09">
        <w:t xml:space="preserve"> </w:t>
      </w:r>
      <w:r w:rsidRPr="00D54E09">
        <w:t>LEXIS 40850 (W.D.</w:t>
      </w:r>
      <w:r w:rsidRPr="00D54E09">
        <w:t xml:space="preserve"> </w:t>
      </w:r>
      <w:r w:rsidRPr="00D54E09">
        <w:t>Pa.</w:t>
      </w:r>
      <w:r w:rsidRPr="00D54E09">
        <w:t xml:space="preserve"> </w:t>
      </w:r>
      <w:r w:rsidRPr="00D54E09">
        <w:t>Mar.</w:t>
      </w:r>
      <w:r w:rsidRPr="00D54E09">
        <w:t xml:space="preserve"> </w:t>
      </w:r>
      <w:r w:rsidRPr="00D54E09">
        <w:t>25, 2013).</w:t>
      </w:r>
      <w:r w:rsidRPr="00D54E09">
        <w:t xml:space="preserve"> </w:t>
      </w:r>
      <w:r w:rsidRPr="00D54E09">
        <w:t xml:space="preserve">Some courts seem to think that </w:t>
      </w:r>
      <w:r w:rsidRPr="00D54E09">
        <w:rPr>
          <w:i/>
        </w:rPr>
        <w:t>commercial</w:t>
      </w:r>
      <w:r w:rsidRPr="00D54E09">
        <w:t xml:space="preserve"> use is still required.</w:t>
      </w:r>
      <w:r w:rsidRPr="00D54E09">
        <w:t xml:space="preserve"> </w:t>
      </w:r>
      <w:r w:rsidRPr="00D54E09">
        <w:rPr>
          <w:i/>
        </w:rPr>
        <w:t>E</w:t>
      </w:r>
      <w:r w:rsidRPr="00D54E09">
        <w:t>.</w:t>
      </w:r>
      <w:r w:rsidRPr="00D54E09">
        <w:rPr>
          <w:i/>
        </w:rPr>
        <w:t>g</w:t>
      </w:r>
      <w:r w:rsidRPr="00D54E09">
        <w:t>., Cleary Bldg.</w:t>
      </w:r>
      <w:r w:rsidRPr="00D54E09">
        <w:t xml:space="preserve"> </w:t>
      </w:r>
      <w:r w:rsidRPr="00D54E09">
        <w:t>Corp.</w:t>
      </w:r>
      <w:r w:rsidRPr="00D54E09">
        <w:t xml:space="preserve"> </w:t>
      </w:r>
      <w:r w:rsidRPr="00D54E09">
        <w:t>v.</w:t>
      </w:r>
      <w:r w:rsidRPr="00D54E09">
        <w:t xml:space="preserve"> </w:t>
      </w:r>
      <w:r w:rsidRPr="00D54E09">
        <w:t>David A.</w:t>
      </w:r>
      <w:r w:rsidRPr="00D54E09">
        <w:t xml:space="preserve"> </w:t>
      </w:r>
      <w:r w:rsidRPr="00D54E09">
        <w:t>Dame, Inc., 674 F.</w:t>
      </w:r>
      <w:r w:rsidRPr="00D54E09">
        <w:t xml:space="preserve"> </w:t>
      </w:r>
      <w:r w:rsidRPr="00D54E09">
        <w:t>Supp.</w:t>
      </w:r>
      <w:r w:rsidRPr="00D54E09">
        <w:t xml:space="preserve"> </w:t>
      </w:r>
      <w:r w:rsidRPr="00D54E09">
        <w:t>2d 1257, 1268 (D.</w:t>
      </w:r>
      <w:r w:rsidRPr="00D54E09">
        <w:t xml:space="preserve"> </w:t>
      </w:r>
      <w:r w:rsidRPr="00D54E09">
        <w:t>Colo.</w:t>
      </w:r>
      <w:r w:rsidRPr="00D54E09">
        <w:t xml:space="preserve"> </w:t>
      </w:r>
      <w:r w:rsidRPr="00D54E09">
        <w:t>2009);</w:t>
      </w:r>
      <w:r w:rsidRPr="00D54E09">
        <w:t xml:space="preserve"> </w:t>
      </w:r>
      <w:r w:rsidRPr="00D54E09">
        <w:rPr>
          <w:i/>
        </w:rPr>
        <w:t xml:space="preserve">see also </w:t>
      </w:r>
      <w:r w:rsidRPr="00D54E09">
        <w:t>Levinson Axelrod P.A.</w:t>
      </w:r>
      <w:r w:rsidRPr="00D54E09">
        <w:t xml:space="preserve"> </w:t>
      </w:r>
      <w:r w:rsidRPr="00D54E09">
        <w:t>v.</w:t>
      </w:r>
      <w:r w:rsidRPr="00D54E09">
        <w:t xml:space="preserve"> </w:t>
      </w:r>
      <w:r w:rsidRPr="00D54E09">
        <w:t>Heyburn, 2010 U.S.</w:t>
      </w:r>
      <w:r w:rsidRPr="00D54E09">
        <w:t xml:space="preserve"> </w:t>
      </w:r>
      <w:r w:rsidRPr="00D54E09">
        <w:t>Dist.</w:t>
      </w:r>
      <w:r w:rsidRPr="00D54E09">
        <w:t xml:space="preserve"> </w:t>
      </w:r>
      <w:r w:rsidRPr="00D54E09">
        <w:t>LEXIS 43391, at *7 (D.N.J.</w:t>
      </w:r>
      <w:r w:rsidRPr="00D54E09">
        <w:t xml:space="preserve"> </w:t>
      </w:r>
      <w:r w:rsidRPr="00D54E09">
        <w:t>May 3, 2010) (citing pre-TDRA precedent);</w:t>
      </w:r>
      <w:r w:rsidRPr="00D54E09">
        <w:t xml:space="preserve"> </w:t>
      </w:r>
      <w:r w:rsidRPr="00D54E09">
        <w:t>Crown Realty &amp; Dev., Inc.</w:t>
      </w:r>
      <w:r w:rsidRPr="00D54E09">
        <w:t xml:space="preserve"> </w:t>
      </w:r>
      <w:r w:rsidRPr="00D54E09">
        <w:t>v.</w:t>
      </w:r>
      <w:r w:rsidRPr="00D54E09">
        <w:t xml:space="preserve"> </w:t>
      </w:r>
      <w:r w:rsidRPr="00D54E09">
        <w:t>Sandblom, 2007 U.S.</w:t>
      </w:r>
      <w:r w:rsidRPr="00D54E09">
        <w:t xml:space="preserve"> </w:t>
      </w:r>
      <w:r w:rsidRPr="00D54E09">
        <w:t>Dist.</w:t>
      </w:r>
      <w:r w:rsidRPr="00D54E09">
        <w:t xml:space="preserve"> </w:t>
      </w:r>
      <w:r w:rsidRPr="00D54E09">
        <w:t>LEXIS 100158, at *4 (D.</w:t>
      </w:r>
      <w:r w:rsidRPr="00D54E09">
        <w:t xml:space="preserve"> </w:t>
      </w:r>
      <w:r w:rsidRPr="00D54E09">
        <w:t>Ariz.</w:t>
      </w:r>
      <w:r w:rsidRPr="00D54E09">
        <w:t xml:space="preserve"> </w:t>
      </w:r>
      <w:r w:rsidRPr="00D54E09">
        <w:t>Jan.</w:t>
      </w:r>
      <w:r w:rsidRPr="00D54E09">
        <w:t xml:space="preserve"> </w:t>
      </w:r>
      <w:r w:rsidRPr="00D54E09">
        <w:t>22, 2007) (same).</w:t>
      </w:r>
    </w:p>
  </w:footnote>
  <w:footnote w:id="56">
    <w:p w14:paraId="498E9A09" w14:textId="10EC0412" w:rsidR="00D54E09" w:rsidRPr="00D54E09" w:rsidRDefault="00D54E09" w:rsidP="00D54E09">
      <w:pPr>
        <w:pStyle w:val="FootnoteText"/>
      </w:pPr>
      <w:r w:rsidRPr="00D54E09">
        <w:rPr>
          <w:vertAlign w:val="superscript"/>
        </w:rPr>
        <w:footnoteRef/>
      </w:r>
      <w:r w:rsidRPr="00D54E09">
        <w:t>House of Bryant Pubs., LLC v.</w:t>
      </w:r>
      <w:r w:rsidRPr="00D54E09">
        <w:t xml:space="preserve"> </w:t>
      </w:r>
      <w:r w:rsidRPr="00D54E09">
        <w:t>City of Lake City, Tenn., 2014 WL 2208974, at *9–11, 2014 BL 146963 (E.D.</w:t>
      </w:r>
      <w:r w:rsidRPr="00D54E09">
        <w:t xml:space="preserve"> </w:t>
      </w:r>
      <w:r w:rsidRPr="00D54E09">
        <w:t>Tenn.</w:t>
      </w:r>
      <w:r w:rsidRPr="00D54E09">
        <w:t xml:space="preserve"> </w:t>
      </w:r>
      <w:r w:rsidRPr="00D54E09">
        <w:t>May 28, 2014).</w:t>
      </w:r>
      <w:r w:rsidRPr="00D54E09">
        <w:t xml:space="preserve"> </w:t>
      </w:r>
      <w:r w:rsidRPr="00D54E09">
        <w:rPr>
          <w:i/>
        </w:rPr>
        <w:t>See</w:t>
      </w:r>
      <w:r w:rsidRPr="00D54E09">
        <w:t xml:space="preserve"> Berrios-Nieves v.</w:t>
      </w:r>
      <w:r w:rsidRPr="00D54E09">
        <w:t xml:space="preserve"> </w:t>
      </w:r>
      <w:r w:rsidRPr="00D54E09">
        <w:t>Fines-Navarez, 2019 WL 12043410, at *7 (Feb.</w:t>
      </w:r>
      <w:r w:rsidRPr="00D54E09">
        <w:t xml:space="preserve"> </w:t>
      </w:r>
      <w:r w:rsidRPr="00D54E09">
        <w:t>7, 2019) (finding plaintiff failed to plead use in commerce);</w:t>
      </w:r>
      <w:r w:rsidRPr="00D54E09">
        <w:t xml:space="preserve"> </w:t>
      </w:r>
      <w:proofErr w:type="spellStart"/>
      <w:r w:rsidRPr="00D54E09">
        <w:t>Gench</w:t>
      </w:r>
      <w:proofErr w:type="spellEnd"/>
      <w:r w:rsidRPr="00D54E09">
        <w:t xml:space="preserve"> v.</w:t>
      </w:r>
      <w:r w:rsidRPr="00D54E09">
        <w:t xml:space="preserve"> </w:t>
      </w:r>
      <w:r w:rsidRPr="00D54E09">
        <w:t>HostGator.com LLC, 2015 U.S.</w:t>
      </w:r>
      <w:r w:rsidRPr="00D54E09">
        <w:t xml:space="preserve"> </w:t>
      </w:r>
      <w:r w:rsidRPr="00D54E09">
        <w:t>Dist.</w:t>
      </w:r>
      <w:r w:rsidRPr="00D54E09">
        <w:t xml:space="preserve"> </w:t>
      </w:r>
      <w:r w:rsidRPr="00D54E09">
        <w:t>LEXIS 16682, at *17–19 (S.D.N.Y.</w:t>
      </w:r>
      <w:r w:rsidRPr="00D54E09">
        <w:t xml:space="preserve"> </w:t>
      </w:r>
      <w:r w:rsidRPr="00D54E09">
        <w:t>Feb.</w:t>
      </w:r>
      <w:r w:rsidRPr="00D54E09">
        <w:t xml:space="preserve"> </w:t>
      </w:r>
      <w:r w:rsidRPr="00D54E09">
        <w:t>11, 2015) (finding no use in commerce because no use in connection with goods or services).</w:t>
      </w:r>
    </w:p>
    <w:p w14:paraId="7EB83391" w14:textId="77777777" w:rsidR="00D54E09" w:rsidRPr="009077F2" w:rsidRDefault="00D54E09" w:rsidP="00A6025D">
      <w:pPr>
        <w:pStyle w:val="footnote"/>
      </w:pPr>
    </w:p>
  </w:footnote>
  <w:footnote w:id="57">
    <w:p w14:paraId="16136D5D" w14:textId="7DB3B6BE" w:rsidR="00D54E09" w:rsidRDefault="00D54E09" w:rsidP="00D54E09">
      <w:pPr>
        <w:pStyle w:val="FootnoteText"/>
      </w:pPr>
      <w:r w:rsidRPr="00D54E09">
        <w:rPr>
          <w:rStyle w:val="FootnoteReference"/>
          <w:rFonts w:eastAsiaTheme="majorEastAsia"/>
        </w:rPr>
        <w:footnoteRef/>
      </w:r>
      <w:r w:rsidRPr="00D54E09">
        <w:t>2024 WL 51286, 2024 BL 2597 (N.D.N.Y.</w:t>
      </w:r>
      <w:r w:rsidRPr="00D54E09">
        <w:t xml:space="preserve"> </w:t>
      </w:r>
      <w:r w:rsidRPr="00D54E09">
        <w:t>Jan 4, 2024).</w:t>
      </w:r>
    </w:p>
  </w:footnote>
  <w:footnote w:id="58">
    <w:p w14:paraId="33F9B468" w14:textId="3D8557B2" w:rsidR="00D54E09" w:rsidRPr="0019484D" w:rsidRDefault="00D54E09" w:rsidP="00D54E09">
      <w:pPr>
        <w:pStyle w:val="FootnoteText"/>
      </w:pPr>
      <w:r w:rsidRPr="00D54E09">
        <w:rPr>
          <w:rStyle w:val="FootnoteReference"/>
          <w:rFonts w:eastAsiaTheme="majorEastAsia"/>
        </w:rPr>
        <w:footnoteRef/>
      </w:r>
      <w:r w:rsidRPr="00D54E09">
        <w:rPr>
          <w:i/>
        </w:rPr>
        <w:t>Id</w:t>
      </w:r>
      <w:r w:rsidRPr="00D54E09">
        <w:t>.</w:t>
      </w:r>
      <w:r w:rsidRPr="00D54E09">
        <w:t xml:space="preserve"> </w:t>
      </w:r>
      <w:r w:rsidRPr="00D54E09">
        <w:t>at *1.</w:t>
      </w:r>
      <w:r w:rsidRPr="00D54E09">
        <w:t xml:space="preserve"> </w:t>
      </w:r>
      <w:r w:rsidRPr="00D54E09">
        <w:rPr>
          <w:i/>
        </w:rPr>
        <w:t>But cf.</w:t>
      </w:r>
      <w:r w:rsidRPr="00D54E09">
        <w:rPr>
          <w:i/>
        </w:rPr>
        <w:t xml:space="preserve"> </w:t>
      </w:r>
      <w:r w:rsidRPr="00D54E09">
        <w:t>Ford Motor Co.</w:t>
      </w:r>
      <w:r w:rsidRPr="00D54E09">
        <w:t xml:space="preserve"> </w:t>
      </w:r>
      <w:r w:rsidRPr="00D54E09">
        <w:t>v.</w:t>
      </w:r>
      <w:r w:rsidRPr="00D54E09">
        <w:t xml:space="preserve"> </w:t>
      </w:r>
      <w:proofErr w:type="spellStart"/>
      <w:r w:rsidRPr="00D54E09">
        <w:t>AirPro</w:t>
      </w:r>
      <w:proofErr w:type="spellEnd"/>
      <w:r w:rsidRPr="00D54E09">
        <w:t xml:space="preserve"> Diagnostics LLC, 632 F.</w:t>
      </w:r>
      <w:r w:rsidRPr="00D54E09">
        <w:t xml:space="preserve"> </w:t>
      </w:r>
      <w:r w:rsidRPr="00D54E09">
        <w:t>Supp.</w:t>
      </w:r>
      <w:r w:rsidRPr="00D54E09">
        <w:t xml:space="preserve"> </w:t>
      </w:r>
      <w:r w:rsidRPr="00D54E09">
        <w:t>3d 753, 766–67 (E.D.</w:t>
      </w:r>
      <w:r w:rsidRPr="00D54E09">
        <w:t xml:space="preserve"> </w:t>
      </w:r>
      <w:r w:rsidRPr="00D54E09">
        <w:t>Mich.</w:t>
      </w:r>
      <w:r w:rsidRPr="00D54E09">
        <w:t xml:space="preserve"> </w:t>
      </w:r>
      <w:r w:rsidRPr="00D54E09">
        <w:t>2022) (allegations that defendant promoted its product using plaintiff’s logos sufficient for summary judgment on issue of use).</w:t>
      </w:r>
    </w:p>
  </w:footnote>
  <w:footnote w:id="59">
    <w:p w14:paraId="1B243B40" w14:textId="61D06039" w:rsidR="00D54E09" w:rsidRPr="0017428F" w:rsidRDefault="00D54E09" w:rsidP="00D54E09">
      <w:pPr>
        <w:pStyle w:val="FootnoteText"/>
      </w:pPr>
      <w:r w:rsidRPr="00D54E09">
        <w:rPr>
          <w:rStyle w:val="FootnoteReference"/>
          <w:rFonts w:eastAsiaTheme="majorEastAsia"/>
        </w:rPr>
        <w:footnoteRef/>
      </w:r>
      <w:r w:rsidRPr="00D54E09">
        <w:t>See Chapter 9, Section IV.</w:t>
      </w:r>
    </w:p>
  </w:footnote>
  <w:footnote w:id="60">
    <w:p w14:paraId="2A871120" w14:textId="13F65EFC" w:rsidR="00D54E09" w:rsidRPr="00D54E09" w:rsidRDefault="00D54E09" w:rsidP="00D54E09">
      <w:pPr>
        <w:pStyle w:val="FootnoteText"/>
      </w:pPr>
      <w:r w:rsidRPr="00D54E09">
        <w:rPr>
          <w:rStyle w:val="FootnoteReference"/>
        </w:rPr>
        <w:footnoteRef/>
      </w:r>
      <w:r w:rsidRPr="00D54E09">
        <w:t>2024 WL 3427161, 2024 BL 242294 (D.</w:t>
      </w:r>
      <w:r w:rsidRPr="00D54E09">
        <w:t xml:space="preserve"> </w:t>
      </w:r>
      <w:r w:rsidRPr="00D54E09">
        <w:t>Ariz.</w:t>
      </w:r>
      <w:r w:rsidRPr="00D54E09">
        <w:t xml:space="preserve"> </w:t>
      </w:r>
      <w:r w:rsidRPr="00D54E09">
        <w:t>July14, 2024).</w:t>
      </w:r>
      <w:r w:rsidRPr="00D54E09">
        <w:t xml:space="preserve"> </w:t>
      </w:r>
    </w:p>
    <w:p w14:paraId="1AA8CDD2" w14:textId="77777777" w:rsidR="00D54E09" w:rsidRPr="009077F2" w:rsidRDefault="00D54E09" w:rsidP="009077F2">
      <w:pPr>
        <w:pStyle w:val="text"/>
        <w:rPr>
          <w:color w:val="212121"/>
          <w:sz w:val="20"/>
          <w:szCs w:val="20"/>
        </w:rPr>
      </w:pPr>
    </w:p>
  </w:footnote>
  <w:footnote w:id="61">
    <w:p w14:paraId="2DB6B2D4" w14:textId="3F820D6C" w:rsidR="00D54E09" w:rsidRPr="00D54E09" w:rsidRDefault="00D54E09" w:rsidP="00D54E09">
      <w:pPr>
        <w:pStyle w:val="FootnoteText"/>
      </w:pPr>
      <w:r w:rsidRPr="00D54E09">
        <w:rPr>
          <w:rStyle w:val="FootnoteReference"/>
          <w:rFonts w:eastAsiaTheme="majorEastAsia"/>
        </w:rPr>
        <w:footnoteRef/>
      </w:r>
      <w:r w:rsidRPr="00D54E09">
        <w:rPr>
          <w:i/>
        </w:rPr>
        <w:t>Id</w:t>
      </w:r>
      <w:r w:rsidRPr="00D54E09">
        <w:t>.</w:t>
      </w:r>
      <w:r w:rsidRPr="00D54E09">
        <w:t xml:space="preserve"> </w:t>
      </w:r>
      <w:r w:rsidRPr="00D54E09">
        <w:t>at *3.</w:t>
      </w:r>
    </w:p>
    <w:p w14:paraId="54F73200" w14:textId="77777777" w:rsidR="00D54E09" w:rsidRPr="00AB1526" w:rsidRDefault="00D54E09">
      <w:pPr>
        <w:pStyle w:val="FootnoteText"/>
      </w:pPr>
    </w:p>
  </w:footnote>
  <w:footnote w:id="62">
    <w:p w14:paraId="1D392686" w14:textId="43FAFCFA" w:rsidR="00D54E09" w:rsidRPr="005E2510" w:rsidRDefault="00D54E09" w:rsidP="00D54E09">
      <w:pPr>
        <w:pStyle w:val="FootnoteText"/>
      </w:pPr>
      <w:r w:rsidRPr="00D54E09">
        <w:rPr>
          <w:rStyle w:val="FootnoteReference"/>
          <w:rFonts w:eastAsiaTheme="majorEastAsia"/>
        </w:rPr>
        <w:footnoteRef/>
      </w:r>
      <w:r w:rsidRPr="00D54E09">
        <w:t>2024 WL 3891032, 2024 BL 291555 (C.D.</w:t>
      </w:r>
      <w:r w:rsidRPr="00D54E09">
        <w:t xml:space="preserve"> </w:t>
      </w:r>
      <w:r w:rsidRPr="00D54E09">
        <w:t>Cal.</w:t>
      </w:r>
      <w:r w:rsidRPr="00D54E09">
        <w:t xml:space="preserve"> </w:t>
      </w:r>
      <w:r w:rsidRPr="00D54E09">
        <w:t>Aug.</w:t>
      </w:r>
      <w:r w:rsidRPr="00D54E09">
        <w:t xml:space="preserve"> </w:t>
      </w:r>
      <w:r w:rsidRPr="00D54E09">
        <w:t>19, 2024).</w:t>
      </w:r>
    </w:p>
  </w:footnote>
  <w:footnote w:id="63">
    <w:p w14:paraId="16814B3F" w14:textId="7B49C631" w:rsidR="00D54E09" w:rsidRPr="005E2510" w:rsidRDefault="00D54E09" w:rsidP="00D54E09">
      <w:pPr>
        <w:pStyle w:val="FootnoteText"/>
      </w:pPr>
      <w:r w:rsidRPr="00D54E09">
        <w:rPr>
          <w:rStyle w:val="FootnoteReference"/>
          <w:rFonts w:eastAsiaTheme="majorEastAsia"/>
        </w:rPr>
        <w:footnoteRef/>
      </w:r>
      <w:r w:rsidRPr="00D54E09">
        <w:rPr>
          <w:i/>
        </w:rPr>
        <w:t>Id</w:t>
      </w:r>
      <w:r w:rsidRPr="00D54E09">
        <w:t>., at *6.</w:t>
      </w:r>
      <w:r w:rsidRPr="00D54E09">
        <w:t xml:space="preserve"> </w:t>
      </w:r>
      <w:r w:rsidRPr="00D54E09">
        <w:t>Thus, even if defendant’s use of its own mark was improper, that did not amount to dilution of plaintiff’s mark.</w:t>
      </w:r>
    </w:p>
  </w:footnote>
  <w:footnote w:id="64">
    <w:p w14:paraId="4666A3AE" w14:textId="082BE170" w:rsidR="00D54E09" w:rsidRDefault="00D54E09" w:rsidP="00D54E09">
      <w:pPr>
        <w:pStyle w:val="FootnoteText"/>
      </w:pPr>
      <w:r w:rsidRPr="00D54E09">
        <w:rPr>
          <w:rStyle w:val="FootnoteReference"/>
          <w:rFonts w:eastAsiaTheme="majorEastAsia"/>
        </w:rPr>
        <w:footnoteRef/>
      </w:r>
      <w:r w:rsidRPr="00D54E09">
        <w:t>501 F.</w:t>
      </w:r>
      <w:r w:rsidRPr="00D54E09">
        <w:t xml:space="preserve"> </w:t>
      </w:r>
      <w:r w:rsidRPr="00D54E09">
        <w:t>Supp.</w:t>
      </w:r>
      <w:r w:rsidRPr="00D54E09">
        <w:t xml:space="preserve"> </w:t>
      </w:r>
      <w:r w:rsidRPr="00D54E09">
        <w:t>3d 145 (E.D.N.Y.</w:t>
      </w:r>
      <w:r w:rsidRPr="00D54E09">
        <w:t xml:space="preserve"> </w:t>
      </w:r>
      <w:r w:rsidRPr="00D54E09">
        <w:t>2020).</w:t>
      </w:r>
    </w:p>
  </w:footnote>
  <w:footnote w:id="65">
    <w:p w14:paraId="04336129" w14:textId="58453D76" w:rsidR="00D54E09" w:rsidRPr="00D168FB" w:rsidRDefault="00D54E09" w:rsidP="00D54E09">
      <w:pPr>
        <w:pStyle w:val="FootnoteText"/>
      </w:pPr>
      <w:r w:rsidRPr="00D54E09">
        <w:rPr>
          <w:rStyle w:val="FootnoteReference"/>
          <w:rFonts w:eastAsiaTheme="majorEastAsia"/>
        </w:rPr>
        <w:footnoteRef/>
      </w:r>
      <w:r w:rsidRPr="00D54E09">
        <w:rPr>
          <w:i/>
        </w:rPr>
        <w:t>Id.</w:t>
      </w:r>
      <w:r w:rsidRPr="00D54E09">
        <w:rPr>
          <w:i/>
        </w:rPr>
        <w:t xml:space="preserve"> </w:t>
      </w:r>
      <w:r w:rsidRPr="00D54E09">
        <w:t>at 151–52.</w:t>
      </w:r>
    </w:p>
  </w:footnote>
  <w:footnote w:id="66">
    <w:p w14:paraId="186DD14E" w14:textId="17B4AFB3" w:rsidR="00D54E09" w:rsidRPr="00D54E09" w:rsidRDefault="00D54E09" w:rsidP="00D54E09">
      <w:pPr>
        <w:pStyle w:val="FootnoteText"/>
      </w:pPr>
      <w:r w:rsidRPr="00D54E09">
        <w:rPr>
          <w:vertAlign w:val="superscript"/>
        </w:rPr>
        <w:footnoteRef/>
      </w:r>
      <w:r w:rsidRPr="00D54E09">
        <w:t>Lanham Act §1(b), 15 U.S.C.</w:t>
      </w:r>
      <w:r w:rsidRPr="00D54E09">
        <w:t xml:space="preserve"> </w:t>
      </w:r>
      <w:r w:rsidRPr="00D54E09">
        <w:t>§ 1051(b) (allowing applications based on a bona fide intent to use the mark in commerce).</w:t>
      </w:r>
    </w:p>
    <w:p w14:paraId="480367D1" w14:textId="77777777" w:rsidR="00D54E09" w:rsidRDefault="00D54E09" w:rsidP="00CC7B6E">
      <w:pPr>
        <w:pStyle w:val="footnote"/>
      </w:pPr>
    </w:p>
  </w:footnote>
  <w:footnote w:id="67">
    <w:p w14:paraId="073EAE11" w14:textId="6523770B" w:rsidR="00D54E09" w:rsidRPr="00D54E09" w:rsidRDefault="00D54E09" w:rsidP="00D54E09">
      <w:pPr>
        <w:pStyle w:val="FootnoteText"/>
      </w:pPr>
      <w:r w:rsidRPr="00D54E09">
        <w:rPr>
          <w:vertAlign w:val="superscript"/>
        </w:rPr>
        <w:footnoteRef/>
      </w:r>
      <w:r w:rsidRPr="00D54E09">
        <w:t>Toro Co.</w:t>
      </w:r>
      <w:r w:rsidRPr="00D54E09">
        <w:t xml:space="preserve"> </w:t>
      </w:r>
      <w:r w:rsidRPr="00D54E09">
        <w:t>v.</w:t>
      </w:r>
      <w:r w:rsidRPr="00D54E09">
        <w:t xml:space="preserve"> </w:t>
      </w:r>
      <w:proofErr w:type="spellStart"/>
      <w:r w:rsidRPr="00D54E09">
        <w:t>ToroHead</w:t>
      </w:r>
      <w:proofErr w:type="spellEnd"/>
      <w:r w:rsidRPr="00D54E09">
        <w:t>, Inc., 61 USPQ2d 1164, 1174 (T.T.A.B.</w:t>
      </w:r>
      <w:r w:rsidRPr="00D54E09">
        <w:t xml:space="preserve"> </w:t>
      </w:r>
      <w:r w:rsidRPr="00D54E09">
        <w:t>2001).</w:t>
      </w:r>
    </w:p>
    <w:p w14:paraId="0AA8828B" w14:textId="77777777" w:rsidR="00D54E09" w:rsidRPr="0014429A" w:rsidRDefault="00D54E09" w:rsidP="00CC7B6E">
      <w:pPr>
        <w:pStyle w:val="footnote"/>
        <w:rPr>
          <w:lang w:val="es-US"/>
        </w:rPr>
      </w:pPr>
    </w:p>
  </w:footnote>
  <w:footnote w:id="68">
    <w:p w14:paraId="3DB96340" w14:textId="1CFD5D3B" w:rsidR="00D54E09" w:rsidRPr="00D54E09" w:rsidRDefault="00D54E09" w:rsidP="00D54E09">
      <w:pPr>
        <w:pStyle w:val="FootnoteText"/>
      </w:pPr>
      <w:r w:rsidRPr="00D54E09">
        <w:rPr>
          <w:vertAlign w:val="superscript"/>
        </w:rPr>
        <w:footnoteRef/>
      </w:r>
      <w:r w:rsidRPr="00D54E09">
        <w:t>110 USPQ2d 2013 (T.T.A.B.</w:t>
      </w:r>
      <w:r w:rsidRPr="00D54E09">
        <w:t xml:space="preserve"> </w:t>
      </w:r>
      <w:r w:rsidRPr="00D54E09">
        <w:t>2014).</w:t>
      </w:r>
    </w:p>
    <w:p w14:paraId="0C2152AA" w14:textId="77777777" w:rsidR="00D54E09" w:rsidRPr="0014429A" w:rsidRDefault="00D54E09" w:rsidP="00CC7B6E">
      <w:pPr>
        <w:pStyle w:val="footnote"/>
        <w:rPr>
          <w:lang w:val="da-DK"/>
        </w:rPr>
      </w:pPr>
    </w:p>
  </w:footnote>
  <w:footnote w:id="69">
    <w:p w14:paraId="10B6C7DC" w14:textId="7353B4DA" w:rsidR="00D54E09" w:rsidRPr="00D54E09" w:rsidRDefault="00D54E09" w:rsidP="00D54E09">
      <w:pPr>
        <w:pStyle w:val="FootnoteText"/>
      </w:pPr>
      <w:r w:rsidRPr="00D54E09">
        <w:rPr>
          <w:vertAlign w:val="superscript"/>
        </w:rPr>
        <w:footnoteRef/>
      </w:r>
      <w:r w:rsidRPr="00D54E09">
        <w:rPr>
          <w:i/>
        </w:rPr>
        <w:t>Id.</w:t>
      </w:r>
      <w:r w:rsidRPr="00D54E09">
        <w:rPr>
          <w:i/>
        </w:rPr>
        <w:t xml:space="preserve"> </w:t>
      </w:r>
      <w:proofErr w:type="gramStart"/>
      <w:r w:rsidRPr="00D54E09">
        <w:t>at</w:t>
      </w:r>
      <w:proofErr w:type="gramEnd"/>
      <w:r w:rsidRPr="00D54E09">
        <w:t xml:space="preserve"> 2023–24.</w:t>
      </w:r>
    </w:p>
    <w:p w14:paraId="4F1E02FC" w14:textId="77777777" w:rsidR="00D54E09" w:rsidRPr="0014429A" w:rsidRDefault="00D54E09" w:rsidP="00CC7B6E">
      <w:pPr>
        <w:pStyle w:val="footnote"/>
        <w:rPr>
          <w:lang w:val="da-DK"/>
        </w:rPr>
      </w:pPr>
    </w:p>
  </w:footnote>
  <w:footnote w:id="70">
    <w:p w14:paraId="61B858ED" w14:textId="785944B9"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 xml:space="preserve">at 2024 (citing </w:t>
      </w:r>
      <w:r w:rsidRPr="00D54E09">
        <w:rPr>
          <w:i/>
        </w:rPr>
        <w:t>Toro</w:t>
      </w:r>
      <w:r w:rsidRPr="00D54E09">
        <w:t>).</w:t>
      </w:r>
      <w:r w:rsidRPr="00D54E09">
        <w:t xml:space="preserve"> </w:t>
      </w:r>
      <w:r w:rsidRPr="00D54E09">
        <w:t xml:space="preserve">The Board subsequently reaffirmed this view in a case </w:t>
      </w:r>
      <w:proofErr w:type="gramStart"/>
      <w:r w:rsidRPr="00D54E09">
        <w:t>actually involving</w:t>
      </w:r>
      <w:proofErr w:type="gramEnd"/>
      <w:r w:rsidRPr="00D54E09">
        <w:t xml:space="preserve"> an intent to use application.</w:t>
      </w:r>
      <w:r w:rsidRPr="00D54E09">
        <w:t xml:space="preserve"> </w:t>
      </w:r>
      <w:r w:rsidRPr="00D54E09">
        <w:t xml:space="preserve">New York Yankees </w:t>
      </w:r>
      <w:proofErr w:type="spellStart"/>
      <w:r w:rsidRPr="00D54E09">
        <w:t>P’ship</w:t>
      </w:r>
      <w:proofErr w:type="spellEnd"/>
      <w:r w:rsidRPr="00D54E09">
        <w:t xml:space="preserve"> v.</w:t>
      </w:r>
      <w:r w:rsidRPr="00D54E09">
        <w:t xml:space="preserve"> </w:t>
      </w:r>
      <w:r w:rsidRPr="00D54E09">
        <w:t>IET Prods.</w:t>
      </w:r>
      <w:r w:rsidRPr="00D54E09">
        <w:t xml:space="preserve"> </w:t>
      </w:r>
      <w:r w:rsidRPr="00D54E09">
        <w:t>&amp; Servs., Inc., 114 USPQ2d 1497, 1505–06 (T.T.A.B.</w:t>
      </w:r>
      <w:r w:rsidRPr="00D54E09">
        <w:t xml:space="preserve"> </w:t>
      </w:r>
      <w:r w:rsidRPr="00D54E09">
        <w:t>2015).</w:t>
      </w:r>
      <w:r w:rsidRPr="00D54E09">
        <w:t xml:space="preserve"> </w:t>
      </w:r>
      <w:r w:rsidRPr="00D54E09">
        <w:rPr>
          <w:i/>
        </w:rPr>
        <w:t>Accord</w:t>
      </w:r>
      <w:r w:rsidRPr="00D54E09">
        <w:t xml:space="preserve"> ESRT Empire State Bldg., L.L.C.</w:t>
      </w:r>
      <w:r w:rsidRPr="00D54E09">
        <w:t xml:space="preserve"> </w:t>
      </w:r>
      <w:r w:rsidRPr="00D54E09">
        <w:t>v.</w:t>
      </w:r>
      <w:r w:rsidRPr="00D54E09">
        <w:t xml:space="preserve"> </w:t>
      </w:r>
      <w:r w:rsidRPr="00D54E09">
        <w:t>Liang, Opp.</w:t>
      </w:r>
      <w:r w:rsidRPr="00D54E09">
        <w:t xml:space="preserve"> </w:t>
      </w:r>
      <w:r w:rsidRPr="00D54E09">
        <w:t>No.</w:t>
      </w:r>
      <w:r w:rsidRPr="00D54E09">
        <w:t xml:space="preserve"> </w:t>
      </w:r>
      <w:r w:rsidRPr="00D54E09">
        <w:t>91204122, at 13 n.29 (T.T.A.B.</w:t>
      </w:r>
      <w:r w:rsidRPr="00D54E09">
        <w:t xml:space="preserve"> </w:t>
      </w:r>
      <w:r w:rsidRPr="00D54E09">
        <w:t>June 17, 2016) (non-precedential).</w:t>
      </w:r>
    </w:p>
    <w:p w14:paraId="7838787A" w14:textId="77777777" w:rsidR="00D54E09" w:rsidRDefault="00D54E09" w:rsidP="00CC7B6E">
      <w:pPr>
        <w:pStyle w:val="footnote"/>
      </w:pPr>
    </w:p>
  </w:footnote>
  <w:footnote w:id="71">
    <w:p w14:paraId="74B4F28C" w14:textId="3F358BFC" w:rsidR="00D54E09" w:rsidRPr="00D54E09" w:rsidRDefault="00D54E09" w:rsidP="00D54E09">
      <w:pPr>
        <w:pStyle w:val="FootnoteText"/>
      </w:pPr>
      <w:r w:rsidRPr="00D54E09">
        <w:rPr>
          <w:vertAlign w:val="superscript"/>
        </w:rPr>
        <w:footnoteRef/>
      </w:r>
      <w:r w:rsidRPr="00D54E09">
        <w:t>Moseley v.</w:t>
      </w:r>
      <w:r w:rsidRPr="00D54E09">
        <w:t xml:space="preserve"> </w:t>
      </w:r>
      <w:r w:rsidRPr="00D54E09">
        <w:t>V Secret Catalogue, Inc., 537 U.S.</w:t>
      </w:r>
      <w:r w:rsidRPr="00D54E09">
        <w:t xml:space="preserve"> </w:t>
      </w:r>
      <w:r w:rsidRPr="00D54E09">
        <w:t>418, 433, 65 USPQ2d 1801 (2003).</w:t>
      </w:r>
    </w:p>
    <w:p w14:paraId="5CC9E150" w14:textId="77777777" w:rsidR="00D54E09" w:rsidRDefault="00D54E09" w:rsidP="00CC7B6E">
      <w:pPr>
        <w:pStyle w:val="footnote"/>
      </w:pPr>
    </w:p>
  </w:footnote>
  <w:footnote w:id="72">
    <w:p w14:paraId="3186F1AA" w14:textId="256BC9AF" w:rsidR="00D54E09" w:rsidRPr="00D54E09" w:rsidRDefault="00D54E09" w:rsidP="00D54E09">
      <w:pPr>
        <w:pStyle w:val="FootnoteText"/>
      </w:pPr>
      <w:r w:rsidRPr="00D54E09">
        <w:rPr>
          <w:vertAlign w:val="superscript"/>
        </w:rPr>
        <w:footnoteRef/>
      </w:r>
      <w:r w:rsidRPr="00D54E09">
        <w:t xml:space="preserve">After </w:t>
      </w:r>
      <w:r w:rsidRPr="00D54E09">
        <w:rPr>
          <w:i/>
        </w:rPr>
        <w:t>Moseley</w:t>
      </w:r>
      <w:r w:rsidRPr="00D54E09">
        <w:t xml:space="preserve">, in </w:t>
      </w:r>
      <w:r w:rsidRPr="00D54E09">
        <w:rPr>
          <w:rStyle w:val="BCasenamefull"/>
        </w:rPr>
        <w:t xml:space="preserve">NASDAQ Stock Market, Inc. v. Antarctica, </w:t>
      </w:r>
      <w:proofErr w:type="spellStart"/>
      <w:r w:rsidRPr="00D54E09">
        <w:rPr>
          <w:rStyle w:val="BCasenamefull"/>
        </w:rPr>
        <w:t>S.r.l</w:t>
      </w:r>
      <w:proofErr w:type="spellEnd"/>
      <w:r w:rsidRPr="00D54E09">
        <w:rPr>
          <w:rStyle w:val="BCasenamefull"/>
        </w:rPr>
        <w:t>.</w:t>
      </w:r>
      <w:r w:rsidRPr="00D54E09">
        <w:t>, 69 USPQ2d 1718 (2003), the Board held that, notwithstanding the Court’s interpretation of the FTDA, the PTO could use a likelihood-of-dilution standard when adjudicating oppositions to nonuse-based applications.</w:t>
      </w:r>
      <w:r w:rsidRPr="00D54E09">
        <w:t xml:space="preserve"> </w:t>
      </w:r>
      <w:r w:rsidRPr="00D54E09">
        <w:rPr>
          <w:i/>
        </w:rPr>
        <w:t>Id</w:t>
      </w:r>
      <w:r w:rsidRPr="00D54E09">
        <w:t>.</w:t>
      </w:r>
      <w:r w:rsidRPr="00D54E09">
        <w:t xml:space="preserve"> </w:t>
      </w:r>
      <w:proofErr w:type="gramStart"/>
      <w:r w:rsidRPr="00D54E09">
        <w:t>at</w:t>
      </w:r>
      <w:proofErr w:type="gramEnd"/>
      <w:r w:rsidRPr="00D54E09">
        <w:t xml:space="preserve"> 1734–35.</w:t>
      </w:r>
      <w:r w:rsidRPr="00D54E09">
        <w:t xml:space="preserve"> </w:t>
      </w:r>
      <w:r w:rsidRPr="00D54E09">
        <w:t>See Chapter 13, §V.C, for a discussion of this case.</w:t>
      </w:r>
      <w:r w:rsidRPr="00D54E09">
        <w:t xml:space="preserve"> </w:t>
      </w:r>
      <w:r w:rsidRPr="00D54E09">
        <w:t>One could argue that, at least for nonuse-based applications, Congress implicitly accepted the Board’s construction of the statute.</w:t>
      </w:r>
    </w:p>
    <w:p w14:paraId="20F1C9AC" w14:textId="77777777" w:rsidR="00D54E09" w:rsidRDefault="00D54E09" w:rsidP="00CC7B6E">
      <w:pPr>
        <w:pStyle w:val="footnote"/>
      </w:pPr>
    </w:p>
  </w:footnote>
  <w:footnote w:id="73">
    <w:p w14:paraId="4D7AF5DB" w14:textId="1727D5EB" w:rsidR="00D54E09" w:rsidRPr="00D54E09" w:rsidRDefault="00D54E09" w:rsidP="00D54E09">
      <w:pPr>
        <w:pStyle w:val="FootnoteText"/>
      </w:pPr>
      <w:r w:rsidRPr="00D54E09">
        <w:rPr>
          <w:vertAlign w:val="superscript"/>
        </w:rPr>
        <w:footnoteRef/>
      </w:r>
      <w:r w:rsidRPr="00D54E09">
        <w:t>Lanham Act §7(c), 15 U.S.C.</w:t>
      </w:r>
      <w:r w:rsidRPr="00D54E09">
        <w:t xml:space="preserve"> </w:t>
      </w:r>
      <w:r w:rsidRPr="00D54E09">
        <w:t>§1057(c) (constructive use is “[c]</w:t>
      </w:r>
      <w:proofErr w:type="spellStart"/>
      <w:r w:rsidRPr="00D54E09">
        <w:t>ontingent</w:t>
      </w:r>
      <w:proofErr w:type="spellEnd"/>
      <w:r w:rsidRPr="00D54E09">
        <w:t xml:space="preserve"> on the registration of [the] mark on the principal register”).</w:t>
      </w:r>
    </w:p>
    <w:p w14:paraId="0136B16C" w14:textId="77777777" w:rsidR="00D54E09" w:rsidRDefault="00D54E09" w:rsidP="00CC7B6E">
      <w:pPr>
        <w:pStyle w:val="footnote"/>
      </w:pPr>
    </w:p>
  </w:footnote>
  <w:footnote w:id="74">
    <w:p w14:paraId="7FE9AFBE" w14:textId="2EE4A62D" w:rsidR="00D54E09" w:rsidRPr="000F5E39" w:rsidRDefault="00D54E09" w:rsidP="00D54E09">
      <w:pPr>
        <w:pStyle w:val="FootnoteText"/>
      </w:pPr>
      <w:r w:rsidRPr="00D54E09">
        <w:rPr>
          <w:vertAlign w:val="superscript"/>
        </w:rPr>
        <w:footnoteRef/>
      </w:r>
      <w:r w:rsidRPr="00D54E09">
        <w:t xml:space="preserve">482 F.3d 135, 82 USPQ2d 1414 (2d Cir.), </w:t>
      </w:r>
      <w:r w:rsidRPr="00D54E09">
        <w:rPr>
          <w:i/>
        </w:rPr>
        <w:t>cert</w:t>
      </w:r>
      <w:r w:rsidRPr="00D54E09">
        <w:t>.</w:t>
      </w:r>
      <w:r w:rsidRPr="00D54E09">
        <w:t xml:space="preserve"> </w:t>
      </w:r>
      <w:r w:rsidRPr="00D54E09">
        <w:rPr>
          <w:i/>
        </w:rPr>
        <w:t>denied</w:t>
      </w:r>
      <w:r w:rsidRPr="00D54E09">
        <w:t>, 552 U.S.</w:t>
      </w:r>
      <w:r w:rsidRPr="00D54E09">
        <w:t xml:space="preserve"> </w:t>
      </w:r>
      <w:r w:rsidRPr="00D54E09">
        <w:t>827 (2007).</w:t>
      </w:r>
    </w:p>
  </w:footnote>
  <w:footnote w:id="75">
    <w:p w14:paraId="08ECF82A" w14:textId="4C66CA11"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165;</w:t>
      </w:r>
      <w:r w:rsidRPr="00D54E09">
        <w:t xml:space="preserve"> </w:t>
      </w:r>
      <w:r w:rsidRPr="00D54E09">
        <w:rPr>
          <w:i/>
        </w:rPr>
        <w:t>see</w:t>
      </w:r>
      <w:r w:rsidRPr="00D54E09">
        <w:t xml:space="preserve"> </w:t>
      </w:r>
      <w:proofErr w:type="gramStart"/>
      <w:r w:rsidRPr="00D54E09">
        <w:rPr>
          <w:i/>
        </w:rPr>
        <w:t>In</w:t>
      </w:r>
      <w:proofErr w:type="gramEnd"/>
      <w:r w:rsidRPr="00D54E09">
        <w:rPr>
          <w:i/>
        </w:rPr>
        <w:t xml:space="preserve"> re</w:t>
      </w:r>
      <w:r w:rsidRPr="00D54E09">
        <w:t xml:space="preserve"> Casino de Monaco Trademark Litig., 2010 WL 1375395, at *7–8, 2010 BL 109902</w:t>
      </w:r>
    </w:p>
    <w:p w14:paraId="05F905F4" w14:textId="1E62DEF2" w:rsidR="00D54E09" w:rsidRPr="000F5E39" w:rsidRDefault="00D54E09" w:rsidP="00D54E09">
      <w:pPr>
        <w:pStyle w:val="FootnoteText"/>
      </w:pPr>
      <w:r w:rsidRPr="00D54E09">
        <w:t xml:space="preserve"> (S.D.N.Y.</w:t>
      </w:r>
      <w:r w:rsidRPr="00D54E09">
        <w:t xml:space="preserve"> </w:t>
      </w:r>
      <w:r w:rsidRPr="00D54E09">
        <w:t>Mar.</w:t>
      </w:r>
      <w:r w:rsidRPr="00D54E09">
        <w:t xml:space="preserve"> </w:t>
      </w:r>
      <w:r w:rsidRPr="00D54E09">
        <w:t>31, 2010) (finding no “use” of registered mark for services in the U.S., but finding “use in commerce” of unregistered mark for advertising purposes);</w:t>
      </w:r>
      <w:r w:rsidRPr="00D54E09">
        <w:t xml:space="preserve"> </w:t>
      </w:r>
      <w:r w:rsidRPr="00D54E09">
        <w:t>Schreiber v.</w:t>
      </w:r>
      <w:r w:rsidRPr="00D54E09">
        <w:t xml:space="preserve"> </w:t>
      </w:r>
      <w:proofErr w:type="spellStart"/>
      <w:r w:rsidRPr="00D54E09">
        <w:t>Dunabin</w:t>
      </w:r>
      <w:proofErr w:type="spellEnd"/>
      <w:r w:rsidRPr="00D54E09">
        <w:t>, 938 F.</w:t>
      </w:r>
      <w:r w:rsidRPr="00D54E09">
        <w:t xml:space="preserve"> </w:t>
      </w:r>
      <w:r w:rsidRPr="00D54E09">
        <w:t>Supp.</w:t>
      </w:r>
      <w:r w:rsidRPr="00D54E09">
        <w:t xml:space="preserve"> </w:t>
      </w:r>
      <w:r w:rsidRPr="00D54E09">
        <w:t>2d 587 (E.D.</w:t>
      </w:r>
      <w:r w:rsidRPr="00D54E09">
        <w:t xml:space="preserve"> </w:t>
      </w:r>
      <w:r w:rsidRPr="00D54E09">
        <w:t>Va.</w:t>
      </w:r>
      <w:r w:rsidRPr="00D54E09">
        <w:t xml:space="preserve"> </w:t>
      </w:r>
      <w:r w:rsidRPr="00D54E09">
        <w:t>2013) (no use in commerce in the U.S.);</w:t>
      </w:r>
      <w:r w:rsidRPr="00D54E09">
        <w:t xml:space="preserve"> </w:t>
      </w:r>
      <w:r w:rsidRPr="00D54E09">
        <w:t>Karoun Dairies, Inc.</w:t>
      </w:r>
      <w:r w:rsidRPr="00D54E09">
        <w:t xml:space="preserve"> </w:t>
      </w:r>
      <w:r w:rsidRPr="00D54E09">
        <w:t>v.</w:t>
      </w:r>
      <w:r w:rsidRPr="00D54E09">
        <w:t xml:space="preserve"> </w:t>
      </w:r>
      <w:proofErr w:type="spellStart"/>
      <w:r w:rsidRPr="00D54E09">
        <w:t>Karlacti</w:t>
      </w:r>
      <w:proofErr w:type="spellEnd"/>
      <w:r w:rsidRPr="00D54E09">
        <w:t>, Inc., 2013 U.S.</w:t>
      </w:r>
      <w:r w:rsidRPr="00D54E09">
        <w:t xml:space="preserve"> </w:t>
      </w:r>
      <w:r w:rsidRPr="00D54E09">
        <w:t>Dist.</w:t>
      </w:r>
      <w:r w:rsidRPr="00D54E09">
        <w:t xml:space="preserve"> </w:t>
      </w:r>
      <w:r w:rsidRPr="00D54E09">
        <w:t>LEXIS 1605, at *16–17 (S.D.</w:t>
      </w:r>
      <w:r w:rsidRPr="00D54E09">
        <w:t xml:space="preserve"> </w:t>
      </w:r>
      <w:r w:rsidRPr="00D54E09">
        <w:t>Cal.</w:t>
      </w:r>
      <w:r w:rsidRPr="00D54E09">
        <w:t xml:space="preserve"> </w:t>
      </w:r>
      <w:r w:rsidRPr="00D54E09">
        <w:t>Jan.</w:t>
      </w:r>
      <w:r w:rsidRPr="00D54E09">
        <w:t xml:space="preserve"> </w:t>
      </w:r>
      <w:r w:rsidRPr="00D54E09">
        <w:t>4, 2013) (denying motion for reconsideration, finding no evidence that defendants used the mark in the United States);</w:t>
      </w:r>
      <w:r w:rsidRPr="00D54E09">
        <w:t xml:space="preserve"> </w:t>
      </w:r>
      <w:r w:rsidRPr="00D54E09">
        <w:t>MGA Entm’t, Inc.</w:t>
      </w:r>
      <w:r w:rsidRPr="00D54E09">
        <w:t xml:space="preserve"> </w:t>
      </w:r>
      <w:r w:rsidRPr="00D54E09">
        <w:t>v.</w:t>
      </w:r>
      <w:r w:rsidRPr="00D54E09">
        <w:t xml:space="preserve"> </w:t>
      </w:r>
      <w:r w:rsidRPr="00D54E09">
        <w:t>Louis Vuitton Malletier, S.A., 2019 WL 2109643, at *3, 2019 BL 175010 (C.D.</w:t>
      </w:r>
      <w:r w:rsidRPr="00D54E09">
        <w:t xml:space="preserve"> </w:t>
      </w:r>
      <w:r w:rsidRPr="00D54E09">
        <w:t>Cal.</w:t>
      </w:r>
      <w:r w:rsidRPr="00D54E09">
        <w:t xml:space="preserve"> </w:t>
      </w:r>
      <w:r w:rsidRPr="00D54E09">
        <w:t>May 14, 2019) (assertion of rights in Europe under European Union law is not a use of trademark rights in the U.S.);</w:t>
      </w:r>
      <w:r w:rsidRPr="00D54E09">
        <w:t xml:space="preserve"> </w:t>
      </w:r>
      <w:r w:rsidRPr="00D54E09">
        <w:rPr>
          <w:i/>
        </w:rPr>
        <w:t>see also</w:t>
      </w:r>
      <w:r w:rsidRPr="00D54E09">
        <w:t xml:space="preserve"> Kerzner Int’l Ltd.</w:t>
      </w:r>
      <w:r w:rsidRPr="00D54E09">
        <w:t xml:space="preserve"> </w:t>
      </w:r>
      <w:r w:rsidRPr="00D54E09">
        <w:t>v.</w:t>
      </w:r>
      <w:r w:rsidRPr="00D54E09">
        <w:t xml:space="preserve"> </w:t>
      </w:r>
      <w:r w:rsidRPr="00D54E09">
        <w:t>Monarch Casino &amp; Resort, Inc., 675 F.</w:t>
      </w:r>
      <w:r w:rsidRPr="00D54E09">
        <w:t xml:space="preserve"> </w:t>
      </w:r>
      <w:r w:rsidRPr="00D54E09">
        <w:t>Supp.</w:t>
      </w:r>
      <w:r w:rsidRPr="00D54E09">
        <w:t xml:space="preserve"> </w:t>
      </w:r>
      <w:r w:rsidRPr="00D54E09">
        <w:t>2d 1029, 1038–39 (D.</w:t>
      </w:r>
      <w:r w:rsidRPr="00D54E09">
        <w:t xml:space="preserve"> </w:t>
      </w:r>
      <w:r w:rsidRPr="00D54E09">
        <w:t>Nev.</w:t>
      </w:r>
      <w:r w:rsidRPr="00D54E09">
        <w:t xml:space="preserve"> </w:t>
      </w:r>
      <w:r w:rsidRPr="00D54E09">
        <w:t>2009) (suggesting that Ninth Circuit precedent allows exception to territoriality only where fraud or consumer confusion would result).</w:t>
      </w:r>
    </w:p>
  </w:footnote>
  <w:footnote w:id="76">
    <w:p w14:paraId="1122DE02" w14:textId="520FAB8D" w:rsidR="00D54E09" w:rsidRPr="000F5E39" w:rsidRDefault="00D54E09" w:rsidP="00D54E09">
      <w:pPr>
        <w:pStyle w:val="FootnoteText"/>
      </w:pPr>
      <w:r w:rsidRPr="00D54E09">
        <w:rPr>
          <w:vertAlign w:val="superscript"/>
        </w:rPr>
        <w:footnoteRef/>
      </w:r>
      <w:r w:rsidRPr="00D54E09">
        <w:t>New York does recognize such a doctrine under its common law of unfair competition.</w:t>
      </w:r>
      <w:r w:rsidRPr="00D54E09">
        <w:t xml:space="preserve"> </w:t>
      </w:r>
      <w:r w:rsidRPr="00D54E09">
        <w:t>ITC, Ltd.</w:t>
      </w:r>
      <w:r w:rsidRPr="00D54E09">
        <w:t xml:space="preserve"> </w:t>
      </w:r>
      <w:r w:rsidRPr="00D54E09">
        <w:t>v.</w:t>
      </w:r>
      <w:r w:rsidRPr="00D54E09">
        <w:t xml:space="preserve"> </w:t>
      </w:r>
      <w:proofErr w:type="spellStart"/>
      <w:r w:rsidRPr="00D54E09">
        <w:t>Punchgini</w:t>
      </w:r>
      <w:proofErr w:type="spellEnd"/>
      <w:r w:rsidRPr="00D54E09">
        <w:t>, Inc., 9 N.Y.3d 467, 479, 880 N.E.2d 862 (N.Y.</w:t>
      </w:r>
      <w:r w:rsidRPr="00D54E09">
        <w:t xml:space="preserve"> </w:t>
      </w:r>
      <w:r w:rsidRPr="00D54E09">
        <w:t>2007).</w:t>
      </w:r>
      <w:r w:rsidRPr="00D54E09">
        <w:t xml:space="preserve"> </w:t>
      </w:r>
      <w:r w:rsidRPr="00D54E09">
        <w:t>However, it is unclear whether a claim for dilution under its statute would be recognized under this circumstance.</w:t>
      </w:r>
      <w:r w:rsidRPr="00D54E09">
        <w:t xml:space="preserve"> </w:t>
      </w:r>
      <w:r w:rsidRPr="00D54E09">
        <w:rPr>
          <w:i/>
        </w:rPr>
        <w:t>Cf.</w:t>
      </w:r>
      <w:r w:rsidRPr="00D54E09">
        <w:rPr>
          <w:i/>
        </w:rPr>
        <w:t xml:space="preserve"> </w:t>
      </w:r>
      <w:r w:rsidRPr="00D54E09">
        <w:t>Margel v.</w:t>
      </w:r>
      <w:r w:rsidRPr="00D54E09">
        <w:t xml:space="preserve"> </w:t>
      </w:r>
      <w:r w:rsidRPr="00D54E09">
        <w:t>E.G.L.</w:t>
      </w:r>
      <w:r w:rsidRPr="00D54E09">
        <w:t xml:space="preserve"> </w:t>
      </w:r>
      <w:r w:rsidRPr="00D54E09">
        <w:t>Gem Lab Ltd., 2015 WL 13678930, at *7, 2015 BL 522657 (S.D.N.Y.</w:t>
      </w:r>
      <w:r w:rsidRPr="00D54E09">
        <w:t xml:space="preserve"> </w:t>
      </w:r>
      <w:r w:rsidRPr="00D54E09">
        <w:t>Sept.</w:t>
      </w:r>
      <w:r w:rsidRPr="00D54E09">
        <w:t xml:space="preserve"> </w:t>
      </w:r>
      <w:r w:rsidRPr="00D54E09">
        <w:t>10, 2015) (refusing to apply federal or state trademark law extraterritorially under the facts of the case).</w:t>
      </w:r>
    </w:p>
  </w:footnote>
  <w:footnote w:id="77">
    <w:p w14:paraId="6AD77312" w14:textId="7142B13E" w:rsidR="00D54E09" w:rsidRPr="00D54E09" w:rsidRDefault="00D54E09" w:rsidP="00D54E09">
      <w:pPr>
        <w:pStyle w:val="FootnoteText"/>
      </w:pPr>
      <w:r w:rsidRPr="00D54E09">
        <w:rPr>
          <w:vertAlign w:val="superscript"/>
        </w:rPr>
        <w:footnoteRef/>
      </w:r>
      <w:r w:rsidRPr="00D54E09">
        <w:t>94 USPQ2d 1111 (T.T.A.B.</w:t>
      </w:r>
      <w:r w:rsidRPr="00D54E09">
        <w:t xml:space="preserve"> </w:t>
      </w:r>
      <w:r w:rsidRPr="00D54E09">
        <w:t>2010).</w:t>
      </w:r>
    </w:p>
    <w:p w14:paraId="666675D8" w14:textId="77777777" w:rsidR="00D54E09" w:rsidRPr="0014429A" w:rsidRDefault="00D54E09" w:rsidP="00CC7B6E">
      <w:pPr>
        <w:pStyle w:val="footnote"/>
        <w:rPr>
          <w:lang w:val="da-DK"/>
        </w:rPr>
      </w:pPr>
    </w:p>
  </w:footnote>
  <w:footnote w:id="78">
    <w:p w14:paraId="5EA486AC" w14:textId="3E351E8F" w:rsidR="00D54E09" w:rsidRPr="0014429A" w:rsidRDefault="00D54E09" w:rsidP="00D54E09">
      <w:pPr>
        <w:pStyle w:val="FootnoteText"/>
        <w:rPr>
          <w:lang w:val="da-DK"/>
        </w:rPr>
      </w:pPr>
      <w:r w:rsidRPr="00D54E09">
        <w:rPr>
          <w:vertAlign w:val="superscript"/>
        </w:rPr>
        <w:footnoteRef/>
      </w:r>
      <w:r w:rsidRPr="00D54E09">
        <w:rPr>
          <w:i/>
        </w:rPr>
        <w:t>Id</w:t>
      </w:r>
      <w:r w:rsidRPr="00D54E09">
        <w:t>.</w:t>
      </w:r>
      <w:r w:rsidRPr="00D54E09">
        <w:t xml:space="preserve"> </w:t>
      </w:r>
      <w:r w:rsidRPr="00D54E09">
        <w:t>at 1115.</w:t>
      </w:r>
    </w:p>
  </w:footnote>
  <w:footnote w:id="79">
    <w:p w14:paraId="6F78DA7F" w14:textId="16E221BA"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1114 n.5.</w:t>
      </w:r>
    </w:p>
  </w:footnote>
  <w:footnote w:id="80">
    <w:p w14:paraId="13E6F06C" w14:textId="7C34A4DF"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1115.</w:t>
      </w:r>
    </w:p>
  </w:footnote>
  <w:footnote w:id="81">
    <w:p w14:paraId="1AAFDB54" w14:textId="440035B1" w:rsidR="00D54E09" w:rsidRPr="000F5E39" w:rsidRDefault="00D54E09" w:rsidP="00D54E09">
      <w:pPr>
        <w:pStyle w:val="FootnoteText"/>
      </w:pPr>
      <w:r w:rsidRPr="00D54E09">
        <w:rPr>
          <w:vertAlign w:val="superscript"/>
        </w:rPr>
        <w:footnoteRef/>
      </w:r>
      <w:r w:rsidRPr="00D54E09">
        <w:t>315 F.3d 932, 65 USPQ2d 1359 (8th Cir.</w:t>
      </w:r>
      <w:r w:rsidRPr="00D54E09">
        <w:t xml:space="preserve"> </w:t>
      </w:r>
      <w:r w:rsidRPr="00D54E09">
        <w:t>2003).</w:t>
      </w:r>
    </w:p>
  </w:footnote>
  <w:footnote w:id="82">
    <w:p w14:paraId="397D397F" w14:textId="1EDD7FE7"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934–35.</w:t>
      </w:r>
      <w:r w:rsidRPr="00D54E09">
        <w:t xml:space="preserve"> </w:t>
      </w:r>
      <w:r w:rsidRPr="00D54E09">
        <w:t>His company used sophisticated call-routing technology to route calls made to that number to the licensed dealership in the area code from which it originated.</w:t>
      </w:r>
      <w:r w:rsidRPr="00D54E09">
        <w:t xml:space="preserve"> </w:t>
      </w:r>
      <w:r w:rsidRPr="00D54E09">
        <w:rPr>
          <w:i/>
        </w:rPr>
        <w:t>Id</w:t>
      </w:r>
      <w:r w:rsidRPr="00D54E09">
        <w:t>.</w:t>
      </w:r>
      <w:r w:rsidRPr="00D54E09">
        <w:t xml:space="preserve"> </w:t>
      </w:r>
      <w:r w:rsidRPr="00D54E09">
        <w:t>at 935.</w:t>
      </w:r>
    </w:p>
  </w:footnote>
  <w:footnote w:id="83">
    <w:p w14:paraId="012F1BCA" w14:textId="32808434"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936, 939 (noting that defendant did not advertise or promote the number with the Mercedes mark, even if the licensed dealers did so).</w:t>
      </w:r>
    </w:p>
  </w:footnote>
  <w:footnote w:id="84">
    <w:p w14:paraId="259A66F8" w14:textId="0702C81C"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937–38;</w:t>
      </w:r>
      <w:r w:rsidRPr="00D54E09">
        <w:t xml:space="preserve"> </w:t>
      </w:r>
      <w:r w:rsidRPr="00D54E09">
        <w:rPr>
          <w:i/>
        </w:rPr>
        <w:t>see</w:t>
      </w:r>
      <w:r w:rsidRPr="00D54E09">
        <w:t xml:space="preserve"> Perfect 10, Inc.</w:t>
      </w:r>
      <w:r w:rsidRPr="00D54E09">
        <w:t xml:space="preserve"> </w:t>
      </w:r>
      <w:r w:rsidRPr="00D54E09">
        <w:t>v.</w:t>
      </w:r>
      <w:r w:rsidRPr="00D54E09">
        <w:t xml:space="preserve"> </w:t>
      </w:r>
      <w:proofErr w:type="spellStart"/>
      <w:r w:rsidRPr="00D54E09">
        <w:t>Giganews</w:t>
      </w:r>
      <w:proofErr w:type="spellEnd"/>
      <w:r w:rsidRPr="00D54E09">
        <w:t>, Inc., 2013 U.S.</w:t>
      </w:r>
      <w:r w:rsidRPr="00D54E09">
        <w:t xml:space="preserve"> </w:t>
      </w:r>
      <w:r w:rsidRPr="00D54E09">
        <w:t>Dist.</w:t>
      </w:r>
      <w:r w:rsidRPr="00D54E09">
        <w:t xml:space="preserve"> </w:t>
      </w:r>
      <w:r w:rsidRPr="00D54E09">
        <w:t>LEXIS 71349, at *44–45 (C.D.</w:t>
      </w:r>
      <w:r w:rsidRPr="00D54E09">
        <w:t xml:space="preserve"> </w:t>
      </w:r>
      <w:r w:rsidRPr="00D54E09">
        <w:t>Cal.</w:t>
      </w:r>
      <w:r w:rsidRPr="00D54E09">
        <w:t xml:space="preserve"> </w:t>
      </w:r>
      <w:r w:rsidRPr="00D54E09">
        <w:t>Mar.</w:t>
      </w:r>
      <w:r w:rsidRPr="00D54E09">
        <w:t xml:space="preserve"> </w:t>
      </w:r>
      <w:r w:rsidRPr="00D54E09">
        <w:t>8, 2013) (making files created by third parties accessible to users does not “use” plaintiff’s marks);</w:t>
      </w:r>
      <w:r w:rsidRPr="00D54E09">
        <w:t xml:space="preserve"> </w:t>
      </w:r>
      <w:proofErr w:type="spellStart"/>
      <w:r w:rsidRPr="00D54E09">
        <w:t>AmMed</w:t>
      </w:r>
      <w:proofErr w:type="spellEnd"/>
      <w:r w:rsidRPr="00D54E09">
        <w:t xml:space="preserve"> Direct, LLC v.</w:t>
      </w:r>
      <w:r w:rsidRPr="00D54E09">
        <w:t xml:space="preserve"> </w:t>
      </w:r>
      <w:r w:rsidRPr="00D54E09">
        <w:t>Liberty Med.</w:t>
      </w:r>
      <w:r w:rsidRPr="00D54E09">
        <w:t xml:space="preserve"> </w:t>
      </w:r>
      <w:r w:rsidRPr="00D54E09">
        <w:t>Supply, Inc., 2009 WL 3680539, at *5–6, 2009 BL 203013 (M.D.</w:t>
      </w:r>
      <w:r w:rsidRPr="00D54E09">
        <w:t xml:space="preserve"> </w:t>
      </w:r>
      <w:r w:rsidRPr="00D54E09">
        <w:t>Tenn.</w:t>
      </w:r>
      <w:r w:rsidRPr="00D54E09">
        <w:t xml:space="preserve"> </w:t>
      </w:r>
      <w:r w:rsidRPr="00D54E09">
        <w:t>Sept.</w:t>
      </w:r>
      <w:r w:rsidRPr="00D54E09">
        <w:t xml:space="preserve"> </w:t>
      </w:r>
      <w:r w:rsidRPr="00D54E09">
        <w:t>23, 2009) (plaintiff failed to show that defendant actually used its mark, resulting in dismissal of dilution and infringement claims).</w:t>
      </w:r>
    </w:p>
  </w:footnote>
  <w:footnote w:id="85">
    <w:p w14:paraId="31246AEA" w14:textId="798E661A" w:rsidR="00D54E09" w:rsidRPr="000F5E39" w:rsidRDefault="00D54E09" w:rsidP="00D54E09">
      <w:pPr>
        <w:pStyle w:val="FootnoteText"/>
      </w:pPr>
      <w:r w:rsidRPr="00D54E09">
        <w:rPr>
          <w:vertAlign w:val="superscript"/>
        </w:rPr>
        <w:footnoteRef/>
      </w:r>
      <w:r w:rsidRPr="00D54E09">
        <w:t>National Bus.</w:t>
      </w:r>
      <w:r w:rsidRPr="00D54E09">
        <w:t xml:space="preserve"> </w:t>
      </w:r>
      <w:r w:rsidRPr="00D54E09">
        <w:t>Forms &amp; Printing, Inc.</w:t>
      </w:r>
      <w:r w:rsidRPr="00D54E09">
        <w:t xml:space="preserve"> </w:t>
      </w:r>
      <w:r w:rsidRPr="00D54E09">
        <w:t>v.</w:t>
      </w:r>
      <w:r w:rsidRPr="00D54E09">
        <w:t xml:space="preserve"> </w:t>
      </w:r>
      <w:r w:rsidRPr="00D54E09">
        <w:t>Ford Motor Co., 671 F.3d 526, 536, 101 USPQ2d 1746 (5th Cir.</w:t>
      </w:r>
      <w:r w:rsidRPr="00D54E09">
        <w:t xml:space="preserve"> </w:t>
      </w:r>
      <w:r w:rsidRPr="00D54E09">
        <w:t>2012).</w:t>
      </w:r>
      <w:r w:rsidRPr="00D54E09">
        <w:t xml:space="preserve"> </w:t>
      </w:r>
      <w:r w:rsidRPr="00D54E09">
        <w:t>The issue of the type of use necessary to be actionable under the TDRA is discussed in more detail in Chapter 9, §IV.</w:t>
      </w:r>
    </w:p>
  </w:footnote>
  <w:footnote w:id="86">
    <w:p w14:paraId="37FAAD45" w14:textId="68C351FB" w:rsidR="00D54E09" w:rsidRPr="009077F2" w:rsidRDefault="00D54E09" w:rsidP="00D54E09">
      <w:pPr>
        <w:pStyle w:val="FootnoteText"/>
      </w:pPr>
      <w:r w:rsidRPr="00D54E09">
        <w:rPr>
          <w:rStyle w:val="FootnoteReference"/>
          <w:rFonts w:eastAsiaTheme="majorEastAsia"/>
        </w:rPr>
        <w:footnoteRef/>
      </w:r>
      <w:r w:rsidRPr="00D54E09">
        <w:t>BMW of N.</w:t>
      </w:r>
      <w:r w:rsidRPr="00D54E09">
        <w:t xml:space="preserve"> </w:t>
      </w:r>
      <w:r w:rsidRPr="00D54E09">
        <w:t>Am., LLC v.</w:t>
      </w:r>
      <w:r w:rsidRPr="00D54E09">
        <w:t xml:space="preserve"> </w:t>
      </w:r>
      <w:r w:rsidRPr="00D54E09">
        <w:t>WIN.IT Am., Inc., 2018 WL 7458525, at *3, 2018 BL 526780 (C.D.</w:t>
      </w:r>
      <w:r w:rsidRPr="00D54E09">
        <w:t xml:space="preserve"> </w:t>
      </w:r>
      <w:r w:rsidRPr="00D54E09">
        <w:t>Cal.</w:t>
      </w:r>
      <w:r w:rsidRPr="00D54E09">
        <w:t xml:space="preserve"> </w:t>
      </w:r>
      <w:r w:rsidRPr="00D54E09">
        <w:t>Mar.</w:t>
      </w:r>
      <w:r w:rsidRPr="00D54E09">
        <w:t xml:space="preserve"> </w:t>
      </w:r>
      <w:r w:rsidRPr="00D54E09">
        <w:t>14, 2018).</w:t>
      </w:r>
    </w:p>
  </w:footnote>
  <w:footnote w:id="87">
    <w:p w14:paraId="6D4F142E" w14:textId="10C3845C" w:rsidR="00D54E09" w:rsidRPr="000F5E39" w:rsidRDefault="00D54E09" w:rsidP="00D54E09">
      <w:pPr>
        <w:pStyle w:val="FootnoteText"/>
      </w:pPr>
      <w:r w:rsidRPr="00D54E09">
        <w:rPr>
          <w:vertAlign w:val="superscript"/>
        </w:rPr>
        <w:footnoteRef/>
      </w:r>
      <w:r w:rsidRPr="00D54E09">
        <w:rPr>
          <w:i/>
        </w:rPr>
        <w:t>See</w:t>
      </w:r>
      <w:r w:rsidRPr="00D54E09">
        <w:t xml:space="preserve"> Chapter 10, §IV.</w:t>
      </w:r>
    </w:p>
  </w:footnote>
  <w:footnote w:id="88">
    <w:p w14:paraId="63BFFC67" w14:textId="61B107C4" w:rsidR="00D54E09" w:rsidRPr="000F5E39" w:rsidRDefault="00D54E09" w:rsidP="00D54E09">
      <w:pPr>
        <w:pStyle w:val="FootnoteText"/>
      </w:pPr>
      <w:r w:rsidRPr="00D54E09">
        <w:rPr>
          <w:vertAlign w:val="superscript"/>
        </w:rPr>
        <w:footnoteRef/>
      </w:r>
      <w:r w:rsidRPr="00D54E09">
        <w:t>296 F.3d 894, 63 USPQ2d 1715 (9th Cir.</w:t>
      </w:r>
      <w:r w:rsidRPr="00D54E09">
        <w:t xml:space="preserve"> </w:t>
      </w:r>
      <w:r w:rsidRPr="00D54E09">
        <w:t xml:space="preserve">2002), </w:t>
      </w:r>
      <w:r w:rsidRPr="00D54E09">
        <w:rPr>
          <w:i/>
        </w:rPr>
        <w:t>cert</w:t>
      </w:r>
      <w:r w:rsidRPr="00D54E09">
        <w:t>.</w:t>
      </w:r>
      <w:r w:rsidRPr="00D54E09">
        <w:t xml:space="preserve"> </w:t>
      </w:r>
      <w:r w:rsidRPr="00D54E09">
        <w:rPr>
          <w:i/>
        </w:rPr>
        <w:t>denied</w:t>
      </w:r>
      <w:r w:rsidRPr="00D54E09">
        <w:t>, 537 U.S.</w:t>
      </w:r>
      <w:r w:rsidRPr="00D54E09">
        <w:t xml:space="preserve"> </w:t>
      </w:r>
      <w:r w:rsidRPr="00D54E09">
        <w:t>1171 (2003).</w:t>
      </w:r>
    </w:p>
  </w:footnote>
  <w:footnote w:id="89">
    <w:p w14:paraId="2ADDA0D2" w14:textId="144D835D" w:rsidR="00D54E09" w:rsidRPr="000F5E39" w:rsidRDefault="00D54E09" w:rsidP="00D54E09">
      <w:pPr>
        <w:pStyle w:val="FootnoteText"/>
      </w:pPr>
      <w:r w:rsidRPr="00D54E09">
        <w:rPr>
          <w:vertAlign w:val="superscript"/>
        </w:rPr>
        <w:footnoteRef/>
      </w:r>
      <w:r w:rsidRPr="00D54E09">
        <w:t>289 F.3d 865, 879–80, 62 USPQ2d 1905 (6th Cir.</w:t>
      </w:r>
      <w:r w:rsidRPr="00D54E09">
        <w:t xml:space="preserve"> </w:t>
      </w:r>
      <w:r w:rsidRPr="00D54E09">
        <w:t>2002).</w:t>
      </w:r>
    </w:p>
  </w:footnote>
  <w:footnote w:id="90">
    <w:p w14:paraId="66DD0886" w14:textId="5FD06B77"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880 (dismissing claim against registrar);</w:t>
      </w:r>
      <w:r w:rsidRPr="00D54E09">
        <w:t xml:space="preserve"> </w:t>
      </w:r>
      <w:r w:rsidRPr="00D54E09">
        <w:rPr>
          <w:i/>
        </w:rPr>
        <w:t>cf</w:t>
      </w:r>
      <w:r w:rsidRPr="00D54E09">
        <w:t>.</w:t>
      </w:r>
      <w:r w:rsidRPr="00D54E09">
        <w:t xml:space="preserve"> </w:t>
      </w:r>
      <w:r w:rsidRPr="00D54E09">
        <w:t>Kraft Foods Holdings, Inc.</w:t>
      </w:r>
      <w:r w:rsidRPr="00D54E09">
        <w:t xml:space="preserve"> </w:t>
      </w:r>
      <w:r w:rsidRPr="00D54E09">
        <w:t>v.</w:t>
      </w:r>
      <w:r w:rsidRPr="00D54E09">
        <w:t xml:space="preserve"> </w:t>
      </w:r>
      <w:r w:rsidRPr="00D54E09">
        <w:t>Helm, 205 F.</w:t>
      </w:r>
      <w:r w:rsidRPr="00D54E09">
        <w:t xml:space="preserve"> </w:t>
      </w:r>
      <w:r w:rsidRPr="00D54E09">
        <w:t>Supp.</w:t>
      </w:r>
      <w:r w:rsidRPr="00D54E09">
        <w:t xml:space="preserve"> </w:t>
      </w:r>
      <w:r w:rsidRPr="00D54E09">
        <w:t>2d 942, 947, 63 USPQ2d 1353 (N.D.</w:t>
      </w:r>
      <w:r w:rsidRPr="00D54E09">
        <w:t xml:space="preserve"> </w:t>
      </w:r>
      <w:r w:rsidRPr="00D54E09">
        <w:t>Ill.</w:t>
      </w:r>
      <w:r w:rsidRPr="00D54E09">
        <w:t xml:space="preserve"> </w:t>
      </w:r>
      <w:r w:rsidRPr="00D54E09">
        <w:t>2002) (finding use in commerce via Internet Web site offering goods and services for sale).</w:t>
      </w:r>
    </w:p>
  </w:footnote>
  <w:footnote w:id="91">
    <w:p w14:paraId="1363E25C" w14:textId="52836056" w:rsidR="00D54E09" w:rsidRPr="000F5E39" w:rsidRDefault="00D54E09" w:rsidP="00D54E09">
      <w:pPr>
        <w:pStyle w:val="FootnoteText"/>
      </w:pPr>
      <w:r w:rsidRPr="00D54E09">
        <w:rPr>
          <w:vertAlign w:val="superscript"/>
        </w:rPr>
        <w:footnoteRef/>
      </w:r>
      <w:r w:rsidRPr="00D54E09">
        <w:t>319 F.3d 770, 65 USPQ2d 1834 (6th Cir.</w:t>
      </w:r>
      <w:r w:rsidRPr="00D54E09">
        <w:t xml:space="preserve"> </w:t>
      </w:r>
      <w:r w:rsidRPr="00D54E09">
        <w:t>2003).</w:t>
      </w:r>
    </w:p>
  </w:footnote>
  <w:footnote w:id="92">
    <w:p w14:paraId="377AC078" w14:textId="125C4D58" w:rsidR="00D54E09" w:rsidRPr="00D54E09" w:rsidRDefault="00D54E09" w:rsidP="00D54E09">
      <w:pPr>
        <w:pStyle w:val="FootnoteText"/>
      </w:pPr>
      <w:r w:rsidRPr="00D54E09">
        <w:rPr>
          <w:vertAlign w:val="superscript"/>
        </w:rPr>
        <w:footnoteRef/>
      </w:r>
      <w:r w:rsidRPr="00D54E09">
        <w:t>Section 32(1), in relevant part, provides:</w:t>
      </w:r>
    </w:p>
    <w:p w14:paraId="7B367D61" w14:textId="669B85C9" w:rsidR="00D54E09" w:rsidRPr="00D54E09" w:rsidRDefault="00D54E09" w:rsidP="00D54E09">
      <w:pPr>
        <w:pStyle w:val="BQuotelong"/>
      </w:pPr>
      <w:r w:rsidRPr="00D54E09">
        <w:t>Any person who shall, without the consent of the registrant</w:t>
      </w:r>
    </w:p>
    <w:p w14:paraId="7474DE82" w14:textId="77685745" w:rsidR="00D54E09" w:rsidRPr="00D54E09" w:rsidRDefault="00D54E09" w:rsidP="00D54E09">
      <w:pPr>
        <w:pStyle w:val="BQuotelong"/>
      </w:pPr>
      <w:r w:rsidRPr="00D54E09">
        <w:t xml:space="preserve">(a) use in commerce any reproduction, counterfeit, copy, or colorable imitation of a registered mark </w:t>
      </w:r>
      <w:r w:rsidRPr="00D54E09">
        <w:rPr>
          <w:i/>
        </w:rPr>
        <w:t>in connection with the sale, offering for sale, distribution, or advertising of any goods or services</w:t>
      </w:r>
      <w:r w:rsidRPr="00D54E09">
        <w:t xml:space="preserve"> on or in connection with which such use is likely to cause confusion</w:t>
      </w:r>
      <w:r w:rsidRPr="00D54E09">
        <w:t xml:space="preserve"> </w:t>
      </w:r>
      <w:r w:rsidRPr="00D54E09">
        <w:t>…</w:t>
      </w:r>
      <w:r w:rsidRPr="00D54E09">
        <w:t>.</w:t>
      </w:r>
    </w:p>
    <w:p w14:paraId="42890D33" w14:textId="77777777" w:rsidR="00D54E09" w:rsidRPr="000F5E39" w:rsidRDefault="00D54E09" w:rsidP="00D54E09">
      <w:pPr>
        <w:pStyle w:val="FootnoteText"/>
      </w:pPr>
      <w:r w:rsidRPr="00D54E09">
        <w:t>15 U.S.C.</w:t>
      </w:r>
      <w:r w:rsidRPr="00D54E09">
        <w:t xml:space="preserve"> </w:t>
      </w:r>
      <w:r w:rsidRPr="00D54E09">
        <w:t>§1114(1) (emphasis added).</w:t>
      </w:r>
      <w:r w:rsidRPr="00D54E09">
        <w:t xml:space="preserve"> </w:t>
      </w:r>
      <w:r w:rsidRPr="00D54E09">
        <w:t>The Sixth Circuit held that the defendant had not violated the portion of the statute italicized here.</w:t>
      </w:r>
      <w:r w:rsidRPr="00D54E09">
        <w:t xml:space="preserve"> </w:t>
      </w:r>
      <w:r w:rsidRPr="00D54E09">
        <w:t>It did not analyze the “commercial use in commerce” language of Section 43(c)(1).</w:t>
      </w:r>
      <w:r w:rsidRPr="00D54E09">
        <w:t xml:space="preserve"> </w:t>
      </w:r>
      <w:r w:rsidRPr="00D54E09">
        <w:t>319 F.3d at 774–76.</w:t>
      </w:r>
    </w:p>
  </w:footnote>
  <w:footnote w:id="93">
    <w:p w14:paraId="151004EF" w14:textId="38E459A5" w:rsidR="00D54E09" w:rsidRPr="000F5E39" w:rsidRDefault="00D54E09" w:rsidP="00D54E09">
      <w:pPr>
        <w:pStyle w:val="FootnoteText"/>
      </w:pPr>
      <w:r w:rsidRPr="00D54E09">
        <w:rPr>
          <w:vertAlign w:val="superscript"/>
        </w:rPr>
        <w:footnoteRef/>
      </w:r>
      <w:r w:rsidRPr="00D54E09">
        <w:t>368 F.3d 433, 70 USPQ2d 1630 (5th Cir.</w:t>
      </w:r>
      <w:r w:rsidRPr="00D54E09">
        <w:t xml:space="preserve"> </w:t>
      </w:r>
      <w:r w:rsidRPr="00D54E09">
        <w:t>2004).</w:t>
      </w:r>
    </w:p>
  </w:footnote>
  <w:footnote w:id="94">
    <w:p w14:paraId="5C8C0931" w14:textId="04419AE5"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438;</w:t>
      </w:r>
      <w:r w:rsidRPr="00D54E09">
        <w:t xml:space="preserve"> </w:t>
      </w:r>
      <w:r w:rsidRPr="00D54E09">
        <w:rPr>
          <w:i/>
        </w:rPr>
        <w:t>see</w:t>
      </w:r>
      <w:r w:rsidRPr="00D54E09">
        <w:t xml:space="preserve"> Bosley Med.</w:t>
      </w:r>
      <w:r w:rsidRPr="00D54E09">
        <w:t xml:space="preserve"> </w:t>
      </w:r>
      <w:r w:rsidRPr="00D54E09">
        <w:t>Inst., Inc.</w:t>
      </w:r>
      <w:r w:rsidRPr="00D54E09">
        <w:t xml:space="preserve"> </w:t>
      </w:r>
      <w:r w:rsidRPr="00D54E09">
        <w:t>v.</w:t>
      </w:r>
      <w:r w:rsidRPr="00D54E09">
        <w:t xml:space="preserve"> </w:t>
      </w:r>
      <w:r w:rsidRPr="00D54E09">
        <w:t>Kremer, 403 F.3d 672, 677–80, 74 USPQ2d 1280 (9th Cir.</w:t>
      </w:r>
      <w:r w:rsidRPr="00D54E09">
        <w:t xml:space="preserve"> </w:t>
      </w:r>
      <w:r w:rsidRPr="00D54E09">
        <w:t>2005) (complaint Web site not a commercial use).</w:t>
      </w:r>
      <w:r w:rsidRPr="00D54E09">
        <w:t xml:space="preserve"> </w:t>
      </w:r>
      <w:r w:rsidRPr="00D54E09">
        <w:rPr>
          <w:i/>
        </w:rPr>
        <w:t>But cf</w:t>
      </w:r>
      <w:r w:rsidRPr="00D54E09">
        <w:t>.</w:t>
      </w:r>
      <w:r w:rsidRPr="00D54E09">
        <w:t xml:space="preserve"> </w:t>
      </w:r>
      <w:proofErr w:type="spellStart"/>
      <w:r w:rsidRPr="00D54E09">
        <w:t>Rescuecom</w:t>
      </w:r>
      <w:proofErr w:type="spellEnd"/>
      <w:r w:rsidRPr="00D54E09">
        <w:t xml:space="preserve"> Corp.</w:t>
      </w:r>
      <w:r w:rsidRPr="00D54E09">
        <w:t xml:space="preserve"> </w:t>
      </w:r>
      <w:r w:rsidRPr="00D54E09">
        <w:t>v.</w:t>
      </w:r>
      <w:r w:rsidRPr="00D54E09">
        <w:t xml:space="preserve"> </w:t>
      </w:r>
      <w:r w:rsidRPr="00D54E09">
        <w:t>Google, Inc., 562 F.3d 123, 90 USPQ2d 1287 (2d Cir.</w:t>
      </w:r>
      <w:r w:rsidRPr="00D54E09">
        <w:t xml:space="preserve"> </w:t>
      </w:r>
      <w:r w:rsidRPr="00D54E09">
        <w:t>2009) (keyword advertising is use in commerce);</w:t>
      </w:r>
      <w:r w:rsidRPr="00D54E09">
        <w:t xml:space="preserve"> </w:t>
      </w:r>
      <w:r w:rsidRPr="00D54E09">
        <w:t>Google, Inc.</w:t>
      </w:r>
      <w:r w:rsidRPr="00D54E09">
        <w:t xml:space="preserve"> </w:t>
      </w:r>
      <w:r w:rsidRPr="00D54E09">
        <w:t>v.</w:t>
      </w:r>
      <w:r w:rsidRPr="00D54E09">
        <w:t xml:space="preserve"> </w:t>
      </w:r>
      <w:r w:rsidRPr="00D54E09">
        <w:t>American Blind &amp; Wallpaper Factory, Inc., 2007 U.S.</w:t>
      </w:r>
      <w:r w:rsidRPr="00D54E09">
        <w:t xml:space="preserve"> </w:t>
      </w:r>
      <w:r w:rsidRPr="00D54E09">
        <w:t>Dist.</w:t>
      </w:r>
      <w:r w:rsidRPr="00D54E09">
        <w:t xml:space="preserve"> </w:t>
      </w:r>
      <w:r w:rsidRPr="00D54E09">
        <w:t>LEXIS 32450, *7–21 (N.D.</w:t>
      </w:r>
      <w:r w:rsidRPr="00D54E09">
        <w:t xml:space="preserve"> </w:t>
      </w:r>
      <w:r w:rsidRPr="00D54E09">
        <w:t>Cal.</w:t>
      </w:r>
      <w:r w:rsidRPr="00D54E09">
        <w:t xml:space="preserve"> </w:t>
      </w:r>
      <w:r w:rsidRPr="00D54E09">
        <w:t>Apr.</w:t>
      </w:r>
      <w:r w:rsidRPr="00D54E09">
        <w:t xml:space="preserve"> </w:t>
      </w:r>
      <w:r w:rsidRPr="00D54E09">
        <w:t>18, 2007) (finding Google’s keyword advertising system to be a “use in commerce”) (opinion designated as not for publication).</w:t>
      </w:r>
      <w:r w:rsidRPr="00D54E09">
        <w:t xml:space="preserve"> </w:t>
      </w:r>
      <w:r w:rsidRPr="00D54E09">
        <w:t>See also Chapter 9, §II.H.4.</w:t>
      </w:r>
    </w:p>
    <w:p w14:paraId="0349761F" w14:textId="77777777" w:rsidR="00D54E09" w:rsidRPr="000F5E39" w:rsidRDefault="00D54E09" w:rsidP="00CC7B6E">
      <w:pPr>
        <w:pStyle w:val="footnote"/>
      </w:pPr>
    </w:p>
  </w:footnote>
  <w:footnote w:id="95">
    <w:p w14:paraId="460810AE" w14:textId="5E1C68ED" w:rsidR="00D54E09" w:rsidRPr="00D54E09" w:rsidRDefault="00D54E09" w:rsidP="00D54E09">
      <w:pPr>
        <w:pStyle w:val="FootnoteText"/>
      </w:pPr>
      <w:r w:rsidRPr="00D54E09">
        <w:rPr>
          <w:vertAlign w:val="superscript"/>
        </w:rPr>
        <w:footnoteRef/>
      </w:r>
      <w:r w:rsidRPr="00D54E09">
        <w:t>See cases cited in Chapter 8, §III.A.</w:t>
      </w:r>
    </w:p>
    <w:p w14:paraId="3E74B542" w14:textId="77777777" w:rsidR="00D54E09" w:rsidRPr="000F5E39" w:rsidRDefault="00D54E09" w:rsidP="00CC7B6E">
      <w:pPr>
        <w:pStyle w:val="footnote"/>
      </w:pPr>
    </w:p>
  </w:footnote>
  <w:footnote w:id="96">
    <w:p w14:paraId="3226FE74" w14:textId="013EB6E2" w:rsidR="00D54E09" w:rsidRPr="000F5E39" w:rsidRDefault="00D54E09" w:rsidP="00D54E09">
      <w:pPr>
        <w:pStyle w:val="FootnoteText"/>
      </w:pPr>
      <w:r w:rsidRPr="00D54E09">
        <w:rPr>
          <w:vertAlign w:val="superscript"/>
        </w:rPr>
        <w:footnoteRef/>
      </w:r>
      <w:r w:rsidRPr="00D54E09">
        <w:t>Lanham Act §43(c)(1), 15 U.S.C.</w:t>
      </w:r>
      <w:r w:rsidRPr="00D54E09">
        <w:t xml:space="preserve"> </w:t>
      </w:r>
      <w:r w:rsidRPr="00D54E09">
        <w:t>§1125(c)(1) (emphasis added);</w:t>
      </w:r>
      <w:r w:rsidRPr="00D54E09">
        <w:t xml:space="preserve"> </w:t>
      </w:r>
      <w:r w:rsidRPr="00D54E09">
        <w:rPr>
          <w:i/>
        </w:rPr>
        <w:t xml:space="preserve">see </w:t>
      </w:r>
      <w:proofErr w:type="spellStart"/>
      <w:r w:rsidRPr="00D54E09">
        <w:t>Jarritos</w:t>
      </w:r>
      <w:proofErr w:type="spellEnd"/>
      <w:r w:rsidRPr="00D54E09">
        <w:t>, Inc.</w:t>
      </w:r>
      <w:r w:rsidRPr="00D54E09">
        <w:t xml:space="preserve"> </w:t>
      </w:r>
      <w:r w:rsidRPr="00D54E09">
        <w:t>v.</w:t>
      </w:r>
      <w:r w:rsidRPr="00D54E09">
        <w:t xml:space="preserve"> </w:t>
      </w:r>
      <w:r w:rsidRPr="00D54E09">
        <w:t xml:space="preserve">Los </w:t>
      </w:r>
      <w:proofErr w:type="spellStart"/>
      <w:r w:rsidRPr="00D54E09">
        <w:t>Jarritos</w:t>
      </w:r>
      <w:proofErr w:type="spellEnd"/>
      <w:r w:rsidRPr="00D54E09">
        <w:t>, 2007 U.S.</w:t>
      </w:r>
      <w:r w:rsidRPr="00D54E09">
        <w:t xml:space="preserve"> </w:t>
      </w:r>
      <w:r w:rsidRPr="00D54E09">
        <w:t>Dist.</w:t>
      </w:r>
      <w:r w:rsidRPr="00D54E09">
        <w:t xml:space="preserve"> </w:t>
      </w:r>
      <w:r w:rsidRPr="00D54E09">
        <w:t>LEXIS 32245, at *55 (N.D.</w:t>
      </w:r>
      <w:r w:rsidRPr="00D54E09">
        <w:t xml:space="preserve"> </w:t>
      </w:r>
      <w:r w:rsidRPr="00D54E09">
        <w:t>Cal.</w:t>
      </w:r>
      <w:r w:rsidRPr="00D54E09">
        <w:t xml:space="preserve"> </w:t>
      </w:r>
      <w:r w:rsidRPr="00D54E09">
        <w:t>May 2, 2007) (no evidence of fame prior to the time defendant opened its restaurant);</w:t>
      </w:r>
      <w:r w:rsidRPr="00D54E09">
        <w:t xml:space="preserve"> </w:t>
      </w:r>
      <w:r w:rsidRPr="00D54E09">
        <w:t>Ty Inc.</w:t>
      </w:r>
      <w:r w:rsidRPr="00D54E09">
        <w:t xml:space="preserve"> </w:t>
      </w:r>
      <w:r w:rsidRPr="00D54E09">
        <w:t>v.</w:t>
      </w:r>
      <w:r w:rsidRPr="00D54E09">
        <w:t xml:space="preserve"> </w:t>
      </w:r>
      <w:r w:rsidRPr="00D54E09">
        <w:t>Perryman, 2001 WL 826893, at *13 (N.D.</w:t>
      </w:r>
      <w:r w:rsidRPr="00D54E09">
        <w:t xml:space="preserve"> </w:t>
      </w:r>
      <w:r w:rsidRPr="00D54E09">
        <w:t>Ill.</w:t>
      </w:r>
      <w:r w:rsidRPr="00D54E09">
        <w:t xml:space="preserve"> </w:t>
      </w:r>
      <w:r w:rsidRPr="00D54E09">
        <w:t xml:space="preserve">July 17, 2001) (noting that defendant disputed the issue, but had no evidence), </w:t>
      </w:r>
      <w:proofErr w:type="spellStart"/>
      <w:r w:rsidRPr="00D54E09">
        <w:rPr>
          <w:i/>
        </w:rPr>
        <w:t>rev’d</w:t>
      </w:r>
      <w:proofErr w:type="spellEnd"/>
      <w:r w:rsidRPr="00D54E09">
        <w:rPr>
          <w:i/>
        </w:rPr>
        <w:t xml:space="preserve"> on other grounds</w:t>
      </w:r>
      <w:r w:rsidRPr="00D54E09">
        <w:t>, 306 F.3d 509, 64 USPQ2d 1689 (7th Cir.</w:t>
      </w:r>
      <w:r w:rsidRPr="00D54E09">
        <w:t xml:space="preserve"> </w:t>
      </w:r>
      <w:r w:rsidRPr="00D54E09">
        <w:t xml:space="preserve">2002), </w:t>
      </w:r>
      <w:r w:rsidRPr="00D54E09">
        <w:rPr>
          <w:i/>
        </w:rPr>
        <w:t>cert</w:t>
      </w:r>
      <w:r w:rsidRPr="00D54E09">
        <w:t>.</w:t>
      </w:r>
      <w:r w:rsidRPr="00D54E09">
        <w:t xml:space="preserve"> </w:t>
      </w:r>
      <w:r w:rsidRPr="00D54E09">
        <w:rPr>
          <w:i/>
        </w:rPr>
        <w:t>denied</w:t>
      </w:r>
      <w:r w:rsidRPr="00D54E09">
        <w:t>, 538 U.S.</w:t>
      </w:r>
      <w:r w:rsidRPr="00D54E09">
        <w:t xml:space="preserve"> </w:t>
      </w:r>
      <w:r w:rsidRPr="00D54E09">
        <w:t>971 (2003);</w:t>
      </w:r>
      <w:r w:rsidRPr="00D54E09">
        <w:t xml:space="preserve"> </w:t>
      </w:r>
      <w:proofErr w:type="spellStart"/>
      <w:r w:rsidRPr="00D54E09">
        <w:t>Chatam</w:t>
      </w:r>
      <w:proofErr w:type="spellEnd"/>
      <w:r w:rsidRPr="00D54E09">
        <w:t xml:space="preserve"> Int’l, Inc.</w:t>
      </w:r>
      <w:r w:rsidRPr="00D54E09">
        <w:t xml:space="preserve"> </w:t>
      </w:r>
      <w:r w:rsidRPr="00D54E09">
        <w:t>v.</w:t>
      </w:r>
      <w:r w:rsidRPr="00D54E09">
        <w:t xml:space="preserve"> </w:t>
      </w:r>
      <w:r w:rsidRPr="00D54E09">
        <w:t>Bodum, Inc., 157 F.</w:t>
      </w:r>
      <w:r w:rsidRPr="00D54E09">
        <w:t xml:space="preserve"> </w:t>
      </w:r>
      <w:r w:rsidRPr="00D54E09">
        <w:t>Supp.</w:t>
      </w:r>
      <w:r w:rsidRPr="00D54E09">
        <w:t xml:space="preserve"> </w:t>
      </w:r>
      <w:r w:rsidRPr="00D54E09">
        <w:t>2d 549, 560 (E.D.</w:t>
      </w:r>
      <w:r w:rsidRPr="00D54E09">
        <w:t xml:space="preserve"> </w:t>
      </w:r>
      <w:r w:rsidRPr="00D54E09">
        <w:t>Pa.</w:t>
      </w:r>
      <w:r w:rsidRPr="00D54E09">
        <w:t xml:space="preserve"> </w:t>
      </w:r>
      <w:r w:rsidRPr="00D54E09">
        <w:t xml:space="preserve">2001), </w:t>
      </w:r>
      <w:r w:rsidRPr="00D54E09">
        <w:rPr>
          <w:i/>
        </w:rPr>
        <w:t>aff’d mem</w:t>
      </w:r>
      <w:r w:rsidRPr="00D54E09">
        <w:t>., 40 F.</w:t>
      </w:r>
      <w:r w:rsidRPr="00D54E09">
        <w:t xml:space="preserve"> </w:t>
      </w:r>
      <w:proofErr w:type="spellStart"/>
      <w:r w:rsidRPr="00D54E09">
        <w:t>App’x</w:t>
      </w:r>
      <w:proofErr w:type="spellEnd"/>
      <w:r w:rsidRPr="00D54E09">
        <w:t>.</w:t>
      </w:r>
      <w:r w:rsidRPr="00D54E09">
        <w:t xml:space="preserve"> </w:t>
      </w:r>
      <w:r w:rsidRPr="00D54E09">
        <w:t>685 (3d Cir.</w:t>
      </w:r>
      <w:r w:rsidRPr="00D54E09">
        <w:t xml:space="preserve"> </w:t>
      </w:r>
      <w:r w:rsidRPr="00D54E09">
        <w:t>2002) (unpublished opinion).</w:t>
      </w:r>
    </w:p>
  </w:footnote>
  <w:footnote w:id="97">
    <w:p w14:paraId="2B7E84BE" w14:textId="51A84D3A" w:rsidR="00D54E09" w:rsidRPr="00B5074A" w:rsidRDefault="00D54E09" w:rsidP="00D54E09">
      <w:pPr>
        <w:pStyle w:val="FootnoteText"/>
      </w:pPr>
      <w:r w:rsidRPr="00D54E09">
        <w:rPr>
          <w:vertAlign w:val="superscript"/>
        </w:rPr>
        <w:footnoteRef/>
      </w:r>
      <w:r w:rsidRPr="00D54E09">
        <w:t>Yeti Coolers LLC v.</w:t>
      </w:r>
      <w:r w:rsidRPr="00D54E09">
        <w:t xml:space="preserve"> </w:t>
      </w:r>
      <w:proofErr w:type="spellStart"/>
      <w:r w:rsidRPr="00D54E09">
        <w:t>Mercatalyst</w:t>
      </w:r>
      <w:proofErr w:type="spellEnd"/>
      <w:r w:rsidRPr="00D54E09">
        <w:t>, Inc., 2024 WL 1216726, at *5, 2024 BL 95531 (W.D.</w:t>
      </w:r>
      <w:r w:rsidRPr="00D54E09">
        <w:t xml:space="preserve"> </w:t>
      </w:r>
      <w:r w:rsidRPr="00D54E09">
        <w:t>Tex.</w:t>
      </w:r>
      <w:r w:rsidRPr="00D54E09">
        <w:t xml:space="preserve"> </w:t>
      </w:r>
      <w:r w:rsidRPr="00D54E09">
        <w:t>2024) (failure to allege that defendant’s use began after mark became famous results in dismissal despite default);</w:t>
      </w:r>
      <w:r w:rsidRPr="00D54E09">
        <w:t xml:space="preserve"> </w:t>
      </w:r>
      <w:r w:rsidRPr="00D54E09">
        <w:t>Bear Omnimedia LLC v.</w:t>
      </w:r>
      <w:r w:rsidRPr="00D54E09">
        <w:t xml:space="preserve"> </w:t>
      </w:r>
      <w:r w:rsidRPr="00D54E09">
        <w:t>Mania Media LLC, 2018 WL 5085750, at *3, 2018 BL 384979 (D.</w:t>
      </w:r>
      <w:r w:rsidRPr="00D54E09">
        <w:t xml:space="preserve"> </w:t>
      </w:r>
      <w:r w:rsidRPr="00D54E09">
        <w:t>Nev.</w:t>
      </w:r>
      <w:r w:rsidRPr="00D54E09">
        <w:t xml:space="preserve"> </w:t>
      </w:r>
      <w:r w:rsidRPr="00D54E09">
        <w:t>Oct.</w:t>
      </w:r>
      <w:r w:rsidRPr="00D54E09">
        <w:t xml:space="preserve"> </w:t>
      </w:r>
      <w:r w:rsidRPr="00D54E09">
        <w:t>17, 2018) (failure to allege that defendant’s use began after plaintiff’s mark became famous warrants dismissal of dilution claim);</w:t>
      </w:r>
      <w:r w:rsidRPr="00D54E09">
        <w:t xml:space="preserve"> </w:t>
      </w:r>
      <w:r w:rsidRPr="00D54E09">
        <w:t>Kleven v.</w:t>
      </w:r>
      <w:r w:rsidRPr="00D54E09">
        <w:t xml:space="preserve"> </w:t>
      </w:r>
      <w:r w:rsidRPr="00D54E09">
        <w:t>Hereford, 2016 WL 4424964, at *11, 2016 BL 48550 (C.D.</w:t>
      </w:r>
      <w:r w:rsidRPr="00D54E09">
        <w:t xml:space="preserve"> </w:t>
      </w:r>
      <w:r w:rsidRPr="00D54E09">
        <w:t>Cal.</w:t>
      </w:r>
      <w:r w:rsidRPr="00D54E09">
        <w:t xml:space="preserve"> </w:t>
      </w:r>
      <w:r w:rsidRPr="00D54E09">
        <w:t>Feb.</w:t>
      </w:r>
      <w:r w:rsidRPr="00D54E09">
        <w:t xml:space="preserve"> </w:t>
      </w:r>
      <w:r w:rsidRPr="00D54E09">
        <w:t xml:space="preserve">18, 2016) (finding insufficient evidence that the “Rin Tin </w:t>
      </w:r>
      <w:proofErr w:type="spellStart"/>
      <w:r w:rsidRPr="00D54E09">
        <w:t>Tin</w:t>
      </w:r>
      <w:proofErr w:type="spellEnd"/>
      <w:r w:rsidRPr="00D54E09">
        <w:t>” mark became famous before defendant’s first use);</w:t>
      </w:r>
      <w:r w:rsidRPr="00D54E09">
        <w:t xml:space="preserve"> </w:t>
      </w:r>
      <w:r w:rsidRPr="00D54E09">
        <w:t>Brain Pharma, LLC v.</w:t>
      </w:r>
      <w:r w:rsidRPr="00D54E09">
        <w:t xml:space="preserve"> </w:t>
      </w:r>
      <w:proofErr w:type="spellStart"/>
      <w:r w:rsidRPr="00D54E09">
        <w:t>Scalini</w:t>
      </w:r>
      <w:proofErr w:type="spellEnd"/>
      <w:r w:rsidRPr="00D54E09">
        <w:t>, 858 F.</w:t>
      </w:r>
      <w:r w:rsidRPr="00D54E09">
        <w:t xml:space="preserve"> </w:t>
      </w:r>
      <w:r w:rsidRPr="00D54E09">
        <w:t>Supp.</w:t>
      </w:r>
      <w:r w:rsidRPr="00D54E09">
        <w:t xml:space="preserve"> </w:t>
      </w:r>
      <w:r w:rsidRPr="00D54E09">
        <w:t>2d 1349, 1358 (S.D.</w:t>
      </w:r>
      <w:r w:rsidRPr="00D54E09">
        <w:t xml:space="preserve"> </w:t>
      </w:r>
      <w:r w:rsidRPr="00D54E09">
        <w:t>Fla.</w:t>
      </w:r>
      <w:r w:rsidRPr="00D54E09">
        <w:t xml:space="preserve"> </w:t>
      </w:r>
      <w:r w:rsidRPr="00D54E09">
        <w:t>2012) (failure to plead facts showing that plaintiff’s mark became famous before defendant’s use began warrants dismissal);</w:t>
      </w:r>
      <w:r w:rsidRPr="00D54E09">
        <w:t xml:space="preserve"> </w:t>
      </w:r>
      <w:r w:rsidRPr="00D54E09">
        <w:t>Steak Umm Co., LLC v.</w:t>
      </w:r>
      <w:r w:rsidRPr="00D54E09">
        <w:t xml:space="preserve"> </w:t>
      </w:r>
      <w:r w:rsidRPr="00D54E09">
        <w:t>Steak ’Em Up, Inc., 2011 U.S.</w:t>
      </w:r>
      <w:r w:rsidRPr="00D54E09">
        <w:t xml:space="preserve"> </w:t>
      </w:r>
      <w:r w:rsidRPr="00D54E09">
        <w:t>Dist.</w:t>
      </w:r>
      <w:r w:rsidRPr="00D54E09">
        <w:t xml:space="preserve"> </w:t>
      </w:r>
      <w:r w:rsidRPr="00D54E09">
        <w:t>LEXIS 94088, at *23 (E.D.</w:t>
      </w:r>
      <w:r w:rsidRPr="00D54E09">
        <w:t xml:space="preserve"> </w:t>
      </w:r>
      <w:r w:rsidRPr="00D54E09">
        <w:t>Pa.</w:t>
      </w:r>
      <w:r w:rsidRPr="00D54E09">
        <w:t xml:space="preserve"> </w:t>
      </w:r>
      <w:r w:rsidRPr="00D54E09">
        <w:t>Aug.</w:t>
      </w:r>
      <w:r w:rsidRPr="00D54E09">
        <w:t xml:space="preserve"> </w:t>
      </w:r>
      <w:r w:rsidRPr="00D54E09">
        <w:t>23, 2011)(burden is on plaintiff to show when mark became famous and when defendant made first use);</w:t>
      </w:r>
      <w:r w:rsidRPr="00D54E09">
        <w:t xml:space="preserve"> </w:t>
      </w:r>
      <w:proofErr w:type="spellStart"/>
      <w:r w:rsidRPr="00D54E09">
        <w:rPr>
          <w:i/>
        </w:rPr>
        <w:t>Chatam</w:t>
      </w:r>
      <w:proofErr w:type="spellEnd"/>
      <w:r w:rsidRPr="00D54E09">
        <w:rPr>
          <w:i/>
        </w:rPr>
        <w:t xml:space="preserve"> Int’l</w:t>
      </w:r>
      <w:r w:rsidRPr="00D54E09">
        <w:t>, 157 F.</w:t>
      </w:r>
      <w:r w:rsidRPr="00D54E09">
        <w:t xml:space="preserve"> </w:t>
      </w:r>
      <w:r w:rsidRPr="00D54E09">
        <w:t>Supp.</w:t>
      </w:r>
      <w:r w:rsidRPr="00D54E09">
        <w:t xml:space="preserve"> </w:t>
      </w:r>
      <w:r w:rsidRPr="00D54E09">
        <w:t>2d at 560 (same);</w:t>
      </w:r>
      <w:r w:rsidRPr="00D54E09">
        <w:t xml:space="preserve"> </w:t>
      </w:r>
      <w:r w:rsidRPr="00D54E09">
        <w:t>Citigroup, Inc.</w:t>
      </w:r>
      <w:r w:rsidRPr="00D54E09">
        <w:t xml:space="preserve"> </w:t>
      </w:r>
      <w:r w:rsidRPr="00D54E09">
        <w:t>v.</w:t>
      </w:r>
      <w:r w:rsidRPr="00D54E09">
        <w:t xml:space="preserve"> </w:t>
      </w:r>
      <w:r w:rsidRPr="00D54E09">
        <w:t>Capital City Bank Grp., Inc., 94 USPQ2d 1645, 1665 (T.T.A.B.</w:t>
      </w:r>
      <w:r w:rsidRPr="00D54E09">
        <w:t xml:space="preserve"> </w:t>
      </w:r>
      <w:r w:rsidRPr="00D54E09">
        <w:t xml:space="preserve">2010), </w:t>
      </w:r>
      <w:r w:rsidRPr="00D54E09">
        <w:rPr>
          <w:i/>
        </w:rPr>
        <w:t>aff’d</w:t>
      </w:r>
      <w:r w:rsidRPr="00D54E09">
        <w:t>, 637 F.3d 1344, 98 USPQ2d 1253 (Fed.</w:t>
      </w:r>
      <w:r w:rsidRPr="00D54E09">
        <w:t xml:space="preserve"> </w:t>
      </w:r>
      <w:r w:rsidRPr="00D54E09">
        <w:t>Cir.</w:t>
      </w:r>
      <w:r w:rsidRPr="00D54E09">
        <w:t xml:space="preserve"> </w:t>
      </w:r>
      <w:r w:rsidRPr="00D54E09">
        <w:t>2011).</w:t>
      </w:r>
      <w:r w:rsidRPr="00D54E09">
        <w:t xml:space="preserve"> </w:t>
      </w:r>
      <w:r w:rsidRPr="00D54E09">
        <w:rPr>
          <w:i/>
        </w:rPr>
        <w:t>See</w:t>
      </w:r>
      <w:r w:rsidRPr="00D54E09">
        <w:t xml:space="preserve"> City of New York v.</w:t>
      </w:r>
      <w:r w:rsidRPr="00D54E09">
        <w:t xml:space="preserve"> </w:t>
      </w:r>
      <w:r w:rsidRPr="00D54E09">
        <w:t>Blue Rage, Inc., 435 F.</w:t>
      </w:r>
      <w:r w:rsidRPr="00D54E09">
        <w:t xml:space="preserve"> </w:t>
      </w:r>
      <w:r w:rsidRPr="00D54E09">
        <w:t>Supp.</w:t>
      </w:r>
      <w:r w:rsidRPr="00D54E09">
        <w:t xml:space="preserve"> </w:t>
      </w:r>
      <w:r w:rsidRPr="00D54E09">
        <w:t>3d 472, 492–93  (E.D.N.Y.</w:t>
      </w:r>
      <w:r w:rsidRPr="00D54E09">
        <w:t xml:space="preserve"> </w:t>
      </w:r>
      <w:r w:rsidRPr="00D54E09">
        <w:t>2020) (denying the City’s summary judgment motion because of insufficient facts to determine when the mark became famous);</w:t>
      </w:r>
      <w:r w:rsidRPr="00D54E09">
        <w:t xml:space="preserve"> </w:t>
      </w:r>
      <w:proofErr w:type="spellStart"/>
      <w:r w:rsidRPr="00D54E09">
        <w:t>Arcsoft</w:t>
      </w:r>
      <w:proofErr w:type="spellEnd"/>
      <w:r w:rsidRPr="00D54E09">
        <w:t>, Inc.</w:t>
      </w:r>
      <w:r w:rsidRPr="00D54E09">
        <w:t xml:space="preserve"> </w:t>
      </w:r>
      <w:r w:rsidRPr="00D54E09">
        <w:t>v.</w:t>
      </w:r>
      <w:r w:rsidRPr="00D54E09">
        <w:t xml:space="preserve"> </w:t>
      </w:r>
      <w:proofErr w:type="spellStart"/>
      <w:r w:rsidRPr="00D54E09">
        <w:t>Cyberlink</w:t>
      </w:r>
      <w:proofErr w:type="spellEnd"/>
      <w:r w:rsidRPr="00D54E09">
        <w:t xml:space="preserve"> Corp., 153 F.</w:t>
      </w:r>
      <w:r w:rsidRPr="00D54E09">
        <w:t xml:space="preserve"> </w:t>
      </w:r>
      <w:r w:rsidRPr="00D54E09">
        <w:t>Supp.</w:t>
      </w:r>
      <w:r w:rsidRPr="00D54E09">
        <w:t xml:space="preserve"> </w:t>
      </w:r>
      <w:r w:rsidRPr="00D54E09">
        <w:t>3d 1057, 1065–67 (N.D.</w:t>
      </w:r>
      <w:r w:rsidRPr="00D54E09">
        <w:t xml:space="preserve"> </w:t>
      </w:r>
      <w:r w:rsidRPr="00D54E09">
        <w:t>Cal.</w:t>
      </w:r>
      <w:r w:rsidRPr="00D54E09">
        <w:t xml:space="preserve"> </w:t>
      </w:r>
      <w:r w:rsidRPr="00D54E09">
        <w:t>2015) (dismissing complaint and noting that plaintiff did not allege when many key activities took place).</w:t>
      </w:r>
      <w:r w:rsidRPr="00D54E09">
        <w:t xml:space="preserve"> </w:t>
      </w:r>
      <w:r w:rsidRPr="00D54E09">
        <w:t>When dilution is asserted as a ground to oppose an intent to use (ITU) application for trademark registration with the U.S.</w:t>
      </w:r>
      <w:r w:rsidRPr="00D54E09">
        <w:t xml:space="preserve"> </w:t>
      </w:r>
      <w:r w:rsidRPr="00D54E09">
        <w:t xml:space="preserve">Patent and Trademark Office, the Trademark Trial and Appeal Board has held that the opposer must </w:t>
      </w:r>
      <w:r w:rsidRPr="00D54E09">
        <w:rPr>
          <w:i/>
        </w:rPr>
        <w:t>plead and prove</w:t>
      </w:r>
      <w:r w:rsidRPr="00D54E09">
        <w:t xml:space="preserve"> that its mark was famous before the filing of the ITU application.</w:t>
      </w:r>
      <w:r w:rsidRPr="00D54E09">
        <w:t xml:space="preserve"> </w:t>
      </w:r>
      <w:r w:rsidRPr="00D54E09">
        <w:t>STX Fin., LLC v.</w:t>
      </w:r>
      <w:r w:rsidRPr="00D54E09">
        <w:t xml:space="preserve"> </w:t>
      </w:r>
      <w:r w:rsidRPr="00D54E09">
        <w:t>Terrazas, 2021 WL 4352188, at *12–13 (T.T.A.B.</w:t>
      </w:r>
      <w:r w:rsidRPr="00D54E09">
        <w:t xml:space="preserve"> </w:t>
      </w:r>
      <w:r w:rsidRPr="00D54E09">
        <w:t>Sept.</w:t>
      </w:r>
      <w:r w:rsidRPr="00D54E09">
        <w:t xml:space="preserve"> </w:t>
      </w:r>
      <w:r w:rsidRPr="00D54E09">
        <w:t>22, 2021) (noting that much of Opposer’s evidence postdated Applicant’s filing date) (non-precedential);</w:t>
      </w:r>
      <w:r w:rsidRPr="00D54E09">
        <w:t xml:space="preserve"> </w:t>
      </w:r>
      <w:proofErr w:type="spellStart"/>
      <w:r w:rsidRPr="00D54E09">
        <w:t>Antichat</w:t>
      </w:r>
      <w:proofErr w:type="spellEnd"/>
      <w:r w:rsidRPr="00D54E09">
        <w:t xml:space="preserve"> KFT v.</w:t>
      </w:r>
      <w:r w:rsidRPr="00D54E09">
        <w:t xml:space="preserve"> </w:t>
      </w:r>
      <w:proofErr w:type="spellStart"/>
      <w:r w:rsidRPr="00D54E09">
        <w:t>Antichat</w:t>
      </w:r>
      <w:proofErr w:type="spellEnd"/>
      <w:r w:rsidRPr="00D54E09">
        <w:t>, Inc., 2021 WL 1329375, at *9 (T.T.A.B.</w:t>
      </w:r>
      <w:r w:rsidRPr="00D54E09">
        <w:t xml:space="preserve"> </w:t>
      </w:r>
      <w:r w:rsidRPr="00D54E09">
        <w:t>Apr.</w:t>
      </w:r>
      <w:r w:rsidRPr="00D54E09">
        <w:t xml:space="preserve"> </w:t>
      </w:r>
      <w:r w:rsidRPr="00D54E09">
        <w:t>6, 2021) (plaintiff could not prove priority of use;</w:t>
      </w:r>
      <w:r w:rsidRPr="00D54E09">
        <w:t xml:space="preserve"> </w:t>
      </w:r>
      <w:r w:rsidRPr="00D54E09">
        <w:t>therefore, dilution claim fails) (non-precedential);</w:t>
      </w:r>
      <w:r w:rsidRPr="00D54E09">
        <w:t xml:space="preserve"> </w:t>
      </w:r>
      <w:r w:rsidRPr="00D54E09">
        <w:t>Inter IKEA Sys.</w:t>
      </w:r>
      <w:r w:rsidRPr="00D54E09">
        <w:t xml:space="preserve"> </w:t>
      </w:r>
      <w:r w:rsidRPr="00D54E09">
        <w:t>B.V.</w:t>
      </w:r>
      <w:r w:rsidRPr="00D54E09">
        <w:t xml:space="preserve"> </w:t>
      </w:r>
      <w:r w:rsidRPr="00D54E09">
        <w:t>v.</w:t>
      </w:r>
      <w:r w:rsidRPr="00D54E09">
        <w:t xml:space="preserve"> </w:t>
      </w:r>
      <w:r w:rsidRPr="00D54E09">
        <w:t>Akea, LLC, 110 USPQ2d 1734, 1745–46 (T.T.A.B.</w:t>
      </w:r>
      <w:r w:rsidRPr="00D54E09">
        <w:t xml:space="preserve"> </w:t>
      </w:r>
      <w:r w:rsidRPr="00D54E09">
        <w:t>2014) (IKEA failed to introduce sufficient evidence that its mark was famous before the opposed application was filed);</w:t>
      </w:r>
      <w:r w:rsidRPr="00D54E09">
        <w:t xml:space="preserve"> </w:t>
      </w:r>
      <w:r w:rsidRPr="00D54E09">
        <w:t>National Pork Bd.</w:t>
      </w:r>
      <w:r w:rsidRPr="00D54E09">
        <w:t xml:space="preserve"> </w:t>
      </w:r>
      <w:r w:rsidRPr="00D54E09">
        <w:t>v.</w:t>
      </w:r>
      <w:r w:rsidRPr="00D54E09">
        <w:t xml:space="preserve"> </w:t>
      </w:r>
      <w:r w:rsidRPr="00D54E09">
        <w:t>Supreme Lobster &amp; Seafood Co., 96 USPQ2d 1479, 1495, 1496 (T.T.A.B.</w:t>
      </w:r>
      <w:r w:rsidRPr="00D54E09">
        <w:t xml:space="preserve"> </w:t>
      </w:r>
      <w:r w:rsidRPr="00D54E09">
        <w:t>2010);</w:t>
      </w:r>
      <w:r w:rsidRPr="00D54E09">
        <w:t xml:space="preserve"> </w:t>
      </w:r>
      <w:r w:rsidRPr="00D54E09">
        <w:t>Amazon.com, Inc.</w:t>
      </w:r>
      <w:r w:rsidRPr="00D54E09">
        <w:t xml:space="preserve"> </w:t>
      </w:r>
      <w:r w:rsidRPr="00D54E09">
        <w:t>v.</w:t>
      </w:r>
      <w:r w:rsidRPr="00D54E09">
        <w:t xml:space="preserve"> </w:t>
      </w:r>
      <w:r w:rsidRPr="00D54E09">
        <w:t>Kalaydjian, 2005 WL 3611776, at *3 (T.T.A.B.</w:t>
      </w:r>
      <w:r w:rsidRPr="00D54E09">
        <w:t xml:space="preserve"> </w:t>
      </w:r>
      <w:r w:rsidRPr="00D54E09">
        <w:t>Dec.</w:t>
      </w:r>
      <w:r w:rsidRPr="00D54E09">
        <w:t xml:space="preserve"> </w:t>
      </w:r>
      <w:r w:rsidRPr="00D54E09">
        <w:t>22, 2005) (not citable as precedent);</w:t>
      </w:r>
      <w:r w:rsidRPr="00D54E09">
        <w:t xml:space="preserve"> </w:t>
      </w:r>
      <w:r w:rsidRPr="00D54E09">
        <w:t>Toro Co.</w:t>
      </w:r>
      <w:r w:rsidRPr="00D54E09">
        <w:t xml:space="preserve"> </w:t>
      </w:r>
      <w:r w:rsidRPr="00D54E09">
        <w:t>v.</w:t>
      </w:r>
      <w:r w:rsidRPr="00D54E09">
        <w:t xml:space="preserve"> </w:t>
      </w:r>
      <w:proofErr w:type="spellStart"/>
      <w:r w:rsidRPr="00D54E09">
        <w:t>ToroHead</w:t>
      </w:r>
      <w:proofErr w:type="spellEnd"/>
      <w:r w:rsidRPr="00D54E09">
        <w:t>, Inc., 61 USPQ2d 1164, 1174 (T.T.A.B.</w:t>
      </w:r>
      <w:r w:rsidRPr="00D54E09">
        <w:t xml:space="preserve"> </w:t>
      </w:r>
      <w:r w:rsidRPr="00D54E09">
        <w:t>2001);</w:t>
      </w:r>
      <w:r w:rsidRPr="00D54E09">
        <w:t xml:space="preserve"> </w:t>
      </w:r>
      <w:r w:rsidRPr="00D54E09">
        <w:rPr>
          <w:i/>
        </w:rPr>
        <w:t>see also</w:t>
      </w:r>
      <w:r w:rsidRPr="00D54E09">
        <w:t xml:space="preserve"> Vanderbilt Univ.</w:t>
      </w:r>
      <w:r w:rsidRPr="00D54E09">
        <w:t xml:space="preserve"> </w:t>
      </w:r>
      <w:r w:rsidRPr="00D54E09">
        <w:t>v.</w:t>
      </w:r>
      <w:r w:rsidRPr="00D54E09">
        <w:t xml:space="preserve"> </w:t>
      </w:r>
      <w:r w:rsidRPr="00D54E09">
        <w:t>Vanderbilt Mortg.</w:t>
      </w:r>
      <w:r w:rsidRPr="00D54E09">
        <w:t xml:space="preserve"> </w:t>
      </w:r>
      <w:r w:rsidRPr="00D54E09">
        <w:t>&amp; Fin., Inc., 2010 TTAB LEXIS 207, at *13 (T.T.A.B.</w:t>
      </w:r>
      <w:r w:rsidRPr="00D54E09">
        <w:t xml:space="preserve"> </w:t>
      </w:r>
      <w:r w:rsidRPr="00D54E09">
        <w:t>May 11, 2010) (not citable as precedent);</w:t>
      </w:r>
      <w:r w:rsidRPr="00D54E09">
        <w:t xml:space="preserve"> </w:t>
      </w:r>
      <w:r w:rsidRPr="00D54E09">
        <w:t>HBP, Inc.</w:t>
      </w:r>
      <w:r w:rsidRPr="00D54E09">
        <w:t xml:space="preserve"> </w:t>
      </w:r>
      <w:r w:rsidRPr="00D54E09">
        <w:t>v.</w:t>
      </w:r>
      <w:r w:rsidRPr="00D54E09">
        <w:t xml:space="preserve"> </w:t>
      </w:r>
      <w:r w:rsidRPr="00D54E09">
        <w:t>Becker Designs, Inc., 2005 WL 3551107, at *4 n.2 (T.T.A.B.</w:t>
      </w:r>
      <w:r w:rsidRPr="00D54E09">
        <w:t xml:space="preserve"> </w:t>
      </w:r>
      <w:r w:rsidRPr="00D54E09">
        <w:t>Dec.</w:t>
      </w:r>
      <w:r w:rsidRPr="00D54E09">
        <w:t xml:space="preserve"> </w:t>
      </w:r>
      <w:r w:rsidRPr="00D54E09">
        <w:t>16, 2005</w:t>
      </w:r>
      <w:proofErr w:type="gramStart"/>
      <w:r w:rsidRPr="00D54E09">
        <w:t>) )</w:t>
      </w:r>
      <w:proofErr w:type="gramEnd"/>
      <w:r w:rsidRPr="00D54E09">
        <w:t xml:space="preserve"> (not citable as precedent).</w:t>
      </w:r>
      <w:r w:rsidRPr="00D54E09">
        <w:t xml:space="preserve"> </w:t>
      </w:r>
      <w:r w:rsidRPr="00D54E09">
        <w:t xml:space="preserve">In </w:t>
      </w:r>
      <w:r w:rsidRPr="00D54E09">
        <w:rPr>
          <w:rStyle w:val="BCasenamefull"/>
        </w:rPr>
        <w:t xml:space="preserve">Chanel, Inc. v. </w:t>
      </w:r>
      <w:proofErr w:type="spellStart"/>
      <w:r w:rsidRPr="00D54E09">
        <w:rPr>
          <w:rStyle w:val="BCasenamefull"/>
        </w:rPr>
        <w:t>Makarczyk</w:t>
      </w:r>
      <w:proofErr w:type="spellEnd"/>
      <w:r w:rsidRPr="00D54E09">
        <w:t>, 110 USPQ2d 2013 (T.T.A.B.</w:t>
      </w:r>
      <w:r w:rsidRPr="00D54E09">
        <w:t xml:space="preserve"> </w:t>
      </w:r>
      <w:r w:rsidRPr="00D54E09">
        <w:t>2014), the TTAB used the date of application as the relevant date in a use-based application where it was unclear when (if ever) the applicant had begun use.</w:t>
      </w:r>
      <w:r w:rsidRPr="00D54E09">
        <w:t xml:space="preserve"> </w:t>
      </w:r>
      <w:r w:rsidRPr="00D54E09">
        <w:rPr>
          <w:i/>
        </w:rPr>
        <w:t>Id</w:t>
      </w:r>
      <w:r w:rsidRPr="00D54E09">
        <w:t>.</w:t>
      </w:r>
      <w:r w:rsidRPr="00D54E09">
        <w:t xml:space="preserve"> </w:t>
      </w:r>
      <w:proofErr w:type="gramStart"/>
      <w:r w:rsidRPr="00D54E09">
        <w:t>at</w:t>
      </w:r>
      <w:proofErr w:type="gramEnd"/>
      <w:r w:rsidRPr="00D54E09">
        <w:t xml:space="preserve"> 2024.</w:t>
      </w:r>
      <w:r w:rsidRPr="00D54E09">
        <w:t xml:space="preserve"> </w:t>
      </w:r>
      <w:r w:rsidRPr="00D54E09">
        <w:rPr>
          <w:i/>
        </w:rPr>
        <w:t>Accord</w:t>
      </w:r>
      <w:r w:rsidRPr="00D54E09">
        <w:t xml:space="preserve"> New York Yankees </w:t>
      </w:r>
      <w:proofErr w:type="spellStart"/>
      <w:r w:rsidRPr="00D54E09">
        <w:t>P’ship</w:t>
      </w:r>
      <w:proofErr w:type="spellEnd"/>
      <w:r w:rsidRPr="00D54E09">
        <w:t xml:space="preserve"> v.</w:t>
      </w:r>
      <w:r w:rsidRPr="00D54E09">
        <w:t xml:space="preserve"> </w:t>
      </w:r>
      <w:r w:rsidRPr="00D54E09">
        <w:t>IET Prods.</w:t>
      </w:r>
      <w:r w:rsidRPr="00D54E09">
        <w:t xml:space="preserve"> </w:t>
      </w:r>
      <w:r w:rsidRPr="00D54E09">
        <w:t>&amp; Servs., Inc., 114 USPQ2d 1497, 1506 (T.T.A.B.</w:t>
      </w:r>
      <w:r w:rsidRPr="00D54E09">
        <w:t xml:space="preserve"> </w:t>
      </w:r>
      <w:r w:rsidRPr="00D54E09">
        <w:t>2015) (using date of application in an intent-to-use situation).</w:t>
      </w:r>
      <w:r w:rsidRPr="00D54E09">
        <w:t xml:space="preserve"> </w:t>
      </w:r>
      <w:r w:rsidRPr="00D54E09">
        <w:t>However, if the application is use-based and the applicant can demonstrate use prior to the application filing date, then the date of applicant’s first actual use is the proper measuring date.</w:t>
      </w:r>
      <w:r w:rsidRPr="00D54E09">
        <w:t xml:space="preserve"> </w:t>
      </w:r>
      <w:r w:rsidRPr="00D54E09">
        <w:t>Omega, S.A.</w:t>
      </w:r>
      <w:r w:rsidRPr="00D54E09">
        <w:t xml:space="preserve"> </w:t>
      </w:r>
      <w:r w:rsidRPr="00D54E09">
        <w:t>v.</w:t>
      </w:r>
      <w:r w:rsidRPr="00D54E09">
        <w:t xml:space="preserve"> </w:t>
      </w:r>
      <w:r w:rsidRPr="00D54E09">
        <w:t>Alpha Phi Omega, 118 USPQ2d 1289, 1295–96 (T.T.A.B.</w:t>
      </w:r>
      <w:r w:rsidRPr="00D54E09">
        <w:t xml:space="preserve"> </w:t>
      </w:r>
      <w:r w:rsidRPr="00D54E09">
        <w:t>2016);</w:t>
      </w:r>
      <w:r w:rsidRPr="00D54E09">
        <w:t xml:space="preserve"> </w:t>
      </w:r>
      <w:r w:rsidRPr="00D54E09">
        <w:t>Sunkist Growers, Inc.</w:t>
      </w:r>
      <w:r w:rsidRPr="00D54E09">
        <w:t xml:space="preserve"> </w:t>
      </w:r>
      <w:r w:rsidRPr="00D54E09">
        <w:t>v.</w:t>
      </w:r>
      <w:r w:rsidRPr="00D54E09">
        <w:t xml:space="preserve"> </w:t>
      </w:r>
      <w:r w:rsidRPr="00D54E09">
        <w:t xml:space="preserve">Intrastate </w:t>
      </w:r>
      <w:proofErr w:type="spellStart"/>
      <w:r w:rsidRPr="00D54E09">
        <w:t>Distribs</w:t>
      </w:r>
      <w:proofErr w:type="spellEnd"/>
      <w:r w:rsidRPr="00D54E09">
        <w:t>., Inc., 2003 WL 6442602, at *15–16 (T.T.A.B.</w:t>
      </w:r>
      <w:r w:rsidRPr="00D54E09">
        <w:t xml:space="preserve"> </w:t>
      </w:r>
      <w:r w:rsidRPr="00D54E09">
        <w:t>Sept.</w:t>
      </w:r>
      <w:r w:rsidRPr="00D54E09">
        <w:t xml:space="preserve"> </w:t>
      </w:r>
      <w:r w:rsidRPr="00D54E09">
        <w:t>30, 2023) (non-precedential).</w:t>
      </w:r>
      <w:r w:rsidRPr="00D54E09">
        <w:t xml:space="preserve"> </w:t>
      </w:r>
      <w:r w:rsidRPr="00D54E09">
        <w:rPr>
          <w:i/>
        </w:rPr>
        <w:t>See</w:t>
      </w:r>
      <w:r w:rsidRPr="00D54E09">
        <w:t xml:space="preserve"> Del Monte Foods, Inc.</w:t>
      </w:r>
      <w:r w:rsidRPr="00D54E09">
        <w:t xml:space="preserve"> </w:t>
      </w:r>
      <w:r w:rsidRPr="00D54E09">
        <w:t>v.</w:t>
      </w:r>
      <w:r w:rsidRPr="00D54E09">
        <w:t xml:space="preserve"> </w:t>
      </w:r>
      <w:r w:rsidRPr="00D54E09">
        <w:t>Soc.</w:t>
      </w:r>
      <w:r w:rsidRPr="00D54E09">
        <w:t xml:space="preserve"> </w:t>
      </w:r>
      <w:proofErr w:type="spellStart"/>
      <w:r w:rsidRPr="00D54E09">
        <w:t>Agr</w:t>
      </w:r>
      <w:proofErr w:type="spellEnd"/>
      <w:r w:rsidRPr="00D54E09">
        <w:t>.</w:t>
      </w:r>
      <w:r w:rsidRPr="00D54E09">
        <w:t xml:space="preserve"> </w:t>
      </w:r>
      <w:r w:rsidRPr="00D54E09">
        <w:t>Monterosso Soc.</w:t>
      </w:r>
      <w:r w:rsidRPr="00D54E09">
        <w:t xml:space="preserve"> </w:t>
      </w:r>
      <w:r w:rsidRPr="00D54E09">
        <w:t>Coop.</w:t>
      </w:r>
      <w:r w:rsidRPr="00D54E09">
        <w:t xml:space="preserve"> </w:t>
      </w:r>
      <w:r w:rsidRPr="00D54E09">
        <w:t>SARL, 2018 WL 638487, at *1 n.2 (T.T.A.B.</w:t>
      </w:r>
      <w:r w:rsidRPr="00D54E09">
        <w:t xml:space="preserve"> </w:t>
      </w:r>
      <w:r w:rsidRPr="00D54E09">
        <w:t>Jan.</w:t>
      </w:r>
      <w:r w:rsidRPr="00D54E09">
        <w:t xml:space="preserve"> </w:t>
      </w:r>
      <w:r w:rsidRPr="00D54E09">
        <w:t>29, 2018) (dilution claim dismissed for failure to allege that DEL MONTE mark became famous before applicant’s first use of the mark).</w:t>
      </w:r>
      <w:r w:rsidRPr="00D54E09">
        <w:t xml:space="preserve"> </w:t>
      </w:r>
      <w:r w:rsidRPr="00D54E09">
        <w:t>See Chapter 13, §V.D.1-A, for further discussion of this issue.</w:t>
      </w:r>
    </w:p>
  </w:footnote>
  <w:footnote w:id="98">
    <w:p w14:paraId="6B46C9D9" w14:textId="5F8188D1" w:rsidR="00D54E09" w:rsidRPr="00D54E09" w:rsidRDefault="00D54E09" w:rsidP="00D54E09">
      <w:pPr>
        <w:pStyle w:val="FootnoteText"/>
      </w:pPr>
      <w:r w:rsidRPr="00D54E09">
        <w:rPr>
          <w:vertAlign w:val="superscript"/>
        </w:rPr>
        <w:footnoteRef/>
      </w:r>
      <w:r w:rsidRPr="00D54E09">
        <w:t>2016 WL 4424964, 2016 BL 48550 (C.D.</w:t>
      </w:r>
      <w:r w:rsidRPr="00D54E09">
        <w:t xml:space="preserve"> </w:t>
      </w:r>
      <w:r w:rsidRPr="00D54E09">
        <w:t>Cal.</w:t>
      </w:r>
      <w:r w:rsidRPr="00D54E09">
        <w:t xml:space="preserve"> </w:t>
      </w:r>
      <w:r w:rsidRPr="00D54E09">
        <w:t>Feb.</w:t>
      </w:r>
      <w:r w:rsidRPr="00D54E09">
        <w:t xml:space="preserve"> </w:t>
      </w:r>
      <w:r w:rsidRPr="00D54E09">
        <w:t>18, 2016).</w:t>
      </w:r>
    </w:p>
    <w:p w14:paraId="15BA888A" w14:textId="77777777" w:rsidR="00D54E09" w:rsidRPr="009077F2" w:rsidRDefault="00D54E09" w:rsidP="000666EE">
      <w:pPr>
        <w:pStyle w:val="footnote"/>
      </w:pPr>
    </w:p>
  </w:footnote>
  <w:footnote w:id="99">
    <w:p w14:paraId="463184FC" w14:textId="40A788EE" w:rsidR="00D54E09" w:rsidRPr="00D54E0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*11.</w:t>
      </w:r>
    </w:p>
    <w:p w14:paraId="74C7A4CA" w14:textId="77777777" w:rsidR="00D54E09" w:rsidRDefault="00D54E09" w:rsidP="00CC7B6E">
      <w:pPr>
        <w:pStyle w:val="footnote"/>
      </w:pPr>
    </w:p>
  </w:footnote>
  <w:footnote w:id="100">
    <w:p w14:paraId="49EEDD84" w14:textId="763CEAA6" w:rsidR="00D54E09" w:rsidRPr="00D54E09" w:rsidRDefault="00D54E09" w:rsidP="00D54E09">
      <w:pPr>
        <w:pStyle w:val="FootnoteText"/>
      </w:pPr>
      <w:r w:rsidRPr="00D54E09">
        <w:rPr>
          <w:vertAlign w:val="superscript"/>
        </w:rPr>
        <w:footnoteRef/>
      </w:r>
      <w:r w:rsidRPr="00D54E09">
        <w:rPr>
          <w:i/>
        </w:rPr>
        <w:t>Id.</w:t>
      </w:r>
    </w:p>
    <w:p w14:paraId="6BB4F97A" w14:textId="77777777" w:rsidR="00D54E09" w:rsidRDefault="00D54E09" w:rsidP="00CC7B6E">
      <w:pPr>
        <w:pStyle w:val="footnote"/>
      </w:pPr>
    </w:p>
  </w:footnote>
  <w:footnote w:id="101">
    <w:p w14:paraId="37DEB315" w14:textId="54E21CA4" w:rsidR="00D54E09" w:rsidRPr="000F5E39" w:rsidRDefault="00D54E09" w:rsidP="00D54E09">
      <w:pPr>
        <w:pStyle w:val="FootnoteText"/>
      </w:pPr>
      <w:r w:rsidRPr="00D54E09">
        <w:rPr>
          <w:vertAlign w:val="superscript"/>
        </w:rPr>
        <w:footnoteRef/>
      </w:r>
      <w:r w:rsidRPr="00D54E09">
        <w:rPr>
          <w:i/>
        </w:rPr>
        <w:t>See</w:t>
      </w:r>
      <w:r w:rsidRPr="00D54E09">
        <w:t xml:space="preserve"> </w:t>
      </w:r>
      <w:proofErr w:type="spellStart"/>
      <w:r w:rsidRPr="00D54E09">
        <w:rPr>
          <w:i/>
        </w:rPr>
        <w:t>Chatam</w:t>
      </w:r>
      <w:proofErr w:type="spellEnd"/>
      <w:r w:rsidRPr="00D54E09">
        <w:rPr>
          <w:i/>
        </w:rPr>
        <w:t xml:space="preserve"> Int’l</w:t>
      </w:r>
      <w:r w:rsidRPr="00D54E09">
        <w:t>, 157 F.</w:t>
      </w:r>
      <w:r w:rsidRPr="00D54E09">
        <w:t xml:space="preserve"> </w:t>
      </w:r>
      <w:r w:rsidRPr="00D54E09">
        <w:t>Supp.</w:t>
      </w:r>
      <w:r w:rsidRPr="00D54E09">
        <w:t xml:space="preserve"> </w:t>
      </w:r>
      <w:r w:rsidRPr="00D54E09">
        <w:t xml:space="preserve">2d at 560–61 (where defendant used </w:t>
      </w:r>
      <w:proofErr w:type="spellStart"/>
      <w:r w:rsidRPr="00D54E09">
        <w:t>Chambourd</w:t>
      </w:r>
      <w:proofErr w:type="spellEnd"/>
      <w:r w:rsidRPr="00D54E09">
        <w:t xml:space="preserve"> mark for 16 years, then registered chambourd.com as a domain name, first use was measured by original use, not time of domain name registration), </w:t>
      </w:r>
      <w:r w:rsidRPr="00D54E09">
        <w:rPr>
          <w:i/>
        </w:rPr>
        <w:t>aff’d</w:t>
      </w:r>
      <w:r w:rsidRPr="00D54E09">
        <w:t>, 40 F.</w:t>
      </w:r>
      <w:r w:rsidRPr="00D54E09">
        <w:t xml:space="preserve"> </w:t>
      </w:r>
      <w:proofErr w:type="spellStart"/>
      <w:r w:rsidRPr="00D54E09">
        <w:t>App’x</w:t>
      </w:r>
      <w:proofErr w:type="spellEnd"/>
      <w:r w:rsidRPr="00D54E09">
        <w:t>.</w:t>
      </w:r>
      <w:r w:rsidRPr="00D54E09">
        <w:t xml:space="preserve"> </w:t>
      </w:r>
      <w:r w:rsidRPr="00D54E09">
        <w:t>685 (3d Cir.</w:t>
      </w:r>
      <w:r w:rsidRPr="00D54E09">
        <w:t xml:space="preserve"> </w:t>
      </w:r>
      <w:r w:rsidRPr="00D54E09">
        <w:t>2002) (unpublished).</w:t>
      </w:r>
    </w:p>
  </w:footnote>
  <w:footnote w:id="102">
    <w:p w14:paraId="03461FB5" w14:textId="01DD4418" w:rsidR="00D54E09" w:rsidRPr="000F5E39" w:rsidRDefault="00D54E09" w:rsidP="00D54E09">
      <w:pPr>
        <w:pStyle w:val="FootnoteText"/>
      </w:pPr>
      <w:r w:rsidRPr="00D54E09">
        <w:rPr>
          <w:vertAlign w:val="superscript"/>
        </w:rPr>
        <w:footnoteRef/>
      </w:r>
      <w:r w:rsidRPr="00D54E09">
        <w:t>378 F.3d 1002, 72 USPQ2d 1078 (9th Cir.</w:t>
      </w:r>
      <w:r w:rsidRPr="00D54E09">
        <w:t xml:space="preserve"> </w:t>
      </w:r>
      <w:r w:rsidRPr="00D54E09">
        <w:t xml:space="preserve">2004), </w:t>
      </w:r>
      <w:r w:rsidRPr="00D54E09">
        <w:rPr>
          <w:i/>
        </w:rPr>
        <w:t>cert</w:t>
      </w:r>
      <w:r w:rsidRPr="00D54E09">
        <w:t>.</w:t>
      </w:r>
      <w:r w:rsidRPr="00D54E09">
        <w:t xml:space="preserve"> </w:t>
      </w:r>
      <w:r w:rsidRPr="00D54E09">
        <w:rPr>
          <w:i/>
        </w:rPr>
        <w:t>denied</w:t>
      </w:r>
      <w:r w:rsidRPr="00D54E09">
        <w:t>, 544 U.S.</w:t>
      </w:r>
      <w:r w:rsidRPr="00D54E09">
        <w:t xml:space="preserve"> </w:t>
      </w:r>
      <w:r w:rsidRPr="00D54E09">
        <w:t>974 (2005).</w:t>
      </w:r>
    </w:p>
  </w:footnote>
  <w:footnote w:id="103">
    <w:p w14:paraId="31396057" w14:textId="2089FC27"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1013.</w:t>
      </w:r>
    </w:p>
  </w:footnote>
  <w:footnote w:id="104">
    <w:p w14:paraId="30F3395D" w14:textId="22806D2F"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The court remanded for further hearings about whether Nissan Motor’s mark was famous prior to this earlier first use.</w:t>
      </w:r>
      <w:r w:rsidRPr="00D54E09">
        <w:t xml:space="preserve"> </w:t>
      </w:r>
      <w:r w:rsidRPr="00D54E09">
        <w:rPr>
          <w:i/>
        </w:rPr>
        <w:t>Id</w:t>
      </w:r>
      <w:r w:rsidRPr="00D54E09">
        <w:t>.</w:t>
      </w:r>
      <w:r w:rsidRPr="00D54E09">
        <w:t xml:space="preserve"> </w:t>
      </w:r>
      <w:r w:rsidRPr="00D54E09">
        <w:t>at 1014–15.</w:t>
      </w:r>
    </w:p>
  </w:footnote>
  <w:footnote w:id="105">
    <w:p w14:paraId="1EBF7B26" w14:textId="38684422" w:rsidR="00D54E09" w:rsidRPr="000F5E39" w:rsidRDefault="00D54E09" w:rsidP="00D54E09">
      <w:pPr>
        <w:pStyle w:val="FootnoteText"/>
      </w:pPr>
      <w:r w:rsidRPr="00D54E09">
        <w:rPr>
          <w:vertAlign w:val="superscript"/>
        </w:rPr>
        <w:footnoteRef/>
      </w:r>
      <w:r w:rsidRPr="00D54E09">
        <w:t>See Chapter 8 for a discussion of the determination of fame under the FTDA and TDRA.</w:t>
      </w:r>
    </w:p>
  </w:footnote>
  <w:footnote w:id="106">
    <w:p w14:paraId="1A39F10D" w14:textId="4D9BC28F" w:rsidR="00D54E09" w:rsidRPr="000F5E39" w:rsidRDefault="00D54E09" w:rsidP="00D54E09">
      <w:pPr>
        <w:pStyle w:val="FootnoteText"/>
      </w:pPr>
      <w:r w:rsidRPr="00D54E09">
        <w:rPr>
          <w:vertAlign w:val="superscript"/>
        </w:rPr>
        <w:footnoteRef/>
      </w:r>
      <w:r w:rsidRPr="00D54E09">
        <w:t>330 F.3d 1333, 66 USPQ2d 1811 (Fed.</w:t>
      </w:r>
      <w:r w:rsidRPr="00D54E09">
        <w:t xml:space="preserve"> </w:t>
      </w:r>
      <w:r w:rsidRPr="00D54E09">
        <w:t>Cir.</w:t>
      </w:r>
      <w:r w:rsidRPr="00D54E09">
        <w:t xml:space="preserve"> </w:t>
      </w:r>
      <w:r w:rsidRPr="00D54E09">
        <w:t>2003).</w:t>
      </w:r>
    </w:p>
  </w:footnote>
  <w:footnote w:id="107">
    <w:p w14:paraId="27A171C0" w14:textId="33E96783"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1336 (citing various Enterprise slogan marks).</w:t>
      </w:r>
    </w:p>
  </w:footnote>
  <w:footnote w:id="108">
    <w:p w14:paraId="72B89068" w14:textId="1C34D25A"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See Chapter 13, §II, for a discussion of dilution as a basis to oppose registration.</w:t>
      </w:r>
    </w:p>
  </w:footnote>
  <w:footnote w:id="109">
    <w:p w14:paraId="4362E3A7" w14:textId="644014D9" w:rsidR="00D54E09" w:rsidRPr="000F5E39" w:rsidRDefault="00D54E09" w:rsidP="00D54E09">
      <w:pPr>
        <w:pStyle w:val="FootnoteText"/>
      </w:pPr>
      <w:r w:rsidRPr="00D54E09">
        <w:rPr>
          <w:vertAlign w:val="superscript"/>
        </w:rPr>
        <w:footnoteRef/>
      </w:r>
      <w:r w:rsidRPr="00D54E09">
        <w:t>330 F.3d at 1337 (citing Advantage Rent-A-Car, Inc.</w:t>
      </w:r>
      <w:r w:rsidRPr="00D54E09">
        <w:t xml:space="preserve"> </w:t>
      </w:r>
      <w:r w:rsidRPr="00D54E09">
        <w:t>v.</w:t>
      </w:r>
      <w:r w:rsidRPr="00D54E09">
        <w:t xml:space="preserve"> </w:t>
      </w:r>
      <w:r w:rsidRPr="00D54E09">
        <w:t>Enterprise Rent-A-Car Co., 238 F.3d 378, 381, 57 USPQ2d 1561 (5th Cir.</w:t>
      </w:r>
      <w:r w:rsidRPr="00D54E09">
        <w:t xml:space="preserve"> </w:t>
      </w:r>
      <w:r w:rsidRPr="00D54E09">
        <w:t>2001)).</w:t>
      </w:r>
    </w:p>
  </w:footnote>
  <w:footnote w:id="110">
    <w:p w14:paraId="6DD569F5" w14:textId="31767E4B"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1341 (noting that Enterprise did not challenge the TTAB’s ruling that the Fifth Circuit decision was preclusive).</w:t>
      </w:r>
    </w:p>
  </w:footnote>
  <w:footnote w:id="111">
    <w:p w14:paraId="34216975" w14:textId="5499399C"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1337;</w:t>
      </w:r>
      <w:r w:rsidRPr="00D54E09">
        <w:t xml:space="preserve"> </w:t>
      </w:r>
      <w:r w:rsidRPr="00D54E09">
        <w:rPr>
          <w:i/>
        </w:rPr>
        <w:t>see id</w:t>
      </w:r>
      <w:r w:rsidRPr="00D54E09">
        <w:t>.</w:t>
      </w:r>
      <w:r w:rsidRPr="00D54E09">
        <w:t xml:space="preserve"> </w:t>
      </w:r>
      <w:r w:rsidRPr="00D54E09">
        <w:t>at 1343.</w:t>
      </w:r>
      <w:r w:rsidRPr="00D54E09">
        <w:t xml:space="preserve"> </w:t>
      </w:r>
      <w:r w:rsidRPr="00D54E09">
        <w:t>Advantage began to use the mark in 1990.</w:t>
      </w:r>
      <w:r w:rsidRPr="00D54E09">
        <w:t xml:space="preserve"> </w:t>
      </w:r>
      <w:r w:rsidRPr="00D54E09">
        <w:rPr>
          <w:i/>
        </w:rPr>
        <w:t>Id</w:t>
      </w:r>
      <w:r w:rsidRPr="00D54E09">
        <w:t>.</w:t>
      </w:r>
      <w:r w:rsidRPr="00D54E09">
        <w:t xml:space="preserve"> </w:t>
      </w:r>
      <w:r w:rsidRPr="00D54E09">
        <w:t>at 1336.</w:t>
      </w:r>
    </w:p>
  </w:footnote>
  <w:footnote w:id="112">
    <w:p w14:paraId="5127BFF7" w14:textId="154405EB" w:rsidR="00D54E09" w:rsidRPr="000F5E39" w:rsidRDefault="00D54E09" w:rsidP="00D54E09">
      <w:pPr>
        <w:pStyle w:val="FootnoteText"/>
      </w:pPr>
      <w:r w:rsidRPr="00D54E09">
        <w:rPr>
          <w:vertAlign w:val="superscript"/>
        </w:rPr>
        <w:footnoteRef/>
      </w:r>
      <w:r w:rsidRPr="00D54E09">
        <w:t xml:space="preserve">The key portion of the original FTDA allowed relief in favor of the famous mark owner “against another person’s commercial use in commerce of a mark or trade name, if </w:t>
      </w:r>
      <w:r w:rsidRPr="00D54E09">
        <w:rPr>
          <w:i/>
        </w:rPr>
        <w:t>such use</w:t>
      </w:r>
      <w:r w:rsidRPr="00D54E09">
        <w:t xml:space="preserve"> begins after the mark has become famous.” 15 U.S.C.</w:t>
      </w:r>
      <w:r w:rsidRPr="00D54E09">
        <w:t xml:space="preserve"> </w:t>
      </w:r>
      <w:r w:rsidRPr="00D54E09">
        <w:t>§1125(c)(1) (emphasis added) (amended in 2006 by the TDRA).</w:t>
      </w:r>
      <w:r w:rsidRPr="00D54E09">
        <w:t xml:space="preserve"> </w:t>
      </w:r>
      <w:r w:rsidRPr="00D54E09">
        <w:t>Although the TDRA changed the statutory wording, the substance of this limitation remained.</w:t>
      </w:r>
    </w:p>
  </w:footnote>
  <w:footnote w:id="113">
    <w:p w14:paraId="293D72F5" w14:textId="6DA3BF97" w:rsidR="00D54E09" w:rsidRPr="000F5E39" w:rsidRDefault="00D54E09" w:rsidP="00D54E09">
      <w:pPr>
        <w:pStyle w:val="FootnoteText"/>
      </w:pPr>
      <w:r w:rsidRPr="00D54E09">
        <w:rPr>
          <w:vertAlign w:val="superscript"/>
        </w:rPr>
        <w:footnoteRef/>
      </w:r>
      <w:r w:rsidRPr="00D54E09">
        <w:t>330 F.3d at 1342 (emphasis added);</w:t>
      </w:r>
      <w:r w:rsidRPr="00D54E09">
        <w:t xml:space="preserve"> </w:t>
      </w:r>
      <w:r w:rsidRPr="00D54E09">
        <w:rPr>
          <w:i/>
        </w:rPr>
        <w:t>accord</w:t>
      </w:r>
      <w:r w:rsidRPr="00D54E09">
        <w:t xml:space="preserve"> Champagne Louis Roderer v.</w:t>
      </w:r>
      <w:r w:rsidRPr="00D54E09">
        <w:t xml:space="preserve"> </w:t>
      </w:r>
      <w:r w:rsidRPr="00D54E09">
        <w:t>J.</w:t>
      </w:r>
      <w:r w:rsidRPr="00D54E09">
        <w:t xml:space="preserve"> </w:t>
      </w:r>
      <w:r w:rsidRPr="00D54E09">
        <w:t>Garcia Carrion S.A., 732 F.</w:t>
      </w:r>
      <w:r w:rsidRPr="00D54E09">
        <w:t xml:space="preserve"> </w:t>
      </w:r>
      <w:r w:rsidRPr="00D54E09">
        <w:t>Supp.</w:t>
      </w:r>
      <w:r w:rsidRPr="00D54E09">
        <w:t xml:space="preserve"> </w:t>
      </w:r>
      <w:r w:rsidRPr="00D54E09">
        <w:t>2d 836, 878–79 (D.</w:t>
      </w:r>
      <w:r w:rsidRPr="00D54E09">
        <w:t xml:space="preserve"> </w:t>
      </w:r>
      <w:r w:rsidRPr="00D54E09">
        <w:t>Minn.</w:t>
      </w:r>
      <w:r w:rsidRPr="00D54E09">
        <w:t xml:space="preserve"> </w:t>
      </w:r>
      <w:r w:rsidRPr="00D54E09">
        <w:t>2010).</w:t>
      </w:r>
    </w:p>
  </w:footnote>
  <w:footnote w:id="114">
    <w:p w14:paraId="0CBF1DFA" w14:textId="50F6390D" w:rsidR="00D54E09" w:rsidRPr="000F5E39" w:rsidRDefault="00D54E09" w:rsidP="00D54E09">
      <w:pPr>
        <w:pStyle w:val="FootnoteText"/>
      </w:pPr>
      <w:r w:rsidRPr="00D54E09">
        <w:rPr>
          <w:vertAlign w:val="superscript"/>
        </w:rPr>
        <w:footnoteRef/>
      </w:r>
      <w:r w:rsidRPr="00D54E09">
        <w:t>330 F.3d at 1342.</w:t>
      </w:r>
    </w:p>
  </w:footnote>
  <w:footnote w:id="115">
    <w:p w14:paraId="7ACA8B50" w14:textId="3AB9EDC9" w:rsidR="00D54E09" w:rsidRPr="000F5E39" w:rsidRDefault="00D54E09" w:rsidP="00D54E09">
      <w:pPr>
        <w:pStyle w:val="FootnoteText"/>
      </w:pPr>
      <w:r w:rsidRPr="00D54E09">
        <w:rPr>
          <w:vertAlign w:val="superscript"/>
        </w:rPr>
        <w:footnoteRef/>
      </w:r>
      <w:r w:rsidRPr="00D54E09">
        <w:t>As the Federal Circuit indicated, once a mark owner registers, the ability of the junior user to expand will be limited.</w:t>
      </w:r>
      <w:r w:rsidRPr="00D54E09">
        <w:t xml:space="preserve"> </w:t>
      </w:r>
      <w:r w:rsidRPr="00D54E09">
        <w:rPr>
          <w:i/>
        </w:rPr>
        <w:t>See</w:t>
      </w:r>
      <w:r w:rsidRPr="00D54E09">
        <w:t xml:space="preserve"> 15 U.S.C.</w:t>
      </w:r>
      <w:r w:rsidRPr="00D54E09">
        <w:t xml:space="preserve"> </w:t>
      </w:r>
      <w:r w:rsidRPr="00D54E09">
        <w:t>§1115(b)(5) (limited area use defense);</w:t>
      </w:r>
      <w:r w:rsidRPr="00D54E09">
        <w:t xml:space="preserve"> </w:t>
      </w:r>
      <w:r w:rsidRPr="00D54E09">
        <w:rPr>
          <w:i/>
        </w:rPr>
        <w:t>In re</w:t>
      </w:r>
      <w:r w:rsidRPr="00D54E09">
        <w:t xml:space="preserve"> Beatrice Foods Co., 429 F.2d 466, 474–76 (C.C.P.A.</w:t>
      </w:r>
      <w:r w:rsidRPr="00D54E09">
        <w:t xml:space="preserve"> </w:t>
      </w:r>
      <w:r w:rsidRPr="00D54E09">
        <w:t>1970) (senior user frozen when junior user registers).</w:t>
      </w:r>
    </w:p>
  </w:footnote>
  <w:footnote w:id="116">
    <w:p w14:paraId="4A36615E" w14:textId="09E418FB" w:rsidR="00D54E09" w:rsidRPr="000F5E39" w:rsidRDefault="00D54E09" w:rsidP="00D54E09">
      <w:pPr>
        <w:pStyle w:val="FootnoteText"/>
      </w:pPr>
      <w:r w:rsidRPr="00D54E09">
        <w:rPr>
          <w:vertAlign w:val="superscript"/>
        </w:rPr>
        <w:footnoteRef/>
      </w:r>
      <w:r w:rsidRPr="00D54E09">
        <w:t>Lanham Act §43(c)(1), 15 U.S.C.</w:t>
      </w:r>
      <w:r w:rsidRPr="00D54E09">
        <w:t xml:space="preserve"> </w:t>
      </w:r>
      <w:r w:rsidRPr="00D54E09">
        <w:t>§1125(c)(1).</w:t>
      </w:r>
      <w:r w:rsidRPr="00D54E09">
        <w:t xml:space="preserve"> </w:t>
      </w:r>
      <w:r w:rsidRPr="00D54E09">
        <w:t xml:space="preserve">The definition of dilution under the original FTDA was “the lessening of the capacity of a famous mark to identify and distinguish goods or services, </w:t>
      </w:r>
      <w:r w:rsidRPr="00D54E09">
        <w:rPr>
          <w:i/>
        </w:rPr>
        <w:t>regardless of the presence or absence of (1) competition between the owner of the famous mark and other parties</w:t>
      </w:r>
      <w:r w:rsidRPr="00D54E09">
        <w:t>,</w:t>
      </w:r>
      <w:r w:rsidRPr="00D54E09">
        <w:t xml:space="preserve"> </w:t>
      </w:r>
      <w:proofErr w:type="gramStart"/>
      <w:r w:rsidRPr="00D54E09">
        <w:t>…</w:t>
      </w:r>
      <w:r w:rsidRPr="00D54E09">
        <w:t xml:space="preserve"> </w:t>
      </w:r>
      <w:r w:rsidRPr="00D54E09">
        <w:t>.</w:t>
      </w:r>
      <w:proofErr w:type="gramEnd"/>
      <w:r w:rsidRPr="00D54E09">
        <w:t>” Lanham Act §45, 15 U.S.C.</w:t>
      </w:r>
      <w:r w:rsidRPr="00D54E09">
        <w:t xml:space="preserve"> </w:t>
      </w:r>
      <w:r w:rsidRPr="00D54E09">
        <w:t>§1127 (emphasis added) (definition of “dilution”) (deleted in 2006 by the TDRA).</w:t>
      </w:r>
    </w:p>
  </w:footnote>
  <w:footnote w:id="117">
    <w:p w14:paraId="666B3B92" w14:textId="0E9F0A50" w:rsidR="00D54E09" w:rsidRPr="000F5E39" w:rsidRDefault="00D54E09" w:rsidP="00D54E09">
      <w:pPr>
        <w:pStyle w:val="FootnoteText"/>
      </w:pPr>
      <w:r w:rsidRPr="00D54E09">
        <w:rPr>
          <w:vertAlign w:val="superscript"/>
        </w:rPr>
        <w:footnoteRef/>
      </w:r>
      <w:r w:rsidRPr="00D54E09">
        <w:rPr>
          <w:i/>
        </w:rPr>
        <w:t>See</w:t>
      </w:r>
      <w:r w:rsidRPr="00D54E09">
        <w:t xml:space="preserve"> MetroPCS Wireless, Inc.</w:t>
      </w:r>
      <w:r w:rsidRPr="00D54E09">
        <w:t xml:space="preserve"> </w:t>
      </w:r>
      <w:r w:rsidRPr="00D54E09">
        <w:t>v.</w:t>
      </w:r>
      <w:r w:rsidRPr="00D54E09">
        <w:t xml:space="preserve"> </w:t>
      </w:r>
      <w:r w:rsidRPr="00D54E09">
        <w:t>Virgin Mobile USA, L.P., 2009 WL 3075205, at *13, 2009 BL 205221 (N.D.</w:t>
      </w:r>
      <w:r w:rsidRPr="00D54E09">
        <w:t xml:space="preserve"> </w:t>
      </w:r>
      <w:r w:rsidRPr="00D54E09">
        <w:t>Tex.</w:t>
      </w:r>
      <w:r w:rsidRPr="00D54E09">
        <w:t xml:space="preserve"> </w:t>
      </w:r>
      <w:r w:rsidRPr="00D54E09">
        <w:t>Sept.</w:t>
      </w:r>
      <w:r w:rsidRPr="00D54E09">
        <w:t xml:space="preserve"> </w:t>
      </w:r>
      <w:r w:rsidRPr="00D54E09">
        <w:t>25, 2009).</w:t>
      </w:r>
    </w:p>
  </w:footnote>
  <w:footnote w:id="118">
    <w:p w14:paraId="7E8B4422" w14:textId="773B3828" w:rsidR="00D54E09" w:rsidRPr="000F5E39" w:rsidRDefault="00D54E09" w:rsidP="00D54E09">
      <w:pPr>
        <w:pStyle w:val="FootnoteText"/>
      </w:pPr>
      <w:r w:rsidRPr="00D54E09">
        <w:rPr>
          <w:vertAlign w:val="superscript"/>
        </w:rPr>
        <w:footnoteRef/>
      </w:r>
      <w:r w:rsidRPr="00D54E09">
        <w:t xml:space="preserve">In </w:t>
      </w:r>
      <w:r w:rsidRPr="00D54E09">
        <w:rPr>
          <w:i/>
        </w:rPr>
        <w:t>MetroPCS</w:t>
      </w:r>
      <w:r w:rsidRPr="00D54E09">
        <w:t>, 2009 WL 3075205, at *13, 2009 BL 205221, the court, while acknowledging the statutory language, nevertheless questioned whether dilution should apply to competitors.</w:t>
      </w:r>
      <w:r w:rsidRPr="00D54E09">
        <w:t xml:space="preserve"> </w:t>
      </w:r>
      <w:r w:rsidRPr="00D54E09">
        <w:t>It did not decide the question because neither party raised the issue.</w:t>
      </w:r>
      <w:r w:rsidRPr="00D54E09">
        <w:t xml:space="preserve"> </w:t>
      </w:r>
      <w:r w:rsidRPr="00D54E09">
        <w:rPr>
          <w:i/>
        </w:rPr>
        <w:t>Id</w:t>
      </w:r>
      <w:r w:rsidRPr="00D54E09">
        <w:t>.</w:t>
      </w:r>
    </w:p>
  </w:footnote>
  <w:footnote w:id="119">
    <w:p w14:paraId="72E0E4F3" w14:textId="4D90FAB2" w:rsidR="00D54E09" w:rsidRPr="000F5E39" w:rsidRDefault="00D54E09" w:rsidP="00D54E09">
      <w:pPr>
        <w:pStyle w:val="FootnoteText"/>
      </w:pPr>
      <w:r w:rsidRPr="00D54E09">
        <w:rPr>
          <w:vertAlign w:val="superscript"/>
        </w:rPr>
        <w:footnoteRef/>
      </w:r>
      <w:r w:rsidRPr="00D54E09">
        <w:t>Pharmacia Corp.</w:t>
      </w:r>
      <w:r w:rsidRPr="00D54E09">
        <w:t xml:space="preserve"> </w:t>
      </w:r>
      <w:r w:rsidRPr="00D54E09">
        <w:t>v.</w:t>
      </w:r>
      <w:r w:rsidRPr="00D54E09">
        <w:t xml:space="preserve"> </w:t>
      </w:r>
      <w:r w:rsidRPr="00D54E09">
        <w:t>Alcon Labs., Inc., 201 F.</w:t>
      </w:r>
      <w:r w:rsidRPr="00D54E09">
        <w:t xml:space="preserve"> </w:t>
      </w:r>
      <w:r w:rsidRPr="00D54E09">
        <w:t>Supp.</w:t>
      </w:r>
      <w:r w:rsidRPr="00D54E09">
        <w:t xml:space="preserve"> </w:t>
      </w:r>
      <w:r w:rsidRPr="00D54E09">
        <w:t>2d 335, 380 (D.N.J.</w:t>
      </w:r>
      <w:r w:rsidRPr="00D54E09">
        <w:t xml:space="preserve"> </w:t>
      </w:r>
      <w:r w:rsidRPr="00D54E09">
        <w:t>2002).</w:t>
      </w:r>
    </w:p>
  </w:footnote>
  <w:footnote w:id="120">
    <w:p w14:paraId="475DD536" w14:textId="35E6535D" w:rsidR="00D54E09" w:rsidRPr="000F5E39" w:rsidRDefault="00D54E09" w:rsidP="00D54E09">
      <w:pPr>
        <w:pStyle w:val="FootnoteText"/>
      </w:pPr>
      <w:r w:rsidRPr="00D54E09">
        <w:rPr>
          <w:vertAlign w:val="superscript"/>
        </w:rPr>
        <w:footnoteRef/>
      </w:r>
      <w:r w:rsidRPr="00D54E09">
        <w:rPr>
          <w:i/>
        </w:rPr>
        <w:t>Id</w:t>
      </w:r>
      <w:r w:rsidRPr="00D54E09">
        <w:t>.</w:t>
      </w:r>
      <w:r w:rsidRPr="00D54E09">
        <w:t xml:space="preserve"> </w:t>
      </w:r>
      <w:r w:rsidRPr="00D54E09">
        <w:t>at 379 (“[D]</w:t>
      </w:r>
      <w:proofErr w:type="spellStart"/>
      <w:r w:rsidRPr="00D54E09">
        <w:t>ilution</w:t>
      </w:r>
      <w:proofErr w:type="spellEnd"/>
      <w:r w:rsidRPr="00D54E09">
        <w:t xml:space="preserve"> is not a ‘fallback protection’ for invalid infringement claims.” (citing I.P.</w:t>
      </w:r>
      <w:r w:rsidRPr="00D54E09">
        <w:t xml:space="preserve"> </w:t>
      </w:r>
      <w:r w:rsidRPr="00D54E09">
        <w:t xml:space="preserve">Lund Trading </w:t>
      </w:r>
      <w:proofErr w:type="spellStart"/>
      <w:r w:rsidRPr="00D54E09">
        <w:t>ApS</w:t>
      </w:r>
      <w:proofErr w:type="spellEnd"/>
      <w:r w:rsidRPr="00D54E09">
        <w:t xml:space="preserve"> v.</w:t>
      </w:r>
      <w:r w:rsidRPr="00D54E09">
        <w:t xml:space="preserve"> </w:t>
      </w:r>
      <w:r w:rsidRPr="00D54E09">
        <w:t>Kohler Co., 163 F.3d 27, 48 (1st Cir.</w:t>
      </w:r>
      <w:r w:rsidRPr="00D54E09">
        <w:t xml:space="preserve"> </w:t>
      </w:r>
      <w:r w:rsidRPr="00D54E09">
        <w:t>1998))).</w:t>
      </w:r>
    </w:p>
  </w:footnote>
  <w:footnote w:id="121">
    <w:p w14:paraId="2D4B3809" w14:textId="6CA5E8E8" w:rsidR="00D54E09" w:rsidRPr="000F5E39" w:rsidRDefault="00D54E09" w:rsidP="00D54E09">
      <w:pPr>
        <w:pStyle w:val="FootnoteText"/>
      </w:pPr>
      <w:r w:rsidRPr="00D54E09">
        <w:rPr>
          <w:vertAlign w:val="superscript"/>
        </w:rPr>
        <w:footnoteRef/>
      </w:r>
      <w:r w:rsidRPr="00D54E09">
        <w:t>YKK Corp.</w:t>
      </w:r>
      <w:r w:rsidRPr="00D54E09">
        <w:t xml:space="preserve"> </w:t>
      </w:r>
      <w:r w:rsidRPr="00D54E09">
        <w:t>v.</w:t>
      </w:r>
      <w:r w:rsidRPr="00D54E09">
        <w:t xml:space="preserve"> </w:t>
      </w:r>
      <w:r w:rsidRPr="00D54E09">
        <w:t>Jungwoo Zipper Co., 213 F.</w:t>
      </w:r>
      <w:r w:rsidRPr="00D54E09">
        <w:t xml:space="preserve"> </w:t>
      </w:r>
      <w:r w:rsidRPr="00D54E09">
        <w:t>Supp.</w:t>
      </w:r>
      <w:r w:rsidRPr="00D54E09">
        <w:t xml:space="preserve"> </w:t>
      </w:r>
      <w:r w:rsidRPr="00D54E09">
        <w:t>2d 1195, 1207–08, 64 USPQ2d 1192 (C.D.</w:t>
      </w:r>
      <w:r w:rsidRPr="00D54E09">
        <w:t xml:space="preserve"> </w:t>
      </w:r>
      <w:r w:rsidRPr="00D54E09">
        <w:t>Cal.</w:t>
      </w:r>
      <w:r w:rsidRPr="00D54E09">
        <w:t xml:space="preserve"> </w:t>
      </w:r>
      <w:r w:rsidRPr="00D54E09">
        <w:t>2002) (stating that California law and the FTDA apply in the same fashion).</w:t>
      </w:r>
    </w:p>
  </w:footnote>
  <w:footnote w:id="122">
    <w:p w14:paraId="37299111" w14:textId="6018E1F0" w:rsidR="00D54E09" w:rsidRPr="000F5E39" w:rsidRDefault="00D54E09" w:rsidP="00D54E09">
      <w:pPr>
        <w:pStyle w:val="FootnoteText"/>
      </w:pPr>
      <w:r w:rsidRPr="00D54E09">
        <w:rPr>
          <w:vertAlign w:val="superscript"/>
        </w:rPr>
        <w:footnoteRef/>
      </w:r>
      <w:r w:rsidRPr="00D54E09">
        <w:rPr>
          <w:i/>
        </w:rPr>
        <w:t>See</w:t>
      </w:r>
      <w:r w:rsidRPr="00D54E09">
        <w:t xml:space="preserve"> Rosetta Stone, Ltd.</w:t>
      </w:r>
      <w:r w:rsidRPr="00D54E09">
        <w:t xml:space="preserve"> </w:t>
      </w:r>
      <w:r w:rsidRPr="00D54E09">
        <w:t>v.</w:t>
      </w:r>
      <w:r w:rsidRPr="00D54E09">
        <w:t xml:space="preserve"> </w:t>
      </w:r>
      <w:r w:rsidRPr="00D54E09">
        <w:t>Google, Inc., 676 F.3d 144, 168–69, 102 USPQ2d 1473 (4th Cir.</w:t>
      </w:r>
      <w:r w:rsidRPr="00D54E09">
        <w:t xml:space="preserve"> </w:t>
      </w:r>
      <w:r w:rsidRPr="00D54E09">
        <w:t>2012) (trademark use not required).</w:t>
      </w:r>
      <w:r w:rsidRPr="00D54E09">
        <w:t xml:space="preserve"> </w:t>
      </w:r>
      <w:r w:rsidRPr="00D54E09">
        <w:t>The issue of a trademark use is relevant to the application of the noncommercial use exclusion, which is discussed in Chapter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7956" w14:textId="77777777" w:rsidR="00D54E09" w:rsidRPr="00D54E09" w:rsidRDefault="00D54E09" w:rsidP="00D5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6A8A" w14:textId="77777777" w:rsidR="00D54E09" w:rsidRPr="00D54E09" w:rsidRDefault="00D54E09" w:rsidP="00D54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1A6B" w14:textId="77777777" w:rsidR="00D54E09" w:rsidRPr="00D54E09" w:rsidRDefault="00D54E09" w:rsidP="00D5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6"/>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1D10"/>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52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05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E09"/>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1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semiHidden/>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D20597"/>
    <w:pPr>
      <w:widowControl w:val="0"/>
      <w:spacing w:before="0" w:after="0"/>
      <w:ind w:firstLine="360"/>
    </w:pPr>
    <w:rPr>
      <w:kern w:val="0"/>
      <w:lang w:bidi="ar-SA"/>
    </w:rPr>
  </w:style>
  <w:style w:type="paragraph" w:customStyle="1" w:styleId="footnote">
    <w:name w:val="footnote"/>
    <w:basedOn w:val="text"/>
    <w:autoRedefine/>
    <w:uiPriority w:val="99"/>
    <w:qFormat/>
    <w:rsid w:val="00D20597"/>
    <w:rPr>
      <w:sz w:val="20"/>
    </w:rPr>
  </w:style>
  <w:style w:type="paragraph" w:customStyle="1" w:styleId="footnoteflush">
    <w:name w:val="footnote flush"/>
    <w:basedOn w:val="Normal"/>
    <w:uiPriority w:val="99"/>
    <w:rsid w:val="00D20597"/>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footnoteparaindent">
    <w:name w:val="footnote para indent"/>
    <w:basedOn w:val="Normal"/>
    <w:autoRedefine/>
    <w:uiPriority w:val="99"/>
    <w:rsid w:val="00D20597"/>
    <w:pPr>
      <w:spacing w:before="0" w:after="0"/>
      <w:ind w:firstLine="360"/>
    </w:pPr>
    <w:rPr>
      <w:rFonts w:cstheme="minorBidi"/>
      <w:kern w:val="0"/>
      <w:sz w:val="20"/>
      <w:szCs w:val="16"/>
      <w:lang w:bidi="ar-SA"/>
    </w:rPr>
  </w:style>
  <w:style w:type="paragraph" w:customStyle="1" w:styleId="toc10">
    <w:name w:val="toc1"/>
    <w:basedOn w:val="text"/>
    <w:autoRedefine/>
    <w:uiPriority w:val="99"/>
    <w:rsid w:val="00D20597"/>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D20597"/>
    <w:pPr>
      <w:tabs>
        <w:tab w:val="clear" w:pos="480"/>
        <w:tab w:val="clear" w:pos="600"/>
        <w:tab w:val="left" w:pos="960"/>
      </w:tabs>
      <w:ind w:left="960" w:hanging="360"/>
    </w:pPr>
  </w:style>
  <w:style w:type="paragraph" w:customStyle="1" w:styleId="2ndLevel1">
    <w:name w:val="2nd Level /1"/>
    <w:basedOn w:val="2ndLevelHeadA"/>
    <w:autoRedefine/>
    <w:uiPriority w:val="99"/>
    <w:rsid w:val="00D20597"/>
    <w:pPr>
      <w:spacing w:before="0"/>
    </w:pPr>
    <w:rPr>
      <w:iCs w:val="0"/>
    </w:rPr>
  </w:style>
  <w:style w:type="paragraph" w:customStyle="1" w:styleId="1stLevelHeadII">
    <w:name w:val="1st Level Head II."/>
    <w:basedOn w:val="Normal"/>
    <w:autoRedefine/>
    <w:uiPriority w:val="99"/>
    <w:rsid w:val="00D20597"/>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footnoteindent">
    <w:name w:val="footnote indent"/>
    <w:basedOn w:val="footnote"/>
    <w:autoRedefine/>
    <w:uiPriority w:val="99"/>
    <w:rsid w:val="00D20597"/>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textinsert-">
    <w:name w:val="text insert -/+"/>
    <w:basedOn w:val="Normal"/>
    <w:autoRedefine/>
    <w:uiPriority w:val="99"/>
    <w:rsid w:val="00D20597"/>
    <w:pPr>
      <w:widowControl w:val="0"/>
      <w:autoSpaceDE w:val="0"/>
      <w:autoSpaceDN w:val="0"/>
      <w:adjustRightInd w:val="0"/>
      <w:spacing w:before="0"/>
      <w:ind w:firstLine="439"/>
      <w:jc w:val="both"/>
      <w:textAlignment w:val="center"/>
    </w:pPr>
    <w:rPr>
      <w:rFonts w:eastAsiaTheme="minorEastAsia" w:cs="ITC New Baskerville Std"/>
      <w:color w:val="000000"/>
      <w:kern w:val="0"/>
      <w:szCs w:val="22"/>
      <w:lang w:bidi="ar-SA"/>
    </w:rPr>
  </w:style>
  <w:style w:type="paragraph" w:customStyle="1" w:styleId="2ndLevelHeadA">
    <w:name w:val="2nd Level Head A."/>
    <w:basedOn w:val="Normal"/>
    <w:autoRedefine/>
    <w:uiPriority w:val="99"/>
    <w:rsid w:val="00D20597"/>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chapternumber">
    <w:name w:val="chapter number"/>
    <w:basedOn w:val="Normal"/>
    <w:uiPriority w:val="99"/>
    <w:rsid w:val="00D20597"/>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D20597"/>
    <w:pPr>
      <w:widowControl w:val="0"/>
      <w:suppressAutoHyphens/>
      <w:autoSpaceDE w:val="0"/>
      <w:autoSpaceDN w:val="0"/>
      <w:adjustRightInd w:val="0"/>
      <w:spacing w:before="0" w:after="48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ChapterNum">
    <w:name w:val="ChapterNum"/>
    <w:basedOn w:val="Normal"/>
    <w:link w:val="ChapterNumChar"/>
    <w:rsid w:val="00D20597"/>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D20597"/>
    <w:rPr>
      <w:rFonts w:eastAsia="Times New Roman"/>
      <w:kern w:val="0"/>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na.sharepoint.com/sites/Pride3_bna3_books1/Shared%20Documents/GROUPS/Books/ARCHIVES/TMD2%20NEW%20EDITION%20-%20Trademark%20Dilution/TM24/1.%20Orig/David%20Welkowit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law.com/Link/Document/FullText?findType=L&amp;pubNum=1000546&amp;cite=15USCAS1125&amp;originatingDoc=Ia0ccc520440e11ef8b40d81fe5ef1093&amp;refType=LQ&amp;originationContext=document&amp;vr=3.0&amp;rs=cblt1.0&amp;transitionType=DocumentItem&amp;contextData=(sc.AlertsResultHistory)"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85DE45-CA71-4FD8-849E-2B959130093F}"/>
      </w:docPartPr>
      <w:docPartBody>
        <w:p w:rsidR="0008285A" w:rsidRDefault="0008285A">
          <w:r w:rsidRPr="007E4A7E">
            <w:rPr>
              <w:rStyle w:val="PlaceholderText"/>
            </w:rPr>
            <w:t>Click or tap here to enter text.</w:t>
          </w:r>
        </w:p>
      </w:docPartBody>
    </w:docPart>
    <w:docPart>
      <w:docPartPr>
        <w:name w:val="7E39B9B38F73424787BBF18B83328AE3"/>
        <w:category>
          <w:name w:val="General"/>
          <w:gallery w:val="placeholder"/>
        </w:category>
        <w:types>
          <w:type w:val="bbPlcHdr"/>
        </w:types>
        <w:behaviors>
          <w:behavior w:val="content"/>
        </w:behaviors>
        <w:guid w:val="{1D41A8AB-8D9C-4CD6-9101-155FC607CCA1}"/>
      </w:docPartPr>
      <w:docPartBody>
        <w:p w:rsidR="0008285A" w:rsidRDefault="0008285A">
          <w:r w:rsidRPr="007E4A7E">
            <w:rPr>
              <w:rStyle w:val="PlaceholderText"/>
            </w:rPr>
            <w:t>Unit.Start</w:t>
          </w:r>
        </w:p>
      </w:docPartBody>
    </w:docPart>
    <w:docPart>
      <w:docPartPr>
        <w:name w:val="4EFAD931D83644838E5E4DD7195FAE5F"/>
        <w:category>
          <w:name w:val="General"/>
          <w:gallery w:val="placeholder"/>
        </w:category>
        <w:types>
          <w:type w:val="bbPlcHdr"/>
        </w:types>
        <w:behaviors>
          <w:behavior w:val="content"/>
        </w:behaviors>
        <w:guid w:val="{AE2EB8D7-8EFF-4B9D-A128-5BABBB6ED88A}"/>
      </w:docPartPr>
      <w:docPartBody>
        <w:p w:rsidR="0008285A" w:rsidRDefault="0008285A">
          <w:r w:rsidRPr="007E4A7E">
            <w:rPr>
              <w:rStyle w:val="PlaceholderText"/>
            </w:rPr>
            <w:t>Document</w:t>
          </w:r>
        </w:p>
      </w:docPartBody>
    </w:docPart>
    <w:docPart>
      <w:docPartPr>
        <w:name w:val="CE2F979B719447539DF02A2D3802666E"/>
        <w:category>
          <w:name w:val="General"/>
          <w:gallery w:val="placeholder"/>
        </w:category>
        <w:types>
          <w:type w:val="bbPlcHdr"/>
        </w:types>
        <w:behaviors>
          <w:behavior w:val="content"/>
        </w:behaviors>
        <w:guid w:val="{DA49972E-8CE9-4C4A-935C-E6BD45F75053}"/>
      </w:docPartPr>
      <w:docPartBody>
        <w:p w:rsidR="0008285A" w:rsidRDefault="0008285A">
          <w:r w:rsidRPr="007E4A7E">
            <w:rPr>
              <w:rStyle w:val="PlaceholderText"/>
            </w:rPr>
            <w:t>enter text</w:t>
          </w:r>
        </w:p>
      </w:docPartBody>
    </w:docPart>
    <w:docPart>
      <w:docPartPr>
        <w:name w:val="23D3F63B17E642339CD68FEEF4CF9CF0"/>
        <w:category>
          <w:name w:val="General"/>
          <w:gallery w:val="placeholder"/>
        </w:category>
        <w:types>
          <w:type w:val="bbPlcHdr"/>
        </w:types>
        <w:behaviors>
          <w:behavior w:val="content"/>
        </w:behaviors>
        <w:guid w:val="{01048775-B09B-4E5A-91B1-F52769D6908A}"/>
      </w:docPartPr>
      <w:docPartBody>
        <w:p w:rsidR="0008285A" w:rsidRDefault="0008285A">
          <w:r w:rsidRPr="007E4A7E">
            <w:rPr>
              <w:rStyle w:val="PlaceholderText"/>
            </w:rPr>
            <w:t>enter text</w:t>
          </w:r>
        </w:p>
      </w:docPartBody>
    </w:docPart>
    <w:docPart>
      <w:docPartPr>
        <w:name w:val="580C3A742EE24C16A67F253ECC6ECB23"/>
        <w:category>
          <w:name w:val="General"/>
          <w:gallery w:val="placeholder"/>
        </w:category>
        <w:types>
          <w:type w:val="bbPlcHdr"/>
        </w:types>
        <w:behaviors>
          <w:behavior w:val="content"/>
        </w:behaviors>
        <w:guid w:val="{C25FB205-2644-4112-B935-D75F968D8DE6}"/>
      </w:docPartPr>
      <w:docPartBody>
        <w:p w:rsidR="0008285A" w:rsidRDefault="0008285A">
          <w:r w:rsidRPr="007E4A7E">
            <w:rPr>
              <w:rStyle w:val="PlaceholderText"/>
            </w:rPr>
            <w:t>enter REQUIRED text</w:t>
          </w:r>
        </w:p>
      </w:docPartBody>
    </w:docPart>
    <w:docPart>
      <w:docPartPr>
        <w:name w:val="D817FAF7649449A8905C57015B218E4D"/>
        <w:category>
          <w:name w:val="General"/>
          <w:gallery w:val="placeholder"/>
        </w:category>
        <w:types>
          <w:type w:val="bbPlcHdr"/>
        </w:types>
        <w:behaviors>
          <w:behavior w:val="content"/>
        </w:behaviors>
        <w:guid w:val="{E8221546-498D-4F51-933E-A731BCC862E1}"/>
      </w:docPartPr>
      <w:docPartBody>
        <w:p w:rsidR="0008285A" w:rsidRDefault="0008285A">
          <w:r w:rsidRPr="007E4A7E">
            <w:rPr>
              <w:rStyle w:val="PlaceholderText"/>
            </w:rPr>
            <w:t>enter REQUIRED text</w:t>
          </w:r>
        </w:p>
      </w:docPartBody>
    </w:docPart>
    <w:docPart>
      <w:docPartPr>
        <w:name w:val="9E4C05A996B5492F9DAAB742FC3F755D"/>
        <w:category>
          <w:name w:val="General"/>
          <w:gallery w:val="placeholder"/>
        </w:category>
        <w:types>
          <w:type w:val="bbPlcHdr"/>
        </w:types>
        <w:behaviors>
          <w:behavior w:val="content"/>
        </w:behaviors>
        <w:guid w:val="{1BEBF85F-B7A7-4275-BED4-BCF50D8FE084}"/>
      </w:docPartPr>
      <w:docPartBody>
        <w:p w:rsidR="0008285A" w:rsidRDefault="0008285A">
          <w:r w:rsidRPr="007E4A7E">
            <w:rPr>
              <w:rStyle w:val="PlaceholderText"/>
            </w:rPr>
            <w:t>enter text</w:t>
          </w:r>
        </w:p>
      </w:docPartBody>
    </w:docPart>
    <w:docPart>
      <w:docPartPr>
        <w:name w:val="A3CF9FF959F843DB972F3165D66AE35F"/>
        <w:category>
          <w:name w:val="General"/>
          <w:gallery w:val="placeholder"/>
        </w:category>
        <w:types>
          <w:type w:val="bbPlcHdr"/>
        </w:types>
        <w:behaviors>
          <w:behavior w:val="content"/>
        </w:behaviors>
        <w:guid w:val="{B55AE45F-77F0-48A6-A833-4508A47132D5}"/>
      </w:docPartPr>
      <w:docPartBody>
        <w:p w:rsidR="0008285A" w:rsidRDefault="0008285A">
          <w:r w:rsidRPr="007E4A7E">
            <w:rPr>
              <w:rStyle w:val="PlaceholderText"/>
            </w:rPr>
            <w:t>enter text</w:t>
          </w:r>
        </w:p>
      </w:docPartBody>
    </w:docPart>
    <w:docPart>
      <w:docPartPr>
        <w:name w:val="19624F1D36504E1A991A58E55A17BBCC"/>
        <w:category>
          <w:name w:val="General"/>
          <w:gallery w:val="placeholder"/>
        </w:category>
        <w:types>
          <w:type w:val="bbPlcHdr"/>
        </w:types>
        <w:behaviors>
          <w:behavior w:val="content"/>
        </w:behaviors>
        <w:guid w:val="{E3D7D753-0BF7-413E-9A5B-DFAEC152496A}"/>
      </w:docPartPr>
      <w:docPartBody>
        <w:p w:rsidR="0008285A" w:rsidRDefault="0008285A">
          <w:r w:rsidRPr="007E4A7E">
            <w:rPr>
              <w:rStyle w:val="PlaceholderText"/>
            </w:rPr>
            <w:t>enter text</w:t>
          </w:r>
        </w:p>
      </w:docPartBody>
    </w:docPart>
    <w:docPart>
      <w:docPartPr>
        <w:name w:val="124C7CDBF2D54099B46D8DB610E68123"/>
        <w:category>
          <w:name w:val="General"/>
          <w:gallery w:val="placeholder"/>
        </w:category>
        <w:types>
          <w:type w:val="bbPlcHdr"/>
        </w:types>
        <w:behaviors>
          <w:behavior w:val="content"/>
        </w:behaviors>
        <w:guid w:val="{BBCE5B32-F85C-4D59-830B-79436A9A1610}"/>
      </w:docPartPr>
      <w:docPartBody>
        <w:p w:rsidR="0008285A" w:rsidRDefault="0008285A">
          <w:r w:rsidRPr="007E4A7E">
            <w:rPr>
              <w:rStyle w:val="PlaceholderText"/>
            </w:rPr>
            <w:t>enter text</w:t>
          </w:r>
        </w:p>
      </w:docPartBody>
    </w:docPart>
    <w:docPart>
      <w:docPartPr>
        <w:name w:val="CFC8AF70D2F148A4A579CDAD68D8EBCE"/>
        <w:category>
          <w:name w:val="General"/>
          <w:gallery w:val="placeholder"/>
        </w:category>
        <w:types>
          <w:type w:val="bbPlcHdr"/>
        </w:types>
        <w:behaviors>
          <w:behavior w:val="content"/>
        </w:behaviors>
        <w:guid w:val="{17ABF5C8-B037-41FF-A1CB-6B51A9DE4089}"/>
      </w:docPartPr>
      <w:docPartBody>
        <w:p w:rsidR="0008285A" w:rsidRDefault="0008285A">
          <w:r w:rsidRPr="007E4A7E">
            <w:rPr>
              <w:rStyle w:val="PlaceholderText"/>
            </w:rPr>
            <w:t>enter text</w:t>
          </w:r>
        </w:p>
      </w:docPartBody>
    </w:docPart>
    <w:docPart>
      <w:docPartPr>
        <w:name w:val="3323CF3E6F2848E3B6758B0B6412DF3C"/>
        <w:category>
          <w:name w:val="General"/>
          <w:gallery w:val="placeholder"/>
        </w:category>
        <w:types>
          <w:type w:val="bbPlcHdr"/>
        </w:types>
        <w:behaviors>
          <w:behavior w:val="content"/>
        </w:behaviors>
        <w:guid w:val="{03074FB0-B534-46C9-A5BB-0551F2969EDE}"/>
      </w:docPartPr>
      <w:docPartBody>
        <w:p w:rsidR="0008285A" w:rsidRDefault="0008285A">
          <w:r w:rsidRPr="007E4A7E">
            <w:rPr>
              <w:rStyle w:val="PlaceholderText"/>
            </w:rPr>
            <w:t>enter text</w:t>
          </w:r>
        </w:p>
      </w:docPartBody>
    </w:docPart>
    <w:docPart>
      <w:docPartPr>
        <w:name w:val="A390B8EA1B2E4AF6B87CB920ED1D12E4"/>
        <w:category>
          <w:name w:val="General"/>
          <w:gallery w:val="placeholder"/>
        </w:category>
        <w:types>
          <w:type w:val="bbPlcHdr"/>
        </w:types>
        <w:behaviors>
          <w:behavior w:val="content"/>
        </w:behaviors>
        <w:guid w:val="{65A494E7-0529-4F71-992C-2396F135A160}"/>
      </w:docPartPr>
      <w:docPartBody>
        <w:p w:rsidR="0008285A" w:rsidRDefault="0008285A">
          <w:r w:rsidRPr="007E4A7E">
            <w:rPr>
              <w:rStyle w:val="PlaceholderText"/>
            </w:rPr>
            <w:t>enter text</w:t>
          </w:r>
        </w:p>
      </w:docPartBody>
    </w:docPart>
    <w:docPart>
      <w:docPartPr>
        <w:name w:val="F79E5EE7D37B45F59C465AA5EB168893"/>
        <w:category>
          <w:name w:val="General"/>
          <w:gallery w:val="placeholder"/>
        </w:category>
        <w:types>
          <w:type w:val="bbPlcHdr"/>
        </w:types>
        <w:behaviors>
          <w:behavior w:val="content"/>
        </w:behaviors>
        <w:guid w:val="{EE35288A-6D6D-4A2E-8AF1-576B0D1205DF}"/>
      </w:docPartPr>
      <w:docPartBody>
        <w:p w:rsidR="0008285A" w:rsidRDefault="0008285A">
          <w:r w:rsidRPr="007E4A7E">
            <w:rPr>
              <w:rStyle w:val="PlaceholderText"/>
            </w:rPr>
            <w:t>enter text</w:t>
          </w:r>
        </w:p>
      </w:docPartBody>
    </w:docPart>
    <w:docPart>
      <w:docPartPr>
        <w:name w:val="8FAC14DC69A642AD8EB78E00FD561BA3"/>
        <w:category>
          <w:name w:val="General"/>
          <w:gallery w:val="placeholder"/>
        </w:category>
        <w:types>
          <w:type w:val="bbPlcHdr"/>
        </w:types>
        <w:behaviors>
          <w:behavior w:val="content"/>
        </w:behaviors>
        <w:guid w:val="{A37CA025-ECEA-48F9-8225-E243CC8859C2}"/>
      </w:docPartPr>
      <w:docPartBody>
        <w:p w:rsidR="0008285A" w:rsidRDefault="0008285A">
          <w:r w:rsidRPr="007E4A7E">
            <w:rPr>
              <w:rStyle w:val="PlaceholderText"/>
            </w:rPr>
            <w:t>choose an item (REQUIRED)</w:t>
          </w:r>
        </w:p>
      </w:docPartBody>
    </w:docPart>
    <w:docPart>
      <w:docPartPr>
        <w:name w:val="DC7CBC2A4F5F44369FCC1CE9AB4FF214"/>
        <w:category>
          <w:name w:val="General"/>
          <w:gallery w:val="placeholder"/>
        </w:category>
        <w:types>
          <w:type w:val="bbPlcHdr"/>
        </w:types>
        <w:behaviors>
          <w:behavior w:val="content"/>
        </w:behaviors>
        <w:guid w:val="{9A9D737C-9B50-434B-ADCB-B69205B643D7}"/>
      </w:docPartPr>
      <w:docPartBody>
        <w:p w:rsidR="0008285A" w:rsidRDefault="0008285A">
          <w:r w:rsidRPr="007E4A7E">
            <w:rPr>
              <w:rStyle w:val="PlaceholderText"/>
            </w:rPr>
            <w:t>enter text</w:t>
          </w:r>
        </w:p>
      </w:docPartBody>
    </w:docPart>
    <w:docPart>
      <w:docPartPr>
        <w:name w:val="9264954CC9B248EEBA0561FEC889C4DD"/>
        <w:category>
          <w:name w:val="General"/>
          <w:gallery w:val="placeholder"/>
        </w:category>
        <w:types>
          <w:type w:val="bbPlcHdr"/>
        </w:types>
        <w:behaviors>
          <w:behavior w:val="content"/>
        </w:behaviors>
        <w:guid w:val="{6C53B002-9C29-4EAE-B097-7ECF7184F037}"/>
      </w:docPartPr>
      <w:docPartBody>
        <w:p w:rsidR="0008285A" w:rsidRDefault="0008285A">
          <w:r w:rsidRPr="007E4A7E">
            <w:rPr>
              <w:rStyle w:val="PlaceholderText"/>
            </w:rPr>
            <w:t>enter text</w:t>
          </w:r>
        </w:p>
      </w:docPartBody>
    </w:docPart>
    <w:docPart>
      <w:docPartPr>
        <w:name w:val="80E0B2616EC444CD91DB1434E8859598"/>
        <w:category>
          <w:name w:val="General"/>
          <w:gallery w:val="placeholder"/>
        </w:category>
        <w:types>
          <w:type w:val="bbPlcHdr"/>
        </w:types>
        <w:behaviors>
          <w:behavior w:val="content"/>
        </w:behaviors>
        <w:guid w:val="{A6F33BAC-8A3C-4AB5-9A8F-B3F52DF21BB5}"/>
      </w:docPartPr>
      <w:docPartBody>
        <w:p w:rsidR="0008285A" w:rsidRDefault="0008285A">
          <w:r w:rsidRPr="007E4A7E">
            <w:rPr>
              <w:rStyle w:val="PlaceholderText"/>
            </w:rPr>
            <w:t>enter REQUIRED text</w:t>
          </w:r>
        </w:p>
      </w:docPartBody>
    </w:docPart>
    <w:docPart>
      <w:docPartPr>
        <w:name w:val="2B9472242F5F494B9D1E83B121C1DAB0"/>
        <w:category>
          <w:name w:val="General"/>
          <w:gallery w:val="placeholder"/>
        </w:category>
        <w:types>
          <w:type w:val="bbPlcHdr"/>
        </w:types>
        <w:behaviors>
          <w:behavior w:val="content"/>
        </w:behaviors>
        <w:guid w:val="{FDEDBBE4-DD9B-446E-8555-7A515EA69879}"/>
      </w:docPartPr>
      <w:docPartBody>
        <w:p w:rsidR="0008285A" w:rsidRDefault="0008285A">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5A"/>
    <w:rsid w:val="0008285A"/>
    <w:rsid w:val="00451D10"/>
    <w:rsid w:val="00C2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8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subpart.name="enter text" unit.code="main0007" unit.name="Chapter 7. The Elements of a Dilution Claim Under Federal Law" folio="245" class.code="A" class.name="Book Body" bna.id.prefix="7" pdm.name="Chap07" part.num="2" part.name="Part II. Federal Dilution Law" publication.name="Trademark Dilution - Federal, State, and International Law, Second Edition" acct.code="TD2M20" date="2025-09-25"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15</Pages>
  <Words>5165</Words>
  <Characters>26505</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2025-09-25T20:43:00Z</dcterms:created>
  <dcterms:modified xsi:type="dcterms:W3CDTF">2025-09-30T18:55:00Z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