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34184" w14:textId="77777777" w:rsidR="00AC48F2" w:rsidRPr="00AC48F2" w:rsidRDefault="008A0E2E" w:rsidP="00EB6042">
      <w:pPr>
        <w:pStyle w:val="BDocStart"/>
      </w:pPr>
      <w:sdt>
        <w:sdtPr>
          <w:tag w:val="unit.start.head"/>
          <w:id w:val="1172072556"/>
          <w:lock w:val="sdtLocked"/>
          <w:placeholder>
            <w:docPart w:val="FB03CCEA01C844AC86C4FDBC312B4564"/>
          </w:placeholder>
          <w15:appearance w15:val="hidden"/>
        </w:sdtPr>
        <w:sdtEndPr/>
        <w:sdtContent>
          <w:proofErr w:type="spellStart"/>
          <w:r w:rsidR="00EB6042">
            <w:t>Unit.Start</w:t>
          </w:r>
          <w:proofErr w:type="spellEnd"/>
        </w:sdtContent>
      </w:sdt>
    </w:p>
    <w:sdt>
      <w:sdtPr>
        <w:rPr>
          <w:rStyle w:val="BContentControl"/>
        </w:rPr>
        <w:alias w:val="unit.start"/>
        <w:tag w:val="Unit1"/>
        <w:id w:val="1341433559"/>
        <w:placeholder>
          <w:docPart w:val="DefaultPlaceholder_-1854013440"/>
        </w:placeholder>
        <w15:appearance w15:val="tags"/>
      </w:sdtPr>
      <w:sdtEndPr>
        <w:rPr>
          <w:rStyle w:val="DefaultParagraphFont"/>
          <w:rFonts w:ascii="Times New Roman" w:hAnsi="Times New Roman"/>
          <w:sz w:val="24"/>
          <w:shd w:val="clear" w:color="auto" w:fill="auto"/>
        </w:rPr>
      </w:sdtEndPr>
      <w:sdtContent>
        <w:p w14:paraId="1C20A83A" w14:textId="20387ED5" w:rsidR="00AC48F2" w:rsidRPr="00AC48F2" w:rsidRDefault="008A0E2E" w:rsidP="00EB6042">
          <w:pPr>
            <w:pStyle w:val="BNormal"/>
          </w:pPr>
          <w:sdt>
            <w:sdtPr>
              <w:rPr>
                <w:rStyle w:val="BContentControl"/>
              </w:rPr>
              <w:alias w:val="acct.code"/>
              <w:tag w:val="acct.code"/>
              <w:id w:val="-349184292"/>
              <w:lock w:val="sdtLocked"/>
              <w:placeholder>
                <w:docPart w:val="D3FD414FAD0B43AFA4388F3453EB3C0C"/>
              </w:placeholder>
              <w:dataBinding w:prefixMappings="xmlns:ns0='http://www.bna.com/gateway/unit.start' " w:xpath="/ns0:document[1]/ns0:unit.start[1]/@acct.code" w:storeItemID="{B04FCA99-13B0-422B-ADC9-9491644FA79D}"/>
              <w15:appearance w15:val="tags"/>
              <w:text/>
            </w:sdtPr>
            <w:sdtEndPr>
              <w:rPr>
                <w:rStyle w:val="BContentControl"/>
              </w:rPr>
            </w:sdtEndPr>
            <w:sdtContent>
              <w:r w:rsidR="00EB6042">
                <w:rPr>
                  <w:rStyle w:val="BContentControl"/>
                </w:rPr>
                <w:t>TD2M20</w:t>
              </w:r>
            </w:sdtContent>
          </w:sdt>
          <w:sdt>
            <w:sdtPr>
              <w:rPr>
                <w:rStyle w:val="BContentControl"/>
              </w:rPr>
              <w:alias w:val="bna.id.prefix"/>
              <w:tag w:val="bna.id.prefix"/>
              <w:id w:val="1092751387"/>
              <w:lock w:val="sdtLocked"/>
              <w:placeholder>
                <w:docPart w:val="2C22802695C941DDBB65BE7DF49071B5"/>
              </w:placeholder>
              <w:dataBinding w:prefixMappings="xmlns:ns0='http://www.bna.com/gateway/unit.start' " w:xpath="/ns0:document[1]/ns0:unit.start[1]/@bna.id.prefix" w:storeItemID="{B04FCA99-13B0-422B-ADC9-9491644FA79D}"/>
              <w15:appearance w15:val="tags"/>
              <w:text/>
            </w:sdtPr>
            <w:sdtEndPr>
              <w:rPr>
                <w:rStyle w:val="BContentControl"/>
              </w:rPr>
            </w:sdtEndPr>
            <w:sdtContent>
              <w:r w:rsidR="00EB6042">
                <w:rPr>
                  <w:rStyle w:val="BContentControl"/>
                </w:rPr>
                <w:t>6</w:t>
              </w:r>
            </w:sdtContent>
          </w:sdt>
          <w:r w:rsidR="00EB6042" w:rsidRPr="00EB6042">
            <w:rPr>
              <w:rStyle w:val="BContentControl"/>
            </w:rPr>
            <w:t xml:space="preserve"> </w:t>
          </w:r>
          <w:sdt>
            <w:sdtPr>
              <w:rPr>
                <w:rStyle w:val="BContentControl"/>
              </w:rPr>
              <w:alias w:val="class.code*"/>
              <w:tag w:val="class.code"/>
              <w:id w:val="-1978755802"/>
              <w:lock w:val="sdtLocked"/>
              <w:placeholder>
                <w:docPart w:val="50BCAFE7CA974B87842765BD41810A43"/>
              </w:placeholder>
              <w:dataBinding w:prefixMappings="xmlns:ns0='http://www.bna.com/gateway/unit.start' " w:xpath="/ns0:document[1]/ns0:unit.start[1]/@class.code" w:storeItemID="{B04FCA99-13B0-422B-ADC9-9491644FA79D}"/>
              <w15:appearance w15:val="tags"/>
              <w:text/>
            </w:sdtPr>
            <w:sdtEndPr>
              <w:rPr>
                <w:rStyle w:val="BContentControl"/>
              </w:rPr>
            </w:sdtEndPr>
            <w:sdtContent>
              <w:r w:rsidR="00EB6042">
                <w:rPr>
                  <w:rStyle w:val="BContentControl"/>
                </w:rPr>
                <w:t>A</w:t>
              </w:r>
            </w:sdtContent>
          </w:sdt>
          <w:r w:rsidR="00EB6042" w:rsidRPr="00EB6042">
            <w:rPr>
              <w:rStyle w:val="BContentControl"/>
            </w:rPr>
            <w:t xml:space="preserve"> </w:t>
          </w:r>
          <w:sdt>
            <w:sdtPr>
              <w:rPr>
                <w:rStyle w:val="BContentControl"/>
              </w:rPr>
              <w:alias w:val="class.name*"/>
              <w:tag w:val="class.name"/>
              <w:id w:val="250483127"/>
              <w:lock w:val="sdtLocked"/>
              <w:placeholder>
                <w:docPart w:val="FFB811546707407D9F27AED3629CCF90"/>
              </w:placeholder>
              <w:dataBinding w:prefixMappings="xmlns:ns0='http://www.bna.com/gateway/unit.start' " w:xpath="/ns0:document[1]/ns0:unit.start[1]/@class.name" w:storeItemID="{B04FCA99-13B0-422B-ADC9-9491644FA79D}"/>
              <w15:appearance w15:val="tags"/>
              <w:text/>
            </w:sdtPr>
            <w:sdtEndPr>
              <w:rPr>
                <w:rStyle w:val="BContentControl"/>
              </w:rPr>
            </w:sdtEndPr>
            <w:sdtContent>
              <w:r w:rsidR="00EB6042">
                <w:rPr>
                  <w:rStyle w:val="BContentControl"/>
                </w:rPr>
                <w:t>Book Body</w:t>
              </w:r>
            </w:sdtContent>
          </w:sdt>
          <w:r w:rsidR="00EB6042" w:rsidRPr="00EB6042">
            <w:rPr>
              <w:rStyle w:val="BContentControl"/>
            </w:rPr>
            <w:t xml:space="preserve"> </w:t>
          </w:r>
          <w:sdt>
            <w:sdtPr>
              <w:rPr>
                <w:rStyle w:val="BContentControl"/>
              </w:rPr>
              <w:alias w:val="copyright.owner"/>
              <w:tag w:val="copyright.owner"/>
              <w:id w:val="-1834683072"/>
              <w:lock w:val="sdtLocked"/>
              <w:placeholder>
                <w:docPart w:val="9681739E75F3482A94111F5DE00078A8"/>
              </w:placeholder>
              <w:dataBinding w:prefixMappings="xmlns:ns0='http://www.bna.com/gateway/unit.start' " w:xpath="/ns0:document[1]/ns0:unit.start[1]/@copyright.owner" w:storeItemID="{B04FCA99-13B0-422B-ADC9-9491644FA79D}"/>
              <w15:appearance w15:val="tags"/>
              <w:text/>
            </w:sdtPr>
            <w:sdtEndPr>
              <w:rPr>
                <w:rStyle w:val="BContentControl"/>
              </w:rPr>
            </w:sdtEndPr>
            <w:sdtContent>
              <w:r w:rsidR="00EB6042" w:rsidRPr="00EB6042">
                <w:rPr>
                  <w:rStyle w:val="BContentControl"/>
                </w:rPr>
                <w:t>enter text</w:t>
              </w:r>
            </w:sdtContent>
          </w:sdt>
          <w:r w:rsidR="00EB6042" w:rsidRPr="00EB6042">
            <w:rPr>
              <w:rStyle w:val="BContentControl"/>
            </w:rPr>
            <w:t xml:space="preserve"> </w:t>
          </w:r>
          <w:sdt>
            <w:sdtPr>
              <w:rPr>
                <w:rStyle w:val="BContentControl"/>
              </w:rPr>
              <w:alias w:val="date"/>
              <w:tag w:val="date"/>
              <w:id w:val="-2069797254"/>
              <w:lock w:val="sdtLocked"/>
              <w:placeholder>
                <w:docPart w:val="EAB4B57F91D74755A3AA43EF4142D710"/>
              </w:placeholder>
              <w:dataBinding w:prefixMappings="xmlns:ns0='http://www.bna.com/gateway/unit.start' " w:xpath="/ns0:document[1]/ns0:unit.start[1]/@date" w:storeItemID="{B04FCA99-13B0-422B-ADC9-9491644FA79D}"/>
              <w15:appearance w15:val="tags"/>
              <w:text/>
            </w:sdtPr>
            <w:sdtEndPr>
              <w:rPr>
                <w:rStyle w:val="BContentControl"/>
              </w:rPr>
            </w:sdtEndPr>
            <w:sdtContent>
              <w:r w:rsidR="00EB6042">
                <w:rPr>
                  <w:rStyle w:val="BContentControl"/>
                </w:rPr>
                <w:t>2025-09-25</w:t>
              </w:r>
            </w:sdtContent>
          </w:sdt>
          <w:r w:rsidR="00EB6042" w:rsidRPr="00EB6042">
            <w:rPr>
              <w:rStyle w:val="BContentControl"/>
            </w:rPr>
            <w:t xml:space="preserve"> </w:t>
          </w:r>
          <w:sdt>
            <w:sdtPr>
              <w:rPr>
                <w:rStyle w:val="BContentControl"/>
              </w:rPr>
              <w:alias w:val="folio"/>
              <w:tag w:val="folio"/>
              <w:id w:val="814770063"/>
              <w:lock w:val="sdtLocked"/>
              <w:placeholder>
                <w:docPart w:val="5A9FF1D346A44A1ABCFE0F8B240D41CE"/>
              </w:placeholder>
              <w:dataBinding w:prefixMappings="xmlns:ns0='http://www.bna.com/gateway/unit.start' " w:xpath="/ns0:document[1]/ns0:unit.start[1]/@folio" w:storeItemID="{B04FCA99-13B0-422B-ADC9-9491644FA79D}"/>
              <w15:appearance w15:val="tags"/>
              <w:text/>
            </w:sdtPr>
            <w:sdtEndPr>
              <w:rPr>
                <w:rStyle w:val="BContentControl"/>
              </w:rPr>
            </w:sdtEndPr>
            <w:sdtContent>
              <w:r w:rsidR="00EB6042">
                <w:rPr>
                  <w:rStyle w:val="BContentControl"/>
                </w:rPr>
                <w:t>217</w:t>
              </w:r>
            </w:sdtContent>
          </w:sdt>
          <w:r w:rsidR="00EB6042" w:rsidRPr="00EB6042">
            <w:rPr>
              <w:rStyle w:val="BContentControl"/>
            </w:rPr>
            <w:t xml:space="preserve"> </w:t>
          </w:r>
          <w:sdt>
            <w:sdtPr>
              <w:rPr>
                <w:rStyle w:val="BContentControl"/>
              </w:rPr>
              <w:alias w:val="part.name"/>
              <w:tag w:val="part.name"/>
              <w:id w:val="1140157188"/>
              <w:lock w:val="sdtLocked"/>
              <w:placeholder>
                <w:docPart w:val="6B3CD96F40CD4B6397A59708C506D1D9"/>
              </w:placeholder>
              <w:dataBinding w:prefixMappings="xmlns:ns0='http://www.bna.com/gateway/unit.start' " w:xpath="/ns0:document[1]/ns0:unit.start[1]/@part.name" w:storeItemID="{B04FCA99-13B0-422B-ADC9-9491644FA79D}"/>
              <w15:appearance w15:val="tags"/>
              <w:text/>
            </w:sdtPr>
            <w:sdtEndPr>
              <w:rPr>
                <w:rStyle w:val="BContentControl"/>
              </w:rPr>
            </w:sdtEndPr>
            <w:sdtContent>
              <w:r w:rsidR="00AC48F2" w:rsidRPr="00AC48F2">
                <w:rPr>
                  <w:rStyle w:val="BContentControl"/>
                </w:rPr>
                <w:t>Part II. Federal Dilution Law</w:t>
              </w:r>
            </w:sdtContent>
          </w:sdt>
          <w:r w:rsidR="00EB6042" w:rsidRPr="00EB6042">
            <w:rPr>
              <w:rStyle w:val="BContentControl"/>
            </w:rPr>
            <w:t xml:space="preserve"> </w:t>
          </w:r>
          <w:sdt>
            <w:sdtPr>
              <w:rPr>
                <w:rStyle w:val="BContentControl"/>
              </w:rPr>
              <w:alias w:val="part.num"/>
              <w:tag w:val="part.num"/>
              <w:id w:val="-144201078"/>
              <w:lock w:val="sdtLocked"/>
              <w:placeholder>
                <w:docPart w:val="383796A61A0744B8969052FE05D323CB"/>
              </w:placeholder>
              <w:dataBinding w:prefixMappings="xmlns:ns0='http://www.bna.com/gateway/unit.start' " w:xpath="/ns0:document[1]/ns0:unit.start[1]/@part.num" w:storeItemID="{B04FCA99-13B0-422B-ADC9-9491644FA79D}"/>
              <w15:appearance w15:val="tags"/>
              <w:text/>
            </w:sdtPr>
            <w:sdtEndPr>
              <w:rPr>
                <w:rStyle w:val="BContentControl"/>
              </w:rPr>
            </w:sdtEndPr>
            <w:sdtContent>
              <w:r w:rsidR="00EB6042">
                <w:rPr>
                  <w:rStyle w:val="BContentControl"/>
                </w:rPr>
                <w:t>2</w:t>
              </w:r>
            </w:sdtContent>
          </w:sdt>
          <w:r w:rsidR="00EB6042" w:rsidRPr="00EB6042">
            <w:rPr>
              <w:rStyle w:val="BContentControl"/>
            </w:rPr>
            <w:t xml:space="preserve"> </w:t>
          </w:r>
          <w:sdt>
            <w:sdtPr>
              <w:rPr>
                <w:rStyle w:val="BContentControl"/>
              </w:rPr>
              <w:alias w:val="subpart.name"/>
              <w:tag w:val="subpart.name"/>
              <w:id w:val="1466614725"/>
              <w:lock w:val="sdtLocked"/>
              <w:placeholder>
                <w:docPart w:val="67CFC16F91F34CE19B4788D3B3E0CAC5"/>
              </w:placeholder>
              <w:dataBinding w:prefixMappings="xmlns:ns0='http://www.bna.com/gateway/unit.start' " w:xpath="/ns0:document[1]/ns0:unit.start[1]/@subpart.name" w:storeItemID="{B04FCA99-13B0-422B-ADC9-9491644FA79D}"/>
              <w15:appearance w15:val="tags"/>
              <w:text/>
            </w:sdtPr>
            <w:sdtEndPr>
              <w:rPr>
                <w:rStyle w:val="BContentControl"/>
              </w:rPr>
            </w:sdtEndPr>
            <w:sdtContent>
              <w:r w:rsidR="00EB6042" w:rsidRPr="00EB6042">
                <w:rPr>
                  <w:rStyle w:val="BContentControl"/>
                </w:rPr>
                <w:t>enter text</w:t>
              </w:r>
            </w:sdtContent>
          </w:sdt>
          <w:r w:rsidR="00EB6042" w:rsidRPr="00EB6042">
            <w:rPr>
              <w:rStyle w:val="BContentControl"/>
            </w:rPr>
            <w:t xml:space="preserve"> </w:t>
          </w:r>
          <w:sdt>
            <w:sdtPr>
              <w:rPr>
                <w:rStyle w:val="BContentControl"/>
              </w:rPr>
              <w:alias w:val="pdm.name"/>
              <w:tag w:val="pdm.name"/>
              <w:id w:val="1886912953"/>
              <w:lock w:val="sdtLocked"/>
              <w:placeholder>
                <w:docPart w:val="7FD4EDED698641698D8F5C9DD1462C56"/>
              </w:placeholder>
              <w:dataBinding w:prefixMappings="xmlns:ns0='http://www.bna.com/gateway/unit.start' " w:xpath="/ns0:document[1]/ns0:unit.start[1]/@pdm.name" w:storeItemID="{B04FCA99-13B0-422B-ADC9-9491644FA79D}"/>
              <w15:appearance w15:val="tags"/>
              <w:text/>
            </w:sdtPr>
            <w:sdtEndPr>
              <w:rPr>
                <w:rStyle w:val="BContentControl"/>
              </w:rPr>
            </w:sdtEndPr>
            <w:sdtContent>
              <w:r w:rsidR="00EB6042">
                <w:rPr>
                  <w:rStyle w:val="BContentControl"/>
                </w:rPr>
                <w:t>Chap06</w:t>
              </w:r>
            </w:sdtContent>
          </w:sdt>
          <w:r w:rsidR="00EB6042" w:rsidRPr="00EB6042">
            <w:rPr>
              <w:rStyle w:val="BContentControl"/>
            </w:rPr>
            <w:t xml:space="preserve"> </w:t>
          </w:r>
          <w:sdt>
            <w:sdtPr>
              <w:rPr>
                <w:rStyle w:val="BContentControl"/>
              </w:rPr>
              <w:alias w:val="publication.name"/>
              <w:tag w:val="publication.name"/>
              <w:id w:val="1970627228"/>
              <w:lock w:val="sdtLocked"/>
              <w:placeholder>
                <w:docPart w:val="DC6A9B7878C048399B4AA2FE0C91A0C6"/>
              </w:placeholder>
              <w:dataBinding w:prefixMappings="xmlns:ns0='http://www.bna.com/gateway/unit.start' " w:xpath="/ns0:document[1]/ns0:unit.start[1]/@publication.name" w:storeItemID="{B04FCA99-13B0-422B-ADC9-9491644FA79D}"/>
              <w15:appearance w15:val="tags"/>
              <w:text/>
            </w:sdtPr>
            <w:sdtEndPr>
              <w:rPr>
                <w:rStyle w:val="BContentControl"/>
              </w:rPr>
            </w:sdtEndPr>
            <w:sdtContent>
              <w:r w:rsidR="00EB6042">
                <w:rPr>
                  <w:rStyle w:val="BContentControl"/>
                </w:rPr>
                <w:t>Trademark Dilution - Federal, State, and International Law, Second Edition</w:t>
              </w:r>
            </w:sdtContent>
          </w:sdt>
          <w:r w:rsidR="00EB6042" w:rsidRPr="00EB6042">
            <w:rPr>
              <w:rStyle w:val="BContentControl"/>
            </w:rPr>
            <w:t xml:space="preserve"> </w:t>
          </w:r>
          <w:sdt>
            <w:sdtPr>
              <w:rPr>
                <w:rStyle w:val="BContentControl"/>
              </w:rPr>
              <w:alias w:val="service.code*"/>
              <w:tag w:val="mUnit1"/>
              <w:id w:val="682093269"/>
              <w:lock w:val="sdtLocked"/>
              <w:placeholder>
                <w:docPart w:val="26BE6FA74EE944E996845CEAD03EFC0A"/>
              </w:placeholder>
              <w:dataBinding w:prefixMappings="xmlns:ns0='http://www.bna.com/gateway/unit.start' " w:xpath="/ns0:document[1]/ns0:unit.start[1]/@service.code" w:storeItemID="{B04FCA99-13B0-422B-ADC9-9491644FA79D}"/>
              <w15:appearance w15:val="tags"/>
              <w:dropDownList w:lastValue="td-book">
                <w:listItem w:displayText="aca-book" w:value="aca-book"/>
                <w:listItem w:displayText="aclc-book" w:value="aclc-book"/>
                <w:listItem w:displayText="adel-book" w:value="adel-book"/>
                <w:listItem w:displayText="adrel-book" w:value="adrel-book"/>
                <w:listItem w:displayText="aetr-book" w:value="aetr-book"/>
                <w:listItem w:displayText="afl-book" w:value="afl-book"/>
                <w:listItem w:displayText="ald-book" w:value="ald-book"/>
                <w:listItem w:displayText="apc-book" w:value="apc-book"/>
                <w:listItem w:displayText="apsf-book" w:value="apsf-book"/>
                <w:listItem w:displayText="arb18-book" w:value="arb18-book"/>
                <w:listItem w:displayText="arb19-book" w:value="arb19-book"/>
                <w:listItem w:displayText="bam-book" w:value="bam-book"/>
                <w:listItem w:displayText="bfc-book" w:value="bfc-book"/>
                <w:listItem w:displayText="biot-book" w:value="biot-book"/>
                <w:listItem w:displayText="bkyov-book" w:value="bkyov-book"/>
                <w:listItem w:displayText="bkyp-book" w:value="bkyp-book"/>
                <w:listItem w:displayText="blm-book" w:value="blm-book"/>
                <w:listItem w:displayText="bna-book" w:value="bna-book"/>
                <w:listItem w:displayText="bplr-book" w:value="bplr-book"/>
                <w:listItem w:displayText="cbglf-book" w:value="cbglf-book"/>
                <w:listItem w:displayText="cbh-book" w:value="cbh-book"/>
                <w:listItem w:displayText="cdpat-book" w:value="cdpat-book"/>
                <w:listItem w:displayText="cfcjpp-book" w:value="cfcjpp-book"/>
                <w:listItem w:displayText="cflc-book" w:value="cflc-book"/>
                <w:listItem w:displayText="cgdl-book" w:value="cgdl-book"/>
                <w:listItem w:displayText="cic-book" w:value="cic-book"/>
                <w:listItem w:displayText="cilel-book" w:value="cilel-book"/>
                <w:listItem w:displayText="clcdp-book" w:value="clcdp-book"/>
                <w:listItem w:displayText="cld-book" w:value="cld-book"/>
                <w:listItem w:displayText="cle-book" w:value="cle-book"/>
                <w:listItem w:displayText="clwva-book" w:value="clwva-book"/>
                <w:listItem w:displayText="cmb-book" w:value="cmb-book"/>
                <w:listItem w:displayText="cnc-book" w:value="cnc-book"/>
                <w:listItem w:displayText="colp-book" w:value="colp-book"/>
                <w:listItem w:displayText="cps1-book" w:value="cps1-book"/>
                <w:listItem w:displayText="cps61-book" w:value="cps61-book"/>
                <w:listItem w:displayText="cps63-book" w:value="cps63-book"/>
                <w:listItem w:displayText="cps67-book" w:value="cps67-book"/>
                <w:listItem w:displayText="cps68-book" w:value="cps68-book"/>
                <w:listItem w:displayText="cps75-book" w:value="cps75-book"/>
                <w:listItem w:displayText="cps88-book" w:value="cps88-book"/>
                <w:listItem w:displayText="crbc-book" w:value="crbc-book"/>
                <w:listItem w:displayText="cst-book" w:value="cst-book"/>
                <w:listItem w:displayText="dat-book" w:value="dat-book"/>
                <w:listItem w:displayText="dcalfc-book" w:value="dcalfc-book"/>
                <w:listItem w:displayText="dda-book" w:value="dda-book"/>
                <w:listItem w:displayText="ddw-book" w:value="ddw-book"/>
                <w:listItem w:displayText="dec-book" w:value="dec-book"/>
                <w:listItem w:displayText="desi-book" w:value="desi-book"/>
                <w:listItem w:displayText="dlit-book" w:value="dlit-book"/>
                <w:listItem w:displayText="dll-book" w:value="dll-book"/>
                <w:listItem w:displayText="dolfi-book" w:value="dolfi-book"/>
                <w:listItem w:displayText="dpl-book" w:value="dpl-book"/>
                <w:listItem w:displayText="dsfc-book" w:value="dsfc-book"/>
                <w:listItem w:displayText="dulg-book" w:value="dulg-book"/>
                <w:listItem w:displayText="ebl-book" w:value="ebl-book"/>
                <w:listItem w:displayText="eclas-book" w:value="eclas-book"/>
                <w:listItem w:displayText="edd-book" w:value="edd-book"/>
                <w:listItem w:displayText="ediel-book" w:value="ediel-book"/>
                <w:listItem w:displayText="edcl-book" w:value="edcl-book"/>
                <w:listItem w:displayText="edl-book" w:value="edl-book"/>
                <w:listItem w:displayText="edpf-book" w:value="edpf-book"/>
                <w:listItem w:displayText="edy-book" w:value="edy-book"/>
                <w:listItem w:displayText="efl-book" w:value="efl-book"/>
                <w:listItem w:displayText="ehl-book" w:value="ehl-book"/>
                <w:listItem w:displayText="eipl-book" w:value="eipl-book"/>
                <w:listItem w:displayText="el-book" w:value="el-book"/>
                <w:listItem w:displayText="elc-book" w:value="elc-book"/>
                <w:listItem w:displayText="elcr-book" w:value="elcr-book"/>
                <w:listItem w:displayText="emp-book" w:value="emp-book"/>
                <w:listItem w:displayText="epc-book" w:value="epc-book"/>
                <w:listItem w:displayText="erisadl-book" w:value="erisadl-book"/>
                <w:listItem w:displayText="err-book" w:value="err-book"/>
                <w:listItem w:displayText="esp-book" w:value="esp-book"/>
                <w:listItem w:displayText="etpg-book" w:value="etpg-book"/>
                <w:listItem w:displayText="eupl-book" w:value="eupl-book"/>
                <w:listItem w:displayText="evd-book" w:value="evd-book"/>
                <w:listItem w:displayText="fah-book" w:value="fah-book"/>
                <w:listItem w:displayText="fap-book" w:value="fap-book"/>
                <w:listItem w:displayText="fcawl-book" w:value="fcawl-book"/>
                <w:listItem w:displayText="ffapl-book" w:value="ffapl-book"/>
                <w:listItem w:displayText="ffua-book" w:value="ffua-book"/>
                <w:listItem w:displayText="fhcdl-book" w:value="fhcdl-book"/>
                <w:listItem w:displayText="fiflp-book" w:value="fiflp-book"/>
                <w:listItem w:displayText="fitic-book" w:value="fitic-book"/>
                <w:listItem w:displayText="flfs-book" w:value="flfs-book"/>
                <w:listItem w:displayText="flsa-book" w:value="flsa-book"/>
                <w:listItem w:displayText="fmla-book" w:value="fmla-book"/>
                <w:listItem w:displayText="fotn-book" w:value="fotn-book"/>
                <w:listItem w:displayText="frd-book" w:value="frd-book"/>
                <w:listItem w:displayText="ftecorp-book" w:value="ftecorp-book"/>
                <w:listItem w:displayText="fteind-book" w:value="fteind-book"/>
                <w:listItem w:displayText="ftepart-book" w:value="ftepart-book"/>
                <w:listItem w:displayText="ftescorp-book" w:value="ftescorp-book"/>
                <w:listItem w:displayText="ftl-book" w:value="ftl-book"/>
                <w:listItem w:displayText="gdttc-book" w:value="gdttc-book"/>
                <w:listItem w:displayText="gdttii-book" w:value="gdttii-book"/>
                <w:listItem w:displayText="gep-book" w:value="gep-book"/>
                <w:listItem w:displayText="gg-book" w:value="gg-book"/>
                <w:listItem w:displayText="gisod-book" w:value="gisod-book"/>
                <w:listItem w:displayText="gof-book" w:value="gof-book"/>
                <w:listItem w:displayText="gpl-book" w:value="gpl-book"/>
                <w:listItem w:displayText="hadrw-book" w:value="hadrw-book"/>
                <w:listItem w:displayText="haw-book" w:value="haw-book"/>
                <w:listItem w:displayText="hcf-book" w:value="hcf-book"/>
                <w:listItem w:displayText="hcylc-book" w:value="hcylc-book"/>
                <w:listItem w:displayText="hee-book" w:value="hee-book"/>
                <w:listItem w:displayText="heg-book" w:value="heg-book"/>
                <w:listItem w:displayText="hlbs1500-book" w:value="hlbs1500-book"/>
                <w:listItem w:displayText="hlbs2100-book" w:value="hlbs2100-book"/>
                <w:listItem w:displayText="hlbs2300-book" w:value="hlbs2300-book"/>
                <w:listItem w:displayText="hlbs2400-book" w:value="hlbs2400-book"/>
                <w:listItem w:displayText="hlbs2600-book" w:value="hlbs2600-book"/>
                <w:listItem w:displayText="hlbs2650-book" w:value="hlbs2650-book"/>
                <w:listItem w:displayText="hlbs2800-book" w:value="hlbs2800-book"/>
                <w:listItem w:displayText="hlbs2900-book" w:value="hlbs2900-book"/>
                <w:listItem w:displayText="hlbs3300-book" w:value="hlbs3300-book"/>
                <w:listItem w:displayText="hop-book" w:value="hop-book"/>
                <w:listItem w:displayText="hpplac-book" w:value="hpplac-book"/>
                <w:listItem w:displayText="hrcc-book" w:value="hrcc-book"/>
                <w:listItem w:displayText="htcb-book" w:value="htcb-book"/>
                <w:listItem w:displayText="iedcm-book" w:value="iedcm-book"/>
                <w:listItem w:displayText="igai-book" w:value="igai-book"/>
                <w:listItem w:displayText="iipd-book" w:value="iipd-book"/>
                <w:listItem w:displayText="ile-book" w:value="ile-book"/>
                <w:listItem w:displayText="ilfg-book" w:value="ilfg-book"/>
                <w:listItem w:displayText="ilu337-book" w:value="ilu337-book"/>
                <w:listItem w:displayText="ipl-book" w:value="ipl-book"/>
                <w:listItem w:displayText="iplc-book" w:value="iplc-book"/>
                <w:listItem w:displayText="ipsil-book" w:value="ipsil-book"/>
                <w:listItem w:displayText="ipt-book" w:value="ipt-book"/>
                <w:listItem w:displayText="iptt-book" w:value="iptt-book"/>
                <w:listItem w:displayText="irc-book" w:value="irc-book"/>
                <w:listItem w:displayText="isa-book" w:value="isa-book"/>
                <w:listItem w:displayText="ishc-book" w:value="ishc-book"/>
                <w:listItem w:displayText="jcst-book" w:value="jcst-book"/>
                <w:listItem w:displayText="labp-book" w:value="labp-book"/>
                <w:listItem w:displayText="lacma-book" w:value="lacma-book"/>
                <w:listItem w:displayText="ladh-book" w:value="ladh-book"/>
                <w:listItem w:displayText="lana-book" w:value="lana-book"/>
                <w:listItem w:displayText="lapga-book" w:value="lapga-book"/>
                <w:listItem w:displayText="lbd-book" w:value="lbd-book"/>
                <w:listItem w:displayText="lfgp-book" w:value="lfgp-book"/>
                <w:listItem w:displayText="llcbps-book" w:value="llcbps-book"/>
                <w:listItem w:displayText="lml-book" w:value="lml-book"/>
                <w:listItem w:displayText="lopm-book" w:value="lopm-book"/>
                <w:listItem w:displayText="lpdi-book" w:value="lpdi-book"/>
                <w:listItem w:displayText="lptsda-book" w:value="lptsda-book"/>
                <w:listItem w:displayText="lsfl-book" w:value="lsfl-book"/>
                <w:listItem w:displayText="lulr-book" w:value="lulr-book"/>
                <w:listItem w:displayText="mapc-book" w:value="mapc-book"/>
                <w:listItem w:displayText="mcl-book" w:value="mcl-book"/>
                <w:listItem w:displayText="mdbsc-book" w:value="mdbsc-book"/>
                <w:listItem w:displayText="mdedl-book" w:value="mdedl-book"/>
                <w:listItem w:displayText="meip-book" w:value="meip-book"/>
                <w:listItem w:displayText="mlprco-book" w:value="mlprco-book"/>
                <w:listItem w:displayText="naat-book" w:value="naat-book"/>
                <w:listItem w:displayText="net-book" w:value="net-book"/>
                <w:listItem w:displayText="nlc-book" w:value="nlc-book"/>
                <w:listItem w:displayText="nlrr-book" w:value="nlrr-book"/>
                <w:listItem w:displayText="nwic-book" w:value="nwic-book"/>
                <w:listItem w:displayText="ops-book" w:value="ops-book"/>
                <w:listItem w:displayText="oshl-book" w:value="oshl-book"/>
                <w:listItem w:displayText="paaa-book" w:value="paaa-book"/>
                <w:listItem w:displayText="paed-book" w:value="paed-book"/>
                <w:listItem w:displayText="paia-book" w:value="paia-book"/>
                <w:listItem w:displayText="papc-book" w:value="papc-book"/>
                <w:listItem w:displayText="patstan-book" w:value="patstan-book"/>
                <w:listItem w:displayText="pbcr-book" w:value="pbcr-book"/>
                <w:listItem w:displayText="pce-book" w:value="pce-book"/>
                <w:listItem w:displayText="pcmt-book" w:value="pcmt-book"/>
                <w:listItem w:displayText="pda-book" w:value="pda-book"/>
                <w:listItem w:displayText="pel-book" w:value="pel-book"/>
                <w:listItem w:displayText="pesi-book" w:value="pesi-book"/>
                <w:listItem w:displayText="pfc-book" w:value="pfc-book"/>
                <w:listItem w:displayText="pfo-book" w:value="pfo-book"/>
                <w:listItem w:displayText="pgfafl-book" w:value="pgfafl-book"/>
                <w:listItem w:displayText="pgpp-book" w:value="pgpp-book"/>
                <w:listItem w:displayText="pgofacsc-book" w:value="pgofacsc-book"/>
                <w:listItem w:displayText="pjae-book" w:value="pjae-book"/>
                <w:listItem w:displayText="phrm-book" w:value="phrm-book"/>
                <w:listItem w:displayText="pir-book" w:value="pir-book"/>
                <w:listItem w:displayText="plp-book" w:value="plp-book"/>
                <w:listItem w:displayText="pls-book" w:value="pls-book"/>
                <w:listItem w:displayText="ppat-book" w:value="ppat-book"/>
                <w:listItem w:displayText="ppla-book" w:value="ppla-book"/>
                <w:listItem w:displayText="pppp-book" w:value="pppp-book"/>
                <w:listItem w:displayText="pro1-book" w:value="pro1-book"/>
                <w:listItem w:displayText="pro2-book" w:value="pro2-book"/>
                <w:listItem w:displayText="pswh-book" w:value="pswh-book"/>
                <w:listItem w:displayText="ptabh-book" w:value="ptabh-book"/>
                <w:listItem w:displayText="ptcl-book" w:value="ptcl-book"/>
                <w:listItem w:displayText="ptcr-book" w:value="ptcr-book"/>
                <w:listItem w:displayText="qeh-book" w:value="qeh-book"/>
                <w:listItem w:displayText="rcci-book" w:value="rcci-book"/>
                <w:listItem w:displayText="rctse-book" w:value="rctse-book"/>
                <w:listItem w:displayText="rgi-book" w:value="rgi-book"/>
                <w:listItem w:displayText="rif-book" w:value="rif-book"/>
                <w:listItem w:displayText="rla-book" w:value="rla-book"/>
                <w:listItem w:displayText="rpe-book" w:value="rpe-book"/>
                <w:listItem w:displayText="scp-book" w:value="scp-book"/>
                <w:listItem w:displayText="sead-book" w:value="sead-book"/>
                <w:listItem w:displayText="sps203-book" w:value="sps203-book"/>
                <w:listItem w:displayText="srp-book" w:value="srp-book"/>
                <w:listItem w:displayText="ssfs-book" w:value="ssfs-book"/>
                <w:listItem w:displayText="sti-book" w:value="sti-book"/>
                <w:listItem w:displayText="tcs409a-book" w:value="tcs409a-book"/>
                <w:listItem w:displayText="td-book" w:value="td-book"/>
                <w:listItem w:displayText="teelm-book" w:value="teelm-book"/>
                <w:listItem w:displayText="tei-book" w:value="tei-book"/>
                <w:listItem w:displayText="tic-book" w:value="tic-book"/>
                <w:listItem w:displayText="tir-book" w:value="tir-book"/>
                <w:listItem w:displayText="tlp-book" w:value="tlp-book"/>
                <w:listItem w:displayText="tmftg-book" w:value="tmftg-book"/>
                <w:listItem w:displayText="tmftp-book" w:value="tmftp-book"/>
                <w:listItem w:displayText="tmitg-book" w:value="tmitg-book"/>
                <w:listItem w:displayText="tpt-book" w:value="tpt-book"/>
                <w:listItem w:displayText="trp-book" w:value="trp-book"/>
                <w:listItem w:displayText="tslip-book" w:value="tslip-book"/>
                <w:listItem w:displayText="tss-book" w:value="tss-book"/>
                <w:listItem w:displayText="tttp-book" w:value="tttp-book"/>
                <w:listItem w:displayText="ucipp-book" w:value="ucipp-book"/>
                <w:listItem w:displayText="ueus-book" w:value="ueus-book"/>
                <w:listItem w:displayText="userra-book" w:value="userra-book"/>
                <w:listItem w:displayText="usmt-book" w:value="usmt-book"/>
                <w:listItem w:displayText="vvil-book" w:value="vvil-book"/>
                <w:listItem w:displayText="vvp-book" w:value="vvp-book"/>
                <w:listItem w:displayText="waa-book" w:value="waa-book"/>
                <w:listItem w:displayText="wan-book" w:value="wan-book"/>
                <w:listItem w:displayText="wds-book" w:value="wds-book"/>
                <w:listItem w:displayText="whl-book" w:value="whl-book"/>
                <w:listItem w:displayText="wilbb-book" w:value="wilbb-book"/>
                <w:listItem w:displayText="wilbf-book" w:value="wilbf-book"/>
                <w:listItem w:displayText="wilfsarcw-book" w:value="wilfsarcw-book"/>
                <w:listItem w:displayText="willsh-book" w:value="willsh-book"/>
                <w:listItem w:displayText="wilmmlr-book" w:value="wilmmlr-book"/>
                <w:listItem w:displayText="wilpb-book" w:value="wilpb-book"/>
                <w:listItem w:displayText="wilrws-book" w:value="wilrws-book"/>
                <w:listItem w:displayText="wiltpb-book" w:value="wiltpb-book"/>
                <w:listItem w:displayText="wlrd-book" w:value="wlrd-book"/>
                <w:listItem w:displayText="wpd-book" w:value="wpd-book"/>
                <w:listItem w:displayText="wphl-book" w:value="wphl-book"/>
                <w:listItem w:displayText="wppg-book" w:value="wppg-book"/>
              </w:dropDownList>
            </w:sdtPr>
            <w:sdtEndPr>
              <w:rPr>
                <w:rStyle w:val="BContentControl"/>
              </w:rPr>
            </w:sdtEndPr>
            <w:sdtContent>
              <w:r w:rsidR="00EB6042">
                <w:rPr>
                  <w:rStyle w:val="BContentControl"/>
                </w:rPr>
                <w:t>td-book</w:t>
              </w:r>
            </w:sdtContent>
          </w:sdt>
          <w:r w:rsidR="00EB6042" w:rsidRPr="00EB6042">
            <w:rPr>
              <w:rStyle w:val="BContentControl"/>
            </w:rPr>
            <w:t xml:space="preserve"> </w:t>
          </w:r>
          <w:sdt>
            <w:sdtPr>
              <w:rPr>
                <w:rStyle w:val="BContentControl"/>
              </w:rPr>
              <w:alias w:val="supplement"/>
              <w:tag w:val="supplement"/>
              <w:id w:val="2010706523"/>
              <w:lock w:val="sdtLocked"/>
              <w:placeholder>
                <w:docPart w:val="0132AA8AC7C9408FAAEFE212A46C025B"/>
              </w:placeholder>
              <w:dataBinding w:prefixMappings="xmlns:ns0='http://www.bna.com/gateway/unit.start' " w:xpath="/ns0:document[1]/ns0:unit.start[1]/@supplement" w:storeItemID="{B04FCA99-13B0-422B-ADC9-9491644FA79D}"/>
              <w15:appearance w15:val="tags"/>
              <w:text/>
            </w:sdtPr>
            <w:sdtEndPr>
              <w:rPr>
                <w:rStyle w:val="BContentControl"/>
              </w:rPr>
            </w:sdtEndPr>
            <w:sdtContent>
              <w:r w:rsidR="00EB6042">
                <w:rPr>
                  <w:rStyle w:val="BContentControl"/>
                </w:rPr>
                <w:t>0</w:t>
              </w:r>
            </w:sdtContent>
          </w:sdt>
          <w:r w:rsidR="00EB6042" w:rsidRPr="00EB6042">
            <w:rPr>
              <w:rStyle w:val="BContentControl"/>
            </w:rPr>
            <w:t xml:space="preserve"> </w:t>
          </w:r>
          <w:sdt>
            <w:sdtPr>
              <w:rPr>
                <w:rStyle w:val="BContentControl"/>
              </w:rPr>
              <w:alias w:val="unit.code"/>
              <w:tag w:val="unit.code"/>
              <w:id w:val="-1859492763"/>
              <w:lock w:val="sdtLocked"/>
              <w:placeholder>
                <w:docPart w:val="936A79DEF3C34F5FA7233EA48C37F7B9"/>
              </w:placeholder>
              <w:dataBinding w:prefixMappings="xmlns:ns0='http://www.bna.com/gateway/unit.start' " w:xpath="/ns0:document[1]/ns0:unit.start[1]/@unit.code" w:storeItemID="{B04FCA99-13B0-422B-ADC9-9491644FA79D}"/>
              <w15:appearance w15:val="tags"/>
              <w:text/>
            </w:sdtPr>
            <w:sdtEndPr>
              <w:rPr>
                <w:rStyle w:val="BContentControl"/>
              </w:rPr>
            </w:sdtEndPr>
            <w:sdtContent>
              <w:r w:rsidR="00EB6042">
                <w:rPr>
                  <w:rStyle w:val="BContentControl"/>
                </w:rPr>
                <w:t>main0006</w:t>
              </w:r>
            </w:sdtContent>
          </w:sdt>
          <w:r w:rsidR="00EB6042" w:rsidRPr="00EB6042">
            <w:rPr>
              <w:rStyle w:val="BContentControl"/>
            </w:rPr>
            <w:t xml:space="preserve"> </w:t>
          </w:r>
          <w:sdt>
            <w:sdtPr>
              <w:rPr>
                <w:rStyle w:val="BContentControl"/>
              </w:rPr>
              <w:alias w:val="unit.name*"/>
              <w:tag w:val="unit.name"/>
              <w:id w:val="-1961641215"/>
              <w:lock w:val="sdtLocked"/>
              <w:placeholder>
                <w:docPart w:val="9DED01CB7016487A8701DB78C616B04B"/>
              </w:placeholder>
              <w:dataBinding w:prefixMappings="xmlns:ns0='http://www.bna.com/gateway/unit.start' " w:xpath="/ns0:document[1]/ns0:unit.start[1]/@unit.name" w:storeItemID="{B04FCA99-13B0-422B-ADC9-9491644FA79D}"/>
              <w15:appearance w15:val="tags"/>
              <w:text/>
            </w:sdtPr>
            <w:sdtEndPr>
              <w:rPr>
                <w:rStyle w:val="BContentControl"/>
              </w:rPr>
            </w:sdtEndPr>
            <w:sdtContent>
              <w:r w:rsidR="00AC48F2" w:rsidRPr="00AC48F2">
                <w:rPr>
                  <w:rStyle w:val="BContentControl"/>
                </w:rPr>
                <w:t>Chapter 6. The Federal Trademark Dilution Act and the Trademark Dilution Revision Act: Introduction and Legislative History</w:t>
              </w:r>
            </w:sdtContent>
          </w:sdt>
          <w:r w:rsidR="00EB6042" w:rsidRPr="00EB6042">
            <w:rPr>
              <w:rStyle w:val="BContentControl"/>
            </w:rPr>
            <w:t xml:space="preserve"> </w:t>
          </w:r>
          <w:sdt>
            <w:sdtPr>
              <w:rPr>
                <w:rStyle w:val="BContentControl"/>
              </w:rPr>
              <w:alias w:val="volume.num"/>
              <w:tag w:val="volume.num"/>
              <w:id w:val="2093822250"/>
              <w:lock w:val="sdtLocked"/>
              <w:placeholder>
                <w:docPart w:val="FF6966630A7341299337F08350A01ECE"/>
              </w:placeholder>
              <w:dataBinding w:prefixMappings="xmlns:ns0='http://www.bna.com/gateway/unit.start' " w:xpath="/ns0:document[1]/ns0:unit.start[1]/@volume.num" w:storeItemID="{B04FCA99-13B0-422B-ADC9-9491644FA79D}"/>
              <w15:appearance w15:val="tags"/>
              <w:text/>
            </w:sdtPr>
            <w:sdtEndPr>
              <w:rPr>
                <w:rStyle w:val="BContentControl"/>
              </w:rPr>
            </w:sdtEndPr>
            <w:sdtContent>
              <w:r w:rsidR="00EB6042">
                <w:rPr>
                  <w:rStyle w:val="BContentControl"/>
                </w:rPr>
                <w:t>1</w:t>
              </w:r>
            </w:sdtContent>
          </w:sdt>
        </w:p>
      </w:sdtContent>
    </w:sdt>
    <w:p w14:paraId="145AC8F9" w14:textId="77777777" w:rsidR="00AC48F2" w:rsidRPr="00AC48F2" w:rsidRDefault="008A0E2E" w:rsidP="00EB6042">
      <w:pPr>
        <w:pStyle w:val="BDocStart"/>
      </w:pPr>
      <w:sdt>
        <w:sdtPr>
          <w:tag w:val="DocStart"/>
          <w:id w:val="596754925"/>
          <w:lock w:val="sdtLocked"/>
          <w:placeholder>
            <w:docPart w:val="3129D56A8B8F489FBAE531AF82C4C07B"/>
          </w:placeholder>
          <w15:appearance w15:val="hidden"/>
        </w:sdtPr>
        <w:sdtEndPr/>
        <w:sdtContent>
          <w:r w:rsidR="00EB6042">
            <w:t>Document</w:t>
          </w:r>
        </w:sdtContent>
      </w:sdt>
    </w:p>
    <w:p w14:paraId="7517A533" w14:textId="20F5DF27" w:rsidR="00AC48F2" w:rsidRPr="00B34DD3" w:rsidRDefault="00D415A2" w:rsidP="00B34DD3">
      <w:pPr>
        <w:pStyle w:val="BChapterName"/>
      </w:pPr>
      <w:r w:rsidRPr="00D415A2">
        <w:t>Chapter 6</w:t>
      </w:r>
      <w:r w:rsidR="00B34DD3">
        <w:t xml:space="preserve">. </w:t>
      </w:r>
      <w:r w:rsidR="00B41CE6" w:rsidRPr="00D415A2">
        <w:t>The Federal Trademark Dilution Act and the Trademark Dilution Revision Act</w:t>
      </w:r>
      <w:r w:rsidR="00AC48F2" w:rsidRPr="00D415A2">
        <w:t>: I</w:t>
      </w:r>
      <w:r w:rsidR="00B41CE6" w:rsidRPr="00D415A2">
        <w:t>ntroduction and Legislative History</w:t>
      </w:r>
    </w:p>
    <w:p w14:paraId="02A3EA33" w14:textId="1A7757B0" w:rsidR="00AC48F2" w:rsidRPr="00B34DD3" w:rsidRDefault="00AC48F2" w:rsidP="00B34DD3">
      <w:pPr>
        <w:pStyle w:val="BNormal"/>
        <w:rPr>
          <w:i/>
          <w:iCs/>
        </w:rPr>
      </w:pPr>
      <w:r w:rsidRPr="00B34DD3">
        <w:rPr>
          <w:i/>
          <w:iCs/>
        </w:rPr>
        <w:t>This chapter is current through May 2025.</w:t>
      </w:r>
    </w:p>
    <w:p w14:paraId="1FBB7C51" w14:textId="2C72DD16" w:rsidR="00AC48F2" w:rsidRPr="00D415A2" w:rsidRDefault="00D415A2" w:rsidP="00D415A2">
      <w:pPr>
        <w:pStyle w:val="BNormal"/>
      </w:pPr>
      <w:hyperlink r:id="rId13" w:history="1">
        <w:r w:rsidRPr="00D415A2">
          <w:rPr>
            <w:rStyle w:val="Hyperlink"/>
          </w:rPr>
          <w:t>David Welkowitz</w:t>
        </w:r>
      </w:hyperlink>
      <w:r w:rsidRPr="00D415A2">
        <w:rPr>
          <w:vertAlign w:val="superscript"/>
        </w:rPr>
        <w:footnoteReference w:id="1"/>
      </w:r>
      <w:r w:rsidR="00B51BA4">
        <w:br/>
      </w:r>
      <w:r w:rsidR="00AC48F2" w:rsidRPr="00D415A2">
        <w:t>Whittier Law School, Costa Mesa, CA</w:t>
      </w:r>
    </w:p>
    <w:p w14:paraId="77C51061" w14:textId="04CBD435" w:rsidR="00AC48F2" w:rsidRPr="00D415A2" w:rsidRDefault="00B41CE6" w:rsidP="00D415A2">
      <w:pPr>
        <w:pStyle w:val="BNormal"/>
        <w:rPr>
          <w:rFonts w:eastAsia="Arial Unicode MS"/>
        </w:rPr>
      </w:pPr>
      <w:r w:rsidRPr="00D415A2">
        <w:rPr>
          <w:rFonts w:eastAsia="Arial Unicode MS"/>
        </w:rPr>
        <w:t>Disclaimer</w:t>
      </w:r>
      <w:r w:rsidR="00AC48F2" w:rsidRPr="00D415A2">
        <w:rPr>
          <w:rFonts w:eastAsia="Arial Unicode MS"/>
        </w:rPr>
        <w:t>: T</w:t>
      </w:r>
      <w:r w:rsidRPr="00D415A2">
        <w:rPr>
          <w:rFonts w:eastAsia="Arial Unicode MS"/>
        </w:rPr>
        <w:t>he opinions expressed here are solely those of the author and should not be construed as representing the opinions, directly or indirectly, of the U.S</w:t>
      </w:r>
      <w:r w:rsidR="00AC48F2" w:rsidRPr="00D415A2">
        <w:rPr>
          <w:rFonts w:eastAsia="Arial Unicode MS"/>
        </w:rPr>
        <w:t>. C</w:t>
      </w:r>
      <w:r w:rsidRPr="00D415A2">
        <w:rPr>
          <w:rFonts w:eastAsia="Arial Unicode MS"/>
        </w:rPr>
        <w:t>opyright Office.</w:t>
      </w:r>
    </w:p>
    <w:p w14:paraId="59FBD465" w14:textId="4AD4901D" w:rsidR="00D415A2" w:rsidRPr="00E916C4" w:rsidRDefault="00D415A2" w:rsidP="00E916C4">
      <w:pPr>
        <w:pStyle w:val="BNormal"/>
        <w:rPr>
          <w:b/>
          <w:bCs/>
        </w:rPr>
      </w:pPr>
      <w:r w:rsidRPr="00E916C4">
        <w:rPr>
          <w:b/>
          <w:bCs/>
        </w:rPr>
        <w:t>I. The Federal Trademark Dilution Act:</w:t>
      </w:r>
      <w:r w:rsidR="00B51BA4" w:rsidRPr="00E916C4">
        <w:rPr>
          <w:b/>
          <w:bCs/>
        </w:rPr>
        <w:t xml:space="preserve"> </w:t>
      </w:r>
      <w:r w:rsidRPr="00E916C4">
        <w:rPr>
          <w:b/>
          <w:bCs/>
        </w:rPr>
        <w:t>A New Era in U.S. Trademark Law</w:t>
      </w:r>
    </w:p>
    <w:p w14:paraId="4E9C736C" w14:textId="10503BB2" w:rsidR="00AC48F2" w:rsidRPr="00D415A2" w:rsidRDefault="00B41CE6" w:rsidP="00D415A2">
      <w:pPr>
        <w:pStyle w:val="BNormal"/>
      </w:pPr>
      <w:r w:rsidRPr="00D415A2">
        <w:t>January 16, 1996, ushered in a new era in U.S</w:t>
      </w:r>
      <w:r w:rsidR="00AC48F2" w:rsidRPr="00D415A2">
        <w:t>. t</w:t>
      </w:r>
      <w:r w:rsidRPr="00D415A2">
        <w:t>rademark law</w:t>
      </w:r>
      <w:r w:rsidR="00AC48F2" w:rsidRPr="00D415A2">
        <w:t>. O</w:t>
      </w:r>
      <w:r w:rsidRPr="00D415A2">
        <w:t>n that date, the Federal Trademark Dilution Act of 1995 (FTDA)</w:t>
      </w:r>
      <w:r w:rsidR="00D415A2" w:rsidRPr="00D415A2">
        <w:rPr>
          <w:vertAlign w:val="superscript"/>
        </w:rPr>
        <w:footnoteReference w:id="2"/>
      </w:r>
      <w:r w:rsidRPr="00D415A2">
        <w:t xml:space="preserve"> became effective, providing very broad protection to the owners of a select category of trademarks</w:t>
      </w:r>
      <w:r w:rsidR="00AC48F2" w:rsidRPr="00D415A2">
        <w:t>: “</w:t>
      </w:r>
      <w:r w:rsidRPr="00D415A2">
        <w:t>famous” marks.</w:t>
      </w:r>
      <w:r w:rsidR="00D415A2" w:rsidRPr="00D415A2">
        <w:rPr>
          <w:vertAlign w:val="superscript"/>
        </w:rPr>
        <w:footnoteReference w:id="3"/>
      </w:r>
      <w:r w:rsidRPr="00D415A2">
        <w:t xml:space="preserve"> The key element of trademark infringement had been likelihood of confusion.</w:t>
      </w:r>
      <w:r w:rsidR="00D415A2" w:rsidRPr="00D415A2">
        <w:rPr>
          <w:vertAlign w:val="superscript"/>
        </w:rPr>
        <w:footnoteReference w:id="4"/>
      </w:r>
      <w:r w:rsidRPr="00D415A2">
        <w:t xml:space="preserve"> The FTDA required owners of famous trademarks only to show that the unauthorized use “causes dilution” of the famous mark, where “dilution” is a harm that attacks the distinctiveness (or reputation) of the mark, while expressly dispensing with any requirement of confusion.</w:t>
      </w:r>
      <w:r w:rsidR="00D415A2" w:rsidRPr="00D415A2">
        <w:rPr>
          <w:vertAlign w:val="superscript"/>
        </w:rPr>
        <w:footnoteReference w:id="5"/>
      </w:r>
    </w:p>
    <w:p w14:paraId="36F1E7EC" w14:textId="3D02C63A" w:rsidR="00AC48F2" w:rsidRPr="00D415A2" w:rsidRDefault="00B41CE6" w:rsidP="00D415A2">
      <w:pPr>
        <w:pStyle w:val="BNormal"/>
      </w:pPr>
      <w:r w:rsidRPr="00D415A2">
        <w:t>Previously, some trademark owners had brought dilution claims under existing state laws</w:t>
      </w:r>
      <w:r w:rsidR="00AC48F2" w:rsidRPr="00D415A2">
        <w:t>; h</w:t>
      </w:r>
      <w:r w:rsidRPr="00D415A2">
        <w:t>owever, the FTDA brought dilution into the federal trademark scheme for the first time.</w:t>
      </w:r>
      <w:r w:rsidR="00D415A2" w:rsidRPr="00D415A2">
        <w:rPr>
          <w:vertAlign w:val="superscript"/>
        </w:rPr>
        <w:footnoteReference w:id="6"/>
      </w:r>
      <w:r w:rsidRPr="00D415A2">
        <w:t xml:space="preserve"> Although the FTDA and its amended version, the Trademark Dilution Revision Act, or TDRA, protect only a limited category of trademarks, namely, those that have become “famous,” the statute’s national scope gave new impetus to this claim of trademark protection in the absence of confusion</w:t>
      </w:r>
      <w:r w:rsidR="00AC48F2" w:rsidRPr="00D415A2">
        <w:t>. T</w:t>
      </w:r>
      <w:r w:rsidRPr="00D415A2">
        <w:t xml:space="preserve">he nationalization of trademark dilution sparked </w:t>
      </w:r>
      <w:proofErr w:type="gramStart"/>
      <w:r w:rsidRPr="00D415A2">
        <w:t>a large number of</w:t>
      </w:r>
      <w:proofErr w:type="gramEnd"/>
      <w:r w:rsidRPr="00D415A2">
        <w:t xml:space="preserve"> dilution claims, leading to numerous questions of interpretation and accommodation within existing intellectual property structures.</w:t>
      </w:r>
      <w:r w:rsidR="00D415A2" w:rsidRPr="00D415A2">
        <w:rPr>
          <w:vertAlign w:val="superscript"/>
        </w:rPr>
        <w:footnoteReference w:id="7"/>
      </w:r>
    </w:p>
    <w:p w14:paraId="35141810" w14:textId="4852BA28" w:rsidR="00AC48F2" w:rsidRPr="00D415A2" w:rsidRDefault="00B41CE6" w:rsidP="00D415A2">
      <w:pPr>
        <w:pStyle w:val="BNormal"/>
      </w:pPr>
      <w:r w:rsidRPr="00D415A2">
        <w:t xml:space="preserve">The explosion of the Internet produced certain unique trademark problems that resulted in a second statute, the </w:t>
      </w:r>
      <w:proofErr w:type="spellStart"/>
      <w:r w:rsidRPr="00D415A2">
        <w:t>Anticybersquatting</w:t>
      </w:r>
      <w:proofErr w:type="spellEnd"/>
      <w:r w:rsidRPr="00D415A2">
        <w:t xml:space="preserve"> Consumer Protection Act (ACPA),</w:t>
      </w:r>
      <w:r w:rsidR="00D415A2" w:rsidRPr="00D415A2">
        <w:rPr>
          <w:vertAlign w:val="superscript"/>
        </w:rPr>
        <w:footnoteReference w:id="8"/>
      </w:r>
      <w:r w:rsidRPr="00D415A2">
        <w:t xml:space="preserve"> just to deal with Internet-related issues</w:t>
      </w:r>
      <w:r w:rsidR="00AC48F2" w:rsidRPr="00D415A2">
        <w:t>. T</w:t>
      </w:r>
      <w:r w:rsidRPr="00D415A2">
        <w:t>he ACPA contains elements of dilution law in its effort to protect trademark owners from others who register Internet domain names containing trademarks.</w:t>
      </w:r>
      <w:r w:rsidR="00D415A2" w:rsidRPr="00D415A2">
        <w:rPr>
          <w:vertAlign w:val="superscript"/>
        </w:rPr>
        <w:footnoteReference w:id="9"/>
      </w:r>
    </w:p>
    <w:p w14:paraId="79F9E4FC" w14:textId="5A31ECBB" w:rsidR="00AC48F2" w:rsidRPr="00D415A2" w:rsidRDefault="00B41CE6" w:rsidP="00D415A2">
      <w:pPr>
        <w:pStyle w:val="BNormal"/>
      </w:pPr>
      <w:r w:rsidRPr="00D415A2">
        <w:t>Finally, 10 years after the passage of the FTDA, many of the interpretive difficulties with the original statute led to a thorough revision of the statute by the Trademark Dilution Revision Act of 2006.</w:t>
      </w:r>
      <w:r w:rsidR="00D415A2" w:rsidRPr="00D415A2">
        <w:rPr>
          <w:vertAlign w:val="superscript"/>
        </w:rPr>
        <w:footnoteReference w:id="10"/>
      </w:r>
      <w:r w:rsidRPr="00D415A2">
        <w:t xml:space="preserve"> But even after the passage of the TDRA, the core premise of dilution remained</w:t>
      </w:r>
      <w:r w:rsidR="00AC48F2" w:rsidRPr="00D415A2">
        <w:t>: f</w:t>
      </w:r>
      <w:r w:rsidRPr="00D415A2">
        <w:t xml:space="preserve">amous trademarks would be protected against certain </w:t>
      </w:r>
      <w:proofErr w:type="spellStart"/>
      <w:r w:rsidRPr="00D415A2">
        <w:t>nonconfusing</w:t>
      </w:r>
      <w:proofErr w:type="spellEnd"/>
      <w:r w:rsidRPr="00D415A2">
        <w:t xml:space="preserve"> uses.</w:t>
      </w:r>
    </w:p>
    <w:p w14:paraId="1BDF267C" w14:textId="4AAB4F3E" w:rsidR="00AC48F2" w:rsidRPr="00D415A2" w:rsidRDefault="00B41CE6" w:rsidP="00D415A2">
      <w:pPr>
        <w:pStyle w:val="BNormal"/>
      </w:pPr>
      <w:r w:rsidRPr="00D415A2">
        <w:t>By eliminating the need to show likelihood of confusion, the FTDA changed the paradigm of federal trademark protection</w:t>
      </w:r>
      <w:r w:rsidR="00AC48F2" w:rsidRPr="00D415A2">
        <w:t>. R</w:t>
      </w:r>
      <w:r w:rsidRPr="00D415A2">
        <w:t>ather than protecting both consumers and businesses from misleading and deceptive conduct, dilution focuses primarily on protecting the trademark owner, giving a highly exclusive right in the trademark to that owner.</w:t>
      </w:r>
      <w:r w:rsidR="00D415A2" w:rsidRPr="00D415A2">
        <w:rPr>
          <w:vertAlign w:val="superscript"/>
        </w:rPr>
        <w:footnoteReference w:id="11"/>
      </w:r>
      <w:r w:rsidRPr="00D415A2">
        <w:t xml:space="preserve"> “Unlike traditional infringement law, the prohibitions against trademark dilution</w:t>
      </w:r>
      <w:r w:rsidR="00AC48F2" w:rsidRPr="00D415A2">
        <w:t xml:space="preserve"> </w:t>
      </w:r>
      <w:r w:rsidRPr="00D415A2">
        <w:t>…</w:t>
      </w:r>
      <w:r w:rsidR="00AC48F2" w:rsidRPr="00D415A2">
        <w:t xml:space="preserve"> </w:t>
      </w:r>
      <w:r w:rsidRPr="00D415A2">
        <w:t>are not motivated by an interest in protecting consumers.”</w:t>
      </w:r>
      <w:r w:rsidR="00D415A2" w:rsidRPr="00D415A2">
        <w:rPr>
          <w:vertAlign w:val="superscript"/>
        </w:rPr>
        <w:footnoteReference w:id="12"/>
      </w:r>
      <w:r w:rsidRPr="00D415A2">
        <w:t xml:space="preserve"> As discussed in previous chapters, several courts and commentators have noted the potential for the more protective dilution claims to engulf ordinary trademark infringement claims.</w:t>
      </w:r>
      <w:r w:rsidR="00D415A2" w:rsidRPr="00D415A2">
        <w:rPr>
          <w:vertAlign w:val="superscript"/>
        </w:rPr>
        <w:footnoteReference w:id="13"/>
      </w:r>
      <w:r w:rsidRPr="00D415A2">
        <w:t xml:space="preserve"> Moreover, because it dispenses with any requirement of confusion, dilution may even create conflicts with other intellectual property schemes.</w:t>
      </w:r>
      <w:r w:rsidR="00D415A2" w:rsidRPr="00D415A2">
        <w:rPr>
          <w:vertAlign w:val="superscript"/>
        </w:rPr>
        <w:footnoteReference w:id="14"/>
      </w:r>
    </w:p>
    <w:p w14:paraId="68CD072E" w14:textId="69B790C7" w:rsidR="00AC48F2" w:rsidRPr="00D415A2" w:rsidRDefault="00B41CE6" w:rsidP="00D415A2">
      <w:pPr>
        <w:pStyle w:val="BNormal"/>
      </w:pPr>
      <w:r w:rsidRPr="00D415A2">
        <w:t>The federal dilution statute creates important new rights and poses important new questions</w:t>
      </w:r>
      <w:r w:rsidR="00AC48F2" w:rsidRPr="00D415A2">
        <w:t>. I</w:t>
      </w:r>
      <w:r w:rsidRPr="00D415A2">
        <w:t>n the sections that follow, these rights will be described more completely, and the questions raised by the original statute and the TDRA will be discussed in detail</w:t>
      </w:r>
      <w:r w:rsidR="00AC48F2" w:rsidRPr="00D415A2">
        <w:t>. T</w:t>
      </w:r>
      <w:r w:rsidRPr="00D415A2">
        <w:t>his chapter begins with the background</w:t>
      </w:r>
      <w:r w:rsidR="00AC48F2" w:rsidRPr="00D415A2">
        <w:t>: h</w:t>
      </w:r>
      <w:r w:rsidRPr="00D415A2">
        <w:t>ow did this statute come to be and what can be learned from its beginnings</w:t>
      </w:r>
      <w:r w:rsidR="00AC48F2" w:rsidRPr="00D415A2">
        <w:t>? A</w:t>
      </w:r>
      <w:r w:rsidRPr="00D415A2">
        <w:t>s will be seen, the FTDA did not spring forth suddenly out of the legislative process</w:t>
      </w:r>
      <w:r w:rsidR="00AC48F2" w:rsidRPr="00D415A2">
        <w:t>. I</w:t>
      </w:r>
      <w:r w:rsidRPr="00D415A2">
        <w:t>t was the culmination of years of discussion, both in and out of Congress, about the need for and desirability of such protection</w:t>
      </w:r>
      <w:r w:rsidR="00AC48F2" w:rsidRPr="00D415A2">
        <w:t>. S</w:t>
      </w:r>
      <w:r w:rsidRPr="00D415A2">
        <w:t>imilarly, the TDRA was the result of several years of discussion and debate once the interpretive difficulties of the FTDA became evident in the cases</w:t>
      </w:r>
      <w:r w:rsidR="00AC48F2" w:rsidRPr="00D415A2">
        <w:t>. A</w:t>
      </w:r>
      <w:r w:rsidRPr="00D415A2">
        <w:t>nd, as discussed below, this debate resulted in a statute that differed in significant ways from the original state dilution statutes.</w:t>
      </w:r>
      <w:r w:rsidR="00D415A2" w:rsidRPr="00D415A2">
        <w:rPr>
          <w:vertAlign w:val="superscript"/>
        </w:rPr>
        <w:footnoteReference w:id="15"/>
      </w:r>
    </w:p>
    <w:p w14:paraId="289F326C" w14:textId="16BB7B89" w:rsidR="00D415A2" w:rsidRPr="00850392" w:rsidRDefault="00B3596F" w:rsidP="00850392">
      <w:pPr>
        <w:pStyle w:val="BHead1"/>
      </w:pPr>
      <w:r>
        <w:t>6.</w:t>
      </w:r>
      <w:r w:rsidR="00D415A2" w:rsidRPr="00B3596F">
        <w:rPr>
          <w:rStyle w:val="BBNAidChar"/>
          <w:rFonts w:eastAsiaTheme="majorEastAsia"/>
        </w:rPr>
        <w:t>II</w:t>
      </w:r>
      <w:r w:rsidR="00D415A2" w:rsidRPr="00850392">
        <w:t>.</w:t>
      </w:r>
      <w:r>
        <w:t xml:space="preserve">  </w:t>
      </w:r>
      <w:r w:rsidR="00D415A2" w:rsidRPr="00850392">
        <w:t>The Legislative History of the Federal</w:t>
      </w:r>
      <w:r w:rsidR="00850392" w:rsidRPr="00850392">
        <w:t xml:space="preserve"> </w:t>
      </w:r>
      <w:r w:rsidR="00D415A2" w:rsidRPr="00850392">
        <w:t>Trademark Dilution Act</w:t>
      </w:r>
    </w:p>
    <w:p w14:paraId="228C7D78" w14:textId="317EEFB7" w:rsidR="00AC48F2" w:rsidRPr="00D415A2" w:rsidRDefault="00B3596F" w:rsidP="004305AA">
      <w:pPr>
        <w:pStyle w:val="BHead2"/>
      </w:pPr>
      <w:r>
        <w:t>6.II.</w:t>
      </w:r>
      <w:r w:rsidR="00AC48F2" w:rsidRPr="00B3596F">
        <w:rPr>
          <w:rStyle w:val="BBNAidChar"/>
          <w:rFonts w:eastAsiaTheme="majorEastAsia"/>
        </w:rPr>
        <w:t>A</w:t>
      </w:r>
      <w:r w:rsidR="00AC48F2" w:rsidRPr="00D415A2">
        <w:t>.</w:t>
      </w:r>
      <w:r>
        <w:t> </w:t>
      </w:r>
      <w:r w:rsidR="00AC48F2" w:rsidRPr="00D415A2">
        <w:tab/>
        <w:t>1932: An Early Attempt at a Federal Dilution Law</w:t>
      </w:r>
    </w:p>
    <w:p w14:paraId="30B0BB5A" w14:textId="6DBF1B1E" w:rsidR="00AC48F2" w:rsidRPr="00D415A2" w:rsidRDefault="00B3596F" w:rsidP="004305AA">
      <w:pPr>
        <w:pStyle w:val="BHead3"/>
      </w:pPr>
      <w:r>
        <w:t>6.II.A.</w:t>
      </w:r>
      <w:r w:rsidR="00AC48F2" w:rsidRPr="00B3596F">
        <w:rPr>
          <w:rStyle w:val="BBNAidChar"/>
          <w:rFonts w:eastAsiaTheme="majorEastAsia"/>
        </w:rPr>
        <w:t>1</w:t>
      </w:r>
      <w:r w:rsidR="00AC48F2" w:rsidRPr="00D415A2">
        <w:t>.</w:t>
      </w:r>
      <w:r>
        <w:t> </w:t>
      </w:r>
      <w:r w:rsidR="00AC48F2" w:rsidRPr="00D415A2">
        <w:tab/>
        <w:t>Testimony of Frank Schechter Promoting Dilution Protection</w:t>
      </w:r>
    </w:p>
    <w:p w14:paraId="14264304" w14:textId="2C7B8F32" w:rsidR="00AC48F2" w:rsidRPr="00D415A2" w:rsidRDefault="00B41CE6" w:rsidP="00D415A2">
      <w:pPr>
        <w:pStyle w:val="BNormal"/>
      </w:pPr>
      <w:r w:rsidRPr="00D415A2">
        <w:t>In 1932, 14 years before the Trademark Act of 1946 (the Lanham Act) was enacted, the Committee on Patents of the House of Representatives held hearings on the possible reform of the federal trademark laws.</w:t>
      </w:r>
      <w:r w:rsidR="00D415A2" w:rsidRPr="00D415A2">
        <w:rPr>
          <w:vertAlign w:val="superscript"/>
        </w:rPr>
        <w:footnoteReference w:id="16"/>
      </w:r>
      <w:r w:rsidRPr="00D415A2">
        <w:t xml:space="preserve"> The first witness at those hearings was Frank Schechter, author of the seminal article on trademark dilution.</w:t>
      </w:r>
      <w:r w:rsidR="00D415A2" w:rsidRPr="00D415A2">
        <w:rPr>
          <w:vertAlign w:val="superscript"/>
        </w:rPr>
        <w:footnoteReference w:id="17"/>
      </w:r>
      <w:r w:rsidRPr="00D415A2">
        <w:t xml:space="preserve"> During his testimony, Schechter argued that federal protection against dilution ought to be available for certain trademarks.</w:t>
      </w:r>
      <w:r w:rsidR="00D415A2" w:rsidRPr="00D415A2">
        <w:rPr>
          <w:vertAlign w:val="superscript"/>
        </w:rPr>
        <w:footnoteReference w:id="18"/>
      </w:r>
      <w:r w:rsidRPr="00D415A2">
        <w:t xml:space="preserve"> Specifically, he would grant protection to marks that were coined, arbitrary, or fanciful, </w:t>
      </w:r>
      <w:r w:rsidR="00AC48F2" w:rsidRPr="00D415A2">
        <w:t>and</w:t>
      </w:r>
      <w:r w:rsidRPr="00D415A2">
        <w:t xml:space="preserve"> that had obtained sufficient notoriety to merit such protection.</w:t>
      </w:r>
      <w:r w:rsidR="00D415A2" w:rsidRPr="00D415A2">
        <w:rPr>
          <w:vertAlign w:val="superscript"/>
        </w:rPr>
        <w:footnoteReference w:id="19"/>
      </w:r>
      <w:r w:rsidRPr="00D415A2">
        <w:t xml:space="preserve"> In his testimony, Schechter recited many of the cases that he discussed in his article and that he believed supported the dilution concept.</w:t>
      </w:r>
      <w:r w:rsidR="00D415A2" w:rsidRPr="00D415A2">
        <w:rPr>
          <w:vertAlign w:val="superscript"/>
        </w:rPr>
        <w:footnoteReference w:id="20"/>
      </w:r>
      <w:r w:rsidRPr="00D415A2">
        <w:t xml:space="preserve"> Despite Schechter’s arguments, of course, the federal trademark statute that was enacted years later contained no dilution provision.</w:t>
      </w:r>
      <w:r w:rsidR="00D415A2" w:rsidRPr="00D415A2">
        <w:rPr>
          <w:vertAlign w:val="superscript"/>
        </w:rPr>
        <w:footnoteReference w:id="21"/>
      </w:r>
    </w:p>
    <w:p w14:paraId="6CF55B6A" w14:textId="57802D5B" w:rsidR="00AC48F2" w:rsidRPr="00D415A2" w:rsidRDefault="00B3596F" w:rsidP="004305AA">
      <w:pPr>
        <w:pStyle w:val="BHead3"/>
      </w:pPr>
      <w:r>
        <w:t>6.II.A.</w:t>
      </w:r>
      <w:r w:rsidR="00D415A2" w:rsidRPr="00B3596F">
        <w:rPr>
          <w:rStyle w:val="BBNAidChar"/>
          <w:rFonts w:eastAsiaTheme="majorEastAsia"/>
        </w:rPr>
        <w:t>2</w:t>
      </w:r>
      <w:r w:rsidR="00D415A2" w:rsidRPr="00D415A2">
        <w:t>.</w:t>
      </w:r>
      <w:r>
        <w:t> </w:t>
      </w:r>
      <w:r w:rsidR="00D415A2" w:rsidRPr="00D415A2">
        <w:tab/>
        <w:t>The “Perkins” Bill</w:t>
      </w:r>
    </w:p>
    <w:p w14:paraId="2AB548B1" w14:textId="21116406" w:rsidR="00AC48F2" w:rsidRPr="00D415A2" w:rsidRDefault="00B41CE6" w:rsidP="00D415A2">
      <w:pPr>
        <w:pStyle w:val="BNormal"/>
      </w:pPr>
      <w:r w:rsidRPr="00D415A2">
        <w:t>In 1932, in addition to the hearings discussed in the previous section, Representative Perkins introduced a bill (H.R</w:t>
      </w:r>
      <w:r w:rsidR="00AC48F2" w:rsidRPr="00D415A2">
        <w:t>. 1</w:t>
      </w:r>
      <w:r w:rsidRPr="00D415A2">
        <w:t>1592) that was a proposed comprehensive trademark statute.</w:t>
      </w:r>
      <w:r w:rsidR="00D415A2" w:rsidRPr="00D415A2">
        <w:rPr>
          <w:vertAlign w:val="superscript"/>
        </w:rPr>
        <w:footnoteReference w:id="22"/>
      </w:r>
      <w:r w:rsidRPr="00D415A2">
        <w:t xml:space="preserve"> The Perkins bill has been cited by many courts and commentators as the earliest legislative attempt to enact a federal dilution statute.</w:t>
      </w:r>
      <w:r w:rsidR="00D415A2" w:rsidRPr="00D415A2">
        <w:rPr>
          <w:vertAlign w:val="superscript"/>
        </w:rPr>
        <w:footnoteReference w:id="23"/>
      </w:r>
      <w:r w:rsidRPr="00D415A2">
        <w:t xml:space="preserve"> Section 2(d) of the bill contained a provision that looked somewhat like dilution protection</w:t>
      </w:r>
      <w:r w:rsidR="00AC48F2" w:rsidRPr="00D415A2">
        <w:t>. I</w:t>
      </w:r>
      <w:r w:rsidRPr="00D415A2">
        <w:t>t would have permitted the U.S</w:t>
      </w:r>
      <w:r w:rsidR="00AC48F2" w:rsidRPr="00D415A2">
        <w:t>. P</w:t>
      </w:r>
      <w:r w:rsidRPr="00D415A2">
        <w:t>atent Office to refuse registration of marks that were sufficiently similar to “previously used” marks, such that the newer marks would likely “injure the goodwill, reputation, business, credit or securities of the owner of the previously used trade-mark.”</w:t>
      </w:r>
      <w:r w:rsidR="00D415A2" w:rsidRPr="00D415A2">
        <w:rPr>
          <w:vertAlign w:val="superscript"/>
        </w:rPr>
        <w:footnoteReference w:id="24"/>
      </w:r>
      <w:r w:rsidRPr="00D415A2">
        <w:t xml:space="preserve"> Although it is not entirely clear, the bill appears to single out “coined or invented or fanciful or arbitrary” marks for such special protection.</w:t>
      </w:r>
      <w:r w:rsidR="00D415A2" w:rsidRPr="00D415A2">
        <w:rPr>
          <w:vertAlign w:val="superscript"/>
        </w:rPr>
        <w:footnoteReference w:id="25"/>
      </w:r>
      <w:r w:rsidRPr="00D415A2">
        <w:t xml:space="preserve"> However, this proposal was never enacted</w:t>
      </w:r>
      <w:r w:rsidR="00AC48F2" w:rsidRPr="00D415A2">
        <w:t>. A</w:t>
      </w:r>
      <w:r w:rsidRPr="00D415A2">
        <w:t>pparently, the Justice Department opposed the bill, concerned about possible monopoly power resulting from dilution protection.</w:t>
      </w:r>
      <w:r w:rsidR="00D415A2" w:rsidRPr="00D415A2">
        <w:rPr>
          <w:vertAlign w:val="superscript"/>
        </w:rPr>
        <w:footnoteReference w:id="26"/>
      </w:r>
      <w:r w:rsidRPr="00D415A2">
        <w:t xml:space="preserve"> Certainly, there was some evidence of this concern at the 1932 hearings at which Frank Schechter testified.</w:t>
      </w:r>
      <w:r w:rsidR="00D415A2" w:rsidRPr="00D415A2">
        <w:rPr>
          <w:vertAlign w:val="superscript"/>
        </w:rPr>
        <w:footnoteReference w:id="27"/>
      </w:r>
    </w:p>
    <w:p w14:paraId="30F4336E" w14:textId="6B58E5C8" w:rsidR="00AC48F2" w:rsidRPr="00D415A2" w:rsidRDefault="00B3596F" w:rsidP="004305AA">
      <w:pPr>
        <w:pStyle w:val="BHead2"/>
      </w:pPr>
      <w:r>
        <w:t>6.II.</w:t>
      </w:r>
      <w:r w:rsidR="00D415A2" w:rsidRPr="00B3596F">
        <w:rPr>
          <w:rStyle w:val="BBNAidChar"/>
          <w:rFonts w:eastAsiaTheme="majorEastAsia"/>
        </w:rPr>
        <w:t>B</w:t>
      </w:r>
      <w:r w:rsidR="00D415A2" w:rsidRPr="00D415A2">
        <w:t>.</w:t>
      </w:r>
      <w:r>
        <w:t> </w:t>
      </w:r>
      <w:r w:rsidR="00D415A2" w:rsidRPr="00D415A2">
        <w:tab/>
        <w:t>Background: USTA Proposals in 1987 and Senate-Passed Bill in 1988</w:t>
      </w:r>
    </w:p>
    <w:p w14:paraId="6A3BC68A" w14:textId="4C740ECF" w:rsidR="00AC48F2" w:rsidRPr="00D415A2" w:rsidRDefault="00B3596F" w:rsidP="004305AA">
      <w:pPr>
        <w:pStyle w:val="BHead3"/>
      </w:pPr>
      <w:r>
        <w:t>6.II.B.</w:t>
      </w:r>
      <w:r w:rsidR="00D415A2" w:rsidRPr="00B3596F">
        <w:rPr>
          <w:rStyle w:val="BBNAidChar"/>
          <w:rFonts w:eastAsiaTheme="majorEastAsia"/>
        </w:rPr>
        <w:t>1</w:t>
      </w:r>
      <w:r w:rsidR="00D415A2" w:rsidRPr="00D415A2">
        <w:t>.</w:t>
      </w:r>
      <w:r>
        <w:t> </w:t>
      </w:r>
      <w:r w:rsidR="00D415A2" w:rsidRPr="00D415A2">
        <w:tab/>
        <w:t>The USTA Proposals</w:t>
      </w:r>
    </w:p>
    <w:p w14:paraId="338A6107" w14:textId="6D5FA33F" w:rsidR="00AC48F2" w:rsidRPr="00D415A2" w:rsidRDefault="00B41CE6" w:rsidP="00D415A2">
      <w:pPr>
        <w:pStyle w:val="BNormal"/>
      </w:pPr>
      <w:r w:rsidRPr="00D415A2">
        <w:t xml:space="preserve"> Although the Federal Trademark Dilution Act was passed in 1995, its genesis was at least eight years earlier.</w:t>
      </w:r>
      <w:r w:rsidR="00D415A2" w:rsidRPr="00D415A2">
        <w:rPr>
          <w:vertAlign w:val="superscript"/>
        </w:rPr>
        <w:footnoteReference w:id="28"/>
      </w:r>
      <w:r w:rsidRPr="00D415A2">
        <w:t xml:space="preserve"> In 1987, the United States Trademark Association (the USTA</w:t>
      </w:r>
      <w:r w:rsidR="00AC48F2" w:rsidRPr="00D415A2">
        <w:t>; n</w:t>
      </w:r>
      <w:r w:rsidRPr="00D415A2">
        <w:t>ow the International Trademark Association, or INTA) proposed a sweeping revision of the Lanham Act.</w:t>
      </w:r>
      <w:r w:rsidR="00D415A2" w:rsidRPr="00D415A2">
        <w:rPr>
          <w:vertAlign w:val="superscript"/>
        </w:rPr>
        <w:footnoteReference w:id="29"/>
      </w:r>
      <w:r w:rsidRPr="00D415A2">
        <w:t xml:space="preserve"> Many of its proposals were incorporated in the Trademark Law Revision Act of 1988, including “intent to use” (or ITU) trademark applications and significant revisions to Section 43(a) of the Lanham Act.</w:t>
      </w:r>
      <w:r w:rsidR="00D415A2" w:rsidRPr="00D415A2">
        <w:rPr>
          <w:vertAlign w:val="superscript"/>
        </w:rPr>
        <w:footnoteReference w:id="30"/>
      </w:r>
      <w:r w:rsidRPr="00D415A2">
        <w:t xml:space="preserve"> One of the USTA’s proposals was for a federal dilution statute that would protect “famous” marks from dilution.</w:t>
      </w:r>
      <w:r w:rsidR="00D415A2" w:rsidRPr="00D415A2">
        <w:rPr>
          <w:vertAlign w:val="superscript"/>
        </w:rPr>
        <w:footnoteReference w:id="31"/>
      </w:r>
      <w:r w:rsidRPr="00D415A2">
        <w:t xml:space="preserve"> In addition, the USTA proposed a separate provision that would have created a federal cause of action under Section 43(a) of the Lanham Act for trademark </w:t>
      </w:r>
      <w:proofErr w:type="spellStart"/>
      <w:r w:rsidRPr="00D415A2">
        <w:t>tarnishment</w:t>
      </w:r>
      <w:proofErr w:type="spellEnd"/>
      <w:r w:rsidRPr="00D415A2">
        <w:t xml:space="preserve"> of </w:t>
      </w:r>
      <w:r w:rsidR="00AC48F2" w:rsidRPr="00D415A2">
        <w:t>any</w:t>
      </w:r>
      <w:r w:rsidRPr="00D415A2">
        <w:t xml:space="preserve"> mark, famous or not.</w:t>
      </w:r>
      <w:r w:rsidR="00D415A2" w:rsidRPr="00D415A2">
        <w:rPr>
          <w:vertAlign w:val="superscript"/>
        </w:rPr>
        <w:footnoteReference w:id="32"/>
      </w:r>
      <w:r w:rsidRPr="00D415A2">
        <w:t xml:space="preserve"> The USTA’s proposal would have provided dilution protection for famous </w:t>
      </w:r>
      <w:r w:rsidR="00AC48F2" w:rsidRPr="00E76362">
        <w:rPr>
          <w:i/>
          <w:iCs/>
        </w:rPr>
        <w:t>federally</w:t>
      </w:r>
      <w:r w:rsidR="00AC48F2" w:rsidRPr="00D415A2">
        <w:t xml:space="preserve"> </w:t>
      </w:r>
      <w:r w:rsidR="00AC48F2" w:rsidRPr="00336F56">
        <w:rPr>
          <w:i/>
          <w:iCs/>
        </w:rPr>
        <w:t>registered</w:t>
      </w:r>
      <w:r w:rsidRPr="00D415A2">
        <w:t xml:space="preserve"> marks</w:t>
      </w:r>
      <w:r w:rsidR="00AC48F2" w:rsidRPr="00D415A2">
        <w:t>. T</w:t>
      </w:r>
      <w:r w:rsidRPr="00D415A2">
        <w:t xml:space="preserve">he dilution and </w:t>
      </w:r>
      <w:proofErr w:type="spellStart"/>
      <w:r w:rsidRPr="00D415A2">
        <w:t>tarnishment</w:t>
      </w:r>
      <w:proofErr w:type="spellEnd"/>
      <w:r w:rsidRPr="00D415A2">
        <w:t xml:space="preserve"> provisions were included in the original Senate bill that became the Trademark Law Revision Act.</w:t>
      </w:r>
      <w:r w:rsidR="00D415A2" w:rsidRPr="00D415A2">
        <w:rPr>
          <w:vertAlign w:val="superscript"/>
        </w:rPr>
        <w:footnoteReference w:id="33"/>
      </w:r>
      <w:r w:rsidRPr="00D415A2">
        <w:t xml:space="preserve"> An identical bill also was introduced in the House.</w:t>
      </w:r>
      <w:r w:rsidR="00D415A2" w:rsidRPr="00D415A2">
        <w:rPr>
          <w:vertAlign w:val="superscript"/>
        </w:rPr>
        <w:footnoteReference w:id="34"/>
      </w:r>
    </w:p>
    <w:p w14:paraId="2BF635FB" w14:textId="1B68FD6F" w:rsidR="00AC48F2" w:rsidRPr="00D415A2" w:rsidRDefault="00B3596F" w:rsidP="004305AA">
      <w:pPr>
        <w:pStyle w:val="BHead3"/>
      </w:pPr>
      <w:r>
        <w:t>6.II.B.</w:t>
      </w:r>
      <w:r w:rsidR="00D415A2" w:rsidRPr="00B3596F">
        <w:rPr>
          <w:rStyle w:val="BBNAidChar"/>
          <w:rFonts w:eastAsiaTheme="majorEastAsia"/>
        </w:rPr>
        <w:t>2</w:t>
      </w:r>
      <w:r w:rsidR="00D415A2" w:rsidRPr="00D415A2">
        <w:t>.</w:t>
      </w:r>
      <w:r>
        <w:t> </w:t>
      </w:r>
      <w:r w:rsidR="00D415A2" w:rsidRPr="00D415A2">
        <w:tab/>
        <w:t>Congressional Action on Dilution in 1988</w:t>
      </w:r>
    </w:p>
    <w:p w14:paraId="7FB62C3C" w14:textId="2176C62D" w:rsidR="00AC48F2" w:rsidRPr="00D415A2" w:rsidRDefault="00B41CE6" w:rsidP="00D415A2">
      <w:pPr>
        <w:pStyle w:val="BNormal"/>
      </w:pPr>
      <w:r w:rsidRPr="00D415A2">
        <w:t>Several of the arguments made in favor of dilution in 1988 presaged the debates on the FTDA in 1995</w:t>
      </w:r>
      <w:r w:rsidR="00AC48F2" w:rsidRPr="00D415A2">
        <w:t>. P</w:t>
      </w:r>
      <w:r w:rsidRPr="00D415A2">
        <w:t>roponents cited the fact that many states did not have dilution statutes and those that did applied them inconsistently.</w:t>
      </w:r>
      <w:r w:rsidR="00D415A2" w:rsidRPr="00D415A2">
        <w:rPr>
          <w:vertAlign w:val="superscript"/>
        </w:rPr>
        <w:footnoteReference w:id="35"/>
      </w:r>
      <w:r w:rsidRPr="00D415A2">
        <w:t xml:space="preserve"> Negotiations concerning international trade were also cited</w:t>
      </w:r>
      <w:r w:rsidR="00AC48F2" w:rsidRPr="00D415A2">
        <w:t>. I</w:t>
      </w:r>
      <w:r w:rsidRPr="00D415A2">
        <w:t>t was asserted that a dilution provision would strengthen the position of the United States against countries resisting higher intellectual property standards.</w:t>
      </w:r>
      <w:r w:rsidR="00D415A2" w:rsidRPr="00D415A2">
        <w:rPr>
          <w:vertAlign w:val="superscript"/>
        </w:rPr>
        <w:footnoteReference w:id="36"/>
      </w:r>
    </w:p>
    <w:p w14:paraId="4CB8D58A" w14:textId="21431B9D" w:rsidR="00AC48F2" w:rsidRPr="00D415A2" w:rsidRDefault="00B41CE6" w:rsidP="00D415A2">
      <w:pPr>
        <w:pStyle w:val="BNormal"/>
      </w:pPr>
      <w:r w:rsidRPr="00D415A2">
        <w:t>Though the original bill, S</w:t>
      </w:r>
      <w:r w:rsidR="00AC48F2" w:rsidRPr="00D415A2">
        <w:t>. 1</w:t>
      </w:r>
      <w:r w:rsidRPr="00D415A2">
        <w:t>883, was identical to the USTA proposals, the dilution provisions were changed before the bill was passed by the Senate</w:t>
      </w:r>
      <w:r w:rsidR="00AC48F2" w:rsidRPr="00D415A2">
        <w:t>. O</w:t>
      </w:r>
      <w:r w:rsidRPr="00D415A2">
        <w:t>ne interesting difference between the 1988 Senate-passed version of the dilution section and the USTA proposals is the definition of “dilution.” The USTA proposal defined dilution essentially as it existed originally under the FTDA</w:t>
      </w:r>
      <w:r w:rsidR="00AC48F2" w:rsidRPr="00D415A2">
        <w:t>: “</w:t>
      </w:r>
      <w:r w:rsidRPr="00D415A2">
        <w:t>the lessening of the capacity of the registrant’s mark to identify and distinguish goods or services</w:t>
      </w:r>
      <w:r w:rsidR="00AC48F2" w:rsidRPr="00D415A2">
        <w:t xml:space="preserve"> </w:t>
      </w:r>
      <w:r w:rsidRPr="00D415A2">
        <w:t>…</w:t>
      </w:r>
      <w:r w:rsidR="00AC48F2" w:rsidRPr="00D415A2">
        <w:t xml:space="preserve"> </w:t>
      </w:r>
      <w:r w:rsidRPr="00D415A2">
        <w:t>.”</w:t>
      </w:r>
      <w:r w:rsidR="00D415A2" w:rsidRPr="00D415A2">
        <w:rPr>
          <w:vertAlign w:val="superscript"/>
        </w:rPr>
        <w:footnoteReference w:id="37"/>
      </w:r>
      <w:r w:rsidRPr="00D415A2">
        <w:t xml:space="preserve"> The Senate-passed version defined dilution as “the material reduction of the distinctive quality of the famous mark through use of the mark by another person</w:t>
      </w:r>
      <w:r w:rsidR="00AC48F2" w:rsidRPr="00D415A2">
        <w:t xml:space="preserve"> </w:t>
      </w:r>
      <w:r w:rsidRPr="00D415A2">
        <w:t>…</w:t>
      </w:r>
      <w:r w:rsidR="00AC48F2" w:rsidRPr="00D415A2">
        <w:t xml:space="preserve"> </w:t>
      </w:r>
      <w:r w:rsidRPr="00D415A2">
        <w:t>.”</w:t>
      </w:r>
      <w:r w:rsidR="00D415A2" w:rsidRPr="00D415A2">
        <w:rPr>
          <w:vertAlign w:val="superscript"/>
        </w:rPr>
        <w:footnoteReference w:id="38"/>
      </w:r>
      <w:r w:rsidRPr="00D415A2">
        <w:t xml:space="preserve"> One might argue that the difference explains the deletion of the </w:t>
      </w:r>
      <w:proofErr w:type="spellStart"/>
      <w:r w:rsidRPr="00D415A2">
        <w:t>tarnishment</w:t>
      </w:r>
      <w:proofErr w:type="spellEnd"/>
      <w:r w:rsidRPr="00D415A2">
        <w:t xml:space="preserve"> claim by having it folded into the dilution claim</w:t>
      </w:r>
      <w:r w:rsidR="00AC48F2" w:rsidRPr="00D415A2">
        <w:t>. H</w:t>
      </w:r>
      <w:r w:rsidRPr="00D415A2">
        <w:t>owever, the Senate’s own report belies that argument</w:t>
      </w:r>
      <w:r w:rsidR="00AC48F2" w:rsidRPr="00D415A2">
        <w:t>. I</w:t>
      </w:r>
      <w:r w:rsidRPr="00D415A2">
        <w:t xml:space="preserve">t said that </w:t>
      </w:r>
      <w:proofErr w:type="spellStart"/>
      <w:r w:rsidRPr="00D415A2">
        <w:t>tarnishment</w:t>
      </w:r>
      <w:proofErr w:type="spellEnd"/>
      <w:r w:rsidRPr="00D415A2">
        <w:t xml:space="preserve"> claims “should continue to be decided on a case-by-case basis, and</w:t>
      </w:r>
      <w:r w:rsidR="00AC48F2" w:rsidRPr="00D415A2">
        <w:t xml:space="preserve"> </w:t>
      </w:r>
      <w:r w:rsidRPr="00D415A2">
        <w:t>…</w:t>
      </w:r>
      <w:r w:rsidR="00AC48F2" w:rsidRPr="00D415A2">
        <w:t xml:space="preserve"> </w:t>
      </w:r>
      <w:r w:rsidRPr="00D415A2">
        <w:t>the [deletion of this claim] should not be regarded as either limiting or extending applicable decisional law.”</w:t>
      </w:r>
      <w:r w:rsidR="00D415A2" w:rsidRPr="00D415A2">
        <w:rPr>
          <w:vertAlign w:val="superscript"/>
        </w:rPr>
        <w:footnoteReference w:id="39"/>
      </w:r>
      <w:r w:rsidRPr="00D415A2">
        <w:t xml:space="preserve"> This is rather odd, considering that there was no obvious federal basis for a </w:t>
      </w:r>
      <w:proofErr w:type="spellStart"/>
      <w:r w:rsidRPr="00D415A2">
        <w:t>tarnishment</w:t>
      </w:r>
      <w:proofErr w:type="spellEnd"/>
      <w:r w:rsidRPr="00D415A2">
        <w:t xml:space="preserve"> claim under then-existing law.</w:t>
      </w:r>
    </w:p>
    <w:p w14:paraId="0E2F059B" w14:textId="5F779323" w:rsidR="00AC48F2" w:rsidRPr="00D415A2" w:rsidRDefault="00B41CE6" w:rsidP="00D415A2">
      <w:pPr>
        <w:pStyle w:val="BNormal"/>
      </w:pPr>
      <w:r w:rsidRPr="00D415A2">
        <w:t xml:space="preserve">Another interesting difference is that the Senate bill’s provisions on determining fame </w:t>
      </w:r>
      <w:r w:rsidR="00AC48F2" w:rsidRPr="00721A17">
        <w:rPr>
          <w:i/>
          <w:iCs/>
        </w:rPr>
        <w:t>required</w:t>
      </w:r>
      <w:r w:rsidRPr="00D415A2">
        <w:t xml:space="preserve"> courts to consider </w:t>
      </w:r>
      <w:proofErr w:type="gramStart"/>
      <w:r w:rsidR="00AC48F2" w:rsidRPr="00721A17">
        <w:rPr>
          <w:i/>
          <w:iCs/>
        </w:rPr>
        <w:t>all</w:t>
      </w:r>
      <w:r w:rsidRPr="00D415A2">
        <w:t xml:space="preserve"> of</w:t>
      </w:r>
      <w:proofErr w:type="gramEnd"/>
      <w:r w:rsidRPr="00D415A2">
        <w:t xml:space="preserve"> the listed factors</w:t>
      </w:r>
      <w:r w:rsidR="00AC48F2" w:rsidRPr="00D415A2">
        <w:t>. T</w:t>
      </w:r>
      <w:r w:rsidRPr="00D415A2">
        <w:t>he bill’s language stated that courts “shall weigh the following</w:t>
      </w:r>
      <w:r w:rsidR="00AC48F2" w:rsidRPr="00D415A2">
        <w:t xml:space="preserve"> </w:t>
      </w:r>
      <w:r w:rsidRPr="00D415A2">
        <w:t>…</w:t>
      </w:r>
      <w:r w:rsidR="00AC48F2" w:rsidRPr="00D415A2">
        <w:t xml:space="preserve"> </w:t>
      </w:r>
      <w:r w:rsidRPr="00D415A2">
        <w:t>factors,” while the USTA proposal—like the FTDA and TDRA—states that courts “may consider” those factors.</w:t>
      </w:r>
      <w:r w:rsidR="00D415A2" w:rsidRPr="00D415A2">
        <w:rPr>
          <w:vertAlign w:val="superscript"/>
        </w:rPr>
        <w:footnoteReference w:id="40"/>
      </w:r>
    </w:p>
    <w:p w14:paraId="6252478F" w14:textId="57A19BD5" w:rsidR="00AC48F2" w:rsidRPr="00D415A2" w:rsidRDefault="00B41CE6" w:rsidP="00D415A2">
      <w:pPr>
        <w:pStyle w:val="BNormal"/>
      </w:pPr>
      <w:r w:rsidRPr="00D415A2">
        <w:t xml:space="preserve">The dilution provision </w:t>
      </w:r>
      <w:proofErr w:type="gramStart"/>
      <w:r w:rsidRPr="00D415A2">
        <w:t>passed</w:t>
      </w:r>
      <w:proofErr w:type="gramEnd"/>
      <w:r w:rsidRPr="00D415A2">
        <w:t xml:space="preserve"> the Senate as part of the proposed Trademark Law Revision Act</w:t>
      </w:r>
      <w:r w:rsidR="00AC48F2" w:rsidRPr="00D415A2">
        <w:t>. I</w:t>
      </w:r>
      <w:r w:rsidRPr="00D415A2">
        <w:t>n the House, however, the dilution sections ran into serious opposition</w:t>
      </w:r>
      <w:r w:rsidR="00AC48F2" w:rsidRPr="00D415A2">
        <w:t>. T</w:t>
      </w:r>
      <w:r w:rsidRPr="00D415A2">
        <w:t>he House-passed version of the Trademark Law Revision Act, which was H.R</w:t>
      </w:r>
      <w:r w:rsidR="00AC48F2" w:rsidRPr="00D415A2">
        <w:t>. 5</w:t>
      </w:r>
      <w:r w:rsidRPr="00D415A2">
        <w:t xml:space="preserve">372, did not contain either the dilution or </w:t>
      </w:r>
      <w:proofErr w:type="spellStart"/>
      <w:r w:rsidRPr="00D415A2">
        <w:t>tarnishment</w:t>
      </w:r>
      <w:proofErr w:type="spellEnd"/>
      <w:r w:rsidRPr="00D415A2">
        <w:t xml:space="preserve"> provisions.</w:t>
      </w:r>
      <w:r w:rsidR="00D415A2" w:rsidRPr="00D415A2">
        <w:rPr>
          <w:vertAlign w:val="superscript"/>
        </w:rPr>
        <w:footnoteReference w:id="41"/>
      </w:r>
      <w:r w:rsidRPr="00D415A2">
        <w:t xml:space="preserve"> Intense opposition by the media, concerned about possible restraints on free speech, apparently convinced the House Judiciary Committee to delete these provisions.</w:t>
      </w:r>
      <w:r w:rsidR="00D415A2" w:rsidRPr="00D415A2">
        <w:rPr>
          <w:vertAlign w:val="superscript"/>
        </w:rPr>
        <w:footnoteReference w:id="42"/>
      </w:r>
      <w:r w:rsidRPr="00D415A2">
        <w:t xml:space="preserve"> Ultimately, the dilution provisions were deleted also from the bill that emerged from the House-Senate conference committee.</w:t>
      </w:r>
      <w:r w:rsidR="00D415A2" w:rsidRPr="00D415A2">
        <w:rPr>
          <w:vertAlign w:val="superscript"/>
        </w:rPr>
        <w:footnoteReference w:id="43"/>
      </w:r>
    </w:p>
    <w:p w14:paraId="4F3D013C" w14:textId="25CF43D2" w:rsidR="00AC48F2" w:rsidRPr="00D415A2" w:rsidRDefault="00B3596F" w:rsidP="004305AA">
      <w:pPr>
        <w:pStyle w:val="BHead2"/>
      </w:pPr>
      <w:r>
        <w:t>6.II.</w:t>
      </w:r>
      <w:r w:rsidR="00D415A2" w:rsidRPr="00B3596F">
        <w:rPr>
          <w:rStyle w:val="BBNAidChar"/>
          <w:rFonts w:eastAsiaTheme="majorEastAsia"/>
        </w:rPr>
        <w:t>C</w:t>
      </w:r>
      <w:r w:rsidR="00D415A2" w:rsidRPr="00D415A2">
        <w:t>.</w:t>
      </w:r>
      <w:r>
        <w:t> </w:t>
      </w:r>
      <w:r w:rsidR="00D415A2" w:rsidRPr="00D415A2">
        <w:tab/>
        <w:t>Passage of the FTDA: Congressional Reasoning and Purpose</w:t>
      </w:r>
    </w:p>
    <w:p w14:paraId="4082A664" w14:textId="1B69A77B" w:rsidR="00AC48F2" w:rsidRPr="00D415A2" w:rsidRDefault="00B3596F" w:rsidP="004305AA">
      <w:pPr>
        <w:pStyle w:val="BHead3"/>
      </w:pPr>
      <w:r>
        <w:t>6.II.C.</w:t>
      </w:r>
      <w:r w:rsidR="00D415A2" w:rsidRPr="00B3596F">
        <w:rPr>
          <w:rStyle w:val="BBNAidChar"/>
          <w:rFonts w:eastAsiaTheme="majorEastAsia"/>
        </w:rPr>
        <w:t>1</w:t>
      </w:r>
      <w:r w:rsidR="00D415A2" w:rsidRPr="00D415A2">
        <w:t>.</w:t>
      </w:r>
      <w:r>
        <w:t> </w:t>
      </w:r>
      <w:r w:rsidR="00D415A2" w:rsidRPr="00D415A2">
        <w:tab/>
        <w:t>Passage of the FTDA</w:t>
      </w:r>
    </w:p>
    <w:p w14:paraId="62B7E2E5" w14:textId="50BB6351" w:rsidR="00AC48F2" w:rsidRPr="00D415A2" w:rsidRDefault="00B41CE6" w:rsidP="00D415A2">
      <w:pPr>
        <w:pStyle w:val="BNormal"/>
      </w:pPr>
      <w:r w:rsidRPr="00D415A2">
        <w:t>Of course, the failure to enact a dilution statute in 1988 did not end the matter</w:t>
      </w:r>
      <w:r w:rsidR="00AC48F2" w:rsidRPr="00D415A2">
        <w:t>. A</w:t>
      </w:r>
      <w:r w:rsidRPr="00D415A2">
        <w:t xml:space="preserve"> new dilution bill, H.R</w:t>
      </w:r>
      <w:r w:rsidR="00AC48F2" w:rsidRPr="00D415A2">
        <w:t>. 1</w:t>
      </w:r>
      <w:r w:rsidRPr="00D415A2">
        <w:t>295, was introduced in 1995</w:t>
      </w:r>
      <w:r w:rsidR="00AC48F2" w:rsidRPr="00D415A2">
        <w:t>. O</w:t>
      </w:r>
      <w:r w:rsidRPr="00D415A2">
        <w:t>n July 19, 1995, the House Subcommittee on Courts and Intellectual Property held hearings on the bill at which seven witnesses testified.</w:t>
      </w:r>
      <w:r w:rsidR="00D415A2" w:rsidRPr="00D415A2">
        <w:rPr>
          <w:vertAlign w:val="superscript"/>
        </w:rPr>
        <w:footnoteReference w:id="44"/>
      </w:r>
      <w:r w:rsidRPr="00D415A2">
        <w:t xml:space="preserve"> From that bill and those hearings, the Federal Trademark Dilution Act of 1995 emerged.</w:t>
      </w:r>
    </w:p>
    <w:p w14:paraId="61B84871" w14:textId="2F8C69AE" w:rsidR="00AC48F2" w:rsidRPr="00D415A2" w:rsidRDefault="00B41CE6" w:rsidP="00D415A2">
      <w:pPr>
        <w:pStyle w:val="BNormal"/>
      </w:pPr>
      <w:r w:rsidRPr="00D415A2">
        <w:t>One notable aspect of the passage of the FTDA is the speed with which it went through Congress</w:t>
      </w:r>
      <w:r w:rsidR="00AC48F2" w:rsidRPr="00D415A2">
        <w:t>. T</w:t>
      </w:r>
      <w:r w:rsidRPr="00D415A2">
        <w:t>he time between the one-day hearing and passage by the House subcommittee was only eight days.</w:t>
      </w:r>
      <w:r w:rsidR="00D415A2" w:rsidRPr="00D415A2">
        <w:rPr>
          <w:vertAlign w:val="superscript"/>
        </w:rPr>
        <w:footnoteReference w:id="45"/>
      </w:r>
      <w:r w:rsidRPr="00D415A2">
        <w:t xml:space="preserve"> Passage by the entire committee was on October 17, less than three months later.</w:t>
      </w:r>
      <w:r w:rsidR="00D415A2" w:rsidRPr="00D415A2">
        <w:rPr>
          <w:vertAlign w:val="superscript"/>
        </w:rPr>
        <w:footnoteReference w:id="46"/>
      </w:r>
      <w:r w:rsidRPr="00D415A2">
        <w:t xml:space="preserve"> The full House passed the bill on December 12</w:t>
      </w:r>
      <w:r w:rsidR="00AC48F2" w:rsidRPr="00D415A2">
        <w:t>; t</w:t>
      </w:r>
      <w:r w:rsidRPr="00D415A2">
        <w:t>he Senate followed suit on December 29.</w:t>
      </w:r>
      <w:r w:rsidR="00D415A2" w:rsidRPr="00D415A2">
        <w:rPr>
          <w:vertAlign w:val="superscript"/>
        </w:rPr>
        <w:footnoteReference w:id="47"/>
      </w:r>
      <w:r w:rsidRPr="00D415A2">
        <w:t xml:space="preserve"> In contrast to the debate and ultimate failure of the bill eight years previous, there seemed to be general agreement on the need for a federal dilution statute at this point.</w:t>
      </w:r>
    </w:p>
    <w:p w14:paraId="1ED050C6" w14:textId="3F4AEB81" w:rsidR="00AC48F2" w:rsidRPr="00D415A2" w:rsidRDefault="00B3596F" w:rsidP="004305AA">
      <w:pPr>
        <w:pStyle w:val="BHead3"/>
      </w:pPr>
      <w:r>
        <w:t>6.II.C.</w:t>
      </w:r>
      <w:r w:rsidR="00D415A2" w:rsidRPr="00B3596F">
        <w:rPr>
          <w:rStyle w:val="BBNAidChar"/>
          <w:rFonts w:eastAsiaTheme="majorEastAsia"/>
        </w:rPr>
        <w:t>2</w:t>
      </w:r>
      <w:r w:rsidR="00D415A2" w:rsidRPr="00D415A2">
        <w:t>.</w:t>
      </w:r>
      <w:r>
        <w:t> </w:t>
      </w:r>
      <w:r w:rsidR="00D415A2" w:rsidRPr="00D415A2">
        <w:tab/>
        <w:t>Differences Between the FTDA and the 1988 Bill</w:t>
      </w:r>
    </w:p>
    <w:p w14:paraId="1C11D3A2" w14:textId="5F99519E" w:rsidR="00AC48F2" w:rsidRPr="00D415A2" w:rsidRDefault="00B41CE6" w:rsidP="00D415A2">
      <w:pPr>
        <w:pStyle w:val="BNormal"/>
      </w:pPr>
      <w:r w:rsidRPr="00D415A2">
        <w:t xml:space="preserve">The FTDA </w:t>
      </w:r>
      <w:proofErr w:type="gramStart"/>
      <w:r w:rsidRPr="00D415A2">
        <w:t>as</w:t>
      </w:r>
      <w:proofErr w:type="gramEnd"/>
      <w:r w:rsidRPr="00D415A2">
        <w:t xml:space="preserve"> finally enacted contained some interesting differences from the dilution bill</w:t>
      </w:r>
      <w:r w:rsidR="00D415A2" w:rsidRPr="00D415A2">
        <w:rPr>
          <w:vertAlign w:val="superscript"/>
        </w:rPr>
        <w:footnoteReference w:id="48"/>
      </w:r>
      <w:r w:rsidRPr="00D415A2">
        <w:t xml:space="preserve"> that passed the Senate in 1988</w:t>
      </w:r>
      <w:r w:rsidR="00AC48F2" w:rsidRPr="00D415A2">
        <w:t>. F</w:t>
      </w:r>
      <w:r w:rsidRPr="00D415A2">
        <w:t>irst, the definition of dilution in the two is somewhat different</w:t>
      </w:r>
      <w:r w:rsidR="00AC48F2" w:rsidRPr="00D415A2">
        <w:t>. T</w:t>
      </w:r>
      <w:r w:rsidRPr="00D415A2">
        <w:t>he FTDA (as did the 1987 proposal of the USTA) defined dilution as “the lessening of the capacity of famous mark to identify and distinguish goods or services</w:t>
      </w:r>
      <w:r w:rsidR="00AC48F2" w:rsidRPr="00D415A2">
        <w:t xml:space="preserve"> </w:t>
      </w:r>
      <w:r w:rsidRPr="00D415A2">
        <w:t>…”</w:t>
      </w:r>
      <w:r w:rsidR="00D415A2" w:rsidRPr="00D415A2">
        <w:rPr>
          <w:vertAlign w:val="superscript"/>
        </w:rPr>
        <w:footnoteReference w:id="49"/>
      </w:r>
      <w:r w:rsidR="00AC48F2" w:rsidRPr="00D415A2">
        <w:t>; t</w:t>
      </w:r>
      <w:r w:rsidRPr="00D415A2">
        <w:t>he 1988 bill defined dilution as a “material reduction of the distinctive quality of the famous mark.” Next, Section 43(c), passed in 1995, contained three specific exclusions from a federal dilution claim</w:t>
      </w:r>
      <w:r w:rsidR="00AC48F2" w:rsidRPr="00D415A2">
        <w:t>: f</w:t>
      </w:r>
      <w:r w:rsidRPr="00D415A2">
        <w:t>air use of another’s famous mark in comparative advertising, noncommercial use, and use of the mark in news commentary.</w:t>
      </w:r>
      <w:r w:rsidR="00D415A2" w:rsidRPr="00D415A2">
        <w:rPr>
          <w:vertAlign w:val="superscript"/>
        </w:rPr>
        <w:footnoteReference w:id="50"/>
      </w:r>
      <w:r w:rsidRPr="00D415A2">
        <w:t xml:space="preserve"> None of these was in the 1988 bill</w:t>
      </w:r>
      <w:r w:rsidR="00AC48F2" w:rsidRPr="00D415A2">
        <w:t>. (</w:t>
      </w:r>
      <w:r w:rsidRPr="00D415A2">
        <w:t>There is some indication that the Senate believed that dilution claims would not be brought against competitors.</w:t>
      </w:r>
      <w:r w:rsidR="00D415A2" w:rsidRPr="00D415A2">
        <w:rPr>
          <w:vertAlign w:val="superscript"/>
        </w:rPr>
        <w:footnoteReference w:id="51"/>
      </w:r>
      <w:r w:rsidRPr="00D415A2">
        <w:t xml:space="preserve"> This would have made at least the first exclusion unnecessary, because it is most likely to be invoked between competitors or sellers of complementary goods.) The 1988 bill did recognize a defense of sorts</w:t>
      </w:r>
      <w:r w:rsidR="00AC48F2" w:rsidRPr="00D415A2">
        <w:t>. I</w:t>
      </w:r>
      <w:r w:rsidRPr="00D415A2">
        <w:t>t instructed courts to consider whether the second use was “the good-faith use of an individual’s name or an indication of geographic origin.”</w:t>
      </w:r>
      <w:r w:rsidR="00D415A2" w:rsidRPr="00D415A2">
        <w:rPr>
          <w:vertAlign w:val="superscript"/>
        </w:rPr>
        <w:footnoteReference w:id="52"/>
      </w:r>
      <w:r w:rsidRPr="00D415A2">
        <w:t xml:space="preserve"> Although neither of these was contained in the FTDA, it appears that they may have been deemed defenses under another existing provision of the Lanham Act.</w:t>
      </w:r>
      <w:r w:rsidR="00D415A2" w:rsidRPr="00D415A2">
        <w:rPr>
          <w:vertAlign w:val="superscript"/>
        </w:rPr>
        <w:footnoteReference w:id="53"/>
      </w:r>
      <w:r w:rsidRPr="00D415A2">
        <w:t xml:space="preserve"> The 1988 bill applied only to registered marks</w:t>
      </w:r>
      <w:r w:rsidR="00AC48F2" w:rsidRPr="00D415A2">
        <w:t>; i</w:t>
      </w:r>
      <w:r w:rsidRPr="00D415A2">
        <w:t>n 1995, an amendment by Rep</w:t>
      </w:r>
      <w:r w:rsidR="00AC48F2" w:rsidRPr="00D415A2">
        <w:t>. P</w:t>
      </w:r>
      <w:r w:rsidRPr="00D415A2">
        <w:t>atricia Schroeder extended protection to nonregistered marks.</w:t>
      </w:r>
      <w:r w:rsidR="00D415A2" w:rsidRPr="00D415A2">
        <w:rPr>
          <w:vertAlign w:val="superscript"/>
        </w:rPr>
        <w:footnoteReference w:id="54"/>
      </w:r>
      <w:r w:rsidRPr="00D415A2">
        <w:t xml:space="preserve"> Finally, there is a linguistic difference in the first part of the two bills that may or may not be significant</w:t>
      </w:r>
      <w:r w:rsidR="00AC48F2" w:rsidRPr="00D415A2">
        <w:t>. T</w:t>
      </w:r>
      <w:r w:rsidRPr="00D415A2">
        <w:t xml:space="preserve">he 1988 bill listed factors to be used by courts to determine “whether the mark is famous </w:t>
      </w:r>
      <w:r w:rsidR="00AC48F2" w:rsidRPr="002C4244">
        <w:rPr>
          <w:i/>
          <w:iCs/>
        </w:rPr>
        <w:t>and has distinctive quality</w:t>
      </w:r>
      <w:r w:rsidRPr="00D415A2">
        <w:t>”</w:t>
      </w:r>
      <w:r w:rsidR="00D415A2" w:rsidRPr="00D415A2">
        <w:rPr>
          <w:vertAlign w:val="superscript"/>
        </w:rPr>
        <w:footnoteReference w:id="55"/>
      </w:r>
      <w:r w:rsidR="00AC48F2" w:rsidRPr="00D415A2">
        <w:t>; t</w:t>
      </w:r>
      <w:r w:rsidRPr="00D415A2">
        <w:t>he original FTDA listed the same factors (adding registration as another factor</w:t>
      </w:r>
      <w:proofErr w:type="gramStart"/>
      <w:r w:rsidRPr="00D415A2">
        <w:t>), but</w:t>
      </w:r>
      <w:proofErr w:type="gramEnd"/>
      <w:r w:rsidRPr="00D415A2">
        <w:t xml:space="preserve"> referred to them as factors in determining whether a mark was “distinctive and famous.”</w:t>
      </w:r>
      <w:r w:rsidR="00D415A2" w:rsidRPr="00D415A2">
        <w:rPr>
          <w:vertAlign w:val="superscript"/>
        </w:rPr>
        <w:footnoteReference w:id="56"/>
      </w:r>
    </w:p>
    <w:p w14:paraId="49189551" w14:textId="38399B31" w:rsidR="00AC48F2" w:rsidRPr="00D415A2" w:rsidRDefault="00B3596F" w:rsidP="004305AA">
      <w:pPr>
        <w:pStyle w:val="BHead3"/>
      </w:pPr>
      <w:r>
        <w:t>6.II.C.</w:t>
      </w:r>
      <w:r w:rsidR="00D415A2" w:rsidRPr="00B3596F">
        <w:rPr>
          <w:rStyle w:val="BBNAidChar"/>
          <w:rFonts w:eastAsiaTheme="majorEastAsia"/>
        </w:rPr>
        <w:t>3</w:t>
      </w:r>
      <w:r w:rsidR="00D415A2" w:rsidRPr="00D415A2">
        <w:t>.</w:t>
      </w:r>
      <w:r>
        <w:t> </w:t>
      </w:r>
      <w:r w:rsidR="00D415A2" w:rsidRPr="00D415A2">
        <w:tab/>
        <w:t xml:space="preserve">Congressional Purpose as Derived </w:t>
      </w:r>
      <w:proofErr w:type="gramStart"/>
      <w:r w:rsidR="00D415A2" w:rsidRPr="00D415A2">
        <w:t>From</w:t>
      </w:r>
      <w:proofErr w:type="gramEnd"/>
      <w:r w:rsidR="00D415A2" w:rsidRPr="00D415A2">
        <w:t xml:space="preserve"> the Legislative History</w:t>
      </w:r>
    </w:p>
    <w:p w14:paraId="410E8E26" w14:textId="40D957D8" w:rsidR="00AC48F2" w:rsidRPr="00D415A2" w:rsidRDefault="00B41CE6" w:rsidP="00D415A2">
      <w:pPr>
        <w:pStyle w:val="BNormal"/>
      </w:pPr>
      <w:r w:rsidRPr="00D415A2">
        <w:t>The debates and reports on the bill provide some insight into the purpose of the statute</w:t>
      </w:r>
      <w:r w:rsidR="00AC48F2" w:rsidRPr="00D415A2">
        <w:t>. T</w:t>
      </w:r>
      <w:r w:rsidRPr="00D415A2">
        <w:t>he House Report on H.R</w:t>
      </w:r>
      <w:r w:rsidR="00AC48F2" w:rsidRPr="00D415A2">
        <w:t>. 1</w:t>
      </w:r>
      <w:r w:rsidRPr="00D415A2">
        <w:t>295 cited several reasons for enacting the new statute</w:t>
      </w:r>
      <w:r w:rsidR="00AC48F2" w:rsidRPr="00D415A2">
        <w:t>. F</w:t>
      </w:r>
      <w:r w:rsidRPr="00D415A2">
        <w:t>irst, it stated that the law protected against “unauthorized users” who “attempt to trade upon the goodwill and established renown of [famous] marks and, thereby, dilute their distinctive quality.”</w:t>
      </w:r>
      <w:r w:rsidR="00D415A2" w:rsidRPr="00D415A2">
        <w:rPr>
          <w:vertAlign w:val="superscript"/>
        </w:rPr>
        <w:footnoteReference w:id="57"/>
      </w:r>
      <w:r w:rsidRPr="00D415A2">
        <w:t xml:space="preserve"> It cited the need to protect the investment made by owners of the famous marks in the “commercial value and aura” of the mark.</w:t>
      </w:r>
      <w:r w:rsidR="00D415A2" w:rsidRPr="00D415A2">
        <w:rPr>
          <w:vertAlign w:val="superscript"/>
        </w:rPr>
        <w:footnoteReference w:id="58"/>
      </w:r>
    </w:p>
    <w:p w14:paraId="76434E8F" w14:textId="47C4FA9F" w:rsidR="00AC48F2" w:rsidRPr="00D415A2" w:rsidRDefault="00B41CE6" w:rsidP="00D415A2">
      <w:pPr>
        <w:pStyle w:val="BNormal"/>
      </w:pPr>
      <w:r w:rsidRPr="00D415A2">
        <w:t>Second, the House Report cited the need for a national standard, as opposed to the “patch-quilt system” of state dilution laws, with the concomitant authority to issue a nationwide injunction remedy.</w:t>
      </w:r>
      <w:r w:rsidR="00D415A2" w:rsidRPr="00D415A2">
        <w:rPr>
          <w:vertAlign w:val="superscript"/>
        </w:rPr>
        <w:footnoteReference w:id="59"/>
      </w:r>
      <w:r w:rsidRPr="00D415A2">
        <w:t xml:space="preserve"> At the time of the FTDA’s passage, about half the states had passed laws protecting marks from dilution.</w:t>
      </w:r>
      <w:r w:rsidR="00D415A2" w:rsidRPr="00D415A2">
        <w:rPr>
          <w:vertAlign w:val="superscript"/>
        </w:rPr>
        <w:footnoteReference w:id="60"/>
      </w:r>
      <w:r w:rsidRPr="00D415A2">
        <w:t xml:space="preserve"> Although almost all of these laws were similarly worded, the states were not uniform in their interpretations of these laws.</w:t>
      </w:r>
      <w:r w:rsidR="00D415A2" w:rsidRPr="00D415A2">
        <w:rPr>
          <w:vertAlign w:val="superscript"/>
        </w:rPr>
        <w:footnoteReference w:id="61"/>
      </w:r>
      <w:r w:rsidRPr="00D415A2">
        <w:t xml:space="preserve"> Somewhat ironically, most of the dilution litigation under those laws was in federal court</w:t>
      </w:r>
      <w:r w:rsidR="00AC48F2" w:rsidRPr="00D415A2">
        <w:t>; s</w:t>
      </w:r>
      <w:r w:rsidRPr="00D415A2">
        <w:t>tate dilution counts were (and still are) frequently added as supplemental claims in federal trademark suits under the Lanham Act</w:t>
      </w:r>
      <w:r w:rsidR="00AC48F2" w:rsidRPr="00D415A2">
        <w:t>. A</w:t>
      </w:r>
      <w:r w:rsidRPr="00D415A2">
        <w:t>nd several courts have expressed reservations about issuing an injunction under one state’s laws that regulated activity occurring in another state.</w:t>
      </w:r>
      <w:r w:rsidR="00D415A2" w:rsidRPr="00D415A2">
        <w:rPr>
          <w:vertAlign w:val="superscript"/>
        </w:rPr>
        <w:footnoteReference w:id="62"/>
      </w:r>
    </w:p>
    <w:p w14:paraId="4FEF6292" w14:textId="09A74245" w:rsidR="00AC48F2" w:rsidRPr="00D415A2" w:rsidRDefault="00B41CE6" w:rsidP="00D415A2">
      <w:pPr>
        <w:pStyle w:val="BNormal"/>
      </w:pPr>
      <w:r w:rsidRPr="00D415A2">
        <w:t>Finally, the House Report cited international trade concerns as another basis for the bill</w:t>
      </w:r>
      <w:r w:rsidR="00AC48F2" w:rsidRPr="00D415A2">
        <w:t>. I</w:t>
      </w:r>
      <w:r w:rsidRPr="00D415A2">
        <w:t>t pointed to the “recently concluded Agreement on Trade-Related Aspects of Intellectual Property Rights, including Trade in Counterfeit Goods (‘TRIPS’),” which was part of the larger revision of the General Agreement on Tariffs and Trade (GATT)</w:t>
      </w:r>
      <w:r w:rsidR="00AC48F2" w:rsidRPr="00D415A2">
        <w:t>. T</w:t>
      </w:r>
      <w:r w:rsidRPr="00D415A2">
        <w:t>he Report stated that TRIPS contained a provision protecting famous marks from dilution, and also stated that it was consistent with the nineteenth-century Paris Convention on intellectual property, of which the United States is a member.</w:t>
      </w:r>
      <w:r w:rsidR="00D415A2" w:rsidRPr="00D415A2">
        <w:rPr>
          <w:vertAlign w:val="superscript"/>
        </w:rPr>
        <w:footnoteReference w:id="63"/>
      </w:r>
      <w:r w:rsidRPr="00D415A2">
        <w:t xml:space="preserve"> The Report further indicated the need to strengthen the hand of U.S</w:t>
      </w:r>
      <w:r w:rsidR="00AC48F2" w:rsidRPr="00D415A2">
        <w:t>. t</w:t>
      </w:r>
      <w:r w:rsidRPr="00D415A2">
        <w:t>rade negotiators in making trade agreements with countries that provide greater protection to famous marks than does the United States.</w:t>
      </w:r>
    </w:p>
    <w:p w14:paraId="3AECAAF4" w14:textId="40546443" w:rsidR="00AC48F2" w:rsidRPr="00D415A2" w:rsidRDefault="00B41CE6" w:rsidP="00D415A2">
      <w:pPr>
        <w:pStyle w:val="BNormal"/>
      </w:pPr>
      <w:r w:rsidRPr="00D415A2">
        <w:t>It should be noted, however, that Congress’ assertions supporting these international trade concerns may have been overblown</w:t>
      </w:r>
      <w:r w:rsidR="00AC48F2" w:rsidRPr="00D415A2">
        <w:t>. I</w:t>
      </w:r>
      <w:r w:rsidRPr="00D415A2">
        <w:t>n particular, the Report’s characterization of U.S</w:t>
      </w:r>
      <w:r w:rsidR="00AC48F2" w:rsidRPr="00D415A2">
        <w:t>. o</w:t>
      </w:r>
      <w:r w:rsidRPr="00D415A2">
        <w:t>bligations under TRIPS and the Paris Convention can be most charitably described as misleading</w:t>
      </w:r>
      <w:r w:rsidR="00AC48F2" w:rsidRPr="00D415A2">
        <w:t>. T</w:t>
      </w:r>
      <w:r w:rsidRPr="00D415A2">
        <w:t>he relevant provision of the Paris Convention is Article 6</w:t>
      </w:r>
      <w:r w:rsidR="00AC48F2" w:rsidRPr="002C4244">
        <w:rPr>
          <w:i/>
          <w:iCs/>
        </w:rPr>
        <w:t>bis</w:t>
      </w:r>
      <w:r w:rsidR="00AC48F2" w:rsidRPr="00D415A2">
        <w:t>,</w:t>
      </w:r>
      <w:r w:rsidRPr="00D415A2">
        <w:t xml:space="preserve"> which deals with the protection of well-known marks</w:t>
      </w:r>
      <w:r w:rsidR="00AC48F2" w:rsidRPr="00D415A2">
        <w:t>. H</w:t>
      </w:r>
      <w:r w:rsidRPr="00D415A2">
        <w:t>owever, this article only requires members to protect such marks from uses that would cause confusion.</w:t>
      </w:r>
      <w:r w:rsidR="00D415A2" w:rsidRPr="00D415A2">
        <w:rPr>
          <w:vertAlign w:val="superscript"/>
        </w:rPr>
        <w:footnoteReference w:id="64"/>
      </w:r>
      <w:r w:rsidRPr="00D415A2">
        <w:t xml:space="preserve"> Dilution is a far broader doctrine, operating even when there is no confusion</w:t>
      </w:r>
      <w:r w:rsidR="00AC48F2" w:rsidRPr="00D415A2">
        <w:t>. S</w:t>
      </w:r>
      <w:r w:rsidRPr="00D415A2">
        <w:t>imilarly, the TRIPS Agreement does not require countries to protect famous trademarks from dilution</w:t>
      </w:r>
      <w:r w:rsidR="00AC48F2" w:rsidRPr="00D415A2">
        <w:t>. A</w:t>
      </w:r>
      <w:r w:rsidRPr="00D415A2">
        <w:t>rticle 16(1) of TRIPS requires members to protect trademarks against confusion</w:t>
      </w:r>
      <w:r w:rsidR="00AC48F2" w:rsidRPr="00D415A2">
        <w:t>. A</w:t>
      </w:r>
      <w:r w:rsidRPr="00D415A2">
        <w:t>rticle 16(2) incorporates the Paris Convention’s protections for well-known marks and extends them to services.</w:t>
      </w:r>
      <w:r w:rsidR="00D415A2" w:rsidRPr="00D415A2">
        <w:rPr>
          <w:vertAlign w:val="superscript"/>
        </w:rPr>
        <w:footnoteReference w:id="65"/>
      </w:r>
      <w:r w:rsidRPr="00D415A2">
        <w:t xml:space="preserve"> However, since the Paris Convention only protects against confusion, this can hardly be read to require dilution protection.</w:t>
      </w:r>
      <w:r w:rsidR="00D415A2" w:rsidRPr="00D415A2">
        <w:rPr>
          <w:vertAlign w:val="superscript"/>
        </w:rPr>
        <w:footnoteReference w:id="66"/>
      </w:r>
      <w:r w:rsidRPr="00D415A2">
        <w:t xml:space="preserve"> Article 16(3) of TRIPS applies Article 6</w:t>
      </w:r>
      <w:r w:rsidR="00AC48F2" w:rsidRPr="00C86822">
        <w:rPr>
          <w:i/>
          <w:iCs/>
        </w:rPr>
        <w:t>bis</w:t>
      </w:r>
      <w:r w:rsidRPr="00D415A2">
        <w:t xml:space="preserve"> of the Paris Convention to </w:t>
      </w:r>
      <w:r w:rsidR="00AC48F2" w:rsidRPr="00C86822">
        <w:rPr>
          <w:i/>
          <w:iCs/>
        </w:rPr>
        <w:t>dissimilar</w:t>
      </w:r>
      <w:r w:rsidRPr="00D415A2">
        <w:t xml:space="preserve"> goods and services</w:t>
      </w:r>
      <w:r w:rsidR="00AC48F2" w:rsidRPr="00D415A2">
        <w:t>. H</w:t>
      </w:r>
      <w:r w:rsidRPr="00D415A2">
        <w:t xml:space="preserve">owever, its protection is predicated on a showing that the second use “indicates the connection between those goods or services and the owner of the registered trademark </w:t>
      </w:r>
      <w:r w:rsidR="00AC48F2" w:rsidRPr="00C86822">
        <w:rPr>
          <w:i/>
          <w:iCs/>
        </w:rPr>
        <w:t>and</w:t>
      </w:r>
      <w:r w:rsidRPr="00D415A2">
        <w:t xml:space="preserve"> provided that the interests of the owner of the registered trademark are likely to be damaged by such use.”</w:t>
      </w:r>
      <w:r w:rsidR="00D415A2" w:rsidRPr="00D415A2">
        <w:rPr>
          <w:vertAlign w:val="superscript"/>
        </w:rPr>
        <w:footnoteReference w:id="67"/>
      </w:r>
      <w:r w:rsidRPr="00D415A2">
        <w:t xml:space="preserve"> This is a form of confusion and does not require the sort of protection granted by the FTDA.</w:t>
      </w:r>
    </w:p>
    <w:p w14:paraId="24D49FD9" w14:textId="4C4DD0A8" w:rsidR="00AC48F2" w:rsidRPr="00D415A2" w:rsidRDefault="00B41CE6" w:rsidP="00D415A2">
      <w:pPr>
        <w:pStyle w:val="BNormal"/>
      </w:pPr>
      <w:r w:rsidRPr="00D415A2">
        <w:t xml:space="preserve">In any event, these three justifications for the FTDA—protecting the investment of the owner of a famous mark, uniformity, and international </w:t>
      </w:r>
      <w:proofErr w:type="gramStart"/>
      <w:r w:rsidRPr="00D415A2">
        <w:t>trade concerns—</w:t>
      </w:r>
      <w:proofErr w:type="gramEnd"/>
      <w:r w:rsidRPr="00D415A2">
        <w:t>remain the foundations of the discussion of federal dilution protection</w:t>
      </w:r>
      <w:r w:rsidR="00AC48F2" w:rsidRPr="00D415A2">
        <w:t>. U</w:t>
      </w:r>
      <w:r w:rsidRPr="00D415A2">
        <w:t>nfortunately, neither the House Report nor the debates (which were rather short) provide much illumination on the specific provisions of the dilution statute</w:t>
      </w:r>
      <w:r w:rsidR="00AC48F2" w:rsidRPr="00D415A2">
        <w:t>. T</w:t>
      </w:r>
      <w:r w:rsidRPr="00D415A2">
        <w:t>hus, the 1987 USTA Review Commission Report remains a useful source of guidance for interpreting the FTDA.</w:t>
      </w:r>
    </w:p>
    <w:p w14:paraId="5D8CE548" w14:textId="15036CC9" w:rsidR="00AC48F2" w:rsidRPr="00D415A2" w:rsidRDefault="00B3596F" w:rsidP="004305AA">
      <w:pPr>
        <w:pStyle w:val="BHead2"/>
      </w:pPr>
      <w:r>
        <w:t>6.II.</w:t>
      </w:r>
      <w:r w:rsidR="00D415A2" w:rsidRPr="00B3596F">
        <w:rPr>
          <w:rStyle w:val="BBNAidChar"/>
          <w:rFonts w:eastAsiaTheme="majorEastAsia"/>
        </w:rPr>
        <w:t>D</w:t>
      </w:r>
      <w:r w:rsidR="00D415A2" w:rsidRPr="00D415A2">
        <w:t>.</w:t>
      </w:r>
      <w:r>
        <w:t> </w:t>
      </w:r>
      <w:r w:rsidR="00D415A2" w:rsidRPr="00D415A2">
        <w:tab/>
        <w:t>Amending the FTDA: The Trademark Amendments Act of 1999</w:t>
      </w:r>
    </w:p>
    <w:p w14:paraId="295B6867" w14:textId="3B3778E4" w:rsidR="00AC48F2" w:rsidRPr="00D415A2" w:rsidRDefault="00B41CE6" w:rsidP="00D415A2">
      <w:pPr>
        <w:pStyle w:val="BNormal"/>
      </w:pPr>
      <w:r w:rsidRPr="00D415A2">
        <w:t>The FTDA has been amended twice since its passage in 1995</w:t>
      </w:r>
      <w:r w:rsidR="00AC48F2" w:rsidRPr="00D415A2">
        <w:t>. T</w:t>
      </w:r>
      <w:r w:rsidRPr="00D415A2">
        <w:t>he first set of amendments, in 1999, focused on the role of dilution in the registration process before the U.S</w:t>
      </w:r>
      <w:r w:rsidR="00AC48F2" w:rsidRPr="00D415A2">
        <w:t>. P</w:t>
      </w:r>
      <w:r w:rsidRPr="00D415A2">
        <w:t>atent and Trademark Office (PTO).</w:t>
      </w:r>
      <w:r w:rsidR="00D415A2" w:rsidRPr="00D415A2">
        <w:rPr>
          <w:vertAlign w:val="superscript"/>
        </w:rPr>
        <w:footnoteReference w:id="68"/>
      </w:r>
      <w:r w:rsidRPr="00D415A2">
        <w:t xml:space="preserve"> The second set of amendments, in 2006, constituted a significant redrafting of much of the original dilution statute, as a result of various court opinions (most notably one from the Supreme Court</w:t>
      </w:r>
      <w:r w:rsidR="00D415A2" w:rsidRPr="00D415A2">
        <w:rPr>
          <w:vertAlign w:val="superscript"/>
        </w:rPr>
        <w:footnoteReference w:id="69"/>
      </w:r>
      <w:r w:rsidRPr="00D415A2">
        <w:t>) during the first 10 years of the FTDA’s operation</w:t>
      </w:r>
      <w:r w:rsidR="00AC48F2" w:rsidRPr="00D415A2">
        <w:t>. T</w:t>
      </w:r>
      <w:r w:rsidRPr="00D415A2">
        <w:t>he effect of the 2006 amendments, summarized below in section III, is so wide-ranging that it is reflected and discussed in more detail in several other chapters in this text.</w:t>
      </w:r>
      <w:r w:rsidR="00D415A2" w:rsidRPr="00D415A2">
        <w:rPr>
          <w:vertAlign w:val="superscript"/>
        </w:rPr>
        <w:footnoteReference w:id="70"/>
      </w:r>
    </w:p>
    <w:p w14:paraId="32FC6B72" w14:textId="7F0A14A9" w:rsidR="00AC48F2" w:rsidRPr="00D415A2" w:rsidRDefault="00B41CE6" w:rsidP="00D415A2">
      <w:pPr>
        <w:pStyle w:val="BNormal"/>
      </w:pPr>
      <w:r w:rsidRPr="00D415A2">
        <w:t>In July 1999, the Trademark Amendments Act of 1999 was enacted.</w:t>
      </w:r>
      <w:r w:rsidR="00D415A2" w:rsidRPr="00D415A2">
        <w:rPr>
          <w:vertAlign w:val="superscript"/>
        </w:rPr>
        <w:footnoteReference w:id="71"/>
      </w:r>
      <w:r w:rsidRPr="00D415A2">
        <w:t xml:space="preserve"> Several provisions of this statute </w:t>
      </w:r>
      <w:proofErr w:type="gramStart"/>
      <w:r w:rsidRPr="00D415A2">
        <w:t>refined</w:t>
      </w:r>
      <w:proofErr w:type="gramEnd"/>
      <w:r w:rsidRPr="00D415A2">
        <w:t xml:space="preserve"> and, to some degree, extended the dilution provisions of </w:t>
      </w:r>
      <w:proofErr w:type="gramStart"/>
      <w:r w:rsidRPr="00D415A2">
        <w:t>the FTDA</w:t>
      </w:r>
      <w:proofErr w:type="gramEnd"/>
      <w:r w:rsidR="00AC48F2" w:rsidRPr="00D415A2">
        <w:t>. P</w:t>
      </w:r>
      <w:r w:rsidRPr="00D415A2">
        <w:t>rior to the passage of the 1999 amendments, dilution claims were not considered in the registration process before the Patent and Trademark Office because the Trademark Trial and Appeals Board (TTAB) had ruled in 1996 that the FTDA did not authorize an opposition or cancellation proceeding on the grounds of dilution.</w:t>
      </w:r>
      <w:r w:rsidR="00D415A2" w:rsidRPr="00D415A2">
        <w:rPr>
          <w:vertAlign w:val="superscript"/>
        </w:rPr>
        <w:footnoteReference w:id="72"/>
      </w:r>
      <w:r w:rsidRPr="00D415A2">
        <w:t xml:space="preserve"> The amendments permitted dilution to be used as a basis for opposing a registration application</w:t>
      </w:r>
      <w:r w:rsidR="00AC48F2" w:rsidRPr="00D415A2">
        <w:t>. H</w:t>
      </w:r>
      <w:r w:rsidRPr="00D415A2">
        <w:t xml:space="preserve">owever, the amended statute required the owner of the famous mark to bring an opposition proceeding in the PTO before the TTAB under Section 13 of the Lanham Act </w:t>
      </w:r>
      <w:proofErr w:type="gramStart"/>
      <w:r w:rsidRPr="00D415A2">
        <w:t>in order to</w:t>
      </w:r>
      <w:proofErr w:type="gramEnd"/>
      <w:r w:rsidRPr="00D415A2">
        <w:t xml:space="preserve"> raise a dilution claim</w:t>
      </w:r>
      <w:r w:rsidR="00AC48F2" w:rsidRPr="00D415A2">
        <w:t>. T</w:t>
      </w:r>
      <w:r w:rsidRPr="00D415A2">
        <w:t>hus, an examining attorney in the PTO on his or her own will not consider possible dilution of an existing mark as a basis for refusing a new registration</w:t>
      </w:r>
      <w:r w:rsidR="00AC48F2" w:rsidRPr="00D415A2">
        <w:t>. R</w:t>
      </w:r>
      <w:r w:rsidRPr="00D415A2">
        <w:t>ather, the owner of a famous mark must take affirmative action to raise the issue</w:t>
      </w:r>
      <w:r w:rsidR="00AC48F2" w:rsidRPr="00D415A2">
        <w:t>. T</w:t>
      </w:r>
      <w:r w:rsidRPr="00D415A2">
        <w:t xml:space="preserve">he 1999 statute also amended Sections 14 and 24 of the Lanham Act to permit </w:t>
      </w:r>
      <w:proofErr w:type="gramStart"/>
      <w:r w:rsidRPr="00D415A2">
        <w:t>a cancellation</w:t>
      </w:r>
      <w:proofErr w:type="gramEnd"/>
      <w:r w:rsidRPr="00D415A2">
        <w:t xml:space="preserve"> proceeding against a mark newly registered on the Principal Register or the Supplemental Register on the grounds that the newly registered mark will cause dilution of another mark.</w:t>
      </w:r>
      <w:r w:rsidR="00D415A2" w:rsidRPr="00D415A2">
        <w:rPr>
          <w:vertAlign w:val="superscript"/>
        </w:rPr>
        <w:footnoteReference w:id="73"/>
      </w:r>
      <w:r w:rsidRPr="00D415A2">
        <w:t xml:space="preserve"> Congress hoped that the new amendments would permit an earlier determination of dilution issues by considering them in the registration process</w:t>
      </w:r>
      <w:r w:rsidR="00AC48F2" w:rsidRPr="00D415A2">
        <w:t>. I</w:t>
      </w:r>
      <w:r w:rsidRPr="00D415A2">
        <w:t xml:space="preserve">t also hoped that the PTO’s determination of dilution issues could provide guidance to litigants who contemplate bringing dilution claims </w:t>
      </w:r>
      <w:proofErr w:type="gramStart"/>
      <w:r w:rsidRPr="00D415A2">
        <w:t>in</w:t>
      </w:r>
      <w:proofErr w:type="gramEnd"/>
      <w:r w:rsidRPr="00D415A2">
        <w:t xml:space="preserve"> the courts.</w:t>
      </w:r>
      <w:r w:rsidR="00D415A2" w:rsidRPr="00D415A2">
        <w:rPr>
          <w:vertAlign w:val="superscript"/>
        </w:rPr>
        <w:footnoteReference w:id="74"/>
      </w:r>
    </w:p>
    <w:p w14:paraId="14CA2BDB" w14:textId="5E20B4D8" w:rsidR="00AC48F2" w:rsidRPr="00D415A2" w:rsidRDefault="00B41CE6" w:rsidP="00D415A2">
      <w:pPr>
        <w:pStyle w:val="BNormal"/>
      </w:pPr>
      <w:r w:rsidRPr="00D415A2">
        <w:t>The Amendments Act also made some changes in the remedy sections of the Lanham Act, inserting references to Section 43(c), the dilution section, into other relevant sections of the Lanham Act</w:t>
      </w:r>
      <w:r w:rsidR="00AC48F2" w:rsidRPr="00D415A2">
        <w:t>. T</w:t>
      </w:r>
      <w:r w:rsidRPr="00D415A2">
        <w:t>his addition clarified Congress’s intent to insure that the injunctive and damages remedies set forth in Section 43(c) were reflected in the sections of the Lanham Act generally authorizing injunctions and damages, namely, Sections 34 and 35</w:t>
      </w:r>
      <w:r w:rsidR="00AC48F2" w:rsidRPr="00D415A2">
        <w:t>. T</w:t>
      </w:r>
      <w:r w:rsidRPr="00D415A2">
        <w:t>his also made it clear that various types of damages provided by Section 35, such as profits, costs, and attorneys’ fees, are available for willful violations of the FTDA as defined in Section 43(c).</w:t>
      </w:r>
      <w:r w:rsidR="00D415A2" w:rsidRPr="00D415A2">
        <w:rPr>
          <w:vertAlign w:val="superscript"/>
        </w:rPr>
        <w:footnoteReference w:id="75"/>
      </w:r>
      <w:r w:rsidRPr="00D415A2">
        <w:t xml:space="preserve"> It also provided that destruction of infringing (i.e., diluting) articles under Section 36 of the Lanham Act is a possible remedy for willful dilution.</w:t>
      </w:r>
      <w:r w:rsidR="00D415A2" w:rsidRPr="00D415A2">
        <w:rPr>
          <w:vertAlign w:val="superscript"/>
        </w:rPr>
        <w:footnoteReference w:id="76"/>
      </w:r>
    </w:p>
    <w:p w14:paraId="6477A177" w14:textId="1AE8C565" w:rsidR="00AC48F2" w:rsidRPr="00D415A2" w:rsidRDefault="00B41CE6" w:rsidP="00D415A2">
      <w:pPr>
        <w:pStyle w:val="BNormal"/>
      </w:pPr>
      <w:r w:rsidRPr="00D415A2">
        <w:t>One of the remarks made on the House floor when the Trademark Amendments Act of 1999 was passed is worth mentioning</w:t>
      </w:r>
      <w:r w:rsidR="00AC48F2" w:rsidRPr="00D415A2">
        <w:t>. R</w:t>
      </w:r>
      <w:r w:rsidRPr="00D415A2">
        <w:t>ep</w:t>
      </w:r>
      <w:r w:rsidR="00AC48F2" w:rsidRPr="00D415A2">
        <w:t>. C</w:t>
      </w:r>
      <w:r w:rsidRPr="00D415A2">
        <w:t>ummings stated, “The legislation enacted in the 105th Congress [i.e., the FTDA] authorizes injunctive relief after the harm has occurred, while legislation before us today will allow the right to oppose or seek cancellation of a mark hopefully before harm has occurred.”</w:t>
      </w:r>
      <w:r w:rsidR="00D415A2" w:rsidRPr="00D415A2">
        <w:rPr>
          <w:vertAlign w:val="superscript"/>
        </w:rPr>
        <w:footnoteReference w:id="77"/>
      </w:r>
    </w:p>
    <w:p w14:paraId="67123074" w14:textId="22DEE24F" w:rsidR="00AC48F2" w:rsidRPr="00D415A2" w:rsidRDefault="00B41CE6" w:rsidP="00D415A2">
      <w:pPr>
        <w:pStyle w:val="BNormal"/>
      </w:pPr>
      <w:r w:rsidRPr="00D415A2">
        <w:t>This statement is noteworthy because it indicates that Rep</w:t>
      </w:r>
      <w:r w:rsidR="00AC48F2" w:rsidRPr="00D415A2">
        <w:t>. C</w:t>
      </w:r>
      <w:r w:rsidRPr="00D415A2">
        <w:t xml:space="preserve">ummings (whose remarks were not contradicted in the record) believed that an ordinary private action under the FTDA requires a showing of </w:t>
      </w:r>
      <w:r w:rsidR="00AC48F2" w:rsidRPr="008B0647">
        <w:rPr>
          <w:i/>
          <w:iCs/>
        </w:rPr>
        <w:t>actual</w:t>
      </w:r>
      <w:r w:rsidRPr="00D415A2">
        <w:t xml:space="preserve"> harm, not simply a likelihood of harm</w:t>
      </w:r>
      <w:r w:rsidR="00AC48F2" w:rsidRPr="00D415A2">
        <w:t>. T</w:t>
      </w:r>
      <w:r w:rsidRPr="00D415A2">
        <w:t xml:space="preserve">he Supreme Court ultimately agreed that actual harm was the proper standard, at least in </w:t>
      </w:r>
      <w:proofErr w:type="gramStart"/>
      <w:r w:rsidRPr="00D415A2">
        <w:t>a private</w:t>
      </w:r>
      <w:proofErr w:type="gramEnd"/>
      <w:r w:rsidRPr="00D415A2">
        <w:t xml:space="preserve"> civil action under the FTDA.</w:t>
      </w:r>
      <w:r w:rsidR="00D415A2" w:rsidRPr="00D415A2">
        <w:rPr>
          <w:vertAlign w:val="superscript"/>
        </w:rPr>
        <w:footnoteReference w:id="78"/>
      </w:r>
      <w:r w:rsidRPr="00D415A2">
        <w:t xml:space="preserve"> That decision led to a major revision of the FTDA in 2006, which is discussed in the next section.</w:t>
      </w:r>
    </w:p>
    <w:p w14:paraId="70DAF0C0" w14:textId="3F712786" w:rsidR="00D415A2" w:rsidRPr="00D415A2" w:rsidRDefault="00B3596F" w:rsidP="004305AA">
      <w:pPr>
        <w:pStyle w:val="BHead1"/>
      </w:pPr>
      <w:r>
        <w:t>6.</w:t>
      </w:r>
      <w:r w:rsidR="00D415A2" w:rsidRPr="00B3596F">
        <w:rPr>
          <w:rStyle w:val="BBNAidChar"/>
          <w:rFonts w:eastAsiaTheme="majorEastAsia"/>
        </w:rPr>
        <w:t>III</w:t>
      </w:r>
      <w:r w:rsidR="00D415A2" w:rsidRPr="00D415A2">
        <w:t>.</w:t>
      </w:r>
      <w:r>
        <w:t xml:space="preserve">  </w:t>
      </w:r>
      <w:r w:rsidR="00D415A2" w:rsidRPr="00D415A2">
        <w:t>Reform of the FTDA: Changes Effected by the Trademark Dilution Revision Act of 2006</w:t>
      </w:r>
    </w:p>
    <w:p w14:paraId="22280E7D" w14:textId="790C325F" w:rsidR="00AC48F2" w:rsidRPr="00D415A2" w:rsidRDefault="00B41CE6" w:rsidP="00D415A2">
      <w:pPr>
        <w:pStyle w:val="BNormal"/>
      </w:pPr>
      <w:r w:rsidRPr="00D415A2">
        <w:t>The U.S</w:t>
      </w:r>
      <w:r w:rsidR="00AC48F2" w:rsidRPr="00D415A2">
        <w:t>. S</w:t>
      </w:r>
      <w:r w:rsidRPr="00D415A2">
        <w:t xml:space="preserve">upreme Court’s decision in </w:t>
      </w:r>
      <w:r w:rsidR="00AC48F2" w:rsidRPr="00241331">
        <w:rPr>
          <w:i/>
          <w:iCs/>
        </w:rPr>
        <w:t>Moseley v. V Secret Catalogue</w:t>
      </w:r>
      <w:r w:rsidRPr="00D415A2">
        <w:t>,</w:t>
      </w:r>
      <w:r w:rsidR="00D415A2" w:rsidRPr="00D415A2">
        <w:rPr>
          <w:vertAlign w:val="superscript"/>
        </w:rPr>
        <w:footnoteReference w:id="79"/>
      </w:r>
      <w:r w:rsidRPr="00D415A2">
        <w:t xml:space="preserve"> which interpreted the FTDA as requiring a showing of “actual dilution,” not simply “likelihood of dilution,” provided the impetus to amend the statute</w:t>
      </w:r>
      <w:r w:rsidR="00AC48F2" w:rsidRPr="00D415A2">
        <w:t>. W</w:t>
      </w:r>
      <w:r w:rsidRPr="00D415A2">
        <w:t>ithin a month of the Supreme Court’s decision, the International Trademark Association appointed a committee to draft proposals for amending the FTDA</w:t>
      </w:r>
      <w:r w:rsidR="00AC48F2" w:rsidRPr="00D415A2">
        <w:t>. T</w:t>
      </w:r>
      <w:r w:rsidRPr="00D415A2">
        <w:t>hat committee’s report became the basis for a bill introduced in Congress, H.R</w:t>
      </w:r>
      <w:r w:rsidR="00AC48F2" w:rsidRPr="00D415A2">
        <w:t>. 6</w:t>
      </w:r>
      <w:r w:rsidRPr="00D415A2">
        <w:t>83</w:t>
      </w:r>
      <w:r w:rsidR="00AC48F2" w:rsidRPr="00D415A2">
        <w:t>. A</w:t>
      </w:r>
      <w:r w:rsidRPr="00D415A2">
        <w:t>lthough hearings on revising the dilution statute were held in 2004,</w:t>
      </w:r>
      <w:r w:rsidR="00D415A2" w:rsidRPr="00D415A2">
        <w:rPr>
          <w:vertAlign w:val="superscript"/>
        </w:rPr>
        <w:footnoteReference w:id="80"/>
      </w:r>
      <w:r w:rsidRPr="00D415A2">
        <w:t xml:space="preserve"> Congress did not seriously begin to consider legislation until early 2005</w:t>
      </w:r>
      <w:r w:rsidR="00AC48F2" w:rsidRPr="00D415A2">
        <w:t>. T</w:t>
      </w:r>
      <w:r w:rsidRPr="00D415A2">
        <w:t>he original bill, entitled the Trademark Dilution Revision Act of 2005, was introduced on February 9, 2005.</w:t>
      </w:r>
      <w:r w:rsidR="00D415A2" w:rsidRPr="00D415A2">
        <w:rPr>
          <w:vertAlign w:val="superscript"/>
        </w:rPr>
        <w:footnoteReference w:id="81"/>
      </w:r>
      <w:r w:rsidRPr="00D415A2">
        <w:t xml:space="preserve"> A hearing was held on February 17 before the Subcommittee on Courts, the Internet, and Intellectual Property of the House Judiciary Committee</w:t>
      </w:r>
      <w:r w:rsidR="00AC48F2" w:rsidRPr="00D415A2">
        <w:t>. F</w:t>
      </w:r>
      <w:r w:rsidRPr="00D415A2">
        <w:t>our witnesses testified at this hearing.</w:t>
      </w:r>
      <w:r w:rsidR="00D415A2" w:rsidRPr="00D415A2">
        <w:rPr>
          <w:vertAlign w:val="superscript"/>
        </w:rPr>
        <w:footnoteReference w:id="82"/>
      </w:r>
      <w:r w:rsidRPr="00D415A2">
        <w:t xml:space="preserve"> The proposed bill was passed, in amended form, by the subcommittee on March 3</w:t>
      </w:r>
      <w:r w:rsidR="00AC48F2" w:rsidRPr="00D415A2">
        <w:t>. T</w:t>
      </w:r>
      <w:r w:rsidRPr="00D415A2">
        <w:t>he full Judiciary Committee approved the bill on March 9, and the House passed it on April 19, 2005.</w:t>
      </w:r>
      <w:r w:rsidR="00D415A2" w:rsidRPr="00D415A2">
        <w:rPr>
          <w:vertAlign w:val="superscript"/>
        </w:rPr>
        <w:footnoteReference w:id="83"/>
      </w:r>
      <w:r w:rsidRPr="00D415A2">
        <w:t xml:space="preserve"> The speed with which H.R</w:t>
      </w:r>
      <w:r w:rsidR="00AC48F2" w:rsidRPr="00D415A2">
        <w:t>. 6</w:t>
      </w:r>
      <w:r w:rsidRPr="00D415A2">
        <w:t>83 passed through a subcommittee, the full committee, and the full House suggested quick passage by the Senate</w:t>
      </w:r>
      <w:r w:rsidR="00AC48F2" w:rsidRPr="00D415A2">
        <w:t>. I</w:t>
      </w:r>
      <w:r w:rsidRPr="00D415A2">
        <w:t>n fact, it took a year before the Senate acted by passing an amended version of the House bill</w:t>
      </w:r>
      <w:r w:rsidR="00AC48F2" w:rsidRPr="00D415A2">
        <w:t>. W</w:t>
      </w:r>
      <w:r w:rsidRPr="00D415A2">
        <w:t>hile the version passed by the Senate contained some interesting changes, it was not conceptually different from the House version.</w:t>
      </w:r>
    </w:p>
    <w:p w14:paraId="2C05C3A3" w14:textId="328E3B80" w:rsidR="00AC48F2" w:rsidRPr="00D415A2" w:rsidRDefault="00B41CE6" w:rsidP="00D415A2">
      <w:pPr>
        <w:pStyle w:val="BNormal"/>
      </w:pPr>
      <w:r w:rsidRPr="00D415A2">
        <w:t>Finally, on September 26, 2006, the House adopted the Senate version and sent it to the President</w:t>
      </w:r>
      <w:r w:rsidR="00AC48F2" w:rsidRPr="00D415A2">
        <w:t>. T</w:t>
      </w:r>
      <w:r w:rsidRPr="00D415A2">
        <w:t>he Trademark Dilution Revision Act of 2006 was signed, and became effective, on October 6, 2006</w:t>
      </w:r>
      <w:r w:rsidR="00AC48F2" w:rsidRPr="00D415A2">
        <w:t>. T</w:t>
      </w:r>
      <w:r w:rsidRPr="00D415A2">
        <w:t>he most prominent change was in the standard of dilution</w:t>
      </w:r>
      <w:r w:rsidR="00AC48F2" w:rsidRPr="00D415A2">
        <w:t>. T</w:t>
      </w:r>
      <w:r w:rsidRPr="00D415A2">
        <w:t>he TDRA made clear that likelihood of dilution was to be the standard.</w:t>
      </w:r>
      <w:r w:rsidR="00D415A2" w:rsidRPr="00D415A2">
        <w:rPr>
          <w:vertAlign w:val="superscript"/>
        </w:rPr>
        <w:footnoteReference w:id="84"/>
      </w:r>
      <w:r w:rsidRPr="00D415A2">
        <w:t xml:space="preserve"> But the TDRA was more than a minor amendment</w:t>
      </w:r>
      <w:r w:rsidR="00AC48F2" w:rsidRPr="00D415A2">
        <w:t>; i</w:t>
      </w:r>
      <w:r w:rsidRPr="00D415A2">
        <w:t>t replaced the FTDA with a substantially revised statutory provision.</w:t>
      </w:r>
    </w:p>
    <w:p w14:paraId="4A7F0059" w14:textId="33436A6E" w:rsidR="00AC48F2" w:rsidRPr="00D415A2" w:rsidRDefault="00B41CE6" w:rsidP="00D415A2">
      <w:pPr>
        <w:pStyle w:val="BNormal"/>
      </w:pPr>
      <w:r w:rsidRPr="00D415A2">
        <w:t>Although the impetus for the amendments was the Supreme Court’s interpretation that the statute only reached instances of actual dilution, the drafters of the amendments decided to address several other issues, including issues that divided the circuits when interpreting the original FTDA</w:t>
      </w:r>
      <w:r w:rsidR="00AC48F2" w:rsidRPr="00D415A2">
        <w:t>. W</w:t>
      </w:r>
      <w:r w:rsidRPr="00D415A2">
        <w:t>hat follows is a brief discussion of the most significant changes made by the TDRA</w:t>
      </w:r>
      <w:r w:rsidR="00AC48F2" w:rsidRPr="00D415A2">
        <w:t>. (</w:t>
      </w:r>
      <w:r w:rsidRPr="00D415A2">
        <w:t>The effect of the amendments is discussed in greater depth in Chapters 7–11.) Differences between the House and Senate versions noted below may prove useful as interpretive guides, since the House ultimately passed the Senate version.</w:t>
      </w:r>
    </w:p>
    <w:p w14:paraId="758B7FA2" w14:textId="7306049C" w:rsidR="00AC48F2" w:rsidRPr="00D415A2" w:rsidRDefault="00B3596F" w:rsidP="004305AA">
      <w:pPr>
        <w:pStyle w:val="BHead2"/>
      </w:pPr>
      <w:r>
        <w:t>6.III.</w:t>
      </w:r>
      <w:r w:rsidR="00D415A2" w:rsidRPr="00B3596F">
        <w:rPr>
          <w:rStyle w:val="BBNAidChar"/>
          <w:rFonts w:eastAsiaTheme="majorEastAsia"/>
        </w:rPr>
        <w:t>A</w:t>
      </w:r>
      <w:r w:rsidR="00D415A2" w:rsidRPr="00D415A2">
        <w:t>.</w:t>
      </w:r>
      <w:r>
        <w:t> </w:t>
      </w:r>
      <w:r w:rsidR="00D415A2" w:rsidRPr="00D415A2">
        <w:tab/>
        <w:t>Analyzing Dilution</w:t>
      </w:r>
    </w:p>
    <w:p w14:paraId="627BB089" w14:textId="48EBD912" w:rsidR="00AC48F2" w:rsidRPr="00D415A2" w:rsidRDefault="00B3596F" w:rsidP="004305AA">
      <w:pPr>
        <w:pStyle w:val="BHead3"/>
      </w:pPr>
      <w:proofErr w:type="gramStart"/>
      <w:r>
        <w:t>6.III.A.</w:t>
      </w:r>
      <w:proofErr w:type="gramEnd"/>
      <w:r w:rsidR="00D415A2" w:rsidRPr="00B3596F">
        <w:rPr>
          <w:rStyle w:val="BBNAidChar"/>
          <w:rFonts w:eastAsiaTheme="majorEastAsia"/>
        </w:rPr>
        <w:t>1</w:t>
      </w:r>
      <w:r w:rsidR="00D415A2" w:rsidRPr="00D415A2">
        <w:t>.</w:t>
      </w:r>
      <w:r>
        <w:t> </w:t>
      </w:r>
      <w:r w:rsidR="00D415A2" w:rsidRPr="00D415A2">
        <w:tab/>
        <w:t>Changing From “Causes Dilution” to “Likelihood of Dilution”</w:t>
      </w:r>
    </w:p>
    <w:p w14:paraId="5B57E8BD" w14:textId="718BC904" w:rsidR="00AC48F2" w:rsidRPr="00D415A2" w:rsidRDefault="00B41CE6" w:rsidP="00D415A2">
      <w:pPr>
        <w:pStyle w:val="BNormal"/>
      </w:pPr>
      <w:r w:rsidRPr="00D415A2">
        <w:t xml:space="preserve">In </w:t>
      </w:r>
      <w:r w:rsidR="00AC48F2" w:rsidRPr="00682DCC">
        <w:rPr>
          <w:i/>
          <w:iCs/>
        </w:rPr>
        <w:t>Moseley v. V Secret Catalogue</w:t>
      </w:r>
      <w:r w:rsidRPr="00D415A2">
        <w:t>, the Supreme Court interpreted the “causes dilution” language of the FTDA to require a showing of “actual dilution” rather than likelihood of dilution.</w:t>
      </w:r>
      <w:r w:rsidR="00D415A2" w:rsidRPr="00D415A2">
        <w:rPr>
          <w:vertAlign w:val="superscript"/>
        </w:rPr>
        <w:footnoteReference w:id="85"/>
      </w:r>
      <w:r w:rsidRPr="00D415A2">
        <w:t xml:space="preserve"> Although the Court indicated that actual dilution could be shown by “circumstantial evidence,”</w:t>
      </w:r>
      <w:r w:rsidR="00D415A2" w:rsidRPr="00D415A2">
        <w:rPr>
          <w:vertAlign w:val="superscript"/>
        </w:rPr>
        <w:footnoteReference w:id="86"/>
      </w:r>
      <w:r w:rsidRPr="00D415A2">
        <w:t xml:space="preserve"> it did not give much guidance as to how that could be accomplished, and its decision clearly curtailed the use of the FTDA.</w:t>
      </w:r>
      <w:r w:rsidR="00D415A2" w:rsidRPr="00D415A2">
        <w:rPr>
          <w:vertAlign w:val="superscript"/>
        </w:rPr>
        <w:footnoteReference w:id="87"/>
      </w:r>
      <w:r w:rsidRPr="00D415A2">
        <w:t xml:space="preserve"> The Trademark Dilution Revision Act changed the standard for showing dilution to likelihood of dilution,</w:t>
      </w:r>
      <w:r w:rsidR="00D415A2" w:rsidRPr="00D415A2">
        <w:rPr>
          <w:vertAlign w:val="superscript"/>
        </w:rPr>
        <w:footnoteReference w:id="88"/>
      </w:r>
      <w:r w:rsidRPr="00D415A2">
        <w:t xml:space="preserve"> which makes it easier for owners of famous marks to successfully prosecute dilution claims.</w:t>
      </w:r>
    </w:p>
    <w:p w14:paraId="2F9C3884" w14:textId="1AF35FE2" w:rsidR="00AC48F2" w:rsidRPr="00D415A2" w:rsidRDefault="00B3596F" w:rsidP="004305AA">
      <w:pPr>
        <w:pStyle w:val="BHead3"/>
      </w:pPr>
      <w:proofErr w:type="gramStart"/>
      <w:r>
        <w:t>6.III.A.</w:t>
      </w:r>
      <w:proofErr w:type="gramEnd"/>
      <w:r w:rsidR="00D415A2" w:rsidRPr="00B3596F">
        <w:rPr>
          <w:rStyle w:val="BBNAidChar"/>
          <w:rFonts w:eastAsiaTheme="majorEastAsia"/>
        </w:rPr>
        <w:t>2</w:t>
      </w:r>
      <w:r w:rsidR="00D415A2" w:rsidRPr="00D415A2">
        <w:t>.</w:t>
      </w:r>
      <w:r>
        <w:t> </w:t>
      </w:r>
      <w:r w:rsidR="00D415A2" w:rsidRPr="00D415A2">
        <w:tab/>
        <w:t>Factors for Analyzing Dilution by Blurring</w:t>
      </w:r>
    </w:p>
    <w:p w14:paraId="2137E0F1" w14:textId="225CF19E" w:rsidR="00AC48F2" w:rsidRPr="00D415A2" w:rsidRDefault="00B41CE6" w:rsidP="00D415A2">
      <w:pPr>
        <w:pStyle w:val="BNormal"/>
      </w:pPr>
      <w:r w:rsidRPr="00D415A2">
        <w:t xml:space="preserve">In addition to changing the existing standard, the TDRA sets </w:t>
      </w:r>
      <w:proofErr w:type="gramStart"/>
      <w:r w:rsidRPr="00D415A2">
        <w:t>forth six</w:t>
      </w:r>
      <w:proofErr w:type="gramEnd"/>
      <w:r w:rsidRPr="00D415A2">
        <w:t xml:space="preserve"> factors to consider when determining whether a likelihood of dilution by blurring exists.</w:t>
      </w:r>
      <w:r w:rsidR="00D415A2" w:rsidRPr="00D415A2">
        <w:rPr>
          <w:vertAlign w:val="superscript"/>
        </w:rPr>
        <w:footnoteReference w:id="89"/>
      </w:r>
      <w:r w:rsidRPr="00D415A2">
        <w:t xml:space="preserve"> The factors are not mandatory, nor are they intended to be exhaustive</w:t>
      </w:r>
      <w:r w:rsidR="00AC48F2" w:rsidRPr="00D415A2">
        <w:t>. T</w:t>
      </w:r>
      <w:r w:rsidRPr="00D415A2">
        <w:t xml:space="preserve">hus, they operate in a manner </w:t>
      </w:r>
      <w:proofErr w:type="gramStart"/>
      <w:r w:rsidRPr="00D415A2">
        <w:t>similar to</w:t>
      </w:r>
      <w:proofErr w:type="gramEnd"/>
      <w:r w:rsidRPr="00D415A2">
        <w:t xml:space="preserve"> that used in the standard analysis of likelihood of confusion</w:t>
      </w:r>
      <w:r w:rsidR="00AC48F2" w:rsidRPr="00D415A2">
        <w:t>. T</w:t>
      </w:r>
      <w:r w:rsidRPr="00D415A2">
        <w:t>he addition of factors is a change from the original FTDA, which contained no guidance for courts when determining the existence of actual dilution</w:t>
      </w:r>
      <w:r w:rsidR="00AC48F2" w:rsidRPr="00D415A2">
        <w:t>. (</w:t>
      </w:r>
      <w:r w:rsidRPr="00D415A2">
        <w:t xml:space="preserve">No factors were included in the TDRA’s definition of dilution by </w:t>
      </w:r>
      <w:proofErr w:type="spellStart"/>
      <w:r w:rsidRPr="00D415A2">
        <w:t>tarnishment</w:t>
      </w:r>
      <w:proofErr w:type="spellEnd"/>
      <w:r w:rsidRPr="00D415A2">
        <w:t>.)</w:t>
      </w:r>
    </w:p>
    <w:p w14:paraId="06152033" w14:textId="05B21A80" w:rsidR="00AC48F2" w:rsidRPr="00D415A2" w:rsidRDefault="00B3596F" w:rsidP="004305AA">
      <w:pPr>
        <w:pStyle w:val="BHead2"/>
      </w:pPr>
      <w:r>
        <w:t>6.III.</w:t>
      </w:r>
      <w:r w:rsidR="00D415A2" w:rsidRPr="00B3596F">
        <w:rPr>
          <w:rStyle w:val="BBNAidChar"/>
          <w:rFonts w:eastAsiaTheme="majorEastAsia"/>
        </w:rPr>
        <w:t>B</w:t>
      </w:r>
      <w:r w:rsidR="00D415A2" w:rsidRPr="00D415A2">
        <w:t>.</w:t>
      </w:r>
      <w:r>
        <w:t> </w:t>
      </w:r>
      <w:r w:rsidR="00D415A2" w:rsidRPr="00D415A2">
        <w:tab/>
        <w:t xml:space="preserve">Defining Dilution and Making </w:t>
      </w:r>
      <w:proofErr w:type="spellStart"/>
      <w:r w:rsidR="00D415A2" w:rsidRPr="00D415A2">
        <w:t>Tarnishment</w:t>
      </w:r>
      <w:proofErr w:type="spellEnd"/>
      <w:r w:rsidR="00D415A2" w:rsidRPr="00D415A2">
        <w:t xml:space="preserve"> an Express Cause of Action</w:t>
      </w:r>
    </w:p>
    <w:p w14:paraId="0D8C5517" w14:textId="7C2E0D34" w:rsidR="00AC48F2" w:rsidRPr="00D415A2" w:rsidRDefault="00B41CE6" w:rsidP="00D415A2">
      <w:pPr>
        <w:pStyle w:val="BNormal"/>
      </w:pPr>
      <w:r w:rsidRPr="00D415A2">
        <w:t xml:space="preserve">In its </w:t>
      </w:r>
      <w:r w:rsidR="00AC48F2" w:rsidRPr="00682DCC">
        <w:rPr>
          <w:i/>
          <w:iCs/>
        </w:rPr>
        <w:t>Moseley</w:t>
      </w:r>
      <w:r w:rsidRPr="00D415A2">
        <w:t xml:space="preserve"> decision, the Supreme Court cast doubt on whether </w:t>
      </w:r>
      <w:proofErr w:type="spellStart"/>
      <w:r w:rsidRPr="00D415A2">
        <w:t>tarnishment</w:t>
      </w:r>
      <w:proofErr w:type="spellEnd"/>
      <w:r w:rsidRPr="00D415A2">
        <w:t xml:space="preserve"> claims were within the definition of dilution in the FTDA.</w:t>
      </w:r>
      <w:r w:rsidR="00D415A2" w:rsidRPr="00D415A2">
        <w:rPr>
          <w:vertAlign w:val="superscript"/>
        </w:rPr>
        <w:footnoteReference w:id="90"/>
      </w:r>
      <w:r w:rsidRPr="00D415A2">
        <w:t xml:space="preserve"> The TDRA expressly provides for two separate causes of action</w:t>
      </w:r>
      <w:r w:rsidR="00AC48F2" w:rsidRPr="00D415A2">
        <w:t>: “</w:t>
      </w:r>
      <w:r w:rsidRPr="00D415A2">
        <w:t xml:space="preserve">dilution by blurring” and “dilution by </w:t>
      </w:r>
      <w:proofErr w:type="spellStart"/>
      <w:r w:rsidRPr="00D415A2">
        <w:t>tarnishment</w:t>
      </w:r>
      <w:proofErr w:type="spellEnd"/>
      <w:r w:rsidRPr="00D415A2">
        <w:t>,” each of which is separately defined in the amended statute.</w:t>
      </w:r>
      <w:r w:rsidR="00D415A2" w:rsidRPr="00D415A2">
        <w:rPr>
          <w:vertAlign w:val="superscript"/>
        </w:rPr>
        <w:footnoteReference w:id="91"/>
      </w:r>
      <w:r w:rsidRPr="00D415A2">
        <w:t xml:space="preserve"> Dilution by blurring is defined as an “association</w:t>
      </w:r>
      <w:r w:rsidR="00AC48F2" w:rsidRPr="00D415A2">
        <w:t xml:space="preserve"> </w:t>
      </w:r>
      <w:r w:rsidRPr="00D415A2">
        <w:t>…</w:t>
      </w:r>
      <w:r w:rsidR="00AC48F2" w:rsidRPr="00D415A2">
        <w:t xml:space="preserve"> </w:t>
      </w:r>
      <w:r w:rsidRPr="00D415A2">
        <w:t>that impairs the distinctiveness of the famous mark.”</w:t>
      </w:r>
      <w:r w:rsidR="00D415A2" w:rsidRPr="00D415A2">
        <w:rPr>
          <w:vertAlign w:val="superscript"/>
        </w:rPr>
        <w:footnoteReference w:id="92"/>
      </w:r>
      <w:r w:rsidRPr="00D415A2">
        <w:t xml:space="preserve"> Dilution by </w:t>
      </w:r>
      <w:proofErr w:type="spellStart"/>
      <w:r w:rsidRPr="00D415A2">
        <w:t>tarnishment</w:t>
      </w:r>
      <w:proofErr w:type="spellEnd"/>
      <w:r w:rsidRPr="00D415A2">
        <w:t xml:space="preserve"> is an association “that harms the reputation of the famous mark.”</w:t>
      </w:r>
      <w:r w:rsidR="00D415A2" w:rsidRPr="00D415A2">
        <w:rPr>
          <w:vertAlign w:val="superscript"/>
        </w:rPr>
        <w:footnoteReference w:id="93"/>
      </w:r>
      <w:r w:rsidRPr="00D415A2">
        <w:t xml:space="preserve"> As noted in Section III.A.2, above, the definition of dilution by blurring contains six factors to aid in the analysis</w:t>
      </w:r>
      <w:r w:rsidR="00AC48F2" w:rsidRPr="00D415A2">
        <w:t>; n</w:t>
      </w:r>
      <w:r w:rsidRPr="00D415A2">
        <w:t xml:space="preserve">o such factors appear in the definition of dilution by </w:t>
      </w:r>
      <w:proofErr w:type="spellStart"/>
      <w:r w:rsidRPr="00D415A2">
        <w:t>tarnishment</w:t>
      </w:r>
      <w:proofErr w:type="spellEnd"/>
      <w:r w:rsidRPr="00D415A2">
        <w:t>.</w:t>
      </w:r>
    </w:p>
    <w:p w14:paraId="7FBFB34F" w14:textId="482E8810" w:rsidR="00AC48F2" w:rsidRPr="00D415A2" w:rsidRDefault="00B41CE6" w:rsidP="00D415A2">
      <w:pPr>
        <w:pStyle w:val="BNormal"/>
      </w:pPr>
      <w:r w:rsidRPr="00D415A2">
        <w:t xml:space="preserve">The definitions of dilution by blurring and dilution by </w:t>
      </w:r>
      <w:proofErr w:type="spellStart"/>
      <w:r w:rsidRPr="00D415A2">
        <w:t>tarnishment</w:t>
      </w:r>
      <w:proofErr w:type="spellEnd"/>
      <w:r w:rsidRPr="00D415A2">
        <w:t xml:space="preserve"> also contain a potential limiting feature</w:t>
      </w:r>
      <w:r w:rsidR="00AC48F2" w:rsidRPr="00D415A2">
        <w:t>. B</w:t>
      </w:r>
      <w:r w:rsidRPr="00D415A2">
        <w:t xml:space="preserve">oth definitions refer to an “association arising from the similarity between </w:t>
      </w:r>
      <w:r w:rsidR="00AC48F2" w:rsidRPr="00682DCC">
        <w:rPr>
          <w:i/>
          <w:iCs/>
        </w:rPr>
        <w:t>a mark or trade name</w:t>
      </w:r>
      <w:r w:rsidRPr="00D415A2">
        <w:t xml:space="preserve"> and a famous mark</w:t>
      </w:r>
      <w:r w:rsidR="00AC48F2" w:rsidRPr="00D415A2">
        <w:t>. …</w:t>
      </w:r>
      <w:r w:rsidRPr="00D415A2">
        <w:t>”</w:t>
      </w:r>
      <w:r w:rsidR="00D415A2" w:rsidRPr="00D415A2">
        <w:rPr>
          <w:vertAlign w:val="superscript"/>
        </w:rPr>
        <w:footnoteReference w:id="94"/>
      </w:r>
      <w:r w:rsidRPr="00D415A2">
        <w:t xml:space="preserve"> To the same effect, the amended Section 43(c)(1) gives the owner of a famous mark relief against “another person who</w:t>
      </w:r>
      <w:r w:rsidR="00AC48F2" w:rsidRPr="00D415A2">
        <w:t xml:space="preserve"> </w:t>
      </w:r>
      <w:r w:rsidRPr="00D415A2">
        <w:t>…</w:t>
      </w:r>
      <w:r w:rsidR="00AC48F2" w:rsidRPr="00D415A2">
        <w:t xml:space="preserve"> </w:t>
      </w:r>
      <w:r w:rsidRPr="00D415A2">
        <w:t xml:space="preserve">commences use of </w:t>
      </w:r>
      <w:r w:rsidR="00AC48F2" w:rsidRPr="00682DCC">
        <w:rPr>
          <w:i/>
          <w:iCs/>
        </w:rPr>
        <w:t>a mark or trade name</w:t>
      </w:r>
      <w:r w:rsidRPr="00D415A2">
        <w:t xml:space="preserve"> in commerce that is likely to cause dilution</w:t>
      </w:r>
      <w:r w:rsidR="00AC48F2" w:rsidRPr="00D415A2">
        <w:t xml:space="preserve"> </w:t>
      </w:r>
      <w:r w:rsidRPr="00D415A2">
        <w:t>…</w:t>
      </w:r>
      <w:r w:rsidR="00AC48F2" w:rsidRPr="00D415A2">
        <w:t xml:space="preserve"> </w:t>
      </w:r>
      <w:r w:rsidRPr="00D415A2">
        <w:t>of the famous mark</w:t>
      </w:r>
      <w:r w:rsidR="00AC48F2" w:rsidRPr="00D415A2">
        <w:t xml:space="preserve"> </w:t>
      </w:r>
      <w:r w:rsidRPr="00D415A2">
        <w:t>…</w:t>
      </w:r>
      <w:r w:rsidR="00AC48F2" w:rsidRPr="00D415A2">
        <w:t xml:space="preserve"> </w:t>
      </w:r>
      <w:r w:rsidRPr="00D415A2">
        <w:t>.”</w:t>
      </w:r>
      <w:r w:rsidR="00D415A2" w:rsidRPr="00D415A2">
        <w:rPr>
          <w:vertAlign w:val="superscript"/>
        </w:rPr>
        <w:footnoteReference w:id="95"/>
      </w:r>
      <w:r w:rsidRPr="00D415A2">
        <w:t xml:space="preserve"> A fair reading of this language is that only a use </w:t>
      </w:r>
      <w:r w:rsidR="00AC48F2" w:rsidRPr="00682DCC">
        <w:rPr>
          <w:i/>
          <w:iCs/>
        </w:rPr>
        <w:t>as a mark or trade name</w:t>
      </w:r>
      <w:r w:rsidRPr="00D415A2">
        <w:t xml:space="preserve"> can lead to liability for dilution.</w:t>
      </w:r>
      <w:r w:rsidR="00D415A2" w:rsidRPr="00D415A2">
        <w:rPr>
          <w:vertAlign w:val="superscript"/>
        </w:rPr>
        <w:footnoteReference w:id="96"/>
      </w:r>
      <w:r w:rsidRPr="00D415A2">
        <w:t xml:space="preserve"> However, this creates an odd linguistic contrast with a newly worded exclusion from liability (discussed in Section III.D, below), which specifically excludes from liability certain uses “other than as a designation of source for the person’s own goods or services.”</w:t>
      </w:r>
      <w:r w:rsidR="00D415A2" w:rsidRPr="00D415A2">
        <w:rPr>
          <w:vertAlign w:val="superscript"/>
        </w:rPr>
        <w:footnoteReference w:id="97"/>
      </w:r>
      <w:r w:rsidRPr="00D415A2">
        <w:t xml:space="preserve"> If only trademark uses are subject to liability for dilution, then the exclusion for non-trademark uses seems superfluous</w:t>
      </w:r>
      <w:r w:rsidR="00AC48F2" w:rsidRPr="00D415A2">
        <w:t>. T</w:t>
      </w:r>
      <w:r w:rsidRPr="00D415A2">
        <w:t>he bill originally introduced in the House clearly required the diluting use to be a trademark use,</w:t>
      </w:r>
      <w:r w:rsidR="00D415A2" w:rsidRPr="00D415A2">
        <w:rPr>
          <w:vertAlign w:val="superscript"/>
        </w:rPr>
        <w:footnoteReference w:id="98"/>
      </w:r>
      <w:r w:rsidRPr="00D415A2">
        <w:t xml:space="preserve"> but the subcommittee’s amendments left the meaning less clear.</w:t>
      </w:r>
      <w:r w:rsidR="00D415A2" w:rsidRPr="00D415A2">
        <w:rPr>
          <w:vertAlign w:val="superscript"/>
        </w:rPr>
        <w:footnoteReference w:id="99"/>
      </w:r>
    </w:p>
    <w:p w14:paraId="7F4DF485" w14:textId="1CAF5939" w:rsidR="00AC48F2" w:rsidRPr="00D415A2" w:rsidRDefault="00B3596F" w:rsidP="004305AA">
      <w:pPr>
        <w:pStyle w:val="BHead2"/>
      </w:pPr>
      <w:r>
        <w:t>6.III.</w:t>
      </w:r>
      <w:r w:rsidR="00D415A2" w:rsidRPr="00B3596F">
        <w:rPr>
          <w:rStyle w:val="BBNAidChar"/>
          <w:rFonts w:eastAsiaTheme="majorEastAsia"/>
        </w:rPr>
        <w:t>C</w:t>
      </w:r>
      <w:r w:rsidR="00D415A2" w:rsidRPr="00D415A2">
        <w:t>.</w:t>
      </w:r>
      <w:r>
        <w:t> </w:t>
      </w:r>
      <w:r w:rsidR="00D415A2" w:rsidRPr="00D415A2">
        <w:tab/>
        <w:t>Determining Fame</w:t>
      </w:r>
    </w:p>
    <w:p w14:paraId="209D7978" w14:textId="714B9472" w:rsidR="00AC48F2" w:rsidRPr="00D415A2" w:rsidRDefault="00B41CE6" w:rsidP="00D415A2">
      <w:pPr>
        <w:pStyle w:val="BNormal"/>
      </w:pPr>
      <w:r w:rsidRPr="00D415A2">
        <w:t>The TDRA changed the standard by which courts determine whether a mark is famous</w:t>
      </w:r>
      <w:r w:rsidR="00AC48F2" w:rsidRPr="00D415A2">
        <w:t>. A</w:t>
      </w:r>
      <w:r w:rsidRPr="00D415A2">
        <w:t xml:space="preserve">s discussed fully in Chapter 8, this determination is critical to the cause of action and </w:t>
      </w:r>
      <w:proofErr w:type="gramStart"/>
      <w:r w:rsidRPr="00D415A2">
        <w:t>had</w:t>
      </w:r>
      <w:proofErr w:type="gramEnd"/>
      <w:r w:rsidRPr="00D415A2">
        <w:t xml:space="preserve"> been a source of division in the courts</w:t>
      </w:r>
      <w:r w:rsidR="00AC48F2" w:rsidRPr="00D415A2">
        <w:t>. U</w:t>
      </w:r>
      <w:r w:rsidRPr="00D415A2">
        <w:t>nlike the original version of the FTDA, the TDRA contains a definition of what constitutes a famous mark</w:t>
      </w:r>
      <w:r w:rsidR="00AC48F2" w:rsidRPr="00D415A2">
        <w:t>. T</w:t>
      </w:r>
      <w:r w:rsidRPr="00D415A2">
        <w:t>he TDRA defines a famous mark as one that “is widely recognized by the general consuming public of the United States as a designation of source of the goods or services of the mark’s owner.”</w:t>
      </w:r>
      <w:r w:rsidR="00D415A2" w:rsidRPr="00D415A2">
        <w:rPr>
          <w:vertAlign w:val="superscript"/>
        </w:rPr>
        <w:footnoteReference w:id="100"/>
      </w:r>
      <w:r w:rsidRPr="00D415A2">
        <w:t xml:space="preserve"> In addition, the amended statute replaced the FTDA’s factors for determining whether a mark is “distinctive and famous” with fewer factors and eliminated the “distinctive and famous” language</w:t>
      </w:r>
      <w:r w:rsidR="00AC48F2" w:rsidRPr="00D415A2">
        <w:t>. (</w:t>
      </w:r>
      <w:r w:rsidRPr="00D415A2">
        <w:t>The amended statute protects a “famous mark that is distinctive” and refers to a determination whether “a mark possesses the requisite degree of recognition.”</w:t>
      </w:r>
      <w:r w:rsidR="00D415A2" w:rsidRPr="00D415A2">
        <w:rPr>
          <w:vertAlign w:val="superscript"/>
        </w:rPr>
        <w:footnoteReference w:id="101"/>
      </w:r>
      <w:r w:rsidRPr="00D415A2">
        <w:t>) In place of the original eight factors, we now have the following four factors:</w:t>
      </w:r>
    </w:p>
    <w:p w14:paraId="2A475FC5" w14:textId="67D8DA9A" w:rsidR="00AC48F2" w:rsidRPr="00D415A2" w:rsidRDefault="00B41CE6" w:rsidP="00C64FB6">
      <w:pPr>
        <w:pStyle w:val="BListitemorig"/>
      </w:pPr>
      <w:r w:rsidRPr="00D415A2">
        <w:t>(1)</w:t>
      </w:r>
      <w:r w:rsidRPr="00D415A2">
        <w:tab/>
        <w:t>the “duration, extent, and geographic reach of advertising and publicity of the mark, whether advertised or publicized by the owner or third parties</w:t>
      </w:r>
      <w:proofErr w:type="gramStart"/>
      <w:r w:rsidRPr="00D415A2">
        <w:t>”;</w:t>
      </w:r>
      <w:proofErr w:type="gramEnd"/>
    </w:p>
    <w:p w14:paraId="05F8B647" w14:textId="0547349E" w:rsidR="00AC48F2" w:rsidRPr="00D415A2" w:rsidRDefault="00B41CE6" w:rsidP="00C64FB6">
      <w:pPr>
        <w:pStyle w:val="BListitemorig"/>
      </w:pPr>
      <w:r w:rsidRPr="00D415A2">
        <w:t>(2)</w:t>
      </w:r>
      <w:r w:rsidRPr="00D415A2">
        <w:tab/>
        <w:t>the “amount, volume, and geographic extent of sales of goods or services offered under the mark</w:t>
      </w:r>
      <w:proofErr w:type="gramStart"/>
      <w:r w:rsidRPr="00D415A2">
        <w:t>”;</w:t>
      </w:r>
      <w:proofErr w:type="gramEnd"/>
    </w:p>
    <w:p w14:paraId="03C176FD" w14:textId="17BA4FBE" w:rsidR="00AC48F2" w:rsidRPr="00D415A2" w:rsidRDefault="00B41CE6" w:rsidP="00C64FB6">
      <w:pPr>
        <w:pStyle w:val="BListitemorig"/>
      </w:pPr>
      <w:r w:rsidRPr="00D415A2">
        <w:t>(3)</w:t>
      </w:r>
      <w:r w:rsidRPr="00D415A2">
        <w:tab/>
        <w:t>the “extent of actual recognition of the mark”</w:t>
      </w:r>
      <w:r w:rsidR="00AC48F2" w:rsidRPr="00D415A2">
        <w:t>; a</w:t>
      </w:r>
      <w:r w:rsidRPr="00D415A2">
        <w:t>nd</w:t>
      </w:r>
    </w:p>
    <w:p w14:paraId="532EDB59" w14:textId="6191E44B" w:rsidR="00AC48F2" w:rsidRPr="00D415A2" w:rsidRDefault="00B41CE6" w:rsidP="00C64FB6">
      <w:pPr>
        <w:pStyle w:val="BListitemorig"/>
      </w:pPr>
      <w:r w:rsidRPr="00D415A2">
        <w:t>(4)</w:t>
      </w:r>
      <w:r w:rsidRPr="00D415A2">
        <w:tab/>
        <w:t>whether the mark is federally registered on the Principal Register.</w:t>
      </w:r>
      <w:r w:rsidR="00D415A2" w:rsidRPr="00D415A2">
        <w:rPr>
          <w:vertAlign w:val="superscript"/>
        </w:rPr>
        <w:footnoteReference w:id="102"/>
      </w:r>
    </w:p>
    <w:p w14:paraId="250A1752" w14:textId="676DEB55" w:rsidR="00AC48F2" w:rsidRPr="00D415A2" w:rsidRDefault="00B41CE6" w:rsidP="00D415A2">
      <w:pPr>
        <w:pStyle w:val="BNormal"/>
      </w:pPr>
      <w:r w:rsidRPr="00D415A2">
        <w:t>As discussed in Chapter 8, the connection between the fourth factor and actual fame is, at best, tenuous</w:t>
      </w:r>
      <w:r w:rsidR="00AC48F2" w:rsidRPr="00D415A2">
        <w:t>. H</w:t>
      </w:r>
      <w:r w:rsidRPr="00D415A2">
        <w:t>owever, the drafters of the Senate version presumably wished to retain the FTDA’s incentive to register marks</w:t>
      </w:r>
      <w:r w:rsidR="00AC48F2" w:rsidRPr="00D415A2">
        <w:t>. I</w:t>
      </w:r>
      <w:r w:rsidRPr="00D415A2">
        <w:t>ts elimination in the House version was a salutary change, but its retention should not materially affect many cases.</w:t>
      </w:r>
    </w:p>
    <w:p w14:paraId="5B2408EA" w14:textId="684F8A9D" w:rsidR="00AC48F2" w:rsidRPr="00D415A2" w:rsidRDefault="00B41CE6" w:rsidP="00D415A2">
      <w:pPr>
        <w:pStyle w:val="BNormal"/>
      </w:pPr>
      <w:r w:rsidRPr="00D415A2">
        <w:t>The amendments made several important changes in existing law</w:t>
      </w:r>
      <w:r w:rsidR="00AC48F2" w:rsidRPr="00D415A2">
        <w:t>. F</w:t>
      </w:r>
      <w:r w:rsidRPr="00D415A2">
        <w:t xml:space="preserve">irst, by requiring a famous mark to be “widely recognized by the </w:t>
      </w:r>
      <w:r w:rsidR="00AC48F2" w:rsidRPr="0036643E">
        <w:rPr>
          <w:i/>
          <w:iCs/>
        </w:rPr>
        <w:t>general</w:t>
      </w:r>
      <w:r w:rsidRPr="0036643E">
        <w:rPr>
          <w:i/>
          <w:iCs/>
        </w:rPr>
        <w:t xml:space="preserve"> </w:t>
      </w:r>
      <w:r w:rsidR="00AC48F2" w:rsidRPr="0036643E">
        <w:rPr>
          <w:i/>
          <w:iCs/>
        </w:rPr>
        <w:t>consuming public</w:t>
      </w:r>
      <w:r w:rsidRPr="00D415A2">
        <w:t>,” it appears that the drafters intended to eliminate so-called “niche market fame” (fame in a limited product market) as a basis for dilution eligibility.</w:t>
      </w:r>
      <w:r w:rsidR="00D415A2" w:rsidRPr="00D415A2">
        <w:rPr>
          <w:vertAlign w:val="superscript"/>
        </w:rPr>
        <w:footnoteReference w:id="103"/>
      </w:r>
      <w:r w:rsidRPr="00D415A2">
        <w:t xml:space="preserve"> The viability of niche market fame as a basis for eligibility is an issue on which the courts had been divided.</w:t>
      </w:r>
      <w:r w:rsidR="00D415A2" w:rsidRPr="00D415A2">
        <w:rPr>
          <w:vertAlign w:val="superscript"/>
        </w:rPr>
        <w:footnoteReference w:id="104"/>
      </w:r>
      <w:r w:rsidRPr="00D415A2">
        <w:t xml:space="preserve"> By requiring that marks be recognized by the general consuming public, the TDRA intends that marks known only to a segment of the consuming public should not be considered “famous” within the meaning of the dilution statute.</w:t>
      </w:r>
    </w:p>
    <w:p w14:paraId="3C4F604D" w14:textId="58046A39" w:rsidR="00AC48F2" w:rsidRPr="00D415A2" w:rsidRDefault="00B41CE6" w:rsidP="00D415A2">
      <w:pPr>
        <w:pStyle w:val="BNormal"/>
      </w:pPr>
      <w:r w:rsidRPr="00D415A2">
        <w:t>The courts also were divided over the role of “distinctiveness” in determining eligibility for dilution protection.</w:t>
      </w:r>
      <w:r w:rsidR="00D415A2" w:rsidRPr="00D415A2">
        <w:rPr>
          <w:vertAlign w:val="superscript"/>
        </w:rPr>
        <w:footnoteReference w:id="105"/>
      </w:r>
      <w:r w:rsidRPr="00D415A2">
        <w:t xml:space="preserve"> The Second Circuit required that marks be inherently distinctive in order to be eligible for protection.</w:t>
      </w:r>
      <w:r w:rsidR="00D415A2" w:rsidRPr="00D415A2">
        <w:rPr>
          <w:vertAlign w:val="superscript"/>
        </w:rPr>
        <w:footnoteReference w:id="106"/>
      </w:r>
      <w:r w:rsidRPr="00D415A2">
        <w:t xml:space="preserve"> Other courts did not impose this requirement.</w:t>
      </w:r>
      <w:r w:rsidR="00D415A2" w:rsidRPr="00D415A2">
        <w:rPr>
          <w:vertAlign w:val="superscript"/>
        </w:rPr>
        <w:footnoteReference w:id="107"/>
      </w:r>
      <w:r w:rsidRPr="00D415A2">
        <w:t xml:space="preserve"> The TDRA inserted the following language into Section 43(c)</w:t>
      </w:r>
      <w:r w:rsidR="00AC48F2" w:rsidRPr="00D415A2">
        <w:t>: “</w:t>
      </w:r>
      <w:r w:rsidRPr="00D415A2">
        <w:t>the owner of a famous mark that is distinctive, inherently or through acquired distinctiveness, shall be entitled to an injunction</w:t>
      </w:r>
      <w:r w:rsidR="00AC48F2" w:rsidRPr="00D415A2">
        <w:t xml:space="preserve"> </w:t>
      </w:r>
      <w:r w:rsidRPr="00D415A2">
        <w:t>…</w:t>
      </w:r>
      <w:r w:rsidR="00AC48F2" w:rsidRPr="00D415A2">
        <w:t xml:space="preserve"> </w:t>
      </w:r>
      <w:r w:rsidRPr="00D415A2">
        <w:t>.”</w:t>
      </w:r>
      <w:r w:rsidR="00D415A2" w:rsidRPr="00D415A2">
        <w:rPr>
          <w:vertAlign w:val="superscript"/>
        </w:rPr>
        <w:footnoteReference w:id="108"/>
      </w:r>
      <w:r w:rsidRPr="00D415A2">
        <w:t xml:space="preserve"> Obviously, the drafters intended that inherent distinctiveness not be a requirement for eligibility</w:t>
      </w:r>
      <w:r w:rsidR="00AC48F2" w:rsidRPr="00D415A2">
        <w:t>. H</w:t>
      </w:r>
      <w:r w:rsidRPr="00D415A2">
        <w:t>owever, the amendments still allow courts considerable leeway</w:t>
      </w:r>
      <w:r w:rsidR="00AC48F2" w:rsidRPr="00D415A2">
        <w:t>. T</w:t>
      </w:r>
      <w:r w:rsidRPr="00D415A2">
        <w:t xml:space="preserve">he factors listed to guide the determination of fame are not exhaustive, and a court could decide that, although marks that are not inherently distinctive are not per se ineligible, the absence of inherent distinctiveness is a factor weighing against </w:t>
      </w:r>
      <w:proofErr w:type="gramStart"/>
      <w:r w:rsidRPr="00D415A2">
        <w:t>a finding</w:t>
      </w:r>
      <w:proofErr w:type="gramEnd"/>
      <w:r w:rsidRPr="00D415A2">
        <w:t xml:space="preserve"> of fame.</w:t>
      </w:r>
    </w:p>
    <w:p w14:paraId="1021CA7B" w14:textId="0DFEA671" w:rsidR="00AC48F2" w:rsidRPr="00D415A2" w:rsidRDefault="00B3596F" w:rsidP="004305AA">
      <w:pPr>
        <w:pStyle w:val="BHead2"/>
      </w:pPr>
      <w:r>
        <w:t>6.III.</w:t>
      </w:r>
      <w:r w:rsidR="00D415A2" w:rsidRPr="00B3596F">
        <w:rPr>
          <w:rStyle w:val="BBNAidChar"/>
          <w:rFonts w:eastAsiaTheme="majorEastAsia"/>
        </w:rPr>
        <w:t>D</w:t>
      </w:r>
      <w:r w:rsidR="00D415A2" w:rsidRPr="00D415A2">
        <w:t>.</w:t>
      </w:r>
      <w:r>
        <w:t> </w:t>
      </w:r>
      <w:r w:rsidR="00D415A2" w:rsidRPr="00D415A2">
        <w:tab/>
        <w:t>Exclusions From Liability</w:t>
      </w:r>
    </w:p>
    <w:p w14:paraId="3229979B" w14:textId="1F2D96DA" w:rsidR="00AC48F2" w:rsidRPr="00D415A2" w:rsidRDefault="00B41CE6" w:rsidP="00D415A2">
      <w:pPr>
        <w:pStyle w:val="BNormal"/>
      </w:pPr>
      <w:r w:rsidRPr="00D415A2">
        <w:t>The most significant difference between the House and Senate versions of the TDRA—the latter being the one finally adopted—was in the exclusions from liability</w:t>
      </w:r>
      <w:r w:rsidR="00AC48F2" w:rsidRPr="00D415A2">
        <w:t>. T</w:t>
      </w:r>
      <w:r w:rsidRPr="00D415A2">
        <w:t>he original FTDA contained three exclusions from liability</w:t>
      </w:r>
      <w:r w:rsidR="00AC48F2" w:rsidRPr="00D415A2">
        <w:t>: f</w:t>
      </w:r>
      <w:r w:rsidRPr="00D415A2">
        <w:t>air use in comparative advertising, noncommercial use, and use in news reporting or commentary.</w:t>
      </w:r>
      <w:r w:rsidR="00D415A2" w:rsidRPr="00D415A2">
        <w:rPr>
          <w:vertAlign w:val="superscript"/>
        </w:rPr>
        <w:footnoteReference w:id="109"/>
      </w:r>
      <w:r w:rsidRPr="00D415A2">
        <w:t xml:space="preserve"> Although both the House and Senate versions retained the news reporting exclusion, they differed significantly in the way they treated the other exclusions.</w:t>
      </w:r>
    </w:p>
    <w:p w14:paraId="0FD73FD9" w14:textId="7D440282" w:rsidR="00AC48F2" w:rsidRPr="00D415A2" w:rsidRDefault="00B3596F" w:rsidP="004305AA">
      <w:pPr>
        <w:pStyle w:val="BHead3"/>
      </w:pPr>
      <w:proofErr w:type="gramStart"/>
      <w:r>
        <w:t>6.III.D.</w:t>
      </w:r>
      <w:proofErr w:type="gramEnd"/>
      <w:r w:rsidR="00D415A2" w:rsidRPr="00B3596F">
        <w:rPr>
          <w:rStyle w:val="BBNAidChar"/>
          <w:rFonts w:eastAsiaTheme="majorEastAsia"/>
        </w:rPr>
        <w:t>1</w:t>
      </w:r>
      <w:r w:rsidR="00D415A2" w:rsidRPr="00D415A2">
        <w:t>.</w:t>
      </w:r>
      <w:r>
        <w:t> </w:t>
      </w:r>
      <w:r w:rsidR="00D415A2" w:rsidRPr="00D415A2">
        <w:tab/>
        <w:t>The House Version: From “Noncommercial Use” to “Fair Use”</w:t>
      </w:r>
    </w:p>
    <w:p w14:paraId="2C7D5EB7" w14:textId="75DDE3A6" w:rsidR="00AC48F2" w:rsidRPr="00D415A2" w:rsidRDefault="00B41CE6" w:rsidP="00D415A2">
      <w:pPr>
        <w:pStyle w:val="BNormal"/>
      </w:pPr>
      <w:r w:rsidRPr="00D415A2">
        <w:t>The House proposal would have retained the first and third exclusions (i.e., fair use in comparative advertising, and news reporting and commentary) in their original form</w:t>
      </w:r>
      <w:r w:rsidR="00AC48F2" w:rsidRPr="00D415A2">
        <w:t>; h</w:t>
      </w:r>
      <w:r w:rsidRPr="00D415A2">
        <w:t>owever, the second exclusion, noncommercial use, would have been replaced by this exclusion</w:t>
      </w:r>
      <w:r w:rsidR="00AC48F2" w:rsidRPr="00D415A2">
        <w:t>: “</w:t>
      </w:r>
      <w:r w:rsidRPr="00D415A2">
        <w:t>Fair use of a famous mark by another person, other than as a designation of source for the person’s goods or services, including for purposes of identifying and parodying, criticizing, or commenting upon the famous mark owner or the goods or services of the famous mark owner.”</w:t>
      </w:r>
    </w:p>
    <w:p w14:paraId="143DC49E" w14:textId="37F4F82C" w:rsidR="00AC48F2" w:rsidRPr="00D415A2" w:rsidRDefault="00B41CE6" w:rsidP="00D415A2">
      <w:pPr>
        <w:pStyle w:val="BNormal"/>
      </w:pPr>
      <w:r w:rsidRPr="00D415A2">
        <w:t>Although this proposal appears to have been intended to allay fears that the dilution statute would interfere with free speech, the substitution of a “fair use” standard for the noncommercial use exclusion may not have fully protected free speech</w:t>
      </w:r>
      <w:r w:rsidR="00AC48F2" w:rsidRPr="00D415A2">
        <w:t>. T</w:t>
      </w:r>
      <w:r w:rsidRPr="00D415A2">
        <w:t>he noncommercial use standard has not produced uniformly speech-protective results, although several courts have given that exclusion a reading that affords considerable (though perhaps not optimal) protection for expressive uses of a famous mark.</w:t>
      </w:r>
      <w:r w:rsidR="00D415A2" w:rsidRPr="00D415A2">
        <w:rPr>
          <w:vertAlign w:val="superscript"/>
        </w:rPr>
        <w:footnoteReference w:id="110"/>
      </w:r>
    </w:p>
    <w:p w14:paraId="34E58A67" w14:textId="30A7C0C0" w:rsidR="00AC48F2" w:rsidRPr="00D415A2" w:rsidRDefault="00B41CE6" w:rsidP="00D415A2">
      <w:pPr>
        <w:pStyle w:val="BNormal"/>
      </w:pPr>
      <w:r w:rsidRPr="00D415A2">
        <w:t>The House version contained no definition of fair use (unlike copyright law, where there are four specifically listed factors in the statute), and it is far from clear that courts would have deemed as “fair” all uses that might be protected legitimately by the First Amendment</w:t>
      </w:r>
      <w:r w:rsidR="00AC48F2" w:rsidRPr="00D415A2">
        <w:t>. (</w:t>
      </w:r>
      <w:r w:rsidRPr="00D415A2">
        <w:t xml:space="preserve">For example, although the House’s proposed exclusion listed parodies, it did not list satire.) Moreover, the experience of </w:t>
      </w:r>
      <w:proofErr w:type="gramStart"/>
      <w:r w:rsidRPr="00D415A2">
        <w:t>courts in</w:t>
      </w:r>
      <w:proofErr w:type="gramEnd"/>
      <w:r w:rsidRPr="00D415A2">
        <w:t xml:space="preserve"> interpreting the fair use provisions of the Copyright Act counsels caution</w:t>
      </w:r>
      <w:r w:rsidR="00AC48F2" w:rsidRPr="00D415A2">
        <w:t>: t</w:t>
      </w:r>
      <w:r w:rsidRPr="00D415A2">
        <w:t>he courts have struggled with the proper balance between protecting copyrighted material and protecting free speech for many years, and their answers are neither uniform nor entirely satisfactory</w:t>
      </w:r>
      <w:r w:rsidR="00AC48F2" w:rsidRPr="00D415A2">
        <w:t>. T</w:t>
      </w:r>
      <w:r w:rsidRPr="00D415A2">
        <w:t>hus, one would have expected a great deal of litigation over the meaning of this exclusion had it been enacted.</w:t>
      </w:r>
      <w:r w:rsidR="00D415A2" w:rsidRPr="00D415A2">
        <w:rPr>
          <w:vertAlign w:val="superscript"/>
        </w:rPr>
        <w:footnoteReference w:id="111"/>
      </w:r>
    </w:p>
    <w:p w14:paraId="365CD46C" w14:textId="35211DAD" w:rsidR="00AC48F2" w:rsidRPr="00D415A2" w:rsidRDefault="00B3596F" w:rsidP="004305AA">
      <w:pPr>
        <w:pStyle w:val="BHead3"/>
      </w:pPr>
      <w:proofErr w:type="gramStart"/>
      <w:r>
        <w:t>6.III.D.</w:t>
      </w:r>
      <w:proofErr w:type="gramEnd"/>
      <w:r w:rsidR="00D415A2" w:rsidRPr="00B3596F">
        <w:rPr>
          <w:rStyle w:val="BBNAidChar"/>
          <w:rFonts w:eastAsiaTheme="majorEastAsia"/>
        </w:rPr>
        <w:t>2</w:t>
      </w:r>
      <w:r w:rsidR="00D415A2" w:rsidRPr="00D415A2">
        <w:t>.</w:t>
      </w:r>
      <w:r>
        <w:t> </w:t>
      </w:r>
      <w:r w:rsidR="00D415A2" w:rsidRPr="00D415A2">
        <w:tab/>
        <w:t>The Senate Version: “Noncommercial Use” Retained, “Fair Use” Revised</w:t>
      </w:r>
    </w:p>
    <w:p w14:paraId="55A10EBF" w14:textId="749EA784" w:rsidR="00AC48F2" w:rsidRPr="00D415A2" w:rsidRDefault="00B41CE6" w:rsidP="00D415A2">
      <w:pPr>
        <w:pStyle w:val="BNormal"/>
      </w:pPr>
      <w:r w:rsidRPr="00D415A2">
        <w:t>The Senate version of the TDRA—which was the version ultimately enacted—retained the noncommercial use exclusion as exclusion (C)</w:t>
      </w:r>
      <w:r w:rsidR="00AC48F2" w:rsidRPr="00D415A2">
        <w:t>. T</w:t>
      </w:r>
      <w:r w:rsidRPr="00D415A2">
        <w:t>herefore, existing case law interpreting that exclusion should still be good law.</w:t>
      </w:r>
      <w:r w:rsidR="00D415A2" w:rsidRPr="00D415A2">
        <w:rPr>
          <w:vertAlign w:val="superscript"/>
        </w:rPr>
        <w:footnoteReference w:id="112"/>
      </w:r>
      <w:r w:rsidRPr="00D415A2">
        <w:t xml:space="preserve"> However, in the new version the “fair use” exclusion (now Section 43(c)(3)(A)) has been substantially revised</w:t>
      </w:r>
      <w:r w:rsidR="00AC48F2" w:rsidRPr="00D415A2">
        <w:t>. I</w:t>
      </w:r>
      <w:r w:rsidRPr="00D415A2">
        <w:t>t now provides as follows:</w:t>
      </w:r>
    </w:p>
    <w:p w14:paraId="35879A03" w14:textId="518E1DD0" w:rsidR="00AC48F2" w:rsidRPr="00D415A2" w:rsidRDefault="00B41CE6" w:rsidP="00D415A2">
      <w:pPr>
        <w:pStyle w:val="BQuotelong"/>
      </w:pPr>
      <w:r w:rsidRPr="00D415A2">
        <w:t>Any fair use, including a nominative or descriptive fair use, or facilitation of such fair use, of a famous mark by another person other than as a designation of source for the person’s own goods or services, including use in connection with—</w:t>
      </w:r>
    </w:p>
    <w:p w14:paraId="6FC8010A" w14:textId="541A9884" w:rsidR="00AC48F2" w:rsidRPr="00D415A2" w:rsidRDefault="00B41CE6" w:rsidP="000B22BF">
      <w:pPr>
        <w:pStyle w:val="BQuotelong"/>
        <w:ind w:left="1440"/>
      </w:pPr>
      <w:r w:rsidRPr="00D415A2">
        <w:t>(</w:t>
      </w:r>
      <w:proofErr w:type="spellStart"/>
      <w:r w:rsidRPr="00D415A2">
        <w:t>i</w:t>
      </w:r>
      <w:proofErr w:type="spellEnd"/>
      <w:r w:rsidRPr="00D415A2">
        <w:t>) advertising or promotion that permits consumers to compare goods or services</w:t>
      </w:r>
      <w:r w:rsidR="00AC48F2" w:rsidRPr="00D415A2">
        <w:t>; o</w:t>
      </w:r>
      <w:r w:rsidRPr="00D415A2">
        <w:t>r</w:t>
      </w:r>
    </w:p>
    <w:p w14:paraId="401F85F0" w14:textId="1B59E5A2" w:rsidR="00AC48F2" w:rsidRPr="00D415A2" w:rsidRDefault="00B41CE6" w:rsidP="000B22BF">
      <w:pPr>
        <w:pStyle w:val="BQuotelong"/>
        <w:ind w:left="1440"/>
      </w:pPr>
      <w:r w:rsidRPr="00D415A2">
        <w:t>(ii) identifying and parodying, criticizing, or commenting upon the famous mark owner or the goods or services of the famous mark owner.</w:t>
      </w:r>
      <w:r w:rsidR="00D415A2" w:rsidRPr="00D415A2">
        <w:rPr>
          <w:vertAlign w:val="superscript"/>
        </w:rPr>
        <w:footnoteReference w:id="113"/>
      </w:r>
    </w:p>
    <w:p w14:paraId="13615C7C" w14:textId="31E2872D" w:rsidR="00AC48F2" w:rsidRPr="00D415A2" w:rsidRDefault="00B41CE6" w:rsidP="00D415A2">
      <w:pPr>
        <w:pStyle w:val="BNormal"/>
      </w:pPr>
      <w:r w:rsidRPr="00D415A2">
        <w:t>The first part of this exclusion contains some interesting additions to the House version</w:t>
      </w:r>
      <w:r w:rsidR="00AC48F2" w:rsidRPr="00D415A2">
        <w:t>. I</w:t>
      </w:r>
      <w:r w:rsidRPr="00D415A2">
        <w:t>t specifically refers to “nominative or descriptive fair use,” thus providing express statutory support for those judicial decisions that incorporated nominative and descriptive fair use defenses into the FTDA.</w:t>
      </w:r>
      <w:r w:rsidR="00D415A2" w:rsidRPr="00D415A2">
        <w:rPr>
          <w:vertAlign w:val="superscript"/>
        </w:rPr>
        <w:footnoteReference w:id="114"/>
      </w:r>
      <w:r w:rsidRPr="00D415A2">
        <w:t xml:space="preserve"> The exclusion also encompasses “facilitation” of a fair use, thus eliminating vicarious or secondary forms of liability in such cases.</w:t>
      </w:r>
    </w:p>
    <w:p w14:paraId="599C070B" w14:textId="3B90396F" w:rsidR="00AC48F2" w:rsidRPr="00D415A2" w:rsidRDefault="00B41CE6" w:rsidP="00D415A2">
      <w:pPr>
        <w:pStyle w:val="BNormal"/>
      </w:pPr>
      <w:r w:rsidRPr="00D415A2">
        <w:t>Although the TDRA retains an exclusion for “fair use” in comparative advertising, its wording differs from the original FTDA (and the House version, which retained the FTDA language)</w:t>
      </w:r>
      <w:r w:rsidR="00AC48F2" w:rsidRPr="00D415A2">
        <w:t>. I</w:t>
      </w:r>
      <w:r w:rsidRPr="00D415A2">
        <w:t>nstead of “comparative advertising,” the TDRA refers to “advertising or promotion that permits consumers to compare goods or services.”</w:t>
      </w:r>
      <w:r w:rsidR="00D415A2" w:rsidRPr="00D415A2">
        <w:rPr>
          <w:vertAlign w:val="superscript"/>
        </w:rPr>
        <w:footnoteReference w:id="115"/>
      </w:r>
      <w:r w:rsidRPr="00D415A2">
        <w:t xml:space="preserve"> The addition of “promotion” means that uses that might not be deemed “advertising” are still eligible for exclusion.</w:t>
      </w:r>
      <w:r w:rsidR="00D415A2" w:rsidRPr="00D415A2">
        <w:rPr>
          <w:vertAlign w:val="superscript"/>
        </w:rPr>
        <w:footnoteReference w:id="116"/>
      </w:r>
      <w:r w:rsidRPr="00D415A2">
        <w:t xml:space="preserve"> It is not clear whether the rest of the language is intended to be applied any differently than the original FTDA</w:t>
      </w:r>
      <w:r w:rsidR="00AC48F2" w:rsidRPr="00D415A2">
        <w:t>. C</w:t>
      </w:r>
      <w:r w:rsidRPr="00D415A2">
        <w:t>onceivably, it could narrow the current exclusion by requiring an advertisement or promotion to refer more explicitly to a competitor.</w:t>
      </w:r>
    </w:p>
    <w:p w14:paraId="5FC5F992" w14:textId="7D8A431C" w:rsidR="00AC48F2" w:rsidRPr="00D415A2" w:rsidRDefault="00B41CE6" w:rsidP="00D415A2">
      <w:pPr>
        <w:pStyle w:val="BNormal"/>
      </w:pPr>
      <w:r w:rsidRPr="00D415A2">
        <w:t>Subsection (ii) of this exclusion, concerning use in connection with “identifying and parodying, criticizing, or commenting upon the famous mark owner or the goods or services of the famous mark owner,”</w:t>
      </w:r>
      <w:r w:rsidR="00D415A2" w:rsidRPr="00D415A2">
        <w:rPr>
          <w:vertAlign w:val="superscript"/>
        </w:rPr>
        <w:footnoteReference w:id="117"/>
      </w:r>
      <w:r w:rsidRPr="00D415A2">
        <w:t xml:space="preserve"> appears to be identical to the relevant wording of the House version</w:t>
      </w:r>
      <w:r w:rsidR="00AC48F2" w:rsidRPr="00D415A2">
        <w:t>. S</w:t>
      </w:r>
      <w:r w:rsidRPr="00D415A2">
        <w:t>ince the Senate version was ultimately enacted, the comments in Section III.D.1, above, apply equally to the enacted version of the TDRA.</w:t>
      </w:r>
    </w:p>
    <w:p w14:paraId="2BCE9CC9" w14:textId="527C57C7" w:rsidR="00AC48F2" w:rsidRPr="00D415A2" w:rsidRDefault="00B3596F" w:rsidP="004305AA">
      <w:pPr>
        <w:pStyle w:val="BHead2"/>
      </w:pPr>
      <w:r>
        <w:t>6.III.</w:t>
      </w:r>
      <w:r w:rsidR="00D415A2" w:rsidRPr="00B3596F">
        <w:rPr>
          <w:rStyle w:val="BBNAidChar"/>
          <w:rFonts w:eastAsiaTheme="majorEastAsia"/>
        </w:rPr>
        <w:t>E</w:t>
      </w:r>
      <w:r w:rsidR="00D415A2" w:rsidRPr="00D415A2">
        <w:t>.</w:t>
      </w:r>
      <w:r>
        <w:t> </w:t>
      </w:r>
      <w:r w:rsidR="00D415A2" w:rsidRPr="00D415A2">
        <w:tab/>
        <w:t>Removal of “Commercial Use in Commerce” as an Element</w:t>
      </w:r>
    </w:p>
    <w:p w14:paraId="5174BE68" w14:textId="344C575F" w:rsidR="00AC48F2" w:rsidRPr="00D415A2" w:rsidRDefault="00B41CE6" w:rsidP="00D415A2">
      <w:pPr>
        <w:pStyle w:val="BNormal"/>
      </w:pPr>
      <w:r w:rsidRPr="00D415A2">
        <w:t>The original FTDA required a “</w:t>
      </w:r>
      <w:r w:rsidR="00AC48F2" w:rsidRPr="00D21C44">
        <w:rPr>
          <w:i/>
          <w:iCs/>
        </w:rPr>
        <w:t>commercial</w:t>
      </w:r>
      <w:r w:rsidRPr="00D415A2">
        <w:t xml:space="preserve"> use in commerce” by the offending user as an element of the claim</w:t>
      </w:r>
      <w:r w:rsidR="00AC48F2" w:rsidRPr="00D415A2">
        <w:t>. T</w:t>
      </w:r>
      <w:r w:rsidRPr="00D415A2">
        <w:t>he TDRA requires only a “use</w:t>
      </w:r>
      <w:r w:rsidR="00AC48F2" w:rsidRPr="00D415A2">
        <w:t xml:space="preserve"> </w:t>
      </w:r>
      <w:r w:rsidRPr="00D415A2">
        <w:t>…</w:t>
      </w:r>
      <w:r w:rsidR="00AC48F2" w:rsidRPr="00D415A2">
        <w:t xml:space="preserve"> </w:t>
      </w:r>
      <w:r w:rsidRPr="00D415A2">
        <w:t>in commerce.”</w:t>
      </w:r>
      <w:r w:rsidR="00D415A2" w:rsidRPr="00D415A2">
        <w:rPr>
          <w:vertAlign w:val="superscript"/>
        </w:rPr>
        <w:footnoteReference w:id="118"/>
      </w:r>
      <w:r w:rsidRPr="00D415A2">
        <w:t xml:space="preserve"> This eliminates the awkward structure of the FTDA, in which “commercial use in commerce” was an element and “noncommercial use” was an exclusion (as it still is), which caused some confusion in the courts.</w:t>
      </w:r>
    </w:p>
    <w:p w14:paraId="6BB096C9" w14:textId="074056A5" w:rsidR="00AC48F2" w:rsidRPr="00D415A2" w:rsidRDefault="00B3596F" w:rsidP="004305AA">
      <w:pPr>
        <w:pStyle w:val="BHead2"/>
      </w:pPr>
      <w:r>
        <w:t>6.III.</w:t>
      </w:r>
      <w:r w:rsidR="00D415A2" w:rsidRPr="00B3596F">
        <w:rPr>
          <w:rStyle w:val="BBNAidChar"/>
          <w:rFonts w:eastAsiaTheme="majorEastAsia"/>
        </w:rPr>
        <w:t>F</w:t>
      </w:r>
      <w:r w:rsidR="00D415A2" w:rsidRPr="00D415A2">
        <w:t>.</w:t>
      </w:r>
      <w:r>
        <w:t> </w:t>
      </w:r>
      <w:r w:rsidR="00D415A2" w:rsidRPr="00D415A2">
        <w:tab/>
        <w:t>Possible Limitations in Trade Dress Dilution Cases</w:t>
      </w:r>
    </w:p>
    <w:p w14:paraId="68739A58" w14:textId="4A48BA41" w:rsidR="00AC48F2" w:rsidRPr="00D415A2" w:rsidRDefault="00B3596F" w:rsidP="004305AA">
      <w:pPr>
        <w:pStyle w:val="BHead3"/>
      </w:pPr>
      <w:proofErr w:type="gramStart"/>
      <w:r>
        <w:t>6.III.F.</w:t>
      </w:r>
      <w:proofErr w:type="gramEnd"/>
      <w:r w:rsidR="00D415A2" w:rsidRPr="00B3596F">
        <w:rPr>
          <w:rStyle w:val="BBNAidChar"/>
          <w:rFonts w:eastAsiaTheme="majorEastAsia"/>
        </w:rPr>
        <w:t>1</w:t>
      </w:r>
      <w:r w:rsidR="00D415A2" w:rsidRPr="00D415A2">
        <w:t>.</w:t>
      </w:r>
      <w:r>
        <w:t> </w:t>
      </w:r>
      <w:r w:rsidR="00D415A2" w:rsidRPr="00D415A2">
        <w:tab/>
        <w:t>Burden of Proof in Trade Dress Dilution Cases</w:t>
      </w:r>
    </w:p>
    <w:p w14:paraId="6C9354D5" w14:textId="01D8A7A2" w:rsidR="00AC48F2" w:rsidRPr="00D415A2" w:rsidRDefault="00B41CE6" w:rsidP="00D415A2">
      <w:pPr>
        <w:pStyle w:val="BNormal"/>
      </w:pPr>
      <w:r w:rsidRPr="00D415A2">
        <w:t>The TDRA added the following provision as Section 43(c)(4),</w:t>
      </w:r>
      <w:r w:rsidR="00D415A2" w:rsidRPr="00D415A2">
        <w:rPr>
          <w:vertAlign w:val="superscript"/>
        </w:rPr>
        <w:footnoteReference w:id="119"/>
      </w:r>
      <w:r w:rsidRPr="00D415A2">
        <w:t xml:space="preserve"> which applies only in trade dress dilution cases:</w:t>
      </w:r>
    </w:p>
    <w:p w14:paraId="624504B9" w14:textId="5974B6BA" w:rsidR="00AC48F2" w:rsidRPr="00D415A2" w:rsidRDefault="00D415A2" w:rsidP="00D415A2">
      <w:pPr>
        <w:pStyle w:val="BQuotelong"/>
      </w:pPr>
      <w:r w:rsidRPr="00D415A2">
        <w:rPr>
          <w:b/>
        </w:rPr>
        <w:t>(4) Burden of proof.</w:t>
      </w:r>
    </w:p>
    <w:p w14:paraId="343F0AC9" w14:textId="6D92F527" w:rsidR="00AC48F2" w:rsidRPr="00D415A2" w:rsidRDefault="00B41CE6" w:rsidP="00D415A2">
      <w:pPr>
        <w:pStyle w:val="BQuotelong"/>
      </w:pPr>
      <w:r w:rsidRPr="00D415A2">
        <w:t>In a civil action for trade dress dilution under this Act for trade dress not registered on the principal register, the person who asserts trade dress protection has the burden of proving that—</w:t>
      </w:r>
    </w:p>
    <w:p w14:paraId="5EF3CD2E" w14:textId="39D3D57A" w:rsidR="00AC48F2" w:rsidRPr="00D415A2" w:rsidRDefault="00B41CE6" w:rsidP="00D21C44">
      <w:pPr>
        <w:pStyle w:val="BQuotelong"/>
        <w:ind w:left="1440"/>
      </w:pPr>
      <w:r w:rsidRPr="00D415A2">
        <w:t>(A) the claimed trade dress, taken as a whole, is not functional and is famous</w:t>
      </w:r>
      <w:r w:rsidR="00AC48F2" w:rsidRPr="00D415A2">
        <w:t>; a</w:t>
      </w:r>
      <w:r w:rsidRPr="00D415A2">
        <w:t>nd</w:t>
      </w:r>
    </w:p>
    <w:p w14:paraId="61BC460F" w14:textId="0EB169FD" w:rsidR="00AC48F2" w:rsidRPr="00D415A2" w:rsidRDefault="00B41CE6" w:rsidP="00D21C44">
      <w:pPr>
        <w:pStyle w:val="BQuotelong"/>
        <w:ind w:left="1440"/>
      </w:pPr>
      <w:r w:rsidRPr="00D415A2">
        <w:t>(B) if the claimed trade dress includes any mark or marks registered on the principal register, the unregistered matter, taken as a whole, is famous separate and apart from any fame of such registered marks.</w:t>
      </w:r>
      <w:r w:rsidR="00D415A2" w:rsidRPr="00D415A2">
        <w:rPr>
          <w:vertAlign w:val="superscript"/>
        </w:rPr>
        <w:footnoteReference w:id="120"/>
      </w:r>
    </w:p>
    <w:p w14:paraId="28FAF7CF" w14:textId="7F202761" w:rsidR="00AC48F2" w:rsidRPr="00D415A2" w:rsidRDefault="00B41CE6" w:rsidP="00D415A2">
      <w:pPr>
        <w:pStyle w:val="BNormal"/>
      </w:pPr>
      <w:r w:rsidRPr="00D415A2">
        <w:t>This provision may limit trade dress dilution cases in some important ways</w:t>
      </w:r>
      <w:r w:rsidR="00AC48F2" w:rsidRPr="00D415A2">
        <w:t>. A</w:t>
      </w:r>
      <w:r w:rsidRPr="00D415A2">
        <w:t xml:space="preserve">s a preliminary matter, it is important to note that the provision only applies to </w:t>
      </w:r>
      <w:proofErr w:type="gramStart"/>
      <w:r w:rsidRPr="00D415A2">
        <w:t xml:space="preserve">an </w:t>
      </w:r>
      <w:r w:rsidR="00AC48F2" w:rsidRPr="00DC1810">
        <w:rPr>
          <w:i/>
          <w:iCs/>
        </w:rPr>
        <w:t>unregistered</w:t>
      </w:r>
      <w:proofErr w:type="gramEnd"/>
      <w:r w:rsidRPr="00D415A2">
        <w:t xml:space="preserve"> trade dress</w:t>
      </w:r>
      <w:r w:rsidR="00AC48F2" w:rsidRPr="00D415A2">
        <w:t>. I</w:t>
      </w:r>
      <w:r w:rsidRPr="00D415A2">
        <w:t>f the trade dress is registered on the Principal Register (the Supplemental Register does not count), then the limitation does not apply and the usual presumptions that are afforded registrations are effective</w:t>
      </w:r>
      <w:r w:rsidR="00AC48F2" w:rsidRPr="00D415A2">
        <w:t>. H</w:t>
      </w:r>
      <w:r w:rsidRPr="00D415A2">
        <w:t xml:space="preserve">owever, in cases of unregistered trade </w:t>
      </w:r>
      <w:proofErr w:type="gramStart"/>
      <w:r w:rsidRPr="00D415A2">
        <w:t>dress—</w:t>
      </w:r>
      <w:proofErr w:type="gramEnd"/>
      <w:r w:rsidRPr="00D415A2">
        <w:t xml:space="preserve">which often involve product </w:t>
      </w:r>
      <w:proofErr w:type="gramStart"/>
      <w:r w:rsidRPr="00D415A2">
        <w:t>configurations—</w:t>
      </w:r>
      <w:proofErr w:type="gramEnd"/>
      <w:r w:rsidRPr="00D415A2">
        <w:t xml:space="preserve">the proponent of protection must prove </w:t>
      </w:r>
      <w:proofErr w:type="spellStart"/>
      <w:r w:rsidRPr="00D415A2">
        <w:t>nonfunctionality</w:t>
      </w:r>
      <w:proofErr w:type="spellEnd"/>
      <w:r w:rsidRPr="00D415A2">
        <w:t xml:space="preserve"> as well as fame.</w:t>
      </w:r>
      <w:r w:rsidR="00D415A2" w:rsidRPr="00D415A2">
        <w:rPr>
          <w:vertAlign w:val="superscript"/>
        </w:rPr>
        <w:footnoteReference w:id="121"/>
      </w:r>
      <w:r w:rsidRPr="00D415A2">
        <w:t xml:space="preserve"> Such a requirement is consistent with the situation in ordinary infringement cases</w:t>
      </w:r>
      <w:r w:rsidR="00AC48F2" w:rsidRPr="00D415A2">
        <w:t>. T</w:t>
      </w:r>
      <w:r w:rsidRPr="00D415A2">
        <w:t>he more critical portion is probably (B), which applies where the trade dress is an amalgam of unregistered and registered marks</w:t>
      </w:r>
      <w:r w:rsidR="00AC48F2" w:rsidRPr="00D415A2">
        <w:t>. A</w:t>
      </w:r>
      <w:r w:rsidRPr="00D415A2">
        <w:t>n example would be packaging that has distinctive colors and/or shapes (including pictures of the product, such as a cookie) in addition to a registered logo (such as the Nabisco mark within a triangle)</w:t>
      </w:r>
      <w:r w:rsidR="00AC48F2" w:rsidRPr="00D415A2">
        <w:t>. T</w:t>
      </w:r>
      <w:r w:rsidRPr="00D415A2">
        <w:t>his provision requires the trade dress proponent to prove fame when the trade dress is considered separately from the possibly famous logo.</w:t>
      </w:r>
      <w:r w:rsidR="00D415A2" w:rsidRPr="00D415A2">
        <w:rPr>
          <w:vertAlign w:val="superscript"/>
        </w:rPr>
        <w:footnoteReference w:id="122"/>
      </w:r>
    </w:p>
    <w:p w14:paraId="1760A0BB" w14:textId="631E1FEF" w:rsidR="00AC48F2" w:rsidRPr="00D415A2" w:rsidRDefault="00B3596F" w:rsidP="004305AA">
      <w:pPr>
        <w:pStyle w:val="BHead3"/>
      </w:pPr>
      <w:proofErr w:type="gramStart"/>
      <w:r>
        <w:t>6.III.F.</w:t>
      </w:r>
      <w:proofErr w:type="gramEnd"/>
      <w:r w:rsidR="00D415A2" w:rsidRPr="00B3596F">
        <w:rPr>
          <w:rStyle w:val="BBNAidChar"/>
          <w:rFonts w:eastAsiaTheme="majorEastAsia"/>
        </w:rPr>
        <w:t>2</w:t>
      </w:r>
      <w:r w:rsidR="00D415A2" w:rsidRPr="00D415A2">
        <w:t>.</w:t>
      </w:r>
      <w:r>
        <w:t> </w:t>
      </w:r>
      <w:r w:rsidR="00D415A2" w:rsidRPr="00D415A2">
        <w:tab/>
        <w:t>The Interaction of Dilution and Patent</w:t>
      </w:r>
    </w:p>
    <w:p w14:paraId="06044B4B" w14:textId="1A07AC2F" w:rsidR="00AC48F2" w:rsidRPr="00D415A2" w:rsidRDefault="00B41CE6" w:rsidP="00D415A2">
      <w:pPr>
        <w:pStyle w:val="BNormal"/>
      </w:pPr>
      <w:r w:rsidRPr="00D415A2">
        <w:t>The Senate added a rather interesting “savings clause” to the TDRA, which provides</w:t>
      </w:r>
      <w:r w:rsidR="00AC48F2" w:rsidRPr="00D415A2">
        <w:t>: “</w:t>
      </w:r>
      <w:r w:rsidRPr="00D415A2">
        <w:t>Nothing in this subsection shall be construed to impair, modify, or supersede the applicability of the patent laws of the United States.”</w:t>
      </w:r>
      <w:r w:rsidR="00D415A2" w:rsidRPr="00D415A2">
        <w:rPr>
          <w:vertAlign w:val="superscript"/>
        </w:rPr>
        <w:footnoteReference w:id="123"/>
      </w:r>
    </w:p>
    <w:p w14:paraId="58BD2EF3" w14:textId="0B08DD22" w:rsidR="00AC48F2" w:rsidRPr="00D415A2" w:rsidRDefault="00B41CE6" w:rsidP="00D415A2">
      <w:pPr>
        <w:pStyle w:val="BNormal"/>
      </w:pPr>
      <w:r w:rsidRPr="00D415A2">
        <w:t xml:space="preserve">The intent of this provision seems to be to prevent dilution claims from becoming a means of obtaining patent-like protection without satisfying the more demanding requirements of </w:t>
      </w:r>
      <w:proofErr w:type="gramStart"/>
      <w:r w:rsidRPr="00D415A2">
        <w:t>the patent</w:t>
      </w:r>
      <w:proofErr w:type="gramEnd"/>
      <w:r w:rsidRPr="00D415A2">
        <w:t xml:space="preserve"> laws</w:t>
      </w:r>
      <w:r w:rsidR="00AC48F2" w:rsidRPr="00D415A2">
        <w:t>. A</w:t>
      </w:r>
      <w:r w:rsidRPr="00D415A2">
        <w:t>s discussed in later sections of this book,</w:t>
      </w:r>
      <w:r w:rsidR="00D415A2" w:rsidRPr="00D415A2">
        <w:rPr>
          <w:vertAlign w:val="superscript"/>
        </w:rPr>
        <w:footnoteReference w:id="124"/>
      </w:r>
      <w:r w:rsidRPr="00D415A2">
        <w:t xml:space="preserve"> trade dress claims, particularly those involving product configurations, raise the possibility of a potential conflict with the patent laws and the “limited times” provision of the Patent and Copyright Clause of the Constitution</w:t>
      </w:r>
      <w:r w:rsidR="00AC48F2" w:rsidRPr="00D415A2">
        <w:t>. A</w:t>
      </w:r>
      <w:r w:rsidRPr="00D415A2">
        <w:t xml:space="preserve">lthough no court has </w:t>
      </w:r>
      <w:proofErr w:type="gramStart"/>
      <w:r w:rsidRPr="00D415A2">
        <w:t>actually held</w:t>
      </w:r>
      <w:proofErr w:type="gramEnd"/>
      <w:r w:rsidRPr="00D415A2">
        <w:t xml:space="preserve"> that dilution protection conflicts with patent protection, the issue has been raised in court decisions.</w:t>
      </w:r>
      <w:r w:rsidR="00D415A2" w:rsidRPr="00D415A2">
        <w:rPr>
          <w:vertAlign w:val="superscript"/>
        </w:rPr>
        <w:footnoteReference w:id="125"/>
      </w:r>
      <w:r w:rsidRPr="00D415A2">
        <w:t xml:space="preserve"> The Senate (and, ultimately, the House) apparently believed that the problem was significant enough to warrant cautioning the courts against interpretations of the revised FTDA that might lead to conflicts with the patent laws</w:t>
      </w:r>
      <w:r w:rsidR="00AC48F2" w:rsidRPr="00D415A2">
        <w:t>. T</w:t>
      </w:r>
      <w:r w:rsidRPr="00D415A2">
        <w:t>hat is, because the dilution statute would be the later-enacted statute, absent the “savings clause,” trade dress owners could argue that by enacting more liberal protection in the dilution statute, Congress intended to resolve any inconsistencies between dilution protection and patent protection in favor of dilution protection</w:t>
      </w:r>
      <w:r w:rsidR="00AC48F2" w:rsidRPr="00D415A2">
        <w:t>. T</w:t>
      </w:r>
      <w:r w:rsidRPr="00D415A2">
        <w:t>he “savings clause” cautions courts not to draw such conclusions.</w:t>
      </w:r>
    </w:p>
    <w:p w14:paraId="3FB313B9" w14:textId="15BC093D" w:rsidR="00AC48F2" w:rsidRPr="00D415A2" w:rsidRDefault="00B3596F" w:rsidP="004305AA">
      <w:pPr>
        <w:pStyle w:val="BHead2"/>
      </w:pPr>
      <w:r>
        <w:t>6.III.</w:t>
      </w:r>
      <w:r w:rsidR="00D415A2" w:rsidRPr="00B3596F">
        <w:rPr>
          <w:rStyle w:val="BBNAidChar"/>
          <w:rFonts w:eastAsiaTheme="majorEastAsia"/>
        </w:rPr>
        <w:t>G</w:t>
      </w:r>
      <w:r w:rsidR="00D415A2" w:rsidRPr="00D415A2">
        <w:t>.</w:t>
      </w:r>
      <w:r>
        <w:t> </w:t>
      </w:r>
      <w:r w:rsidR="00D415A2" w:rsidRPr="00D415A2">
        <w:tab/>
        <w:t>Error Correction: A 2012 Fix for a Drafting Problem With the TDRA</w:t>
      </w:r>
    </w:p>
    <w:p w14:paraId="5A4ADFD8" w14:textId="4C83F0DB" w:rsidR="00AC48F2" w:rsidRPr="00D415A2" w:rsidRDefault="00B41CE6" w:rsidP="00D415A2">
      <w:pPr>
        <w:pStyle w:val="BNormal"/>
      </w:pPr>
      <w:r w:rsidRPr="00D415A2">
        <w:t>The TDRA made numerous changes to the original FTDA, as detailed above</w:t>
      </w:r>
      <w:r w:rsidR="00AC48F2" w:rsidRPr="00D415A2">
        <w:t>. O</w:t>
      </w:r>
      <w:r w:rsidRPr="00D415A2">
        <w:t xml:space="preserve">ne of the original provisions of the FTDA created a defense </w:t>
      </w:r>
      <w:proofErr w:type="gramStart"/>
      <w:r w:rsidRPr="00D415A2">
        <w:t>to</w:t>
      </w:r>
      <w:proofErr w:type="gramEnd"/>
      <w:r w:rsidRPr="00D415A2">
        <w:t xml:space="preserve"> a </w:t>
      </w:r>
      <w:r w:rsidR="00AC48F2" w:rsidRPr="00CB4AD6">
        <w:rPr>
          <w:i/>
          <w:iCs/>
        </w:rPr>
        <w:t>state</w:t>
      </w:r>
      <w:r w:rsidRPr="00D415A2">
        <w:t xml:space="preserve"> dilution claim for any federally registered trademark</w:t>
      </w:r>
      <w:r w:rsidR="00AC48F2" w:rsidRPr="00D415A2">
        <w:t>. T</w:t>
      </w:r>
      <w:r w:rsidRPr="00D415A2">
        <w:t xml:space="preserve">he TDRA revised this provision, apparently </w:t>
      </w:r>
      <w:proofErr w:type="gramStart"/>
      <w:r w:rsidRPr="00D415A2">
        <w:t>in order to</w:t>
      </w:r>
      <w:proofErr w:type="gramEnd"/>
      <w:r w:rsidRPr="00D415A2">
        <w:t xml:space="preserve"> reflect the newly delineated dilution categories of blurring and </w:t>
      </w:r>
      <w:proofErr w:type="spellStart"/>
      <w:r w:rsidRPr="00D415A2">
        <w:t>tarnishment</w:t>
      </w:r>
      <w:proofErr w:type="spellEnd"/>
      <w:r w:rsidRPr="00D415A2">
        <w:t xml:space="preserve"> (the provision was also renumbered from Section 43(c)(3) to Section 43(c)(6))</w:t>
      </w:r>
      <w:r w:rsidR="00AC48F2" w:rsidRPr="00D415A2">
        <w:t>. H</w:t>
      </w:r>
      <w:r w:rsidRPr="00D415A2">
        <w:t xml:space="preserve">owever, through an apparent drafting oversight, the TDRA version preempted </w:t>
      </w:r>
      <w:r w:rsidR="00AC48F2" w:rsidRPr="00CB4AD6">
        <w:rPr>
          <w:i/>
          <w:iCs/>
        </w:rPr>
        <w:t>any</w:t>
      </w:r>
      <w:r w:rsidRPr="00D415A2">
        <w:t xml:space="preserve"> dilution claim, state or federal, made against a federally registered mark</w:t>
      </w:r>
      <w:r w:rsidR="00AC48F2" w:rsidRPr="00D415A2">
        <w:t>. A</w:t>
      </w:r>
      <w:r w:rsidRPr="00D415A2">
        <w:t>lthough this provision went largely unused after the TDRA,</w:t>
      </w:r>
      <w:r w:rsidR="00D415A2" w:rsidRPr="00D415A2">
        <w:rPr>
          <w:vertAlign w:val="superscript"/>
        </w:rPr>
        <w:footnoteReference w:id="126"/>
      </w:r>
      <w:r w:rsidRPr="00D415A2">
        <w:t xml:space="preserve"> Congress finally amended the provision in October 2012, reverting to the original intent of limiting the defense to dilution claims made under state law.</w:t>
      </w:r>
      <w:r w:rsidR="00D415A2" w:rsidRPr="00D415A2">
        <w:rPr>
          <w:vertAlign w:val="superscript"/>
        </w:rPr>
        <w:footnoteReference w:id="127"/>
      </w:r>
      <w:r w:rsidRPr="00D415A2">
        <w:t xml:space="preserve"> This provision is discussed in more detail in Chapter 10, Section V.A., and the full text of the amendment is reprinted in Appendix H.</w:t>
      </w:r>
    </w:p>
    <w:p w14:paraId="699A125E" w14:textId="69BB34D6" w:rsidR="00D415A2" w:rsidRPr="00D415A2" w:rsidRDefault="00B3596F" w:rsidP="004305AA">
      <w:pPr>
        <w:pStyle w:val="BHead1"/>
      </w:pPr>
      <w:r>
        <w:t>6.</w:t>
      </w:r>
      <w:r w:rsidR="00D415A2" w:rsidRPr="00B3596F">
        <w:rPr>
          <w:rStyle w:val="BBNAidChar"/>
          <w:rFonts w:eastAsiaTheme="majorEastAsia"/>
        </w:rPr>
        <w:t>IV</w:t>
      </w:r>
      <w:r w:rsidR="00D415A2" w:rsidRPr="00D415A2">
        <w:t>.</w:t>
      </w:r>
      <w:r>
        <w:t xml:space="preserve">  </w:t>
      </w:r>
      <w:r w:rsidR="00D415A2" w:rsidRPr="00D415A2">
        <w:t xml:space="preserve">The </w:t>
      </w:r>
      <w:proofErr w:type="spellStart"/>
      <w:r w:rsidR="00D415A2" w:rsidRPr="00D415A2">
        <w:t>Anticybersquatting</w:t>
      </w:r>
      <w:proofErr w:type="spellEnd"/>
      <w:r w:rsidR="00D415A2" w:rsidRPr="00D415A2">
        <w:t xml:space="preserve"> Statute</w:t>
      </w:r>
    </w:p>
    <w:p w14:paraId="769AC247" w14:textId="27D64E9C" w:rsidR="00AC48F2" w:rsidRPr="00D415A2" w:rsidRDefault="00B41CE6" w:rsidP="00D415A2">
      <w:pPr>
        <w:pStyle w:val="BNormal"/>
      </w:pPr>
      <w:r w:rsidRPr="00D415A2">
        <w:t xml:space="preserve">Another relevant statute, passed in late 1999, is the </w:t>
      </w:r>
      <w:proofErr w:type="spellStart"/>
      <w:r w:rsidRPr="00D415A2">
        <w:t>Anticybersquatting</w:t>
      </w:r>
      <w:proofErr w:type="spellEnd"/>
      <w:r w:rsidRPr="00D415A2">
        <w:t xml:space="preserve"> Consumer Protection Act (ACPA), which provides a specific remedy for trademark owners whose well-known marks have been registered by unauthorized persons as domain names on the Internet.</w:t>
      </w:r>
      <w:r w:rsidR="00D415A2" w:rsidRPr="00D415A2">
        <w:rPr>
          <w:vertAlign w:val="superscript"/>
        </w:rPr>
        <w:footnoteReference w:id="128"/>
      </w:r>
      <w:r w:rsidRPr="00D415A2">
        <w:t xml:space="preserve"> Recovery under the ACPA requires the plaintiff to show that the defendant has “a bad faith intent to profit” by “register[</w:t>
      </w:r>
      <w:proofErr w:type="spellStart"/>
      <w:r w:rsidRPr="00D415A2">
        <w:t>ing</w:t>
      </w:r>
      <w:proofErr w:type="spellEnd"/>
      <w:r w:rsidRPr="00D415A2">
        <w:t>], traffic[king] in, or us[</w:t>
      </w:r>
      <w:proofErr w:type="spellStart"/>
      <w:r w:rsidRPr="00D415A2">
        <w:t>ing</w:t>
      </w:r>
      <w:proofErr w:type="spellEnd"/>
      <w:r w:rsidRPr="00D415A2">
        <w:t>]” domain names that are, in essence, the plaintiff’s trademark</w:t>
      </w:r>
      <w:r w:rsidR="00D415A2" w:rsidRPr="00D415A2">
        <w:rPr>
          <w:vertAlign w:val="superscript"/>
        </w:rPr>
        <w:footnoteReference w:id="129"/>
      </w:r>
      <w:r w:rsidRPr="00D415A2">
        <w:t xml:space="preserve"> if they cause confusion or, in the case of famous marks, if they dilute the plaintiff’s mark.</w:t>
      </w:r>
      <w:r w:rsidR="00D415A2" w:rsidRPr="00D415A2">
        <w:rPr>
          <w:vertAlign w:val="superscript"/>
        </w:rPr>
        <w:footnoteReference w:id="130"/>
      </w:r>
      <w:r w:rsidRPr="00D415A2">
        <w:t xml:space="preserve"> In determining “bad faith intent to profit,” courts may consider “the extent to which the mark incorporated in the person’s domain name registration is or is not distinctive and famous within the meaning of subsection (c)(1) of section 43 [i.e., the TDRA].”</w:t>
      </w:r>
      <w:r w:rsidR="00D415A2" w:rsidRPr="00D415A2">
        <w:rPr>
          <w:vertAlign w:val="superscript"/>
        </w:rPr>
        <w:footnoteReference w:id="131"/>
      </w:r>
      <w:r w:rsidRPr="00D415A2">
        <w:t xml:space="preserve"> Thus, there is a synergy between the TDRA and the ACPA</w:t>
      </w:r>
      <w:r w:rsidR="00AC48F2" w:rsidRPr="00D415A2">
        <w:t>. T</w:t>
      </w:r>
      <w:r w:rsidRPr="00D415A2">
        <w:t>he possible interplay between the ACPA and the TDRA is discussed later in this text.</w:t>
      </w:r>
      <w:r w:rsidR="00D415A2" w:rsidRPr="00D415A2">
        <w:rPr>
          <w:vertAlign w:val="superscript"/>
        </w:rPr>
        <w:footnoteReference w:id="132"/>
      </w:r>
    </w:p>
    <w:p w14:paraId="4E7E0623" w14:textId="4DE6E11D" w:rsidR="00D415A2" w:rsidRPr="00D415A2" w:rsidRDefault="00B3596F" w:rsidP="004305AA">
      <w:pPr>
        <w:pStyle w:val="BHead1"/>
      </w:pPr>
      <w:r>
        <w:t>6.</w:t>
      </w:r>
      <w:r w:rsidR="00D415A2" w:rsidRPr="00B3596F">
        <w:rPr>
          <w:rStyle w:val="BBNAidChar"/>
          <w:rFonts w:eastAsiaTheme="majorEastAsia"/>
        </w:rPr>
        <w:t>V</w:t>
      </w:r>
      <w:r w:rsidR="00D415A2" w:rsidRPr="00D415A2">
        <w:t>.</w:t>
      </w:r>
      <w:r>
        <w:t xml:space="preserve">  </w:t>
      </w:r>
      <w:r w:rsidR="00D415A2" w:rsidRPr="00D415A2">
        <w:t>The TDRA: Statutory Highlights</w:t>
      </w:r>
    </w:p>
    <w:p w14:paraId="79AA9A22" w14:textId="03A89DDA" w:rsidR="00AC48F2" w:rsidRPr="00D415A2" w:rsidRDefault="00B41CE6" w:rsidP="00D415A2">
      <w:pPr>
        <w:pStyle w:val="BNormal"/>
      </w:pPr>
      <w:r w:rsidRPr="00D415A2">
        <w:t>The various aspects of the TDRA (and its predecessor, the FTDA) will be discussed in detail in succeeding chapters</w:t>
      </w:r>
      <w:r w:rsidR="00AC48F2" w:rsidRPr="00D415A2">
        <w:t>. T</w:t>
      </w:r>
      <w:r w:rsidRPr="00D415A2">
        <w:t>his section sets forth the major innovations included in the statute.</w:t>
      </w:r>
    </w:p>
    <w:p w14:paraId="002923ED" w14:textId="66D5D13B" w:rsidR="00AC48F2" w:rsidRPr="00D415A2" w:rsidRDefault="00AC48F2" w:rsidP="00D415A2">
      <w:pPr>
        <w:pStyle w:val="BListitembul"/>
      </w:pPr>
      <w:r w:rsidRPr="000779AB">
        <w:rPr>
          <w:i/>
          <w:iCs/>
        </w:rPr>
        <w:t xml:space="preserve">A requirement </w:t>
      </w:r>
      <w:proofErr w:type="gramStart"/>
      <w:r w:rsidRPr="000779AB">
        <w:rPr>
          <w:i/>
          <w:iCs/>
        </w:rPr>
        <w:t>of</w:t>
      </w:r>
      <w:proofErr w:type="gramEnd"/>
      <w:r w:rsidRPr="000779AB">
        <w:rPr>
          <w:i/>
          <w:iCs/>
        </w:rPr>
        <w:t xml:space="preserve"> a famous mark</w:t>
      </w:r>
      <w:r w:rsidRPr="00D415A2">
        <w:t>. T</w:t>
      </w:r>
      <w:r w:rsidR="00B41CE6" w:rsidRPr="00D415A2">
        <w:t>he TDRA reserves its protection for marks that are deemed “famous,” as that term is defined in the statute</w:t>
      </w:r>
      <w:r w:rsidRPr="00D415A2">
        <w:t>. T</w:t>
      </w:r>
      <w:r w:rsidR="00B41CE6" w:rsidRPr="00D415A2">
        <w:t xml:space="preserve">he statute also </w:t>
      </w:r>
      <w:proofErr w:type="gramStart"/>
      <w:r w:rsidR="00B41CE6" w:rsidRPr="00D415A2">
        <w:t>sets forth</w:t>
      </w:r>
      <w:proofErr w:type="gramEnd"/>
      <w:r w:rsidR="00B41CE6" w:rsidRPr="00D415A2">
        <w:t xml:space="preserve"> four factors to guide the courts in their consideration of whether a mark is famous.</w:t>
      </w:r>
      <w:r w:rsidR="00D415A2" w:rsidRPr="00D415A2">
        <w:rPr>
          <w:vertAlign w:val="superscript"/>
        </w:rPr>
        <w:footnoteReference w:id="133"/>
      </w:r>
    </w:p>
    <w:p w14:paraId="410562CA" w14:textId="33C8AB50" w:rsidR="00AC48F2" w:rsidRPr="00D415A2" w:rsidRDefault="00AC48F2" w:rsidP="00D415A2">
      <w:pPr>
        <w:pStyle w:val="BListitembul"/>
      </w:pPr>
      <w:r w:rsidRPr="000779AB">
        <w:rPr>
          <w:i/>
          <w:iCs/>
        </w:rPr>
        <w:t>A definition of dilution</w:t>
      </w:r>
      <w:r w:rsidRPr="00D415A2">
        <w:t>. T</w:t>
      </w:r>
      <w:r w:rsidR="00B41CE6" w:rsidRPr="00D415A2">
        <w:t>he statute separately defines two categories of dilution</w:t>
      </w:r>
      <w:r w:rsidRPr="00D415A2">
        <w:t>: “</w:t>
      </w:r>
      <w:r w:rsidR="00B41CE6" w:rsidRPr="00D415A2">
        <w:t>dilution by blurring”</w:t>
      </w:r>
      <w:r w:rsidR="00D415A2" w:rsidRPr="00D415A2">
        <w:rPr>
          <w:vertAlign w:val="superscript"/>
        </w:rPr>
        <w:footnoteReference w:id="134"/>
      </w:r>
      <w:r w:rsidR="00B41CE6" w:rsidRPr="00D415A2">
        <w:t xml:space="preserve"> and “dilution by </w:t>
      </w:r>
      <w:proofErr w:type="spellStart"/>
      <w:r w:rsidR="00B41CE6" w:rsidRPr="00D415A2">
        <w:t>tarnishment</w:t>
      </w:r>
      <w:proofErr w:type="spellEnd"/>
      <w:r w:rsidR="00B41CE6" w:rsidRPr="00D415A2">
        <w:t>.”</w:t>
      </w:r>
      <w:r w:rsidR="00D415A2" w:rsidRPr="00D415A2">
        <w:rPr>
          <w:vertAlign w:val="superscript"/>
        </w:rPr>
        <w:footnoteReference w:id="135"/>
      </w:r>
      <w:r w:rsidR="00B41CE6" w:rsidRPr="00D415A2">
        <w:t xml:space="preserve"> The definition of dilution by blurring also sets forth six factors to guide the courts in their analyses.</w:t>
      </w:r>
      <w:r w:rsidR="00D415A2" w:rsidRPr="00D415A2">
        <w:rPr>
          <w:vertAlign w:val="superscript"/>
        </w:rPr>
        <w:footnoteReference w:id="136"/>
      </w:r>
    </w:p>
    <w:p w14:paraId="05D666E8" w14:textId="3460DE9A" w:rsidR="00AC48F2" w:rsidRPr="00D415A2" w:rsidRDefault="00AC48F2" w:rsidP="00D415A2">
      <w:pPr>
        <w:pStyle w:val="BListitembul"/>
      </w:pPr>
      <w:r w:rsidRPr="000779AB">
        <w:rPr>
          <w:i/>
          <w:iCs/>
        </w:rPr>
        <w:t>Dilution applies to both competitors and noncompetitors</w:t>
      </w:r>
      <w:r w:rsidRPr="00D415A2">
        <w:t>. T</w:t>
      </w:r>
      <w:r w:rsidR="00B41CE6" w:rsidRPr="00D415A2">
        <w:t>he definition of dilution states that dilution can exist between competitors as well as noncompetitors.</w:t>
      </w:r>
      <w:r w:rsidR="00D415A2" w:rsidRPr="00D415A2">
        <w:rPr>
          <w:vertAlign w:val="superscript"/>
        </w:rPr>
        <w:footnoteReference w:id="137"/>
      </w:r>
    </w:p>
    <w:p w14:paraId="015CC224" w14:textId="034878D0" w:rsidR="00AC48F2" w:rsidRPr="00D415A2" w:rsidRDefault="00AC48F2" w:rsidP="00D415A2">
      <w:pPr>
        <w:pStyle w:val="BListitembul"/>
      </w:pPr>
      <w:r w:rsidRPr="000779AB">
        <w:rPr>
          <w:i/>
          <w:iCs/>
        </w:rPr>
        <w:t>Specific defenses to/exclusions from a dilution claim</w:t>
      </w:r>
      <w:r w:rsidRPr="00D415A2">
        <w:t>. T</w:t>
      </w:r>
      <w:r w:rsidR="00B41CE6" w:rsidRPr="00D415A2">
        <w:t>he TDRA includes three specific exclusions from a dilution claim</w:t>
      </w:r>
      <w:r w:rsidRPr="00D415A2">
        <w:t>: f</w:t>
      </w:r>
      <w:r w:rsidR="00B41CE6" w:rsidRPr="00D415A2">
        <w:t>air use in comparative advertising</w:t>
      </w:r>
      <w:r w:rsidRPr="00D415A2">
        <w:t>; p</w:t>
      </w:r>
      <w:r w:rsidR="00B41CE6" w:rsidRPr="00D415A2">
        <w:t>arody, and criticism, noncommercial use</w:t>
      </w:r>
      <w:r w:rsidRPr="00D415A2">
        <w:t>; a</w:t>
      </w:r>
      <w:r w:rsidR="00B41CE6" w:rsidRPr="00D415A2">
        <w:t>nd news reporting and commentary.</w:t>
      </w:r>
      <w:r w:rsidR="00D415A2" w:rsidRPr="00D415A2">
        <w:rPr>
          <w:vertAlign w:val="superscript"/>
        </w:rPr>
        <w:footnoteReference w:id="138"/>
      </w:r>
    </w:p>
    <w:p w14:paraId="6C757632" w14:textId="0E4F8641" w:rsidR="00AC48F2" w:rsidRPr="00D415A2" w:rsidRDefault="00AC48F2" w:rsidP="00D415A2">
      <w:pPr>
        <w:pStyle w:val="BListitembul"/>
      </w:pPr>
      <w:proofErr w:type="gramStart"/>
      <w:r w:rsidRPr="000779AB">
        <w:rPr>
          <w:i/>
          <w:iCs/>
        </w:rPr>
        <w:t>Damages</w:t>
      </w:r>
      <w:proofErr w:type="gramEnd"/>
      <w:r w:rsidRPr="000779AB">
        <w:rPr>
          <w:i/>
          <w:iCs/>
        </w:rPr>
        <w:t xml:space="preserve"> may be awarded for willful violations</w:t>
      </w:r>
      <w:r w:rsidRPr="00D415A2">
        <w:t>. A</w:t>
      </w:r>
      <w:r w:rsidR="00B41CE6" w:rsidRPr="00D415A2">
        <w:t>lthough the usual remedy for dilution is an injunction, the TDRA permits damages awards in limited circumstances for specified “willful” acts of dilution.</w:t>
      </w:r>
      <w:r w:rsidR="00D415A2" w:rsidRPr="00D415A2">
        <w:rPr>
          <w:vertAlign w:val="superscript"/>
        </w:rPr>
        <w:footnoteReference w:id="139"/>
      </w:r>
    </w:p>
    <w:p w14:paraId="635C7924" w14:textId="1BDE120E" w:rsidR="00AC48F2" w:rsidRPr="00D415A2" w:rsidRDefault="00AC48F2" w:rsidP="00D415A2">
      <w:pPr>
        <w:pStyle w:val="BListitembul"/>
      </w:pPr>
      <w:r w:rsidRPr="000779AB">
        <w:rPr>
          <w:i/>
          <w:iCs/>
        </w:rPr>
        <w:t>State laws are not preempted</w:t>
      </w:r>
      <w:r w:rsidRPr="00D415A2">
        <w:t>. C</w:t>
      </w:r>
      <w:r w:rsidR="00B41CE6" w:rsidRPr="00D415A2">
        <w:t xml:space="preserve">ongress intended to permit state laws to continue to </w:t>
      </w:r>
      <w:proofErr w:type="gramStart"/>
      <w:r w:rsidR="00B41CE6" w:rsidRPr="00D415A2">
        <w:t>exist,</w:t>
      </w:r>
      <w:proofErr w:type="gramEnd"/>
      <w:r w:rsidR="00B41CE6" w:rsidRPr="00D415A2">
        <w:t xml:space="preserve"> primarily to protect locally famous marks.</w:t>
      </w:r>
      <w:r w:rsidR="00D415A2" w:rsidRPr="00D415A2">
        <w:rPr>
          <w:vertAlign w:val="superscript"/>
        </w:rPr>
        <w:footnoteReference w:id="140"/>
      </w:r>
      <w:r w:rsidR="00B41CE6" w:rsidRPr="00D415A2">
        <w:t xml:space="preserve"> State laws are preempted in one respect</w:t>
      </w:r>
      <w:r w:rsidRPr="00D415A2">
        <w:t>: s</w:t>
      </w:r>
      <w:r w:rsidR="00B41CE6" w:rsidRPr="00D415A2">
        <w:t>tate dilution claims against federally registered marks are barred.</w:t>
      </w:r>
      <w:r w:rsidR="00D415A2" w:rsidRPr="00D415A2">
        <w:rPr>
          <w:vertAlign w:val="superscript"/>
        </w:rPr>
        <w:footnoteReference w:id="141"/>
      </w:r>
    </w:p>
    <w:p w14:paraId="369588CD" w14:textId="31677489" w:rsidR="00AC48F2" w:rsidRPr="00D415A2" w:rsidRDefault="00AC48F2" w:rsidP="00D415A2">
      <w:pPr>
        <w:pStyle w:val="BListitembul"/>
      </w:pPr>
      <w:r w:rsidRPr="000779AB">
        <w:rPr>
          <w:i/>
          <w:iCs/>
        </w:rPr>
        <w:t>Dilution may be used to oppose or cancel registrations</w:t>
      </w:r>
      <w:r w:rsidRPr="00D415A2">
        <w:t>. U</w:t>
      </w:r>
      <w:r w:rsidR="00B41CE6" w:rsidRPr="00D415A2">
        <w:t xml:space="preserve">nder the 1999 amendments to the FTDA, owners of famous marks may initiate opposition or cancellation proceedings if they believe </w:t>
      </w:r>
      <w:proofErr w:type="gramStart"/>
      <w:r w:rsidR="00B41CE6" w:rsidRPr="00D415A2">
        <w:t>a registration</w:t>
      </w:r>
      <w:proofErr w:type="gramEnd"/>
      <w:r w:rsidR="00B41CE6" w:rsidRPr="00D415A2">
        <w:t xml:space="preserve"> will cause dilution as defined in the TDRA.</w:t>
      </w:r>
      <w:r w:rsidR="00D415A2" w:rsidRPr="00D415A2">
        <w:rPr>
          <w:vertAlign w:val="superscript"/>
        </w:rPr>
        <w:footnoteReference w:id="142"/>
      </w:r>
    </w:p>
    <w:p w14:paraId="6C940A6A" w14:textId="2D56FA8A" w:rsidR="00D415A2" w:rsidRPr="008513D7" w:rsidRDefault="00B3596F" w:rsidP="008513D7">
      <w:pPr>
        <w:pStyle w:val="BHead1"/>
      </w:pPr>
      <w:r>
        <w:t>6.</w:t>
      </w:r>
      <w:r w:rsidR="00D415A2" w:rsidRPr="00B3596F">
        <w:rPr>
          <w:rStyle w:val="BBNAidChar"/>
          <w:rFonts w:eastAsiaTheme="majorEastAsia"/>
        </w:rPr>
        <w:t>VI</w:t>
      </w:r>
      <w:r w:rsidR="00D415A2" w:rsidRPr="008513D7">
        <w:t>.</w:t>
      </w:r>
      <w:r>
        <w:t xml:space="preserve">  </w:t>
      </w:r>
      <w:r w:rsidR="00D415A2" w:rsidRPr="008513D7">
        <w:t>A Summary of Major Differences Between</w:t>
      </w:r>
      <w:r w:rsidR="008513D7" w:rsidRPr="008513D7">
        <w:t xml:space="preserve"> </w:t>
      </w:r>
      <w:r w:rsidR="00D415A2" w:rsidRPr="008513D7">
        <w:t>State Laws and Federal Law</w:t>
      </w:r>
    </w:p>
    <w:p w14:paraId="5CD44E30" w14:textId="32DF7A4F" w:rsidR="00AC48F2" w:rsidRPr="00D415A2" w:rsidRDefault="00B41CE6" w:rsidP="00D415A2">
      <w:pPr>
        <w:pStyle w:val="BNormal"/>
      </w:pPr>
      <w:r w:rsidRPr="00D415A2">
        <w:t>Although the FTDA created a new federal claim, dilution claims had been effectuated for many years under state law</w:t>
      </w:r>
      <w:r w:rsidR="00AC48F2" w:rsidRPr="00D415A2">
        <w:t>. T</w:t>
      </w:r>
      <w:r w:rsidRPr="00D415A2">
        <w:t>he FTDA incorporated some of the common components of state laws</w:t>
      </w:r>
      <w:r w:rsidR="00AC48F2" w:rsidRPr="00D415A2">
        <w:t>; h</w:t>
      </w:r>
      <w:r w:rsidRPr="00D415A2">
        <w:t>owever, there are some important differences between the FTDA and its amended version, the TDRA, and the state laws that existed in 1995.</w:t>
      </w:r>
      <w:r w:rsidR="00D415A2" w:rsidRPr="00D415A2">
        <w:rPr>
          <w:vertAlign w:val="superscript"/>
        </w:rPr>
        <w:footnoteReference w:id="143"/>
      </w:r>
    </w:p>
    <w:p w14:paraId="40B84AE4" w14:textId="28C38974" w:rsidR="00AC48F2" w:rsidRPr="00D415A2" w:rsidRDefault="00B41CE6" w:rsidP="00D415A2">
      <w:pPr>
        <w:pStyle w:val="BNormal"/>
      </w:pPr>
      <w:r w:rsidRPr="00D415A2">
        <w:t>First, some state laws do not require that a mark be “famous” (or even “well known”) to be protected against dilution.</w:t>
      </w:r>
      <w:r w:rsidR="00D415A2" w:rsidRPr="00D415A2">
        <w:rPr>
          <w:vertAlign w:val="superscript"/>
        </w:rPr>
        <w:footnoteReference w:id="144"/>
      </w:r>
      <w:r w:rsidRPr="00D415A2">
        <w:t xml:space="preserve"> Although they are no longer in the majority, several important states still have such statutes.</w:t>
      </w:r>
      <w:r w:rsidR="00D415A2" w:rsidRPr="00D415A2">
        <w:rPr>
          <w:vertAlign w:val="superscript"/>
        </w:rPr>
        <w:footnoteReference w:id="145"/>
      </w:r>
      <w:r w:rsidRPr="00D415A2">
        <w:t xml:space="preserve"> In some of these states, courts have indicated that any mark deemed distinctive can be protected by the state’s dilution law.</w:t>
      </w:r>
      <w:r w:rsidR="00D415A2" w:rsidRPr="00D415A2">
        <w:rPr>
          <w:vertAlign w:val="superscript"/>
        </w:rPr>
        <w:footnoteReference w:id="146"/>
      </w:r>
      <w:r w:rsidRPr="00D415A2">
        <w:t xml:space="preserve"> Obviously, this is a much lower standard than fame</w:t>
      </w:r>
      <w:r w:rsidR="00AC48F2" w:rsidRPr="00D415A2">
        <w:t>. I</w:t>
      </w:r>
      <w:r w:rsidRPr="00D415A2">
        <w:t>n many other states, courts have required that marks be “strong” or even “very strong” before they can be protected by the state’s dilution law.</w:t>
      </w:r>
      <w:r w:rsidR="00D415A2" w:rsidRPr="00D415A2">
        <w:rPr>
          <w:vertAlign w:val="superscript"/>
        </w:rPr>
        <w:footnoteReference w:id="147"/>
      </w:r>
      <w:r w:rsidRPr="00D415A2">
        <w:t xml:space="preserve"> However, statutes based on the 1964 Model Bill contain no guidance for such a decision.</w:t>
      </w:r>
      <w:r w:rsidR="00D415A2" w:rsidRPr="00D415A2">
        <w:rPr>
          <w:vertAlign w:val="superscript"/>
        </w:rPr>
        <w:footnoteReference w:id="148"/>
      </w:r>
      <w:r w:rsidRPr="00D415A2">
        <w:t xml:space="preserve"> Newer statutes, most of them enacted after the FTDA’s passage, require a mark to be “famous in this state.”</w:t>
      </w:r>
      <w:r w:rsidR="00D415A2" w:rsidRPr="00D415A2">
        <w:rPr>
          <w:vertAlign w:val="superscript"/>
        </w:rPr>
        <w:footnoteReference w:id="149"/>
      </w:r>
      <w:r w:rsidRPr="00D415A2">
        <w:t xml:space="preserve"> Almost all of those statutes use most or all of the eight factors listed in the original FTDA for determining fame.</w:t>
      </w:r>
    </w:p>
    <w:p w14:paraId="0BD37809" w14:textId="0989FB5C" w:rsidR="00AC48F2" w:rsidRPr="00D415A2" w:rsidRDefault="00B41CE6" w:rsidP="00D415A2">
      <w:pPr>
        <w:pStyle w:val="BNormal"/>
      </w:pPr>
      <w:r w:rsidRPr="00D415A2">
        <w:t>Unlike the state laws patterned after the 1964 Model Bill, the FTDA and TDRA contain definitions of dilution.</w:t>
      </w:r>
      <w:r w:rsidR="00D415A2" w:rsidRPr="00D415A2">
        <w:rPr>
          <w:vertAlign w:val="superscript"/>
        </w:rPr>
        <w:footnoteReference w:id="150"/>
      </w:r>
      <w:r w:rsidRPr="00D415A2">
        <w:t xml:space="preserve"> Moreover, unlike all but five of the state laws,</w:t>
      </w:r>
      <w:r w:rsidR="00D415A2" w:rsidRPr="00D415A2">
        <w:rPr>
          <w:vertAlign w:val="superscript"/>
        </w:rPr>
        <w:footnoteReference w:id="151"/>
      </w:r>
      <w:r w:rsidRPr="00D415A2">
        <w:t xml:space="preserve"> the TDRA divides dilution into two categories, dilution by blurring and dilution by </w:t>
      </w:r>
      <w:proofErr w:type="spellStart"/>
      <w:r w:rsidRPr="00D415A2">
        <w:t>tarnishment</w:t>
      </w:r>
      <w:proofErr w:type="spellEnd"/>
      <w:r w:rsidRPr="00D415A2">
        <w:t>, each with its own definition</w:t>
      </w:r>
      <w:r w:rsidR="00AC48F2" w:rsidRPr="00D415A2">
        <w:t>. T</w:t>
      </w:r>
      <w:r w:rsidRPr="00D415A2">
        <w:t xml:space="preserve">he newer state laws generally contain a single definition of dilution that is the same as or </w:t>
      </w:r>
      <w:proofErr w:type="gramStart"/>
      <w:r w:rsidRPr="00D415A2">
        <w:t>similar to</w:t>
      </w:r>
      <w:proofErr w:type="gramEnd"/>
      <w:r w:rsidRPr="00D415A2">
        <w:t xml:space="preserve"> the original FTDA definition.</w:t>
      </w:r>
      <w:r w:rsidR="00D415A2" w:rsidRPr="00D415A2">
        <w:rPr>
          <w:vertAlign w:val="superscript"/>
        </w:rPr>
        <w:footnoteReference w:id="152"/>
      </w:r>
      <w:r w:rsidRPr="00D415A2">
        <w:t xml:space="preserve"> (This may change if more states adopt the 2007 version of the Model Bill, which was patterned after the TDRA.</w:t>
      </w:r>
      <w:r w:rsidR="00D415A2" w:rsidRPr="00D415A2">
        <w:rPr>
          <w:vertAlign w:val="superscript"/>
        </w:rPr>
        <w:footnoteReference w:id="153"/>
      </w:r>
      <w:r w:rsidRPr="00D415A2">
        <w:t>)</w:t>
      </w:r>
    </w:p>
    <w:p w14:paraId="78D1E0D8" w14:textId="6CE02A92" w:rsidR="00AC48F2" w:rsidRPr="00D415A2" w:rsidRDefault="00B41CE6" w:rsidP="00D415A2">
      <w:pPr>
        <w:pStyle w:val="BNormal"/>
      </w:pPr>
      <w:r w:rsidRPr="00D415A2">
        <w:t>The Supreme Court’s interpretation of the FTDA,</w:t>
      </w:r>
      <w:r w:rsidR="00D415A2" w:rsidRPr="00D415A2">
        <w:rPr>
          <w:vertAlign w:val="superscript"/>
        </w:rPr>
        <w:footnoteReference w:id="154"/>
      </w:r>
      <w:r w:rsidRPr="00D415A2">
        <w:t xml:space="preserve"> and the subsequent revision of the FTDA by the TDRA, may lead to </w:t>
      </w:r>
      <w:proofErr w:type="gramStart"/>
      <w:r w:rsidRPr="00D415A2">
        <w:t>a significant</w:t>
      </w:r>
      <w:proofErr w:type="gramEnd"/>
      <w:r w:rsidRPr="00D415A2">
        <w:t xml:space="preserve"> differentiation between state and federal laws</w:t>
      </w:r>
      <w:r w:rsidR="00AC48F2" w:rsidRPr="00D415A2">
        <w:t>. S</w:t>
      </w:r>
      <w:r w:rsidRPr="00D415A2">
        <w:t>tate laws patterned after the 1964 or 2007 Model Bill require only a showing of “likelihood of dilution,”</w:t>
      </w:r>
      <w:r w:rsidR="00D415A2" w:rsidRPr="00D415A2">
        <w:rPr>
          <w:vertAlign w:val="superscript"/>
        </w:rPr>
        <w:footnoteReference w:id="155"/>
      </w:r>
      <w:r w:rsidRPr="00D415A2">
        <w:t xml:space="preserve"> which is the standard now in effect after the TDRA</w:t>
      </w:r>
      <w:r w:rsidR="00AC48F2" w:rsidRPr="00D415A2">
        <w:t>. H</w:t>
      </w:r>
      <w:r w:rsidRPr="00D415A2">
        <w:t>owever, under the Supreme Court’s ruling, the original FTDA required a showing of some actual dilution.</w:t>
      </w:r>
      <w:r w:rsidR="00D415A2" w:rsidRPr="00D415A2">
        <w:rPr>
          <w:vertAlign w:val="superscript"/>
        </w:rPr>
        <w:footnoteReference w:id="156"/>
      </w:r>
      <w:r w:rsidRPr="00D415A2">
        <w:t xml:space="preserve"> If courts interpreting state laws patterned after the original FTDA (i.e., states (except Florida) whose statutes are patterned after the 1992 or 1996 Model Bill) follow that interpretation, the results will be more stringent than the current federal dilution standard</w:t>
      </w:r>
      <w:r w:rsidR="00AC48F2" w:rsidRPr="00D415A2">
        <w:t>. M</w:t>
      </w:r>
      <w:r w:rsidRPr="00D415A2">
        <w:t xml:space="preserve">oreover, while the TDRA makes it clear that federal law protects against dilution by </w:t>
      </w:r>
      <w:proofErr w:type="spellStart"/>
      <w:r w:rsidRPr="00D415A2">
        <w:t>tarnishment</w:t>
      </w:r>
      <w:proofErr w:type="spellEnd"/>
      <w:r w:rsidRPr="00D415A2">
        <w:t>, and while those states with older statutes expressly protect against “likelihood of injury to business reputation,”</w:t>
      </w:r>
      <w:r w:rsidR="00D415A2" w:rsidRPr="00D415A2">
        <w:rPr>
          <w:vertAlign w:val="superscript"/>
        </w:rPr>
        <w:footnoteReference w:id="157"/>
      </w:r>
      <w:r w:rsidRPr="00D415A2">
        <w:t xml:space="preserve"> the Supreme Court’s interpretation of the FTDA has placed in doubt the status of </w:t>
      </w:r>
      <w:proofErr w:type="spellStart"/>
      <w:r w:rsidRPr="00D415A2">
        <w:t>tarnishment</w:t>
      </w:r>
      <w:proofErr w:type="spellEnd"/>
      <w:r w:rsidRPr="00D415A2">
        <w:t xml:space="preserve"> claims under state laws patterned after the FTDA.</w:t>
      </w:r>
      <w:r w:rsidR="00D415A2" w:rsidRPr="00D415A2">
        <w:rPr>
          <w:vertAlign w:val="superscript"/>
        </w:rPr>
        <w:footnoteReference w:id="158"/>
      </w:r>
    </w:p>
    <w:p w14:paraId="253A642F" w14:textId="247E9BC4" w:rsidR="00AC48F2" w:rsidRPr="00D415A2" w:rsidRDefault="00B41CE6" w:rsidP="00D415A2">
      <w:pPr>
        <w:pStyle w:val="BNormal"/>
      </w:pPr>
      <w:r w:rsidRPr="00D415A2">
        <w:t>Under both state and federal laws, an injunction may be issued against diluting second uses</w:t>
      </w:r>
      <w:r w:rsidR="00AC48F2" w:rsidRPr="00D415A2">
        <w:t>. H</w:t>
      </w:r>
      <w:r w:rsidRPr="00D415A2">
        <w:t>owever, the TDRA goes further and permits an award of damages against one who “willfully intend[s] to trade on the recognition of the famous mark” or “willfully intend[s] to harm the reputation of the famous mark.”</w:t>
      </w:r>
      <w:r w:rsidR="00D415A2" w:rsidRPr="00D415A2">
        <w:rPr>
          <w:vertAlign w:val="superscript"/>
        </w:rPr>
        <w:footnoteReference w:id="159"/>
      </w:r>
      <w:r w:rsidRPr="00D415A2">
        <w:t xml:space="preserve"> Moreover, when acting under federal law, courts clearly can issue a nationwide injunction should they believe that it is appropriate</w:t>
      </w:r>
      <w:r w:rsidR="00AC48F2" w:rsidRPr="00D415A2">
        <w:t>. U</w:t>
      </w:r>
      <w:r w:rsidRPr="00D415A2">
        <w:t>nder state law, some courts have hesitated to grant such injunctions,</w:t>
      </w:r>
      <w:r w:rsidR="00D415A2" w:rsidRPr="00D415A2">
        <w:rPr>
          <w:vertAlign w:val="superscript"/>
        </w:rPr>
        <w:footnoteReference w:id="160"/>
      </w:r>
      <w:r w:rsidRPr="00D415A2">
        <w:t xml:space="preserve"> and the constitutionality of issuing such injunctions under state law is open to question.</w:t>
      </w:r>
      <w:r w:rsidR="00D415A2" w:rsidRPr="00D415A2">
        <w:rPr>
          <w:vertAlign w:val="superscript"/>
        </w:rPr>
        <w:footnoteReference w:id="161"/>
      </w:r>
    </w:p>
    <w:p w14:paraId="52D25586" w14:textId="34E03BD7" w:rsidR="00AC48F2" w:rsidRPr="00D415A2" w:rsidRDefault="00B41CE6" w:rsidP="00D415A2">
      <w:pPr>
        <w:pStyle w:val="BNormal"/>
      </w:pPr>
      <w:r w:rsidRPr="00D415A2">
        <w:t>Finally, the TDRA contains specific exclusions</w:t>
      </w:r>
      <w:r w:rsidR="00AC48F2" w:rsidRPr="00D415A2">
        <w:t>: a</w:t>
      </w:r>
      <w:r w:rsidRPr="00D415A2">
        <w:t xml:space="preserve"> “fair use” exclusion (including comparative advertising and both descriptive and nominative uses), use in news reporting and commentary, and noncommercial use.</w:t>
      </w:r>
      <w:r w:rsidR="00D415A2" w:rsidRPr="00D415A2">
        <w:rPr>
          <w:vertAlign w:val="superscript"/>
        </w:rPr>
        <w:footnoteReference w:id="162"/>
      </w:r>
      <w:r w:rsidRPr="00D415A2">
        <w:t xml:space="preserve"> Any state law patterned after the 1964 Model Bill or the 1992 Model Bill contains none of these exclusions</w:t>
      </w:r>
      <w:r w:rsidR="00AC48F2" w:rsidRPr="00D415A2">
        <w:t>. H</w:t>
      </w:r>
      <w:r w:rsidRPr="00D415A2">
        <w:t>owever, analogies to the TDRA provisions may be used under those state laws.</w:t>
      </w:r>
      <w:r w:rsidR="00D415A2" w:rsidRPr="00D415A2">
        <w:rPr>
          <w:vertAlign w:val="superscript"/>
        </w:rPr>
        <w:footnoteReference w:id="163"/>
      </w:r>
    </w:p>
    <w:p w14:paraId="138A9BEA" w14:textId="28DA3D5E" w:rsidR="00AC48F2" w:rsidRPr="00D415A2" w:rsidRDefault="00B41CE6" w:rsidP="00D415A2">
      <w:pPr>
        <w:pStyle w:val="BNormal"/>
      </w:pPr>
      <w:r w:rsidRPr="00D415A2">
        <w:t>Although the TDRA sets a national standard for trademark dilution, it does not expressly preempt state dilution laws</w:t>
      </w:r>
      <w:r w:rsidR="00AC48F2" w:rsidRPr="00D415A2">
        <w:t>. I</w:t>
      </w:r>
      <w:r w:rsidRPr="00D415A2">
        <w:t xml:space="preserve">nstead, Section 43(c)(6) grants </w:t>
      </w:r>
      <w:proofErr w:type="gramStart"/>
      <w:r w:rsidRPr="00D415A2">
        <w:t>a complete</w:t>
      </w:r>
      <w:proofErr w:type="gramEnd"/>
      <w:r w:rsidRPr="00D415A2">
        <w:t xml:space="preserve"> defense to a state dilution claim to the owner of a federally registered mark.</w:t>
      </w:r>
      <w:r w:rsidR="00D415A2" w:rsidRPr="00D415A2">
        <w:rPr>
          <w:vertAlign w:val="superscript"/>
        </w:rPr>
        <w:footnoteReference w:id="164"/>
      </w:r>
      <w:r w:rsidRPr="00D415A2">
        <w:t xml:space="preserve"> Otherwise, state dilution laws are intended to coexist with federal law.</w:t>
      </w:r>
      <w:r w:rsidR="00D415A2" w:rsidRPr="00D415A2">
        <w:rPr>
          <w:vertAlign w:val="superscript"/>
        </w:rPr>
        <w:footnoteReference w:id="165"/>
      </w:r>
    </w:p>
    <w:p w14:paraId="66219334" w14:textId="50CDF547" w:rsidR="00AC48F2" w:rsidRPr="00D415A2" w:rsidRDefault="00B41CE6" w:rsidP="00D415A2">
      <w:pPr>
        <w:pStyle w:val="BNormal"/>
      </w:pPr>
      <w:r w:rsidRPr="00D415A2">
        <w:t xml:space="preserve">Notably, after the passage of the FTDA, </w:t>
      </w:r>
      <w:proofErr w:type="gramStart"/>
      <w:r w:rsidRPr="00D415A2">
        <w:t>a number of</w:t>
      </w:r>
      <w:proofErr w:type="gramEnd"/>
      <w:r w:rsidRPr="00D415A2">
        <w:t xml:space="preserve"> states enacted new dilution statutes that largely track the language of the </w:t>
      </w:r>
      <w:r w:rsidR="00AC48F2" w:rsidRPr="00B3082A">
        <w:rPr>
          <w:i/>
          <w:iCs/>
        </w:rPr>
        <w:t>original</w:t>
      </w:r>
      <w:r w:rsidRPr="00D415A2">
        <w:t xml:space="preserve"> FTDA.</w:t>
      </w:r>
      <w:r w:rsidR="00D415A2" w:rsidRPr="00D415A2">
        <w:rPr>
          <w:vertAlign w:val="superscript"/>
        </w:rPr>
        <w:footnoteReference w:id="166"/>
      </w:r>
      <w:r w:rsidRPr="00D415A2">
        <w:t xml:space="preserve"> These statutes require that the mark be famous (albeit only within the state) and define dilution as the original FTDA did</w:t>
      </w:r>
      <w:r w:rsidR="00AC48F2" w:rsidRPr="00D415A2">
        <w:t>. T</w:t>
      </w:r>
      <w:r w:rsidRPr="00D415A2">
        <w:t>hus, interpretations of the pre-amendment FTDA should be very influential on the interpretation of these statutes</w:t>
      </w:r>
      <w:r w:rsidR="00AC48F2" w:rsidRPr="00D415A2">
        <w:t>. T</w:t>
      </w:r>
      <w:r w:rsidRPr="00D415A2">
        <w:t xml:space="preserve">he TDRA replaced the original definition of dilution with two definitions, one for dilution by blurring and one for dilution by </w:t>
      </w:r>
      <w:proofErr w:type="spellStart"/>
      <w:r w:rsidRPr="00D415A2">
        <w:t>tarnishment</w:t>
      </w:r>
      <w:proofErr w:type="spellEnd"/>
      <w:r w:rsidR="00AC48F2" w:rsidRPr="00D415A2">
        <w:t>. I</w:t>
      </w:r>
      <w:r w:rsidRPr="00D415A2">
        <w:t>t also lists six factors for courts to consider when analyzing dilution by blurring</w:t>
      </w:r>
      <w:r w:rsidR="00AC48F2" w:rsidRPr="00D415A2">
        <w:t>. A</w:t>
      </w:r>
      <w:r w:rsidRPr="00D415A2">
        <w:t>lthough the federal definition of dilution by blurring is no longer identical to most state laws, the TDRA blurring factors should be relevant to a state blurring analysis and may provide guidance under those laws</w:t>
      </w:r>
      <w:r w:rsidR="00AC48F2" w:rsidRPr="00D415A2">
        <w:t>. M</w:t>
      </w:r>
      <w:r w:rsidRPr="00D415A2">
        <w:t>any state statutes expressly require interpretations of federal trademark law to be considered persuasive authority under state law.</w:t>
      </w:r>
      <w:r w:rsidR="00D415A2" w:rsidRPr="00D415A2">
        <w:rPr>
          <w:vertAlign w:val="superscript"/>
        </w:rPr>
        <w:footnoteReference w:id="167"/>
      </w:r>
    </w:p>
    <w:p w14:paraId="27FE9AD2" w14:textId="7CD65446" w:rsidR="00AC48F2" w:rsidRPr="00CA2060" w:rsidRDefault="00B3596F" w:rsidP="00CA2060">
      <w:pPr>
        <w:pStyle w:val="BHead1"/>
      </w:pPr>
      <w:r>
        <w:t>6.</w:t>
      </w:r>
      <w:r w:rsidR="00D415A2" w:rsidRPr="00B3596F">
        <w:rPr>
          <w:rStyle w:val="BBNAidChar"/>
          <w:rFonts w:eastAsiaTheme="majorEastAsia"/>
        </w:rPr>
        <w:t>Appendix A</w:t>
      </w:r>
      <w:r w:rsidR="00CA2060" w:rsidRPr="00CA2060">
        <w:t>.</w:t>
      </w:r>
      <w:r>
        <w:t> </w:t>
      </w:r>
      <w:r w:rsidR="00CA2060" w:rsidRPr="00CA2060">
        <w:t xml:space="preserve"> </w:t>
      </w:r>
      <w:r w:rsidR="00B41CE6" w:rsidRPr="00CA2060">
        <w:t>Dilution Provision of the</w:t>
      </w:r>
      <w:r w:rsidR="00CA2060" w:rsidRPr="00CA2060">
        <w:t xml:space="preserve"> </w:t>
      </w:r>
      <w:r w:rsidR="00B41CE6" w:rsidRPr="00CA2060">
        <w:t>“Perkins Bill” of 1932</w:t>
      </w:r>
    </w:p>
    <w:p w14:paraId="4DDD321D" w14:textId="17D68A0F" w:rsidR="00AC48F2" w:rsidRPr="00D415A2" w:rsidRDefault="00B41CE6" w:rsidP="00D415A2">
      <w:pPr>
        <w:pStyle w:val="BNormal"/>
      </w:pPr>
      <w:r w:rsidRPr="00D415A2">
        <w:t>The following is the text of the relevant provision of the Perkins bill, H.R</w:t>
      </w:r>
      <w:r w:rsidR="00AC48F2" w:rsidRPr="00D415A2">
        <w:t>. 1</w:t>
      </w:r>
      <w:r w:rsidRPr="00D415A2">
        <w:t>1592, which was introduced into the House of Representatives in 1932:</w:t>
      </w:r>
    </w:p>
    <w:p w14:paraId="3F817C56" w14:textId="00BE8F47" w:rsidR="00AC48F2" w:rsidRPr="00D415A2" w:rsidRDefault="00B41CE6" w:rsidP="00315D03">
      <w:pPr>
        <w:pStyle w:val="BQuotelong"/>
      </w:pPr>
      <w:r w:rsidRPr="00D415A2">
        <w:t>SEC</w:t>
      </w:r>
      <w:r w:rsidR="00AC48F2" w:rsidRPr="00D415A2">
        <w:t>. 2. N</w:t>
      </w:r>
      <w:r w:rsidRPr="00D415A2">
        <w:t xml:space="preserve">o mark by which the goods or services to which it is applied by the applicant may be distinguished as to source or origin shall be refused registration as a </w:t>
      </w:r>
      <w:proofErr w:type="gramStart"/>
      <w:r w:rsidRPr="00D415A2">
        <w:t>trade-mark</w:t>
      </w:r>
      <w:proofErr w:type="gramEnd"/>
      <w:r w:rsidRPr="00D415A2">
        <w:t xml:space="preserve"> on account of its nature unless it—</w:t>
      </w:r>
    </w:p>
    <w:p w14:paraId="3E29C240" w14:textId="298B3631" w:rsidR="00AC48F2" w:rsidRPr="00D415A2" w:rsidRDefault="00B41CE6" w:rsidP="00D415A2">
      <w:pPr>
        <w:pStyle w:val="BQuotelong"/>
      </w:pPr>
      <w:r w:rsidRPr="00D415A2">
        <w:t>…</w:t>
      </w:r>
    </w:p>
    <w:p w14:paraId="279927AF" w14:textId="5CAAAD66" w:rsidR="00AC48F2" w:rsidRPr="00D415A2" w:rsidRDefault="00B41CE6" w:rsidP="00D415A2">
      <w:pPr>
        <w:pStyle w:val="BQuotelong"/>
      </w:pPr>
      <w:r w:rsidRPr="00D415A2">
        <w:t xml:space="preserve">(d) Consists of or comprises a mark which so resembles a </w:t>
      </w:r>
      <w:proofErr w:type="gramStart"/>
      <w:r w:rsidRPr="00D415A2">
        <w:t>trade-mark</w:t>
      </w:r>
      <w:proofErr w:type="gramEnd"/>
      <w:r w:rsidRPr="00D415A2">
        <w:t xml:space="preserve"> previously used by another as to be likely, when applied to the goods or services of the applicant, to cause confusion or mistake or to deceive purchasers or users thereof as to their source of origin.</w:t>
      </w:r>
    </w:p>
    <w:p w14:paraId="065683C1" w14:textId="1ACAFEDB" w:rsidR="00AC48F2" w:rsidRPr="00D415A2" w:rsidRDefault="00B41CE6" w:rsidP="00D415A2">
      <w:pPr>
        <w:pStyle w:val="BQuotelong"/>
      </w:pPr>
      <w:r w:rsidRPr="00D415A2">
        <w:t>When such previously used trade-mark (1) is applied to merchandise or services of the same descriptive properties, or (2) is applied to merchandise or services of such other properties, quality, or reputation or to merchandise or services so distributed or conveyed to the purchasing public, or (3) was at the time of its registration a coined or invented or fanciful or arbitrary mark, so that the use of applicant’s mark is likely to cause confusion or mistake or to deceive purchasers or users thereof as to their source or origin or otherwise to injure the goodwill, reputation, business, credit or securities of the owner of the previously used trade-mark, it shall constitute prima facie grounds for refusing registration.</w:t>
      </w:r>
    </w:p>
    <w:p w14:paraId="3C2414AB" w14:textId="789FDCCA" w:rsidR="00AC48F2" w:rsidRPr="00D415A2" w:rsidRDefault="00B41CE6" w:rsidP="00D415A2">
      <w:pPr>
        <w:pStyle w:val="BQuotelong"/>
      </w:pPr>
      <w:r w:rsidRPr="00D415A2">
        <w:t>…</w:t>
      </w:r>
    </w:p>
    <w:p w14:paraId="71EC3E0F" w14:textId="27E62B4B" w:rsidR="00AC48F2" w:rsidRPr="00D415A2" w:rsidRDefault="00B41CE6" w:rsidP="00D415A2">
      <w:pPr>
        <w:pStyle w:val="BQuotelong"/>
      </w:pPr>
      <w:r w:rsidRPr="00D415A2">
        <w:t>Rejection on any of the foregoing grounds shall be subject to rebuttal by evidence of relevant facts.</w:t>
      </w:r>
    </w:p>
    <w:p w14:paraId="160EC4ED" w14:textId="4F39A7EE" w:rsidR="00494245" w:rsidRPr="00D415A2" w:rsidRDefault="00494245" w:rsidP="00D415A2">
      <w:pPr>
        <w:pStyle w:val="BNormal"/>
      </w:pPr>
    </w:p>
    <w:sectPr w:rsidR="00494245" w:rsidRPr="00D415A2"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41F4E" w14:textId="77777777" w:rsidR="00EB6042" w:rsidRDefault="00EB6042" w:rsidP="002A47A4">
      <w:r>
        <w:separator/>
      </w:r>
    </w:p>
    <w:p w14:paraId="2581C2E9" w14:textId="77777777" w:rsidR="00EB6042" w:rsidRDefault="00EB6042"/>
    <w:p w14:paraId="7E1F3ABC" w14:textId="77777777" w:rsidR="00EB6042" w:rsidRDefault="00EB6042"/>
  </w:endnote>
  <w:endnote w:type="continuationSeparator" w:id="0">
    <w:p w14:paraId="6E4179B3" w14:textId="77777777" w:rsidR="00EB6042" w:rsidRDefault="00EB6042" w:rsidP="002A47A4">
      <w:r>
        <w:continuationSeparator/>
      </w:r>
    </w:p>
    <w:p w14:paraId="60E6A9E2" w14:textId="77777777" w:rsidR="00EB6042" w:rsidRDefault="00EB6042"/>
    <w:p w14:paraId="0C1025A3" w14:textId="77777777" w:rsidR="00EB6042" w:rsidRDefault="00EB60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B00F96" w14:textId="77777777" w:rsidR="00EB6042" w:rsidRDefault="00EB6042" w:rsidP="002A47A4">
      <w:r>
        <w:separator/>
      </w:r>
    </w:p>
    <w:p w14:paraId="2F52CD40" w14:textId="77777777" w:rsidR="00EB6042" w:rsidRDefault="00EB6042"/>
    <w:p w14:paraId="1698EF56" w14:textId="77777777" w:rsidR="00EB6042" w:rsidRDefault="00EB6042"/>
  </w:footnote>
  <w:footnote w:type="continuationSeparator" w:id="0">
    <w:p w14:paraId="3A214848" w14:textId="77777777" w:rsidR="00EB6042" w:rsidRDefault="00EB6042" w:rsidP="002A47A4">
      <w:r>
        <w:continuationSeparator/>
      </w:r>
    </w:p>
    <w:p w14:paraId="29DEB43F" w14:textId="77777777" w:rsidR="00EB6042" w:rsidRDefault="00EB6042"/>
    <w:p w14:paraId="5FB5904E" w14:textId="77777777" w:rsidR="00EB6042" w:rsidRDefault="00EB6042"/>
  </w:footnote>
  <w:footnote w:id="1">
    <w:p w14:paraId="7A1179B2" w14:textId="68109DD3" w:rsidR="00D415A2" w:rsidRPr="00D415A2" w:rsidRDefault="00D415A2" w:rsidP="00D415A2">
      <w:pPr>
        <w:pStyle w:val="FootnoteText"/>
      </w:pPr>
      <w:r w:rsidRPr="00D415A2">
        <w:rPr>
          <w:rStyle w:val="FootnoteReference"/>
        </w:rPr>
        <w:footnoteRef/>
      </w:r>
      <w:r w:rsidRPr="00D415A2">
        <w:t>David Welkowitz is a Professor of Law Emeritus at Whittier Law School in Costa Mesa, California. He teaches trademark law, international intellectual property law courses, and civil procedure, among other subjects. He was a member of the Whittier faculty from 1983 to 2018. From 2019 to 2024 he served as an attorney with the U.S. Copyright Office in Washington, D.C. Prior to that time, he practiced law in New York City.</w:t>
      </w:r>
    </w:p>
    <w:p w14:paraId="0B768E50" w14:textId="77777777" w:rsidR="00D415A2" w:rsidRDefault="00D415A2" w:rsidP="00D415A2">
      <w:pPr>
        <w:pStyle w:val="FootnoteText"/>
      </w:pPr>
      <w:r w:rsidRPr="00D415A2">
        <w:t xml:space="preserve">Mr. Welkowitz is the author of numerous articles on trademark law and other topics, and he is the co-author of a casebook on celebrity rights. He has also written several lessons in computer-assisted learning, which are used by law students in the areas of civil procedure and trademark law. Professor Welkowitz received his J.D. degree in 1978 from New York University Law School, where he was a member of the Law Review. He received an A.B. degree in 1975 from Princeton University. He is a member of the New York and District of Columbia </w:t>
      </w:r>
      <w:proofErr w:type="gramStart"/>
      <w:r w:rsidRPr="00D415A2">
        <w:t>bars, and</w:t>
      </w:r>
      <w:proofErr w:type="gramEnd"/>
      <w:r w:rsidRPr="00D415A2">
        <w:t xml:space="preserve"> is admitted to practice before the federal courts in the Southern and Eastern Districts of New York and the Court of Appeals for the Second Circuit.</w:t>
      </w:r>
    </w:p>
  </w:footnote>
  <w:footnote w:id="2">
    <w:p w14:paraId="42E7D480" w14:textId="298A8AA8" w:rsidR="00D415A2" w:rsidRPr="00084B2D" w:rsidRDefault="00D415A2" w:rsidP="00D415A2">
      <w:pPr>
        <w:pStyle w:val="FootnoteText"/>
      </w:pPr>
      <w:r w:rsidRPr="00D415A2">
        <w:rPr>
          <w:vertAlign w:val="superscript"/>
        </w:rPr>
        <w:footnoteRef/>
      </w:r>
      <w:r w:rsidRPr="00D415A2">
        <w:t xml:space="preserve">Pub. L. No. 104-98 §3(a), 109 Stat. 985 (codified at 15 U.S.C. §§1125(c), 1127), </w:t>
      </w:r>
      <w:r w:rsidRPr="00B3596F">
        <w:rPr>
          <w:i/>
          <w:iCs/>
        </w:rPr>
        <w:t>superseded by</w:t>
      </w:r>
      <w:r w:rsidRPr="00D415A2">
        <w:t xml:space="preserve"> the Trademark Dilution Revision Act of 2006.</w:t>
      </w:r>
    </w:p>
  </w:footnote>
  <w:footnote w:id="3">
    <w:p w14:paraId="75FAA5A2" w14:textId="71237D98" w:rsidR="00D415A2" w:rsidRPr="00084B2D" w:rsidRDefault="00D415A2" w:rsidP="00D415A2">
      <w:pPr>
        <w:pStyle w:val="FootnoteText"/>
      </w:pPr>
      <w:r w:rsidRPr="00D415A2">
        <w:rPr>
          <w:vertAlign w:val="superscript"/>
        </w:rPr>
        <w:footnoteRef/>
      </w:r>
      <w:r w:rsidRPr="00D415A2">
        <w:t>Except where it would be clearly inappropriate, the terms “trademark” and “mark” should be read to include both trademarks and service marks.</w:t>
      </w:r>
    </w:p>
  </w:footnote>
  <w:footnote w:id="4">
    <w:p w14:paraId="7CA6FFBA" w14:textId="24A2F2D7" w:rsidR="00D415A2" w:rsidRPr="00084B2D" w:rsidRDefault="00D415A2" w:rsidP="00D415A2">
      <w:pPr>
        <w:pStyle w:val="FootnoteText"/>
      </w:pPr>
      <w:r w:rsidRPr="00D415A2">
        <w:rPr>
          <w:vertAlign w:val="superscript"/>
        </w:rPr>
        <w:footnoteRef/>
      </w:r>
      <w:r w:rsidRPr="00D415A2">
        <w:rPr>
          <w:smallCaps/>
        </w:rPr>
        <w:t>4 J. Thomas McCarthy, McCarthy on Trademarks and Unfair Competition</w:t>
      </w:r>
      <w:r w:rsidRPr="00D415A2">
        <w:t xml:space="preserve"> §23.76 (4th ed. 1998 &amp; Supp.) (calling likelihood of confusion the “keystone” of trademark infringement).</w:t>
      </w:r>
    </w:p>
  </w:footnote>
  <w:footnote w:id="5">
    <w:p w14:paraId="608E84FF" w14:textId="493E1B5E" w:rsidR="00D415A2" w:rsidRPr="00084B2D" w:rsidRDefault="00D415A2" w:rsidP="00D415A2">
      <w:pPr>
        <w:pStyle w:val="FootnoteText"/>
      </w:pPr>
      <w:r w:rsidRPr="00D415A2">
        <w:rPr>
          <w:vertAlign w:val="superscript"/>
        </w:rPr>
        <w:footnoteRef/>
      </w:r>
      <w:r w:rsidRPr="00D415A2">
        <w:t xml:space="preserve">15 U.S.C. §1127 (definition of “dilution”), </w:t>
      </w:r>
      <w:r w:rsidRPr="00B3596F">
        <w:rPr>
          <w:i/>
          <w:iCs/>
        </w:rPr>
        <w:t>deleted by</w:t>
      </w:r>
      <w:r w:rsidRPr="00D415A2">
        <w:t xml:space="preserve"> the Trademark Dilution Revision Act of 2006 (TDRA) (codified at 15 U.S.C. §1125(c)(2)(B), (C)) (defining “dilution by blurring” and “dilution by </w:t>
      </w:r>
      <w:proofErr w:type="spellStart"/>
      <w:r w:rsidRPr="00D415A2">
        <w:t>tarnishment</w:t>
      </w:r>
      <w:proofErr w:type="spellEnd"/>
      <w:r w:rsidRPr="00D415A2">
        <w:t>,” respectively). See Chapter 1, §I, for a discussion of infringement versus dilution.</w:t>
      </w:r>
    </w:p>
  </w:footnote>
  <w:footnote w:id="6">
    <w:p w14:paraId="015A68E3" w14:textId="0D951AE5" w:rsidR="00D415A2" w:rsidRPr="00084B2D" w:rsidRDefault="00D415A2" w:rsidP="00D415A2">
      <w:pPr>
        <w:pStyle w:val="FootnoteText"/>
      </w:pPr>
      <w:r w:rsidRPr="00D415A2">
        <w:rPr>
          <w:vertAlign w:val="superscript"/>
        </w:rPr>
        <w:footnoteRef/>
      </w:r>
      <w:r w:rsidRPr="00D415A2">
        <w:t>The FTDA added a new section, §43(c), to the federal trademark statute, the Lanham Act. 15 U.S.C. §1125(c).</w:t>
      </w:r>
    </w:p>
  </w:footnote>
  <w:footnote w:id="7">
    <w:p w14:paraId="2E7B741E" w14:textId="45FBF398" w:rsidR="00D415A2" w:rsidRPr="00084B2D" w:rsidRDefault="00D415A2" w:rsidP="00D415A2">
      <w:pPr>
        <w:pStyle w:val="FootnoteText"/>
      </w:pPr>
      <w:r w:rsidRPr="00D415A2">
        <w:rPr>
          <w:vertAlign w:val="superscript"/>
        </w:rPr>
        <w:footnoteRef/>
      </w:r>
      <w:r w:rsidRPr="00D415A2">
        <w:t>As one court put it, the FTDA “presents formidable problems of interpretation.” Thane Int’l, Inc. v. Trek Bicycle Corp., 305 F.3d 894, 905, 64 USPQ2d 1564 (9th Cir. 2002).</w:t>
      </w:r>
    </w:p>
  </w:footnote>
  <w:footnote w:id="8">
    <w:p w14:paraId="3FFEFCFD" w14:textId="4FA9B7E0" w:rsidR="00D415A2" w:rsidRPr="00084B2D" w:rsidRDefault="00D415A2" w:rsidP="00D415A2">
      <w:pPr>
        <w:pStyle w:val="FootnoteText"/>
      </w:pPr>
      <w:r w:rsidRPr="00D415A2">
        <w:rPr>
          <w:vertAlign w:val="superscript"/>
        </w:rPr>
        <w:footnoteRef/>
      </w:r>
      <w:r w:rsidRPr="00D415A2">
        <w:t>Pub. L. No. 106-113 (codified at 15 U.S.C. §§1117(d), 1125(d), 1127, 8131). Sections 3006, 3008, and 3010 of the ACPA were not codified in the Lanham Act. The ACPA added §§35(d), 43(d), and §47 to the Lanham Act, 15 U.S.C. §§1125(d), 1127, 8131.</w:t>
      </w:r>
    </w:p>
  </w:footnote>
  <w:footnote w:id="9">
    <w:p w14:paraId="28BC75C3" w14:textId="0AFF0F07" w:rsidR="00D415A2" w:rsidRPr="00084B2D" w:rsidRDefault="00D415A2" w:rsidP="00D415A2">
      <w:pPr>
        <w:pStyle w:val="FootnoteText"/>
      </w:pPr>
      <w:r w:rsidRPr="00D415A2">
        <w:rPr>
          <w:vertAlign w:val="superscript"/>
        </w:rPr>
        <w:footnoteRef/>
      </w:r>
      <w:r w:rsidRPr="00D415A2">
        <w:t>The dilution aspects of the ACPA are discussed in Chapter 14.</w:t>
      </w:r>
    </w:p>
  </w:footnote>
  <w:footnote w:id="10">
    <w:p w14:paraId="4853B300" w14:textId="765EE04C" w:rsidR="00D415A2" w:rsidRPr="00084B2D" w:rsidRDefault="00D415A2" w:rsidP="00D415A2">
      <w:pPr>
        <w:pStyle w:val="FootnoteText"/>
      </w:pPr>
      <w:r w:rsidRPr="00D415A2">
        <w:rPr>
          <w:vertAlign w:val="superscript"/>
        </w:rPr>
        <w:footnoteRef/>
      </w:r>
      <w:r w:rsidRPr="00D415A2">
        <w:t>Pub. L. No. 109-312, 120 Stat. 1730 (codified at 15 U.S.C. §§1052, 1063, 1064, 1092, 1125(c)). Section 43(c) of the Lanham Act, 15 U.S.C. §1125(c), was rewritten. Conforming amendments were made to the other sections, and the definition of dilution in §45, former 15 U.S.C. §1127, was deleted.</w:t>
      </w:r>
    </w:p>
  </w:footnote>
  <w:footnote w:id="11">
    <w:p w14:paraId="4819A23F" w14:textId="1A4AF295" w:rsidR="00D415A2" w:rsidRPr="00084B2D" w:rsidRDefault="00D415A2" w:rsidP="00D415A2">
      <w:pPr>
        <w:pStyle w:val="FootnoteText"/>
      </w:pPr>
      <w:r w:rsidRPr="00D415A2">
        <w:rPr>
          <w:vertAlign w:val="superscript"/>
        </w:rPr>
        <w:footnoteRef/>
      </w:r>
      <w:r w:rsidRPr="00D415A2">
        <w:t xml:space="preserve">TCPIP Holding Co. v. Haar Commc’ns, Inc., 244 F.3d 88, 95, 57 USPQ2d 1969 (2d Cir. 2001) (“The Dilution Act offers no benefit to the consumer public—only to the [mark] owner.”); </w:t>
      </w:r>
      <w:r w:rsidRPr="002C6D13">
        <w:rPr>
          <w:i/>
          <w:iCs/>
        </w:rPr>
        <w:t>see also</w:t>
      </w:r>
      <w:r w:rsidRPr="00D415A2">
        <w:t xml:space="preserve"> Kenneth L. Port, </w:t>
      </w:r>
      <w:r w:rsidRPr="002C6D13">
        <w:rPr>
          <w:i/>
          <w:iCs/>
        </w:rPr>
        <w:t>The Congressional Expansion of American Trademark Law: A Civil Law System in the Making</w:t>
      </w:r>
      <w:r w:rsidRPr="00D415A2">
        <w:t xml:space="preserve">, 35 </w:t>
      </w:r>
      <w:r w:rsidRPr="00D415A2">
        <w:rPr>
          <w:smallCaps/>
        </w:rPr>
        <w:t xml:space="preserve">Wake Forest L. Rev. </w:t>
      </w:r>
      <w:r w:rsidRPr="00D415A2">
        <w:t>827, 887–902 (2000) (noting possible social costs of dilution).</w:t>
      </w:r>
    </w:p>
  </w:footnote>
  <w:footnote w:id="12">
    <w:p w14:paraId="51BC7391" w14:textId="44B6E28D" w:rsidR="00D415A2" w:rsidRPr="00084B2D" w:rsidRDefault="00D415A2" w:rsidP="00D415A2">
      <w:pPr>
        <w:pStyle w:val="FootnoteText"/>
      </w:pPr>
      <w:r w:rsidRPr="00D415A2">
        <w:rPr>
          <w:vertAlign w:val="superscript"/>
        </w:rPr>
        <w:footnoteRef/>
      </w:r>
      <w:r w:rsidRPr="00D415A2">
        <w:t>Moseley v. V Secret Catalogue, Inc., 537 U.S. 418, 429, 65 USPQ2d 1801 (2003).</w:t>
      </w:r>
    </w:p>
  </w:footnote>
  <w:footnote w:id="13">
    <w:p w14:paraId="3696AF6E" w14:textId="31E2538D" w:rsidR="00D415A2" w:rsidRPr="00084B2D" w:rsidRDefault="00D415A2" w:rsidP="00D415A2">
      <w:pPr>
        <w:pStyle w:val="FootnoteText"/>
      </w:pPr>
      <w:r w:rsidRPr="00D415A2">
        <w:rPr>
          <w:vertAlign w:val="superscript"/>
        </w:rPr>
        <w:footnoteRef/>
      </w:r>
      <w:r w:rsidRPr="002C6D13">
        <w:rPr>
          <w:i/>
          <w:iCs/>
        </w:rPr>
        <w:t>E.g.</w:t>
      </w:r>
      <w:r w:rsidRPr="00D415A2">
        <w:t xml:space="preserve">, Toho Co. v. Sears, Roebuck &amp; Co., 645 F.2d 788, 793, 210 USPQ 547 (9th Cir. 1981) (quoting Coffee Dan’s, Inc. v. Coffee Don’s Charcoal Broiler, 305 F. Supp. 1210, 1217 n.13, 163 USPQ 602 (N.D. Cal. 1969)); </w:t>
      </w:r>
      <w:r w:rsidRPr="002C6D13">
        <w:rPr>
          <w:i/>
          <w:iCs/>
        </w:rPr>
        <w:t>see</w:t>
      </w:r>
      <w:r w:rsidRPr="00D415A2">
        <w:t xml:space="preserve"> Avery Dennison Corp. v. </w:t>
      </w:r>
      <w:proofErr w:type="spellStart"/>
      <w:r w:rsidRPr="00D415A2">
        <w:t>Sumpton</w:t>
      </w:r>
      <w:proofErr w:type="spellEnd"/>
      <w:r w:rsidRPr="00D415A2">
        <w:t xml:space="preserve">, 189 F.3d 868, 875 (9th Cir. 1999) (dilution claims “tread very close to granting ‘rights in gross’ in a trademark”); I.P. Lund Trading </w:t>
      </w:r>
      <w:proofErr w:type="spellStart"/>
      <w:r w:rsidRPr="00D415A2">
        <w:t>ApS</w:t>
      </w:r>
      <w:proofErr w:type="spellEnd"/>
      <w:r w:rsidRPr="00D415A2">
        <w:t xml:space="preserve"> v. Kohler Co., 163 F.3d 27, 48, 49 USPQ2d 1225 (1st Cir. 1998); HMH Publ’g Co. v. Lambert, 482 F.2d 595, 599 n.8, 178 USPQ 518 (9th Cir. 1973); </w:t>
      </w:r>
      <w:r w:rsidRPr="002C6D13">
        <w:rPr>
          <w:i/>
          <w:iCs/>
        </w:rPr>
        <w:t>see also</w:t>
      </w:r>
      <w:r w:rsidRPr="00D415A2">
        <w:t xml:space="preserve"> Robert N. Klieger, </w:t>
      </w:r>
      <w:r w:rsidRPr="002C6D13">
        <w:rPr>
          <w:i/>
          <w:iCs/>
        </w:rPr>
        <w:t>Trademark Dilution: The Whittling Away of the Rational Basis for Trademark Protection</w:t>
      </w:r>
      <w:r w:rsidRPr="00D415A2">
        <w:t xml:space="preserve">, 58 </w:t>
      </w:r>
      <w:r w:rsidRPr="00D415A2">
        <w:rPr>
          <w:smallCaps/>
        </w:rPr>
        <w:t xml:space="preserve">U. Pitt. L. Rev. </w:t>
      </w:r>
      <w:r w:rsidRPr="00D415A2">
        <w:t xml:space="preserve">789, 794 (1997); Kenneth L. Port, </w:t>
      </w:r>
      <w:proofErr w:type="gramStart"/>
      <w:r w:rsidRPr="002C6D13">
        <w:rPr>
          <w:i/>
          <w:iCs/>
        </w:rPr>
        <w:t>The</w:t>
      </w:r>
      <w:proofErr w:type="gramEnd"/>
      <w:r w:rsidRPr="002C6D13">
        <w:rPr>
          <w:i/>
          <w:iCs/>
        </w:rPr>
        <w:t xml:space="preserve"> “Unnatural” Expansion of Trademark Rights: Is a Federal Dilution Statute Necessary</w:t>
      </w:r>
      <w:r w:rsidRPr="00D415A2">
        <w:t xml:space="preserve">, 18 </w:t>
      </w:r>
      <w:r w:rsidRPr="00D415A2">
        <w:rPr>
          <w:smallCaps/>
        </w:rPr>
        <w:t xml:space="preserve">Seton Hall Legis. J. </w:t>
      </w:r>
      <w:r w:rsidRPr="00D415A2">
        <w:t>433, 455–58 (1994). See Chapter 1, §I.</w:t>
      </w:r>
    </w:p>
  </w:footnote>
  <w:footnote w:id="14">
    <w:p w14:paraId="290BD39E" w14:textId="52AC0DFB" w:rsidR="00D415A2" w:rsidRPr="00084B2D" w:rsidRDefault="00D415A2" w:rsidP="00D415A2">
      <w:pPr>
        <w:pStyle w:val="FootnoteText"/>
      </w:pPr>
      <w:r w:rsidRPr="00D415A2">
        <w:rPr>
          <w:vertAlign w:val="superscript"/>
        </w:rPr>
        <w:footnoteRef/>
      </w:r>
      <w:r w:rsidRPr="002C6D13">
        <w:rPr>
          <w:i/>
          <w:iCs/>
        </w:rPr>
        <w:t>See, e.g., I.P. Lund</w:t>
      </w:r>
      <w:r w:rsidRPr="00D415A2">
        <w:t xml:space="preserve">, 163 F.3d at 51–53 (Boudin, J., concurring); David S. Welkowitz, </w:t>
      </w:r>
      <w:r w:rsidRPr="002C6D13">
        <w:rPr>
          <w:i/>
          <w:iCs/>
        </w:rPr>
        <w:t xml:space="preserve">Trade Dress and Patent: </w:t>
      </w:r>
      <w:proofErr w:type="gramStart"/>
      <w:r w:rsidRPr="002C6D13">
        <w:rPr>
          <w:i/>
          <w:iCs/>
        </w:rPr>
        <w:t>the</w:t>
      </w:r>
      <w:proofErr w:type="gramEnd"/>
      <w:r w:rsidRPr="002C6D13">
        <w:rPr>
          <w:i/>
          <w:iCs/>
        </w:rPr>
        <w:t xml:space="preserve"> Dilemma of Confusion</w:t>
      </w:r>
      <w:r w:rsidRPr="00D415A2">
        <w:t xml:space="preserve">, 30 </w:t>
      </w:r>
      <w:r w:rsidRPr="00D415A2">
        <w:rPr>
          <w:smallCaps/>
        </w:rPr>
        <w:t xml:space="preserve">Rutgers L.J. </w:t>
      </w:r>
      <w:r w:rsidRPr="00D415A2">
        <w:t>289 (1999). See Chapter 4, §III; Chapter 10, §</w:t>
      </w:r>
      <w:proofErr w:type="gramStart"/>
      <w:r w:rsidRPr="00D415A2">
        <w:t>V.A</w:t>
      </w:r>
      <w:proofErr w:type="gramEnd"/>
      <w:r w:rsidRPr="00D415A2">
        <w:t xml:space="preserve"> (discussing preemption of state dilution claims).</w:t>
      </w:r>
    </w:p>
  </w:footnote>
  <w:footnote w:id="15">
    <w:p w14:paraId="423A189B" w14:textId="533D06C7" w:rsidR="00D415A2" w:rsidRPr="00084B2D" w:rsidRDefault="00D415A2" w:rsidP="00D415A2">
      <w:pPr>
        <w:pStyle w:val="FootnoteText"/>
      </w:pPr>
      <w:r w:rsidRPr="00D415A2">
        <w:rPr>
          <w:vertAlign w:val="superscript"/>
        </w:rPr>
        <w:footnoteRef/>
      </w:r>
      <w:r w:rsidRPr="00D415A2">
        <w:t>Chapter 7 sets out the elements of a dilution claim under federal law. Chapters 8 and 9 discuss in greater depth, respectively, the issues of what constitutes a “famous” mark and what constitutes “dilution.” Chapter 10 discusses defenses to and exclusions from federal dilution claims, while Chapter 11 discusses the remedies for dilution under federal law. Chapter 13 discusses the use of dilution in registration proceedings in the U.S. Patent and Trademark Office.</w:t>
      </w:r>
    </w:p>
  </w:footnote>
  <w:footnote w:id="16">
    <w:p w14:paraId="08CF8243" w14:textId="2DA13425" w:rsidR="00D415A2" w:rsidRPr="00084B2D" w:rsidRDefault="00D415A2" w:rsidP="00D415A2">
      <w:pPr>
        <w:pStyle w:val="FootnoteText"/>
      </w:pPr>
      <w:r w:rsidRPr="00D415A2">
        <w:rPr>
          <w:vertAlign w:val="superscript"/>
        </w:rPr>
        <w:footnoteRef/>
      </w:r>
      <w:r w:rsidRPr="00D7171C">
        <w:rPr>
          <w:i/>
          <w:iCs/>
        </w:rPr>
        <w:t>Hearings Before the Comm. on Patents, House of Representatives</w:t>
      </w:r>
      <w:r w:rsidRPr="00D415A2">
        <w:t xml:space="preserve">, 72d Cong., 1st Sess. (Feb. 8–9, 1932) [hereinafter </w:t>
      </w:r>
      <w:r w:rsidRPr="00D415A2">
        <w:rPr>
          <w:smallCaps/>
        </w:rPr>
        <w:t xml:space="preserve">1932 </w:t>
      </w:r>
      <w:r w:rsidRPr="00D7171C">
        <w:rPr>
          <w:i/>
          <w:iCs/>
        </w:rPr>
        <w:t>House Hearings</w:t>
      </w:r>
      <w:r w:rsidRPr="00D415A2">
        <w:t>].</w:t>
      </w:r>
    </w:p>
  </w:footnote>
  <w:footnote w:id="17">
    <w:p w14:paraId="59C78AD9" w14:textId="1C5A40BE" w:rsidR="00D415A2" w:rsidRPr="00084B2D" w:rsidRDefault="00D415A2" w:rsidP="00D415A2">
      <w:pPr>
        <w:pStyle w:val="FootnoteText"/>
      </w:pPr>
      <w:r w:rsidRPr="00D415A2">
        <w:rPr>
          <w:vertAlign w:val="superscript"/>
        </w:rPr>
        <w:footnoteRef/>
      </w:r>
      <w:r w:rsidRPr="00D415A2">
        <w:t xml:space="preserve">See Frank I. Schechter, </w:t>
      </w:r>
      <w:r w:rsidRPr="009F153E">
        <w:rPr>
          <w:i/>
          <w:iCs/>
        </w:rPr>
        <w:t>The Rational Basis of Trademark Protection</w:t>
      </w:r>
      <w:r w:rsidRPr="00D415A2">
        <w:t xml:space="preserve">, 40 </w:t>
      </w:r>
      <w:r w:rsidRPr="00D415A2">
        <w:rPr>
          <w:smallCaps/>
        </w:rPr>
        <w:t xml:space="preserve">Harv. L. Rev. </w:t>
      </w:r>
      <w:r w:rsidRPr="00D415A2">
        <w:t>813 (1927).</w:t>
      </w:r>
    </w:p>
  </w:footnote>
  <w:footnote w:id="18">
    <w:p w14:paraId="60C58D9A" w14:textId="07A48554" w:rsidR="00D415A2" w:rsidRPr="00084B2D" w:rsidRDefault="00D415A2" w:rsidP="00D415A2">
      <w:pPr>
        <w:pStyle w:val="FootnoteText"/>
      </w:pPr>
      <w:r w:rsidRPr="00D415A2">
        <w:rPr>
          <w:vertAlign w:val="superscript"/>
        </w:rPr>
        <w:footnoteRef/>
      </w:r>
      <w:r w:rsidRPr="00D415A2">
        <w:t xml:space="preserve">1932 </w:t>
      </w:r>
      <w:r w:rsidRPr="009F153E">
        <w:rPr>
          <w:i/>
          <w:iCs/>
        </w:rPr>
        <w:t>House Hearings</w:t>
      </w:r>
      <w:r w:rsidRPr="00D415A2">
        <w:t xml:space="preserve"> at 10–17.</w:t>
      </w:r>
    </w:p>
  </w:footnote>
  <w:footnote w:id="19">
    <w:p w14:paraId="3F46FDBC" w14:textId="0ACEA258" w:rsidR="00D415A2" w:rsidRPr="00084B2D" w:rsidRDefault="00D415A2" w:rsidP="00D415A2">
      <w:pPr>
        <w:pStyle w:val="FootnoteText"/>
      </w:pPr>
      <w:r w:rsidRPr="00D415A2">
        <w:rPr>
          <w:vertAlign w:val="superscript"/>
        </w:rPr>
        <w:footnoteRef/>
      </w:r>
      <w:r w:rsidRPr="009F153E">
        <w:rPr>
          <w:i/>
          <w:iCs/>
        </w:rPr>
        <w:t>See id.</w:t>
      </w:r>
      <w:r w:rsidRPr="00D415A2">
        <w:t xml:space="preserve"> at 14.</w:t>
      </w:r>
    </w:p>
  </w:footnote>
  <w:footnote w:id="20">
    <w:p w14:paraId="0E31AFA3" w14:textId="74A23C64" w:rsidR="00D415A2" w:rsidRPr="00084B2D" w:rsidRDefault="00D415A2" w:rsidP="00D415A2">
      <w:pPr>
        <w:pStyle w:val="FootnoteText"/>
      </w:pPr>
      <w:r w:rsidRPr="00D415A2">
        <w:rPr>
          <w:vertAlign w:val="superscript"/>
        </w:rPr>
        <w:footnoteRef/>
      </w:r>
      <w:r w:rsidRPr="009F153E">
        <w:rPr>
          <w:i/>
          <w:iCs/>
        </w:rPr>
        <w:t>Id</w:t>
      </w:r>
      <w:r w:rsidRPr="00D415A2">
        <w:t xml:space="preserve">. at 10–11 (discussing the German Odol case); id. at 14–15 (discussing cases involving Yale Lock, Rolls-Royce, and </w:t>
      </w:r>
      <w:proofErr w:type="spellStart"/>
      <w:r w:rsidRPr="00D415A2">
        <w:t>Armour</w:t>
      </w:r>
      <w:proofErr w:type="spellEnd"/>
      <w:r w:rsidRPr="00D415A2">
        <w:t>).</w:t>
      </w:r>
    </w:p>
  </w:footnote>
  <w:footnote w:id="21">
    <w:p w14:paraId="1B313427" w14:textId="6B6E3492" w:rsidR="00D415A2" w:rsidRPr="00084B2D" w:rsidRDefault="00D415A2" w:rsidP="00D415A2">
      <w:pPr>
        <w:pStyle w:val="FootnoteText"/>
      </w:pPr>
      <w:r w:rsidRPr="00D415A2">
        <w:rPr>
          <w:vertAlign w:val="superscript"/>
        </w:rPr>
        <w:footnoteRef/>
      </w:r>
      <w:r w:rsidRPr="00D415A2">
        <w:t xml:space="preserve">However, as noted earlier in this text, many of the protections Schechter sought were eventually provided by an expansion of the confusion doctrine. </w:t>
      </w:r>
      <w:r w:rsidRPr="009F153E">
        <w:rPr>
          <w:i/>
          <w:iCs/>
        </w:rPr>
        <w:t>See</w:t>
      </w:r>
      <w:r w:rsidRPr="00D415A2">
        <w:t xml:space="preserve"> Chapter 1, §§I, II.</w:t>
      </w:r>
    </w:p>
  </w:footnote>
  <w:footnote w:id="22">
    <w:p w14:paraId="00603C3D" w14:textId="4D726F92" w:rsidR="00D415A2" w:rsidRPr="00084B2D" w:rsidRDefault="00D415A2" w:rsidP="00D415A2">
      <w:pPr>
        <w:pStyle w:val="FootnoteText"/>
      </w:pPr>
      <w:r w:rsidRPr="00D415A2">
        <w:rPr>
          <w:vertAlign w:val="superscript"/>
        </w:rPr>
        <w:footnoteRef/>
      </w:r>
      <w:r w:rsidRPr="00D415A2">
        <w:t xml:space="preserve">Schechter’s testimony concerned a different bill, known as the “Vestal” bill. </w:t>
      </w:r>
      <w:r w:rsidRPr="009F153E">
        <w:rPr>
          <w:i/>
          <w:iCs/>
        </w:rPr>
        <w:t>See</w:t>
      </w:r>
      <w:r w:rsidRPr="00D415A2">
        <w:t xml:space="preserve"> </w:t>
      </w:r>
      <w:r w:rsidRPr="00D415A2">
        <w:rPr>
          <w:smallCaps/>
        </w:rPr>
        <w:t xml:space="preserve">1932 </w:t>
      </w:r>
      <w:r w:rsidRPr="009F153E">
        <w:rPr>
          <w:i/>
          <w:iCs/>
        </w:rPr>
        <w:t>House Hearings</w:t>
      </w:r>
      <w:r w:rsidRPr="00D415A2">
        <w:t xml:space="preserve"> at 17.</w:t>
      </w:r>
    </w:p>
  </w:footnote>
  <w:footnote w:id="23">
    <w:p w14:paraId="55FC7F37" w14:textId="3B8D32E4" w:rsidR="00D415A2" w:rsidRPr="00084B2D" w:rsidRDefault="00D415A2" w:rsidP="00D415A2">
      <w:pPr>
        <w:pStyle w:val="FootnoteText"/>
      </w:pPr>
      <w:r w:rsidRPr="009F153E">
        <w:rPr>
          <w:i/>
          <w:iCs/>
          <w:vertAlign w:val="superscript"/>
        </w:rPr>
        <w:footnoteRef/>
      </w:r>
      <w:r w:rsidRPr="009F153E">
        <w:rPr>
          <w:i/>
          <w:iCs/>
        </w:rPr>
        <w:t>E.g.</w:t>
      </w:r>
      <w:r w:rsidRPr="00D415A2">
        <w:t xml:space="preserve">, K. Keith Facer, </w:t>
      </w:r>
      <w:r w:rsidRPr="009F153E">
        <w:rPr>
          <w:i/>
          <w:iCs/>
        </w:rPr>
        <w:t>The Federal Trademark Dilution Act of 1995: A Whittling Away of State Dilution Statutes</w:t>
      </w:r>
      <w:r w:rsidRPr="00D415A2">
        <w:t xml:space="preserve">, 10 </w:t>
      </w:r>
      <w:r w:rsidRPr="00D415A2">
        <w:rPr>
          <w:smallCaps/>
        </w:rPr>
        <w:t xml:space="preserve">Seton Hall Const. L.J. </w:t>
      </w:r>
      <w:r w:rsidRPr="00D415A2">
        <w:t xml:space="preserve">863, 871–72 (2000); Walter J. </w:t>
      </w:r>
      <w:proofErr w:type="spellStart"/>
      <w:r w:rsidRPr="00D415A2">
        <w:t>Derenberg</w:t>
      </w:r>
      <w:proofErr w:type="spellEnd"/>
      <w:r w:rsidRPr="00D415A2">
        <w:t xml:space="preserve">, </w:t>
      </w:r>
      <w:r w:rsidRPr="009F153E">
        <w:rPr>
          <w:i/>
          <w:iCs/>
        </w:rPr>
        <w:t>The Problem of Trademark Dilution and the Antidilution Statutes</w:t>
      </w:r>
      <w:r w:rsidRPr="00D415A2">
        <w:t xml:space="preserve">, 44 </w:t>
      </w:r>
      <w:r w:rsidRPr="00D415A2">
        <w:rPr>
          <w:smallCaps/>
        </w:rPr>
        <w:t xml:space="preserve">Cal. L. Rev. </w:t>
      </w:r>
      <w:r w:rsidRPr="00D415A2">
        <w:t xml:space="preserve">439, 449 &amp; n.55 (1956) (asserting that the Perkins bill was drafted by Schechter); Ringling Bros.-Barnum &amp; Bailey Combined Shows, Inc. v. Utah Div. of Travel Dev., 170 F.3d 449, 454 n.2, 50 USPQ2d 1065 (4th Cir.), </w:t>
      </w:r>
      <w:r w:rsidRPr="001152AE">
        <w:rPr>
          <w:i/>
          <w:iCs/>
        </w:rPr>
        <w:t>cert. denied</w:t>
      </w:r>
      <w:r w:rsidRPr="00D415A2">
        <w:t>, 528 U.S. 923 (1999).</w:t>
      </w:r>
    </w:p>
  </w:footnote>
  <w:footnote w:id="24">
    <w:p w14:paraId="0A664A58" w14:textId="76482207" w:rsidR="00D415A2" w:rsidRPr="00084B2D" w:rsidRDefault="00D415A2" w:rsidP="00D415A2">
      <w:pPr>
        <w:pStyle w:val="FootnoteText"/>
      </w:pPr>
      <w:r w:rsidRPr="00D415A2">
        <w:rPr>
          <w:vertAlign w:val="superscript"/>
        </w:rPr>
        <w:footnoteRef/>
      </w:r>
      <w:r w:rsidRPr="00D415A2">
        <w:t>H.R. 11592, §2(d)(3), 72d Cong., 1st Sess. (1932). The full text of this paragraph is reprinted in Appendix A to this chapter.</w:t>
      </w:r>
    </w:p>
  </w:footnote>
  <w:footnote w:id="25">
    <w:p w14:paraId="3BE5CB4E" w14:textId="343FE28B" w:rsidR="00D415A2" w:rsidRPr="00D415A2" w:rsidRDefault="00D415A2" w:rsidP="00D415A2">
      <w:pPr>
        <w:pStyle w:val="FootnoteText"/>
      </w:pPr>
      <w:r w:rsidRPr="00D415A2">
        <w:rPr>
          <w:vertAlign w:val="superscript"/>
        </w:rPr>
        <w:footnoteRef/>
      </w:r>
      <w:r w:rsidRPr="001152AE">
        <w:rPr>
          <w:i/>
          <w:iCs/>
        </w:rPr>
        <w:t>See</w:t>
      </w:r>
      <w:r w:rsidRPr="00D415A2">
        <w:t xml:space="preserve"> H.R. 11592 §2(d)(3). The paragraph containing this language listed three categories of “previously used” marks:</w:t>
      </w:r>
    </w:p>
    <w:p w14:paraId="79B53E15" w14:textId="1ED8A4FC" w:rsidR="00D415A2" w:rsidRPr="00D415A2" w:rsidRDefault="00D415A2" w:rsidP="00D415A2">
      <w:pPr>
        <w:pStyle w:val="BQuotelong"/>
      </w:pPr>
      <w:r w:rsidRPr="00D415A2">
        <w:t>When such previously used trade-mark (1) is applied to merchandise or services of the same descriptive properties, or (2) is applied to merchandise or services of such other properties, quality, or reputation or to merchandise or services so distributed or conveyed to the purchasing public, or (3) was at the time of its registration a coined or invented or fanciful or arbitrary mark. …</w:t>
      </w:r>
    </w:p>
    <w:p w14:paraId="391BA829" w14:textId="77777777" w:rsidR="00D415A2" w:rsidRPr="00084B2D" w:rsidRDefault="00D415A2" w:rsidP="00D415A2">
      <w:pPr>
        <w:pStyle w:val="FootnoteText"/>
      </w:pPr>
      <w:r w:rsidRPr="00D415A2">
        <w:t>The paragraph was worded in such a way that one could reasonably interpret its protection to extend to virtually any of the three categories in the paragraph. However, such an interpretation would cause the third category to have little meaning. It is therefore likely that the first two categories refer to the confusion portion of the proposed limit, with the third category referring to both confusion and dilution. The full text of this paragraph is reproduced as Appendix A to this chapter.</w:t>
      </w:r>
    </w:p>
  </w:footnote>
  <w:footnote w:id="26">
    <w:p w14:paraId="45393EB3" w14:textId="32E6326A" w:rsidR="00D415A2" w:rsidRPr="00084B2D" w:rsidRDefault="00D415A2" w:rsidP="00D415A2">
      <w:pPr>
        <w:pStyle w:val="FootnoteText"/>
      </w:pPr>
      <w:r w:rsidRPr="00D415A2">
        <w:rPr>
          <w:vertAlign w:val="superscript"/>
        </w:rPr>
        <w:footnoteRef/>
      </w:r>
      <w:r w:rsidRPr="00003878">
        <w:rPr>
          <w:i/>
          <w:iCs/>
        </w:rPr>
        <w:t>See</w:t>
      </w:r>
      <w:r w:rsidRPr="00D415A2">
        <w:t xml:space="preserve"> Anne Gilson Lalonde, Karin Green, Jerome Gilson, 2</w:t>
      </w:r>
      <w:r w:rsidRPr="00D415A2">
        <w:rPr>
          <w:smallCaps/>
        </w:rPr>
        <w:t xml:space="preserve"> Gilson on Trademarks</w:t>
      </w:r>
      <w:r w:rsidRPr="00D415A2">
        <w:t xml:space="preserve"> §5A.03 (8th ed. 2011).</w:t>
      </w:r>
    </w:p>
  </w:footnote>
  <w:footnote w:id="27">
    <w:p w14:paraId="33370F4D" w14:textId="4428E154" w:rsidR="00D415A2" w:rsidRPr="00084B2D" w:rsidRDefault="00D415A2" w:rsidP="00D415A2">
      <w:pPr>
        <w:pStyle w:val="FootnoteText"/>
      </w:pPr>
      <w:r w:rsidRPr="00D415A2">
        <w:rPr>
          <w:vertAlign w:val="superscript"/>
        </w:rPr>
        <w:footnoteRef/>
      </w:r>
      <w:r w:rsidRPr="00003878">
        <w:rPr>
          <w:i/>
          <w:iCs/>
        </w:rPr>
        <w:t>See</w:t>
      </w:r>
      <w:r w:rsidRPr="00D415A2">
        <w:t xml:space="preserve"> </w:t>
      </w:r>
      <w:r w:rsidRPr="00D415A2">
        <w:rPr>
          <w:smallCaps/>
        </w:rPr>
        <w:t xml:space="preserve">1932 </w:t>
      </w:r>
      <w:r w:rsidRPr="00003878">
        <w:rPr>
          <w:i/>
          <w:iCs/>
        </w:rPr>
        <w:t>House Hearings</w:t>
      </w:r>
      <w:r w:rsidRPr="00D415A2">
        <w:t xml:space="preserve"> at 13–14 (particularly the inquiries by Mr. Rich).</w:t>
      </w:r>
    </w:p>
  </w:footnote>
  <w:footnote w:id="28">
    <w:p w14:paraId="04F5C315" w14:textId="08A62D07" w:rsidR="00D415A2" w:rsidRPr="00084B2D" w:rsidRDefault="00D415A2" w:rsidP="00D415A2">
      <w:pPr>
        <w:pStyle w:val="FootnoteText"/>
      </w:pPr>
      <w:r w:rsidRPr="00D415A2">
        <w:rPr>
          <w:vertAlign w:val="superscript"/>
        </w:rPr>
        <w:footnoteRef/>
      </w:r>
      <w:r w:rsidRPr="00D415A2">
        <w:t>Indeed, as discussed in §II.A, above, a federal dilution proposal was made in 1932.</w:t>
      </w:r>
    </w:p>
  </w:footnote>
  <w:footnote w:id="29">
    <w:p w14:paraId="02DE551F" w14:textId="6F591EAB" w:rsidR="00D415A2" w:rsidRPr="00084B2D" w:rsidRDefault="00D415A2" w:rsidP="00D415A2">
      <w:pPr>
        <w:pStyle w:val="FootnoteText"/>
      </w:pPr>
      <w:r w:rsidRPr="00D415A2">
        <w:rPr>
          <w:vertAlign w:val="superscript"/>
        </w:rPr>
        <w:footnoteRef/>
      </w:r>
      <w:r w:rsidRPr="00D415A2">
        <w:t xml:space="preserve">USTA, </w:t>
      </w:r>
      <w:r w:rsidRPr="00003878">
        <w:rPr>
          <w:i/>
          <w:iCs/>
        </w:rPr>
        <w:t>The United States Trademark Association Trademark Review Commission Report and Recommendations to USTA President and Board of Directors</w:t>
      </w:r>
      <w:r w:rsidRPr="00D415A2">
        <w:t xml:space="preserve">, 77 </w:t>
      </w:r>
      <w:r w:rsidRPr="00D415A2">
        <w:rPr>
          <w:smallCaps/>
        </w:rPr>
        <w:t xml:space="preserve">Trademark Rep. </w:t>
      </w:r>
      <w:r w:rsidRPr="00D415A2">
        <w:t>375 (1987) [hereinafter USTA Report].</w:t>
      </w:r>
    </w:p>
  </w:footnote>
  <w:footnote w:id="30">
    <w:p w14:paraId="37785B26" w14:textId="43D262B4" w:rsidR="00D415A2" w:rsidRPr="00084B2D" w:rsidRDefault="00D415A2" w:rsidP="00D415A2">
      <w:pPr>
        <w:pStyle w:val="FootnoteText"/>
      </w:pPr>
      <w:r w:rsidRPr="00D415A2">
        <w:rPr>
          <w:vertAlign w:val="superscript"/>
        </w:rPr>
        <w:footnoteRef/>
      </w:r>
      <w:r w:rsidRPr="00D415A2">
        <w:t>Trademark Law Revision Act of 1988, Pub. L. No. 100-667, 102 Stat. 3935. The intent-to-use application procedures are codified in §1(b) of the Lanham Act, 15 U.S.C. §1051(b).</w:t>
      </w:r>
    </w:p>
  </w:footnote>
  <w:footnote w:id="31">
    <w:p w14:paraId="6D31CFA5" w14:textId="48FA6714" w:rsidR="00D415A2" w:rsidRPr="00084B2D" w:rsidRDefault="00D415A2" w:rsidP="00D415A2">
      <w:pPr>
        <w:pStyle w:val="FootnoteText"/>
      </w:pPr>
      <w:r w:rsidRPr="00D415A2">
        <w:rPr>
          <w:vertAlign w:val="superscript"/>
        </w:rPr>
        <w:footnoteRef/>
      </w:r>
      <w:r w:rsidRPr="00003878">
        <w:rPr>
          <w:i/>
          <w:iCs/>
        </w:rPr>
        <w:t>USTA Report</w:t>
      </w:r>
      <w:r w:rsidRPr="00D415A2">
        <w:t xml:space="preserve">, 77 </w:t>
      </w:r>
      <w:r w:rsidRPr="00D415A2">
        <w:rPr>
          <w:smallCaps/>
        </w:rPr>
        <w:t xml:space="preserve">Trademark Rep. </w:t>
      </w:r>
      <w:r w:rsidRPr="00D415A2">
        <w:t>at 454–62.</w:t>
      </w:r>
    </w:p>
  </w:footnote>
  <w:footnote w:id="32">
    <w:p w14:paraId="5E98E0A2" w14:textId="4DF38E60" w:rsidR="00D415A2" w:rsidRPr="00084B2D" w:rsidRDefault="00D415A2" w:rsidP="00D415A2">
      <w:pPr>
        <w:pStyle w:val="FootnoteText"/>
      </w:pPr>
      <w:r w:rsidRPr="00D415A2">
        <w:rPr>
          <w:vertAlign w:val="superscript"/>
        </w:rPr>
        <w:footnoteRef/>
      </w:r>
      <w:r w:rsidRPr="00003878">
        <w:rPr>
          <w:i/>
          <w:iCs/>
        </w:rPr>
        <w:t>Id.</w:t>
      </w:r>
      <w:r w:rsidRPr="00D415A2">
        <w:t xml:space="preserve"> The dilution and </w:t>
      </w:r>
      <w:proofErr w:type="spellStart"/>
      <w:r w:rsidRPr="00D415A2">
        <w:t>tarnishment</w:t>
      </w:r>
      <w:proofErr w:type="spellEnd"/>
      <w:r w:rsidRPr="00D415A2">
        <w:t xml:space="preserve"> provisions were originally §§28 and 29 of S. 1883. The original separation of the claims for dilution and </w:t>
      </w:r>
      <w:proofErr w:type="spellStart"/>
      <w:r w:rsidRPr="00D415A2">
        <w:t>tarnishment</w:t>
      </w:r>
      <w:proofErr w:type="spellEnd"/>
      <w:r w:rsidRPr="00D415A2">
        <w:t xml:space="preserve"> followed the USTA’s assumption that the two claims are analytically different. </w:t>
      </w:r>
      <w:r w:rsidRPr="00003878">
        <w:rPr>
          <w:i/>
          <w:iCs/>
        </w:rPr>
        <w:t>UTSA Report</w:t>
      </w:r>
      <w:r w:rsidRPr="00D415A2">
        <w:t xml:space="preserve"> at 434–35 (proposing a new §43(a)(3) of the Lanham Act); </w:t>
      </w:r>
      <w:r w:rsidRPr="00003878">
        <w:rPr>
          <w:i/>
          <w:iCs/>
        </w:rPr>
        <w:t>see id</w:t>
      </w:r>
      <w:r w:rsidRPr="00D415A2">
        <w:t>. at 455 (</w:t>
      </w:r>
      <w:proofErr w:type="spellStart"/>
      <w:r w:rsidRPr="00D415A2">
        <w:t>tarnishment</w:t>
      </w:r>
      <w:proofErr w:type="spellEnd"/>
      <w:r w:rsidRPr="00D415A2">
        <w:t xml:space="preserve"> separate from dilution). Trademark </w:t>
      </w:r>
      <w:proofErr w:type="spellStart"/>
      <w:r w:rsidRPr="00D415A2">
        <w:t>tarnishment</w:t>
      </w:r>
      <w:proofErr w:type="spellEnd"/>
      <w:r w:rsidRPr="00D415A2">
        <w:t xml:space="preserve"> was intended to protect against uses that would sully the image represented by the trademark, such as associating the mark with unsavory activity (usually drugs or pornography). Dilution was viewed as dealing with the use by another of a famous mark as the other’s own mark, thus diminishing the uniqueness of the famous mark as an indicator of source. The creation of a separate claim for </w:t>
      </w:r>
      <w:proofErr w:type="spellStart"/>
      <w:r w:rsidRPr="00D415A2">
        <w:t>tarnishment</w:t>
      </w:r>
      <w:proofErr w:type="spellEnd"/>
      <w:r w:rsidRPr="00D415A2">
        <w:t xml:space="preserve"> is interesting in view of the original FTDA definition of dilution—which did not expressly include </w:t>
      </w:r>
      <w:proofErr w:type="spellStart"/>
      <w:r w:rsidRPr="00D415A2">
        <w:t>tarnishment</w:t>
      </w:r>
      <w:proofErr w:type="spellEnd"/>
      <w:r w:rsidRPr="00D415A2">
        <w:t xml:space="preserve">—and judicial interpretations of that language to include </w:t>
      </w:r>
      <w:proofErr w:type="spellStart"/>
      <w:r w:rsidRPr="00D415A2">
        <w:t>tarnishment</w:t>
      </w:r>
      <w:proofErr w:type="spellEnd"/>
      <w:r w:rsidRPr="00D415A2">
        <w:t xml:space="preserve">. This issue is discussed in other chapters in this text. </w:t>
      </w:r>
      <w:r w:rsidRPr="00A50D3C">
        <w:rPr>
          <w:i/>
          <w:iCs/>
        </w:rPr>
        <w:t>See</w:t>
      </w:r>
      <w:r w:rsidRPr="00D415A2">
        <w:t xml:space="preserve"> Chapter 3, §IV.B; Chapter 9, §§II.A.2, II.B.2, II.C.1, II.E.1. The </w:t>
      </w:r>
      <w:proofErr w:type="spellStart"/>
      <w:r w:rsidRPr="00D415A2">
        <w:t>tarnishment</w:t>
      </w:r>
      <w:proofErr w:type="spellEnd"/>
      <w:r w:rsidRPr="00D415A2">
        <w:t xml:space="preserve"> section was deleted before the bill passed the Senate. </w:t>
      </w:r>
      <w:r w:rsidRPr="00D415A2">
        <w:rPr>
          <w:smallCaps/>
        </w:rPr>
        <w:t xml:space="preserve">S. Rep. No. </w:t>
      </w:r>
      <w:r w:rsidRPr="00D415A2">
        <w:t xml:space="preserve">100-515, 100th Cong., 2d Sess. 1, </w:t>
      </w:r>
      <w:r w:rsidRPr="00A50D3C">
        <w:rPr>
          <w:i/>
          <w:iCs/>
        </w:rPr>
        <w:t>reprinted in</w:t>
      </w:r>
      <w:r w:rsidRPr="00D415A2">
        <w:t xml:space="preserve"> 1988 U.S.C.C.A.N. 5577, 5579; </w:t>
      </w:r>
      <w:r w:rsidRPr="00A50D3C">
        <w:rPr>
          <w:i/>
          <w:iCs/>
        </w:rPr>
        <w:t>see also</w:t>
      </w:r>
      <w:r w:rsidRPr="00D415A2">
        <w:t xml:space="preserve"> 134 </w:t>
      </w:r>
      <w:r w:rsidRPr="00D415A2">
        <w:rPr>
          <w:smallCaps/>
        </w:rPr>
        <w:t xml:space="preserve">Cong. Rec. </w:t>
      </w:r>
      <w:r w:rsidRPr="00D415A2">
        <w:t xml:space="preserve">S5864-02 (May 13, 1988). The TDRA expressly created a cause of action for “dilution by </w:t>
      </w:r>
      <w:proofErr w:type="spellStart"/>
      <w:r w:rsidRPr="00D415A2">
        <w:t>tarnishment</w:t>
      </w:r>
      <w:proofErr w:type="spellEnd"/>
      <w:r w:rsidRPr="00D415A2">
        <w:t xml:space="preserve">,” which is separately defined in the current statute. 15 U.S.C. §1125(c)(2)(C) (defining “dilution by </w:t>
      </w:r>
      <w:proofErr w:type="spellStart"/>
      <w:r w:rsidRPr="00D415A2">
        <w:t>tarnishment</w:t>
      </w:r>
      <w:proofErr w:type="spellEnd"/>
      <w:r w:rsidRPr="00D415A2">
        <w:t>”).</w:t>
      </w:r>
    </w:p>
  </w:footnote>
  <w:footnote w:id="33">
    <w:p w14:paraId="4A1D4EC3" w14:textId="77612CFE" w:rsidR="00D415A2" w:rsidRPr="00084B2D" w:rsidRDefault="00D415A2" w:rsidP="00D415A2">
      <w:pPr>
        <w:pStyle w:val="FootnoteText"/>
      </w:pPr>
      <w:r w:rsidRPr="00D415A2">
        <w:rPr>
          <w:vertAlign w:val="superscript"/>
        </w:rPr>
        <w:footnoteRef/>
      </w:r>
      <w:r w:rsidRPr="00D415A2">
        <w:t xml:space="preserve">133 </w:t>
      </w:r>
      <w:r w:rsidRPr="00D415A2">
        <w:rPr>
          <w:smallCaps/>
        </w:rPr>
        <w:t xml:space="preserve">Cong. Rec. </w:t>
      </w:r>
      <w:r w:rsidRPr="00D415A2">
        <w:t xml:space="preserve">S16,550 (Nov. 19, 1987) (reprinting S. 1883 as introduced by Sen. DeConcini); </w:t>
      </w:r>
      <w:r w:rsidRPr="00911CF6">
        <w:rPr>
          <w:i/>
          <w:iCs/>
        </w:rPr>
        <w:t>see also</w:t>
      </w:r>
      <w:r w:rsidRPr="00D415A2">
        <w:t xml:space="preserve"> 134 </w:t>
      </w:r>
      <w:r w:rsidRPr="00D415A2">
        <w:rPr>
          <w:smallCaps/>
        </w:rPr>
        <w:t xml:space="preserve">Cong. Rec. </w:t>
      </w:r>
      <w:r w:rsidRPr="00D415A2">
        <w:t>S16,972–73 (Oct. 20, 1988) (discussing S. 1883).</w:t>
      </w:r>
    </w:p>
  </w:footnote>
  <w:footnote w:id="34">
    <w:p w14:paraId="09068DF1" w14:textId="6607F698" w:rsidR="00D415A2" w:rsidRPr="00084B2D" w:rsidRDefault="00D415A2" w:rsidP="00D415A2">
      <w:pPr>
        <w:pStyle w:val="FootnoteText"/>
      </w:pPr>
      <w:r w:rsidRPr="00D415A2">
        <w:rPr>
          <w:vertAlign w:val="superscript"/>
        </w:rPr>
        <w:footnoteRef/>
      </w:r>
      <w:r w:rsidRPr="00D415A2">
        <w:t xml:space="preserve">134 </w:t>
      </w:r>
      <w:r w:rsidRPr="00D415A2">
        <w:rPr>
          <w:smallCaps/>
        </w:rPr>
        <w:t xml:space="preserve">Cong. Rec. </w:t>
      </w:r>
      <w:r w:rsidRPr="00D415A2">
        <w:t>E665 (Mar. 15, 1988) (Rep. Moorhead, introducing H.R. 4156).</w:t>
      </w:r>
    </w:p>
  </w:footnote>
  <w:footnote w:id="35">
    <w:p w14:paraId="6381B266" w14:textId="5A8C1BD4" w:rsidR="00D415A2" w:rsidRPr="00084B2D" w:rsidRDefault="00D415A2" w:rsidP="00D415A2">
      <w:pPr>
        <w:pStyle w:val="FootnoteText"/>
      </w:pPr>
      <w:r w:rsidRPr="00D415A2">
        <w:rPr>
          <w:vertAlign w:val="superscript"/>
        </w:rPr>
        <w:footnoteRef/>
      </w:r>
      <w:r w:rsidRPr="009139E4">
        <w:rPr>
          <w:i/>
          <w:iCs/>
        </w:rPr>
        <w:t>See</w:t>
      </w:r>
      <w:r w:rsidRPr="00D415A2">
        <w:t xml:space="preserve"> </w:t>
      </w:r>
      <w:r w:rsidRPr="00D415A2">
        <w:rPr>
          <w:smallCaps/>
        </w:rPr>
        <w:t xml:space="preserve">S. Rep. No. </w:t>
      </w:r>
      <w:r w:rsidRPr="00D415A2">
        <w:t>100-515, at 7, 1988 U.S.C.C.A.N. 5577, 5583.</w:t>
      </w:r>
    </w:p>
  </w:footnote>
  <w:footnote w:id="36">
    <w:p w14:paraId="649D7181" w14:textId="4C148276" w:rsidR="00D415A2" w:rsidRPr="00084B2D" w:rsidRDefault="00D415A2" w:rsidP="00D415A2">
      <w:pPr>
        <w:pStyle w:val="FootnoteText"/>
      </w:pPr>
      <w:r w:rsidRPr="00D415A2">
        <w:rPr>
          <w:vertAlign w:val="superscript"/>
        </w:rPr>
        <w:footnoteRef/>
      </w:r>
      <w:r w:rsidRPr="009139E4">
        <w:rPr>
          <w:i/>
          <w:iCs/>
        </w:rPr>
        <w:t>Id.</w:t>
      </w:r>
      <w:r w:rsidRPr="00D415A2">
        <w:t xml:space="preserve"> at 7–8; </w:t>
      </w:r>
      <w:r w:rsidRPr="009139E4">
        <w:rPr>
          <w:i/>
          <w:iCs/>
        </w:rPr>
        <w:t>see</w:t>
      </w:r>
      <w:r w:rsidRPr="00D415A2">
        <w:t xml:space="preserve"> 134 </w:t>
      </w:r>
      <w:r w:rsidRPr="00D415A2">
        <w:rPr>
          <w:smallCaps/>
        </w:rPr>
        <w:t xml:space="preserve">Cong. Rec. </w:t>
      </w:r>
      <w:r w:rsidRPr="00D415A2">
        <w:t>S16,971-01 (daily ed. Oct. 20, 1988) (remarks of Sen. DeConcini, asserting that dilution protection would have assisted U.S. delegates to trade negotiations).</w:t>
      </w:r>
    </w:p>
  </w:footnote>
  <w:footnote w:id="37">
    <w:p w14:paraId="40CCF84E" w14:textId="49DDB8AA" w:rsidR="00D415A2" w:rsidRPr="00084B2D" w:rsidRDefault="00D415A2" w:rsidP="00D415A2">
      <w:pPr>
        <w:pStyle w:val="FootnoteText"/>
      </w:pPr>
      <w:r w:rsidRPr="00D415A2">
        <w:rPr>
          <w:vertAlign w:val="superscript"/>
        </w:rPr>
        <w:footnoteRef/>
      </w:r>
      <w:r w:rsidRPr="00D415A2">
        <w:t xml:space="preserve">133 </w:t>
      </w:r>
      <w:r w:rsidRPr="00D415A2">
        <w:rPr>
          <w:smallCaps/>
        </w:rPr>
        <w:t xml:space="preserve">Cong. Rec. </w:t>
      </w:r>
      <w:r w:rsidRPr="00D415A2">
        <w:t>S16,551.</w:t>
      </w:r>
    </w:p>
  </w:footnote>
  <w:footnote w:id="38">
    <w:p w14:paraId="0FC7B9A8" w14:textId="5A023CC1" w:rsidR="00D415A2" w:rsidRPr="00084B2D" w:rsidRDefault="00D415A2" w:rsidP="00D415A2">
      <w:pPr>
        <w:pStyle w:val="FootnoteText"/>
      </w:pPr>
      <w:r w:rsidRPr="00D415A2">
        <w:rPr>
          <w:vertAlign w:val="superscript"/>
        </w:rPr>
        <w:footnoteRef/>
      </w:r>
      <w:r w:rsidRPr="00D415A2">
        <w:t xml:space="preserve">134 </w:t>
      </w:r>
      <w:r w:rsidRPr="00D415A2">
        <w:rPr>
          <w:smallCaps/>
        </w:rPr>
        <w:t xml:space="preserve">Cong. Rec. </w:t>
      </w:r>
      <w:r w:rsidRPr="00D415A2">
        <w:t>S5864-02 (§38 of S. 1883).</w:t>
      </w:r>
    </w:p>
  </w:footnote>
  <w:footnote w:id="39">
    <w:p w14:paraId="26871F64" w14:textId="22E1A0A4" w:rsidR="00D415A2" w:rsidRPr="00084B2D" w:rsidRDefault="00D415A2" w:rsidP="00D415A2">
      <w:pPr>
        <w:pStyle w:val="FootnoteText"/>
      </w:pPr>
      <w:r w:rsidRPr="00D415A2">
        <w:rPr>
          <w:vertAlign w:val="superscript"/>
        </w:rPr>
        <w:footnoteRef/>
      </w:r>
      <w:r w:rsidRPr="00D415A2">
        <w:rPr>
          <w:smallCaps/>
        </w:rPr>
        <w:t xml:space="preserve">S. Rep. No. </w:t>
      </w:r>
      <w:r w:rsidRPr="00D415A2">
        <w:t>100-515, at 41 (Sept. 15, 1988).</w:t>
      </w:r>
    </w:p>
  </w:footnote>
  <w:footnote w:id="40">
    <w:p w14:paraId="0E7F7BC9" w14:textId="2696A82C" w:rsidR="00D415A2" w:rsidRPr="00084B2D" w:rsidRDefault="00D415A2" w:rsidP="009139E4">
      <w:pPr>
        <w:pStyle w:val="FootnoteText"/>
      </w:pPr>
      <w:r w:rsidRPr="00D415A2">
        <w:rPr>
          <w:vertAlign w:val="superscript"/>
        </w:rPr>
        <w:footnoteRef/>
      </w:r>
      <w:r w:rsidRPr="00D415A2">
        <w:t>134 Cong. Rec. S5864-02 (§36 of S. 1883).</w:t>
      </w:r>
    </w:p>
  </w:footnote>
  <w:footnote w:id="41">
    <w:p w14:paraId="1962AD7D" w14:textId="44DC75F7" w:rsidR="00D415A2" w:rsidRPr="00084B2D" w:rsidRDefault="00D415A2" w:rsidP="00D415A2">
      <w:pPr>
        <w:pStyle w:val="FootnoteText"/>
      </w:pPr>
      <w:r w:rsidRPr="00D415A2">
        <w:rPr>
          <w:vertAlign w:val="superscript"/>
        </w:rPr>
        <w:footnoteRef/>
      </w:r>
      <w:r w:rsidRPr="00D415A2">
        <w:t xml:space="preserve">The original House bill was H.R. 4156. However, the Subcommittee on Courts, Civil Liberties and the Administration of Justice later substituted H.R. 5372, which was introduced by Rep. </w:t>
      </w:r>
      <w:proofErr w:type="spellStart"/>
      <w:r w:rsidRPr="00D415A2">
        <w:t>Kastenmeier</w:t>
      </w:r>
      <w:proofErr w:type="spellEnd"/>
      <w:r w:rsidRPr="00D415A2">
        <w:t xml:space="preserve">, the subcommittee chair. </w:t>
      </w:r>
      <w:r w:rsidRPr="009139E4">
        <w:rPr>
          <w:i/>
          <w:iCs/>
        </w:rPr>
        <w:t>See</w:t>
      </w:r>
      <w:r w:rsidRPr="00D415A2">
        <w:t xml:space="preserve"> </w:t>
      </w:r>
      <w:r w:rsidRPr="00D415A2">
        <w:rPr>
          <w:smallCaps/>
        </w:rPr>
        <w:t xml:space="preserve">H.R. Rep. No. </w:t>
      </w:r>
      <w:r w:rsidRPr="00D415A2">
        <w:t>100-1028, 100th Cong., 2d Sess. 2 (Oct. 3, 1988).</w:t>
      </w:r>
    </w:p>
  </w:footnote>
  <w:footnote w:id="42">
    <w:p w14:paraId="15489212" w14:textId="6B02CB57" w:rsidR="00D415A2" w:rsidRPr="00084B2D" w:rsidRDefault="00D415A2" w:rsidP="00D415A2">
      <w:pPr>
        <w:pStyle w:val="FootnoteText"/>
      </w:pPr>
      <w:r w:rsidRPr="00D415A2">
        <w:rPr>
          <w:vertAlign w:val="superscript"/>
        </w:rPr>
        <w:footnoteRef/>
      </w:r>
      <w:r w:rsidRPr="009139E4">
        <w:rPr>
          <w:i/>
          <w:iCs/>
        </w:rPr>
        <w:t>Id.</w:t>
      </w:r>
      <w:r w:rsidRPr="00D415A2">
        <w:t xml:space="preserve"> at 5–6 (discussing opposition to the proposed dilution and </w:t>
      </w:r>
      <w:proofErr w:type="spellStart"/>
      <w:r w:rsidRPr="00D415A2">
        <w:t>tarnishment</w:t>
      </w:r>
      <w:proofErr w:type="spellEnd"/>
      <w:r w:rsidRPr="00D415A2">
        <w:t xml:space="preserve"> provisions).</w:t>
      </w:r>
    </w:p>
  </w:footnote>
  <w:footnote w:id="43">
    <w:p w14:paraId="6DE423A7" w14:textId="58A65C05" w:rsidR="00D415A2" w:rsidRPr="00084B2D" w:rsidRDefault="00D415A2" w:rsidP="00D415A2">
      <w:pPr>
        <w:pStyle w:val="FootnoteText"/>
      </w:pPr>
      <w:r w:rsidRPr="00D415A2">
        <w:rPr>
          <w:vertAlign w:val="superscript"/>
        </w:rPr>
        <w:footnoteRef/>
      </w:r>
      <w:r w:rsidRPr="00D415A2">
        <w:t xml:space="preserve">134 </w:t>
      </w:r>
      <w:r w:rsidRPr="00D415A2">
        <w:rPr>
          <w:smallCaps/>
        </w:rPr>
        <w:t xml:space="preserve">Cong. Rec. </w:t>
      </w:r>
      <w:r w:rsidRPr="00D415A2">
        <w:t>S16,972–73 (Oct. 20, 1988) (statement of Sen. DeConcini, expressing disappointment that the House did not go along with the Senate in passing a dilution law).</w:t>
      </w:r>
    </w:p>
  </w:footnote>
  <w:footnote w:id="44">
    <w:p w14:paraId="3FDDF550" w14:textId="07DA873A" w:rsidR="00D415A2" w:rsidRPr="00084B2D" w:rsidRDefault="00D415A2" w:rsidP="00D415A2">
      <w:pPr>
        <w:pStyle w:val="FootnoteText"/>
      </w:pPr>
      <w:r w:rsidRPr="00D415A2">
        <w:rPr>
          <w:vertAlign w:val="superscript"/>
        </w:rPr>
        <w:footnoteRef/>
      </w:r>
      <w:r w:rsidRPr="00D415A2">
        <w:rPr>
          <w:smallCaps/>
        </w:rPr>
        <w:t xml:space="preserve">H.R. Rep. No. </w:t>
      </w:r>
      <w:r w:rsidRPr="00D415A2">
        <w:t xml:space="preserve">104-374, 104th Cong., 1st Sess., 1995 U.S.C.C.A.N. 1029, 1032 (Nov. 30, 1995) [hereinafter 1995 </w:t>
      </w:r>
      <w:r w:rsidRPr="00D415A2">
        <w:rPr>
          <w:smallCaps/>
        </w:rPr>
        <w:t>H.R. Rep.</w:t>
      </w:r>
      <w:r w:rsidRPr="00D415A2">
        <w:t>].</w:t>
      </w:r>
    </w:p>
  </w:footnote>
  <w:footnote w:id="45">
    <w:p w14:paraId="6DFA78FA" w14:textId="65827D8F" w:rsidR="00D415A2" w:rsidRPr="00084B2D" w:rsidRDefault="00D415A2" w:rsidP="00D415A2">
      <w:pPr>
        <w:pStyle w:val="FootnoteText"/>
      </w:pPr>
      <w:r w:rsidRPr="00D415A2">
        <w:rPr>
          <w:vertAlign w:val="superscript"/>
        </w:rPr>
        <w:footnoteRef/>
      </w:r>
      <w:r w:rsidRPr="00D415A2">
        <w:t xml:space="preserve">1995 </w:t>
      </w:r>
      <w:r w:rsidRPr="00D415A2">
        <w:rPr>
          <w:smallCaps/>
        </w:rPr>
        <w:t xml:space="preserve">H.R. Rep. </w:t>
      </w:r>
      <w:r w:rsidRPr="00D415A2">
        <w:t>at 5, 1995 U.S.C.C.A.N. at 1032 (vote was on July 27).</w:t>
      </w:r>
    </w:p>
  </w:footnote>
  <w:footnote w:id="46">
    <w:p w14:paraId="5DA1A5FF" w14:textId="7F889442" w:rsidR="00D415A2" w:rsidRPr="00A95B83" w:rsidRDefault="00D415A2" w:rsidP="00D415A2">
      <w:pPr>
        <w:pStyle w:val="FootnoteText"/>
        <w:rPr>
          <w:i/>
          <w:iCs/>
          <w:lang w:val="da-DK"/>
        </w:rPr>
      </w:pPr>
      <w:r w:rsidRPr="00D415A2">
        <w:rPr>
          <w:vertAlign w:val="superscript"/>
        </w:rPr>
        <w:footnoteRef/>
      </w:r>
      <w:r w:rsidRPr="00A95B83">
        <w:rPr>
          <w:i/>
          <w:iCs/>
        </w:rPr>
        <w:t>Id.</w:t>
      </w:r>
    </w:p>
  </w:footnote>
  <w:footnote w:id="47">
    <w:p w14:paraId="38BEF8BA" w14:textId="56D4801D" w:rsidR="00D415A2" w:rsidRPr="0069678E" w:rsidRDefault="00D415A2" w:rsidP="00D415A2">
      <w:pPr>
        <w:pStyle w:val="FootnoteText"/>
        <w:rPr>
          <w:lang w:val="da-DK"/>
        </w:rPr>
      </w:pPr>
      <w:r w:rsidRPr="00D415A2">
        <w:rPr>
          <w:vertAlign w:val="superscript"/>
        </w:rPr>
        <w:footnoteRef/>
      </w:r>
      <w:r w:rsidRPr="00A95B83">
        <w:rPr>
          <w:i/>
          <w:iCs/>
        </w:rPr>
        <w:t>Id.</w:t>
      </w:r>
      <w:r w:rsidRPr="00D415A2">
        <w:t xml:space="preserve"> at 1, 1995 U.S.C.C.A.N. 1029.</w:t>
      </w:r>
    </w:p>
  </w:footnote>
  <w:footnote w:id="48">
    <w:p w14:paraId="3081A74F" w14:textId="2448D910" w:rsidR="00D415A2" w:rsidRPr="00084B2D" w:rsidRDefault="00D415A2" w:rsidP="00D415A2">
      <w:pPr>
        <w:pStyle w:val="FootnoteText"/>
      </w:pPr>
      <w:r w:rsidRPr="00D415A2">
        <w:rPr>
          <w:vertAlign w:val="superscript"/>
        </w:rPr>
        <w:footnoteRef/>
      </w:r>
      <w:r w:rsidRPr="00D415A2">
        <w:t>The 1988 bill number was S. 1883.</w:t>
      </w:r>
    </w:p>
  </w:footnote>
  <w:footnote w:id="49">
    <w:p w14:paraId="2EE8190F" w14:textId="6D72F8C2" w:rsidR="00D415A2" w:rsidRPr="00084B2D" w:rsidRDefault="00D415A2" w:rsidP="00D415A2">
      <w:pPr>
        <w:pStyle w:val="FootnoteText"/>
      </w:pPr>
      <w:r w:rsidRPr="00D415A2">
        <w:rPr>
          <w:vertAlign w:val="superscript"/>
        </w:rPr>
        <w:footnoteRef/>
      </w:r>
      <w:r w:rsidRPr="00D415A2">
        <w:t>15 U.S.C. §1127.</w:t>
      </w:r>
    </w:p>
  </w:footnote>
  <w:footnote w:id="50">
    <w:p w14:paraId="6E37E590" w14:textId="6B907CEF" w:rsidR="00D415A2" w:rsidRPr="00084B2D" w:rsidRDefault="00D415A2" w:rsidP="00D415A2">
      <w:pPr>
        <w:pStyle w:val="FootnoteText"/>
      </w:pPr>
      <w:r w:rsidRPr="00D415A2">
        <w:rPr>
          <w:vertAlign w:val="superscript"/>
        </w:rPr>
        <w:footnoteRef/>
      </w:r>
      <w:r w:rsidRPr="00D415A2">
        <w:t>15 U.S.C. §1125(c)(4) (renumbered as 15 U.S.C. §1125(c)(3) by the TDRA).</w:t>
      </w:r>
    </w:p>
  </w:footnote>
  <w:footnote w:id="51">
    <w:p w14:paraId="6B1E4F8F" w14:textId="5A17B2D9" w:rsidR="00D415A2" w:rsidRPr="00D415A2" w:rsidRDefault="00D415A2" w:rsidP="00D415A2">
      <w:pPr>
        <w:pStyle w:val="FootnoteText"/>
      </w:pPr>
      <w:r w:rsidRPr="00D415A2">
        <w:rPr>
          <w:vertAlign w:val="superscript"/>
        </w:rPr>
        <w:footnoteRef/>
      </w:r>
      <w:r w:rsidRPr="00A95B83">
        <w:rPr>
          <w:i/>
          <w:iCs/>
        </w:rPr>
        <w:t>See, e.g.</w:t>
      </w:r>
      <w:r w:rsidRPr="00D415A2">
        <w:t xml:space="preserve">, 134 </w:t>
      </w:r>
      <w:r w:rsidRPr="00D415A2">
        <w:rPr>
          <w:smallCaps/>
        </w:rPr>
        <w:t xml:space="preserve">Cong. Rec. </w:t>
      </w:r>
      <w:r w:rsidRPr="00D415A2">
        <w:t>at S5,869 (May 13, 1988). The following colloquy in the Senate is illustrative:</w:t>
      </w:r>
    </w:p>
    <w:p w14:paraId="04DF134B" w14:textId="783E1489" w:rsidR="00D415A2" w:rsidRPr="00D415A2" w:rsidRDefault="00D415A2" w:rsidP="00D415A2">
      <w:pPr>
        <w:pStyle w:val="BQuotelong"/>
      </w:pPr>
      <w:r w:rsidRPr="00D415A2">
        <w:t>Mr. RUDMAN. One section of the bill adds a Federal dilution section to current law. This provision provides protection for famous registered trademarks from unauthorized uses which materially reduce the distinctiveness of the mark. The Senator’s introductory floor statement cites the example of a situation where a mark such as Kodak is used for pianos, or Buick is used for aspirin. I presume that this is still the type of situation intended to be covered in this bill, that is, dilution through the noncompeting use of a trademark.</w:t>
      </w:r>
    </w:p>
    <w:p w14:paraId="7CF3DEE9" w14:textId="00A6C66E" w:rsidR="00D415A2" w:rsidRPr="00084B2D" w:rsidRDefault="00D415A2" w:rsidP="00D415A2">
      <w:pPr>
        <w:pStyle w:val="BQuotelong"/>
      </w:pPr>
      <w:r w:rsidRPr="00D415A2">
        <w:t>Mr. DECONCINI. That is correct. This provision is specifically intended to address a narrow category of famous registered trademarks where the unauthorized use by others, on dissimilar products for which the trademark is not registered, dilutes the distinctiveness of the famous [mark]</w:t>
      </w:r>
    </w:p>
  </w:footnote>
  <w:footnote w:id="52">
    <w:p w14:paraId="331306C0" w14:textId="5A351389" w:rsidR="00D415A2" w:rsidRPr="00084B2D" w:rsidRDefault="00D415A2" w:rsidP="00D415A2">
      <w:pPr>
        <w:pStyle w:val="FootnoteText"/>
      </w:pPr>
      <w:r w:rsidRPr="00D415A2">
        <w:rPr>
          <w:vertAlign w:val="superscript"/>
        </w:rPr>
        <w:footnoteRef/>
      </w:r>
      <w:r w:rsidRPr="008D7C02">
        <w:rPr>
          <w:i/>
          <w:iCs/>
        </w:rPr>
        <w:t>See</w:t>
      </w:r>
      <w:r w:rsidRPr="00D415A2">
        <w:t xml:space="preserve"> </w:t>
      </w:r>
      <w:r w:rsidRPr="00D415A2">
        <w:rPr>
          <w:smallCaps/>
        </w:rPr>
        <w:t xml:space="preserve">Sen. Rep. No. </w:t>
      </w:r>
      <w:r w:rsidRPr="00D415A2">
        <w:t>100-515, at 43, 1988 U.S.C.C.A.N. at 5606.</w:t>
      </w:r>
    </w:p>
  </w:footnote>
  <w:footnote w:id="53">
    <w:p w14:paraId="0BC2948B" w14:textId="6A5F29EF" w:rsidR="00D415A2" w:rsidRPr="00084B2D" w:rsidRDefault="00D415A2" w:rsidP="00D415A2">
      <w:pPr>
        <w:pStyle w:val="FootnoteText"/>
      </w:pPr>
      <w:r w:rsidRPr="00D415A2">
        <w:rPr>
          <w:vertAlign w:val="superscript"/>
        </w:rPr>
        <w:footnoteRef/>
      </w:r>
      <w:r w:rsidRPr="008D7C02">
        <w:rPr>
          <w:i/>
          <w:iCs/>
        </w:rPr>
        <w:t>See</w:t>
      </w:r>
      <w:r w:rsidRPr="00D415A2">
        <w:t xml:space="preserve"> Lanham Act §33(b)(4), 15 U.S.C. §1115(b)(4). This provision permits one to use another’s mark in good faith as a descriptive fashion, rather than as a source identifier. Under the TDRA, descriptive fair uses are excluded from liability. Lanham Act §43(c)(3)(A), 15 U.S.C. §1125(c)(3)(A). Before the TDRA, several courts applied §33(b)(4) to federal dilution claims. TCPIP Holding Co. v. Haar Commc’ns, Inc., 244 F.3d 88, 104 n.12, 57 USPQ2d 1969 (2d Cir. 2001); Trans-Union, LLC v. Credit Research, Inc., 142 F. Supp. 2d 1029, 1045 (N.D. Ill. 2001) (“The fair use defense applies in dilution claims just as it does in infringement claims”). See discussion in Chapter 10, §II.A.1.</w:t>
      </w:r>
    </w:p>
  </w:footnote>
  <w:footnote w:id="54">
    <w:p w14:paraId="19A1A5F2" w14:textId="413B4D67" w:rsidR="00D415A2" w:rsidRPr="00084B2D" w:rsidRDefault="00D415A2" w:rsidP="00D415A2">
      <w:pPr>
        <w:pStyle w:val="FootnoteText"/>
      </w:pPr>
      <w:r w:rsidRPr="00D415A2">
        <w:rPr>
          <w:vertAlign w:val="superscript"/>
        </w:rPr>
        <w:footnoteRef/>
      </w:r>
      <w:r w:rsidRPr="0072281E">
        <w:rPr>
          <w:i/>
          <w:iCs/>
        </w:rPr>
        <w:t>See</w:t>
      </w:r>
      <w:r w:rsidRPr="00D415A2">
        <w:t xml:space="preserve"> 1995 </w:t>
      </w:r>
      <w:r w:rsidRPr="00D415A2">
        <w:rPr>
          <w:smallCaps/>
        </w:rPr>
        <w:t xml:space="preserve">H.R. Rep. </w:t>
      </w:r>
      <w:r w:rsidRPr="00D415A2">
        <w:t>at 4. The original version of the 1995 bill also applied only to registered marks.</w:t>
      </w:r>
    </w:p>
  </w:footnote>
  <w:footnote w:id="55">
    <w:p w14:paraId="5A019B23" w14:textId="6DA193D1" w:rsidR="00D415A2" w:rsidRPr="00084B2D" w:rsidRDefault="00D415A2" w:rsidP="00D415A2">
      <w:pPr>
        <w:pStyle w:val="FootnoteText"/>
      </w:pPr>
      <w:r w:rsidRPr="00D415A2">
        <w:rPr>
          <w:vertAlign w:val="superscript"/>
        </w:rPr>
        <w:footnoteRef/>
      </w:r>
      <w:r w:rsidRPr="0072281E">
        <w:rPr>
          <w:i/>
          <w:iCs/>
        </w:rPr>
        <w:t>Id</w:t>
      </w:r>
      <w:r w:rsidRPr="00D415A2">
        <w:t>. (emphasis added).</w:t>
      </w:r>
    </w:p>
  </w:footnote>
  <w:footnote w:id="56">
    <w:p w14:paraId="17DD03C0" w14:textId="10D3CBEA" w:rsidR="00D415A2" w:rsidRPr="00084B2D" w:rsidRDefault="00D415A2" w:rsidP="00D415A2">
      <w:pPr>
        <w:pStyle w:val="FootnoteText"/>
      </w:pPr>
      <w:r w:rsidRPr="00D415A2">
        <w:rPr>
          <w:vertAlign w:val="superscript"/>
        </w:rPr>
        <w:footnoteRef/>
      </w:r>
      <w:r w:rsidRPr="00D415A2">
        <w:t xml:space="preserve">This might have been significant in light of the Second Circuit’s decision in </w:t>
      </w:r>
      <w:r w:rsidRPr="0072281E">
        <w:rPr>
          <w:i/>
          <w:iCs/>
        </w:rPr>
        <w:t>Nabisco, Inc. v. PF Brands, Inc.</w:t>
      </w:r>
      <w:r w:rsidRPr="00D415A2">
        <w:t xml:space="preserve">, 191 F.3d 208, 215, 51 USPQ2d 1882 (2d Cir. 1999), in which it distinguished fame from distinctiveness, and its subsequent decision in </w:t>
      </w:r>
      <w:r w:rsidRPr="0072281E">
        <w:rPr>
          <w:i/>
          <w:iCs/>
        </w:rPr>
        <w:t>TCPIP Holding Co. v. Haar Communications, Inc.</w:t>
      </w:r>
      <w:r w:rsidRPr="00D415A2">
        <w:t>, 244 F.3d 88, 93, 57 USPQ2d 1969 (2d Cir. 2001), requiring a mark to be inherently distinctive to qualify for dilution protection. However, the changes made to the statute by the TDRA made clear that an eligible mark must be both famous, as defined in the statute, and distinctive. The factors listed in the TDRA only apply to the determination of fame.</w:t>
      </w:r>
    </w:p>
  </w:footnote>
  <w:footnote w:id="57">
    <w:p w14:paraId="0C50D22E" w14:textId="1B155212" w:rsidR="00D415A2" w:rsidRPr="00084B2D" w:rsidRDefault="00D415A2" w:rsidP="00D415A2">
      <w:pPr>
        <w:pStyle w:val="FootnoteText"/>
      </w:pPr>
      <w:r w:rsidRPr="00D415A2">
        <w:rPr>
          <w:vertAlign w:val="superscript"/>
        </w:rPr>
        <w:footnoteRef/>
      </w:r>
      <w:r w:rsidRPr="00D415A2">
        <w:t xml:space="preserve">1995 </w:t>
      </w:r>
      <w:r w:rsidRPr="00D415A2">
        <w:rPr>
          <w:smallCaps/>
        </w:rPr>
        <w:t xml:space="preserve">H.R. Rep. </w:t>
      </w:r>
      <w:r w:rsidRPr="00D415A2">
        <w:t>at 3.</w:t>
      </w:r>
    </w:p>
  </w:footnote>
  <w:footnote w:id="58">
    <w:p w14:paraId="6D0BBE8D" w14:textId="113119DD" w:rsidR="00D415A2" w:rsidRPr="00084B2D" w:rsidRDefault="00D415A2" w:rsidP="00D415A2">
      <w:pPr>
        <w:pStyle w:val="FootnoteText"/>
      </w:pPr>
      <w:r w:rsidRPr="00D415A2">
        <w:rPr>
          <w:vertAlign w:val="superscript"/>
        </w:rPr>
        <w:footnoteRef/>
      </w:r>
      <w:r w:rsidRPr="001E6B10">
        <w:rPr>
          <w:i/>
          <w:iCs/>
        </w:rPr>
        <w:t>Id.</w:t>
      </w:r>
    </w:p>
  </w:footnote>
  <w:footnote w:id="59">
    <w:p w14:paraId="062F2341" w14:textId="1BFA345D" w:rsidR="00D415A2" w:rsidRPr="00084B2D" w:rsidRDefault="00D415A2" w:rsidP="00D415A2">
      <w:pPr>
        <w:pStyle w:val="FootnoteText"/>
      </w:pPr>
      <w:r w:rsidRPr="00D415A2">
        <w:rPr>
          <w:vertAlign w:val="superscript"/>
        </w:rPr>
        <w:footnoteRef/>
      </w:r>
      <w:r w:rsidRPr="001E6B10">
        <w:rPr>
          <w:i/>
          <w:iCs/>
        </w:rPr>
        <w:t>Id.</w:t>
      </w:r>
      <w:r w:rsidRPr="00D415A2">
        <w:t xml:space="preserve"> at 3–4; </w:t>
      </w:r>
      <w:r w:rsidRPr="001E6B10">
        <w:rPr>
          <w:i/>
          <w:iCs/>
        </w:rPr>
        <w:t>see generally</w:t>
      </w:r>
      <w:r w:rsidRPr="00D415A2">
        <w:t xml:space="preserve"> David S. Welkowitz, </w:t>
      </w:r>
      <w:r w:rsidRPr="0025674F">
        <w:rPr>
          <w:i/>
          <w:iCs/>
        </w:rPr>
        <w:t>Preemption, Extraterritoriality, and the Problem of State Antidilution Laws</w:t>
      </w:r>
      <w:r w:rsidRPr="00D415A2">
        <w:t xml:space="preserve">, 67 </w:t>
      </w:r>
      <w:r w:rsidRPr="00D415A2">
        <w:rPr>
          <w:smallCaps/>
        </w:rPr>
        <w:t xml:space="preserve">Tul. L. Rev. </w:t>
      </w:r>
      <w:r w:rsidRPr="00D415A2">
        <w:t>1 (1992) (arguing that constitutional principles should limit injunctions that control actions outside of the state).</w:t>
      </w:r>
    </w:p>
  </w:footnote>
  <w:footnote w:id="60">
    <w:p w14:paraId="4C20C52E" w14:textId="68B7939F" w:rsidR="00D415A2" w:rsidRPr="00084B2D" w:rsidRDefault="00D415A2" w:rsidP="00D415A2">
      <w:pPr>
        <w:pStyle w:val="FootnoteText"/>
      </w:pPr>
      <w:r w:rsidRPr="00D415A2">
        <w:rPr>
          <w:vertAlign w:val="superscript"/>
        </w:rPr>
        <w:footnoteRef/>
      </w:r>
      <w:r w:rsidRPr="0025674F">
        <w:rPr>
          <w:i/>
          <w:iCs/>
        </w:rPr>
        <w:t>See</w:t>
      </w:r>
      <w:r w:rsidRPr="00D415A2">
        <w:t xml:space="preserve"> </w:t>
      </w:r>
      <w:r w:rsidRPr="00D415A2">
        <w:rPr>
          <w:smallCaps/>
        </w:rPr>
        <w:t>Restatement (Third) of Unfair Competition</w:t>
      </w:r>
      <w:r w:rsidRPr="00D415A2">
        <w:t xml:space="preserve"> §25, Statutory Note (1995) (listing 25 states as of 1994). The </w:t>
      </w:r>
      <w:r w:rsidRPr="002D56F0">
        <w:rPr>
          <w:i/>
          <w:iCs/>
        </w:rPr>
        <w:t>Restatement</w:t>
      </w:r>
      <w:r w:rsidRPr="00D415A2">
        <w:t xml:space="preserve">’s count is slightly low, as three states added dilution statutes between the promulgation of the 1992 Model Bill and the effective date of the FTDA in </w:t>
      </w:r>
      <w:proofErr w:type="gramStart"/>
      <w:r w:rsidRPr="00D415A2">
        <w:t>January,</w:t>
      </w:r>
      <w:proofErr w:type="gramEnd"/>
      <w:r w:rsidRPr="00D415A2">
        <w:t xml:space="preserve"> 1996, and Washington added a dilution statute in 1989, which was not accounted for by the </w:t>
      </w:r>
      <w:r w:rsidRPr="002D56F0">
        <w:rPr>
          <w:i/>
          <w:iCs/>
        </w:rPr>
        <w:t>Restatement</w:t>
      </w:r>
      <w:r w:rsidRPr="00D415A2">
        <w:t xml:space="preserve">. Thus, 29 states had statutes when the FTDA became effective. </w:t>
      </w:r>
      <w:r w:rsidRPr="002D56F0">
        <w:rPr>
          <w:i/>
          <w:iCs/>
        </w:rPr>
        <w:t>See</w:t>
      </w:r>
      <w:r w:rsidRPr="00D415A2">
        <w:t xml:space="preserve"> Chapter 1, §§III.A.1–3. Since that time, 9 additional states passed dilution laws, and 15 others changed their laws (</w:t>
      </w:r>
      <w:proofErr w:type="gramStart"/>
      <w:r w:rsidRPr="00D415A2">
        <w:t>actually 16</w:t>
      </w:r>
      <w:proofErr w:type="gramEnd"/>
      <w:r w:rsidRPr="00D415A2">
        <w:t xml:space="preserve">, since Minnesota enacted its law in 1994 and amended it in 1998). Two other states amended their statutes before the enactment of the FTDA. </w:t>
      </w:r>
      <w:r w:rsidRPr="002D56F0">
        <w:rPr>
          <w:i/>
          <w:iCs/>
        </w:rPr>
        <w:t>Id.</w:t>
      </w:r>
      <w:r w:rsidRPr="00D415A2">
        <w:t xml:space="preserve"> Thirty-eight states plus the territory of Puerto Rico now have dilution laws.</w:t>
      </w:r>
    </w:p>
  </w:footnote>
  <w:footnote w:id="61">
    <w:p w14:paraId="647A0F49" w14:textId="5A297770" w:rsidR="00D415A2" w:rsidRPr="00084B2D" w:rsidRDefault="00D415A2" w:rsidP="00D415A2">
      <w:pPr>
        <w:pStyle w:val="FootnoteText"/>
      </w:pPr>
      <w:r w:rsidRPr="00D415A2">
        <w:rPr>
          <w:vertAlign w:val="superscript"/>
        </w:rPr>
        <w:footnoteRef/>
      </w:r>
      <w:r w:rsidRPr="00D415A2">
        <w:t xml:space="preserve">See, e.g., Robert N. Klieger, </w:t>
      </w:r>
      <w:r w:rsidRPr="002D56F0">
        <w:rPr>
          <w:i/>
          <w:iCs/>
        </w:rPr>
        <w:t>Trademark Dilution: The Whittling Away of the Rational Basis for Trademark Protection</w:t>
      </w:r>
      <w:r w:rsidRPr="00D415A2">
        <w:t xml:space="preserve">, 58 </w:t>
      </w:r>
      <w:r w:rsidRPr="00D415A2">
        <w:rPr>
          <w:smallCaps/>
        </w:rPr>
        <w:t xml:space="preserve">U. Pitt. L. Rev. </w:t>
      </w:r>
      <w:r w:rsidRPr="00D415A2">
        <w:t xml:space="preserve">789, 821–31 (1997); Kenneth L. Port, </w:t>
      </w:r>
      <w:proofErr w:type="gramStart"/>
      <w:r w:rsidRPr="002D56F0">
        <w:rPr>
          <w:i/>
          <w:iCs/>
        </w:rPr>
        <w:t>The</w:t>
      </w:r>
      <w:proofErr w:type="gramEnd"/>
      <w:r w:rsidRPr="002D56F0">
        <w:rPr>
          <w:i/>
          <w:iCs/>
        </w:rPr>
        <w:t xml:space="preserve"> “Unnatural” Expansion of Trademark Rights: Is a Federal Dilution Statute </w:t>
      </w:r>
      <w:proofErr w:type="gramStart"/>
      <w:r w:rsidRPr="002D56F0">
        <w:rPr>
          <w:i/>
          <w:iCs/>
        </w:rPr>
        <w:t>Necessary?</w:t>
      </w:r>
      <w:r w:rsidRPr="00D415A2">
        <w:t>,</w:t>
      </w:r>
      <w:proofErr w:type="gramEnd"/>
      <w:r w:rsidRPr="00D415A2">
        <w:t xml:space="preserve"> 18 </w:t>
      </w:r>
      <w:r w:rsidRPr="00D415A2">
        <w:rPr>
          <w:smallCaps/>
        </w:rPr>
        <w:t xml:space="preserve">Seton Hall Legis. J. </w:t>
      </w:r>
      <w:r w:rsidRPr="00D415A2">
        <w:t xml:space="preserve">433, 454–55 (1994). See also Chapters 2 through 5 for discussions of cases interpreting state dilution laws. Following the passage of the FTDA, </w:t>
      </w:r>
      <w:proofErr w:type="gramStart"/>
      <w:r w:rsidRPr="00D415A2">
        <w:t>a number of</w:t>
      </w:r>
      <w:proofErr w:type="gramEnd"/>
      <w:r w:rsidRPr="00D415A2">
        <w:t xml:space="preserve"> states enacted dilution laws patterned after the FTDA. </w:t>
      </w:r>
      <w:r w:rsidRPr="002D56F0">
        <w:rPr>
          <w:i/>
          <w:iCs/>
        </w:rPr>
        <w:t>See</w:t>
      </w:r>
      <w:r w:rsidRPr="00D415A2">
        <w:t xml:space="preserve"> Chapter 1, §III.A.</w:t>
      </w:r>
    </w:p>
  </w:footnote>
  <w:footnote w:id="62">
    <w:p w14:paraId="6ACF6F30" w14:textId="173D438C" w:rsidR="00D415A2" w:rsidRPr="00084B2D" w:rsidRDefault="00D415A2" w:rsidP="00D415A2">
      <w:pPr>
        <w:pStyle w:val="FootnoteText"/>
      </w:pPr>
      <w:r w:rsidRPr="00D415A2">
        <w:rPr>
          <w:vertAlign w:val="superscript"/>
        </w:rPr>
        <w:footnoteRef/>
      </w:r>
      <w:r w:rsidRPr="00D415A2">
        <w:t xml:space="preserve">Deere &amp; Co. v. MTD Prods., Inc., 34 USPQ2d 1706, 1711 (S.D.N.Y. 1995); Hyatt Corp. v. Hyatt Legal Servs., 610 F. Supp. 381, 383–85 (N.D. Ill. 1985); </w:t>
      </w:r>
      <w:r w:rsidRPr="002D56F0">
        <w:rPr>
          <w:i/>
          <w:iCs/>
        </w:rPr>
        <w:t>see also</w:t>
      </w:r>
      <w:r w:rsidRPr="00D415A2">
        <w:t xml:space="preserve"> </w:t>
      </w:r>
      <w:proofErr w:type="gramStart"/>
      <w:r w:rsidRPr="00D415A2">
        <w:t>Blue Ribbon</w:t>
      </w:r>
      <w:proofErr w:type="gramEnd"/>
      <w:r w:rsidRPr="00D415A2">
        <w:t xml:space="preserve"> Feed Co. v. Farmers Union Cent. Exch., Inc., 731 F.2d 415, 422, 222 USPQ 785 (7th Cir. 1984) (upholding limited geographic relief for infringement claims under Wisconsin law).</w:t>
      </w:r>
    </w:p>
  </w:footnote>
  <w:footnote w:id="63">
    <w:p w14:paraId="70A613D3" w14:textId="0D208149" w:rsidR="00D415A2" w:rsidRPr="00084B2D" w:rsidRDefault="00D415A2" w:rsidP="00D415A2">
      <w:pPr>
        <w:pStyle w:val="FootnoteText"/>
      </w:pPr>
      <w:r w:rsidRPr="00D415A2">
        <w:rPr>
          <w:vertAlign w:val="superscript"/>
        </w:rPr>
        <w:footnoteRef/>
      </w:r>
      <w:r w:rsidRPr="00D415A2">
        <w:t xml:space="preserve">1995 </w:t>
      </w:r>
      <w:r w:rsidRPr="00D415A2">
        <w:rPr>
          <w:smallCaps/>
        </w:rPr>
        <w:t xml:space="preserve">H.R. Rep. </w:t>
      </w:r>
      <w:r w:rsidRPr="00D415A2">
        <w:t xml:space="preserve">at 4. Sen. Leahy of Vermont, in remarks on the Senate floor, also cited international trade concerns. 141 </w:t>
      </w:r>
      <w:r w:rsidRPr="00D415A2">
        <w:rPr>
          <w:smallCaps/>
        </w:rPr>
        <w:t xml:space="preserve">Cong. Rec. </w:t>
      </w:r>
      <w:r w:rsidRPr="00D415A2">
        <w:t>S19,312 (Dec. 29, 1995) (remarks of Sen. Leahy).</w:t>
      </w:r>
    </w:p>
  </w:footnote>
  <w:footnote w:id="64">
    <w:p w14:paraId="51BC3811" w14:textId="29EE8490" w:rsidR="00D415A2" w:rsidRPr="00084B2D" w:rsidRDefault="00D415A2" w:rsidP="00D415A2">
      <w:pPr>
        <w:pStyle w:val="FootnoteText"/>
      </w:pPr>
      <w:r w:rsidRPr="00D415A2">
        <w:rPr>
          <w:vertAlign w:val="superscript"/>
        </w:rPr>
        <w:footnoteRef/>
      </w:r>
      <w:r w:rsidRPr="00D415A2">
        <w:t>Paris Convention for the Protection of Industrial Property, art. 6</w:t>
      </w:r>
      <w:proofErr w:type="gramStart"/>
      <w:r w:rsidRPr="002D56F0">
        <w:rPr>
          <w:i/>
          <w:iCs/>
        </w:rPr>
        <w:t>bis</w:t>
      </w:r>
      <w:r w:rsidRPr="00D415A2">
        <w:t>(</w:t>
      </w:r>
      <w:proofErr w:type="gramEnd"/>
      <w:r w:rsidRPr="00D415A2">
        <w:t>1).</w:t>
      </w:r>
    </w:p>
  </w:footnote>
  <w:footnote w:id="65">
    <w:p w14:paraId="6CB3542F" w14:textId="3774A188" w:rsidR="00D415A2" w:rsidRPr="00084B2D" w:rsidRDefault="00D415A2" w:rsidP="00D415A2">
      <w:pPr>
        <w:pStyle w:val="FootnoteText"/>
      </w:pPr>
      <w:r w:rsidRPr="00D415A2">
        <w:rPr>
          <w:vertAlign w:val="superscript"/>
        </w:rPr>
        <w:footnoteRef/>
      </w:r>
      <w:r w:rsidRPr="00D415A2">
        <w:t xml:space="preserve">Article </w:t>
      </w:r>
      <w:r w:rsidRPr="00C67C2F">
        <w:rPr>
          <w:i/>
          <w:iCs/>
        </w:rPr>
        <w:t>6bis</w:t>
      </w:r>
      <w:r w:rsidRPr="00D415A2">
        <w:t xml:space="preserve"> of the Paris Convention applies only to goods.</w:t>
      </w:r>
    </w:p>
  </w:footnote>
  <w:footnote w:id="66">
    <w:p w14:paraId="3743BDCA" w14:textId="12439EAD" w:rsidR="00D415A2" w:rsidRPr="00084B2D" w:rsidRDefault="00D415A2" w:rsidP="00D415A2">
      <w:pPr>
        <w:pStyle w:val="FootnoteText"/>
      </w:pPr>
      <w:r w:rsidRPr="00D415A2">
        <w:rPr>
          <w:vertAlign w:val="superscript"/>
        </w:rPr>
        <w:footnoteRef/>
      </w:r>
      <w:r w:rsidRPr="00D415A2">
        <w:t>Section 3 of TRIPS, dealing with geographical indications of origin, arguably contains some dilution protection. Specifically, Article 23(1)—which deals only with wines and spirits—requires adherents to prohibit even some truthful uses of geographic origin, such as “Bordeaux-style” wine. But that is a far narrower form of dilution protection than is indicated in the legislative history of the FTDA.</w:t>
      </w:r>
    </w:p>
  </w:footnote>
  <w:footnote w:id="67">
    <w:p w14:paraId="009735DC" w14:textId="1A072CCF" w:rsidR="00D415A2" w:rsidRPr="00084B2D" w:rsidRDefault="00D415A2" w:rsidP="00D415A2">
      <w:pPr>
        <w:pStyle w:val="FootnoteText"/>
      </w:pPr>
      <w:r w:rsidRPr="00D415A2">
        <w:rPr>
          <w:vertAlign w:val="superscript"/>
        </w:rPr>
        <w:footnoteRef/>
      </w:r>
      <w:r w:rsidRPr="00D415A2">
        <w:t>TRIPS, art. 16(3) (emphasis added).</w:t>
      </w:r>
    </w:p>
  </w:footnote>
  <w:footnote w:id="68">
    <w:p w14:paraId="506AF22E" w14:textId="695C880E" w:rsidR="00D415A2" w:rsidRPr="00084B2D" w:rsidRDefault="00D415A2" w:rsidP="00C67C2F">
      <w:pPr>
        <w:pStyle w:val="FootnoteText"/>
      </w:pPr>
      <w:r w:rsidRPr="00D415A2">
        <w:rPr>
          <w:vertAlign w:val="superscript"/>
        </w:rPr>
        <w:footnoteRef/>
      </w:r>
      <w:r w:rsidRPr="00D415A2">
        <w:t>The details of this practice are discussed in Chapter 13.</w:t>
      </w:r>
    </w:p>
  </w:footnote>
  <w:footnote w:id="69">
    <w:p w14:paraId="14F87A6E" w14:textId="4748EC73" w:rsidR="00D415A2" w:rsidRPr="00084B2D" w:rsidRDefault="00D415A2" w:rsidP="00D415A2">
      <w:pPr>
        <w:pStyle w:val="FootnoteText"/>
      </w:pPr>
      <w:r w:rsidRPr="00D415A2">
        <w:rPr>
          <w:vertAlign w:val="superscript"/>
        </w:rPr>
        <w:footnoteRef/>
      </w:r>
      <w:r w:rsidRPr="00D415A2">
        <w:t>Moseley v. V Secret Catalogue, Inc., 537 U.S. 418, 65 USPQ2d 1801 (2003).</w:t>
      </w:r>
    </w:p>
  </w:footnote>
  <w:footnote w:id="70">
    <w:p w14:paraId="5A258F67" w14:textId="1E8672BB" w:rsidR="00D415A2" w:rsidRPr="00084B2D" w:rsidRDefault="00D415A2" w:rsidP="00D415A2">
      <w:pPr>
        <w:pStyle w:val="FootnoteText"/>
      </w:pPr>
      <w:r w:rsidRPr="00D415A2">
        <w:rPr>
          <w:vertAlign w:val="superscript"/>
        </w:rPr>
        <w:footnoteRef/>
      </w:r>
      <w:r w:rsidRPr="00D415A2">
        <w:t>The effect on state dilution law, including the 2007 revision of the Model State Trademark Bill, is discussed in Chapters 1–5; the effect on claims under federal law is discussed in Chapters 7–11.</w:t>
      </w:r>
    </w:p>
  </w:footnote>
  <w:footnote w:id="71">
    <w:p w14:paraId="1848699C" w14:textId="01D48747" w:rsidR="00D415A2" w:rsidRPr="00084B2D" w:rsidRDefault="00D415A2" w:rsidP="00D415A2">
      <w:pPr>
        <w:pStyle w:val="FootnoteText"/>
      </w:pPr>
      <w:r w:rsidRPr="00D415A2">
        <w:rPr>
          <w:vertAlign w:val="superscript"/>
        </w:rPr>
        <w:footnoteRef/>
      </w:r>
      <w:r w:rsidRPr="00D415A2">
        <w:t xml:space="preserve">Pub. L. No. 106-43, 106th Cong., 1st Sess. (1999). The bill passed by both houses was the Senate bill, S. 1259. Although the House Judiciary Committee originally reported its own bill, H.R. 1565, the House ultimately acquiesced in the Senate’s version. There were no significant differences between the House and Senate versions. The final statute contains sections pertaining to the effective date of the amendments and makes it clear that they apply only to actions </w:t>
      </w:r>
      <w:r w:rsidRPr="00C67C2F">
        <w:rPr>
          <w:i/>
          <w:iCs/>
        </w:rPr>
        <w:t>filed</w:t>
      </w:r>
      <w:r w:rsidRPr="00D415A2">
        <w:t xml:space="preserve"> after the effective date. </w:t>
      </w:r>
      <w:r w:rsidRPr="00C67C2F">
        <w:rPr>
          <w:i/>
          <w:iCs/>
        </w:rPr>
        <w:t>Compare</w:t>
      </w:r>
      <w:r w:rsidRPr="00D415A2">
        <w:t xml:space="preserve"> Trademark Amendments Act of 1999 §§2(e) and 3(e), 145 </w:t>
      </w:r>
      <w:r w:rsidRPr="00D415A2">
        <w:rPr>
          <w:smallCaps/>
        </w:rPr>
        <w:t xml:space="preserve">Cong. Rec. </w:t>
      </w:r>
      <w:r w:rsidRPr="00D415A2">
        <w:t xml:space="preserve">S8,191, </w:t>
      </w:r>
      <w:r w:rsidRPr="00C67C2F">
        <w:rPr>
          <w:i/>
          <w:iCs/>
        </w:rPr>
        <w:t>with</w:t>
      </w:r>
      <w:r w:rsidRPr="00D415A2">
        <w:t xml:space="preserve"> </w:t>
      </w:r>
      <w:r w:rsidRPr="00D415A2">
        <w:rPr>
          <w:smallCaps/>
        </w:rPr>
        <w:t xml:space="preserve">H.R. Rep. No. </w:t>
      </w:r>
      <w:r w:rsidRPr="00D415A2">
        <w:t>106-250, 106th Cong., 1st Sess. 7 (1999).</w:t>
      </w:r>
    </w:p>
  </w:footnote>
  <w:footnote w:id="72">
    <w:p w14:paraId="4A8A5C52" w14:textId="5E44AACB" w:rsidR="00D415A2" w:rsidRPr="00084B2D" w:rsidRDefault="00D415A2" w:rsidP="00D415A2">
      <w:pPr>
        <w:pStyle w:val="FootnoteText"/>
      </w:pPr>
      <w:r w:rsidRPr="00D415A2">
        <w:rPr>
          <w:vertAlign w:val="superscript"/>
        </w:rPr>
        <w:footnoteRef/>
      </w:r>
      <w:r w:rsidRPr="00D415A2">
        <w:t>Babson Bros. Co. v. Surge Power Corp., 39 USPQ2d 1953 (T.T.A.B. 1996).</w:t>
      </w:r>
    </w:p>
  </w:footnote>
  <w:footnote w:id="73">
    <w:p w14:paraId="460A763B" w14:textId="3DE5CF2C" w:rsidR="00D415A2" w:rsidRPr="00084B2D" w:rsidRDefault="00D415A2" w:rsidP="00D415A2">
      <w:pPr>
        <w:pStyle w:val="FootnoteText"/>
      </w:pPr>
      <w:r w:rsidRPr="00D415A2">
        <w:rPr>
          <w:vertAlign w:val="superscript"/>
        </w:rPr>
        <w:footnoteRef/>
      </w:r>
      <w:r w:rsidRPr="00D415A2">
        <w:t xml:space="preserve">The Trademark Dilution Revision Act of 2006 amended §§2, 13, 14, and 24 to conform to the amendments made to §43(c). Sections 2 and 13 now permit opposition to registration on the grounds that the applicant’s mark is “likely to cause dilution by blurring or dilution by </w:t>
      </w:r>
      <w:proofErr w:type="spellStart"/>
      <w:r w:rsidRPr="00D415A2">
        <w:t>tarnishment</w:t>
      </w:r>
      <w:proofErr w:type="spellEnd"/>
      <w:r w:rsidRPr="00D415A2">
        <w:t>.” Similar language was inserted in §§14 and 24.</w:t>
      </w:r>
    </w:p>
  </w:footnote>
  <w:footnote w:id="74">
    <w:p w14:paraId="40C79726" w14:textId="51566737" w:rsidR="00D415A2" w:rsidRPr="00084B2D" w:rsidRDefault="00D415A2" w:rsidP="00D415A2">
      <w:pPr>
        <w:pStyle w:val="FootnoteText"/>
      </w:pPr>
      <w:r w:rsidRPr="00D415A2">
        <w:rPr>
          <w:vertAlign w:val="superscript"/>
        </w:rPr>
        <w:footnoteRef/>
      </w:r>
      <w:r w:rsidRPr="00D415A2">
        <w:rPr>
          <w:smallCaps/>
        </w:rPr>
        <w:t xml:space="preserve">H.R. Rep. No. </w:t>
      </w:r>
      <w:r w:rsidRPr="00D415A2">
        <w:t>106-250, at 6.</w:t>
      </w:r>
    </w:p>
  </w:footnote>
  <w:footnote w:id="75">
    <w:p w14:paraId="3EE3FF2C" w14:textId="76B5C405" w:rsidR="00D415A2" w:rsidRPr="00C67C2F" w:rsidRDefault="00D415A2" w:rsidP="00D415A2">
      <w:pPr>
        <w:pStyle w:val="FootnoteText"/>
        <w:rPr>
          <w:i/>
          <w:iCs/>
        </w:rPr>
      </w:pPr>
      <w:r w:rsidRPr="00D415A2">
        <w:rPr>
          <w:vertAlign w:val="superscript"/>
        </w:rPr>
        <w:footnoteRef/>
      </w:r>
      <w:r w:rsidRPr="00C67C2F">
        <w:rPr>
          <w:i/>
          <w:iCs/>
        </w:rPr>
        <w:t>See id.</w:t>
      </w:r>
    </w:p>
  </w:footnote>
  <w:footnote w:id="76">
    <w:p w14:paraId="27C69CE9" w14:textId="7AC27A34" w:rsidR="00D415A2" w:rsidRPr="00084B2D" w:rsidRDefault="00D415A2" w:rsidP="00D415A2">
      <w:pPr>
        <w:pStyle w:val="FootnoteText"/>
      </w:pPr>
      <w:r w:rsidRPr="00D415A2">
        <w:rPr>
          <w:vertAlign w:val="superscript"/>
        </w:rPr>
        <w:footnoteRef/>
      </w:r>
      <w:r w:rsidRPr="00D415A2">
        <w:t xml:space="preserve">This is consistent with the 1987 USTA proposal, which stated that the remedies of §§35 and 36 should be available for willful violations of the dilution statute. </w:t>
      </w:r>
      <w:r w:rsidRPr="009E631F">
        <w:rPr>
          <w:i/>
          <w:iCs/>
        </w:rPr>
        <w:t>USTA Report</w:t>
      </w:r>
      <w:r w:rsidRPr="00D415A2">
        <w:t xml:space="preserve">, 77 </w:t>
      </w:r>
      <w:r w:rsidRPr="00D415A2">
        <w:rPr>
          <w:smallCaps/>
        </w:rPr>
        <w:t xml:space="preserve">Trademark Rep. </w:t>
      </w:r>
      <w:r w:rsidRPr="00D415A2">
        <w:t xml:space="preserve">at 461–62. These amendments, however, have caused some confusion with respect to damage remedies for other violations of the Lanham Act. </w:t>
      </w:r>
      <w:r w:rsidRPr="009E631F">
        <w:rPr>
          <w:i/>
          <w:iCs/>
        </w:rPr>
        <w:t>See</w:t>
      </w:r>
      <w:r w:rsidRPr="00D415A2">
        <w:t xml:space="preserve"> Chapter 11, §III.</w:t>
      </w:r>
    </w:p>
  </w:footnote>
  <w:footnote w:id="77">
    <w:p w14:paraId="6EE97D32" w14:textId="11D709D7" w:rsidR="00D415A2" w:rsidRPr="00084B2D" w:rsidRDefault="00D415A2" w:rsidP="00D415A2">
      <w:pPr>
        <w:pStyle w:val="FootnoteText"/>
      </w:pPr>
      <w:r w:rsidRPr="00D415A2">
        <w:rPr>
          <w:vertAlign w:val="superscript"/>
        </w:rPr>
        <w:footnoteRef/>
      </w:r>
      <w:r w:rsidRPr="00D415A2">
        <w:t xml:space="preserve">145 </w:t>
      </w:r>
      <w:r w:rsidRPr="00D415A2">
        <w:rPr>
          <w:smallCaps/>
        </w:rPr>
        <w:t xml:space="preserve">Cong. Rec. </w:t>
      </w:r>
      <w:r w:rsidRPr="00D415A2">
        <w:t>H6363, H6364, 1999 WL 533813 (July 26, 1999) (remarks of Rep. Cummings).</w:t>
      </w:r>
    </w:p>
  </w:footnote>
  <w:footnote w:id="78">
    <w:p w14:paraId="5B9CB8DB" w14:textId="244D1081" w:rsidR="00D415A2" w:rsidRPr="00084B2D" w:rsidRDefault="00D415A2" w:rsidP="00D415A2">
      <w:pPr>
        <w:pStyle w:val="FootnoteText"/>
      </w:pPr>
      <w:r w:rsidRPr="00D415A2">
        <w:rPr>
          <w:vertAlign w:val="superscript"/>
        </w:rPr>
        <w:footnoteRef/>
      </w:r>
      <w:r w:rsidRPr="00D415A2">
        <w:t>Moseley v. V Secret Catalogue, Inc., 537 U.S. 418, 65 USPQ2d 1801 (2003).</w:t>
      </w:r>
    </w:p>
  </w:footnote>
  <w:footnote w:id="79">
    <w:p w14:paraId="3D46AB37" w14:textId="040E44DD" w:rsidR="00D415A2" w:rsidRPr="00084B2D" w:rsidRDefault="00D415A2" w:rsidP="00D415A2">
      <w:pPr>
        <w:pStyle w:val="FootnoteText"/>
      </w:pPr>
      <w:r w:rsidRPr="00D415A2">
        <w:rPr>
          <w:vertAlign w:val="superscript"/>
        </w:rPr>
        <w:footnoteRef/>
      </w:r>
      <w:r w:rsidRPr="009E631F">
        <w:rPr>
          <w:i/>
          <w:iCs/>
        </w:rPr>
        <w:t>Id.</w:t>
      </w:r>
    </w:p>
  </w:footnote>
  <w:footnote w:id="80">
    <w:p w14:paraId="3A482A2A" w14:textId="5161DA79" w:rsidR="00D415A2" w:rsidRPr="00084B2D" w:rsidRDefault="00D415A2" w:rsidP="00D415A2">
      <w:pPr>
        <w:pStyle w:val="FootnoteText"/>
      </w:pPr>
      <w:r w:rsidRPr="00D415A2">
        <w:rPr>
          <w:vertAlign w:val="superscript"/>
        </w:rPr>
        <w:footnoteRef/>
      </w:r>
      <w:r w:rsidRPr="00D415A2">
        <w:t>Hearings on a Committee Print to Amend the Federal Trademark Dilution Act, 108th Cong., 2d Sess., Serial No. 72 (Apr. 22, 2004).</w:t>
      </w:r>
    </w:p>
  </w:footnote>
  <w:footnote w:id="81">
    <w:p w14:paraId="67E7E277" w14:textId="45CC10DD" w:rsidR="00D415A2" w:rsidRPr="00084B2D" w:rsidRDefault="00D415A2" w:rsidP="00D415A2">
      <w:pPr>
        <w:pStyle w:val="FootnoteText"/>
      </w:pPr>
      <w:r w:rsidRPr="00D415A2">
        <w:rPr>
          <w:vertAlign w:val="superscript"/>
        </w:rPr>
        <w:footnoteRef/>
      </w:r>
      <w:r w:rsidRPr="00D415A2">
        <w:t>The text of the original H.R. 683 is reproduced in Appendix F.</w:t>
      </w:r>
    </w:p>
  </w:footnote>
  <w:footnote w:id="82">
    <w:p w14:paraId="708C301D" w14:textId="2CD090CC" w:rsidR="00D415A2" w:rsidRPr="00084B2D" w:rsidRDefault="00D415A2" w:rsidP="00D415A2">
      <w:pPr>
        <w:pStyle w:val="FootnoteText"/>
      </w:pPr>
      <w:r w:rsidRPr="00D415A2">
        <w:rPr>
          <w:vertAlign w:val="superscript"/>
        </w:rPr>
        <w:footnoteRef/>
      </w:r>
      <w:r w:rsidRPr="00D415A2">
        <w:t xml:space="preserve">Hearings on the Trademark Dilution Revision Act of 2005 Before the Subcommittee on Courts, the Internet, and Intellectual Property of the House Comm. on the Judiciary, 109th Cong., 1st sess. (Feb. 17, 2005). The brevity of this hearing, the only one held on the bill, is somewhat ironic </w:t>
      </w:r>
      <w:proofErr w:type="gramStart"/>
      <w:r w:rsidRPr="00D415A2">
        <w:t>in light of</w:t>
      </w:r>
      <w:proofErr w:type="gramEnd"/>
      <w:r w:rsidRPr="00D415A2">
        <w:t xml:space="preserve"> the Supreme Court’s pointed reference to the brief hearings held on the original FTDA. </w:t>
      </w:r>
      <w:r w:rsidRPr="009E631F">
        <w:rPr>
          <w:i/>
          <w:iCs/>
        </w:rPr>
        <w:t>See Moseley</w:t>
      </w:r>
      <w:r w:rsidRPr="00D415A2">
        <w:t>, 537 U.S. at 431 (noting “a 1-day hearing” on the bill that became the FTDA).</w:t>
      </w:r>
    </w:p>
  </w:footnote>
  <w:footnote w:id="83">
    <w:p w14:paraId="38953DF0" w14:textId="20728E90" w:rsidR="00D415A2" w:rsidRPr="00084B2D" w:rsidRDefault="00D415A2" w:rsidP="00D415A2">
      <w:pPr>
        <w:pStyle w:val="FootnoteText"/>
      </w:pPr>
      <w:r w:rsidRPr="00D415A2">
        <w:rPr>
          <w:vertAlign w:val="superscript"/>
        </w:rPr>
        <w:footnoteRef/>
      </w:r>
      <w:r w:rsidRPr="00D415A2">
        <w:t xml:space="preserve">H.R. 683, </w:t>
      </w:r>
      <w:r w:rsidRPr="009E631F">
        <w:rPr>
          <w:i/>
          <w:iCs/>
        </w:rPr>
        <w:t>reprinted in</w:t>
      </w:r>
      <w:r w:rsidRPr="00D415A2">
        <w:t xml:space="preserve"> H.R. </w:t>
      </w:r>
      <w:r w:rsidRPr="00D415A2">
        <w:rPr>
          <w:smallCaps/>
        </w:rPr>
        <w:t xml:space="preserve">Rep. No. </w:t>
      </w:r>
      <w:r w:rsidRPr="00D415A2">
        <w:t xml:space="preserve">109-23, 109th Cong., 1st sess. (Mar. 17, 2005) (hereinafter 2005 H.R. </w:t>
      </w:r>
      <w:r w:rsidRPr="00D415A2">
        <w:rPr>
          <w:smallCaps/>
        </w:rPr>
        <w:t>Rep</w:t>
      </w:r>
      <w:r w:rsidRPr="00D415A2">
        <w:t>.).</w:t>
      </w:r>
    </w:p>
  </w:footnote>
  <w:footnote w:id="84">
    <w:p w14:paraId="158D6895" w14:textId="4C2451A5" w:rsidR="00D415A2" w:rsidRPr="00084B2D" w:rsidRDefault="00D415A2" w:rsidP="00D415A2">
      <w:pPr>
        <w:pStyle w:val="FootnoteText"/>
      </w:pPr>
      <w:r w:rsidRPr="00D415A2">
        <w:rPr>
          <w:vertAlign w:val="superscript"/>
        </w:rPr>
        <w:footnoteRef/>
      </w:r>
      <w:r w:rsidRPr="00D415A2">
        <w:t>In 2007, in the wake of the TDRA, the dilution provisions of the Model State Trademark Bill were revised to incorporate much of the TDRA’s language, including the “likelihood of dilution” standard. The 2007 Model Bill amendments are discussed in detail in Chapters 1–5.</w:t>
      </w:r>
    </w:p>
  </w:footnote>
  <w:footnote w:id="85">
    <w:p w14:paraId="54D58150" w14:textId="57CC6F5C" w:rsidR="00D415A2" w:rsidRPr="00084B2D" w:rsidRDefault="00D415A2" w:rsidP="00D415A2">
      <w:pPr>
        <w:pStyle w:val="FootnoteText"/>
      </w:pPr>
      <w:r w:rsidRPr="00D415A2">
        <w:rPr>
          <w:vertAlign w:val="superscript"/>
        </w:rPr>
        <w:footnoteRef/>
      </w:r>
      <w:r w:rsidRPr="00D415A2">
        <w:t xml:space="preserve">537 U.S. 418, 65 USPQ2d 1801 (2003). For a more complete discussion of the effect of </w:t>
      </w:r>
      <w:r w:rsidRPr="00502877">
        <w:rPr>
          <w:i/>
          <w:iCs/>
        </w:rPr>
        <w:t>Moseley</w:t>
      </w:r>
      <w:r w:rsidRPr="00D415A2">
        <w:t>, see Chapter 9.</w:t>
      </w:r>
    </w:p>
  </w:footnote>
  <w:footnote w:id="86">
    <w:p w14:paraId="695DC863" w14:textId="7B425FA9" w:rsidR="00D415A2" w:rsidRPr="00084B2D" w:rsidRDefault="00D415A2" w:rsidP="00D415A2">
      <w:pPr>
        <w:pStyle w:val="FootnoteText"/>
      </w:pPr>
      <w:r w:rsidRPr="00D415A2">
        <w:rPr>
          <w:vertAlign w:val="superscript"/>
        </w:rPr>
        <w:footnoteRef/>
      </w:r>
      <w:r w:rsidRPr="00D415A2">
        <w:t>537 U.S. at 434.</w:t>
      </w:r>
    </w:p>
  </w:footnote>
  <w:footnote w:id="87">
    <w:p w14:paraId="2882CC3D" w14:textId="3186A906" w:rsidR="00D415A2" w:rsidRPr="00084B2D" w:rsidRDefault="00D415A2" w:rsidP="00D415A2">
      <w:pPr>
        <w:pStyle w:val="FootnoteText"/>
      </w:pPr>
      <w:r w:rsidRPr="00D415A2">
        <w:rPr>
          <w:vertAlign w:val="superscript"/>
        </w:rPr>
        <w:footnoteRef/>
      </w:r>
      <w:r w:rsidRPr="00D415A2">
        <w:t xml:space="preserve">As discussed more fully in Chapter 9, §II.C.3, the only guidance offered by the Court was in cases where the offending mark was identical to the famous mark. In those cases, the Court indicated that that would be sufficient circumstantial evidence of actual dilution. </w:t>
      </w:r>
      <w:r w:rsidRPr="00502877">
        <w:rPr>
          <w:i/>
          <w:iCs/>
        </w:rPr>
        <w:t>Moseley</w:t>
      </w:r>
      <w:r w:rsidRPr="00D415A2">
        <w:t>, 537 U.S. at 434.</w:t>
      </w:r>
    </w:p>
  </w:footnote>
  <w:footnote w:id="88">
    <w:p w14:paraId="1AAB81A9" w14:textId="7B8ADF1C" w:rsidR="00D415A2" w:rsidRPr="00084B2D" w:rsidRDefault="00D415A2" w:rsidP="00D415A2">
      <w:pPr>
        <w:pStyle w:val="FootnoteText"/>
      </w:pPr>
      <w:r w:rsidRPr="00D415A2">
        <w:rPr>
          <w:vertAlign w:val="superscript"/>
        </w:rPr>
        <w:footnoteRef/>
      </w:r>
      <w:r w:rsidRPr="00D415A2">
        <w:t>Section 43(c)(1) was changed to permit an injunction against an offending use that is “likely to cause dilution.” 15 U.S.C. §1125(c)(1).</w:t>
      </w:r>
    </w:p>
  </w:footnote>
  <w:footnote w:id="89">
    <w:p w14:paraId="62ADF4C4" w14:textId="00007FF9" w:rsidR="00D415A2" w:rsidRPr="00084B2D" w:rsidRDefault="00D415A2" w:rsidP="00D415A2">
      <w:pPr>
        <w:pStyle w:val="FootnoteText"/>
      </w:pPr>
      <w:r w:rsidRPr="00D415A2">
        <w:rPr>
          <w:vertAlign w:val="superscript"/>
        </w:rPr>
        <w:footnoteRef/>
      </w:r>
      <w:r w:rsidRPr="00D415A2">
        <w:t>15 U.S.C. §1125(c)(2)(B)(</w:t>
      </w:r>
      <w:proofErr w:type="spellStart"/>
      <w:r w:rsidRPr="00D415A2">
        <w:t>i</w:t>
      </w:r>
      <w:proofErr w:type="spellEnd"/>
      <w:r w:rsidRPr="00D415A2">
        <w:t xml:space="preserve">)–(vi). As discussed in §III.B, below, the TDRA divides dilution into two branches: dilution by blurring and dilution by </w:t>
      </w:r>
      <w:proofErr w:type="spellStart"/>
      <w:r w:rsidRPr="00D415A2">
        <w:t>tarnishment</w:t>
      </w:r>
      <w:proofErr w:type="spellEnd"/>
      <w:r w:rsidRPr="00D415A2">
        <w:t xml:space="preserve">. The listed factors appear only in the definition of dilution by blurring. Curiously, the TDRA provides no factors for the analysis of dilution by </w:t>
      </w:r>
      <w:proofErr w:type="spellStart"/>
      <w:r w:rsidRPr="00D415A2">
        <w:t>tarnishment</w:t>
      </w:r>
      <w:proofErr w:type="spellEnd"/>
      <w:r w:rsidRPr="00D415A2">
        <w:t>. See Chapter 9 for further discussion.</w:t>
      </w:r>
    </w:p>
  </w:footnote>
  <w:footnote w:id="90">
    <w:p w14:paraId="70EA5154" w14:textId="4CA81C05" w:rsidR="00D415A2" w:rsidRPr="00084B2D" w:rsidRDefault="00D415A2" w:rsidP="00D415A2">
      <w:pPr>
        <w:pStyle w:val="FootnoteText"/>
      </w:pPr>
      <w:r w:rsidRPr="00D415A2">
        <w:rPr>
          <w:vertAlign w:val="superscript"/>
        </w:rPr>
        <w:footnoteRef/>
      </w:r>
      <w:r w:rsidRPr="00D415A2">
        <w:t>537 U.S. at 432. For a discussion of this issue, see Chapter 3, §§III.B.1, IV.B.1; Chapter 9, §II.E.1.</w:t>
      </w:r>
    </w:p>
  </w:footnote>
  <w:footnote w:id="91">
    <w:p w14:paraId="02CAA6D9" w14:textId="3026BECC" w:rsidR="00D415A2" w:rsidRPr="00084B2D" w:rsidRDefault="00D415A2" w:rsidP="00D415A2">
      <w:pPr>
        <w:pStyle w:val="FootnoteText"/>
      </w:pPr>
      <w:r w:rsidRPr="00D415A2">
        <w:rPr>
          <w:vertAlign w:val="superscript"/>
        </w:rPr>
        <w:footnoteRef/>
      </w:r>
      <w:r w:rsidRPr="00D415A2">
        <w:t>Lanham Act §§43(c)(2)(B), (C), 15 U.S.C. §§1125(c)(2)(B), (C). The TDRA also eliminated the definition of dilution formerly found in Section 47 of the Lanham Act.</w:t>
      </w:r>
    </w:p>
  </w:footnote>
  <w:footnote w:id="92">
    <w:p w14:paraId="52424C9B" w14:textId="6BBD907F" w:rsidR="00D415A2" w:rsidRPr="00084B2D" w:rsidRDefault="00D415A2" w:rsidP="00D415A2">
      <w:pPr>
        <w:pStyle w:val="FootnoteText"/>
      </w:pPr>
      <w:r w:rsidRPr="00D415A2">
        <w:rPr>
          <w:vertAlign w:val="superscript"/>
        </w:rPr>
        <w:footnoteRef/>
      </w:r>
      <w:r w:rsidRPr="00D415A2">
        <w:t>15 U.S.C. §1125(c)(2)(B).</w:t>
      </w:r>
    </w:p>
  </w:footnote>
  <w:footnote w:id="93">
    <w:p w14:paraId="3A843E43" w14:textId="3AC9A1D7" w:rsidR="00D415A2" w:rsidRPr="00084B2D" w:rsidRDefault="00D415A2" w:rsidP="00EA2E3E">
      <w:pPr>
        <w:pStyle w:val="FootnoteText"/>
      </w:pPr>
      <w:r w:rsidRPr="00D415A2">
        <w:rPr>
          <w:vertAlign w:val="superscript"/>
        </w:rPr>
        <w:footnoteRef/>
      </w:r>
      <w:r w:rsidRPr="00EA2E3E">
        <w:rPr>
          <w:i/>
          <w:iCs/>
        </w:rPr>
        <w:t xml:space="preserve">Id. </w:t>
      </w:r>
      <w:r w:rsidRPr="00D415A2">
        <w:t>§1125(c)(2)(C).</w:t>
      </w:r>
    </w:p>
  </w:footnote>
  <w:footnote w:id="94">
    <w:p w14:paraId="289B6894" w14:textId="554B013A" w:rsidR="00D415A2" w:rsidRPr="00084B2D" w:rsidRDefault="00D415A2" w:rsidP="00D415A2">
      <w:pPr>
        <w:pStyle w:val="FootnoteText"/>
      </w:pPr>
      <w:r w:rsidRPr="00D415A2">
        <w:rPr>
          <w:vertAlign w:val="superscript"/>
        </w:rPr>
        <w:footnoteRef/>
      </w:r>
      <w:r w:rsidRPr="009B37BC">
        <w:rPr>
          <w:i/>
          <w:iCs/>
        </w:rPr>
        <w:t>Id</w:t>
      </w:r>
      <w:r w:rsidRPr="00D415A2">
        <w:t>. §1125(c)(2)(B), (C) (emphasis added).</w:t>
      </w:r>
    </w:p>
  </w:footnote>
  <w:footnote w:id="95">
    <w:p w14:paraId="6B7EF27A" w14:textId="209E24C4" w:rsidR="00D415A2" w:rsidRPr="00084B2D" w:rsidRDefault="00D415A2" w:rsidP="00D415A2">
      <w:pPr>
        <w:pStyle w:val="FootnoteText"/>
      </w:pPr>
      <w:r w:rsidRPr="00D415A2">
        <w:rPr>
          <w:vertAlign w:val="superscript"/>
        </w:rPr>
        <w:footnoteRef/>
      </w:r>
      <w:r w:rsidRPr="009B37BC">
        <w:rPr>
          <w:i/>
          <w:iCs/>
        </w:rPr>
        <w:t>Id</w:t>
      </w:r>
      <w:r w:rsidRPr="00D415A2">
        <w:t>. §1125(c)(1) (emphasis added).</w:t>
      </w:r>
    </w:p>
  </w:footnote>
  <w:footnote w:id="96">
    <w:p w14:paraId="5FAAC912" w14:textId="6CF931C1" w:rsidR="00D415A2" w:rsidRPr="00084B2D" w:rsidRDefault="00D415A2" w:rsidP="00D415A2">
      <w:pPr>
        <w:pStyle w:val="FootnoteText"/>
      </w:pPr>
      <w:r w:rsidRPr="00D415A2">
        <w:rPr>
          <w:vertAlign w:val="superscript"/>
        </w:rPr>
        <w:footnoteRef/>
      </w:r>
      <w:r w:rsidRPr="009B37BC">
        <w:rPr>
          <w:i/>
          <w:iCs/>
        </w:rPr>
        <w:t>See</w:t>
      </w:r>
      <w:r w:rsidRPr="00D415A2">
        <w:t xml:space="preserve"> Chapter 9, §IV. </w:t>
      </w:r>
      <w:r w:rsidRPr="009B37BC">
        <w:rPr>
          <w:i/>
          <w:iCs/>
        </w:rPr>
        <w:t>But see</w:t>
      </w:r>
      <w:r w:rsidRPr="00D415A2">
        <w:t xml:space="preserve"> Rosetta Stone, Ltd. v. Google, Inc., 676 F.3d 144, 168–69, 102 USPQ2d 1473 (4th Cir. 2012) (trademark use not required).</w:t>
      </w:r>
    </w:p>
  </w:footnote>
  <w:footnote w:id="97">
    <w:p w14:paraId="0DECDBFB" w14:textId="5FC7E67F" w:rsidR="00D415A2" w:rsidRPr="00084B2D" w:rsidRDefault="00D415A2" w:rsidP="00D415A2">
      <w:pPr>
        <w:pStyle w:val="FootnoteText"/>
      </w:pPr>
      <w:r w:rsidRPr="00D415A2">
        <w:rPr>
          <w:vertAlign w:val="superscript"/>
        </w:rPr>
        <w:footnoteRef/>
      </w:r>
      <w:r w:rsidRPr="00D415A2">
        <w:t>15 U.S.C. §1125(c)(3).</w:t>
      </w:r>
    </w:p>
  </w:footnote>
  <w:footnote w:id="98">
    <w:p w14:paraId="539469AE" w14:textId="28DC736E" w:rsidR="00D415A2" w:rsidRPr="00084B2D" w:rsidRDefault="00D415A2" w:rsidP="00D415A2">
      <w:pPr>
        <w:pStyle w:val="FootnoteText"/>
      </w:pPr>
      <w:r w:rsidRPr="00D415A2">
        <w:rPr>
          <w:vertAlign w:val="superscript"/>
        </w:rPr>
        <w:footnoteRef/>
      </w:r>
      <w:r w:rsidRPr="00D415A2">
        <w:t>The original bill required the offending use to be one “as a designation of source of the person’s goods or services.” See Appendix F.</w:t>
      </w:r>
    </w:p>
  </w:footnote>
  <w:footnote w:id="99">
    <w:p w14:paraId="3C26B870" w14:textId="112194EB" w:rsidR="00D415A2" w:rsidRPr="00084B2D" w:rsidRDefault="00D415A2" w:rsidP="00D415A2">
      <w:pPr>
        <w:pStyle w:val="FootnoteText"/>
      </w:pPr>
      <w:r w:rsidRPr="00D415A2">
        <w:rPr>
          <w:vertAlign w:val="superscript"/>
        </w:rPr>
        <w:footnoteRef/>
      </w:r>
      <w:r w:rsidRPr="00874552">
        <w:rPr>
          <w:i/>
          <w:iCs/>
        </w:rPr>
        <w:t>See</w:t>
      </w:r>
      <w:r w:rsidRPr="00D415A2">
        <w:t xml:space="preserve"> Chapter 9, §IV.</w:t>
      </w:r>
    </w:p>
  </w:footnote>
  <w:footnote w:id="100">
    <w:p w14:paraId="53BC3A27" w14:textId="5D1B72B9" w:rsidR="00D415A2" w:rsidRPr="00084B2D" w:rsidRDefault="00D415A2" w:rsidP="00D415A2">
      <w:pPr>
        <w:pStyle w:val="FootnoteText"/>
      </w:pPr>
      <w:r w:rsidRPr="00D415A2">
        <w:rPr>
          <w:vertAlign w:val="superscript"/>
        </w:rPr>
        <w:footnoteRef/>
      </w:r>
      <w:r w:rsidRPr="00D415A2">
        <w:t>15 U.S.C. §1125(c)(2)(A).</w:t>
      </w:r>
    </w:p>
  </w:footnote>
  <w:footnote w:id="101">
    <w:p w14:paraId="7B8AC755" w14:textId="51706B1A" w:rsidR="00D415A2" w:rsidRPr="00084B2D" w:rsidRDefault="00D415A2" w:rsidP="00D415A2">
      <w:pPr>
        <w:pStyle w:val="FootnoteText"/>
      </w:pPr>
      <w:r w:rsidRPr="00D415A2">
        <w:rPr>
          <w:vertAlign w:val="superscript"/>
        </w:rPr>
        <w:footnoteRef/>
      </w:r>
      <w:r w:rsidRPr="00874552">
        <w:rPr>
          <w:i/>
          <w:iCs/>
        </w:rPr>
        <w:t>See</w:t>
      </w:r>
      <w:r w:rsidRPr="00D415A2">
        <w:t xml:space="preserve"> Lanham Act §43(c), 15 U.S.C. §1125(c) (referring to the “owner of a famous mark that is distinctive”).</w:t>
      </w:r>
    </w:p>
  </w:footnote>
  <w:footnote w:id="102">
    <w:p w14:paraId="03889D44" w14:textId="611C2E82" w:rsidR="00D415A2" w:rsidRPr="00084B2D" w:rsidRDefault="00D415A2" w:rsidP="00D415A2">
      <w:pPr>
        <w:pStyle w:val="FootnoteText"/>
      </w:pPr>
      <w:r w:rsidRPr="00D415A2">
        <w:rPr>
          <w:vertAlign w:val="superscript"/>
        </w:rPr>
        <w:footnoteRef/>
      </w:r>
      <w:r w:rsidRPr="00874552">
        <w:rPr>
          <w:i/>
          <w:iCs/>
        </w:rPr>
        <w:t>Id</w:t>
      </w:r>
      <w:r w:rsidRPr="00D415A2">
        <w:t>. §1125(c)(2)(A)(</w:t>
      </w:r>
      <w:proofErr w:type="spellStart"/>
      <w:r w:rsidRPr="00D415A2">
        <w:t>i</w:t>
      </w:r>
      <w:proofErr w:type="spellEnd"/>
      <w:r w:rsidRPr="00D415A2">
        <w:t>)–(iv). The House version only included the first three factors; the fourth factor was added by the Senate.</w:t>
      </w:r>
    </w:p>
  </w:footnote>
  <w:footnote w:id="103">
    <w:p w14:paraId="51FD3018" w14:textId="65D3DCBD" w:rsidR="00D415A2" w:rsidRPr="00084B2D" w:rsidRDefault="00D415A2" w:rsidP="00D415A2">
      <w:pPr>
        <w:pStyle w:val="FootnoteText"/>
      </w:pPr>
      <w:r w:rsidRPr="00D415A2">
        <w:rPr>
          <w:vertAlign w:val="superscript"/>
        </w:rPr>
        <w:footnoteRef/>
      </w:r>
      <w:r w:rsidRPr="00FC7A69">
        <w:rPr>
          <w:i/>
          <w:iCs/>
        </w:rPr>
        <w:t>See</w:t>
      </w:r>
      <w:r w:rsidRPr="00D415A2">
        <w:t xml:space="preserve"> 2005 H.R. </w:t>
      </w:r>
      <w:r w:rsidRPr="00D415A2">
        <w:rPr>
          <w:smallCaps/>
        </w:rPr>
        <w:t xml:space="preserve">Rep. </w:t>
      </w:r>
      <w:r w:rsidRPr="00D415A2">
        <w:t>at 8 (emphasis added). Niche market fame is discussed in Chapter 8, §V.</w:t>
      </w:r>
    </w:p>
  </w:footnote>
  <w:footnote w:id="104">
    <w:p w14:paraId="4E85856C" w14:textId="7D03F570" w:rsidR="00D415A2" w:rsidRPr="00084B2D" w:rsidRDefault="00D415A2" w:rsidP="00D415A2">
      <w:pPr>
        <w:pStyle w:val="FootnoteText"/>
      </w:pPr>
      <w:r w:rsidRPr="00D415A2">
        <w:rPr>
          <w:vertAlign w:val="superscript"/>
        </w:rPr>
        <w:footnoteRef/>
      </w:r>
      <w:r w:rsidRPr="00FC7A69">
        <w:rPr>
          <w:i/>
          <w:iCs/>
        </w:rPr>
        <w:t>See</w:t>
      </w:r>
      <w:r w:rsidRPr="00D415A2">
        <w:t xml:space="preserve"> Chapter 8, §V.B.</w:t>
      </w:r>
    </w:p>
  </w:footnote>
  <w:footnote w:id="105">
    <w:p w14:paraId="2BA66551" w14:textId="556AAD05" w:rsidR="00D415A2" w:rsidRPr="00084B2D" w:rsidRDefault="00D415A2" w:rsidP="00D415A2">
      <w:pPr>
        <w:pStyle w:val="FootnoteText"/>
      </w:pPr>
      <w:r w:rsidRPr="00D415A2">
        <w:rPr>
          <w:vertAlign w:val="superscript"/>
        </w:rPr>
        <w:footnoteRef/>
      </w:r>
      <w:r w:rsidRPr="00FC7A69">
        <w:rPr>
          <w:i/>
          <w:iCs/>
        </w:rPr>
        <w:t>See</w:t>
      </w:r>
      <w:r w:rsidRPr="00D415A2">
        <w:t xml:space="preserve"> Chapter 8, §VIII.</w:t>
      </w:r>
    </w:p>
  </w:footnote>
  <w:footnote w:id="106">
    <w:p w14:paraId="5A6DF434" w14:textId="15445D9A" w:rsidR="00D415A2" w:rsidRPr="00084B2D" w:rsidRDefault="00D415A2" w:rsidP="00D415A2">
      <w:pPr>
        <w:pStyle w:val="FootnoteText"/>
      </w:pPr>
      <w:r w:rsidRPr="00D415A2">
        <w:rPr>
          <w:vertAlign w:val="superscript"/>
        </w:rPr>
        <w:footnoteRef/>
      </w:r>
      <w:r w:rsidRPr="00D415A2">
        <w:t>TCPIP Holding Co. v. Haar Commc’ns, Inc., 244 F.3d 88, 96, 57 USPQ2d 1969 (2d Cir. 2001).</w:t>
      </w:r>
    </w:p>
  </w:footnote>
  <w:footnote w:id="107">
    <w:p w14:paraId="2BEE2F91" w14:textId="0E2DE979" w:rsidR="00D415A2" w:rsidRPr="00084B2D" w:rsidRDefault="00D415A2" w:rsidP="00D415A2">
      <w:pPr>
        <w:pStyle w:val="FootnoteText"/>
      </w:pPr>
      <w:r w:rsidRPr="00D415A2">
        <w:rPr>
          <w:vertAlign w:val="superscript"/>
        </w:rPr>
        <w:footnoteRef/>
      </w:r>
      <w:r w:rsidRPr="0012617B">
        <w:rPr>
          <w:i/>
          <w:iCs/>
        </w:rPr>
        <w:t>E.g</w:t>
      </w:r>
      <w:r w:rsidRPr="00D415A2">
        <w:t xml:space="preserve">., Times Mirror Magazines, Inc. v. Las Vegas Sports News, LLC, 212 F.3d 157, 166–68, 54 USPQ2d 1577 (3d Cir. 2000), </w:t>
      </w:r>
      <w:r w:rsidRPr="0012617B">
        <w:rPr>
          <w:i/>
          <w:iCs/>
        </w:rPr>
        <w:t>cert. denied</w:t>
      </w:r>
      <w:r w:rsidRPr="00D415A2">
        <w:t>, 531 U.S. 1071 (2001).</w:t>
      </w:r>
    </w:p>
  </w:footnote>
  <w:footnote w:id="108">
    <w:p w14:paraId="3C6BF994" w14:textId="656571B8" w:rsidR="00D415A2" w:rsidRPr="00084B2D" w:rsidRDefault="00D415A2" w:rsidP="00D415A2">
      <w:pPr>
        <w:pStyle w:val="FootnoteText"/>
      </w:pPr>
      <w:r w:rsidRPr="00D415A2">
        <w:rPr>
          <w:vertAlign w:val="superscript"/>
        </w:rPr>
        <w:footnoteRef/>
      </w:r>
      <w:r w:rsidRPr="00D415A2">
        <w:t>15 U.S.C. §1125(c)(1).</w:t>
      </w:r>
    </w:p>
  </w:footnote>
  <w:footnote w:id="109">
    <w:p w14:paraId="3300F327" w14:textId="4628AF69" w:rsidR="00D415A2" w:rsidRPr="00084B2D" w:rsidRDefault="00D415A2" w:rsidP="00D415A2">
      <w:pPr>
        <w:pStyle w:val="FootnoteText"/>
      </w:pPr>
      <w:r w:rsidRPr="00D415A2">
        <w:rPr>
          <w:vertAlign w:val="superscript"/>
        </w:rPr>
        <w:footnoteRef/>
      </w:r>
      <w:r w:rsidRPr="00D415A2">
        <w:t>For a discussion of these exclusions, see Chapter 10, §§I–IV.</w:t>
      </w:r>
    </w:p>
  </w:footnote>
  <w:footnote w:id="110">
    <w:p w14:paraId="4BE18387" w14:textId="29E900D2" w:rsidR="00D415A2" w:rsidRPr="00466351" w:rsidRDefault="00D415A2" w:rsidP="00D415A2">
      <w:pPr>
        <w:pStyle w:val="FootnoteText"/>
      </w:pPr>
      <w:r w:rsidRPr="00D415A2">
        <w:rPr>
          <w:vertAlign w:val="superscript"/>
        </w:rPr>
        <w:footnoteRef/>
      </w:r>
      <w:r w:rsidRPr="001B3F05">
        <w:rPr>
          <w:i/>
          <w:iCs/>
        </w:rPr>
        <w:t>E.g.</w:t>
      </w:r>
      <w:r w:rsidRPr="00D415A2">
        <w:t xml:space="preserve">, Mattel, Inc. v. MCA Records, Inc., 296 F.3d 894, 63 USPQ2d 1715 (9th Cir. 2002), </w:t>
      </w:r>
      <w:r w:rsidRPr="001B3F05">
        <w:rPr>
          <w:i/>
          <w:iCs/>
        </w:rPr>
        <w:t>cert. denied</w:t>
      </w:r>
      <w:r w:rsidRPr="00D415A2">
        <w:t xml:space="preserve">, 537 U.S. 1171 (2003); MasterCard Int’l, Inc. v. Nader 2000 Primary Comm., Inc., 70 USPQ2d 1046 (S.D.N.Y. 2004); American Family Life Ins. Co. v. Hagan, 266 F. Supp. 2d 682, 64 USPQ2d 1865 (N.D. Ohio 2002). </w:t>
      </w:r>
      <w:r w:rsidRPr="001B3F05">
        <w:rPr>
          <w:i/>
          <w:iCs/>
        </w:rPr>
        <w:t>But cf.</w:t>
      </w:r>
      <w:r w:rsidRPr="00D415A2">
        <w:t xml:space="preserve"> Jack Daniel’s Prop., Inc. v. VIP Prods. LLC, 599 U.S. 140, 161–62 (2023) (noncommercial use exclusion does not apply to trademark uses).</w:t>
      </w:r>
    </w:p>
  </w:footnote>
  <w:footnote w:id="111">
    <w:p w14:paraId="6F58634E" w14:textId="102F65EB" w:rsidR="00D415A2" w:rsidRPr="00084B2D" w:rsidRDefault="00D415A2" w:rsidP="004E3AB9">
      <w:pPr>
        <w:pStyle w:val="FootnoteText"/>
      </w:pPr>
      <w:r w:rsidRPr="00D415A2">
        <w:rPr>
          <w:vertAlign w:val="superscript"/>
        </w:rPr>
        <w:footnoteRef/>
      </w:r>
      <w:r w:rsidRPr="00D415A2">
        <w:t xml:space="preserve">It is also worth noting that the exclusion only applied to uses other than trademark uses; some parodying uses may make a trademark use of the famous mark while still attempting to make a commentary on the famous mark. This limitation (only non-trademark uses covered) was included in the version of the fair use exclusion that was ultimately enacted. </w:t>
      </w:r>
      <w:r w:rsidRPr="001B3F05">
        <w:rPr>
          <w:i/>
          <w:iCs/>
        </w:rPr>
        <w:t>See</w:t>
      </w:r>
      <w:r w:rsidRPr="00D415A2">
        <w:t xml:space="preserve"> Lanham Act §43(c)(3)(A), 15 U.S.C. §1125(c)(3)(A). This limits the application of the exclusion. For a discussion of the fair use exclusion as enacted see Chapter 10, §II. For a discussion of whether all actionable uses must be trademark uses see Chapter 9, §IV.</w:t>
      </w:r>
    </w:p>
  </w:footnote>
  <w:footnote w:id="112">
    <w:p w14:paraId="058D5663" w14:textId="2406F916" w:rsidR="00D415A2" w:rsidRPr="00084B2D" w:rsidRDefault="00D415A2" w:rsidP="00D415A2">
      <w:pPr>
        <w:pStyle w:val="FootnoteText"/>
      </w:pPr>
      <w:r w:rsidRPr="00D415A2">
        <w:rPr>
          <w:vertAlign w:val="superscript"/>
        </w:rPr>
        <w:footnoteRef/>
      </w:r>
      <w:r w:rsidRPr="00D415A2">
        <w:t xml:space="preserve">Of course, existing case law is not entirely uniform. </w:t>
      </w:r>
      <w:r w:rsidRPr="004E3AB9">
        <w:rPr>
          <w:i/>
          <w:iCs/>
        </w:rPr>
        <w:t>See</w:t>
      </w:r>
      <w:r w:rsidRPr="00D415A2">
        <w:t xml:space="preserve"> Chapter 10, §IV.</w:t>
      </w:r>
    </w:p>
  </w:footnote>
  <w:footnote w:id="113">
    <w:p w14:paraId="7D0C783A" w14:textId="7F878A25" w:rsidR="00D415A2" w:rsidRPr="00084B2D" w:rsidRDefault="00D415A2" w:rsidP="00D415A2">
      <w:pPr>
        <w:pStyle w:val="FootnoteText"/>
      </w:pPr>
      <w:r w:rsidRPr="00D415A2">
        <w:rPr>
          <w:vertAlign w:val="superscript"/>
        </w:rPr>
        <w:footnoteRef/>
      </w:r>
      <w:r w:rsidRPr="00D415A2">
        <w:t>15 U.S.C. §1125(c)(3)(A).</w:t>
      </w:r>
    </w:p>
  </w:footnote>
  <w:footnote w:id="114">
    <w:p w14:paraId="5A68A4AF" w14:textId="79C06C94" w:rsidR="00D415A2" w:rsidRPr="00084B2D" w:rsidRDefault="00D415A2" w:rsidP="00D415A2">
      <w:pPr>
        <w:pStyle w:val="FootnoteText"/>
      </w:pPr>
      <w:r w:rsidRPr="00D415A2">
        <w:rPr>
          <w:vertAlign w:val="superscript"/>
        </w:rPr>
        <w:footnoteRef/>
      </w:r>
      <w:proofErr w:type="gramStart"/>
      <w:r w:rsidRPr="004E3AB9">
        <w:rPr>
          <w:i/>
          <w:iCs/>
        </w:rPr>
        <w:t>Id.</w:t>
      </w:r>
      <w:r w:rsidRPr="00D415A2">
        <w:t>;</w:t>
      </w:r>
      <w:proofErr w:type="gramEnd"/>
      <w:r w:rsidRPr="00D415A2">
        <w:t xml:space="preserve"> </w:t>
      </w:r>
      <w:r w:rsidRPr="004E3AB9">
        <w:rPr>
          <w:i/>
          <w:iCs/>
        </w:rPr>
        <w:t>see</w:t>
      </w:r>
      <w:r w:rsidRPr="00D415A2">
        <w:t xml:space="preserve"> Playboy Enters., Inc. v. Welles, 279 F.3d 796, 806, 61 USPQ2d 1508 (9th Cir. 2002) (nominative fair use); TCPIP Holding Co. v. Haar Commc’ns, Inc., 244 F.3d 88, 103–04 &amp; n.12, 57 USPQ2d 1969 (2d Cir. 2001) (descriptive fair use).</w:t>
      </w:r>
    </w:p>
  </w:footnote>
  <w:footnote w:id="115">
    <w:p w14:paraId="2D7D4B3A" w14:textId="2F867E04" w:rsidR="00D415A2" w:rsidRPr="00084B2D" w:rsidRDefault="00D415A2" w:rsidP="00D415A2">
      <w:pPr>
        <w:pStyle w:val="FootnoteText"/>
      </w:pPr>
      <w:r w:rsidRPr="00D415A2">
        <w:rPr>
          <w:vertAlign w:val="superscript"/>
        </w:rPr>
        <w:footnoteRef/>
      </w:r>
      <w:r w:rsidRPr="00D415A2">
        <w:t>15 U.S.C. §1125(c)(3)(A)(1).</w:t>
      </w:r>
    </w:p>
  </w:footnote>
  <w:footnote w:id="116">
    <w:p w14:paraId="26F81B5C" w14:textId="29A8B3AC" w:rsidR="00D415A2" w:rsidRPr="00084B2D" w:rsidRDefault="00D415A2" w:rsidP="00D415A2">
      <w:pPr>
        <w:pStyle w:val="FootnoteText"/>
      </w:pPr>
      <w:r w:rsidRPr="00D415A2">
        <w:rPr>
          <w:vertAlign w:val="superscript"/>
        </w:rPr>
        <w:footnoteRef/>
      </w:r>
      <w:r w:rsidRPr="00D415A2">
        <w:t>The use of “promotion” tracks the language of §43(a)(1)(B) of the Lanham Act, 15 U.S.C. §1125(a)(1)(B), which refers to “commercial advertising or promotion.”</w:t>
      </w:r>
    </w:p>
  </w:footnote>
  <w:footnote w:id="117">
    <w:p w14:paraId="3C3D887A" w14:textId="3BAB102B" w:rsidR="00D415A2" w:rsidRPr="00084B2D" w:rsidRDefault="00D415A2" w:rsidP="00D415A2">
      <w:pPr>
        <w:pStyle w:val="FootnoteText"/>
      </w:pPr>
      <w:r w:rsidRPr="00D415A2">
        <w:rPr>
          <w:vertAlign w:val="superscript"/>
        </w:rPr>
        <w:footnoteRef/>
      </w:r>
      <w:r w:rsidRPr="00D415A2">
        <w:t>15 U.S.C. §1125(c)(3)(A)(ii).</w:t>
      </w:r>
    </w:p>
  </w:footnote>
  <w:footnote w:id="118">
    <w:p w14:paraId="6FC0B3AC" w14:textId="3AD45D67" w:rsidR="00D415A2" w:rsidRPr="00084B2D" w:rsidRDefault="00D415A2" w:rsidP="00D415A2">
      <w:pPr>
        <w:pStyle w:val="FootnoteText"/>
      </w:pPr>
      <w:r w:rsidRPr="00D415A2">
        <w:rPr>
          <w:vertAlign w:val="superscript"/>
        </w:rPr>
        <w:footnoteRef/>
      </w:r>
      <w:r w:rsidRPr="004E3AB9">
        <w:rPr>
          <w:i/>
          <w:iCs/>
        </w:rPr>
        <w:t xml:space="preserve">Id. </w:t>
      </w:r>
      <w:r w:rsidRPr="00D415A2">
        <w:t>§1125(c)(1).</w:t>
      </w:r>
    </w:p>
  </w:footnote>
  <w:footnote w:id="119">
    <w:p w14:paraId="6FA39630" w14:textId="6F6F5297" w:rsidR="00D415A2" w:rsidRPr="00084B2D" w:rsidRDefault="00D415A2" w:rsidP="00D415A2">
      <w:pPr>
        <w:pStyle w:val="FootnoteText"/>
      </w:pPr>
      <w:r w:rsidRPr="00D415A2">
        <w:rPr>
          <w:vertAlign w:val="superscript"/>
        </w:rPr>
        <w:footnoteRef/>
      </w:r>
      <w:r w:rsidRPr="00D415A2">
        <w:t>This provision was not in the original House bill; it was added by the Senate.</w:t>
      </w:r>
    </w:p>
  </w:footnote>
  <w:footnote w:id="120">
    <w:p w14:paraId="3C3BFBD8" w14:textId="7ED3F328" w:rsidR="00D415A2" w:rsidRPr="00084B2D" w:rsidRDefault="00D415A2" w:rsidP="00D415A2">
      <w:pPr>
        <w:pStyle w:val="FootnoteText"/>
      </w:pPr>
      <w:r w:rsidRPr="00D415A2">
        <w:rPr>
          <w:vertAlign w:val="superscript"/>
        </w:rPr>
        <w:footnoteRef/>
      </w:r>
      <w:r w:rsidRPr="008644AD">
        <w:rPr>
          <w:i/>
          <w:iCs/>
        </w:rPr>
        <w:t>Id.</w:t>
      </w:r>
      <w:r w:rsidRPr="00D415A2">
        <w:t xml:space="preserve"> §1125(c)(4).</w:t>
      </w:r>
    </w:p>
  </w:footnote>
  <w:footnote w:id="121">
    <w:p w14:paraId="644F2EE3" w14:textId="27D9EF68" w:rsidR="00D415A2" w:rsidRPr="00084B2D" w:rsidRDefault="00D415A2" w:rsidP="00D415A2">
      <w:pPr>
        <w:pStyle w:val="FootnoteText"/>
      </w:pPr>
      <w:r w:rsidRPr="00D415A2">
        <w:rPr>
          <w:vertAlign w:val="superscript"/>
        </w:rPr>
        <w:footnoteRef/>
      </w:r>
      <w:r w:rsidRPr="00D415A2">
        <w:t>Although it is conceivable that one could argue that this provision makes it unnecessary to prove fame if the trade dress is registered, that seems anomalous, and it would conflict with the provision in the Senate version making registration a factor, but not decisive, in the analysis of fame.</w:t>
      </w:r>
    </w:p>
  </w:footnote>
  <w:footnote w:id="122">
    <w:p w14:paraId="0F93B6B1" w14:textId="134327DC" w:rsidR="00D415A2" w:rsidRPr="00084B2D" w:rsidRDefault="00D415A2" w:rsidP="00D415A2">
      <w:pPr>
        <w:pStyle w:val="FootnoteText"/>
      </w:pPr>
      <w:r w:rsidRPr="00D415A2">
        <w:rPr>
          <w:vertAlign w:val="superscript"/>
        </w:rPr>
        <w:footnoteRef/>
      </w:r>
      <w:r w:rsidRPr="001F398A">
        <w:rPr>
          <w:i/>
          <w:iCs/>
        </w:rPr>
        <w:t>See</w:t>
      </w:r>
      <w:r w:rsidRPr="00D415A2">
        <w:t xml:space="preserve"> Hershey Foods Corp. v. Mars, Inc., 998 F. Supp. 500, 515–18 (M.D. Pa. 1998) (discussing fame factors in trade dress claim without considering the “Hershey” word mark itself).</w:t>
      </w:r>
    </w:p>
  </w:footnote>
  <w:footnote w:id="123">
    <w:p w14:paraId="33653EE6" w14:textId="74EB6AE0" w:rsidR="00D415A2" w:rsidRPr="00084B2D" w:rsidRDefault="00D415A2" w:rsidP="00D415A2">
      <w:pPr>
        <w:pStyle w:val="FootnoteText"/>
      </w:pPr>
      <w:r w:rsidRPr="00D415A2">
        <w:rPr>
          <w:vertAlign w:val="superscript"/>
        </w:rPr>
        <w:footnoteRef/>
      </w:r>
      <w:r w:rsidRPr="00D415A2">
        <w:t>Lanham Act §43(c)(7), 15 U.S.C. §1125(c)(7).</w:t>
      </w:r>
    </w:p>
  </w:footnote>
  <w:footnote w:id="124">
    <w:p w14:paraId="1A3CD8FA" w14:textId="7C667EDD" w:rsidR="00D415A2" w:rsidRPr="00084B2D" w:rsidRDefault="00D415A2" w:rsidP="00D415A2">
      <w:pPr>
        <w:pStyle w:val="FootnoteText"/>
      </w:pPr>
      <w:r w:rsidRPr="00D415A2">
        <w:rPr>
          <w:vertAlign w:val="superscript"/>
        </w:rPr>
        <w:footnoteRef/>
      </w:r>
      <w:r w:rsidRPr="001F398A">
        <w:rPr>
          <w:i/>
          <w:iCs/>
        </w:rPr>
        <w:t>See</w:t>
      </w:r>
      <w:r w:rsidRPr="00D415A2">
        <w:t xml:space="preserve"> Chapter 9, §VI.C; Chapter 10, §VI.</w:t>
      </w:r>
    </w:p>
  </w:footnote>
  <w:footnote w:id="125">
    <w:p w14:paraId="6E182B01" w14:textId="7C3BC0B6" w:rsidR="00D415A2" w:rsidRPr="00084B2D" w:rsidRDefault="00D415A2" w:rsidP="00D415A2">
      <w:pPr>
        <w:pStyle w:val="FootnoteText"/>
      </w:pPr>
      <w:r w:rsidRPr="00D415A2">
        <w:rPr>
          <w:vertAlign w:val="superscript"/>
        </w:rPr>
        <w:footnoteRef/>
      </w:r>
      <w:r w:rsidRPr="00D415A2">
        <w:t xml:space="preserve">I.P. Lund Trading </w:t>
      </w:r>
      <w:proofErr w:type="spellStart"/>
      <w:r w:rsidRPr="00D415A2">
        <w:t>ApS</w:t>
      </w:r>
      <w:proofErr w:type="spellEnd"/>
      <w:r w:rsidRPr="00D415A2">
        <w:t xml:space="preserve"> v. Kohler Co., 11 F. Supp. 2d 112 (D. Mass.), </w:t>
      </w:r>
      <w:r w:rsidRPr="00CF2D7B">
        <w:rPr>
          <w:i/>
          <w:iCs/>
        </w:rPr>
        <w:t>vacated</w:t>
      </w:r>
      <w:r w:rsidRPr="00D415A2">
        <w:t xml:space="preserve">, 163 F.3d 27, 49 USPQ2d 1225 (1st Cir. 1998); </w:t>
      </w:r>
      <w:r w:rsidRPr="00CF2D7B">
        <w:rPr>
          <w:i/>
          <w:iCs/>
        </w:rPr>
        <w:t>see</w:t>
      </w:r>
      <w:r w:rsidRPr="00D415A2">
        <w:t xml:space="preserve"> </w:t>
      </w:r>
      <w:proofErr w:type="spellStart"/>
      <w:r w:rsidRPr="00D415A2">
        <w:t>TrafFix</w:t>
      </w:r>
      <w:proofErr w:type="spellEnd"/>
      <w:r w:rsidRPr="00D415A2">
        <w:t xml:space="preserve"> Devices, Inc. v. Marketing Displays, Inc., 532 U.S. 23, 35, 58 USPQ2d 1001 (2001).</w:t>
      </w:r>
    </w:p>
  </w:footnote>
  <w:footnote w:id="126">
    <w:p w14:paraId="1C7D2D69" w14:textId="14FC15E8" w:rsidR="00D415A2" w:rsidRDefault="00D415A2" w:rsidP="00D415A2">
      <w:pPr>
        <w:pStyle w:val="FootnoteText"/>
      </w:pPr>
      <w:r w:rsidRPr="00D415A2">
        <w:rPr>
          <w:vertAlign w:val="superscript"/>
        </w:rPr>
        <w:footnoteRef/>
      </w:r>
      <w:r w:rsidRPr="00D415A2">
        <w:t xml:space="preserve">Only one case applied this defense to a federal dilution claim. Academy of Motion Picture Arts &amp; </w:t>
      </w:r>
      <w:proofErr w:type="spellStart"/>
      <w:r w:rsidRPr="00D415A2">
        <w:t>Scis</w:t>
      </w:r>
      <w:proofErr w:type="spellEnd"/>
      <w:r w:rsidRPr="00D415A2">
        <w:t xml:space="preserve">. v. Alliance of </w:t>
      </w:r>
      <w:proofErr w:type="spellStart"/>
      <w:r w:rsidRPr="00D415A2">
        <w:t>Prof’ls</w:t>
      </w:r>
      <w:proofErr w:type="spellEnd"/>
      <w:r w:rsidRPr="00D415A2">
        <w:t xml:space="preserve"> &amp; Consultants, Inc., 104 USPQ2d 1234, 1236–37 (T.T.A.B. 2012).</w:t>
      </w:r>
    </w:p>
  </w:footnote>
  <w:footnote w:id="127">
    <w:p w14:paraId="7CBBD420" w14:textId="3FD873FB" w:rsidR="00D415A2" w:rsidRDefault="00D415A2" w:rsidP="00D415A2">
      <w:pPr>
        <w:pStyle w:val="FootnoteText"/>
      </w:pPr>
      <w:r w:rsidRPr="00D415A2">
        <w:rPr>
          <w:vertAlign w:val="superscript"/>
        </w:rPr>
        <w:footnoteRef/>
      </w:r>
      <w:r w:rsidRPr="00D415A2">
        <w:t xml:space="preserve">Pub. L. No. 112-90, 126 Stat. 1436 (Oct. 5, 2012). The amendment is not retroactive, however, so claims filed before its effective date will be decided under the previous version. Under </w:t>
      </w:r>
      <w:proofErr w:type="spellStart"/>
      <w:r w:rsidRPr="00D415A2">
        <w:t>Armour</w:t>
      </w:r>
      <w:proofErr w:type="spellEnd"/>
      <w:r w:rsidRPr="00D415A2">
        <w:t>, Inc. v. Evade, LLC, 2013 TTAB LEXIS 74 (T.T.A.B. Feb. 14, 2013).</w:t>
      </w:r>
    </w:p>
  </w:footnote>
  <w:footnote w:id="128">
    <w:p w14:paraId="24305D98" w14:textId="36B03159" w:rsidR="00D415A2" w:rsidRPr="00084B2D" w:rsidRDefault="00D415A2" w:rsidP="00D415A2">
      <w:pPr>
        <w:pStyle w:val="FootnoteText"/>
      </w:pPr>
      <w:r w:rsidRPr="00D415A2">
        <w:rPr>
          <w:vertAlign w:val="superscript"/>
        </w:rPr>
        <w:footnoteRef/>
      </w:r>
      <w:r w:rsidRPr="00D415A2">
        <w:t>Pub. L. No. 106-113, 113 Stat. 1501, 1536, 106th Cong., 1st Sess. 1999 (codified as §§35(d), 43(d), 47 of the Lanham Act, 15 U.S.C. §§1117(d), 1125(d), 1127, 8131). Sections 3006, 3008, and 3010 were not codified as part of the Lanham Act.</w:t>
      </w:r>
    </w:p>
  </w:footnote>
  <w:footnote w:id="129">
    <w:p w14:paraId="3FD7D37C" w14:textId="4C11F69D" w:rsidR="00D415A2" w:rsidRPr="00084B2D" w:rsidRDefault="00D415A2" w:rsidP="00D415A2">
      <w:pPr>
        <w:pStyle w:val="FootnoteText"/>
      </w:pPr>
      <w:r w:rsidRPr="00D415A2">
        <w:rPr>
          <w:vertAlign w:val="superscript"/>
        </w:rPr>
        <w:footnoteRef/>
      </w:r>
      <w:r w:rsidRPr="00D415A2">
        <w:t>15 U.S.C. §1125(d)(1)(A).</w:t>
      </w:r>
    </w:p>
  </w:footnote>
  <w:footnote w:id="130">
    <w:p w14:paraId="36A148EE" w14:textId="360A8568" w:rsidR="00D415A2" w:rsidRPr="00084B2D" w:rsidRDefault="00D415A2" w:rsidP="00D415A2">
      <w:pPr>
        <w:pStyle w:val="FootnoteText"/>
      </w:pPr>
      <w:r w:rsidRPr="00D415A2">
        <w:rPr>
          <w:vertAlign w:val="superscript"/>
        </w:rPr>
        <w:footnoteRef/>
      </w:r>
      <w:r w:rsidRPr="00CF2D7B">
        <w:rPr>
          <w:i/>
          <w:iCs/>
        </w:rPr>
        <w:t>Id.</w:t>
      </w:r>
      <w:r w:rsidRPr="00D415A2">
        <w:t xml:space="preserve"> §1125(d)(1)(A)(ii). Another section of the statute protects individuals from the unauthorized registration of their names as Internet domain names. Lanham Act §47, 15 U.S.C. §8131. This section does not provide unqualified protection, </w:t>
      </w:r>
      <w:r w:rsidRPr="00CF2D7B">
        <w:rPr>
          <w:i/>
          <w:iCs/>
        </w:rPr>
        <w:t>see id</w:t>
      </w:r>
      <w:r w:rsidRPr="00D415A2">
        <w:t>. §8131(1)(B</w:t>
      </w:r>
      <w:proofErr w:type="gramStart"/>
      <w:r w:rsidRPr="00D415A2">
        <w:t>), and</w:t>
      </w:r>
      <w:proofErr w:type="gramEnd"/>
      <w:r w:rsidRPr="00D415A2">
        <w:t xml:space="preserve"> does not invoke dilution.</w:t>
      </w:r>
    </w:p>
  </w:footnote>
  <w:footnote w:id="131">
    <w:p w14:paraId="24CEC43C" w14:textId="152AA8DD" w:rsidR="00D415A2" w:rsidRPr="00084B2D" w:rsidRDefault="00D415A2" w:rsidP="00D415A2">
      <w:pPr>
        <w:pStyle w:val="FootnoteText"/>
      </w:pPr>
      <w:r w:rsidRPr="00D415A2">
        <w:rPr>
          <w:vertAlign w:val="superscript"/>
        </w:rPr>
        <w:footnoteRef/>
      </w:r>
      <w:r w:rsidRPr="00147603">
        <w:rPr>
          <w:i/>
          <w:iCs/>
        </w:rPr>
        <w:t>Id.</w:t>
      </w:r>
      <w:r w:rsidRPr="00D415A2">
        <w:t xml:space="preserve"> §1125(d)(1)(B)(</w:t>
      </w:r>
      <w:proofErr w:type="spellStart"/>
      <w:r w:rsidRPr="00D415A2">
        <w:t>i</w:t>
      </w:r>
      <w:proofErr w:type="spellEnd"/>
      <w:r w:rsidRPr="00D415A2">
        <w:t>)(IX).</w:t>
      </w:r>
    </w:p>
  </w:footnote>
  <w:footnote w:id="132">
    <w:p w14:paraId="50A68859" w14:textId="4C6005E7" w:rsidR="00D415A2" w:rsidRPr="00084B2D" w:rsidRDefault="00D415A2" w:rsidP="00D415A2">
      <w:pPr>
        <w:pStyle w:val="FootnoteText"/>
      </w:pPr>
      <w:r w:rsidRPr="00D415A2">
        <w:rPr>
          <w:vertAlign w:val="superscript"/>
        </w:rPr>
        <w:footnoteRef/>
      </w:r>
      <w:r w:rsidRPr="00D415A2">
        <w:t>See generally Chapter 14.</w:t>
      </w:r>
    </w:p>
  </w:footnote>
  <w:footnote w:id="133">
    <w:p w14:paraId="6B459C25" w14:textId="3F486591" w:rsidR="00D415A2" w:rsidRPr="00084B2D" w:rsidRDefault="00D415A2" w:rsidP="00D415A2">
      <w:pPr>
        <w:pStyle w:val="FootnoteText"/>
      </w:pPr>
      <w:r w:rsidRPr="00D415A2">
        <w:rPr>
          <w:vertAlign w:val="superscript"/>
        </w:rPr>
        <w:footnoteRef/>
      </w:r>
      <w:r w:rsidRPr="00D415A2">
        <w:t>Lanham Act §43(c)(2)(A)(</w:t>
      </w:r>
      <w:proofErr w:type="spellStart"/>
      <w:r w:rsidRPr="00D415A2">
        <w:t>i</w:t>
      </w:r>
      <w:proofErr w:type="spellEnd"/>
      <w:r w:rsidRPr="00D415A2">
        <w:t>)–(iv), 15 U.S.C. §1125(c)(2)(A)(</w:t>
      </w:r>
      <w:proofErr w:type="spellStart"/>
      <w:r w:rsidRPr="00D415A2">
        <w:t>i</w:t>
      </w:r>
      <w:proofErr w:type="spellEnd"/>
      <w:r w:rsidRPr="00D415A2">
        <w:t xml:space="preserve">)–(iv). Prior to its amendment in 2006, the statute contained eight factors to guide the determination of fame. </w:t>
      </w:r>
      <w:r w:rsidRPr="00147603">
        <w:rPr>
          <w:i/>
          <w:iCs/>
        </w:rPr>
        <w:t>Id.</w:t>
      </w:r>
      <w:r w:rsidRPr="00D415A2">
        <w:t xml:space="preserve"> §43(c)(1)(A)–(H), 15 U.S.C. §1125(c)(1)(A)–(H) (superseded by the TDRA). This is discussed in Chapter 8.</w:t>
      </w:r>
    </w:p>
  </w:footnote>
  <w:footnote w:id="134">
    <w:p w14:paraId="6A02F474" w14:textId="53D7EF03" w:rsidR="00D415A2" w:rsidRPr="00084B2D" w:rsidRDefault="00D415A2" w:rsidP="00D415A2">
      <w:pPr>
        <w:pStyle w:val="FootnoteText"/>
      </w:pPr>
      <w:r w:rsidRPr="00D415A2">
        <w:rPr>
          <w:vertAlign w:val="superscript"/>
        </w:rPr>
        <w:footnoteRef/>
      </w:r>
      <w:r w:rsidRPr="00D415A2">
        <w:t>Lanham Act §43(c)(2)(B), 15 U.S.C. §1125(c)(2)(B).</w:t>
      </w:r>
    </w:p>
  </w:footnote>
  <w:footnote w:id="135">
    <w:p w14:paraId="4979E030" w14:textId="6C648188" w:rsidR="00D415A2" w:rsidRPr="00084B2D" w:rsidRDefault="00D415A2" w:rsidP="00D415A2">
      <w:pPr>
        <w:pStyle w:val="FootnoteText"/>
      </w:pPr>
      <w:r w:rsidRPr="00D415A2">
        <w:rPr>
          <w:vertAlign w:val="superscript"/>
        </w:rPr>
        <w:footnoteRef/>
      </w:r>
      <w:r w:rsidRPr="00CF23BD">
        <w:rPr>
          <w:i/>
          <w:iCs/>
        </w:rPr>
        <w:t>Id.</w:t>
      </w:r>
      <w:r w:rsidRPr="00D415A2">
        <w:t xml:space="preserve"> §43(c)(2)(C), 15 U.S.C. §1125(c)(2)(C).</w:t>
      </w:r>
    </w:p>
  </w:footnote>
  <w:footnote w:id="136">
    <w:p w14:paraId="43D24FDE" w14:textId="38AD027A" w:rsidR="00D415A2" w:rsidRPr="00084B2D" w:rsidRDefault="00D415A2" w:rsidP="00D415A2">
      <w:pPr>
        <w:pStyle w:val="FootnoteText"/>
      </w:pPr>
      <w:r w:rsidRPr="00D415A2">
        <w:rPr>
          <w:vertAlign w:val="superscript"/>
        </w:rPr>
        <w:footnoteRef/>
      </w:r>
      <w:r w:rsidRPr="00CF23BD">
        <w:rPr>
          <w:i/>
          <w:iCs/>
        </w:rPr>
        <w:t>Id.</w:t>
      </w:r>
      <w:r w:rsidRPr="00D415A2">
        <w:t xml:space="preserve"> §43(c)(2)(B)(</w:t>
      </w:r>
      <w:proofErr w:type="spellStart"/>
      <w:r w:rsidRPr="00D415A2">
        <w:t>i</w:t>
      </w:r>
      <w:proofErr w:type="spellEnd"/>
      <w:r w:rsidRPr="00D415A2">
        <w:t>)–(vi), 15 U.S.C. §1125(c)(2)(B)(</w:t>
      </w:r>
      <w:proofErr w:type="spellStart"/>
      <w:r w:rsidRPr="00D415A2">
        <w:t>i</w:t>
      </w:r>
      <w:proofErr w:type="spellEnd"/>
      <w:r w:rsidRPr="00D415A2">
        <w:t xml:space="preserve">)–(vi). Prior to the TDRA, the statute defined dilution as “the lessening of the capacity of a famous mark to identify and distinguish goods or services.” Lanham Act §45, 15 U.S.C. §1127 (definition of dilution) (deleted by the TDRA). </w:t>
      </w:r>
      <w:r w:rsidRPr="00CF23BD">
        <w:rPr>
          <w:i/>
          <w:iCs/>
        </w:rPr>
        <w:t>See</w:t>
      </w:r>
      <w:r w:rsidRPr="00D415A2">
        <w:t xml:space="preserve"> Chapter 9.</w:t>
      </w:r>
    </w:p>
  </w:footnote>
  <w:footnote w:id="137">
    <w:p w14:paraId="6DAAF6B1" w14:textId="4B4D6E6F" w:rsidR="00D415A2" w:rsidRPr="00084B2D" w:rsidRDefault="00D415A2" w:rsidP="00CF23BD">
      <w:pPr>
        <w:pStyle w:val="FootnoteText"/>
      </w:pPr>
      <w:r w:rsidRPr="00D415A2">
        <w:rPr>
          <w:vertAlign w:val="superscript"/>
        </w:rPr>
        <w:footnoteRef/>
      </w:r>
      <w:r w:rsidRPr="00D415A2">
        <w:t>Lanham Act §43(c)(1), 15 U.S.C. §1125(c)(1).</w:t>
      </w:r>
    </w:p>
  </w:footnote>
  <w:footnote w:id="138">
    <w:p w14:paraId="5E7179C2" w14:textId="5EB351EC" w:rsidR="00D415A2" w:rsidRPr="00084B2D" w:rsidRDefault="00D415A2" w:rsidP="00D415A2">
      <w:pPr>
        <w:pStyle w:val="FootnoteText"/>
      </w:pPr>
      <w:r w:rsidRPr="00D415A2">
        <w:rPr>
          <w:vertAlign w:val="superscript"/>
        </w:rPr>
        <w:footnoteRef/>
      </w:r>
      <w:r w:rsidRPr="00D415A2">
        <w:t xml:space="preserve">Lanham Act §43(c)(3), 15 U.S.C. §1125(c)(3). </w:t>
      </w:r>
      <w:r w:rsidRPr="009B3A84">
        <w:rPr>
          <w:i/>
          <w:iCs/>
        </w:rPr>
        <w:t>See</w:t>
      </w:r>
      <w:r w:rsidRPr="00D415A2">
        <w:t xml:space="preserve"> discussion in Chapter 10.</w:t>
      </w:r>
    </w:p>
  </w:footnote>
  <w:footnote w:id="139">
    <w:p w14:paraId="364968C4" w14:textId="200A5EC5" w:rsidR="00D415A2" w:rsidRPr="00084B2D" w:rsidRDefault="00D415A2" w:rsidP="00D415A2">
      <w:pPr>
        <w:pStyle w:val="FootnoteText"/>
      </w:pPr>
      <w:r w:rsidRPr="00D415A2">
        <w:rPr>
          <w:vertAlign w:val="superscript"/>
        </w:rPr>
        <w:footnoteRef/>
      </w:r>
      <w:r w:rsidRPr="00D415A2">
        <w:t xml:space="preserve">Lanham Act §43(c)(5), 15 U.S.C. §1125(c)(5). </w:t>
      </w:r>
      <w:r w:rsidRPr="009B3A84">
        <w:rPr>
          <w:i/>
          <w:iCs/>
        </w:rPr>
        <w:t>See</w:t>
      </w:r>
      <w:r w:rsidRPr="00D415A2">
        <w:t xml:space="preserve"> discussion in Chapter 11, §III.</w:t>
      </w:r>
    </w:p>
  </w:footnote>
  <w:footnote w:id="140">
    <w:p w14:paraId="6739E39B" w14:textId="0BC82D5F" w:rsidR="00D415A2" w:rsidRPr="00084B2D" w:rsidRDefault="00D415A2" w:rsidP="00D415A2">
      <w:pPr>
        <w:pStyle w:val="FootnoteText"/>
      </w:pPr>
      <w:r w:rsidRPr="00D415A2">
        <w:rPr>
          <w:vertAlign w:val="superscript"/>
        </w:rPr>
        <w:footnoteRef/>
      </w:r>
      <w:r w:rsidRPr="00D415A2">
        <w:t xml:space="preserve">1995 </w:t>
      </w:r>
      <w:r w:rsidRPr="00D415A2">
        <w:rPr>
          <w:smallCaps/>
        </w:rPr>
        <w:t xml:space="preserve">H.R. Rep. </w:t>
      </w:r>
      <w:r w:rsidRPr="00D415A2">
        <w:t>at 4.</w:t>
      </w:r>
    </w:p>
  </w:footnote>
  <w:footnote w:id="141">
    <w:p w14:paraId="7DE04429" w14:textId="76B49E4F" w:rsidR="00D415A2" w:rsidRPr="00084B2D" w:rsidRDefault="00D415A2" w:rsidP="00D415A2">
      <w:pPr>
        <w:pStyle w:val="FootnoteText"/>
      </w:pPr>
      <w:r w:rsidRPr="00D415A2">
        <w:rPr>
          <w:vertAlign w:val="superscript"/>
        </w:rPr>
        <w:footnoteRef/>
      </w:r>
      <w:r w:rsidRPr="00D415A2">
        <w:t xml:space="preserve">Lanham Act §43(c)(6), 15 U.S.C. §1125(c)(6). </w:t>
      </w:r>
      <w:r w:rsidRPr="009B3A84">
        <w:rPr>
          <w:i/>
          <w:iCs/>
        </w:rPr>
        <w:t>See</w:t>
      </w:r>
      <w:r w:rsidRPr="00D415A2">
        <w:t xml:space="preserve"> discussion in Chapter 10, §V.</w:t>
      </w:r>
    </w:p>
  </w:footnote>
  <w:footnote w:id="142">
    <w:p w14:paraId="22B58D75" w14:textId="11164825" w:rsidR="00D415A2" w:rsidRPr="00084B2D" w:rsidRDefault="00D415A2" w:rsidP="009B3A84">
      <w:pPr>
        <w:pStyle w:val="FootnoteText"/>
      </w:pPr>
      <w:r w:rsidRPr="00D415A2">
        <w:rPr>
          <w:vertAlign w:val="superscript"/>
        </w:rPr>
        <w:footnoteRef/>
      </w:r>
      <w:r w:rsidRPr="00D415A2">
        <w:t xml:space="preserve">Lanham Act §§2, 13, 14, 15 U.S.C. §§1052, 1063, 1064. </w:t>
      </w:r>
      <w:r w:rsidRPr="009B3A84">
        <w:rPr>
          <w:i/>
          <w:iCs/>
        </w:rPr>
        <w:t>See</w:t>
      </w:r>
      <w:r w:rsidRPr="00D415A2">
        <w:t xml:space="preserve"> discussion in Chapter 13, §II.</w:t>
      </w:r>
    </w:p>
  </w:footnote>
  <w:footnote w:id="143">
    <w:p w14:paraId="14646942" w14:textId="290AB581" w:rsidR="00D415A2" w:rsidRPr="00084B2D" w:rsidRDefault="00D415A2" w:rsidP="00D415A2">
      <w:pPr>
        <w:pStyle w:val="FootnoteText"/>
      </w:pPr>
      <w:r w:rsidRPr="00D415A2">
        <w:rPr>
          <w:vertAlign w:val="superscript"/>
        </w:rPr>
        <w:footnoteRef/>
      </w:r>
      <w:r w:rsidRPr="00D415A2">
        <w:t>Naturally, when discussing state laws, generalizations may not be accurate for all states. See Chapters 1 and 5 for a comprehensive discussion of the differences among the state laws.</w:t>
      </w:r>
    </w:p>
  </w:footnote>
  <w:footnote w:id="144">
    <w:p w14:paraId="14115028" w14:textId="1EDA723C" w:rsidR="00D415A2" w:rsidRPr="00084B2D" w:rsidRDefault="00D415A2" w:rsidP="009B3A84">
      <w:pPr>
        <w:pStyle w:val="FootnoteText"/>
      </w:pPr>
      <w:r w:rsidRPr="00D415A2">
        <w:rPr>
          <w:vertAlign w:val="superscript"/>
        </w:rPr>
        <w:footnoteRef/>
      </w:r>
      <w:r w:rsidRPr="00D415A2">
        <w:t xml:space="preserve">Those state laws are based on the 1964 Model State Trademark Bill, which says nothing about fame. The original Washington state statute, </w:t>
      </w:r>
      <w:r w:rsidRPr="00D415A2">
        <w:rPr>
          <w:smallCaps/>
        </w:rPr>
        <w:t>Wash. Rev. Code Ann</w:t>
      </w:r>
      <w:r w:rsidRPr="00D415A2">
        <w:t xml:space="preserve">. §19.77.160 (West 1999), passed in 1989, was very similar to the 1988 proposed federal dilution statute. Since the passage of the FTDA, </w:t>
      </w:r>
      <w:proofErr w:type="gramStart"/>
      <w:r w:rsidRPr="00D415A2">
        <w:t>a number of</w:t>
      </w:r>
      <w:proofErr w:type="gramEnd"/>
      <w:r w:rsidRPr="00D415A2">
        <w:t xml:space="preserve"> states, including several whose statutes had been based on the 1964 Model Bill, have passed new dilution statutes that are based on the 1992, 1996, or 2007 Model Bill, and require a mark to be famous, at least within the state. </w:t>
      </w:r>
      <w:r w:rsidRPr="009B3A84">
        <w:rPr>
          <w:i/>
          <w:iCs/>
        </w:rPr>
        <w:t>See</w:t>
      </w:r>
      <w:r w:rsidRPr="00D415A2">
        <w:t xml:space="preserve"> Chapter 1, §III.A.3 (table of state dilution statutes).</w:t>
      </w:r>
    </w:p>
  </w:footnote>
  <w:footnote w:id="145">
    <w:p w14:paraId="2BCF3239" w14:textId="104CD819" w:rsidR="00D415A2" w:rsidRPr="00084B2D" w:rsidRDefault="00D415A2" w:rsidP="00D415A2">
      <w:pPr>
        <w:pStyle w:val="FootnoteText"/>
      </w:pPr>
      <w:r w:rsidRPr="00D415A2">
        <w:rPr>
          <w:vertAlign w:val="superscript"/>
        </w:rPr>
        <w:footnoteRef/>
      </w:r>
      <w:r w:rsidRPr="00D415A2">
        <w:t>Georgia, Massachusetts, and New York are among the states that still have such laws.</w:t>
      </w:r>
    </w:p>
  </w:footnote>
  <w:footnote w:id="146">
    <w:p w14:paraId="571430FA" w14:textId="7F3786CE" w:rsidR="00D415A2" w:rsidRPr="00084B2D" w:rsidRDefault="00D415A2" w:rsidP="00D415A2">
      <w:pPr>
        <w:pStyle w:val="FootnoteText"/>
      </w:pPr>
      <w:r w:rsidRPr="00D415A2">
        <w:rPr>
          <w:vertAlign w:val="superscript"/>
        </w:rPr>
        <w:footnoteRef/>
      </w:r>
      <w:r w:rsidRPr="00D415A2">
        <w:t>See cases discussed in Chapter 2, §I.C.2.</w:t>
      </w:r>
    </w:p>
  </w:footnote>
  <w:footnote w:id="147">
    <w:p w14:paraId="1FCF6F61" w14:textId="0F1F0BFE" w:rsidR="00D415A2" w:rsidRPr="00084B2D" w:rsidRDefault="00D415A2" w:rsidP="00D415A2">
      <w:pPr>
        <w:pStyle w:val="FootnoteText"/>
      </w:pPr>
      <w:r w:rsidRPr="00D415A2">
        <w:rPr>
          <w:vertAlign w:val="superscript"/>
        </w:rPr>
        <w:footnoteRef/>
      </w:r>
      <w:r w:rsidRPr="009B3A84">
        <w:rPr>
          <w:i/>
          <w:iCs/>
        </w:rPr>
        <w:t>See, e.g.</w:t>
      </w:r>
      <w:r w:rsidRPr="00D415A2">
        <w:t xml:space="preserve">, </w:t>
      </w:r>
      <w:proofErr w:type="spellStart"/>
      <w:r w:rsidRPr="00D415A2">
        <w:t>Sunmark</w:t>
      </w:r>
      <w:proofErr w:type="spellEnd"/>
      <w:r w:rsidRPr="00D415A2">
        <w:t xml:space="preserve">, Inc. v. Ocean Spray Cranberries, Inc., 64 F.3d 1055, 1061 (7th Cir. 1995); Allied </w:t>
      </w:r>
      <w:proofErr w:type="spellStart"/>
      <w:r w:rsidRPr="00D415A2">
        <w:t>Maint</w:t>
      </w:r>
      <w:proofErr w:type="spellEnd"/>
      <w:r w:rsidRPr="00D415A2">
        <w:t xml:space="preserve">. Corp. v. Allied Mech. Trades, Inc., 42 N.Y.2d 538, 545, 369 N.E.2d 1162, 1166 (N.Y. 1977); 2 </w:t>
      </w:r>
      <w:r w:rsidRPr="00D415A2">
        <w:rPr>
          <w:smallCaps/>
        </w:rPr>
        <w:t xml:space="preserve">Gilson on Trademarks </w:t>
      </w:r>
      <w:r w:rsidRPr="00D415A2">
        <w:t>§5A.01[4][a] (calling eligible marks “</w:t>
      </w:r>
      <w:proofErr w:type="spellStart"/>
      <w:r w:rsidRPr="00D415A2">
        <w:t>Supermarks</w:t>
      </w:r>
      <w:proofErr w:type="spellEnd"/>
      <w:r w:rsidRPr="00D415A2">
        <w:t xml:space="preserve">”); </w:t>
      </w:r>
      <w:r w:rsidRPr="009B3A84">
        <w:rPr>
          <w:i/>
          <w:iCs/>
        </w:rPr>
        <w:t>see</w:t>
      </w:r>
      <w:r w:rsidRPr="00D415A2">
        <w:t xml:space="preserve"> Avery Dennison Corp. v. </w:t>
      </w:r>
      <w:proofErr w:type="spellStart"/>
      <w:r w:rsidRPr="00D415A2">
        <w:t>Sumpton</w:t>
      </w:r>
      <w:proofErr w:type="spellEnd"/>
      <w:r w:rsidRPr="00D415A2">
        <w:t>, 189 F.3d 868, 873, 876 (9th Cir. 1999) (California law requires a famous mark). (</w:t>
      </w:r>
      <w:r w:rsidRPr="009B3A84">
        <w:rPr>
          <w:i/>
          <w:iCs/>
        </w:rPr>
        <w:t>Note:</w:t>
      </w:r>
      <w:r w:rsidRPr="00D415A2">
        <w:t xml:space="preserve"> California has since amended its statute to conform to the 2007 Model Bill.)</w:t>
      </w:r>
    </w:p>
  </w:footnote>
  <w:footnote w:id="148">
    <w:p w14:paraId="00A03EDA" w14:textId="04DFF35E" w:rsidR="00D415A2" w:rsidRPr="00084B2D" w:rsidRDefault="00D415A2" w:rsidP="00D415A2">
      <w:pPr>
        <w:pStyle w:val="FootnoteText"/>
      </w:pPr>
      <w:r w:rsidRPr="00D415A2">
        <w:rPr>
          <w:vertAlign w:val="superscript"/>
        </w:rPr>
        <w:footnoteRef/>
      </w:r>
      <w:r w:rsidRPr="00D415A2">
        <w:t xml:space="preserve">One exception was Minnesota, whose statute required a “well-known or famous” mark. </w:t>
      </w:r>
      <w:r w:rsidRPr="00D415A2">
        <w:rPr>
          <w:smallCaps/>
        </w:rPr>
        <w:t>Minn. Stat. Ann</w:t>
      </w:r>
      <w:r w:rsidRPr="00D415A2">
        <w:t xml:space="preserve">. §325D.165 (West 1995). This statute was superseded in 1998. See </w:t>
      </w:r>
      <w:r w:rsidRPr="00D415A2">
        <w:rPr>
          <w:smallCaps/>
        </w:rPr>
        <w:t xml:space="preserve">Minn. Stat. Ann. </w:t>
      </w:r>
      <w:r w:rsidRPr="00D415A2">
        <w:t>§333.285 (West 2004).</w:t>
      </w:r>
    </w:p>
  </w:footnote>
  <w:footnote w:id="149">
    <w:p w14:paraId="707CEF85" w14:textId="0068252F" w:rsidR="00D415A2" w:rsidRPr="00084B2D" w:rsidRDefault="00D415A2" w:rsidP="00D415A2">
      <w:pPr>
        <w:pStyle w:val="FootnoteText"/>
      </w:pPr>
      <w:r w:rsidRPr="00D415A2">
        <w:rPr>
          <w:vertAlign w:val="superscript"/>
        </w:rPr>
        <w:footnoteRef/>
      </w:r>
      <w:r w:rsidRPr="009B3A84">
        <w:rPr>
          <w:i/>
          <w:iCs/>
        </w:rPr>
        <w:t>E.g.</w:t>
      </w:r>
      <w:r w:rsidRPr="00D415A2">
        <w:t xml:space="preserve">, </w:t>
      </w:r>
      <w:r w:rsidRPr="00D415A2">
        <w:rPr>
          <w:smallCaps/>
        </w:rPr>
        <w:t>Idaho Code</w:t>
      </w:r>
      <w:r w:rsidRPr="00D415A2">
        <w:t xml:space="preserve"> §48-513 (LexisNexis 2003); </w:t>
      </w:r>
      <w:r w:rsidRPr="00D415A2">
        <w:rPr>
          <w:smallCaps/>
        </w:rPr>
        <w:t xml:space="preserve">Ill. Comp. Stat. Ann. </w:t>
      </w:r>
      <w:r w:rsidRPr="00D415A2">
        <w:t xml:space="preserve">76 §1036/65(a) (West 2009); </w:t>
      </w:r>
      <w:r w:rsidRPr="00D415A2">
        <w:rPr>
          <w:smallCaps/>
        </w:rPr>
        <w:t xml:space="preserve">Kan. Stat. Ann. </w:t>
      </w:r>
      <w:r w:rsidRPr="00D415A2">
        <w:t xml:space="preserve">§81-214(a) (Supp. 2009); </w:t>
      </w:r>
      <w:r w:rsidRPr="00D415A2">
        <w:rPr>
          <w:smallCaps/>
        </w:rPr>
        <w:t xml:space="preserve">Neb. Rev. Stat. </w:t>
      </w:r>
      <w:r w:rsidRPr="00D415A2">
        <w:t xml:space="preserve">§87-140(1) (West 2003); </w:t>
      </w:r>
      <w:r w:rsidRPr="00D415A2">
        <w:rPr>
          <w:smallCaps/>
        </w:rPr>
        <w:t xml:space="preserve">N.J. Stat. Ann. </w:t>
      </w:r>
      <w:r w:rsidRPr="00D415A2">
        <w:t xml:space="preserve">§56:3-13.20 (West 2001); </w:t>
      </w:r>
      <w:r w:rsidRPr="00D415A2">
        <w:rPr>
          <w:smallCaps/>
        </w:rPr>
        <w:t xml:space="preserve">Tenn. Code Ann. </w:t>
      </w:r>
      <w:r w:rsidRPr="00D415A2">
        <w:t>§47-25-513(a) (LexisNexis 2001). A complete list can be found in Chapter 1, §III.A.3.</w:t>
      </w:r>
    </w:p>
  </w:footnote>
  <w:footnote w:id="150">
    <w:p w14:paraId="3FF90423" w14:textId="6BAA5D26" w:rsidR="00D415A2" w:rsidRPr="00084B2D" w:rsidRDefault="00D415A2" w:rsidP="00D415A2">
      <w:pPr>
        <w:pStyle w:val="FootnoteText"/>
      </w:pPr>
      <w:r w:rsidRPr="00D415A2">
        <w:rPr>
          <w:vertAlign w:val="superscript"/>
        </w:rPr>
        <w:footnoteRef/>
      </w:r>
      <w:r w:rsidRPr="00D415A2">
        <w:t>Lanham Act §43(c)(2)(B), (C), 15 U.S.C. §1125(c)(2)(B), (C). The original FTDA definition, contained in §45 of the Lanham Act, was deleted by the TDRA and replaced with new definitions incorporated into §43(c).</w:t>
      </w:r>
    </w:p>
  </w:footnote>
  <w:footnote w:id="151">
    <w:p w14:paraId="5AF42AA6" w14:textId="14FFE15E" w:rsidR="00D415A2" w:rsidRPr="00084B2D" w:rsidRDefault="00D415A2" w:rsidP="00D415A2">
      <w:pPr>
        <w:pStyle w:val="FootnoteText"/>
      </w:pPr>
      <w:r w:rsidRPr="00D415A2">
        <w:rPr>
          <w:vertAlign w:val="superscript"/>
        </w:rPr>
        <w:footnoteRef/>
      </w:r>
      <w:r w:rsidRPr="00D415A2">
        <w:t xml:space="preserve">Alabama, California, Mississippi, Oregon, and Texas are the exceptions. </w:t>
      </w:r>
      <w:r w:rsidRPr="00D415A2">
        <w:rPr>
          <w:smallCaps/>
        </w:rPr>
        <w:t xml:space="preserve">Ala. Stat. </w:t>
      </w:r>
      <w:r w:rsidRPr="00D415A2">
        <w:t>§§8-12-6(2)</w:t>
      </w:r>
      <w:proofErr w:type="gramStart"/>
      <w:r w:rsidRPr="00D415A2">
        <w:t>–(</w:t>
      </w:r>
      <w:proofErr w:type="gramEnd"/>
      <w:r w:rsidRPr="00D415A2">
        <w:t xml:space="preserve">4), 8-12-17 (2010); </w:t>
      </w:r>
      <w:r w:rsidRPr="00D415A2">
        <w:rPr>
          <w:smallCaps/>
        </w:rPr>
        <w:t>Cal. Bus. &amp; Prof. Code</w:t>
      </w:r>
      <w:r w:rsidRPr="00D415A2">
        <w:t xml:space="preserve"> §14202(k)–(m) (West 2008); </w:t>
      </w:r>
      <w:r w:rsidRPr="00D415A2">
        <w:rPr>
          <w:smallCaps/>
        </w:rPr>
        <w:t>Miss. Code Ann</w:t>
      </w:r>
      <w:r w:rsidRPr="00D415A2">
        <w:t xml:space="preserve">. §§75-25-1, 75-25-25 (West Supp. 2011); </w:t>
      </w:r>
      <w:r w:rsidRPr="00D415A2">
        <w:rPr>
          <w:smallCaps/>
        </w:rPr>
        <w:t>Or. Rev. Stat</w:t>
      </w:r>
      <w:r w:rsidRPr="00D415A2">
        <w:t xml:space="preserve">. §§647.005(2), 647.107 (2011); </w:t>
      </w:r>
      <w:r w:rsidRPr="00D415A2">
        <w:rPr>
          <w:smallCaps/>
        </w:rPr>
        <w:t>Tex. Bus. &amp; Com. Code</w:t>
      </w:r>
      <w:r w:rsidRPr="00D415A2">
        <w:t xml:space="preserve"> §§16.001(2)</w:t>
      </w:r>
      <w:proofErr w:type="gramStart"/>
      <w:r w:rsidRPr="00D415A2">
        <w:t>–(</w:t>
      </w:r>
      <w:proofErr w:type="gramEnd"/>
      <w:r w:rsidRPr="00D415A2">
        <w:t>4), 16.103 (2011). Puerto Rico also has a dilution statute based on the 2007 Model Bill. 10 L.P.R.A. §§223(a)–(c), 223q, 223y (LexisNexis 2009).</w:t>
      </w:r>
    </w:p>
  </w:footnote>
  <w:footnote w:id="152">
    <w:p w14:paraId="52239257" w14:textId="5A0FE064" w:rsidR="00D415A2" w:rsidRPr="00084B2D" w:rsidRDefault="00D415A2" w:rsidP="00D415A2">
      <w:pPr>
        <w:pStyle w:val="FootnoteText"/>
      </w:pPr>
      <w:r w:rsidRPr="00D415A2">
        <w:rPr>
          <w:vertAlign w:val="superscript"/>
        </w:rPr>
        <w:footnoteRef/>
      </w:r>
      <w:r w:rsidRPr="00D415A2">
        <w:t xml:space="preserve">Several federal courts determined that the original FTDA definition of dilution was the same under the FTDA as under the older state laws. </w:t>
      </w:r>
      <w:r w:rsidRPr="00424D35">
        <w:rPr>
          <w:i/>
          <w:iCs/>
        </w:rPr>
        <w:t>E.g., Avery Dennison Corp.</w:t>
      </w:r>
      <w:r w:rsidRPr="00D415A2">
        <w:t xml:space="preserve">, 189 F.3d at 874 (California law and FTDA are “substantially similar”); Ringling Bros.-Barnum &amp; Bailey Combined Shows, Inc. v. B.E. Windows, Inc., 937 F. Supp. 204, 213, 40 USPQ2d 1010 (S.D.N.Y. 1996) (“Because the [federal and state] anti-dilution statutes are meant to coexist, the analysis of Plaintiff’s claim is the same under either statute.”). However, a few federal courts have disagreed and stated that the standards are not necessarily the same under federal and state laws. </w:t>
      </w:r>
      <w:r w:rsidRPr="00424D35">
        <w:rPr>
          <w:i/>
          <w:iCs/>
        </w:rPr>
        <w:t>See</w:t>
      </w:r>
      <w:r w:rsidRPr="00D415A2">
        <w:t xml:space="preserve"> Nabisco, Inc. v. PF Brands, Inc., 191 F.3d 208, 227, 51 USPQ2d 1882 (2d Cir. 1999) (refusing to recognize factors from cases under New York law as necessarily applicable under FTDA). It remains to be seen how courts will compare the new version of the FTDA with the various state definitions of dilution. </w:t>
      </w:r>
      <w:r w:rsidRPr="00424D35">
        <w:rPr>
          <w:i/>
          <w:iCs/>
        </w:rPr>
        <w:t>See</w:t>
      </w:r>
      <w:r w:rsidRPr="00D415A2">
        <w:t xml:space="preserve"> Starbucks Corp. v. Wolfe’s Borough Coffee, Inc., 477 F.3d 765, 766, 81 USPQ2d 1927 (2d Cir. 2007) (indicating that the standards under New York law may not be the same as the post-TDRA federal statute).</w:t>
      </w:r>
    </w:p>
  </w:footnote>
  <w:footnote w:id="153">
    <w:p w14:paraId="0D7CA1DC" w14:textId="15BDDA5F" w:rsidR="00D415A2" w:rsidRPr="00084B2D" w:rsidRDefault="00D415A2" w:rsidP="00D415A2">
      <w:pPr>
        <w:pStyle w:val="FootnoteText"/>
      </w:pPr>
      <w:r w:rsidRPr="00D415A2">
        <w:rPr>
          <w:vertAlign w:val="superscript"/>
        </w:rPr>
        <w:footnoteRef/>
      </w:r>
      <w:r w:rsidRPr="00D415A2">
        <w:t>The 2007 Model Bill changes are discussed in Chapters 1–5.</w:t>
      </w:r>
    </w:p>
  </w:footnote>
  <w:footnote w:id="154">
    <w:p w14:paraId="48A7D02C" w14:textId="250598DD" w:rsidR="00D415A2" w:rsidRPr="00084B2D" w:rsidRDefault="00D415A2" w:rsidP="00D415A2">
      <w:pPr>
        <w:pStyle w:val="FootnoteText"/>
      </w:pPr>
      <w:r w:rsidRPr="00D415A2">
        <w:rPr>
          <w:vertAlign w:val="superscript"/>
        </w:rPr>
        <w:footnoteRef/>
      </w:r>
      <w:r w:rsidRPr="00424D35">
        <w:rPr>
          <w:i/>
          <w:iCs/>
        </w:rPr>
        <w:t>See</w:t>
      </w:r>
      <w:r w:rsidRPr="00D415A2">
        <w:t xml:space="preserve"> Moseley v. V Secret Catalogue, Inc., 537 U.S. 418, 65 USPQ2d 1801 (2003).</w:t>
      </w:r>
    </w:p>
  </w:footnote>
  <w:footnote w:id="155">
    <w:p w14:paraId="1189EA66" w14:textId="6E05BB9C" w:rsidR="00D415A2" w:rsidRPr="00084B2D" w:rsidRDefault="00D415A2" w:rsidP="00D415A2">
      <w:pPr>
        <w:pStyle w:val="FootnoteText"/>
      </w:pPr>
      <w:r w:rsidRPr="00D415A2">
        <w:rPr>
          <w:vertAlign w:val="superscript"/>
        </w:rPr>
        <w:footnoteRef/>
      </w:r>
      <w:r w:rsidRPr="00A51F2E">
        <w:rPr>
          <w:i/>
          <w:iCs/>
        </w:rPr>
        <w:t>E.g.</w:t>
      </w:r>
      <w:r w:rsidRPr="00D415A2">
        <w:t xml:space="preserve">, </w:t>
      </w:r>
      <w:r w:rsidRPr="00D415A2">
        <w:rPr>
          <w:smallCaps/>
        </w:rPr>
        <w:t>Mass. Gen. L. Ann</w:t>
      </w:r>
      <w:r w:rsidRPr="00D415A2">
        <w:t xml:space="preserve">. </w:t>
      </w:r>
      <w:proofErr w:type="spellStart"/>
      <w:r w:rsidRPr="00D415A2">
        <w:t>ch.</w:t>
      </w:r>
      <w:proofErr w:type="spellEnd"/>
      <w:r w:rsidRPr="00D415A2">
        <w:t xml:space="preserve"> 110H, §13 (West. 2011); </w:t>
      </w:r>
      <w:r w:rsidRPr="00D415A2">
        <w:rPr>
          <w:smallCaps/>
        </w:rPr>
        <w:t>N.Y. Gen. Bus. Law</w:t>
      </w:r>
      <w:r w:rsidRPr="00D415A2">
        <w:t xml:space="preserve"> §360-l (McKinney Supp. 2012). California’s statute was originally patterned after the 1964 Model Bill. In 2007, California became the first state to adopt the 2007 Model Bill. </w:t>
      </w:r>
      <w:r w:rsidRPr="00D415A2">
        <w:rPr>
          <w:smallCaps/>
        </w:rPr>
        <w:t>Cal. Bus</w:t>
      </w:r>
      <w:r w:rsidRPr="00D415A2">
        <w:t xml:space="preserve">. &amp; </w:t>
      </w:r>
      <w:r w:rsidRPr="00D415A2">
        <w:rPr>
          <w:smallCaps/>
        </w:rPr>
        <w:t>Prof. Code</w:t>
      </w:r>
      <w:r w:rsidRPr="00D415A2">
        <w:t xml:space="preserve"> §§ 14202(k)–(m), 14247 (West 2008). Alabama, Mississippi, Oregon, and Texas also have adopted the 2007 Model Bill version. </w:t>
      </w:r>
      <w:r w:rsidRPr="00D415A2">
        <w:rPr>
          <w:smallCaps/>
        </w:rPr>
        <w:t>Ala. Stat</w:t>
      </w:r>
      <w:r w:rsidRPr="00D415A2">
        <w:t>. §§8-12-6(2)</w:t>
      </w:r>
      <w:proofErr w:type="gramStart"/>
      <w:r w:rsidRPr="00D415A2">
        <w:t>–(</w:t>
      </w:r>
      <w:proofErr w:type="gramEnd"/>
      <w:r w:rsidRPr="00D415A2">
        <w:t xml:space="preserve">4), 8-12-17 (2010); </w:t>
      </w:r>
      <w:r w:rsidRPr="00D415A2">
        <w:rPr>
          <w:smallCaps/>
        </w:rPr>
        <w:t>Miss. Code Ann</w:t>
      </w:r>
      <w:r w:rsidRPr="00D415A2">
        <w:t xml:space="preserve">. §§75-25-1, 75-25-25 (West Supp. 2011); </w:t>
      </w:r>
      <w:r w:rsidRPr="00D415A2">
        <w:rPr>
          <w:smallCaps/>
        </w:rPr>
        <w:t>Or. Rev. Stat</w:t>
      </w:r>
      <w:r w:rsidRPr="00D415A2">
        <w:t xml:space="preserve">. §§647.005(2), 647.107 (2009); </w:t>
      </w:r>
      <w:r w:rsidRPr="00D415A2">
        <w:rPr>
          <w:smallCaps/>
        </w:rPr>
        <w:t>Tex. Bus. &amp; Com. Code</w:t>
      </w:r>
      <w:r w:rsidRPr="00D415A2">
        <w:t xml:space="preserve"> §§16.001(2)-(4), 16.103 (2011). Puerto Rico also has adopted a version of the 2007 Model Bill. 10 L.P.R.A. §§223(a)-(c), 223q, 223y (LexisNexis 2009).</w:t>
      </w:r>
    </w:p>
  </w:footnote>
  <w:footnote w:id="156">
    <w:p w14:paraId="2411A364" w14:textId="2DB22767" w:rsidR="00D415A2" w:rsidRPr="00084B2D" w:rsidRDefault="00D415A2" w:rsidP="00D415A2">
      <w:pPr>
        <w:pStyle w:val="FootnoteText"/>
      </w:pPr>
      <w:r w:rsidRPr="00D415A2">
        <w:rPr>
          <w:vertAlign w:val="superscript"/>
        </w:rPr>
        <w:footnoteRef/>
      </w:r>
      <w:r w:rsidRPr="008A73D3">
        <w:rPr>
          <w:i/>
          <w:iCs/>
        </w:rPr>
        <w:t>See</w:t>
      </w:r>
      <w:r w:rsidRPr="00D415A2">
        <w:t xml:space="preserve"> Moseley, 537 U.S. at 433.</w:t>
      </w:r>
    </w:p>
  </w:footnote>
  <w:footnote w:id="157">
    <w:p w14:paraId="0E913A62" w14:textId="66F39199" w:rsidR="00D415A2" w:rsidRPr="00084B2D" w:rsidRDefault="00D415A2" w:rsidP="00D415A2">
      <w:pPr>
        <w:pStyle w:val="FootnoteText"/>
      </w:pPr>
      <w:r w:rsidRPr="00D415A2">
        <w:rPr>
          <w:vertAlign w:val="superscript"/>
        </w:rPr>
        <w:footnoteRef/>
      </w:r>
      <w:r w:rsidRPr="008A73D3">
        <w:rPr>
          <w:i/>
          <w:iCs/>
        </w:rPr>
        <w:t>E.g.</w:t>
      </w:r>
      <w:r w:rsidRPr="00D415A2">
        <w:t xml:space="preserve">, </w:t>
      </w:r>
      <w:r w:rsidRPr="00D415A2">
        <w:rPr>
          <w:smallCaps/>
        </w:rPr>
        <w:t>Mass. Gen. L. Ann</w:t>
      </w:r>
      <w:r w:rsidRPr="00D415A2">
        <w:t xml:space="preserve">. </w:t>
      </w:r>
      <w:proofErr w:type="spellStart"/>
      <w:r w:rsidRPr="00D415A2">
        <w:t>ch.</w:t>
      </w:r>
      <w:proofErr w:type="spellEnd"/>
      <w:r w:rsidRPr="00D415A2">
        <w:t xml:space="preserve"> 110H, §13 (West. 2011); </w:t>
      </w:r>
      <w:r w:rsidRPr="00D415A2">
        <w:rPr>
          <w:smallCaps/>
        </w:rPr>
        <w:t>N.Y. Gen. Bus. Law</w:t>
      </w:r>
      <w:r w:rsidRPr="00D415A2">
        <w:t xml:space="preserve"> §360-l (McKinney Supp. 2012); </w:t>
      </w:r>
      <w:r w:rsidRPr="00A8330B">
        <w:rPr>
          <w:i/>
          <w:iCs/>
        </w:rPr>
        <w:t>see Moseley</w:t>
      </w:r>
      <w:r w:rsidRPr="00D415A2">
        <w:t xml:space="preserve">, 537 U.S. 418, 432 (noting this language and comparing it to the FTDA). The headings of some, but by no means all, of the newer state statutes include the phrase, “Injury to business reputation.” </w:t>
      </w:r>
      <w:r w:rsidRPr="00A8330B">
        <w:rPr>
          <w:i/>
          <w:iCs/>
        </w:rPr>
        <w:t>E.g.</w:t>
      </w:r>
      <w:r w:rsidRPr="00D415A2">
        <w:t xml:space="preserve">, </w:t>
      </w:r>
      <w:r w:rsidRPr="00D415A2">
        <w:rPr>
          <w:smallCaps/>
        </w:rPr>
        <w:t xml:space="preserve">Ark. Code Ann. </w:t>
      </w:r>
      <w:r w:rsidRPr="00D415A2">
        <w:t xml:space="preserve">§4-71-213 (LexisNexis 2001); </w:t>
      </w:r>
      <w:r w:rsidRPr="00D415A2">
        <w:rPr>
          <w:smallCaps/>
        </w:rPr>
        <w:t xml:space="preserve">Haw. Rev. Stat. Ann. </w:t>
      </w:r>
      <w:r w:rsidRPr="00D415A2">
        <w:t xml:space="preserve">§482-32 (LexisNexis 2005); 54 </w:t>
      </w:r>
      <w:r w:rsidRPr="00D415A2">
        <w:rPr>
          <w:smallCaps/>
        </w:rPr>
        <w:t xml:space="preserve">Pa. Cons. Stat. Ann. </w:t>
      </w:r>
      <w:r w:rsidRPr="00D415A2">
        <w:t xml:space="preserve">§1124 (West Supp. 2012). </w:t>
      </w:r>
      <w:r w:rsidRPr="00A8330B">
        <w:rPr>
          <w:i/>
          <w:iCs/>
        </w:rPr>
        <w:t>But cf.</w:t>
      </w:r>
      <w:r w:rsidRPr="00D415A2">
        <w:t xml:space="preserve"> </w:t>
      </w:r>
      <w:r w:rsidRPr="00D415A2">
        <w:rPr>
          <w:smallCaps/>
        </w:rPr>
        <w:t xml:space="preserve">Neb. Rev. Stat. </w:t>
      </w:r>
      <w:r w:rsidRPr="00D415A2">
        <w:t xml:space="preserve">§87-140 (West 2003) (heading does not contain the phrase); </w:t>
      </w:r>
      <w:r w:rsidRPr="00D415A2">
        <w:rPr>
          <w:smallCaps/>
        </w:rPr>
        <w:t xml:space="preserve">N.J. Stat. Ann. </w:t>
      </w:r>
      <w:r w:rsidRPr="00D415A2">
        <w:t xml:space="preserve">§56:3-13.20 (West 2001) (same). The effect of these headings, which may contradict the statutory language, is uncertain. </w:t>
      </w:r>
      <w:r w:rsidRPr="00A8330B">
        <w:rPr>
          <w:i/>
          <w:iCs/>
        </w:rPr>
        <w:t>See</w:t>
      </w:r>
      <w:r w:rsidRPr="00D415A2">
        <w:t xml:space="preserve"> Chapter 3, §IV.B.1.</w:t>
      </w:r>
    </w:p>
  </w:footnote>
  <w:footnote w:id="158">
    <w:p w14:paraId="6ECE04D1" w14:textId="32624134" w:rsidR="00D415A2" w:rsidRPr="00084B2D" w:rsidRDefault="00D415A2" w:rsidP="00D415A2">
      <w:pPr>
        <w:pStyle w:val="FootnoteText"/>
      </w:pPr>
      <w:r w:rsidRPr="00D415A2">
        <w:rPr>
          <w:vertAlign w:val="superscript"/>
        </w:rPr>
        <w:footnoteRef/>
      </w:r>
      <w:r w:rsidRPr="00D02DC8">
        <w:rPr>
          <w:i/>
          <w:iCs/>
        </w:rPr>
        <w:t>Moseley</w:t>
      </w:r>
      <w:r w:rsidRPr="00D415A2">
        <w:t xml:space="preserve">, 537 U.S. at 432 (expressing skepticism that the FTDA’s definition of dilution includes </w:t>
      </w:r>
      <w:proofErr w:type="spellStart"/>
      <w:r w:rsidRPr="00D415A2">
        <w:t>tarnishment</w:t>
      </w:r>
      <w:proofErr w:type="spellEnd"/>
      <w:r w:rsidRPr="00D415A2">
        <w:t>).</w:t>
      </w:r>
    </w:p>
  </w:footnote>
  <w:footnote w:id="159">
    <w:p w14:paraId="51378511" w14:textId="29257F83" w:rsidR="00D415A2" w:rsidRPr="00084B2D" w:rsidRDefault="00D415A2" w:rsidP="00D415A2">
      <w:pPr>
        <w:pStyle w:val="FootnoteText"/>
      </w:pPr>
      <w:r w:rsidRPr="00D415A2">
        <w:rPr>
          <w:vertAlign w:val="superscript"/>
        </w:rPr>
        <w:footnoteRef/>
      </w:r>
      <w:r w:rsidRPr="00D415A2">
        <w:t xml:space="preserve">Lanham Act §43(c)(5), 15 U.S.C. §1125(c)(5). The Trademark Amendments Act of 1999 clarified that the damages remedies of §35, including profits and attorneys’ fees, are available for such willful violations under the FTDA. State statutes patterned after the 1992, 1996, or 2007 Model Bill also permit damages for willful violations. </w:t>
      </w:r>
      <w:r w:rsidRPr="00061B27">
        <w:rPr>
          <w:i/>
          <w:iCs/>
        </w:rPr>
        <w:t>See</w:t>
      </w:r>
      <w:r w:rsidRPr="00D415A2">
        <w:t xml:space="preserve"> </w:t>
      </w:r>
      <w:r w:rsidRPr="00D415A2">
        <w:rPr>
          <w:smallCaps/>
        </w:rPr>
        <w:t>Model State Trademark Bill</w:t>
      </w:r>
      <w:r w:rsidRPr="00D415A2">
        <w:t xml:space="preserve"> §13 (2007), </w:t>
      </w:r>
      <w:r w:rsidRPr="00061B27">
        <w:rPr>
          <w:i/>
          <w:iCs/>
        </w:rPr>
        <w:t>available at</w:t>
      </w:r>
      <w:r w:rsidRPr="00D415A2">
        <w:t xml:space="preserve"> http://www.inta.org/Advocacy/Pages/ModelLawsandGuidelines.aspx. A breakdown of the different state laws is contained in Chapter 1, §III.A.3.</w:t>
      </w:r>
    </w:p>
  </w:footnote>
  <w:footnote w:id="160">
    <w:p w14:paraId="48623B53" w14:textId="1E9991C5" w:rsidR="00D415A2" w:rsidRPr="00084B2D" w:rsidRDefault="00D415A2" w:rsidP="00D415A2">
      <w:pPr>
        <w:pStyle w:val="FootnoteText"/>
      </w:pPr>
      <w:r w:rsidRPr="00D415A2">
        <w:rPr>
          <w:vertAlign w:val="superscript"/>
        </w:rPr>
        <w:footnoteRef/>
      </w:r>
      <w:r w:rsidRPr="00D415A2">
        <w:t xml:space="preserve">Deere &amp; Co. v. MTD Prods., Inc., 34 USPQ2d 1706, 1710–11 (S.D.N.Y. 1995); Hyatt Corp. v. Hyatt Legal Servs., 610 F. Supp. 381, 383 (N.D. Ill. 1985). Newer state laws may contain express limitations on the geographic scope of an injunction. </w:t>
      </w:r>
      <w:r w:rsidRPr="00061B27">
        <w:rPr>
          <w:i/>
          <w:iCs/>
        </w:rPr>
        <w:t>E.g.</w:t>
      </w:r>
      <w:r w:rsidRPr="00D415A2">
        <w:t xml:space="preserve">, </w:t>
      </w:r>
      <w:r w:rsidRPr="00D415A2">
        <w:rPr>
          <w:smallCaps/>
        </w:rPr>
        <w:t>Ariz. Rev. Stat</w:t>
      </w:r>
      <w:r w:rsidRPr="00D415A2">
        <w:t>. §44-1448.01(B) (famous mark owner is “entitled only to injunctive relief in this state”). This issue is discussed in Chapter 5.</w:t>
      </w:r>
    </w:p>
  </w:footnote>
  <w:footnote w:id="161">
    <w:p w14:paraId="282A7503" w14:textId="0479E97E" w:rsidR="00D415A2" w:rsidRPr="00084B2D" w:rsidRDefault="00D415A2" w:rsidP="00D415A2">
      <w:pPr>
        <w:pStyle w:val="FootnoteText"/>
      </w:pPr>
      <w:r w:rsidRPr="00D415A2">
        <w:rPr>
          <w:vertAlign w:val="superscript"/>
        </w:rPr>
        <w:footnoteRef/>
      </w:r>
      <w:r w:rsidRPr="00D415A2">
        <w:t xml:space="preserve">See generally David S. Welkowitz, </w:t>
      </w:r>
      <w:r w:rsidRPr="00061B27">
        <w:rPr>
          <w:i/>
          <w:iCs/>
        </w:rPr>
        <w:t>Preemption, Extraterritoriality, and the Problem of State Antidilution Laws</w:t>
      </w:r>
      <w:r w:rsidRPr="00D415A2">
        <w:t xml:space="preserve">, 67 </w:t>
      </w:r>
      <w:r w:rsidRPr="00D415A2">
        <w:rPr>
          <w:smallCaps/>
        </w:rPr>
        <w:t xml:space="preserve">Tul. L. Rev. </w:t>
      </w:r>
      <w:r w:rsidRPr="00D415A2">
        <w:t>1 (1992).</w:t>
      </w:r>
    </w:p>
  </w:footnote>
  <w:footnote w:id="162">
    <w:p w14:paraId="7CEFEA4A" w14:textId="5F3049E2" w:rsidR="00D415A2" w:rsidRPr="00084B2D" w:rsidRDefault="00D415A2" w:rsidP="00D415A2">
      <w:pPr>
        <w:pStyle w:val="FootnoteText"/>
      </w:pPr>
      <w:r w:rsidRPr="00D415A2">
        <w:rPr>
          <w:vertAlign w:val="superscript"/>
        </w:rPr>
        <w:footnoteRef/>
      </w:r>
      <w:r w:rsidRPr="00D415A2">
        <w:t xml:space="preserve">The FTDA also included the noncommercial use exclusion and the news reporting and commentary exclusion. Its fair use exclusion was narrower, referring only to comparative advertising. </w:t>
      </w:r>
      <w:r w:rsidRPr="00061B27">
        <w:rPr>
          <w:i/>
          <w:iCs/>
        </w:rPr>
        <w:t>See</w:t>
      </w:r>
      <w:r w:rsidRPr="00D415A2">
        <w:t xml:space="preserve"> Chapter 10.</w:t>
      </w:r>
    </w:p>
  </w:footnote>
  <w:footnote w:id="163">
    <w:p w14:paraId="19647C74" w14:textId="6812599D" w:rsidR="00D415A2" w:rsidRPr="00084B2D" w:rsidRDefault="00D415A2" w:rsidP="00D415A2">
      <w:pPr>
        <w:pStyle w:val="FootnoteText"/>
      </w:pPr>
      <w:r w:rsidRPr="00D415A2">
        <w:rPr>
          <w:vertAlign w:val="superscript"/>
        </w:rPr>
        <w:footnoteRef/>
      </w:r>
      <w:r w:rsidRPr="00F74F58">
        <w:rPr>
          <w:i/>
          <w:iCs/>
        </w:rPr>
        <w:t>See, e.g.</w:t>
      </w:r>
      <w:r w:rsidRPr="00D415A2">
        <w:t xml:space="preserve">, Eveready Battery Co. v. Adolph Coors Co., 765 F. Supp. 440, 452 n.23, 19 USPQ2d 1265 (N.D. Ill. 1991) (alluding to a “fair use/parody” defense); L.L. Bean, Inc. v. Drake Publishers, Inc., 811 F.2d 26, 31, 1 USPQ2d 1753 (1st Cir.), </w:t>
      </w:r>
      <w:r w:rsidRPr="00F74F58">
        <w:rPr>
          <w:i/>
          <w:iCs/>
        </w:rPr>
        <w:t>cert. denied</w:t>
      </w:r>
      <w:r w:rsidRPr="00D415A2">
        <w:t xml:space="preserve">, 483 U.S. 1013 (1987) (First Amendment requires allowance of parody defense to state antidilution law); </w:t>
      </w:r>
      <w:r w:rsidRPr="00F74F58">
        <w:rPr>
          <w:i/>
          <w:iCs/>
        </w:rPr>
        <w:t>see also</w:t>
      </w:r>
      <w:r w:rsidRPr="00D415A2">
        <w:t xml:space="preserve"> Express One Int’l, Inc. v. Steinbeck, 53 S.W.3d 895, 899–900 (Tex. App. 2001) (Texas law requires a trademark use in a </w:t>
      </w:r>
      <w:proofErr w:type="spellStart"/>
      <w:r w:rsidRPr="00D415A2">
        <w:t>tarnishment</w:t>
      </w:r>
      <w:proofErr w:type="spellEnd"/>
      <w:r w:rsidRPr="00D415A2">
        <w:t xml:space="preserve"> case).</w:t>
      </w:r>
    </w:p>
  </w:footnote>
  <w:footnote w:id="164">
    <w:p w14:paraId="4C45369C" w14:textId="53FF3FB8" w:rsidR="00D415A2" w:rsidRPr="00084B2D" w:rsidRDefault="00D415A2" w:rsidP="00D415A2">
      <w:pPr>
        <w:pStyle w:val="FootnoteText"/>
      </w:pPr>
      <w:r w:rsidRPr="00D415A2">
        <w:rPr>
          <w:vertAlign w:val="superscript"/>
        </w:rPr>
        <w:footnoteRef/>
      </w:r>
      <w:r w:rsidRPr="00D415A2">
        <w:t xml:space="preserve">Lanham Act §43(c)(6), 15 U.S.C. §1125(c)(6). Interestingly, the defense extends to a state dilution claim as to the “form of advertisement.” This probably reflects the fact that a few state laws also cover dilution of the form of advertisement. </w:t>
      </w:r>
      <w:r w:rsidRPr="00D415A2">
        <w:rPr>
          <w:smallCaps/>
        </w:rPr>
        <w:t xml:space="preserve">Ga. Code. Ann. </w:t>
      </w:r>
      <w:r w:rsidRPr="00D415A2">
        <w:t>§10-1-451(b) (Lexis 2000). The registration defense is discussed in Chapter 10, §V.</w:t>
      </w:r>
    </w:p>
  </w:footnote>
  <w:footnote w:id="165">
    <w:p w14:paraId="57710DF9" w14:textId="023C517C" w:rsidR="00D415A2" w:rsidRPr="00084B2D" w:rsidRDefault="00D415A2" w:rsidP="00D415A2">
      <w:pPr>
        <w:pStyle w:val="FootnoteText"/>
      </w:pPr>
      <w:r w:rsidRPr="00D415A2">
        <w:rPr>
          <w:vertAlign w:val="superscript"/>
        </w:rPr>
        <w:footnoteRef/>
      </w:r>
      <w:r w:rsidRPr="00D415A2">
        <w:t xml:space="preserve">1995 </w:t>
      </w:r>
      <w:r w:rsidRPr="00D415A2">
        <w:rPr>
          <w:smallCaps/>
        </w:rPr>
        <w:t xml:space="preserve">H.R. Rep. </w:t>
      </w:r>
      <w:r w:rsidRPr="00D415A2">
        <w:t xml:space="preserve">at 4. This does not mean that the TDRA cannot be construed to preempt state dilution laws under any circumstances. </w:t>
      </w:r>
      <w:r w:rsidRPr="00F74F58">
        <w:rPr>
          <w:i/>
          <w:iCs/>
        </w:rPr>
        <w:t>See</w:t>
      </w:r>
      <w:r w:rsidRPr="00D415A2">
        <w:t xml:space="preserve"> Chapter 4, §III.C.</w:t>
      </w:r>
      <w:proofErr w:type="gramStart"/>
      <w:r w:rsidRPr="00D415A2">
        <w:t>1.b.</w:t>
      </w:r>
      <w:proofErr w:type="gramEnd"/>
    </w:p>
  </w:footnote>
  <w:footnote w:id="166">
    <w:p w14:paraId="04B2B240" w14:textId="66E70937" w:rsidR="00D415A2" w:rsidRPr="00084B2D" w:rsidRDefault="00D415A2" w:rsidP="00D415A2">
      <w:pPr>
        <w:pStyle w:val="FootnoteText"/>
      </w:pPr>
      <w:r w:rsidRPr="00D415A2">
        <w:rPr>
          <w:vertAlign w:val="superscript"/>
        </w:rPr>
        <w:footnoteRef/>
      </w:r>
      <w:r w:rsidRPr="00D415A2">
        <w:t>By and large, these statutes are patterned after the 1992 or 1996 version of the Model State Trademark Bill. Some states have a statute based on the 2007 Model Bill, which is patterned after the TDRA. These state statutes are discussed in Chapter 1, §III.A, Chapter 2, §I.C, and Chapters 3, 4, and 5.</w:t>
      </w:r>
    </w:p>
  </w:footnote>
  <w:footnote w:id="167">
    <w:p w14:paraId="08478B4C" w14:textId="7C08A65B" w:rsidR="00D415A2" w:rsidRPr="00084B2D" w:rsidRDefault="00D415A2" w:rsidP="00D415A2">
      <w:pPr>
        <w:pStyle w:val="FootnoteText"/>
      </w:pPr>
      <w:r w:rsidRPr="00D415A2">
        <w:rPr>
          <w:vertAlign w:val="superscript"/>
        </w:rPr>
        <w:footnoteRef/>
      </w:r>
      <w:r w:rsidRPr="00D415A2">
        <w:rPr>
          <w:smallCaps/>
        </w:rPr>
        <w:t xml:space="preserve">Ark. Code Ann. </w:t>
      </w:r>
      <w:r w:rsidRPr="00D415A2">
        <w:t>§4-71-218</w:t>
      </w:r>
      <w:r w:rsidRPr="00D415A2">
        <w:rPr>
          <w:smallCaps/>
        </w:rPr>
        <w:t xml:space="preserve"> (</w:t>
      </w:r>
      <w:r w:rsidRPr="00D415A2">
        <w:t>LexisNexis</w:t>
      </w:r>
      <w:r w:rsidRPr="00D415A2">
        <w:rPr>
          <w:smallCaps/>
        </w:rPr>
        <w:t xml:space="preserve"> 2001); Fla. Stat. Ann. §495.181 (</w:t>
      </w:r>
      <w:r w:rsidRPr="00D415A2">
        <w:t>West Supp. 2010</w:t>
      </w:r>
      <w:r w:rsidRPr="00D415A2">
        <w:rPr>
          <w:smallCaps/>
        </w:rPr>
        <w:t>); Idaho Code</w:t>
      </w:r>
      <w:r w:rsidRPr="00D415A2">
        <w:t xml:space="preserve"> §48-518 (LexisNexis 2003); 765 </w:t>
      </w:r>
      <w:r w:rsidRPr="00D415A2">
        <w:rPr>
          <w:smallCaps/>
        </w:rPr>
        <w:t xml:space="preserve">Ill. Comp. Stat. Ann. </w:t>
      </w:r>
      <w:r w:rsidRPr="00D415A2">
        <w:t xml:space="preserve">§1036/90 (West 2009); </w:t>
      </w:r>
      <w:r w:rsidRPr="00D415A2">
        <w:rPr>
          <w:smallCaps/>
        </w:rPr>
        <w:t xml:space="preserve">Ind. Code Ann. </w:t>
      </w:r>
      <w:r w:rsidRPr="00D415A2">
        <w:t xml:space="preserve">§24-2-1-0.5 (LexisNexis 2006); </w:t>
      </w:r>
      <w:r w:rsidRPr="00D415A2">
        <w:rPr>
          <w:smallCaps/>
        </w:rPr>
        <w:t>Kan. Stat. Ann</w:t>
      </w:r>
      <w:r w:rsidRPr="00D415A2">
        <w:t xml:space="preserve">. §81-220 (Supp. 2009); </w:t>
      </w:r>
      <w:r w:rsidRPr="00D415A2">
        <w:rPr>
          <w:smallCaps/>
        </w:rPr>
        <w:t>Neb. Rev. Stat</w:t>
      </w:r>
      <w:r w:rsidRPr="00D415A2">
        <w:t xml:space="preserve">. §87-127 (LexisNexis West 2003); </w:t>
      </w:r>
      <w:r w:rsidRPr="00D415A2">
        <w:rPr>
          <w:smallCaps/>
        </w:rPr>
        <w:t>N.J. Stat. Ann</w:t>
      </w:r>
      <w:r w:rsidRPr="00D415A2">
        <w:t xml:space="preserve">. §56:3-13a (West 2001); </w:t>
      </w:r>
      <w:r w:rsidRPr="00D415A2">
        <w:rPr>
          <w:smallCaps/>
        </w:rPr>
        <w:t>N.M. Stat. Ann</w:t>
      </w:r>
      <w:r w:rsidRPr="00D415A2">
        <w:t xml:space="preserve">. 1978, §57-3B-2 (Michie 2000); </w:t>
      </w:r>
      <w:r w:rsidRPr="00D415A2">
        <w:rPr>
          <w:smallCaps/>
        </w:rPr>
        <w:t>Tenn. Code Ann</w:t>
      </w:r>
      <w:r w:rsidRPr="00D415A2">
        <w:t xml:space="preserve">. §47-25-518 (LexisNexis 2001); </w:t>
      </w:r>
      <w:r w:rsidRPr="00D415A2">
        <w:rPr>
          <w:smallCaps/>
        </w:rPr>
        <w:t>Utah Code Ann</w:t>
      </w:r>
      <w:r w:rsidRPr="00D415A2">
        <w:t>. §70-3a-102 (West 2004)</w:t>
      </w:r>
      <w:r w:rsidRPr="00D415A2">
        <w:rPr>
          <w:smallCaps/>
        </w:rPr>
        <w:t xml:space="preserve">; Wash. Rev. Code Ann. </w:t>
      </w:r>
      <w:r w:rsidRPr="00D415A2">
        <w:t>§19.77.930 (West 1999)</w:t>
      </w:r>
      <w:r w:rsidRPr="00D415A2">
        <w:rPr>
          <w:smallCaps/>
        </w:rPr>
        <w:t>; W. Va. Code</w:t>
      </w:r>
      <w:r w:rsidRPr="00D415A2">
        <w:t>. §47-2-19 (LexisNexis 2006).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2"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8"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2"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27"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36"/>
  </w:num>
  <w:num w:numId="2" w16cid:durableId="1796212711">
    <w:abstractNumId w:val="40"/>
  </w:num>
  <w:num w:numId="3" w16cid:durableId="560215516">
    <w:abstractNumId w:val="10"/>
  </w:num>
  <w:num w:numId="4" w16cid:durableId="127167174">
    <w:abstractNumId w:val="15"/>
  </w:num>
  <w:num w:numId="5" w16cid:durableId="530146565">
    <w:abstractNumId w:val="16"/>
  </w:num>
  <w:num w:numId="6" w16cid:durableId="1308701023">
    <w:abstractNumId w:val="14"/>
  </w:num>
  <w:num w:numId="7" w16cid:durableId="1164586576">
    <w:abstractNumId w:val="24"/>
  </w:num>
  <w:num w:numId="8" w16cid:durableId="390078248">
    <w:abstractNumId w:val="38"/>
  </w:num>
  <w:num w:numId="9" w16cid:durableId="1709836850">
    <w:abstractNumId w:val="30"/>
  </w:num>
  <w:num w:numId="10" w16cid:durableId="1514031139">
    <w:abstractNumId w:val="8"/>
  </w:num>
  <w:num w:numId="11" w16cid:durableId="439372092">
    <w:abstractNumId w:val="17"/>
  </w:num>
  <w:num w:numId="12" w16cid:durableId="1176964315">
    <w:abstractNumId w:val="11"/>
  </w:num>
  <w:num w:numId="13" w16cid:durableId="57481982">
    <w:abstractNumId w:val="35"/>
  </w:num>
  <w:num w:numId="14" w16cid:durableId="616182069">
    <w:abstractNumId w:val="33"/>
  </w:num>
  <w:num w:numId="15" w16cid:durableId="1331370395">
    <w:abstractNumId w:val="32"/>
  </w:num>
  <w:num w:numId="16" w16cid:durableId="2048220565">
    <w:abstractNumId w:val="18"/>
  </w:num>
  <w:num w:numId="17" w16cid:durableId="1376926949">
    <w:abstractNumId w:val="39"/>
  </w:num>
  <w:num w:numId="18" w16cid:durableId="353920111">
    <w:abstractNumId w:val="19"/>
  </w:num>
  <w:num w:numId="19" w16cid:durableId="1125343429">
    <w:abstractNumId w:val="27"/>
  </w:num>
  <w:num w:numId="20" w16cid:durableId="72313112">
    <w:abstractNumId w:val="21"/>
  </w:num>
  <w:num w:numId="21" w16cid:durableId="1413089690">
    <w:abstractNumId w:val="23"/>
  </w:num>
  <w:num w:numId="22" w16cid:durableId="1946451628">
    <w:abstractNumId w:val="28"/>
  </w:num>
  <w:num w:numId="23" w16cid:durableId="1714229662">
    <w:abstractNumId w:val="29"/>
  </w:num>
  <w:num w:numId="24" w16cid:durableId="1864049548">
    <w:abstractNumId w:val="40"/>
  </w:num>
  <w:num w:numId="25" w16cid:durableId="1312754695">
    <w:abstractNumId w:val="40"/>
  </w:num>
  <w:num w:numId="26" w16cid:durableId="1166363704">
    <w:abstractNumId w:val="20"/>
  </w:num>
  <w:num w:numId="27" w16cid:durableId="789670048">
    <w:abstractNumId w:val="26"/>
  </w:num>
  <w:num w:numId="28" w16cid:durableId="971784460">
    <w:abstractNumId w:val="31"/>
  </w:num>
  <w:num w:numId="29" w16cid:durableId="1803688727">
    <w:abstractNumId w:val="13"/>
  </w:num>
  <w:num w:numId="30" w16cid:durableId="154415689">
    <w:abstractNumId w:val="34"/>
  </w:num>
  <w:num w:numId="31" w16cid:durableId="109083732">
    <w:abstractNumId w:val="9"/>
  </w:num>
  <w:num w:numId="32" w16cid:durableId="1136098287">
    <w:abstractNumId w:val="25"/>
  </w:num>
  <w:num w:numId="33" w16cid:durableId="329909884">
    <w:abstractNumId w:val="22"/>
  </w:num>
  <w:num w:numId="34" w16cid:durableId="1326783886">
    <w:abstractNumId w:val="37"/>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48"/>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042"/>
    <w:rsid w:val="00000446"/>
    <w:rsid w:val="0000050A"/>
    <w:rsid w:val="000006F9"/>
    <w:rsid w:val="00000756"/>
    <w:rsid w:val="00000CB6"/>
    <w:rsid w:val="00000FE0"/>
    <w:rsid w:val="00001941"/>
    <w:rsid w:val="00001C06"/>
    <w:rsid w:val="000023AE"/>
    <w:rsid w:val="00002F39"/>
    <w:rsid w:val="0000318E"/>
    <w:rsid w:val="00003878"/>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1B27"/>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779AB"/>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22BF"/>
    <w:rsid w:val="000B42CA"/>
    <w:rsid w:val="000B5BD7"/>
    <w:rsid w:val="000C0184"/>
    <w:rsid w:val="000C0560"/>
    <w:rsid w:val="000C06BD"/>
    <w:rsid w:val="000C0F6C"/>
    <w:rsid w:val="000C1009"/>
    <w:rsid w:val="000C1364"/>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2AE"/>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17B"/>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03"/>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3F05"/>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6B10"/>
    <w:rsid w:val="001E74FF"/>
    <w:rsid w:val="001F0682"/>
    <w:rsid w:val="001F0DF1"/>
    <w:rsid w:val="001F16BC"/>
    <w:rsid w:val="001F3848"/>
    <w:rsid w:val="001F398A"/>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331"/>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674F"/>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244"/>
    <w:rsid w:val="002C47A2"/>
    <w:rsid w:val="002C4E29"/>
    <w:rsid w:val="002C5652"/>
    <w:rsid w:val="002C6278"/>
    <w:rsid w:val="002C6D13"/>
    <w:rsid w:val="002C7443"/>
    <w:rsid w:val="002D07ED"/>
    <w:rsid w:val="002D0D90"/>
    <w:rsid w:val="002D1510"/>
    <w:rsid w:val="002D2949"/>
    <w:rsid w:val="002D3710"/>
    <w:rsid w:val="002D4465"/>
    <w:rsid w:val="002D44F7"/>
    <w:rsid w:val="002D5129"/>
    <w:rsid w:val="002D5685"/>
    <w:rsid w:val="002D56F0"/>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5D03"/>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6F56"/>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43E"/>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4D35"/>
    <w:rsid w:val="00425329"/>
    <w:rsid w:val="00426548"/>
    <w:rsid w:val="004270C4"/>
    <w:rsid w:val="00427563"/>
    <w:rsid w:val="004276EF"/>
    <w:rsid w:val="004277B9"/>
    <w:rsid w:val="004305AA"/>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7D4"/>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AB9"/>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877"/>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CF9"/>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2DCC"/>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7B4"/>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B7EC4"/>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1A17"/>
    <w:rsid w:val="0072281E"/>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25B0"/>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0392"/>
    <w:rsid w:val="0085118B"/>
    <w:rsid w:val="008513D7"/>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4AD"/>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552"/>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5E03"/>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0E2E"/>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3D3"/>
    <w:rsid w:val="008A77F7"/>
    <w:rsid w:val="008A7D1E"/>
    <w:rsid w:val="008B0647"/>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D7C02"/>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CF6"/>
    <w:rsid w:val="00911D9C"/>
    <w:rsid w:val="00913856"/>
    <w:rsid w:val="009139E4"/>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8DD"/>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7BC"/>
    <w:rsid w:val="009B3A84"/>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31F"/>
    <w:rsid w:val="009E6B15"/>
    <w:rsid w:val="009E6E7C"/>
    <w:rsid w:val="009E7453"/>
    <w:rsid w:val="009E78A0"/>
    <w:rsid w:val="009E7EAC"/>
    <w:rsid w:val="009F0237"/>
    <w:rsid w:val="009F051C"/>
    <w:rsid w:val="009F0554"/>
    <w:rsid w:val="009F0B73"/>
    <w:rsid w:val="009F0CDB"/>
    <w:rsid w:val="009F153E"/>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193"/>
    <w:rsid w:val="00A4220F"/>
    <w:rsid w:val="00A43F6F"/>
    <w:rsid w:val="00A4521F"/>
    <w:rsid w:val="00A45820"/>
    <w:rsid w:val="00A46C5B"/>
    <w:rsid w:val="00A47305"/>
    <w:rsid w:val="00A504FF"/>
    <w:rsid w:val="00A50836"/>
    <w:rsid w:val="00A50C44"/>
    <w:rsid w:val="00A50C8F"/>
    <w:rsid w:val="00A50D3C"/>
    <w:rsid w:val="00A5136C"/>
    <w:rsid w:val="00A51F2E"/>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0B"/>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5B83"/>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48F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432"/>
    <w:rsid w:val="00AD6325"/>
    <w:rsid w:val="00AD6D38"/>
    <w:rsid w:val="00AD751C"/>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22E4"/>
    <w:rsid w:val="00B23377"/>
    <w:rsid w:val="00B2338A"/>
    <w:rsid w:val="00B2478A"/>
    <w:rsid w:val="00B248CD"/>
    <w:rsid w:val="00B253CD"/>
    <w:rsid w:val="00B256F0"/>
    <w:rsid w:val="00B25CAA"/>
    <w:rsid w:val="00B25CD5"/>
    <w:rsid w:val="00B26740"/>
    <w:rsid w:val="00B278AF"/>
    <w:rsid w:val="00B27E68"/>
    <w:rsid w:val="00B30152"/>
    <w:rsid w:val="00B3082A"/>
    <w:rsid w:val="00B30F28"/>
    <w:rsid w:val="00B3126C"/>
    <w:rsid w:val="00B31D58"/>
    <w:rsid w:val="00B323B3"/>
    <w:rsid w:val="00B32731"/>
    <w:rsid w:val="00B32A1B"/>
    <w:rsid w:val="00B32F8E"/>
    <w:rsid w:val="00B3349E"/>
    <w:rsid w:val="00B341A5"/>
    <w:rsid w:val="00B34809"/>
    <w:rsid w:val="00B34B07"/>
    <w:rsid w:val="00B34DD3"/>
    <w:rsid w:val="00B35786"/>
    <w:rsid w:val="00B35906"/>
    <w:rsid w:val="00B3596F"/>
    <w:rsid w:val="00B378B2"/>
    <w:rsid w:val="00B37D87"/>
    <w:rsid w:val="00B40D82"/>
    <w:rsid w:val="00B41089"/>
    <w:rsid w:val="00B41101"/>
    <w:rsid w:val="00B41336"/>
    <w:rsid w:val="00B41A3B"/>
    <w:rsid w:val="00B41CE6"/>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BA4"/>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6D08"/>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4FB6"/>
    <w:rsid w:val="00C6503C"/>
    <w:rsid w:val="00C65350"/>
    <w:rsid w:val="00C66377"/>
    <w:rsid w:val="00C66451"/>
    <w:rsid w:val="00C665B5"/>
    <w:rsid w:val="00C674B2"/>
    <w:rsid w:val="00C67C2F"/>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22"/>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2060"/>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4AD6"/>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7A1"/>
    <w:rsid w:val="00CF0E30"/>
    <w:rsid w:val="00CF23BD"/>
    <w:rsid w:val="00CF2D7B"/>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2DC8"/>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1C44"/>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0A21"/>
    <w:rsid w:val="00D4159C"/>
    <w:rsid w:val="00D415A2"/>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171C"/>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810"/>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362"/>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16C4"/>
    <w:rsid w:val="00E92AB3"/>
    <w:rsid w:val="00E9408B"/>
    <w:rsid w:val="00E94DDA"/>
    <w:rsid w:val="00E95611"/>
    <w:rsid w:val="00E9582F"/>
    <w:rsid w:val="00E96061"/>
    <w:rsid w:val="00E96075"/>
    <w:rsid w:val="00E9680A"/>
    <w:rsid w:val="00E968AD"/>
    <w:rsid w:val="00E97744"/>
    <w:rsid w:val="00E97E11"/>
    <w:rsid w:val="00EA23AA"/>
    <w:rsid w:val="00EA282D"/>
    <w:rsid w:val="00EA2E3E"/>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042"/>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4F58"/>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A69"/>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84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9"/>
    <w:semiHidden/>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semiHidden/>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semiHidden/>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34"/>
    <w:semiHidden/>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ext">
    <w:name w:val="text"/>
    <w:basedOn w:val="Normal"/>
    <w:uiPriority w:val="99"/>
    <w:qFormat/>
    <w:rsid w:val="00B41CE6"/>
    <w:pPr>
      <w:widowControl w:val="0"/>
      <w:spacing w:before="0" w:after="0"/>
      <w:ind w:firstLine="360"/>
    </w:pPr>
    <w:rPr>
      <w:kern w:val="0"/>
      <w:lang w:bidi="ar-SA"/>
    </w:rPr>
  </w:style>
  <w:style w:type="paragraph" w:customStyle="1" w:styleId="footnote">
    <w:name w:val="footnote"/>
    <w:basedOn w:val="text"/>
    <w:autoRedefine/>
    <w:uiPriority w:val="99"/>
    <w:qFormat/>
    <w:rsid w:val="00B41CE6"/>
    <w:rPr>
      <w:sz w:val="20"/>
    </w:rPr>
  </w:style>
  <w:style w:type="paragraph" w:customStyle="1" w:styleId="blockquote">
    <w:name w:val="block quote"/>
    <w:basedOn w:val="Normal"/>
    <w:autoRedefine/>
    <w:qFormat/>
    <w:rsid w:val="00B41CE6"/>
    <w:pPr>
      <w:spacing w:after="240"/>
      <w:ind w:left="720"/>
    </w:pPr>
    <w:rPr>
      <w:kern w:val="0"/>
      <w:sz w:val="20"/>
      <w:lang w:bidi="ar-SA"/>
    </w:rPr>
  </w:style>
  <w:style w:type="paragraph" w:customStyle="1" w:styleId="footnoteflush">
    <w:name w:val="footnote flush"/>
    <w:basedOn w:val="Normal"/>
    <w:uiPriority w:val="99"/>
    <w:rsid w:val="00B41CE6"/>
    <w:pPr>
      <w:autoSpaceDE w:val="0"/>
      <w:autoSpaceDN w:val="0"/>
      <w:adjustRightInd w:val="0"/>
      <w:spacing w:before="0" w:after="0"/>
      <w:jc w:val="both"/>
      <w:textAlignment w:val="center"/>
    </w:pPr>
    <w:rPr>
      <w:rFonts w:eastAsiaTheme="minorEastAsia" w:cs="ITC New Baskerville Std"/>
      <w:color w:val="000000"/>
      <w:kern w:val="0"/>
      <w:sz w:val="20"/>
      <w:szCs w:val="18"/>
      <w:lang w:bidi="ar-SA"/>
    </w:rPr>
  </w:style>
  <w:style w:type="paragraph" w:customStyle="1" w:styleId="Blockquoteflush">
    <w:name w:val="Block quote flush"/>
    <w:basedOn w:val="Normal"/>
    <w:autoRedefine/>
    <w:uiPriority w:val="99"/>
    <w:qFormat/>
    <w:rsid w:val="00B41CE6"/>
    <w:pPr>
      <w:widowControl w:val="0"/>
      <w:spacing w:after="240"/>
      <w:ind w:left="720"/>
    </w:pPr>
    <w:rPr>
      <w:kern w:val="0"/>
      <w:sz w:val="20"/>
      <w:lang w:bidi="ar-SA"/>
    </w:rPr>
  </w:style>
  <w:style w:type="paragraph" w:customStyle="1" w:styleId="block-f-">
    <w:name w:val="block-f/+/-"/>
    <w:basedOn w:val="Normal"/>
    <w:autoRedefine/>
    <w:uiPriority w:val="99"/>
    <w:qFormat/>
    <w:rsid w:val="00B41CE6"/>
    <w:pPr>
      <w:spacing w:before="120"/>
      <w:ind w:left="720"/>
    </w:pPr>
    <w:rPr>
      <w:rFonts w:eastAsiaTheme="minorEastAsia" w:cs="ITC New Baskerville Std"/>
      <w:color w:val="000000"/>
      <w:kern w:val="0"/>
      <w:sz w:val="20"/>
      <w:szCs w:val="20"/>
      <w:lang w:bidi="ar-SA"/>
    </w:rPr>
  </w:style>
  <w:style w:type="paragraph" w:customStyle="1" w:styleId="block2ndindent">
    <w:name w:val="block 2nd indent"/>
    <w:basedOn w:val="Normal"/>
    <w:autoRedefine/>
    <w:uiPriority w:val="99"/>
    <w:qFormat/>
    <w:rsid w:val="00B41CE6"/>
    <w:pPr>
      <w:spacing w:before="0" w:after="0"/>
      <w:ind w:left="1440"/>
    </w:pPr>
    <w:rPr>
      <w:rFonts w:cstheme="minorBidi"/>
      <w:kern w:val="0"/>
      <w:sz w:val="20"/>
      <w:szCs w:val="22"/>
      <w:lang w:bidi="ar-SA"/>
    </w:rPr>
  </w:style>
  <w:style w:type="paragraph" w:customStyle="1" w:styleId="toc10">
    <w:name w:val="toc1"/>
    <w:basedOn w:val="text"/>
    <w:autoRedefine/>
    <w:uiPriority w:val="99"/>
    <w:rsid w:val="00B41CE6"/>
    <w:pPr>
      <w:tabs>
        <w:tab w:val="right" w:pos="480"/>
        <w:tab w:val="left" w:pos="600"/>
        <w:tab w:val="right" w:leader="dot" w:pos="5520"/>
        <w:tab w:val="right" w:pos="6240"/>
        <w:tab w:val="right" w:pos="6960"/>
      </w:tabs>
      <w:autoSpaceDE w:val="0"/>
      <w:autoSpaceDN w:val="0"/>
      <w:adjustRightInd w:val="0"/>
      <w:ind w:left="600" w:hanging="600"/>
      <w:textAlignment w:val="center"/>
    </w:pPr>
    <w:rPr>
      <w:rFonts w:eastAsiaTheme="minorEastAsia" w:cs="ITC New Baskerville Std"/>
      <w:color w:val="000000"/>
      <w:sz w:val="22"/>
      <w:szCs w:val="22"/>
    </w:rPr>
  </w:style>
  <w:style w:type="paragraph" w:customStyle="1" w:styleId="2ndLevel1">
    <w:name w:val="2nd Level /1"/>
    <w:basedOn w:val="2ndLevelHeadA"/>
    <w:autoRedefine/>
    <w:uiPriority w:val="99"/>
    <w:rsid w:val="00B41CE6"/>
    <w:pPr>
      <w:spacing w:before="0"/>
    </w:pPr>
    <w:rPr>
      <w:iCs w:val="0"/>
    </w:rPr>
  </w:style>
  <w:style w:type="paragraph" w:customStyle="1" w:styleId="bulletstart">
    <w:name w:val="bullet start"/>
    <w:basedOn w:val="Normal"/>
    <w:autoRedefine/>
    <w:uiPriority w:val="99"/>
    <w:rsid w:val="00B41CE6"/>
    <w:pPr>
      <w:tabs>
        <w:tab w:val="left" w:pos="360"/>
        <w:tab w:val="left" w:pos="720"/>
      </w:tabs>
      <w:spacing w:after="0"/>
      <w:ind w:left="720" w:hanging="360"/>
    </w:pPr>
    <w:rPr>
      <w:rFonts w:cstheme="minorBidi"/>
      <w:kern w:val="0"/>
      <w:szCs w:val="22"/>
      <w:lang w:bidi="ar-SA"/>
    </w:rPr>
  </w:style>
  <w:style w:type="paragraph" w:customStyle="1" w:styleId="bullet">
    <w:name w:val="bullet"/>
    <w:basedOn w:val="Normal"/>
    <w:uiPriority w:val="99"/>
    <w:qFormat/>
    <w:rsid w:val="00B41CE6"/>
    <w:pPr>
      <w:tabs>
        <w:tab w:val="left" w:pos="360"/>
      </w:tabs>
      <w:spacing w:before="0" w:after="0"/>
      <w:ind w:left="720" w:hanging="360"/>
    </w:pPr>
    <w:rPr>
      <w:rFonts w:eastAsiaTheme="minorEastAsia" w:cs="ITC New Baskerville Std"/>
      <w:color w:val="000000"/>
      <w:kern w:val="0"/>
      <w:szCs w:val="22"/>
      <w:lang w:bidi="ar-SA"/>
    </w:rPr>
  </w:style>
  <w:style w:type="paragraph" w:customStyle="1" w:styleId="numberlistplstart">
    <w:name w:val="number list pl start"/>
    <w:basedOn w:val="Normal"/>
    <w:autoRedefine/>
    <w:uiPriority w:val="99"/>
    <w:rsid w:val="00B41CE6"/>
    <w:pPr>
      <w:tabs>
        <w:tab w:val="left" w:pos="840"/>
      </w:tabs>
      <w:spacing w:before="120" w:after="0"/>
      <w:ind w:left="960" w:hanging="480"/>
    </w:pPr>
    <w:rPr>
      <w:rFonts w:cstheme="minorBidi"/>
      <w:kern w:val="0"/>
      <w:szCs w:val="22"/>
      <w:lang w:bidi="ar-SA"/>
    </w:rPr>
  </w:style>
  <w:style w:type="paragraph" w:customStyle="1" w:styleId="numberlistpl">
    <w:name w:val="number list pl"/>
    <w:basedOn w:val="Normal"/>
    <w:autoRedefine/>
    <w:uiPriority w:val="99"/>
    <w:rsid w:val="00B41CE6"/>
    <w:pPr>
      <w:widowControl w:val="0"/>
      <w:tabs>
        <w:tab w:val="left" w:pos="920"/>
      </w:tabs>
      <w:autoSpaceDE w:val="0"/>
      <w:autoSpaceDN w:val="0"/>
      <w:adjustRightInd w:val="0"/>
      <w:spacing w:before="0" w:after="0"/>
      <w:ind w:left="960" w:hanging="480"/>
      <w:textAlignment w:val="center"/>
    </w:pPr>
    <w:rPr>
      <w:rFonts w:eastAsiaTheme="minorEastAsia" w:cs="ITC New Baskerville Std"/>
      <w:color w:val="000000"/>
      <w:kern w:val="0"/>
      <w:szCs w:val="22"/>
      <w:lang w:bidi="ar-SA"/>
    </w:rPr>
  </w:style>
  <w:style w:type="paragraph" w:customStyle="1" w:styleId="3rdLevel2">
    <w:name w:val="3rd Level / 2"/>
    <w:basedOn w:val="Normal"/>
    <w:autoRedefine/>
    <w:uiPriority w:val="99"/>
    <w:rsid w:val="00B41CE6"/>
    <w:pPr>
      <w:keepNext/>
      <w:widowControl w:val="0"/>
      <w:tabs>
        <w:tab w:val="left" w:pos="360"/>
      </w:tabs>
      <w:suppressAutoHyphens/>
      <w:autoSpaceDE w:val="0"/>
      <w:autoSpaceDN w:val="0"/>
      <w:adjustRightInd w:val="0"/>
      <w:spacing w:before="0" w:after="240"/>
      <w:ind w:left="360" w:hanging="360"/>
      <w:textAlignment w:val="center"/>
    </w:pPr>
    <w:rPr>
      <w:rFonts w:eastAsiaTheme="minorEastAsia" w:cs="ITC New Baskerville Std"/>
      <w:b/>
      <w:bCs/>
      <w:i/>
      <w:iCs/>
      <w:color w:val="000000"/>
      <w:kern w:val="0"/>
      <w:szCs w:val="22"/>
      <w:lang w:bidi="ar-SA"/>
    </w:rPr>
  </w:style>
  <w:style w:type="paragraph" w:customStyle="1" w:styleId="1stLevelHeadII">
    <w:name w:val="1st Level Head II."/>
    <w:basedOn w:val="Normal"/>
    <w:autoRedefine/>
    <w:uiPriority w:val="99"/>
    <w:rsid w:val="00B41CE6"/>
    <w:pPr>
      <w:keepNext/>
      <w:widowControl w:val="0"/>
      <w:suppressAutoHyphens/>
      <w:autoSpaceDE w:val="0"/>
      <w:autoSpaceDN w:val="0"/>
      <w:adjustRightInd w:val="0"/>
      <w:spacing w:before="480" w:after="360"/>
      <w:jc w:val="center"/>
      <w:textAlignment w:val="center"/>
    </w:pPr>
    <w:rPr>
      <w:rFonts w:eastAsiaTheme="minorEastAsia" w:cs="ITC New Baskerville Std"/>
      <w:b/>
      <w:bCs/>
      <w:smallCaps/>
      <w:color w:val="000000"/>
      <w:kern w:val="0"/>
      <w:lang w:bidi="ar-SA"/>
    </w:rPr>
  </w:style>
  <w:style w:type="paragraph" w:customStyle="1" w:styleId="3rdLevelHead1">
    <w:name w:val="3rd Level Head 1."/>
    <w:basedOn w:val="Normal"/>
    <w:autoRedefine/>
    <w:uiPriority w:val="99"/>
    <w:rsid w:val="00B41CE6"/>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
      <w:iCs/>
      <w:color w:val="000000"/>
      <w:kern w:val="0"/>
      <w:szCs w:val="22"/>
      <w:lang w:bidi="ar-SA"/>
    </w:rPr>
  </w:style>
  <w:style w:type="paragraph" w:customStyle="1" w:styleId="footnoteindent">
    <w:name w:val="footnote indent"/>
    <w:basedOn w:val="footnote"/>
    <w:autoRedefine/>
    <w:uiPriority w:val="99"/>
    <w:rsid w:val="00B41CE6"/>
    <w:pPr>
      <w:autoSpaceDE w:val="0"/>
      <w:autoSpaceDN w:val="0"/>
      <w:adjustRightInd w:val="0"/>
      <w:spacing w:before="40"/>
      <w:ind w:left="360" w:firstLine="0"/>
      <w:jc w:val="both"/>
      <w:textAlignment w:val="center"/>
    </w:pPr>
    <w:rPr>
      <w:rFonts w:eastAsiaTheme="minorEastAsia" w:cs="ITC New Baskerville Std"/>
      <w:color w:val="000000"/>
      <w:szCs w:val="18"/>
    </w:rPr>
  </w:style>
  <w:style w:type="paragraph" w:customStyle="1" w:styleId="2ndLevelHeadA">
    <w:name w:val="2nd Level Head A."/>
    <w:basedOn w:val="Normal"/>
    <w:autoRedefine/>
    <w:uiPriority w:val="99"/>
    <w:rsid w:val="00B41CE6"/>
    <w:pPr>
      <w:keepNext/>
      <w:widowControl w:val="0"/>
      <w:tabs>
        <w:tab w:val="left" w:pos="360"/>
      </w:tabs>
      <w:suppressAutoHyphens/>
      <w:autoSpaceDE w:val="0"/>
      <w:autoSpaceDN w:val="0"/>
      <w:adjustRightInd w:val="0"/>
      <w:spacing w:before="360" w:after="240"/>
      <w:ind w:left="360" w:hanging="360"/>
      <w:textAlignment w:val="center"/>
    </w:pPr>
    <w:rPr>
      <w:rFonts w:eastAsiaTheme="minorEastAsia" w:cs="ITC New Baskerville Std"/>
      <w:b/>
      <w:bCs/>
      <w:iCs/>
      <w:color w:val="000000"/>
      <w:kern w:val="0"/>
      <w:lang w:bidi="ar-SA"/>
    </w:rPr>
  </w:style>
  <w:style w:type="paragraph" w:customStyle="1" w:styleId="blockquote2ndlevel">
    <w:name w:val="block quote 2nd level"/>
    <w:basedOn w:val="blockquote"/>
    <w:autoRedefine/>
    <w:qFormat/>
    <w:rsid w:val="00B41CE6"/>
    <w:pPr>
      <w:ind w:left="1200"/>
    </w:pPr>
  </w:style>
  <w:style w:type="paragraph" w:customStyle="1" w:styleId="chapternumber">
    <w:name w:val="chapter number"/>
    <w:basedOn w:val="Normal"/>
    <w:uiPriority w:val="99"/>
    <w:rsid w:val="00B41CE6"/>
    <w:pPr>
      <w:widowControl w:val="0"/>
      <w:suppressAutoHyphens/>
      <w:autoSpaceDE w:val="0"/>
      <w:autoSpaceDN w:val="0"/>
      <w:adjustRightInd w:val="0"/>
      <w:spacing w:before="0" w:after="240" w:line="560" w:lineRule="atLeast"/>
      <w:textAlignment w:val="center"/>
    </w:pPr>
    <w:rPr>
      <w:rFonts w:ascii="ITC New Baskerville Std" w:eastAsiaTheme="minorEastAsia" w:hAnsi="ITC New Baskerville Std" w:cs="ITC New Baskerville Std"/>
      <w:b/>
      <w:bCs/>
      <w:color w:val="000000"/>
      <w:kern w:val="0"/>
      <w:sz w:val="56"/>
      <w:szCs w:val="56"/>
      <w:lang w:bidi="ar-SA"/>
    </w:rPr>
  </w:style>
  <w:style w:type="paragraph" w:customStyle="1" w:styleId="chaptertitle">
    <w:name w:val="chapter title"/>
    <w:basedOn w:val="Normal"/>
    <w:uiPriority w:val="99"/>
    <w:rsid w:val="00B41CE6"/>
    <w:pPr>
      <w:widowControl w:val="0"/>
      <w:suppressAutoHyphens/>
      <w:autoSpaceDE w:val="0"/>
      <w:autoSpaceDN w:val="0"/>
      <w:adjustRightInd w:val="0"/>
      <w:spacing w:before="0" w:after="480" w:line="440" w:lineRule="atLeast"/>
      <w:textAlignment w:val="center"/>
    </w:pPr>
    <w:rPr>
      <w:rFonts w:ascii="ITC New Baskerville Std" w:eastAsiaTheme="minorEastAsia" w:hAnsi="ITC New Baskerville Std" w:cs="ITC New Baskerville Std"/>
      <w:color w:val="000000"/>
      <w:kern w:val="0"/>
      <w:sz w:val="40"/>
      <w:szCs w:val="40"/>
      <w:lang w:bidi="ar-SA"/>
    </w:rPr>
  </w:style>
  <w:style w:type="paragraph" w:customStyle="1" w:styleId="numberlistplend">
    <w:name w:val="number list pl end"/>
    <w:basedOn w:val="numberlistpl"/>
    <w:uiPriority w:val="99"/>
    <w:rsid w:val="00B41CE6"/>
    <w:pPr>
      <w:spacing w:after="120" w:line="240" w:lineRule="atLeast"/>
      <w:ind w:left="920"/>
      <w:jc w:val="both"/>
    </w:pPr>
    <w:rPr>
      <w:rFonts w:ascii="ITC New Baskerville Std" w:hAnsi="ITC New Baskerville Std"/>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inkedin.com/in/welkowitz-david-76b34891"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A58AFC5D-EF14-47AA-A001-4B87673F4F7F}"/>
      </w:docPartPr>
      <w:docPartBody>
        <w:p w:rsidR="00CD5206" w:rsidRDefault="00CD5206">
          <w:r w:rsidRPr="007E4A7E">
            <w:rPr>
              <w:rStyle w:val="PlaceholderText"/>
            </w:rPr>
            <w:t>Click or tap here to enter text.</w:t>
          </w:r>
        </w:p>
      </w:docPartBody>
    </w:docPart>
    <w:docPart>
      <w:docPartPr>
        <w:name w:val="FB03CCEA01C844AC86C4FDBC312B4564"/>
        <w:category>
          <w:name w:val="General"/>
          <w:gallery w:val="placeholder"/>
        </w:category>
        <w:types>
          <w:type w:val="bbPlcHdr"/>
        </w:types>
        <w:behaviors>
          <w:behavior w:val="content"/>
        </w:behaviors>
        <w:guid w:val="{100B4144-2484-4FD3-B10B-F1EFD3350FF3}"/>
      </w:docPartPr>
      <w:docPartBody>
        <w:p w:rsidR="00CD5206" w:rsidRDefault="00CD5206">
          <w:r w:rsidRPr="007E4A7E">
            <w:rPr>
              <w:rStyle w:val="PlaceholderText"/>
            </w:rPr>
            <w:t>Unit.Start</w:t>
          </w:r>
        </w:p>
      </w:docPartBody>
    </w:docPart>
    <w:docPart>
      <w:docPartPr>
        <w:name w:val="3129D56A8B8F489FBAE531AF82C4C07B"/>
        <w:category>
          <w:name w:val="General"/>
          <w:gallery w:val="placeholder"/>
        </w:category>
        <w:types>
          <w:type w:val="bbPlcHdr"/>
        </w:types>
        <w:behaviors>
          <w:behavior w:val="content"/>
        </w:behaviors>
        <w:guid w:val="{DB77123C-A315-400A-86E8-21842CAD6451}"/>
      </w:docPartPr>
      <w:docPartBody>
        <w:p w:rsidR="00CD5206" w:rsidRDefault="00CD5206">
          <w:r w:rsidRPr="007E4A7E">
            <w:rPr>
              <w:rStyle w:val="PlaceholderText"/>
            </w:rPr>
            <w:t>Document</w:t>
          </w:r>
        </w:p>
      </w:docPartBody>
    </w:docPart>
    <w:docPart>
      <w:docPartPr>
        <w:name w:val="D3FD414FAD0B43AFA4388F3453EB3C0C"/>
        <w:category>
          <w:name w:val="General"/>
          <w:gallery w:val="placeholder"/>
        </w:category>
        <w:types>
          <w:type w:val="bbPlcHdr"/>
        </w:types>
        <w:behaviors>
          <w:behavior w:val="content"/>
        </w:behaviors>
        <w:guid w:val="{4A8DC802-D9F3-414F-B18D-F72ED90F63B5}"/>
      </w:docPartPr>
      <w:docPartBody>
        <w:p w:rsidR="00CD5206" w:rsidRDefault="00CD5206">
          <w:r w:rsidRPr="007E4A7E">
            <w:rPr>
              <w:rStyle w:val="PlaceholderText"/>
            </w:rPr>
            <w:t>enter text</w:t>
          </w:r>
        </w:p>
      </w:docPartBody>
    </w:docPart>
    <w:docPart>
      <w:docPartPr>
        <w:name w:val="2C22802695C941DDBB65BE7DF49071B5"/>
        <w:category>
          <w:name w:val="General"/>
          <w:gallery w:val="placeholder"/>
        </w:category>
        <w:types>
          <w:type w:val="bbPlcHdr"/>
        </w:types>
        <w:behaviors>
          <w:behavior w:val="content"/>
        </w:behaviors>
        <w:guid w:val="{E8547BAA-CF1B-4221-AC35-F46C14B86B61}"/>
      </w:docPartPr>
      <w:docPartBody>
        <w:p w:rsidR="00CD5206" w:rsidRDefault="00CD5206">
          <w:r w:rsidRPr="007E4A7E">
            <w:rPr>
              <w:rStyle w:val="PlaceholderText"/>
            </w:rPr>
            <w:t>enter text</w:t>
          </w:r>
        </w:p>
      </w:docPartBody>
    </w:docPart>
    <w:docPart>
      <w:docPartPr>
        <w:name w:val="50BCAFE7CA974B87842765BD41810A43"/>
        <w:category>
          <w:name w:val="General"/>
          <w:gallery w:val="placeholder"/>
        </w:category>
        <w:types>
          <w:type w:val="bbPlcHdr"/>
        </w:types>
        <w:behaviors>
          <w:behavior w:val="content"/>
        </w:behaviors>
        <w:guid w:val="{147C40E2-B0E6-4E90-BA87-B86D5F2A4C1F}"/>
      </w:docPartPr>
      <w:docPartBody>
        <w:p w:rsidR="00CD5206" w:rsidRDefault="00CD5206">
          <w:r w:rsidRPr="007E4A7E">
            <w:rPr>
              <w:rStyle w:val="PlaceholderText"/>
            </w:rPr>
            <w:t>enter REQUIRED text</w:t>
          </w:r>
        </w:p>
      </w:docPartBody>
    </w:docPart>
    <w:docPart>
      <w:docPartPr>
        <w:name w:val="FFB811546707407D9F27AED3629CCF90"/>
        <w:category>
          <w:name w:val="General"/>
          <w:gallery w:val="placeholder"/>
        </w:category>
        <w:types>
          <w:type w:val="bbPlcHdr"/>
        </w:types>
        <w:behaviors>
          <w:behavior w:val="content"/>
        </w:behaviors>
        <w:guid w:val="{9A33E6A8-F162-4617-BDA8-E03929660724}"/>
      </w:docPartPr>
      <w:docPartBody>
        <w:p w:rsidR="00CD5206" w:rsidRDefault="00CD5206">
          <w:r w:rsidRPr="007E4A7E">
            <w:rPr>
              <w:rStyle w:val="PlaceholderText"/>
            </w:rPr>
            <w:t>enter REQUIRED text</w:t>
          </w:r>
        </w:p>
      </w:docPartBody>
    </w:docPart>
    <w:docPart>
      <w:docPartPr>
        <w:name w:val="9681739E75F3482A94111F5DE00078A8"/>
        <w:category>
          <w:name w:val="General"/>
          <w:gallery w:val="placeholder"/>
        </w:category>
        <w:types>
          <w:type w:val="bbPlcHdr"/>
        </w:types>
        <w:behaviors>
          <w:behavior w:val="content"/>
        </w:behaviors>
        <w:guid w:val="{AB385BDF-F58B-4027-96CA-B9C29CD1D554}"/>
      </w:docPartPr>
      <w:docPartBody>
        <w:p w:rsidR="00CD5206" w:rsidRDefault="00CD5206">
          <w:r w:rsidRPr="007E4A7E">
            <w:rPr>
              <w:rStyle w:val="PlaceholderText"/>
            </w:rPr>
            <w:t>enter text</w:t>
          </w:r>
        </w:p>
      </w:docPartBody>
    </w:docPart>
    <w:docPart>
      <w:docPartPr>
        <w:name w:val="EAB4B57F91D74755A3AA43EF4142D710"/>
        <w:category>
          <w:name w:val="General"/>
          <w:gallery w:val="placeholder"/>
        </w:category>
        <w:types>
          <w:type w:val="bbPlcHdr"/>
        </w:types>
        <w:behaviors>
          <w:behavior w:val="content"/>
        </w:behaviors>
        <w:guid w:val="{B3E7C642-CAB6-499B-AC3E-FDEA0693A86C}"/>
      </w:docPartPr>
      <w:docPartBody>
        <w:p w:rsidR="00CD5206" w:rsidRDefault="00CD5206">
          <w:r w:rsidRPr="007E4A7E">
            <w:rPr>
              <w:rStyle w:val="PlaceholderText"/>
            </w:rPr>
            <w:t>enter text</w:t>
          </w:r>
        </w:p>
      </w:docPartBody>
    </w:docPart>
    <w:docPart>
      <w:docPartPr>
        <w:name w:val="5A9FF1D346A44A1ABCFE0F8B240D41CE"/>
        <w:category>
          <w:name w:val="General"/>
          <w:gallery w:val="placeholder"/>
        </w:category>
        <w:types>
          <w:type w:val="bbPlcHdr"/>
        </w:types>
        <w:behaviors>
          <w:behavior w:val="content"/>
        </w:behaviors>
        <w:guid w:val="{9A09F0D6-1F18-4F8D-8234-598CF312C596}"/>
      </w:docPartPr>
      <w:docPartBody>
        <w:p w:rsidR="00CD5206" w:rsidRDefault="00CD5206">
          <w:r w:rsidRPr="007E4A7E">
            <w:rPr>
              <w:rStyle w:val="PlaceholderText"/>
            </w:rPr>
            <w:t>enter text</w:t>
          </w:r>
        </w:p>
      </w:docPartBody>
    </w:docPart>
    <w:docPart>
      <w:docPartPr>
        <w:name w:val="6B3CD96F40CD4B6397A59708C506D1D9"/>
        <w:category>
          <w:name w:val="General"/>
          <w:gallery w:val="placeholder"/>
        </w:category>
        <w:types>
          <w:type w:val="bbPlcHdr"/>
        </w:types>
        <w:behaviors>
          <w:behavior w:val="content"/>
        </w:behaviors>
        <w:guid w:val="{FB5F0990-9E41-4549-BD68-6146121B3424}"/>
      </w:docPartPr>
      <w:docPartBody>
        <w:p w:rsidR="00CD5206" w:rsidRDefault="00CD5206">
          <w:r w:rsidRPr="007E4A7E">
            <w:rPr>
              <w:rStyle w:val="PlaceholderText"/>
            </w:rPr>
            <w:t>enter text</w:t>
          </w:r>
        </w:p>
      </w:docPartBody>
    </w:docPart>
    <w:docPart>
      <w:docPartPr>
        <w:name w:val="383796A61A0744B8969052FE05D323CB"/>
        <w:category>
          <w:name w:val="General"/>
          <w:gallery w:val="placeholder"/>
        </w:category>
        <w:types>
          <w:type w:val="bbPlcHdr"/>
        </w:types>
        <w:behaviors>
          <w:behavior w:val="content"/>
        </w:behaviors>
        <w:guid w:val="{0DFDD141-906A-4294-81A0-C5BD8F0FBA94}"/>
      </w:docPartPr>
      <w:docPartBody>
        <w:p w:rsidR="00CD5206" w:rsidRDefault="00CD5206">
          <w:r w:rsidRPr="007E4A7E">
            <w:rPr>
              <w:rStyle w:val="PlaceholderText"/>
            </w:rPr>
            <w:t>enter text</w:t>
          </w:r>
        </w:p>
      </w:docPartBody>
    </w:docPart>
    <w:docPart>
      <w:docPartPr>
        <w:name w:val="67CFC16F91F34CE19B4788D3B3E0CAC5"/>
        <w:category>
          <w:name w:val="General"/>
          <w:gallery w:val="placeholder"/>
        </w:category>
        <w:types>
          <w:type w:val="bbPlcHdr"/>
        </w:types>
        <w:behaviors>
          <w:behavior w:val="content"/>
        </w:behaviors>
        <w:guid w:val="{87B1D1E7-20FA-4A8D-B915-B01954DAF91C}"/>
      </w:docPartPr>
      <w:docPartBody>
        <w:p w:rsidR="00CD5206" w:rsidRDefault="00CD5206">
          <w:r w:rsidRPr="007E4A7E">
            <w:rPr>
              <w:rStyle w:val="PlaceholderText"/>
            </w:rPr>
            <w:t>enter text</w:t>
          </w:r>
        </w:p>
      </w:docPartBody>
    </w:docPart>
    <w:docPart>
      <w:docPartPr>
        <w:name w:val="7FD4EDED698641698D8F5C9DD1462C56"/>
        <w:category>
          <w:name w:val="General"/>
          <w:gallery w:val="placeholder"/>
        </w:category>
        <w:types>
          <w:type w:val="bbPlcHdr"/>
        </w:types>
        <w:behaviors>
          <w:behavior w:val="content"/>
        </w:behaviors>
        <w:guid w:val="{BAD035A2-5E03-49EC-8249-00EFDD4E4C68}"/>
      </w:docPartPr>
      <w:docPartBody>
        <w:p w:rsidR="00CD5206" w:rsidRDefault="00CD5206">
          <w:r w:rsidRPr="007E4A7E">
            <w:rPr>
              <w:rStyle w:val="PlaceholderText"/>
            </w:rPr>
            <w:t>enter text</w:t>
          </w:r>
        </w:p>
      </w:docPartBody>
    </w:docPart>
    <w:docPart>
      <w:docPartPr>
        <w:name w:val="DC6A9B7878C048399B4AA2FE0C91A0C6"/>
        <w:category>
          <w:name w:val="General"/>
          <w:gallery w:val="placeholder"/>
        </w:category>
        <w:types>
          <w:type w:val="bbPlcHdr"/>
        </w:types>
        <w:behaviors>
          <w:behavior w:val="content"/>
        </w:behaviors>
        <w:guid w:val="{F9A509D9-3DD9-4A34-9378-2F48A6629141}"/>
      </w:docPartPr>
      <w:docPartBody>
        <w:p w:rsidR="00CD5206" w:rsidRDefault="00CD5206">
          <w:r w:rsidRPr="007E4A7E">
            <w:rPr>
              <w:rStyle w:val="PlaceholderText"/>
            </w:rPr>
            <w:t>enter text</w:t>
          </w:r>
        </w:p>
      </w:docPartBody>
    </w:docPart>
    <w:docPart>
      <w:docPartPr>
        <w:name w:val="26BE6FA74EE944E996845CEAD03EFC0A"/>
        <w:category>
          <w:name w:val="General"/>
          <w:gallery w:val="placeholder"/>
        </w:category>
        <w:types>
          <w:type w:val="bbPlcHdr"/>
        </w:types>
        <w:behaviors>
          <w:behavior w:val="content"/>
        </w:behaviors>
        <w:guid w:val="{96CC6FBB-FFF0-48E5-A45D-EB73E1A84C7D}"/>
      </w:docPartPr>
      <w:docPartBody>
        <w:p w:rsidR="00CD5206" w:rsidRDefault="00CD5206">
          <w:r w:rsidRPr="007E4A7E">
            <w:rPr>
              <w:rStyle w:val="PlaceholderText"/>
            </w:rPr>
            <w:t>choose an item (REQUIRED)</w:t>
          </w:r>
        </w:p>
      </w:docPartBody>
    </w:docPart>
    <w:docPart>
      <w:docPartPr>
        <w:name w:val="0132AA8AC7C9408FAAEFE212A46C025B"/>
        <w:category>
          <w:name w:val="General"/>
          <w:gallery w:val="placeholder"/>
        </w:category>
        <w:types>
          <w:type w:val="bbPlcHdr"/>
        </w:types>
        <w:behaviors>
          <w:behavior w:val="content"/>
        </w:behaviors>
        <w:guid w:val="{94FDF614-C15C-40DC-93B0-F713EAC1D4EA}"/>
      </w:docPartPr>
      <w:docPartBody>
        <w:p w:rsidR="00CD5206" w:rsidRDefault="00CD5206">
          <w:r w:rsidRPr="007E4A7E">
            <w:rPr>
              <w:rStyle w:val="PlaceholderText"/>
            </w:rPr>
            <w:t>enter text</w:t>
          </w:r>
        </w:p>
      </w:docPartBody>
    </w:docPart>
    <w:docPart>
      <w:docPartPr>
        <w:name w:val="936A79DEF3C34F5FA7233EA48C37F7B9"/>
        <w:category>
          <w:name w:val="General"/>
          <w:gallery w:val="placeholder"/>
        </w:category>
        <w:types>
          <w:type w:val="bbPlcHdr"/>
        </w:types>
        <w:behaviors>
          <w:behavior w:val="content"/>
        </w:behaviors>
        <w:guid w:val="{3C759FAD-73AE-4C25-A700-864F785F5F06}"/>
      </w:docPartPr>
      <w:docPartBody>
        <w:p w:rsidR="00CD5206" w:rsidRDefault="00CD5206">
          <w:r w:rsidRPr="007E4A7E">
            <w:rPr>
              <w:rStyle w:val="PlaceholderText"/>
            </w:rPr>
            <w:t>enter text</w:t>
          </w:r>
        </w:p>
      </w:docPartBody>
    </w:docPart>
    <w:docPart>
      <w:docPartPr>
        <w:name w:val="9DED01CB7016487A8701DB78C616B04B"/>
        <w:category>
          <w:name w:val="General"/>
          <w:gallery w:val="placeholder"/>
        </w:category>
        <w:types>
          <w:type w:val="bbPlcHdr"/>
        </w:types>
        <w:behaviors>
          <w:behavior w:val="content"/>
        </w:behaviors>
        <w:guid w:val="{3EC707EB-C839-4867-876D-AF07E5516047}"/>
      </w:docPartPr>
      <w:docPartBody>
        <w:p w:rsidR="00CD5206" w:rsidRDefault="00CD5206">
          <w:r w:rsidRPr="007E4A7E">
            <w:rPr>
              <w:rStyle w:val="PlaceholderText"/>
            </w:rPr>
            <w:t>enter REQUIRED text</w:t>
          </w:r>
        </w:p>
      </w:docPartBody>
    </w:docPart>
    <w:docPart>
      <w:docPartPr>
        <w:name w:val="FF6966630A7341299337F08350A01ECE"/>
        <w:category>
          <w:name w:val="General"/>
          <w:gallery w:val="placeholder"/>
        </w:category>
        <w:types>
          <w:type w:val="bbPlcHdr"/>
        </w:types>
        <w:behaviors>
          <w:behavior w:val="content"/>
        </w:behaviors>
        <w:guid w:val="{40381E99-C728-4E39-AF91-5AA9D7158EAA}"/>
      </w:docPartPr>
      <w:docPartBody>
        <w:p w:rsidR="00CD5206" w:rsidRDefault="00CD5206">
          <w:r w:rsidRPr="007E4A7E">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5206"/>
    <w:rsid w:val="004457D4"/>
    <w:rsid w:val="0047711E"/>
    <w:rsid w:val="00C26D08"/>
    <w:rsid w:val="00CD52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D520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2.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3.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glf-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lbs1500-book"/>
    <listitem value="hlbs2100-book"/>
    <listitem value="hlbs2300-book"/>
    <listitem value="hlbs2400-book"/>
    <listitem value="hlbs2600-book"/>
    <listitem value="hlbs2650-book"/>
    <listitem value="hlbs2800-book"/>
    <listitem value="hlbs2900-book"/>
    <listitem value="hlbs3300-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vvp-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4.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5.xml><?xml version="1.0" encoding="utf-8"?>
<document xmlns="http://www.bna.com/gateway/unit.start">
  <ns0:unit.start xmlns:ns0="http://www.bna.com/gateway/unit.start" copyright.owner="enter text" subpart.name="enter text" unit.code="main0006" unit.name="Chapter 6. The Federal Trademark Dilution Act and the Trademark Dilution Revision Act: Introduction and Legislative History" folio="217" class.code="A" class.name="Book Body" bna.id.prefix="6" pdm.name="Chap06" part.num="2" part.name="Part II. Federal Dilution Law" publication.name="Trademark Dilution - Federal, State, and International Law, Second Edition" acct.code="TD2M20" date="2025-09-25" supplement="0" volume.num="1" service.code="td-book"/>
</document>
</file>

<file path=customXml/item6.xml><?xml version="1.0" encoding="utf-8"?>
<conversion.options xmlns="http://www.bna.com/gateway/conversion.options">
  <ns0:tables xmlns:ns0="http://www.bna.com/gateway/conversion.options" tag="smart"/>
</conversion.options>
</file>

<file path=customXml/itemProps1.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2.xml><?xml version="1.0" encoding="utf-8"?>
<ds:datastoreItem xmlns:ds="http://schemas.openxmlformats.org/officeDocument/2006/customXml" ds:itemID="{25203738-0C39-41F2-B232-E9DAD00FD52D}">
  <ds:schemaRefs>
    <ds:schemaRef ds:uri="PortfolioServiceCodes"/>
  </ds:schemaRefs>
</ds:datastoreItem>
</file>

<file path=customXml/itemProps3.xml><?xml version="1.0" encoding="utf-8"?>
<ds:datastoreItem xmlns:ds="http://schemas.openxmlformats.org/officeDocument/2006/customXml" ds:itemID="{438364F0-8022-49DD-ACD0-F4F06AB21D4B}">
  <ds:schemaRefs>
    <ds:schemaRef ds:uri="BookServiceCodes"/>
  </ds:schemaRefs>
</ds:datastoreItem>
</file>

<file path=customXml/itemProps4.xml><?xml version="1.0" encoding="utf-8"?>
<ds:datastoreItem xmlns:ds="http://schemas.openxmlformats.org/officeDocument/2006/customXml" ds:itemID="{88E47CC7-89B1-4334-9439-A1F1C1083F4F}">
  <ds:schemaRefs>
    <ds:schemaRef ds:uri="ReferenceServiceCodes"/>
  </ds:schemaRefs>
</ds:datastoreItem>
</file>

<file path=customXml/itemProps5.xml><?xml version="1.0" encoding="utf-8"?>
<ds:datastoreItem xmlns:ds="http://schemas.openxmlformats.org/officeDocument/2006/customXml" ds:itemID="{B04FCA99-13B0-422B-ADC9-9491644FA79D}">
  <ds:schemaRefs>
    <ds:schemaRef ds:uri="http://www.bna.com/gateway/unit.start"/>
  </ds:schemaRefs>
</ds:datastoreItem>
</file>

<file path=customXml/itemProps6.xml><?xml version="1.0" encoding="utf-8"?>
<ds:datastoreItem xmlns:ds="http://schemas.openxmlformats.org/officeDocument/2006/customXml" ds:itemID="{DADA3C72-C4A8-40A7-A93D-753FF12AADFE}">
  <ds:schemaRefs>
    <ds:schemaRef ds:uri="http://www.bna.com/gateway/conversion.option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Pages>
  <Words>7822</Words>
  <Characters>42140</Characters>
  <Application>Microsoft Office Word</Application>
  <DocSecurity>0</DocSecurity>
  <Lines>351</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2025-09-25T20:43:00Z</dcterms:created>
  <dcterms:modified xsi:type="dcterms:W3CDTF">2025-09-30T19:44:00Z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book</vt:lpwstr>
  </property>
</Properties>
</file>